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DE00D" w14:textId="77777777" w:rsidR="00661C8B" w:rsidRDefault="00661C8B" w:rsidP="00661C8B">
      <w:pPr>
        <w:pStyle w:val="CommentText"/>
        <w:rPr>
          <w:rtl/>
        </w:rPr>
      </w:pPr>
      <w:r w:rsidRPr="00661C8B">
        <w:rPr>
          <w:rFonts w:hint="cs"/>
          <w:highlight w:val="yellow"/>
          <w:rtl/>
        </w:rPr>
        <w:t>הערת תרגום</w:t>
      </w:r>
    </w:p>
    <w:p w14:paraId="18593F12" w14:textId="77777777" w:rsidR="00661C8B" w:rsidRDefault="00661C8B" w:rsidP="00661C8B">
      <w:pPr>
        <w:pStyle w:val="CommentText"/>
        <w:rPr>
          <w:rtl/>
        </w:rPr>
      </w:pPr>
      <w:r>
        <w:rPr>
          <w:rFonts w:hint="cs"/>
          <w:rtl/>
        </w:rPr>
        <w:t>כל מקום שכתוב הורה משמורן צריך להיות</w:t>
      </w:r>
    </w:p>
    <w:p w14:paraId="32D56231" w14:textId="77777777" w:rsidR="00661C8B" w:rsidRDefault="00661C8B" w:rsidP="00661C8B">
      <w:pPr>
        <w:pStyle w:val="CommentText"/>
        <w:rPr>
          <w:rtl/>
        </w:rPr>
      </w:pPr>
      <w:r>
        <w:rPr>
          <w:rFonts w:asciiTheme="majorBidi" w:hAnsiTheme="majorBidi" w:cs="David"/>
          <w:sz w:val="24"/>
          <w:szCs w:val="24"/>
        </w:rPr>
        <w:t>residential parent</w:t>
      </w:r>
    </w:p>
    <w:p w14:paraId="3F24C4AC" w14:textId="77777777" w:rsidR="00661C8B" w:rsidRDefault="00661C8B" w:rsidP="00661C8B">
      <w:pPr>
        <w:pStyle w:val="CommentText"/>
        <w:rPr>
          <w:rtl/>
        </w:rPr>
      </w:pPr>
      <w:r>
        <w:rPr>
          <w:rFonts w:hint="cs"/>
          <w:rtl/>
        </w:rPr>
        <w:t>בכל מקום שכתוב הורה לא משמורן צריך להיות</w:t>
      </w:r>
    </w:p>
    <w:p w14:paraId="0099D048" w14:textId="77777777" w:rsidR="00661C8B" w:rsidRDefault="00661C8B" w:rsidP="00661C8B">
      <w:pPr>
        <w:pStyle w:val="CommentText"/>
      </w:pPr>
      <w:r>
        <w:rPr>
          <w:rFonts w:asciiTheme="majorBidi" w:hAnsiTheme="majorBidi" w:cs="David"/>
          <w:sz w:val="24"/>
          <w:szCs w:val="24"/>
        </w:rPr>
        <w:t>nonresidential parent</w:t>
      </w:r>
      <w:r>
        <w:rPr>
          <w:rFonts w:hint="cs"/>
          <w:rtl/>
        </w:rPr>
        <w:t xml:space="preserve"> </w:t>
      </w:r>
    </w:p>
    <w:p w14:paraId="16FCBA44" w14:textId="0E9091E8" w:rsidR="00884410" w:rsidRDefault="00884410" w:rsidP="00661C8B">
      <w:pPr>
        <w:pStyle w:val="CommentText"/>
        <w:rPr>
          <w:rtl/>
        </w:rPr>
      </w:pPr>
    </w:p>
    <w:p w14:paraId="70E22039" w14:textId="3E3B0E5B" w:rsidR="002137BC" w:rsidRDefault="002137BC" w:rsidP="00661C8B">
      <w:pPr>
        <w:pBdr>
          <w:bottom w:val="single" w:sz="6" w:space="1" w:color="auto"/>
        </w:pBdr>
        <w:spacing w:line="480" w:lineRule="auto"/>
        <w:contextualSpacing/>
        <w:rPr>
          <w:rFonts w:asciiTheme="majorBidi" w:hAnsiTheme="majorBidi" w:cs="David"/>
          <w:b/>
          <w:bCs/>
          <w:sz w:val="24"/>
          <w:szCs w:val="24"/>
          <w:rtl/>
        </w:rPr>
      </w:pPr>
    </w:p>
    <w:p w14:paraId="0ACC12C3" w14:textId="77777777" w:rsidR="00661C8B" w:rsidRDefault="00661C8B" w:rsidP="00661C8B">
      <w:pPr>
        <w:pBdr>
          <w:bottom w:val="single" w:sz="6" w:space="1" w:color="auto"/>
        </w:pBdr>
        <w:bidi w:val="0"/>
        <w:spacing w:line="480" w:lineRule="auto"/>
        <w:contextualSpacing/>
        <w:jc w:val="center"/>
        <w:rPr>
          <w:rFonts w:asciiTheme="majorBidi" w:hAnsiTheme="majorBidi" w:cs="David"/>
          <w:b/>
          <w:bCs/>
          <w:sz w:val="24"/>
          <w:szCs w:val="24"/>
        </w:rPr>
      </w:pPr>
    </w:p>
    <w:p w14:paraId="038E7AA3" w14:textId="4FE40FDD" w:rsidR="005F6E9A" w:rsidRPr="00763963" w:rsidRDefault="005F6E9A" w:rsidP="002137BC">
      <w:pPr>
        <w:pBdr>
          <w:bottom w:val="single" w:sz="6" w:space="1" w:color="auto"/>
        </w:pBdr>
        <w:bidi w:val="0"/>
        <w:spacing w:line="480" w:lineRule="auto"/>
        <w:contextualSpacing/>
        <w:jc w:val="center"/>
        <w:rPr>
          <w:rFonts w:asciiTheme="majorBidi" w:hAnsiTheme="majorBidi" w:cs="David"/>
          <w:b/>
          <w:bCs/>
          <w:sz w:val="24"/>
          <w:szCs w:val="24"/>
        </w:rPr>
      </w:pPr>
      <w:r w:rsidRPr="00763963">
        <w:rPr>
          <w:rFonts w:asciiTheme="majorBidi" w:hAnsiTheme="majorBidi" w:cs="David"/>
          <w:b/>
          <w:bCs/>
          <w:sz w:val="24"/>
          <w:szCs w:val="24"/>
        </w:rPr>
        <w:t>Extending the Family (and the Law of Families) through the Concept of Fiduciary</w:t>
      </w:r>
      <w:r w:rsidR="00473265">
        <w:rPr>
          <w:rFonts w:asciiTheme="majorBidi" w:hAnsiTheme="majorBidi" w:cs="David"/>
          <w:b/>
          <w:bCs/>
          <w:sz w:val="24"/>
          <w:szCs w:val="24"/>
        </w:rPr>
        <w:t>: The case of step-parents</w:t>
      </w:r>
      <w:r w:rsidR="001C32AD">
        <w:rPr>
          <w:rFonts w:asciiTheme="majorBidi" w:hAnsiTheme="majorBidi" w:cs="David"/>
          <w:b/>
          <w:bCs/>
          <w:sz w:val="24"/>
          <w:szCs w:val="24"/>
        </w:rPr>
        <w:t xml:space="preserve"> and legal </w:t>
      </w:r>
      <w:r w:rsidR="00832AFC">
        <w:rPr>
          <w:rFonts w:asciiTheme="majorBidi" w:hAnsiTheme="majorBidi" w:cs="David"/>
          <w:b/>
          <w:bCs/>
          <w:sz w:val="24"/>
          <w:szCs w:val="24"/>
        </w:rPr>
        <w:t xml:space="preserve">nonresidential </w:t>
      </w:r>
      <w:r w:rsidR="001C32AD">
        <w:rPr>
          <w:rFonts w:asciiTheme="majorBidi" w:hAnsiTheme="majorBidi" w:cs="David"/>
          <w:b/>
          <w:bCs/>
          <w:sz w:val="24"/>
          <w:szCs w:val="24"/>
        </w:rPr>
        <w:t>parents relationship</w:t>
      </w:r>
    </w:p>
    <w:p w14:paraId="0C036BE0" w14:textId="77777777" w:rsidR="000F241E" w:rsidRPr="00D9118D" w:rsidRDefault="000F241E" w:rsidP="00D9118D">
      <w:pPr>
        <w:spacing w:line="480" w:lineRule="auto"/>
        <w:jc w:val="center"/>
        <w:rPr>
          <w:rFonts w:asciiTheme="majorBidi" w:hAnsiTheme="majorBidi" w:cs="David"/>
          <w:sz w:val="24"/>
          <w:szCs w:val="24"/>
          <w:rtl/>
        </w:rPr>
      </w:pPr>
      <w:r>
        <w:rPr>
          <w:rFonts w:asciiTheme="majorBidi" w:hAnsiTheme="majorBidi" w:cs="David"/>
          <w:sz w:val="24"/>
          <w:szCs w:val="24"/>
        </w:rPr>
        <w:t>Ruth Zafran</w:t>
      </w:r>
      <w:r>
        <w:rPr>
          <w:rStyle w:val="FootnoteReference"/>
          <w:rFonts w:asciiTheme="majorBidi" w:hAnsiTheme="majorBidi" w:cs="David"/>
          <w:sz w:val="24"/>
          <w:szCs w:val="24"/>
        </w:rPr>
        <w:footnoteReference w:id="1"/>
      </w:r>
    </w:p>
    <w:p w14:paraId="7A4E2DBD" w14:textId="77777777" w:rsidR="00F249F4" w:rsidRPr="00763963" w:rsidRDefault="00F249F4" w:rsidP="00763963">
      <w:pPr>
        <w:pStyle w:val="ListParagraph"/>
        <w:numPr>
          <w:ilvl w:val="0"/>
          <w:numId w:val="2"/>
        </w:numPr>
        <w:spacing w:line="480" w:lineRule="auto"/>
        <w:jc w:val="both"/>
        <w:rPr>
          <w:rFonts w:asciiTheme="majorBidi" w:hAnsiTheme="majorBidi" w:cs="David"/>
          <w:b/>
          <w:bCs/>
          <w:sz w:val="24"/>
          <w:szCs w:val="24"/>
          <w:rtl/>
        </w:rPr>
      </w:pPr>
      <w:r w:rsidRPr="00763963">
        <w:rPr>
          <w:rFonts w:asciiTheme="majorBidi" w:hAnsiTheme="majorBidi" w:cs="David"/>
          <w:b/>
          <w:bCs/>
          <w:sz w:val="24"/>
          <w:szCs w:val="24"/>
          <w:rtl/>
        </w:rPr>
        <w:t>מבוא</w:t>
      </w:r>
    </w:p>
    <w:p w14:paraId="243DA2CC" w14:textId="74DDC9D5" w:rsidR="005F6E9A" w:rsidRPr="00763963" w:rsidRDefault="005F6E9A" w:rsidP="000C5BBE">
      <w:pPr>
        <w:spacing w:line="480" w:lineRule="auto"/>
        <w:jc w:val="both"/>
        <w:rPr>
          <w:rFonts w:asciiTheme="majorBidi" w:hAnsiTheme="majorBidi" w:cs="David"/>
          <w:sz w:val="24"/>
          <w:szCs w:val="24"/>
          <w:rtl/>
        </w:rPr>
      </w:pPr>
      <w:r w:rsidRPr="00763963">
        <w:rPr>
          <w:rFonts w:asciiTheme="majorBidi" w:hAnsiTheme="majorBidi" w:cs="David"/>
          <w:sz w:val="24"/>
          <w:szCs w:val="24"/>
          <w:rtl/>
        </w:rPr>
        <w:t xml:space="preserve">דיני המשפחה מורגלים בחשיבה על יחסים במסגרת של "סטטוס" או "חוזה". </w:t>
      </w:r>
      <w:r w:rsidR="00B01AB1">
        <w:rPr>
          <w:rFonts w:asciiTheme="majorBidi" w:hAnsiTheme="majorBidi" w:cs="David" w:hint="cs"/>
          <w:sz w:val="24"/>
          <w:szCs w:val="24"/>
          <w:rtl/>
        </w:rPr>
        <w:t xml:space="preserve">ואולם נדמה כי </w:t>
      </w:r>
      <w:r w:rsidR="00B01AB1">
        <w:rPr>
          <w:rFonts w:asciiTheme="majorBidi" w:hAnsiTheme="majorBidi" w:cs="David"/>
          <w:sz w:val="24"/>
          <w:szCs w:val="24"/>
          <w:rtl/>
        </w:rPr>
        <w:t>שתי קטגוריות אלה</w:t>
      </w:r>
      <w:r w:rsidRPr="00763963">
        <w:rPr>
          <w:rFonts w:asciiTheme="majorBidi" w:hAnsiTheme="majorBidi" w:cs="David"/>
          <w:sz w:val="24"/>
          <w:szCs w:val="24"/>
          <w:rtl/>
        </w:rPr>
        <w:t xml:space="preserve"> אינן מצליחות</w:t>
      </w:r>
      <w:r w:rsidR="00B01AB1">
        <w:rPr>
          <w:rFonts w:asciiTheme="majorBidi" w:hAnsiTheme="majorBidi" w:cs="David" w:hint="cs"/>
          <w:sz w:val="24"/>
          <w:szCs w:val="24"/>
          <w:rtl/>
        </w:rPr>
        <w:t xml:space="preserve">, באופן בו </w:t>
      </w:r>
      <w:r w:rsidRPr="00763963">
        <w:rPr>
          <w:rFonts w:asciiTheme="majorBidi" w:hAnsiTheme="majorBidi" w:cs="David"/>
          <w:sz w:val="24"/>
          <w:szCs w:val="24"/>
          <w:rtl/>
        </w:rPr>
        <w:t xml:space="preserve">הן </w:t>
      </w:r>
      <w:r w:rsidR="00325941" w:rsidRPr="00763963">
        <w:rPr>
          <w:rFonts w:asciiTheme="majorBidi" w:hAnsiTheme="majorBidi" w:cs="David"/>
          <w:sz w:val="24"/>
          <w:szCs w:val="24"/>
          <w:rtl/>
        </w:rPr>
        <w:t>מגובשות</w:t>
      </w:r>
      <w:r w:rsidRPr="00763963">
        <w:rPr>
          <w:rFonts w:asciiTheme="majorBidi" w:hAnsiTheme="majorBidi" w:cs="David"/>
          <w:sz w:val="24"/>
          <w:szCs w:val="24"/>
          <w:rtl/>
        </w:rPr>
        <w:t xml:space="preserve"> היום, להקיף את מכלול מגוון יחסי המשפחה </w:t>
      </w:r>
      <w:r w:rsidR="00D45A4D">
        <w:rPr>
          <w:rFonts w:asciiTheme="majorBidi" w:hAnsiTheme="majorBidi" w:cs="David" w:hint="cs"/>
          <w:sz w:val="24"/>
          <w:szCs w:val="24"/>
          <w:rtl/>
        </w:rPr>
        <w:t>ולספק להם</w:t>
      </w:r>
      <w:r w:rsidR="00F10CC7">
        <w:rPr>
          <w:rFonts w:asciiTheme="majorBidi" w:hAnsiTheme="majorBidi" w:cs="David" w:hint="cs"/>
          <w:sz w:val="24"/>
          <w:szCs w:val="24"/>
          <w:rtl/>
        </w:rPr>
        <w:t xml:space="preserve"> מענה </w:t>
      </w:r>
      <w:r w:rsidR="000C5BBE">
        <w:rPr>
          <w:rFonts w:asciiTheme="majorBidi" w:hAnsiTheme="majorBidi" w:cs="David" w:hint="cs"/>
          <w:sz w:val="24"/>
          <w:szCs w:val="24"/>
          <w:rtl/>
        </w:rPr>
        <w:t>רגולטורי</w:t>
      </w:r>
      <w:r w:rsidR="00F10CC7">
        <w:rPr>
          <w:rFonts w:asciiTheme="majorBidi" w:hAnsiTheme="majorBidi" w:cs="David" w:hint="cs"/>
          <w:sz w:val="24"/>
          <w:szCs w:val="24"/>
          <w:rtl/>
        </w:rPr>
        <w:t xml:space="preserve"> ראוי</w:t>
      </w:r>
      <w:r w:rsidRPr="00763963">
        <w:rPr>
          <w:rFonts w:asciiTheme="majorBidi" w:hAnsiTheme="majorBidi" w:cs="David"/>
          <w:sz w:val="24"/>
          <w:szCs w:val="24"/>
          <w:rtl/>
        </w:rPr>
        <w:t>.</w:t>
      </w:r>
      <w:r w:rsidR="00EF0D12">
        <w:rPr>
          <w:rFonts w:asciiTheme="majorBidi" w:hAnsiTheme="majorBidi" w:cs="David" w:hint="cs"/>
          <w:sz w:val="24"/>
          <w:szCs w:val="24"/>
          <w:rtl/>
        </w:rPr>
        <w:t xml:space="preserve"> </w:t>
      </w:r>
      <w:r w:rsidRPr="00763963">
        <w:rPr>
          <w:rFonts w:asciiTheme="majorBidi" w:hAnsiTheme="majorBidi" w:cs="David"/>
          <w:sz w:val="24"/>
          <w:szCs w:val="24"/>
          <w:rtl/>
        </w:rPr>
        <w:t xml:space="preserve">במציאות בה מתגוונות יחידות המשפחה: כאשר יחסי משפחה חורגים מקשרי דם מלאים או מקשרי נישואים; כאשר משפחות הופכות יותר ויותר ל </w:t>
      </w:r>
      <w:r w:rsidRPr="00763963">
        <w:rPr>
          <w:rFonts w:asciiTheme="majorBidi" w:hAnsiTheme="majorBidi" w:cs="David"/>
          <w:sz w:val="24"/>
          <w:szCs w:val="24"/>
        </w:rPr>
        <w:t xml:space="preserve">blended and complexed </w:t>
      </w:r>
      <w:r w:rsidRPr="00763963">
        <w:rPr>
          <w:rFonts w:asciiTheme="majorBidi" w:hAnsiTheme="majorBidi" w:cs="David"/>
          <w:sz w:val="24"/>
          <w:szCs w:val="24"/>
          <w:rtl/>
        </w:rPr>
        <w:t xml:space="preserve">; וכאשר הקטגוריות של "בן משפחה" או "זר" מטשטשות, </w:t>
      </w:r>
      <w:r w:rsidR="00EF0D12">
        <w:rPr>
          <w:rFonts w:asciiTheme="majorBidi" w:hAnsiTheme="majorBidi" w:cs="David" w:hint="cs"/>
          <w:sz w:val="24"/>
          <w:szCs w:val="24"/>
          <w:rtl/>
        </w:rPr>
        <w:t>עיון</w:t>
      </w:r>
      <w:r w:rsidR="00EF0D12">
        <w:rPr>
          <w:rFonts w:asciiTheme="majorBidi" w:hAnsiTheme="majorBidi" w:cs="David"/>
          <w:sz w:val="24"/>
          <w:szCs w:val="24"/>
          <w:rtl/>
        </w:rPr>
        <w:t xml:space="preserve"> </w:t>
      </w:r>
      <w:r w:rsidR="00EF0D12">
        <w:rPr>
          <w:rFonts w:asciiTheme="majorBidi" w:hAnsiTheme="majorBidi" w:cs="David" w:hint="cs"/>
          <w:sz w:val="24"/>
          <w:szCs w:val="24"/>
          <w:rtl/>
        </w:rPr>
        <w:t>ב</w:t>
      </w:r>
      <w:r w:rsidRPr="00763963">
        <w:rPr>
          <w:rFonts w:asciiTheme="majorBidi" w:hAnsiTheme="majorBidi" w:cs="David"/>
          <w:sz w:val="24"/>
          <w:szCs w:val="24"/>
          <w:rtl/>
        </w:rPr>
        <w:t>קונספט של "</w:t>
      </w:r>
      <w:r w:rsidRPr="00763963">
        <w:rPr>
          <w:rFonts w:asciiTheme="majorBidi" w:hAnsiTheme="majorBidi" w:cs="David"/>
          <w:sz w:val="24"/>
          <w:szCs w:val="24"/>
        </w:rPr>
        <w:t>fiduciary</w:t>
      </w:r>
      <w:r w:rsidRPr="00763963">
        <w:rPr>
          <w:rFonts w:asciiTheme="majorBidi" w:hAnsiTheme="majorBidi" w:cs="David"/>
          <w:sz w:val="24"/>
          <w:szCs w:val="24"/>
          <w:rtl/>
        </w:rPr>
        <w:t xml:space="preserve">" עשוי לסייע </w:t>
      </w:r>
      <w:r w:rsidR="00EF0D12">
        <w:rPr>
          <w:rFonts w:asciiTheme="majorBidi" w:hAnsiTheme="majorBidi" w:cs="David" w:hint="cs"/>
          <w:sz w:val="24"/>
          <w:szCs w:val="24"/>
          <w:rtl/>
        </w:rPr>
        <w:t xml:space="preserve">בשכלול </w:t>
      </w:r>
      <w:r w:rsidR="00420867" w:rsidRPr="00763963">
        <w:rPr>
          <w:rFonts w:asciiTheme="majorBidi" w:hAnsiTheme="majorBidi" w:cs="David"/>
          <w:sz w:val="24"/>
          <w:szCs w:val="24"/>
          <w:rtl/>
        </w:rPr>
        <w:t>דיני המשפחה</w:t>
      </w:r>
      <w:r w:rsidR="00EF0D12">
        <w:rPr>
          <w:rFonts w:asciiTheme="majorBidi" w:hAnsiTheme="majorBidi" w:cs="David" w:hint="cs"/>
          <w:sz w:val="24"/>
          <w:szCs w:val="24"/>
          <w:rtl/>
        </w:rPr>
        <w:t xml:space="preserve"> ובהתאמתם למציאות המשתנה</w:t>
      </w:r>
      <w:r w:rsidRPr="00763963">
        <w:rPr>
          <w:rFonts w:asciiTheme="majorBidi" w:hAnsiTheme="majorBidi" w:cs="David"/>
          <w:sz w:val="24"/>
          <w:szCs w:val="24"/>
          <w:rtl/>
        </w:rPr>
        <w:t xml:space="preserve">. קונספט </w:t>
      </w:r>
      <w:r w:rsidR="001E2637">
        <w:rPr>
          <w:rFonts w:asciiTheme="majorBidi" w:hAnsiTheme="majorBidi" w:cs="David" w:hint="cs"/>
          <w:sz w:val="24"/>
          <w:szCs w:val="24"/>
          <w:rtl/>
        </w:rPr>
        <w:t xml:space="preserve">ה- </w:t>
      </w:r>
      <w:r w:rsidR="001E2637" w:rsidRPr="00763963">
        <w:rPr>
          <w:rFonts w:asciiTheme="majorBidi" w:hAnsiTheme="majorBidi" w:cs="David"/>
          <w:sz w:val="24"/>
          <w:szCs w:val="24"/>
        </w:rPr>
        <w:t>fiduciary</w:t>
      </w:r>
      <w:r w:rsidR="008B5183" w:rsidRPr="00763963">
        <w:rPr>
          <w:rFonts w:asciiTheme="majorBidi" w:hAnsiTheme="majorBidi" w:cs="David"/>
          <w:sz w:val="24"/>
          <w:szCs w:val="24"/>
          <w:rtl/>
        </w:rPr>
        <w:t xml:space="preserve">, במובן הייחודי </w:t>
      </w:r>
      <w:r w:rsidR="00103758">
        <w:rPr>
          <w:rFonts w:asciiTheme="majorBidi" w:hAnsiTheme="majorBidi" w:cs="David" w:hint="cs"/>
          <w:sz w:val="24"/>
          <w:szCs w:val="24"/>
          <w:rtl/>
        </w:rPr>
        <w:t>שניתן</w:t>
      </w:r>
      <w:r w:rsidR="008B5183" w:rsidRPr="00763963">
        <w:rPr>
          <w:rFonts w:asciiTheme="majorBidi" w:hAnsiTheme="majorBidi" w:cs="David"/>
          <w:sz w:val="24"/>
          <w:szCs w:val="24"/>
          <w:rtl/>
        </w:rPr>
        <w:t xml:space="preserve"> להעניק לו בדיני משפחה ואשר שונה מן המובן הרגיל המאפיין אותו</w:t>
      </w:r>
      <w:r w:rsidR="001E2637">
        <w:rPr>
          <w:rFonts w:asciiTheme="majorBidi" w:hAnsiTheme="majorBidi" w:cs="David" w:hint="cs"/>
          <w:sz w:val="24"/>
          <w:szCs w:val="24"/>
          <w:rtl/>
        </w:rPr>
        <w:t>, למשל,</w:t>
      </w:r>
      <w:r w:rsidR="008B5183" w:rsidRPr="00763963">
        <w:rPr>
          <w:rFonts w:asciiTheme="majorBidi" w:hAnsiTheme="majorBidi" w:cs="David"/>
          <w:sz w:val="24"/>
          <w:szCs w:val="24"/>
          <w:rtl/>
        </w:rPr>
        <w:t xml:space="preserve"> בזירות </w:t>
      </w:r>
      <w:r w:rsidR="005D3540">
        <w:rPr>
          <w:rFonts w:asciiTheme="majorBidi" w:hAnsiTheme="majorBidi" w:cs="David" w:hint="cs"/>
          <w:sz w:val="24"/>
          <w:szCs w:val="24"/>
          <w:rtl/>
        </w:rPr>
        <w:t>ה</w:t>
      </w:r>
      <w:r w:rsidR="008B5183" w:rsidRPr="00763963">
        <w:rPr>
          <w:rFonts w:asciiTheme="majorBidi" w:hAnsiTheme="majorBidi" w:cs="David"/>
          <w:sz w:val="24"/>
          <w:szCs w:val="24"/>
          <w:rtl/>
        </w:rPr>
        <w:t>תאגידיות</w:t>
      </w:r>
      <w:r w:rsidR="005D3540">
        <w:rPr>
          <w:rFonts w:asciiTheme="majorBidi" w:hAnsiTheme="majorBidi" w:cs="David" w:hint="cs"/>
          <w:sz w:val="24"/>
          <w:szCs w:val="24"/>
          <w:rtl/>
        </w:rPr>
        <w:t xml:space="preserve"> או הפרופסיונאליות</w:t>
      </w:r>
      <w:r w:rsidR="00B5331E">
        <w:rPr>
          <w:rStyle w:val="FootnoteReference"/>
          <w:rFonts w:asciiTheme="majorBidi" w:hAnsiTheme="majorBidi" w:cs="David"/>
          <w:sz w:val="24"/>
          <w:szCs w:val="24"/>
          <w:rtl/>
        </w:rPr>
        <w:footnoteReference w:id="2"/>
      </w:r>
      <w:r w:rsidR="008B5183" w:rsidRPr="00763963">
        <w:rPr>
          <w:rFonts w:asciiTheme="majorBidi" w:hAnsiTheme="majorBidi" w:cs="David"/>
          <w:sz w:val="24"/>
          <w:szCs w:val="24"/>
          <w:rtl/>
        </w:rPr>
        <w:t>,</w:t>
      </w:r>
      <w:r w:rsidRPr="00763963">
        <w:rPr>
          <w:rFonts w:asciiTheme="majorBidi" w:hAnsiTheme="majorBidi" w:cs="David"/>
          <w:sz w:val="24"/>
          <w:szCs w:val="24"/>
          <w:rtl/>
        </w:rPr>
        <w:t xml:space="preserve"> עשוי להטיל חיובים משפטיים ב</w:t>
      </w:r>
      <w:r w:rsidR="00F10CC7">
        <w:rPr>
          <w:rFonts w:asciiTheme="majorBidi" w:hAnsiTheme="majorBidi" w:cs="David" w:hint="cs"/>
          <w:sz w:val="24"/>
          <w:szCs w:val="24"/>
          <w:rtl/>
        </w:rPr>
        <w:t>י</w:t>
      </w:r>
      <w:r w:rsidRPr="00763963">
        <w:rPr>
          <w:rFonts w:asciiTheme="majorBidi" w:hAnsiTheme="majorBidi" w:cs="David"/>
          <w:sz w:val="24"/>
          <w:szCs w:val="24"/>
          <w:rtl/>
        </w:rPr>
        <w:t xml:space="preserve">ן גורמים </w:t>
      </w:r>
      <w:r w:rsidR="00325941" w:rsidRPr="00763963">
        <w:rPr>
          <w:rFonts w:asciiTheme="majorBidi" w:hAnsiTheme="majorBidi" w:cs="David"/>
          <w:sz w:val="24"/>
          <w:szCs w:val="24"/>
          <w:rtl/>
        </w:rPr>
        <w:lastRenderedPageBreak/>
        <w:t xml:space="preserve">המחזיקים </w:t>
      </w:r>
      <w:r w:rsidRPr="00763963">
        <w:rPr>
          <w:rFonts w:asciiTheme="majorBidi" w:hAnsiTheme="majorBidi" w:cs="David"/>
          <w:sz w:val="24"/>
          <w:szCs w:val="24"/>
          <w:rtl/>
        </w:rPr>
        <w:t xml:space="preserve">יחסי משפחה (או </w:t>
      </w:r>
      <w:r w:rsidR="00F10CC7" w:rsidRPr="00763963">
        <w:rPr>
          <w:rFonts w:asciiTheme="majorBidi" w:hAnsiTheme="majorBidi" w:cs="David"/>
          <w:sz w:val="24"/>
          <w:szCs w:val="24"/>
          <w:rtl/>
        </w:rPr>
        <w:t>מעין</w:t>
      </w:r>
      <w:r w:rsidR="00D45A4D">
        <w:rPr>
          <w:rFonts w:asciiTheme="majorBidi" w:hAnsiTheme="majorBidi" w:cs="David" w:hint="cs"/>
          <w:sz w:val="24"/>
          <w:szCs w:val="24"/>
          <w:rtl/>
        </w:rPr>
        <w:t xml:space="preserve"> יחסי</w:t>
      </w:r>
      <w:r w:rsidR="00F10CC7" w:rsidRPr="00763963">
        <w:rPr>
          <w:rFonts w:asciiTheme="majorBidi" w:hAnsiTheme="majorBidi" w:cs="David"/>
          <w:sz w:val="24"/>
          <w:szCs w:val="24"/>
          <w:rtl/>
        </w:rPr>
        <w:t xml:space="preserve"> </w:t>
      </w:r>
      <w:r w:rsidRPr="00763963">
        <w:rPr>
          <w:rFonts w:asciiTheme="majorBidi" w:hAnsiTheme="majorBidi" w:cs="David"/>
          <w:sz w:val="24"/>
          <w:szCs w:val="24"/>
          <w:rtl/>
        </w:rPr>
        <w:t>משפח</w:t>
      </w:r>
      <w:r w:rsidR="00D45A4D">
        <w:rPr>
          <w:rFonts w:asciiTheme="majorBidi" w:hAnsiTheme="majorBidi" w:cs="David" w:hint="cs"/>
          <w:sz w:val="24"/>
          <w:szCs w:val="24"/>
          <w:rtl/>
        </w:rPr>
        <w:t>ה</w:t>
      </w:r>
      <w:r w:rsidRPr="00763963">
        <w:rPr>
          <w:rFonts w:asciiTheme="majorBidi" w:hAnsiTheme="majorBidi" w:cs="David"/>
          <w:sz w:val="24"/>
          <w:szCs w:val="24"/>
          <w:rtl/>
        </w:rPr>
        <w:t>)</w:t>
      </w:r>
      <w:r w:rsidR="00103758">
        <w:rPr>
          <w:rFonts w:asciiTheme="majorBidi" w:hAnsiTheme="majorBidi" w:cs="David" w:hint="cs"/>
          <w:sz w:val="24"/>
          <w:szCs w:val="24"/>
          <w:rtl/>
        </w:rPr>
        <w:t xml:space="preserve">, יחסים הראויים, על פי הנטען כאן, </w:t>
      </w:r>
      <w:r w:rsidR="00AB5946">
        <w:rPr>
          <w:rFonts w:asciiTheme="majorBidi" w:hAnsiTheme="majorBidi" w:cs="David" w:hint="cs"/>
          <w:sz w:val="24"/>
          <w:szCs w:val="24"/>
          <w:rtl/>
        </w:rPr>
        <w:t>להסדרה משפטית</w:t>
      </w:r>
      <w:r w:rsidR="005D3540">
        <w:rPr>
          <w:rFonts w:asciiTheme="majorBidi" w:hAnsiTheme="majorBidi" w:cs="David" w:hint="cs"/>
          <w:sz w:val="24"/>
          <w:szCs w:val="24"/>
          <w:rtl/>
        </w:rPr>
        <w:t>.</w:t>
      </w:r>
    </w:p>
    <w:p w14:paraId="6B9B3EC1" w14:textId="5369F9C0" w:rsidR="005F6E9A" w:rsidRPr="00763963" w:rsidRDefault="005F6E9A" w:rsidP="004F6152">
      <w:pPr>
        <w:spacing w:line="480" w:lineRule="auto"/>
        <w:jc w:val="both"/>
        <w:rPr>
          <w:rFonts w:asciiTheme="majorBidi" w:hAnsiTheme="majorBidi" w:cs="David" w:hint="cs"/>
          <w:sz w:val="24"/>
          <w:szCs w:val="24"/>
          <w:rtl/>
        </w:rPr>
      </w:pPr>
      <w:r w:rsidRPr="00763963">
        <w:rPr>
          <w:rFonts w:asciiTheme="majorBidi" w:hAnsiTheme="majorBidi" w:cs="David"/>
          <w:sz w:val="24"/>
          <w:szCs w:val="24"/>
          <w:rtl/>
        </w:rPr>
        <w:t xml:space="preserve">לצורך </w:t>
      </w:r>
      <w:r w:rsidR="00EF0D12">
        <w:rPr>
          <w:rFonts w:asciiTheme="majorBidi" w:hAnsiTheme="majorBidi" w:cs="David" w:hint="cs"/>
          <w:sz w:val="24"/>
          <w:szCs w:val="24"/>
          <w:rtl/>
        </w:rPr>
        <w:t>הבנת השימוש שניתן לעשות בקונספט של</w:t>
      </w:r>
      <w:r w:rsidRPr="00763963">
        <w:rPr>
          <w:rFonts w:asciiTheme="majorBidi" w:hAnsiTheme="majorBidi" w:cs="David"/>
          <w:sz w:val="24"/>
          <w:szCs w:val="24"/>
          <w:rtl/>
        </w:rPr>
        <w:t xml:space="preserve"> </w:t>
      </w:r>
      <w:r w:rsidRPr="00763963">
        <w:rPr>
          <w:rFonts w:asciiTheme="majorBidi" w:hAnsiTheme="majorBidi" w:cs="David"/>
          <w:sz w:val="24"/>
          <w:szCs w:val="24"/>
        </w:rPr>
        <w:t>fiduciary</w:t>
      </w:r>
      <w:r w:rsidR="00D9118D">
        <w:rPr>
          <w:rFonts w:asciiTheme="majorBidi" w:hAnsiTheme="majorBidi" w:cs="David"/>
          <w:sz w:val="24"/>
          <w:szCs w:val="24"/>
          <w:rtl/>
        </w:rPr>
        <w:t xml:space="preserve"> במשפחה</w:t>
      </w:r>
      <w:r w:rsidR="00D9118D">
        <w:rPr>
          <w:rFonts w:asciiTheme="majorBidi" w:hAnsiTheme="majorBidi" w:cs="David" w:hint="cs"/>
          <w:sz w:val="24"/>
          <w:szCs w:val="24"/>
          <w:rtl/>
        </w:rPr>
        <w:t xml:space="preserve">, </w:t>
      </w:r>
      <w:r w:rsidR="00EF0D12">
        <w:rPr>
          <w:rFonts w:asciiTheme="majorBidi" w:hAnsiTheme="majorBidi" w:cs="David" w:hint="cs"/>
          <w:sz w:val="24"/>
          <w:szCs w:val="24"/>
          <w:rtl/>
        </w:rPr>
        <w:t xml:space="preserve">קונספט </w:t>
      </w:r>
      <w:r w:rsidRPr="00763963">
        <w:rPr>
          <w:rFonts w:asciiTheme="majorBidi" w:hAnsiTheme="majorBidi" w:cs="David"/>
          <w:sz w:val="24"/>
          <w:szCs w:val="24"/>
          <w:rtl/>
        </w:rPr>
        <w:t xml:space="preserve">אשר החל </w:t>
      </w:r>
      <w:r w:rsidR="00EF0D12">
        <w:rPr>
          <w:rFonts w:asciiTheme="majorBidi" w:hAnsiTheme="majorBidi" w:cs="David" w:hint="cs"/>
          <w:sz w:val="24"/>
          <w:szCs w:val="24"/>
          <w:rtl/>
        </w:rPr>
        <w:t>להתברר</w:t>
      </w:r>
      <w:r w:rsidRPr="00763963">
        <w:rPr>
          <w:rFonts w:asciiTheme="majorBidi" w:hAnsiTheme="majorBidi" w:cs="David"/>
          <w:sz w:val="24"/>
          <w:szCs w:val="24"/>
          <w:rtl/>
        </w:rPr>
        <w:t xml:space="preserve"> בכתיבה של </w:t>
      </w:r>
      <w:r w:rsidRPr="00763963">
        <w:rPr>
          <w:rFonts w:asciiTheme="majorBidi" w:hAnsiTheme="majorBidi" w:cs="David"/>
          <w:sz w:val="24"/>
          <w:szCs w:val="24"/>
        </w:rPr>
        <w:t>Elizabeth Scott</w:t>
      </w:r>
      <w:r w:rsidR="00354596">
        <w:rPr>
          <w:rFonts w:asciiTheme="majorBidi" w:hAnsiTheme="majorBidi" w:cs="David" w:hint="cs"/>
          <w:sz w:val="24"/>
          <w:szCs w:val="24"/>
          <w:rtl/>
        </w:rPr>
        <w:t xml:space="preserve"> יחד עם </w:t>
      </w:r>
      <w:r w:rsidR="00D9118D">
        <w:rPr>
          <w:rFonts w:asciiTheme="majorBidi" w:hAnsiTheme="majorBidi" w:cs="David"/>
          <w:sz w:val="24"/>
          <w:szCs w:val="24"/>
          <w:rtl/>
        </w:rPr>
        <w:t>אחרים</w:t>
      </w:r>
      <w:r w:rsidR="00D9118D">
        <w:rPr>
          <w:rFonts w:asciiTheme="majorBidi" w:hAnsiTheme="majorBidi" w:cs="David" w:hint="cs"/>
          <w:sz w:val="24"/>
          <w:szCs w:val="24"/>
          <w:rtl/>
        </w:rPr>
        <w:t>,</w:t>
      </w:r>
      <w:r w:rsidR="00325941" w:rsidRPr="00763963">
        <w:rPr>
          <w:rFonts w:asciiTheme="majorBidi" w:hAnsiTheme="majorBidi" w:cs="David"/>
          <w:sz w:val="24"/>
          <w:szCs w:val="24"/>
          <w:rtl/>
        </w:rPr>
        <w:t xml:space="preserve"> </w:t>
      </w:r>
      <w:r w:rsidRPr="00763963">
        <w:rPr>
          <w:rFonts w:asciiTheme="majorBidi" w:hAnsiTheme="majorBidi" w:cs="David"/>
          <w:sz w:val="24"/>
          <w:szCs w:val="24"/>
          <w:rtl/>
        </w:rPr>
        <w:t xml:space="preserve">אבקש במסגרת מאמר זה לעסוק במקרה המבחן של </w:t>
      </w:r>
      <w:r w:rsidR="00103758">
        <w:rPr>
          <w:rFonts w:asciiTheme="majorBidi" w:hAnsiTheme="majorBidi" w:cs="David" w:hint="cs"/>
          <w:sz w:val="24"/>
          <w:szCs w:val="24"/>
          <w:rtl/>
        </w:rPr>
        <w:t>ה</w:t>
      </w:r>
      <w:r w:rsidR="005B1707">
        <w:rPr>
          <w:rFonts w:asciiTheme="majorBidi" w:hAnsiTheme="majorBidi" w:cs="David" w:hint="cs"/>
          <w:sz w:val="24"/>
          <w:szCs w:val="24"/>
          <w:rtl/>
        </w:rPr>
        <w:t>יחסי</w:t>
      </w:r>
      <w:r w:rsidR="00103758">
        <w:rPr>
          <w:rFonts w:asciiTheme="majorBidi" w:hAnsiTheme="majorBidi" w:cs="David" w:hint="cs"/>
          <w:sz w:val="24"/>
          <w:szCs w:val="24"/>
          <w:rtl/>
        </w:rPr>
        <w:t>ם בין</w:t>
      </w:r>
      <w:r w:rsidRPr="00763963">
        <w:rPr>
          <w:rFonts w:asciiTheme="majorBidi" w:hAnsiTheme="majorBidi" w:cs="David"/>
          <w:sz w:val="24"/>
          <w:szCs w:val="24"/>
          <w:rtl/>
        </w:rPr>
        <w:t xml:space="preserve"> הורים חורגים </w:t>
      </w:r>
      <w:r w:rsidR="00103758">
        <w:rPr>
          <w:rFonts w:asciiTheme="majorBidi" w:hAnsiTheme="majorBidi" w:cs="David" w:hint="cs"/>
          <w:sz w:val="24"/>
          <w:szCs w:val="24"/>
          <w:rtl/>
        </w:rPr>
        <w:t xml:space="preserve">לבין </w:t>
      </w:r>
      <w:r w:rsidR="00EF0D12">
        <w:rPr>
          <w:rFonts w:asciiTheme="majorBidi" w:hAnsiTheme="majorBidi" w:cs="David"/>
          <w:sz w:val="24"/>
          <w:szCs w:val="24"/>
        </w:rPr>
        <w:t>,</w:t>
      </w:r>
      <w:r w:rsidR="00103758">
        <w:rPr>
          <w:rFonts w:asciiTheme="majorBidi" w:hAnsiTheme="majorBidi" w:cs="David"/>
          <w:sz w:val="24"/>
          <w:szCs w:val="24"/>
        </w:rPr>
        <w:t>nonresidential parents</w:t>
      </w:r>
      <w:r w:rsidR="00325941" w:rsidRPr="00763963">
        <w:rPr>
          <w:rFonts w:asciiTheme="majorBidi" w:hAnsiTheme="majorBidi" w:cs="David"/>
          <w:sz w:val="24"/>
          <w:szCs w:val="24"/>
          <w:rtl/>
        </w:rPr>
        <w:t xml:space="preserve"> יחסים הסובלים, לטעמי</w:t>
      </w:r>
      <w:r w:rsidR="00B01AB1">
        <w:rPr>
          <w:rFonts w:asciiTheme="majorBidi" w:hAnsiTheme="majorBidi" w:cs="David" w:hint="cs"/>
          <w:sz w:val="24"/>
          <w:szCs w:val="24"/>
          <w:rtl/>
        </w:rPr>
        <w:t>,</w:t>
      </w:r>
      <w:r w:rsidR="00325941" w:rsidRPr="00763963">
        <w:rPr>
          <w:rFonts w:asciiTheme="majorBidi" w:hAnsiTheme="majorBidi" w:cs="David"/>
          <w:sz w:val="24"/>
          <w:szCs w:val="24"/>
          <w:rtl/>
        </w:rPr>
        <w:t xml:space="preserve"> מחוסר בהסדרה משפטית</w:t>
      </w:r>
      <w:r w:rsidRPr="00763963">
        <w:rPr>
          <w:rFonts w:asciiTheme="majorBidi" w:hAnsiTheme="majorBidi" w:cs="David"/>
          <w:sz w:val="24"/>
          <w:szCs w:val="24"/>
          <w:rtl/>
        </w:rPr>
        <w:t>. לצורך פישוט ההצגה</w:t>
      </w:r>
      <w:r w:rsidR="00F57A59" w:rsidRPr="00763963">
        <w:rPr>
          <w:rFonts w:asciiTheme="majorBidi" w:hAnsiTheme="majorBidi" w:cs="David"/>
          <w:sz w:val="24"/>
          <w:szCs w:val="24"/>
          <w:rtl/>
        </w:rPr>
        <w:t xml:space="preserve"> של המקרה העובדתי</w:t>
      </w:r>
      <w:r w:rsidRPr="00763963">
        <w:rPr>
          <w:rFonts w:asciiTheme="majorBidi" w:hAnsiTheme="majorBidi" w:cs="David"/>
          <w:sz w:val="24"/>
          <w:szCs w:val="24"/>
          <w:rtl/>
        </w:rPr>
        <w:t>, אציג את ההקשר המשפחתי בו מתמקד המאמר באופן גרפי:</w:t>
      </w:r>
    </w:p>
    <w:p w14:paraId="3DC3595D" w14:textId="77777777" w:rsidR="00D9118D" w:rsidRDefault="00D9118D" w:rsidP="001E2637">
      <w:pPr>
        <w:bidi w:val="0"/>
        <w:spacing w:line="240" w:lineRule="auto"/>
        <w:contextualSpacing/>
        <w:jc w:val="both"/>
        <w:rPr>
          <w:rFonts w:asciiTheme="majorBidi" w:hAnsiTheme="majorBidi" w:cs="David"/>
          <w:sz w:val="24"/>
          <w:szCs w:val="24"/>
          <w:rtl/>
        </w:rPr>
      </w:pPr>
    </w:p>
    <w:p w14:paraId="0A482A51" w14:textId="77777777" w:rsidR="00D9118D" w:rsidRDefault="00D9118D" w:rsidP="00D9118D">
      <w:pPr>
        <w:bidi w:val="0"/>
        <w:spacing w:line="240" w:lineRule="auto"/>
        <w:contextualSpacing/>
        <w:jc w:val="both"/>
        <w:rPr>
          <w:rFonts w:asciiTheme="majorBidi" w:hAnsiTheme="majorBidi" w:cs="David"/>
          <w:sz w:val="24"/>
          <w:szCs w:val="24"/>
        </w:rPr>
      </w:pPr>
    </w:p>
    <w:p w14:paraId="0D8C1DA0" w14:textId="77777777" w:rsidR="00D9118D" w:rsidRDefault="00D9118D" w:rsidP="00D9118D">
      <w:pPr>
        <w:bidi w:val="0"/>
        <w:spacing w:line="240" w:lineRule="auto"/>
        <w:contextualSpacing/>
        <w:jc w:val="both"/>
        <w:rPr>
          <w:rFonts w:asciiTheme="majorBidi" w:hAnsiTheme="majorBidi" w:cs="David"/>
          <w:sz w:val="24"/>
          <w:szCs w:val="24"/>
          <w:rtl/>
        </w:rPr>
      </w:pPr>
    </w:p>
    <w:p w14:paraId="53593F71" w14:textId="77777777" w:rsidR="00D9118D" w:rsidRDefault="00D9118D" w:rsidP="00D9118D">
      <w:pPr>
        <w:bidi w:val="0"/>
        <w:spacing w:line="240" w:lineRule="auto"/>
        <w:contextualSpacing/>
        <w:jc w:val="both"/>
        <w:rPr>
          <w:rFonts w:asciiTheme="majorBidi" w:hAnsiTheme="majorBidi" w:cs="David"/>
          <w:sz w:val="24"/>
          <w:szCs w:val="24"/>
          <w:rtl/>
        </w:rPr>
      </w:pPr>
    </w:p>
    <w:p w14:paraId="21E3B45C" w14:textId="77777777" w:rsidR="00D9118D" w:rsidRDefault="00D9118D" w:rsidP="00D9118D">
      <w:pPr>
        <w:bidi w:val="0"/>
        <w:spacing w:line="240" w:lineRule="auto"/>
        <w:contextualSpacing/>
        <w:jc w:val="both"/>
        <w:rPr>
          <w:rFonts w:asciiTheme="majorBidi" w:hAnsiTheme="majorBidi" w:cs="David"/>
          <w:sz w:val="24"/>
          <w:szCs w:val="24"/>
          <w:rtl/>
        </w:rPr>
      </w:pPr>
    </w:p>
    <w:p w14:paraId="378AECE3" w14:textId="77777777" w:rsidR="00D9118D" w:rsidRDefault="00D9118D" w:rsidP="00D9118D">
      <w:pPr>
        <w:bidi w:val="0"/>
        <w:spacing w:line="240" w:lineRule="auto"/>
        <w:contextualSpacing/>
        <w:jc w:val="both"/>
        <w:rPr>
          <w:rFonts w:asciiTheme="majorBidi" w:hAnsiTheme="majorBidi" w:cs="David"/>
          <w:sz w:val="24"/>
          <w:szCs w:val="24"/>
          <w:rtl/>
        </w:rPr>
      </w:pPr>
    </w:p>
    <w:p w14:paraId="67AE9488" w14:textId="77777777" w:rsidR="005F6E9A" w:rsidRPr="00763963" w:rsidRDefault="005F6E9A" w:rsidP="00D9118D">
      <w:pPr>
        <w:bidi w:val="0"/>
        <w:spacing w:line="240" w:lineRule="auto"/>
        <w:contextualSpacing/>
        <w:jc w:val="both"/>
        <w:rPr>
          <w:rFonts w:asciiTheme="majorBidi" w:hAnsiTheme="majorBidi" w:cs="David"/>
          <w:sz w:val="24"/>
          <w:szCs w:val="24"/>
        </w:rPr>
      </w:pPr>
      <w:r w:rsidRPr="00763963">
        <w:rPr>
          <w:rFonts w:asciiTheme="majorBidi" w:hAnsiTheme="majorBidi" w:cs="David"/>
          <w:noProof/>
          <w:sz w:val="24"/>
          <w:szCs w:val="24"/>
        </w:rPr>
        <mc:AlternateContent>
          <mc:Choice Requires="wps">
            <w:drawing>
              <wp:anchor distT="0" distB="0" distL="114300" distR="114300" simplePos="0" relativeHeight="251669504" behindDoc="0" locked="0" layoutInCell="1" allowOverlap="1" wp14:anchorId="437CCC12" wp14:editId="25ADABC0">
                <wp:simplePos x="0" y="0"/>
                <wp:positionH relativeFrom="column">
                  <wp:posOffset>2238375</wp:posOffset>
                </wp:positionH>
                <wp:positionV relativeFrom="paragraph">
                  <wp:posOffset>55880</wp:posOffset>
                </wp:positionV>
                <wp:extent cx="755650" cy="311150"/>
                <wp:effectExtent l="0" t="0" r="2540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755650" cy="311150"/>
                        </a:xfrm>
                        <a:prstGeom prst="rect">
                          <a:avLst/>
                        </a:prstGeom>
                        <a:noFill/>
                        <a:ln w="6350">
                          <a:solidFill>
                            <a:prstClr val="black"/>
                          </a:solidFill>
                        </a:ln>
                        <a:effectLst/>
                      </wps:spPr>
                      <wps:txbx>
                        <w:txbxContent>
                          <w:p w14:paraId="7AFBD0EF" w14:textId="77777777" w:rsidR="00354596" w:rsidRPr="00884434" w:rsidRDefault="00354596" w:rsidP="005F6E9A">
                            <w:pPr>
                              <w:spacing w:line="240" w:lineRule="auto"/>
                              <w:contextualSpacing/>
                              <w:jc w:val="both"/>
                              <w:rPr>
                                <w:rFonts w:asciiTheme="majorBidi" w:hAnsiTheme="majorBidi" w:cstheme="majorBidi"/>
                                <w:sz w:val="24"/>
                                <w:szCs w:val="24"/>
                              </w:rPr>
                            </w:pPr>
                            <w:r>
                              <w:rPr>
                                <w:rFonts w:asciiTheme="majorBidi" w:hAnsiTheme="majorBidi" w:cstheme="majorBidi"/>
                                <w:sz w:val="24"/>
                                <w:szCs w:val="24"/>
                              </w:rPr>
                              <w:t xml:space="preserve">fiduciary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CCC12" id="_x0000_t202" coordsize="21600,21600" o:spt="202" path="m,l,21600r21600,l21600,xe">
                <v:stroke joinstyle="miter"/>
                <v:path gradientshapeok="t" o:connecttype="rect"/>
              </v:shapetype>
              <v:shape id="Text Box 12" o:spid="_x0000_s1026" type="#_x0000_t202" style="position:absolute;left:0;text-align:left;margin-left:176.25pt;margin-top:4.4pt;width:59.5pt;height: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" filled="f" strokeweight=".5pt">
                <v:textbox>
                  <w:txbxContent>
                    <w:p w14:paraId="7AFBD0EF" w14:textId="77777777" w:rsidR="00354596" w:rsidRPr="00884434" w:rsidRDefault="00354596" w:rsidP="005F6E9A">
                      <w:pPr>
                        <w:spacing w:line="240" w:lineRule="auto"/>
                        <w:contextualSpacing/>
                        <w:jc w:val="both"/>
                        <w:rPr>
                          <w:rFonts w:asciiTheme="majorBidi" w:hAnsiTheme="majorBidi" w:cstheme="majorBidi"/>
                          <w:sz w:val="24"/>
                          <w:szCs w:val="24"/>
                        </w:rPr>
                      </w:pPr>
                      <w:r>
                        <w:rPr>
                          <w:rFonts w:asciiTheme="majorBidi" w:hAnsiTheme="majorBidi" w:cstheme="majorBidi"/>
                          <w:sz w:val="24"/>
                          <w:szCs w:val="24"/>
                        </w:rPr>
                        <w:t xml:space="preserve">fiduciary </w:t>
                      </w:r>
                    </w:p>
                  </w:txbxContent>
                </v:textbox>
                <w10:wrap type="square"/>
              </v:shape>
            </w:pict>
          </mc:Fallback>
        </mc:AlternateContent>
      </w:r>
      <w:r w:rsidRPr="00763963">
        <w:rPr>
          <w:rFonts w:asciiTheme="majorBidi" w:hAnsiTheme="majorBidi" w:cs="David"/>
          <w:noProof/>
          <w:sz w:val="24"/>
          <w:szCs w:val="24"/>
        </w:rPr>
        <mc:AlternateContent>
          <mc:Choice Requires="wps">
            <w:drawing>
              <wp:anchor distT="0" distB="0" distL="114300" distR="114300" simplePos="0" relativeHeight="251665408" behindDoc="0" locked="0" layoutInCell="1" allowOverlap="1" wp14:anchorId="12A2BD18" wp14:editId="083CFB1E">
                <wp:simplePos x="0" y="0"/>
                <wp:positionH relativeFrom="column">
                  <wp:posOffset>1092200</wp:posOffset>
                </wp:positionH>
                <wp:positionV relativeFrom="paragraph">
                  <wp:posOffset>3810</wp:posOffset>
                </wp:positionV>
                <wp:extent cx="3028950" cy="514350"/>
                <wp:effectExtent l="0" t="0" r="0" b="38100"/>
                <wp:wrapNone/>
                <wp:docPr id="13" name="Curved Down Arrow 13"/>
                <wp:cNvGraphicFramePr/>
                <a:graphic xmlns:a="http://schemas.openxmlformats.org/drawingml/2006/main">
                  <a:graphicData uri="http://schemas.microsoft.com/office/word/2010/wordprocessingShape">
                    <wps:wsp>
                      <wps:cNvSpPr/>
                      <wps:spPr>
                        <a:xfrm>
                          <a:off x="0" y="0"/>
                          <a:ext cx="3028950" cy="51435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04B6A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3" o:spid="_x0000_s1026" type="#_x0000_t105" style="position:absolute;left:0;text-align:left;margin-left:86pt;margin-top:.3pt;width:238.5pt;height:4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" adj="19766,21141,16200" fillcolor="#5b9bd5 [3204]" strokecolor="#1f4d78 [1604]" strokeweight="1pt"/>
            </w:pict>
          </mc:Fallback>
        </mc:AlternateContent>
      </w:r>
    </w:p>
    <w:p w14:paraId="2F851DF8" w14:textId="77777777" w:rsidR="005F6E9A" w:rsidRPr="00763963" w:rsidRDefault="005F6E9A" w:rsidP="001E2637">
      <w:pPr>
        <w:bidi w:val="0"/>
        <w:spacing w:line="240" w:lineRule="auto"/>
        <w:contextualSpacing/>
        <w:jc w:val="both"/>
        <w:rPr>
          <w:rFonts w:asciiTheme="majorBidi" w:hAnsiTheme="majorBidi" w:cs="David"/>
          <w:sz w:val="24"/>
          <w:szCs w:val="24"/>
        </w:rPr>
      </w:pPr>
      <w:r w:rsidRPr="00763963">
        <w:rPr>
          <w:rFonts w:asciiTheme="majorBidi" w:hAnsiTheme="majorBidi" w:cs="David"/>
          <w:sz w:val="24"/>
          <w:szCs w:val="24"/>
        </w:rPr>
        <w:t xml:space="preserve"> </w:t>
      </w:r>
    </w:p>
    <w:p w14:paraId="20DB708A" w14:textId="557FA8B6" w:rsidR="005F6E9A" w:rsidRPr="00763963" w:rsidRDefault="000C5BBE" w:rsidP="001E2637">
      <w:pPr>
        <w:spacing w:line="240" w:lineRule="auto"/>
        <w:contextualSpacing/>
        <w:jc w:val="both"/>
        <w:rPr>
          <w:rFonts w:asciiTheme="majorBidi" w:hAnsiTheme="majorBidi" w:cs="David"/>
          <w:sz w:val="24"/>
          <w:szCs w:val="24"/>
          <w:rtl/>
        </w:rPr>
      </w:pPr>
      <w:r w:rsidRPr="00763963">
        <w:rPr>
          <w:rFonts w:asciiTheme="majorBidi" w:hAnsiTheme="majorBidi" w:cs="David"/>
          <w:noProof/>
          <w:sz w:val="24"/>
          <w:szCs w:val="24"/>
        </w:rPr>
        <mc:AlternateContent>
          <mc:Choice Requires="wps">
            <w:drawing>
              <wp:anchor distT="0" distB="0" distL="114300" distR="114300" simplePos="0" relativeHeight="251659264" behindDoc="0" locked="0" layoutInCell="1" allowOverlap="1" wp14:anchorId="736651E6" wp14:editId="6EF20809">
                <wp:simplePos x="0" y="0"/>
                <wp:positionH relativeFrom="column">
                  <wp:posOffset>155575</wp:posOffset>
                </wp:positionH>
                <wp:positionV relativeFrom="paragraph">
                  <wp:posOffset>137795</wp:posOffset>
                </wp:positionV>
                <wp:extent cx="1339850" cy="1416050"/>
                <wp:effectExtent l="0" t="0" r="12700" b="12700"/>
                <wp:wrapNone/>
                <wp:docPr id="1" name="Oval 1"/>
                <wp:cNvGraphicFramePr/>
                <a:graphic xmlns:a="http://schemas.openxmlformats.org/drawingml/2006/main">
                  <a:graphicData uri="http://schemas.microsoft.com/office/word/2010/wordprocessingShape">
                    <wps:wsp>
                      <wps:cNvSpPr/>
                      <wps:spPr>
                        <a:xfrm>
                          <a:off x="0" y="0"/>
                          <a:ext cx="1339850" cy="141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9B9135" w14:textId="77777777" w:rsidR="00354596" w:rsidRPr="00506F8A" w:rsidRDefault="00354596" w:rsidP="005F6E9A">
                            <w:pPr>
                              <w:jc w:val="center"/>
                              <w:rPr>
                                <w:rFonts w:asciiTheme="majorBidi" w:hAnsiTheme="majorBidi" w:cstheme="majorBidi"/>
                              </w:rPr>
                            </w:pPr>
                            <w:r w:rsidRPr="00506F8A">
                              <w:rPr>
                                <w:rFonts w:asciiTheme="majorBidi" w:hAnsiTheme="majorBidi" w:cstheme="majorBidi"/>
                              </w:rPr>
                              <w:t>Step parent</w:t>
                            </w:r>
                          </w:p>
                          <w:p w14:paraId="0B1E5089" w14:textId="77777777" w:rsidR="00354596" w:rsidRPr="00506F8A" w:rsidRDefault="00354596" w:rsidP="005F6E9A">
                            <w:pPr>
                              <w:jc w:val="center"/>
                              <w:rPr>
                                <w:rFonts w:asciiTheme="majorBidi" w:hAnsiTheme="majorBidi" w:cstheme="majorBidi"/>
                                <w:sz w:val="20"/>
                                <w:szCs w:val="20"/>
                                <w:rtl/>
                              </w:rPr>
                            </w:pPr>
                            <w:r w:rsidRPr="00506F8A">
                              <w:rPr>
                                <w:rFonts w:asciiTheme="majorBidi" w:hAnsiTheme="majorBidi" w:cstheme="majorBidi"/>
                              </w:rPr>
                              <w:t>(current spouse)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651E6" id="Oval 1" o:spid="_x0000_s1027" style="position:absolute;left:0;text-align:left;margin-left:12.25pt;margin-top:10.85pt;width:105.5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" fillcolor="#5b9bd5 [3204]" strokecolor="#1f4d78 [1604]" strokeweight="1pt">
                <v:stroke joinstyle="miter"/>
                <v:textbox>
                  <w:txbxContent>
                    <w:p w14:paraId="209B9135" w14:textId="77777777" w:rsidR="00354596" w:rsidRPr="00506F8A" w:rsidRDefault="00354596" w:rsidP="005F6E9A">
                      <w:pPr>
                        <w:jc w:val="center"/>
                        <w:rPr>
                          <w:rFonts w:asciiTheme="majorBidi" w:hAnsiTheme="majorBidi" w:cstheme="majorBidi"/>
                        </w:rPr>
                      </w:pPr>
                      <w:r w:rsidRPr="00506F8A">
                        <w:rPr>
                          <w:rFonts w:asciiTheme="majorBidi" w:hAnsiTheme="majorBidi" w:cstheme="majorBidi"/>
                        </w:rPr>
                        <w:t>Step parent</w:t>
                      </w:r>
                    </w:p>
                    <w:p w14:paraId="0B1E5089" w14:textId="77777777" w:rsidR="00354596" w:rsidRPr="00506F8A" w:rsidRDefault="00354596" w:rsidP="005F6E9A">
                      <w:pPr>
                        <w:jc w:val="center"/>
                        <w:rPr>
                          <w:rFonts w:asciiTheme="majorBidi" w:hAnsiTheme="majorBidi" w:cstheme="majorBidi"/>
                          <w:sz w:val="20"/>
                          <w:szCs w:val="20"/>
                          <w:rtl/>
                        </w:rPr>
                      </w:pPr>
                      <w:r w:rsidRPr="00506F8A">
                        <w:rPr>
                          <w:rFonts w:asciiTheme="majorBidi" w:hAnsiTheme="majorBidi" w:cstheme="majorBidi"/>
                        </w:rPr>
                        <w:t>(current spouse)</w:t>
                      </w:r>
                    </w:p>
                  </w:txbxContent>
                </v:textbox>
              </v:oval>
            </w:pict>
          </mc:Fallback>
        </mc:AlternateContent>
      </w:r>
      <w:r w:rsidRPr="00763963">
        <w:rPr>
          <w:rFonts w:asciiTheme="majorBidi" w:hAnsiTheme="majorBidi" w:cs="David"/>
          <w:noProof/>
          <w:sz w:val="24"/>
          <w:szCs w:val="24"/>
          <w:rtl/>
        </w:rPr>
        <mc:AlternateContent>
          <mc:Choice Requires="wps">
            <w:drawing>
              <wp:anchor distT="0" distB="0" distL="114300" distR="114300" simplePos="0" relativeHeight="251660288" behindDoc="0" locked="0" layoutInCell="1" allowOverlap="1" wp14:anchorId="13AFD599" wp14:editId="013CE5F7">
                <wp:simplePos x="0" y="0"/>
                <wp:positionH relativeFrom="margin">
                  <wp:posOffset>1889125</wp:posOffset>
                </wp:positionH>
                <wp:positionV relativeFrom="paragraph">
                  <wp:posOffset>131445</wp:posOffset>
                </wp:positionV>
                <wp:extent cx="1333500" cy="1346200"/>
                <wp:effectExtent l="0" t="0" r="19050" b="25400"/>
                <wp:wrapNone/>
                <wp:docPr id="2" name="Oval 2"/>
                <wp:cNvGraphicFramePr/>
                <a:graphic xmlns:a="http://schemas.openxmlformats.org/drawingml/2006/main">
                  <a:graphicData uri="http://schemas.microsoft.com/office/word/2010/wordprocessingShape">
                    <wps:wsp>
                      <wps:cNvSpPr/>
                      <wps:spPr>
                        <a:xfrm>
                          <a:off x="0" y="0"/>
                          <a:ext cx="1333500" cy="134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4750A1" w14:textId="3DFF3874" w:rsidR="00354596" w:rsidRPr="00506F8A" w:rsidRDefault="00354596" w:rsidP="000C5BBE">
                            <w:pPr>
                              <w:jc w:val="center"/>
                              <w:rPr>
                                <w:rFonts w:asciiTheme="majorBidi" w:hAnsiTheme="majorBidi" w:cstheme="majorBidi"/>
                                <w:rtl/>
                              </w:rPr>
                            </w:pPr>
                            <w:r>
                              <w:rPr>
                                <w:rFonts w:asciiTheme="majorBidi" w:hAnsiTheme="majorBidi" w:cs="David"/>
                                <w:sz w:val="24"/>
                                <w:szCs w:val="24"/>
                              </w:rPr>
                              <w:t xml:space="preserve">Residential </w:t>
                            </w:r>
                            <w:r w:rsidRPr="00506F8A">
                              <w:rPr>
                                <w:rFonts w:asciiTheme="majorBidi" w:hAnsiTheme="majorBidi" w:cstheme="majorBidi"/>
                              </w:rPr>
                              <w:t xml:space="preserve"> </w:t>
                            </w:r>
                            <w:r>
                              <w:rPr>
                                <w:rFonts w:asciiTheme="majorBidi" w:hAnsiTheme="majorBidi" w:cstheme="majorBidi"/>
                              </w:rPr>
                              <w:t>P</w:t>
                            </w:r>
                            <w:r w:rsidRPr="00506F8A">
                              <w:rPr>
                                <w:rFonts w:asciiTheme="majorBidi" w:hAnsiTheme="majorBidi" w:cstheme="majorBidi"/>
                              </w:rPr>
                              <w:t>arent</w:t>
                            </w:r>
                          </w:p>
                          <w:p w14:paraId="6BECDB92" w14:textId="77777777" w:rsidR="00354596" w:rsidRPr="00506F8A" w:rsidRDefault="00354596" w:rsidP="005F6E9A">
                            <w:pPr>
                              <w:jc w:val="center"/>
                              <w:rPr>
                                <w:rFonts w:asciiTheme="majorBidi" w:hAnsiTheme="majorBidi" w:cstheme="majorBidi"/>
                                <w:rtl/>
                              </w:rPr>
                            </w:pPr>
                            <w:r w:rsidRPr="00506F8A">
                              <w:rPr>
                                <w:rFonts w:asciiTheme="majorBidi" w:hAnsiTheme="majorBidi" w:cstheme="majorBidi"/>
                              </w:rPr>
                              <w:t>(</w:t>
                            </w:r>
                            <w:r>
                              <w:rPr>
                                <w:rFonts w:asciiTheme="majorBidi" w:hAnsiTheme="majorBidi" w:cstheme="majorBidi"/>
                              </w:rPr>
                              <w:t>M</w:t>
                            </w:r>
                            <w:r w:rsidRPr="00506F8A">
                              <w:rPr>
                                <w:rFonts w:asciiTheme="majorBidi" w:hAnsiTheme="majorBidi" w:cstheme="majorBidi"/>
                              </w:rPr>
                              <w:t>other)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FD599" id="Oval 2" o:spid="_x0000_s1028" style="position:absolute;left:0;text-align:left;margin-left:148.75pt;margin-top:10.35pt;width:105pt;height:10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" fillcolor="#5b9bd5 [3204]" strokecolor="#1f4d78 [1604]" strokeweight="1pt">
                <v:stroke joinstyle="miter"/>
                <v:textbox>
                  <w:txbxContent>
                    <w:p w14:paraId="154750A1" w14:textId="3DFF3874" w:rsidR="00354596" w:rsidRPr="00506F8A" w:rsidRDefault="00354596" w:rsidP="000C5BBE">
                      <w:pPr>
                        <w:jc w:val="center"/>
                        <w:rPr>
                          <w:rFonts w:asciiTheme="majorBidi" w:hAnsiTheme="majorBidi" w:cstheme="majorBidi"/>
                          <w:rtl/>
                        </w:rPr>
                      </w:pPr>
                      <w:r>
                        <w:rPr>
                          <w:rFonts w:asciiTheme="majorBidi" w:hAnsiTheme="majorBidi" w:cs="David"/>
                          <w:sz w:val="24"/>
                          <w:szCs w:val="24"/>
                        </w:rPr>
                        <w:t xml:space="preserve">Residential </w:t>
                      </w:r>
                      <w:r w:rsidRPr="00506F8A">
                        <w:rPr>
                          <w:rFonts w:asciiTheme="majorBidi" w:hAnsiTheme="majorBidi" w:cstheme="majorBidi"/>
                        </w:rPr>
                        <w:t xml:space="preserve"> </w:t>
                      </w:r>
                      <w:r>
                        <w:rPr>
                          <w:rFonts w:asciiTheme="majorBidi" w:hAnsiTheme="majorBidi" w:cstheme="majorBidi"/>
                        </w:rPr>
                        <w:t>P</w:t>
                      </w:r>
                      <w:r w:rsidRPr="00506F8A">
                        <w:rPr>
                          <w:rFonts w:asciiTheme="majorBidi" w:hAnsiTheme="majorBidi" w:cstheme="majorBidi"/>
                        </w:rPr>
                        <w:t>arent</w:t>
                      </w:r>
                    </w:p>
                    <w:p w14:paraId="6BECDB92" w14:textId="77777777" w:rsidR="00354596" w:rsidRPr="00506F8A" w:rsidRDefault="00354596" w:rsidP="005F6E9A">
                      <w:pPr>
                        <w:jc w:val="center"/>
                        <w:rPr>
                          <w:rFonts w:asciiTheme="majorBidi" w:hAnsiTheme="majorBidi" w:cstheme="majorBidi"/>
                          <w:rtl/>
                        </w:rPr>
                      </w:pPr>
                      <w:r w:rsidRPr="00506F8A">
                        <w:rPr>
                          <w:rFonts w:asciiTheme="majorBidi" w:hAnsiTheme="majorBidi" w:cstheme="majorBidi"/>
                        </w:rPr>
                        <w:t>(</w:t>
                      </w:r>
                      <w:r>
                        <w:rPr>
                          <w:rFonts w:asciiTheme="majorBidi" w:hAnsiTheme="majorBidi" w:cstheme="majorBidi"/>
                        </w:rPr>
                        <w:t>M</w:t>
                      </w:r>
                      <w:r w:rsidRPr="00506F8A">
                        <w:rPr>
                          <w:rFonts w:asciiTheme="majorBidi" w:hAnsiTheme="majorBidi" w:cstheme="majorBidi"/>
                        </w:rPr>
                        <w:t>other)</w:t>
                      </w:r>
                    </w:p>
                  </w:txbxContent>
                </v:textbox>
                <w10:wrap anchorx="margin"/>
              </v:oval>
            </w:pict>
          </mc:Fallback>
        </mc:AlternateContent>
      </w:r>
    </w:p>
    <w:p w14:paraId="1D790F83" w14:textId="3AAE7147" w:rsidR="005F6E9A" w:rsidRPr="00763963" w:rsidRDefault="000C5BBE" w:rsidP="001E2637">
      <w:pPr>
        <w:spacing w:line="240" w:lineRule="auto"/>
        <w:contextualSpacing/>
        <w:jc w:val="both"/>
        <w:rPr>
          <w:rFonts w:asciiTheme="majorBidi" w:hAnsiTheme="majorBidi" w:cs="David"/>
          <w:sz w:val="24"/>
          <w:szCs w:val="24"/>
          <w:rtl/>
        </w:rPr>
      </w:pPr>
      <w:r w:rsidRPr="00763963">
        <w:rPr>
          <w:rFonts w:asciiTheme="majorBidi" w:hAnsiTheme="majorBidi" w:cs="David"/>
          <w:noProof/>
          <w:sz w:val="24"/>
          <w:szCs w:val="24"/>
          <w:rtl/>
        </w:rPr>
        <mc:AlternateContent>
          <mc:Choice Requires="wps">
            <w:drawing>
              <wp:anchor distT="0" distB="0" distL="114300" distR="114300" simplePos="0" relativeHeight="251661312" behindDoc="0" locked="0" layoutInCell="1" allowOverlap="1" wp14:anchorId="267A669F" wp14:editId="59BA8DF4">
                <wp:simplePos x="0" y="0"/>
                <wp:positionH relativeFrom="column">
                  <wp:posOffset>3609975</wp:posOffset>
                </wp:positionH>
                <wp:positionV relativeFrom="paragraph">
                  <wp:posOffset>19685</wp:posOffset>
                </wp:positionV>
                <wp:extent cx="1422400" cy="1428750"/>
                <wp:effectExtent l="0" t="0" r="25400" b="19050"/>
                <wp:wrapNone/>
                <wp:docPr id="4" name="Oval 4"/>
                <wp:cNvGraphicFramePr/>
                <a:graphic xmlns:a="http://schemas.openxmlformats.org/drawingml/2006/main">
                  <a:graphicData uri="http://schemas.microsoft.com/office/word/2010/wordprocessingShape">
                    <wps:wsp>
                      <wps:cNvSpPr/>
                      <wps:spPr>
                        <a:xfrm>
                          <a:off x="0" y="0"/>
                          <a:ext cx="1422400" cy="1428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EC489D" w14:textId="2298369A" w:rsidR="00354596" w:rsidRDefault="00354596" w:rsidP="00354596">
                            <w:pPr>
                              <w:jc w:val="center"/>
                              <w:rPr>
                                <w:rtl/>
                              </w:rPr>
                            </w:pPr>
                            <w:r>
                              <w:rPr>
                                <w:rFonts w:asciiTheme="majorBidi" w:hAnsiTheme="majorBidi" w:cs="David"/>
                                <w:sz w:val="24"/>
                                <w:szCs w:val="24"/>
                              </w:rPr>
                              <w:t>Non Residential Parent</w:t>
                            </w:r>
                            <w:r w:rsidRPr="00506F8A">
                              <w:rPr>
                                <w:rFonts w:asciiTheme="majorBidi" w:hAnsiTheme="majorBidi" w:cstheme="majorBidi"/>
                              </w:rPr>
                              <w:t xml:space="preserve"> (Father)</w:t>
                            </w:r>
                            <w:r>
                              <w:rPr>
                                <w:sz w:val="20"/>
                                <w:szCs w:val="20"/>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A669F" id="Oval 4" o:spid="_x0000_s1029" style="position:absolute;left:0;text-align:left;margin-left:284.25pt;margin-top:1.55pt;width:1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" fillcolor="#5b9bd5 [3204]" strokecolor="#1f4d78 [1604]" strokeweight="1pt">
                <v:stroke joinstyle="miter"/>
                <v:textbox>
                  <w:txbxContent>
                    <w:p w14:paraId="03EC489D" w14:textId="2298369A" w:rsidR="00354596" w:rsidRDefault="00354596" w:rsidP="00354596">
                      <w:pPr>
                        <w:jc w:val="center"/>
                        <w:rPr>
                          <w:rtl/>
                        </w:rPr>
                      </w:pPr>
                      <w:r>
                        <w:rPr>
                          <w:rFonts w:asciiTheme="majorBidi" w:hAnsiTheme="majorBidi" w:cs="David"/>
                          <w:sz w:val="24"/>
                          <w:szCs w:val="24"/>
                        </w:rPr>
                        <w:t>Non Residential Parent</w:t>
                      </w:r>
                      <w:r w:rsidRPr="00506F8A">
                        <w:rPr>
                          <w:rFonts w:asciiTheme="majorBidi" w:hAnsiTheme="majorBidi" w:cstheme="majorBidi"/>
                        </w:rPr>
                        <w:t xml:space="preserve"> (Father)</w:t>
                      </w:r>
                      <w:r>
                        <w:rPr>
                          <w:sz w:val="20"/>
                          <w:szCs w:val="20"/>
                        </w:rPr>
                        <w:t xml:space="preserve"> </w:t>
                      </w:r>
                    </w:p>
                  </w:txbxContent>
                </v:textbox>
              </v:oval>
            </w:pict>
          </mc:Fallback>
        </mc:AlternateContent>
      </w:r>
    </w:p>
    <w:p w14:paraId="4854E2F7" w14:textId="77777777" w:rsidR="005F6E9A" w:rsidRPr="00763963" w:rsidRDefault="005F6E9A" w:rsidP="001E2637">
      <w:pPr>
        <w:spacing w:line="240" w:lineRule="auto"/>
        <w:contextualSpacing/>
        <w:jc w:val="both"/>
        <w:rPr>
          <w:rFonts w:asciiTheme="majorBidi" w:hAnsiTheme="majorBidi" w:cs="David"/>
          <w:sz w:val="24"/>
          <w:szCs w:val="24"/>
          <w:rtl/>
        </w:rPr>
      </w:pPr>
      <w:r w:rsidRPr="00763963">
        <w:rPr>
          <w:rFonts w:asciiTheme="majorBidi" w:hAnsiTheme="majorBidi" w:cs="David"/>
          <w:noProof/>
          <w:sz w:val="24"/>
          <w:szCs w:val="24"/>
          <w:rtl/>
        </w:rPr>
        <mc:AlternateContent>
          <mc:Choice Requires="wps">
            <w:drawing>
              <wp:anchor distT="0" distB="0" distL="114300" distR="114300" simplePos="0" relativeHeight="251663360" behindDoc="0" locked="0" layoutInCell="1" allowOverlap="1" wp14:anchorId="1B71156F" wp14:editId="7F64D8BA">
                <wp:simplePos x="0" y="0"/>
                <wp:positionH relativeFrom="column">
                  <wp:posOffset>1470025</wp:posOffset>
                </wp:positionH>
                <wp:positionV relativeFrom="paragraph">
                  <wp:posOffset>107950</wp:posOffset>
                </wp:positionV>
                <wp:extent cx="457200" cy="338455"/>
                <wp:effectExtent l="19050" t="19050" r="19050" b="42545"/>
                <wp:wrapNone/>
                <wp:docPr id="6" name="Left-Right Arrow 6"/>
                <wp:cNvGraphicFramePr/>
                <a:graphic xmlns:a="http://schemas.openxmlformats.org/drawingml/2006/main">
                  <a:graphicData uri="http://schemas.microsoft.com/office/word/2010/wordprocessingShape">
                    <wps:wsp>
                      <wps:cNvSpPr/>
                      <wps:spPr>
                        <a:xfrm>
                          <a:off x="0" y="0"/>
                          <a:ext cx="457200" cy="33845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6334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6" o:spid="_x0000_s1026" type="#_x0000_t69" style="position:absolute;left:0;text-align:left;margin-left:115.75pt;margin-top:8.5pt;width:36pt;height:2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" adj="7995" fillcolor="#5b9bd5 [3204]" strokecolor="#1f4d78 [1604]" strokeweight="1pt"/>
            </w:pict>
          </mc:Fallback>
        </mc:AlternateContent>
      </w:r>
      <w:r w:rsidRPr="00763963">
        <w:rPr>
          <w:rFonts w:asciiTheme="majorBidi" w:hAnsiTheme="majorBidi" w:cs="David"/>
          <w:noProof/>
          <w:sz w:val="24"/>
          <w:szCs w:val="24"/>
          <w:rtl/>
        </w:rPr>
        <mc:AlternateContent>
          <mc:Choice Requires="wps">
            <w:drawing>
              <wp:anchor distT="0" distB="0" distL="114300" distR="114300" simplePos="0" relativeHeight="251664384" behindDoc="0" locked="0" layoutInCell="1" allowOverlap="1" wp14:anchorId="06F1D7A7" wp14:editId="06EAC9D5">
                <wp:simplePos x="0" y="0"/>
                <wp:positionH relativeFrom="column">
                  <wp:posOffset>3052408</wp:posOffset>
                </wp:positionH>
                <wp:positionV relativeFrom="paragraph">
                  <wp:posOffset>76200</wp:posOffset>
                </wp:positionV>
                <wp:extent cx="615950" cy="622300"/>
                <wp:effectExtent l="19050" t="19050" r="50800" b="63500"/>
                <wp:wrapNone/>
                <wp:docPr id="8" name="Lightning Bolt 8"/>
                <wp:cNvGraphicFramePr/>
                <a:graphic xmlns:a="http://schemas.openxmlformats.org/drawingml/2006/main">
                  <a:graphicData uri="http://schemas.microsoft.com/office/word/2010/wordprocessingShape">
                    <wps:wsp>
                      <wps:cNvSpPr/>
                      <wps:spPr>
                        <a:xfrm>
                          <a:off x="0" y="0"/>
                          <a:ext cx="615950" cy="622300"/>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7CE4820"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8" o:spid="_x0000_s1026" type="#_x0000_t73" style="position:absolute;left:0;text-align:left;margin-left:240.35pt;margin-top:6pt;width:48.5pt;height: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" fillcolor="#5b9bd5 [3204]" strokecolor="#1f4d78 [1604]" strokeweight="1pt"/>
            </w:pict>
          </mc:Fallback>
        </mc:AlternateContent>
      </w:r>
    </w:p>
    <w:p w14:paraId="7B93F76B" w14:textId="77777777" w:rsidR="005F6E9A" w:rsidRPr="00763963" w:rsidRDefault="005F6E9A" w:rsidP="001E2637">
      <w:pPr>
        <w:spacing w:line="240" w:lineRule="auto"/>
        <w:contextualSpacing/>
        <w:jc w:val="both"/>
        <w:rPr>
          <w:rFonts w:asciiTheme="majorBidi" w:hAnsiTheme="majorBidi" w:cs="David"/>
          <w:sz w:val="24"/>
          <w:szCs w:val="24"/>
          <w:rtl/>
        </w:rPr>
      </w:pPr>
    </w:p>
    <w:p w14:paraId="7687ADF7" w14:textId="77777777" w:rsidR="005F6E9A" w:rsidRPr="00763963" w:rsidRDefault="005F6E9A" w:rsidP="001E2637">
      <w:pPr>
        <w:spacing w:line="240" w:lineRule="auto"/>
        <w:contextualSpacing/>
        <w:jc w:val="both"/>
        <w:rPr>
          <w:rFonts w:asciiTheme="majorBidi" w:hAnsiTheme="majorBidi" w:cs="David"/>
          <w:sz w:val="24"/>
          <w:szCs w:val="24"/>
          <w:rtl/>
        </w:rPr>
      </w:pPr>
    </w:p>
    <w:p w14:paraId="4E29E4BA" w14:textId="77777777" w:rsidR="005F6E9A" w:rsidRPr="00763963" w:rsidRDefault="005F6E9A" w:rsidP="001E2637">
      <w:pPr>
        <w:spacing w:line="240" w:lineRule="auto"/>
        <w:contextualSpacing/>
        <w:jc w:val="both"/>
        <w:rPr>
          <w:rFonts w:asciiTheme="majorBidi" w:hAnsiTheme="majorBidi" w:cs="David"/>
          <w:sz w:val="24"/>
          <w:szCs w:val="24"/>
          <w:rtl/>
        </w:rPr>
      </w:pPr>
    </w:p>
    <w:p w14:paraId="3838811F" w14:textId="77777777" w:rsidR="005F6E9A" w:rsidRPr="00763963" w:rsidRDefault="005F6E9A" w:rsidP="001E2637">
      <w:pPr>
        <w:spacing w:line="240" w:lineRule="auto"/>
        <w:contextualSpacing/>
        <w:jc w:val="both"/>
        <w:rPr>
          <w:rFonts w:asciiTheme="majorBidi" w:hAnsiTheme="majorBidi" w:cs="David"/>
          <w:sz w:val="24"/>
          <w:szCs w:val="24"/>
          <w:rtl/>
        </w:rPr>
      </w:pPr>
      <w:r w:rsidRPr="00763963">
        <w:rPr>
          <w:rFonts w:asciiTheme="majorBidi" w:hAnsiTheme="majorBidi" w:cs="David"/>
          <w:noProof/>
          <w:sz w:val="24"/>
          <w:szCs w:val="24"/>
          <w:rtl/>
        </w:rPr>
        <mc:AlternateContent>
          <mc:Choice Requires="wps">
            <w:drawing>
              <wp:anchor distT="0" distB="0" distL="114300" distR="114300" simplePos="0" relativeHeight="251666432" behindDoc="0" locked="0" layoutInCell="1" allowOverlap="1" wp14:anchorId="784DB1A3" wp14:editId="57A4C26F">
                <wp:simplePos x="0" y="0"/>
                <wp:positionH relativeFrom="column">
                  <wp:posOffset>1409700</wp:posOffset>
                </wp:positionH>
                <wp:positionV relativeFrom="paragraph">
                  <wp:posOffset>171413</wp:posOffset>
                </wp:positionV>
                <wp:extent cx="628650" cy="666750"/>
                <wp:effectExtent l="0" t="0" r="57150" b="57150"/>
                <wp:wrapNone/>
                <wp:docPr id="16" name="Straight Arrow Connector 16"/>
                <wp:cNvGraphicFramePr/>
                <a:graphic xmlns:a="http://schemas.openxmlformats.org/drawingml/2006/main">
                  <a:graphicData uri="http://schemas.microsoft.com/office/word/2010/wordprocessingShape">
                    <wps:wsp>
                      <wps:cNvCnPr/>
                      <wps:spPr>
                        <a:xfrm>
                          <a:off x="0" y="0"/>
                          <a:ext cx="628650" cy="6667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83ADD8" id="_x0000_t32" coordsize="21600,21600" o:spt="32" o:oned="t" path="m,l21600,21600e" filled="f">
                <v:path arrowok="t" fillok="f" o:connecttype="none"/>
                <o:lock v:ext="edit" shapetype="t"/>
              </v:shapetype>
              <v:shape id="Straight Arrow Connector 16" o:spid="_x0000_s1026" type="#_x0000_t32" style="position:absolute;left:0;text-align:left;margin-left:111pt;margin-top:13.5pt;width:49.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" strokecolor="#5b9bd5 [3204]" strokeweight="1.5pt">
                <v:stroke endarrow="block" joinstyle="miter"/>
              </v:shape>
            </w:pict>
          </mc:Fallback>
        </mc:AlternateContent>
      </w:r>
    </w:p>
    <w:p w14:paraId="6ABE5C06" w14:textId="77777777" w:rsidR="005F6E9A" w:rsidRPr="00763963" w:rsidRDefault="005F6E9A" w:rsidP="001E2637">
      <w:pPr>
        <w:spacing w:line="240" w:lineRule="auto"/>
        <w:contextualSpacing/>
        <w:jc w:val="both"/>
        <w:rPr>
          <w:rFonts w:asciiTheme="majorBidi" w:hAnsiTheme="majorBidi" w:cs="David"/>
          <w:sz w:val="24"/>
          <w:szCs w:val="24"/>
          <w:rtl/>
        </w:rPr>
      </w:pPr>
      <w:r w:rsidRPr="00763963">
        <w:rPr>
          <w:rFonts w:asciiTheme="majorBidi" w:hAnsiTheme="majorBidi" w:cs="David"/>
          <w:noProof/>
          <w:sz w:val="24"/>
          <w:szCs w:val="24"/>
          <w:rtl/>
        </w:rPr>
        <mc:AlternateContent>
          <mc:Choice Requires="wps">
            <w:drawing>
              <wp:anchor distT="0" distB="0" distL="114300" distR="114300" simplePos="0" relativeHeight="251667456" behindDoc="0" locked="0" layoutInCell="1" allowOverlap="1" wp14:anchorId="66C3FEDA" wp14:editId="0814EBEE">
                <wp:simplePos x="0" y="0"/>
                <wp:positionH relativeFrom="column">
                  <wp:posOffset>3085465</wp:posOffset>
                </wp:positionH>
                <wp:positionV relativeFrom="paragraph">
                  <wp:posOffset>6350</wp:posOffset>
                </wp:positionV>
                <wp:extent cx="577850" cy="683895"/>
                <wp:effectExtent l="38100" t="0" r="31750" b="59055"/>
                <wp:wrapNone/>
                <wp:docPr id="9" name="Straight Arrow Connector 9"/>
                <wp:cNvGraphicFramePr/>
                <a:graphic xmlns:a="http://schemas.openxmlformats.org/drawingml/2006/main">
                  <a:graphicData uri="http://schemas.microsoft.com/office/word/2010/wordprocessingShape">
                    <wps:wsp>
                      <wps:cNvCnPr/>
                      <wps:spPr>
                        <a:xfrm flipH="1">
                          <a:off x="0" y="0"/>
                          <a:ext cx="577850" cy="68389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87E73A" id="Straight Arrow Connector 9" o:spid="_x0000_s1026" type="#_x0000_t32" style="position:absolute;left:0;text-align:left;margin-left:242.95pt;margin-top:.5pt;width:45.5pt;height:53.8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" strokecolor="#5b9bd5 [3204]" strokeweight="1.5pt">
                <v:stroke endarrow="block" joinstyle="miter"/>
              </v:shape>
            </w:pict>
          </mc:Fallback>
        </mc:AlternateContent>
      </w:r>
    </w:p>
    <w:p w14:paraId="23DD4340" w14:textId="45E8F395" w:rsidR="005F6E9A" w:rsidRPr="00763963" w:rsidRDefault="000C5BBE" w:rsidP="001E2637">
      <w:pPr>
        <w:spacing w:line="240" w:lineRule="auto"/>
        <w:contextualSpacing/>
        <w:jc w:val="both"/>
        <w:rPr>
          <w:rFonts w:asciiTheme="majorBidi" w:hAnsiTheme="majorBidi" w:cs="David" w:hint="cs"/>
          <w:sz w:val="24"/>
          <w:szCs w:val="24"/>
          <w:rtl/>
        </w:rPr>
      </w:pPr>
      <w:r w:rsidRPr="00763963">
        <w:rPr>
          <w:rFonts w:asciiTheme="majorBidi" w:hAnsiTheme="majorBidi" w:cs="David"/>
          <w:noProof/>
          <w:sz w:val="24"/>
          <w:szCs w:val="24"/>
          <w:rtl/>
        </w:rPr>
        <mc:AlternateContent>
          <mc:Choice Requires="wps">
            <w:drawing>
              <wp:anchor distT="0" distB="0" distL="114300" distR="114300" simplePos="0" relativeHeight="251668480" behindDoc="0" locked="0" layoutInCell="1" allowOverlap="1" wp14:anchorId="25ABD12B" wp14:editId="56A9A8AB">
                <wp:simplePos x="0" y="0"/>
                <wp:positionH relativeFrom="column">
                  <wp:posOffset>2608879</wp:posOffset>
                </wp:positionH>
                <wp:positionV relativeFrom="paragraph">
                  <wp:posOffset>87630</wp:posOffset>
                </wp:positionV>
                <wp:extent cx="45719" cy="222026"/>
                <wp:effectExtent l="57150" t="0" r="50165" b="64135"/>
                <wp:wrapNone/>
                <wp:docPr id="10" name="Straight Arrow Connector 10"/>
                <wp:cNvGraphicFramePr/>
                <a:graphic xmlns:a="http://schemas.openxmlformats.org/drawingml/2006/main">
                  <a:graphicData uri="http://schemas.microsoft.com/office/word/2010/wordprocessingShape">
                    <wps:wsp>
                      <wps:cNvCnPr/>
                      <wps:spPr>
                        <a:xfrm flipH="1">
                          <a:off x="0" y="0"/>
                          <a:ext cx="45719" cy="222026"/>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944391" id="_x0000_t32" coordsize="21600,21600" o:spt="32" o:oned="t" path="m,l21600,21600e" filled="f">
                <v:path arrowok="t" fillok="f" o:connecttype="none"/>
                <o:lock v:ext="edit" shapetype="t"/>
              </v:shapetype>
              <v:shape id="Straight Arrow Connector 10" o:spid="_x0000_s1026" type="#_x0000_t32" style="position:absolute;left:0;text-align:left;margin-left:205.4pt;margin-top:6.9pt;width:3.6pt;height:1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" strokecolor="#5b9bd5 [3204]" strokeweight="1.5pt">
                <v:stroke endarrow="block" joinstyle="miter"/>
              </v:shape>
            </w:pict>
          </mc:Fallback>
        </mc:AlternateContent>
      </w:r>
      <w:r w:rsidR="005F6E9A" w:rsidRPr="00763963">
        <w:rPr>
          <w:rFonts w:asciiTheme="majorBidi" w:hAnsiTheme="majorBidi" w:cs="David"/>
          <w:noProof/>
          <w:sz w:val="24"/>
          <w:szCs w:val="24"/>
          <w:rtl/>
        </w:rPr>
        <mc:AlternateContent>
          <mc:Choice Requires="wpc">
            <w:drawing>
              <wp:inline distT="0" distB="0" distL="0" distR="0" wp14:anchorId="297CC3CB" wp14:editId="38FF49FC">
                <wp:extent cx="450850" cy="35999"/>
                <wp:effectExtent l="0" t="0" r="0" b="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012A8C5A" id="Canvas 11" o:spid="_x0000_s1026" editas="canvas" style="width:35.5pt;height:2.85pt;mso-position-horizontal-relative:char;mso-position-vertical-relative:line" coordsize="450850,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0850;height:35560;visibility:visible;mso-wrap-style:square">
                  <v:fill o:detectmouseclick="t"/>
                  <v:path o:connecttype="none"/>
                </v:shape>
                <w10:wrap anchorx="page"/>
                <w10:anchorlock/>
              </v:group>
            </w:pict>
          </mc:Fallback>
        </mc:AlternateContent>
      </w:r>
    </w:p>
    <w:p w14:paraId="7A69A565" w14:textId="6DF75E48" w:rsidR="005F6E9A" w:rsidRPr="00763963" w:rsidRDefault="005F6E9A" w:rsidP="001E2637">
      <w:pPr>
        <w:spacing w:line="240" w:lineRule="auto"/>
        <w:contextualSpacing/>
        <w:jc w:val="both"/>
        <w:rPr>
          <w:rFonts w:asciiTheme="majorBidi" w:hAnsiTheme="majorBidi" w:cs="David"/>
          <w:sz w:val="24"/>
          <w:szCs w:val="24"/>
          <w:rtl/>
        </w:rPr>
      </w:pPr>
    </w:p>
    <w:p w14:paraId="41FB07E8" w14:textId="1954AB90" w:rsidR="005F6E9A" w:rsidRPr="00763963" w:rsidRDefault="005F6E9A" w:rsidP="001E2637">
      <w:pPr>
        <w:spacing w:line="240" w:lineRule="auto"/>
        <w:contextualSpacing/>
        <w:jc w:val="both"/>
        <w:rPr>
          <w:rFonts w:asciiTheme="majorBidi" w:hAnsiTheme="majorBidi" w:cs="David"/>
          <w:sz w:val="24"/>
          <w:szCs w:val="24"/>
          <w:rtl/>
        </w:rPr>
      </w:pPr>
    </w:p>
    <w:p w14:paraId="566B1EA1" w14:textId="604683DC" w:rsidR="005F6E9A" w:rsidRPr="00763963" w:rsidRDefault="000C5BBE" w:rsidP="001E2637">
      <w:pPr>
        <w:spacing w:line="240" w:lineRule="auto"/>
        <w:contextualSpacing/>
        <w:jc w:val="both"/>
        <w:rPr>
          <w:rFonts w:asciiTheme="majorBidi" w:hAnsiTheme="majorBidi" w:cs="David"/>
          <w:sz w:val="24"/>
          <w:szCs w:val="24"/>
          <w:rtl/>
        </w:rPr>
      </w:pPr>
      <w:r w:rsidRPr="00763963">
        <w:rPr>
          <w:rFonts w:asciiTheme="majorBidi" w:hAnsiTheme="majorBidi" w:cs="David"/>
          <w:noProof/>
          <w:sz w:val="24"/>
          <w:szCs w:val="24"/>
          <w:rtl/>
        </w:rPr>
        <mc:AlternateContent>
          <mc:Choice Requires="wps">
            <w:drawing>
              <wp:anchor distT="0" distB="0" distL="114300" distR="114300" simplePos="0" relativeHeight="251662336" behindDoc="0" locked="0" layoutInCell="1" allowOverlap="1" wp14:anchorId="0E314444" wp14:editId="27CD33C7">
                <wp:simplePos x="0" y="0"/>
                <wp:positionH relativeFrom="column">
                  <wp:posOffset>2092325</wp:posOffset>
                </wp:positionH>
                <wp:positionV relativeFrom="paragraph">
                  <wp:posOffset>12065</wp:posOffset>
                </wp:positionV>
                <wp:extent cx="914400" cy="876300"/>
                <wp:effectExtent l="0" t="0" r="19050" b="19050"/>
                <wp:wrapNone/>
                <wp:docPr id="5" name="Oval 5"/>
                <wp:cNvGraphicFramePr/>
                <a:graphic xmlns:a="http://schemas.openxmlformats.org/drawingml/2006/main">
                  <a:graphicData uri="http://schemas.microsoft.com/office/word/2010/wordprocessingShape">
                    <wps:wsp>
                      <wps:cNvSpPr/>
                      <wps:spPr>
                        <a:xfrm>
                          <a:off x="0" y="0"/>
                          <a:ext cx="914400" cy="876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182973" w14:textId="77777777" w:rsidR="00354596" w:rsidRPr="00506F8A" w:rsidRDefault="00354596" w:rsidP="005F6E9A">
                            <w:pPr>
                              <w:jc w:val="center"/>
                              <w:rPr>
                                <w:rFonts w:asciiTheme="majorBidi" w:hAnsiTheme="majorBidi" w:cstheme="majorBidi"/>
                              </w:rPr>
                            </w:pPr>
                            <w:r>
                              <w:rPr>
                                <w:rFonts w:asciiTheme="majorBidi" w:hAnsiTheme="majorBidi" w:cstheme="majorBidi"/>
                              </w:rPr>
                              <w:t>C</w:t>
                            </w:r>
                            <w:r w:rsidRPr="00506F8A">
                              <w:rPr>
                                <w:rFonts w:asciiTheme="majorBidi" w:hAnsiTheme="majorBidi" w:cstheme="majorBidi"/>
                              </w:rPr>
                              <w:t>hild</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314444" id="Oval 5" o:spid="_x0000_s1030" style="position:absolute;left:0;text-align:left;margin-left:164.75pt;margin-top:.95pt;width:1in;height: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" fillcolor="#5b9bd5 [3204]" strokecolor="#1f4d78 [1604]" strokeweight="1pt">
                <v:stroke joinstyle="miter"/>
                <v:textbox>
                  <w:txbxContent>
                    <w:p w14:paraId="30182973" w14:textId="77777777" w:rsidR="00354596" w:rsidRPr="00506F8A" w:rsidRDefault="00354596" w:rsidP="005F6E9A">
                      <w:pPr>
                        <w:jc w:val="center"/>
                        <w:rPr>
                          <w:rFonts w:asciiTheme="majorBidi" w:hAnsiTheme="majorBidi" w:cstheme="majorBidi"/>
                        </w:rPr>
                      </w:pPr>
                      <w:r>
                        <w:rPr>
                          <w:rFonts w:asciiTheme="majorBidi" w:hAnsiTheme="majorBidi" w:cstheme="majorBidi"/>
                        </w:rPr>
                        <w:t>C</w:t>
                      </w:r>
                      <w:r w:rsidRPr="00506F8A">
                        <w:rPr>
                          <w:rFonts w:asciiTheme="majorBidi" w:hAnsiTheme="majorBidi" w:cstheme="majorBidi"/>
                        </w:rPr>
                        <w:t>hild</w:t>
                      </w:r>
                    </w:p>
                  </w:txbxContent>
                </v:textbox>
              </v:oval>
            </w:pict>
          </mc:Fallback>
        </mc:AlternateContent>
      </w:r>
    </w:p>
    <w:p w14:paraId="6682EE0A" w14:textId="77777777" w:rsidR="005F6E9A" w:rsidRPr="00763963" w:rsidRDefault="005F6E9A" w:rsidP="001E2637">
      <w:pPr>
        <w:spacing w:line="240" w:lineRule="auto"/>
        <w:contextualSpacing/>
        <w:jc w:val="both"/>
        <w:rPr>
          <w:rFonts w:asciiTheme="majorBidi" w:hAnsiTheme="majorBidi" w:cs="David"/>
          <w:sz w:val="24"/>
          <w:szCs w:val="24"/>
          <w:rtl/>
        </w:rPr>
      </w:pPr>
    </w:p>
    <w:p w14:paraId="47F2D085" w14:textId="77777777" w:rsidR="005F6E9A" w:rsidRPr="00763963" w:rsidRDefault="005F6E9A" w:rsidP="001E2637">
      <w:pPr>
        <w:spacing w:line="240" w:lineRule="auto"/>
        <w:contextualSpacing/>
        <w:jc w:val="both"/>
        <w:rPr>
          <w:rFonts w:asciiTheme="majorBidi" w:hAnsiTheme="majorBidi" w:cs="David"/>
          <w:sz w:val="24"/>
          <w:szCs w:val="24"/>
          <w:rtl/>
        </w:rPr>
      </w:pPr>
    </w:p>
    <w:p w14:paraId="493664D1" w14:textId="77777777" w:rsidR="005F6E9A" w:rsidRPr="00763963" w:rsidRDefault="005F6E9A" w:rsidP="001E2637">
      <w:pPr>
        <w:bidi w:val="0"/>
        <w:spacing w:line="240" w:lineRule="auto"/>
        <w:contextualSpacing/>
        <w:jc w:val="both"/>
        <w:rPr>
          <w:rFonts w:asciiTheme="majorBidi" w:hAnsiTheme="majorBidi" w:cs="David"/>
          <w:sz w:val="24"/>
          <w:szCs w:val="24"/>
        </w:rPr>
      </w:pPr>
    </w:p>
    <w:p w14:paraId="46C69259" w14:textId="77777777" w:rsidR="005F6E9A" w:rsidRPr="00763963" w:rsidRDefault="005F6E9A" w:rsidP="00763963">
      <w:pPr>
        <w:bidi w:val="0"/>
        <w:spacing w:line="480" w:lineRule="auto"/>
        <w:contextualSpacing/>
        <w:jc w:val="both"/>
        <w:rPr>
          <w:rFonts w:asciiTheme="majorBidi" w:hAnsiTheme="majorBidi" w:cs="David"/>
          <w:sz w:val="24"/>
          <w:szCs w:val="24"/>
        </w:rPr>
      </w:pPr>
    </w:p>
    <w:p w14:paraId="4AE933CD" w14:textId="630CF9C8" w:rsidR="005F6E9A" w:rsidRPr="00D90A44" w:rsidRDefault="00F57A59" w:rsidP="00DD4293">
      <w:pPr>
        <w:spacing w:line="480" w:lineRule="auto"/>
        <w:jc w:val="both"/>
        <w:rPr>
          <w:rFonts w:asciiTheme="majorBidi" w:hAnsiTheme="majorBidi" w:cs="David"/>
          <w:sz w:val="24"/>
          <w:szCs w:val="24"/>
          <w:rtl/>
        </w:rPr>
      </w:pPr>
      <w:r w:rsidRPr="00763963">
        <w:rPr>
          <w:rFonts w:asciiTheme="majorBidi" w:hAnsiTheme="majorBidi" w:cs="David"/>
          <w:sz w:val="24"/>
          <w:szCs w:val="24"/>
          <w:rtl/>
        </w:rPr>
        <w:t>המ</w:t>
      </w:r>
      <w:r w:rsidR="000C5BBE">
        <w:rPr>
          <w:rFonts w:asciiTheme="majorBidi" w:hAnsiTheme="majorBidi" w:cs="David"/>
          <w:sz w:val="24"/>
          <w:szCs w:val="24"/>
          <w:rtl/>
        </w:rPr>
        <w:t>אמר מתמקד בזיקה בין ה</w:t>
      </w:r>
      <w:r w:rsidR="000C5BBE">
        <w:rPr>
          <w:rFonts w:asciiTheme="majorBidi" w:hAnsiTheme="majorBidi" w:cs="David" w:hint="cs"/>
          <w:sz w:val="24"/>
          <w:szCs w:val="24"/>
          <w:rtl/>
        </w:rPr>
        <w:t xml:space="preserve">- </w:t>
      </w:r>
      <w:r w:rsidR="000C5BBE">
        <w:rPr>
          <w:rFonts w:asciiTheme="majorBidi" w:hAnsiTheme="majorBidi" w:cs="David"/>
          <w:sz w:val="24"/>
          <w:szCs w:val="24"/>
        </w:rPr>
        <w:t>nonresidential parent</w:t>
      </w:r>
      <w:r w:rsidRPr="00763963">
        <w:rPr>
          <w:rFonts w:asciiTheme="majorBidi" w:hAnsiTheme="majorBidi" w:cs="David"/>
          <w:sz w:val="24"/>
          <w:szCs w:val="24"/>
          <w:rtl/>
        </w:rPr>
        <w:t>, המסומן בצד ימ</w:t>
      </w:r>
      <w:r w:rsidR="001E2637">
        <w:rPr>
          <w:rFonts w:asciiTheme="majorBidi" w:hAnsiTheme="majorBidi" w:cs="David"/>
          <w:sz w:val="24"/>
          <w:szCs w:val="24"/>
          <w:rtl/>
        </w:rPr>
        <w:t xml:space="preserve">ין של השרטוט לבין ההורה החורג, </w:t>
      </w:r>
      <w:r w:rsidR="001E2637">
        <w:rPr>
          <w:rFonts w:asciiTheme="majorBidi" w:hAnsiTheme="majorBidi" w:cs="David" w:hint="cs"/>
          <w:sz w:val="24"/>
          <w:szCs w:val="24"/>
          <w:rtl/>
        </w:rPr>
        <w:t>ה</w:t>
      </w:r>
      <w:r w:rsidRPr="00763963">
        <w:rPr>
          <w:rFonts w:asciiTheme="majorBidi" w:hAnsiTheme="majorBidi" w:cs="David"/>
          <w:sz w:val="24"/>
          <w:szCs w:val="24"/>
          <w:rtl/>
        </w:rPr>
        <w:t xml:space="preserve">מסומן בצד שמאל של השרטוט, כאשר בתווך נמצא הילד. באופן טיפוסי, מאחר </w:t>
      </w:r>
      <w:r w:rsidR="00372A29" w:rsidRPr="00763963">
        <w:rPr>
          <w:rFonts w:asciiTheme="majorBidi" w:hAnsiTheme="majorBidi" w:cs="David"/>
          <w:sz w:val="24"/>
          <w:szCs w:val="24"/>
          <w:rtl/>
        </w:rPr>
        <w:t xml:space="preserve">שגם כיום </w:t>
      </w:r>
      <w:r w:rsidR="00AB5946">
        <w:rPr>
          <w:rFonts w:asciiTheme="majorBidi" w:hAnsiTheme="majorBidi" w:cs="David" w:hint="cs"/>
          <w:sz w:val="24"/>
          <w:szCs w:val="24"/>
          <w:rtl/>
        </w:rPr>
        <w:t>ברבים מן המקרים</w:t>
      </w:r>
      <w:r w:rsidR="00372A29" w:rsidRPr="00763963">
        <w:rPr>
          <w:rFonts w:asciiTheme="majorBidi" w:hAnsiTheme="majorBidi" w:cs="David"/>
          <w:sz w:val="24"/>
          <w:szCs w:val="24"/>
          <w:rtl/>
        </w:rPr>
        <w:t xml:space="preserve"> ההורים המטפלים המרכזיים</w:t>
      </w:r>
      <w:r w:rsidRPr="00763963">
        <w:rPr>
          <w:rFonts w:asciiTheme="majorBidi" w:hAnsiTheme="majorBidi" w:cs="David"/>
          <w:sz w:val="24"/>
          <w:szCs w:val="24"/>
          <w:rtl/>
        </w:rPr>
        <w:t>, הן אמהות,</w:t>
      </w:r>
      <w:r w:rsidR="00372A29" w:rsidRPr="00763963">
        <w:rPr>
          <w:rStyle w:val="FootnoteReference"/>
          <w:rFonts w:asciiTheme="majorBidi" w:hAnsiTheme="majorBidi" w:cs="David"/>
          <w:sz w:val="24"/>
          <w:szCs w:val="24"/>
          <w:rtl/>
        </w:rPr>
        <w:footnoteReference w:id="3"/>
      </w:r>
      <w:r w:rsidRPr="00763963">
        <w:rPr>
          <w:rFonts w:asciiTheme="majorBidi" w:hAnsiTheme="majorBidi" w:cs="David"/>
          <w:sz w:val="24"/>
          <w:szCs w:val="24"/>
          <w:rtl/>
        </w:rPr>
        <w:t xml:space="preserve"> הרי שמדובר </w:t>
      </w:r>
      <w:r w:rsidR="00F10CC7">
        <w:rPr>
          <w:rFonts w:asciiTheme="majorBidi" w:hAnsiTheme="majorBidi" w:cs="David" w:hint="cs"/>
          <w:sz w:val="24"/>
          <w:szCs w:val="24"/>
          <w:rtl/>
        </w:rPr>
        <w:t xml:space="preserve">לרוב </w:t>
      </w:r>
      <w:r w:rsidRPr="00763963">
        <w:rPr>
          <w:rFonts w:asciiTheme="majorBidi" w:hAnsiTheme="majorBidi" w:cs="David"/>
          <w:sz w:val="24"/>
          <w:szCs w:val="24"/>
          <w:rtl/>
        </w:rPr>
        <w:t xml:space="preserve">בזיקה שבין בן זוגה של האם – האב </w:t>
      </w:r>
      <w:r w:rsidR="00372A29" w:rsidRPr="00763963">
        <w:rPr>
          <w:rFonts w:asciiTheme="majorBidi" w:hAnsiTheme="majorBidi" w:cs="David"/>
          <w:sz w:val="24"/>
          <w:szCs w:val="24"/>
          <w:rtl/>
        </w:rPr>
        <w:t>החורג, ואביו</w:t>
      </w:r>
      <w:r w:rsidR="00F10CC7">
        <w:rPr>
          <w:rFonts w:asciiTheme="majorBidi" w:hAnsiTheme="majorBidi" w:cs="David"/>
          <w:sz w:val="24"/>
          <w:szCs w:val="24"/>
          <w:rtl/>
        </w:rPr>
        <w:t xml:space="preserve"> של הילד.</w:t>
      </w:r>
      <w:r w:rsidR="00D90A44">
        <w:rPr>
          <w:rFonts w:asciiTheme="majorBidi" w:hAnsiTheme="majorBidi" w:cs="David" w:hint="cs"/>
          <w:sz w:val="24"/>
          <w:szCs w:val="24"/>
          <w:rtl/>
        </w:rPr>
        <w:t xml:space="preserve"> ואולם הדיון שיובא כאן מתאים גם לנסיבות בהן ה </w:t>
      </w:r>
      <w:r w:rsidR="00D90A44">
        <w:rPr>
          <w:rFonts w:asciiTheme="majorBidi" w:hAnsiTheme="majorBidi" w:cs="David"/>
          <w:sz w:val="24"/>
          <w:szCs w:val="24"/>
        </w:rPr>
        <w:t>residential parent is the father and the relevant step parent is the step-mother.</w:t>
      </w:r>
      <w:r w:rsidR="00444C72">
        <w:rPr>
          <w:rFonts w:asciiTheme="majorBidi" w:hAnsiTheme="majorBidi" w:cs="David" w:hint="cs"/>
          <w:sz w:val="24"/>
          <w:szCs w:val="24"/>
          <w:rtl/>
        </w:rPr>
        <w:t xml:space="preserve">. לצורך </w:t>
      </w:r>
      <w:r w:rsidR="00535EFD">
        <w:rPr>
          <w:rFonts w:asciiTheme="majorBidi" w:hAnsiTheme="majorBidi" w:cs="David" w:hint="cs"/>
          <w:sz w:val="24"/>
          <w:szCs w:val="24"/>
          <w:rtl/>
        </w:rPr>
        <w:t xml:space="preserve">פישוט הסיטואציה, אשתמש בייצוג </w:t>
      </w:r>
      <w:r w:rsidR="00444C72">
        <w:rPr>
          <w:rFonts w:asciiTheme="majorBidi" w:hAnsiTheme="majorBidi" w:cs="David" w:hint="cs"/>
          <w:sz w:val="24"/>
          <w:szCs w:val="24"/>
          <w:rtl/>
        </w:rPr>
        <w:t xml:space="preserve">של </w:t>
      </w:r>
      <w:r w:rsidR="00444C72">
        <w:rPr>
          <w:rFonts w:asciiTheme="majorBidi" w:hAnsiTheme="majorBidi" w:cs="David"/>
          <w:sz w:val="24"/>
          <w:szCs w:val="24"/>
        </w:rPr>
        <w:t xml:space="preserve">nonresidential father </w:t>
      </w:r>
      <w:r w:rsidR="0055161A">
        <w:rPr>
          <w:rFonts w:asciiTheme="majorBidi" w:hAnsiTheme="majorBidi" w:cs="David" w:hint="cs"/>
          <w:sz w:val="24"/>
          <w:szCs w:val="24"/>
          <w:rtl/>
        </w:rPr>
        <w:t xml:space="preserve"> אם כי </w:t>
      </w:r>
      <w:r w:rsidR="000C5BBE">
        <w:rPr>
          <w:rFonts w:asciiTheme="majorBidi" w:hAnsiTheme="majorBidi" w:cs="David" w:hint="cs"/>
          <w:sz w:val="24"/>
          <w:szCs w:val="24"/>
          <w:rtl/>
        </w:rPr>
        <w:t xml:space="preserve">חשוב להדגיש כי אין בכך כדי להעמיד אותו כ- </w:t>
      </w:r>
      <w:r w:rsidR="000C5BBE">
        <w:rPr>
          <w:rFonts w:asciiTheme="majorBidi" w:hAnsiTheme="majorBidi" w:cs="David"/>
          <w:sz w:val="24"/>
          <w:szCs w:val="24"/>
        </w:rPr>
        <w:t>second best parent</w:t>
      </w:r>
      <w:r w:rsidR="000C5BBE">
        <w:rPr>
          <w:rFonts w:asciiTheme="majorBidi" w:hAnsiTheme="majorBidi" w:cs="David" w:hint="cs"/>
          <w:sz w:val="24"/>
          <w:szCs w:val="24"/>
          <w:rtl/>
        </w:rPr>
        <w:t>. הוא הורה משפ</w:t>
      </w:r>
      <w:r w:rsidR="004F6152">
        <w:rPr>
          <w:rFonts w:asciiTheme="majorBidi" w:hAnsiTheme="majorBidi" w:cs="David" w:hint="cs"/>
          <w:sz w:val="24"/>
          <w:szCs w:val="24"/>
          <w:rtl/>
        </w:rPr>
        <w:t>טי לכל דבר ועניין, בעל אפוטרופסות שווה ולעיתים הוא חולק משמורת פיזית</w:t>
      </w:r>
      <w:r w:rsidR="00354596">
        <w:rPr>
          <w:rFonts w:asciiTheme="majorBidi" w:hAnsiTheme="majorBidi" w:cs="David" w:hint="cs"/>
          <w:sz w:val="24"/>
          <w:szCs w:val="24"/>
          <w:rtl/>
        </w:rPr>
        <w:t xml:space="preserve"> בהיקף משמעותי</w:t>
      </w:r>
      <w:r w:rsidR="004F6152">
        <w:rPr>
          <w:rFonts w:asciiTheme="majorBidi" w:hAnsiTheme="majorBidi" w:cs="David" w:hint="cs"/>
          <w:sz w:val="24"/>
          <w:szCs w:val="24"/>
          <w:rtl/>
        </w:rPr>
        <w:t xml:space="preserve"> עם ההורה השני.</w:t>
      </w:r>
      <w:r w:rsidR="004F6152">
        <w:rPr>
          <w:rStyle w:val="FootnoteReference"/>
          <w:rFonts w:asciiTheme="majorBidi" w:hAnsiTheme="majorBidi" w:cs="David"/>
          <w:sz w:val="24"/>
          <w:szCs w:val="24"/>
          <w:rtl/>
        </w:rPr>
        <w:footnoteReference w:id="4"/>
      </w:r>
      <w:r w:rsidR="00535EFD">
        <w:rPr>
          <w:rFonts w:asciiTheme="majorBidi" w:hAnsiTheme="majorBidi" w:cs="David" w:hint="cs"/>
          <w:sz w:val="24"/>
          <w:szCs w:val="24"/>
          <w:rtl/>
        </w:rPr>
        <w:t xml:space="preserve"> בן הזוג של ההורה, יכונה </w:t>
      </w:r>
      <w:r w:rsidR="00DD4293">
        <w:rPr>
          <w:rFonts w:asciiTheme="majorBidi" w:hAnsiTheme="majorBidi" w:cs="David" w:hint="cs"/>
          <w:sz w:val="24"/>
          <w:szCs w:val="24"/>
          <w:rtl/>
        </w:rPr>
        <w:t>"</w:t>
      </w:r>
      <w:r w:rsidR="00535EFD">
        <w:rPr>
          <w:rFonts w:asciiTheme="majorBidi" w:hAnsiTheme="majorBidi" w:cs="David" w:hint="cs"/>
          <w:sz w:val="24"/>
          <w:szCs w:val="24"/>
          <w:rtl/>
        </w:rPr>
        <w:t>הורה חורג</w:t>
      </w:r>
      <w:r w:rsidR="00DD4293">
        <w:rPr>
          <w:rFonts w:asciiTheme="majorBidi" w:hAnsiTheme="majorBidi" w:cs="David" w:hint="cs"/>
          <w:sz w:val="24"/>
          <w:szCs w:val="24"/>
          <w:rtl/>
        </w:rPr>
        <w:t>" או "אב חורג"</w:t>
      </w:r>
      <w:r w:rsidR="00535EFD">
        <w:rPr>
          <w:rFonts w:asciiTheme="majorBidi" w:hAnsiTheme="majorBidi" w:cs="David" w:hint="cs"/>
          <w:sz w:val="24"/>
          <w:szCs w:val="24"/>
          <w:rtl/>
        </w:rPr>
        <w:t>.</w:t>
      </w:r>
      <w:r w:rsidR="004F6152">
        <w:rPr>
          <w:rStyle w:val="FootnoteReference"/>
          <w:rFonts w:asciiTheme="majorBidi" w:hAnsiTheme="majorBidi" w:cs="David"/>
          <w:sz w:val="24"/>
          <w:szCs w:val="24"/>
          <w:rtl/>
        </w:rPr>
        <w:footnoteReference w:id="5"/>
      </w:r>
    </w:p>
    <w:p w14:paraId="7C588CB6" w14:textId="4B3FF24D" w:rsidR="005F6E9A" w:rsidRPr="00763963" w:rsidRDefault="00372A29" w:rsidP="00354596">
      <w:pPr>
        <w:spacing w:line="480" w:lineRule="auto"/>
        <w:jc w:val="both"/>
        <w:rPr>
          <w:rFonts w:asciiTheme="majorBidi" w:hAnsiTheme="majorBidi" w:cs="David"/>
          <w:sz w:val="24"/>
          <w:szCs w:val="24"/>
          <w:rtl/>
        </w:rPr>
      </w:pPr>
      <w:r w:rsidRPr="00763963">
        <w:rPr>
          <w:rFonts w:asciiTheme="majorBidi" w:hAnsiTheme="majorBidi" w:cs="David"/>
          <w:sz w:val="24"/>
          <w:szCs w:val="24"/>
          <w:rtl/>
        </w:rPr>
        <w:t>במציאות בה</w:t>
      </w:r>
      <w:r w:rsidR="005F6E9A" w:rsidRPr="00763963">
        <w:rPr>
          <w:rFonts w:asciiTheme="majorBidi" w:hAnsiTheme="majorBidi" w:cs="David"/>
          <w:sz w:val="24"/>
          <w:szCs w:val="24"/>
          <w:rtl/>
        </w:rPr>
        <w:t xml:space="preserve"> </w:t>
      </w:r>
      <w:r w:rsidRPr="00763963">
        <w:rPr>
          <w:rFonts w:asciiTheme="majorBidi" w:hAnsiTheme="majorBidi" w:cs="David"/>
          <w:sz w:val="24"/>
          <w:szCs w:val="24"/>
          <w:rtl/>
        </w:rPr>
        <w:t>ילדים רבים גדלים</w:t>
      </w:r>
      <w:r w:rsidR="005F6E9A" w:rsidRPr="00763963">
        <w:rPr>
          <w:rFonts w:asciiTheme="majorBidi" w:hAnsiTheme="majorBidi" w:cs="David"/>
          <w:sz w:val="24"/>
          <w:szCs w:val="24"/>
          <w:rtl/>
        </w:rPr>
        <w:t xml:space="preserve"> בבית עם </w:t>
      </w:r>
      <w:r w:rsidR="00784A98" w:rsidRPr="00763963">
        <w:rPr>
          <w:rFonts w:asciiTheme="majorBidi" w:hAnsiTheme="majorBidi" w:cs="David"/>
          <w:sz w:val="24"/>
          <w:szCs w:val="24"/>
          <w:rtl/>
        </w:rPr>
        <w:t>אב</w:t>
      </w:r>
      <w:r w:rsidR="005F6E9A" w:rsidRPr="00763963">
        <w:rPr>
          <w:rFonts w:asciiTheme="majorBidi" w:hAnsiTheme="majorBidi" w:cs="David"/>
          <w:sz w:val="24"/>
          <w:szCs w:val="24"/>
          <w:rtl/>
        </w:rPr>
        <w:t xml:space="preserve"> חורג</w:t>
      </w:r>
      <w:r w:rsidR="00325941" w:rsidRPr="00763963">
        <w:rPr>
          <w:rFonts w:asciiTheme="majorBidi" w:hAnsiTheme="majorBidi" w:cs="David"/>
          <w:sz w:val="24"/>
          <w:szCs w:val="24"/>
          <w:rtl/>
        </w:rPr>
        <w:t>,</w:t>
      </w:r>
      <w:r w:rsidR="005F6E9A" w:rsidRPr="00763963">
        <w:rPr>
          <w:rFonts w:asciiTheme="majorBidi" w:hAnsiTheme="majorBidi" w:cs="David"/>
          <w:sz w:val="24"/>
          <w:szCs w:val="24"/>
          <w:rtl/>
        </w:rPr>
        <w:t xml:space="preserve"> וכאשר השפעתו </w:t>
      </w:r>
      <w:r w:rsidR="00015B41">
        <w:rPr>
          <w:rFonts w:asciiTheme="majorBidi" w:hAnsiTheme="majorBidi" w:cs="David" w:hint="cs"/>
          <w:sz w:val="24"/>
          <w:szCs w:val="24"/>
          <w:rtl/>
        </w:rPr>
        <w:t>הפוטנציאלית</w:t>
      </w:r>
      <w:r w:rsidR="00015B41" w:rsidRPr="00763963">
        <w:rPr>
          <w:rFonts w:asciiTheme="majorBidi" w:hAnsiTheme="majorBidi" w:cs="David"/>
          <w:sz w:val="24"/>
          <w:szCs w:val="24"/>
          <w:rtl/>
        </w:rPr>
        <w:t xml:space="preserve"> </w:t>
      </w:r>
      <w:r w:rsidR="005F6E9A" w:rsidRPr="00763963">
        <w:rPr>
          <w:rFonts w:asciiTheme="majorBidi" w:hAnsiTheme="majorBidi" w:cs="David"/>
          <w:sz w:val="24"/>
          <w:szCs w:val="24"/>
          <w:rtl/>
        </w:rPr>
        <w:t xml:space="preserve">של </w:t>
      </w:r>
      <w:r w:rsidR="00784A98" w:rsidRPr="00763963">
        <w:rPr>
          <w:rFonts w:asciiTheme="majorBidi" w:hAnsiTheme="majorBidi" w:cs="David"/>
          <w:sz w:val="24"/>
          <w:szCs w:val="24"/>
          <w:rtl/>
        </w:rPr>
        <w:t>אב</w:t>
      </w:r>
      <w:r w:rsidR="005F6E9A" w:rsidRPr="00763963">
        <w:rPr>
          <w:rFonts w:asciiTheme="majorBidi" w:hAnsiTheme="majorBidi" w:cs="David"/>
          <w:sz w:val="24"/>
          <w:szCs w:val="24"/>
          <w:rtl/>
        </w:rPr>
        <w:t xml:space="preserve"> חורג על הילד</w:t>
      </w:r>
      <w:r w:rsidR="00D9118D">
        <w:rPr>
          <w:rFonts w:asciiTheme="majorBidi" w:hAnsiTheme="majorBidi" w:cs="David" w:hint="cs"/>
          <w:sz w:val="24"/>
          <w:szCs w:val="24"/>
          <w:rtl/>
        </w:rPr>
        <w:t>,</w:t>
      </w:r>
      <w:r w:rsidR="005F6E9A" w:rsidRPr="00763963">
        <w:rPr>
          <w:rFonts w:asciiTheme="majorBidi" w:hAnsiTheme="majorBidi" w:cs="David"/>
          <w:sz w:val="24"/>
          <w:szCs w:val="24"/>
          <w:rtl/>
        </w:rPr>
        <w:t xml:space="preserve"> ובעקיפין גם על יחסיו של הילד עם </w:t>
      </w:r>
      <w:r w:rsidR="004F6152">
        <w:rPr>
          <w:rFonts w:asciiTheme="majorBidi" w:hAnsiTheme="majorBidi" w:cs="David" w:hint="cs"/>
          <w:sz w:val="24"/>
          <w:szCs w:val="24"/>
          <w:rtl/>
        </w:rPr>
        <w:t xml:space="preserve">ה-  </w:t>
      </w:r>
      <w:r w:rsidR="004F6152">
        <w:rPr>
          <w:rFonts w:asciiTheme="majorBidi" w:hAnsiTheme="majorBidi" w:cs="David"/>
          <w:sz w:val="24"/>
          <w:szCs w:val="24"/>
        </w:rPr>
        <w:t xml:space="preserve"> nonresidential father</w:t>
      </w:r>
      <w:r w:rsidR="00D9118D">
        <w:rPr>
          <w:rFonts w:asciiTheme="majorBidi" w:hAnsiTheme="majorBidi" w:cs="David" w:hint="cs"/>
          <w:sz w:val="24"/>
          <w:szCs w:val="24"/>
          <w:rtl/>
        </w:rPr>
        <w:t>,</w:t>
      </w:r>
      <w:r w:rsidR="004F6152">
        <w:rPr>
          <w:rFonts w:asciiTheme="majorBidi" w:hAnsiTheme="majorBidi" w:cs="David" w:hint="cs"/>
          <w:sz w:val="24"/>
          <w:szCs w:val="24"/>
          <w:rtl/>
        </w:rPr>
        <w:t xml:space="preserve"> </w:t>
      </w:r>
      <w:r w:rsidR="005F6E9A" w:rsidRPr="00763963">
        <w:rPr>
          <w:rFonts w:asciiTheme="majorBidi" w:hAnsiTheme="majorBidi" w:cs="David"/>
          <w:sz w:val="24"/>
          <w:szCs w:val="24"/>
          <w:rtl/>
        </w:rPr>
        <w:t>גדולה,</w:t>
      </w:r>
      <w:r w:rsidRPr="00763963">
        <w:rPr>
          <w:rStyle w:val="FootnoteReference"/>
          <w:rFonts w:asciiTheme="majorBidi" w:hAnsiTheme="majorBidi" w:cs="David"/>
          <w:sz w:val="24"/>
          <w:szCs w:val="24"/>
          <w:rtl/>
        </w:rPr>
        <w:footnoteReference w:id="6"/>
      </w:r>
      <w:r w:rsidR="005F6E9A" w:rsidRPr="00763963">
        <w:rPr>
          <w:rFonts w:asciiTheme="majorBidi" w:hAnsiTheme="majorBidi" w:cs="David"/>
          <w:sz w:val="24"/>
          <w:szCs w:val="24"/>
          <w:rtl/>
        </w:rPr>
        <w:t xml:space="preserve"> חשיבות רבה קיימת</w:t>
      </w:r>
      <w:r w:rsidR="005B1707">
        <w:rPr>
          <w:rFonts w:asciiTheme="majorBidi" w:hAnsiTheme="majorBidi" w:cs="David" w:hint="cs"/>
          <w:sz w:val="24"/>
          <w:szCs w:val="24"/>
          <w:rtl/>
        </w:rPr>
        <w:t>, להבנתי,</w:t>
      </w:r>
      <w:r w:rsidR="005F6E9A" w:rsidRPr="00763963">
        <w:rPr>
          <w:rFonts w:asciiTheme="majorBidi" w:hAnsiTheme="majorBidi" w:cs="David"/>
          <w:sz w:val="24"/>
          <w:szCs w:val="24"/>
          <w:rtl/>
        </w:rPr>
        <w:t xml:space="preserve"> ל</w:t>
      </w:r>
      <w:r w:rsidR="00015B41">
        <w:rPr>
          <w:rFonts w:asciiTheme="majorBidi" w:hAnsiTheme="majorBidi" w:cs="David" w:hint="cs"/>
          <w:sz w:val="24"/>
          <w:szCs w:val="24"/>
          <w:rtl/>
        </w:rPr>
        <w:t>חשיבה על ה</w:t>
      </w:r>
      <w:r w:rsidR="005F6E9A" w:rsidRPr="00763963">
        <w:rPr>
          <w:rFonts w:asciiTheme="majorBidi" w:hAnsiTheme="majorBidi" w:cs="David"/>
          <w:sz w:val="24"/>
          <w:szCs w:val="24"/>
          <w:rtl/>
        </w:rPr>
        <w:t xml:space="preserve">רגולציה </w:t>
      </w:r>
      <w:r w:rsidR="00015B41">
        <w:rPr>
          <w:rFonts w:asciiTheme="majorBidi" w:hAnsiTheme="majorBidi" w:cs="David" w:hint="cs"/>
          <w:sz w:val="24"/>
          <w:szCs w:val="24"/>
          <w:rtl/>
        </w:rPr>
        <w:t>ה</w:t>
      </w:r>
      <w:r w:rsidR="005F6E9A" w:rsidRPr="00763963">
        <w:rPr>
          <w:rFonts w:asciiTheme="majorBidi" w:hAnsiTheme="majorBidi" w:cs="David"/>
          <w:sz w:val="24"/>
          <w:szCs w:val="24"/>
          <w:rtl/>
        </w:rPr>
        <w:t>משפטית</w:t>
      </w:r>
      <w:r w:rsidR="00444C72">
        <w:rPr>
          <w:rFonts w:asciiTheme="majorBidi" w:hAnsiTheme="majorBidi" w:cs="David" w:hint="cs"/>
          <w:sz w:val="24"/>
          <w:szCs w:val="24"/>
          <w:rtl/>
        </w:rPr>
        <w:t xml:space="preserve"> המתאימה</w:t>
      </w:r>
      <w:r w:rsidR="00444C72">
        <w:rPr>
          <w:rFonts w:asciiTheme="majorBidi" w:hAnsiTheme="majorBidi" w:cs="David"/>
          <w:sz w:val="24"/>
          <w:szCs w:val="24"/>
          <w:rtl/>
        </w:rPr>
        <w:t xml:space="preserve"> ל</w:t>
      </w:r>
      <w:r w:rsidR="005F6E9A" w:rsidRPr="00763963">
        <w:rPr>
          <w:rFonts w:asciiTheme="majorBidi" w:hAnsiTheme="majorBidi" w:cs="David"/>
          <w:sz w:val="24"/>
          <w:szCs w:val="24"/>
          <w:rtl/>
        </w:rPr>
        <w:t xml:space="preserve">יחסים אלה. מהלך זה </w:t>
      </w:r>
      <w:r w:rsidR="00545687" w:rsidRPr="00763963">
        <w:rPr>
          <w:rFonts w:asciiTheme="majorBidi" w:hAnsiTheme="majorBidi" w:cs="David"/>
          <w:sz w:val="24"/>
          <w:szCs w:val="24"/>
          <w:rtl/>
        </w:rPr>
        <w:t>מתכתב</w:t>
      </w:r>
      <w:r w:rsidR="001C32AD">
        <w:rPr>
          <w:rFonts w:asciiTheme="majorBidi" w:hAnsiTheme="majorBidi" w:cs="David"/>
          <w:sz w:val="24"/>
          <w:szCs w:val="24"/>
          <w:rtl/>
        </w:rPr>
        <w:t xml:space="preserve"> </w:t>
      </w:r>
      <w:r w:rsidR="001C32AD">
        <w:rPr>
          <w:rFonts w:asciiTheme="majorBidi" w:hAnsiTheme="majorBidi" w:cs="David" w:hint="cs"/>
          <w:sz w:val="24"/>
          <w:szCs w:val="24"/>
          <w:rtl/>
        </w:rPr>
        <w:t>עם</w:t>
      </w:r>
      <w:r w:rsidR="005F6E9A" w:rsidRPr="00763963">
        <w:rPr>
          <w:rFonts w:asciiTheme="majorBidi" w:hAnsiTheme="majorBidi" w:cs="David"/>
          <w:sz w:val="24"/>
          <w:szCs w:val="24"/>
          <w:rtl/>
        </w:rPr>
        <w:t xml:space="preserve"> הקריאה הקיימת כיום להתאמה טובה יותר בין דיני המשפחה לבין מגוון המשפחות הקיימות במציאות החברתית</w:t>
      </w:r>
      <w:r w:rsidRPr="00763963">
        <w:rPr>
          <w:rFonts w:asciiTheme="majorBidi" w:hAnsiTheme="majorBidi" w:cs="David"/>
          <w:sz w:val="24"/>
          <w:szCs w:val="24"/>
          <w:rtl/>
        </w:rPr>
        <w:t>.</w:t>
      </w:r>
      <w:r w:rsidRPr="00763963">
        <w:rPr>
          <w:rStyle w:val="FootnoteReference"/>
          <w:rFonts w:asciiTheme="majorBidi" w:hAnsiTheme="majorBidi" w:cs="David"/>
          <w:sz w:val="24"/>
          <w:szCs w:val="24"/>
          <w:rtl/>
        </w:rPr>
        <w:footnoteReference w:id="7"/>
      </w:r>
      <w:r w:rsidR="005F6E9A" w:rsidRPr="00763963">
        <w:rPr>
          <w:rFonts w:asciiTheme="majorBidi" w:hAnsiTheme="majorBidi" w:cs="David"/>
          <w:sz w:val="24"/>
          <w:szCs w:val="24"/>
          <w:rtl/>
        </w:rPr>
        <w:t xml:space="preserve"> לשם כך מבקש המאמר </w:t>
      </w:r>
      <w:r w:rsidR="00545687" w:rsidRPr="00763963">
        <w:rPr>
          <w:rFonts w:asciiTheme="majorBidi" w:hAnsiTheme="majorBidi" w:cs="David"/>
          <w:sz w:val="24"/>
          <w:szCs w:val="24"/>
          <w:rtl/>
        </w:rPr>
        <w:t>לקחת השראה</w:t>
      </w:r>
      <w:r w:rsidR="005F6E9A" w:rsidRPr="00763963">
        <w:rPr>
          <w:rFonts w:asciiTheme="majorBidi" w:hAnsiTheme="majorBidi" w:cs="David"/>
          <w:sz w:val="24"/>
          <w:szCs w:val="24"/>
          <w:rtl/>
        </w:rPr>
        <w:t xml:space="preserve"> </w:t>
      </w:r>
      <w:r w:rsidR="00545687" w:rsidRPr="00763963">
        <w:rPr>
          <w:rFonts w:asciiTheme="majorBidi" w:hAnsiTheme="majorBidi" w:cs="David"/>
          <w:sz w:val="24"/>
          <w:szCs w:val="24"/>
          <w:rtl/>
        </w:rPr>
        <w:t>מ</w:t>
      </w:r>
      <w:r w:rsidR="005F6E9A" w:rsidRPr="00763963">
        <w:rPr>
          <w:rFonts w:asciiTheme="majorBidi" w:hAnsiTheme="majorBidi" w:cs="David"/>
          <w:sz w:val="24"/>
          <w:szCs w:val="24"/>
          <w:rtl/>
        </w:rPr>
        <w:t xml:space="preserve">מושג </w:t>
      </w:r>
      <w:r w:rsidRPr="00763963">
        <w:rPr>
          <w:rFonts w:asciiTheme="majorBidi" w:hAnsiTheme="majorBidi" w:cs="David"/>
          <w:sz w:val="24"/>
          <w:szCs w:val="24"/>
          <w:rtl/>
        </w:rPr>
        <w:t xml:space="preserve">ה- </w:t>
      </w:r>
      <w:r w:rsidRPr="00763963">
        <w:rPr>
          <w:rFonts w:asciiTheme="majorBidi" w:hAnsiTheme="majorBidi" w:cs="David"/>
          <w:sz w:val="24"/>
          <w:szCs w:val="24"/>
        </w:rPr>
        <w:t>fiduciary</w:t>
      </w:r>
      <w:r w:rsidR="005F6E9A" w:rsidRPr="00763963">
        <w:rPr>
          <w:rFonts w:asciiTheme="majorBidi" w:hAnsiTheme="majorBidi" w:cs="David"/>
          <w:sz w:val="24"/>
          <w:szCs w:val="24"/>
          <w:rtl/>
        </w:rPr>
        <w:t xml:space="preserve">, שמקורו </w:t>
      </w:r>
      <w:r w:rsidRPr="00763963">
        <w:rPr>
          <w:rFonts w:asciiTheme="majorBidi" w:hAnsiTheme="majorBidi" w:cs="David"/>
          <w:sz w:val="24"/>
          <w:szCs w:val="24"/>
          <w:rtl/>
        </w:rPr>
        <w:t>בעולם המסחרי</w:t>
      </w:r>
      <w:r w:rsidR="005B1707">
        <w:rPr>
          <w:rFonts w:asciiTheme="majorBidi" w:hAnsiTheme="majorBidi" w:cs="David" w:hint="cs"/>
          <w:sz w:val="24"/>
          <w:szCs w:val="24"/>
          <w:rtl/>
        </w:rPr>
        <w:t xml:space="preserve"> ובעולם הפרופסיונאלי</w:t>
      </w:r>
      <w:r w:rsidRPr="00763963">
        <w:rPr>
          <w:rFonts w:asciiTheme="majorBidi" w:hAnsiTheme="majorBidi" w:cs="David"/>
          <w:sz w:val="24"/>
          <w:szCs w:val="24"/>
          <w:rtl/>
        </w:rPr>
        <w:t xml:space="preserve"> </w:t>
      </w:r>
      <w:r w:rsidR="005F6E9A" w:rsidRPr="00763963">
        <w:rPr>
          <w:rFonts w:asciiTheme="majorBidi" w:hAnsiTheme="majorBidi" w:cs="David"/>
          <w:sz w:val="24"/>
          <w:szCs w:val="24"/>
          <w:rtl/>
        </w:rPr>
        <w:t>ו</w:t>
      </w:r>
      <w:r w:rsidR="00545687" w:rsidRPr="00763963">
        <w:rPr>
          <w:rFonts w:asciiTheme="majorBidi" w:hAnsiTheme="majorBidi" w:cs="David"/>
          <w:sz w:val="24"/>
          <w:szCs w:val="24"/>
          <w:rtl/>
        </w:rPr>
        <w:t xml:space="preserve">לנסות לגזור ממנו </w:t>
      </w:r>
      <w:r w:rsidR="001C32AD">
        <w:rPr>
          <w:rFonts w:asciiTheme="majorBidi" w:hAnsiTheme="majorBidi" w:cs="David" w:hint="cs"/>
          <w:sz w:val="24"/>
          <w:szCs w:val="24"/>
          <w:rtl/>
        </w:rPr>
        <w:t xml:space="preserve">רעיונית/מחשבתית </w:t>
      </w:r>
      <w:r w:rsidR="00015B41">
        <w:rPr>
          <w:rFonts w:asciiTheme="majorBidi" w:hAnsiTheme="majorBidi" w:cs="David" w:hint="cs"/>
          <w:sz w:val="24"/>
          <w:szCs w:val="24"/>
          <w:rtl/>
        </w:rPr>
        <w:t>נורמות</w:t>
      </w:r>
      <w:r w:rsidR="00545687" w:rsidRPr="00763963">
        <w:rPr>
          <w:rFonts w:asciiTheme="majorBidi" w:hAnsiTheme="majorBidi" w:cs="David"/>
          <w:sz w:val="24"/>
          <w:szCs w:val="24"/>
          <w:rtl/>
        </w:rPr>
        <w:t xml:space="preserve"> שיוכל</w:t>
      </w:r>
      <w:r w:rsidR="00015B41">
        <w:rPr>
          <w:rFonts w:asciiTheme="majorBidi" w:hAnsiTheme="majorBidi" w:cs="David" w:hint="cs"/>
          <w:sz w:val="24"/>
          <w:szCs w:val="24"/>
          <w:rtl/>
        </w:rPr>
        <w:t>ו</w:t>
      </w:r>
      <w:r w:rsidR="00545687" w:rsidRPr="00763963">
        <w:rPr>
          <w:rFonts w:asciiTheme="majorBidi" w:hAnsiTheme="majorBidi" w:cs="David"/>
          <w:sz w:val="24"/>
          <w:szCs w:val="24"/>
          <w:rtl/>
        </w:rPr>
        <w:t xml:space="preserve"> לתרום לשכלול דיני המשפחה ולהתאמתם </w:t>
      </w:r>
      <w:r w:rsidR="005F6E9A" w:rsidRPr="00763963">
        <w:rPr>
          <w:rFonts w:asciiTheme="majorBidi" w:hAnsiTheme="majorBidi" w:cs="David"/>
          <w:sz w:val="24"/>
          <w:szCs w:val="24"/>
          <w:rtl/>
        </w:rPr>
        <w:t>למציאות המשפחתית</w:t>
      </w:r>
      <w:r w:rsidR="00015B41">
        <w:rPr>
          <w:rFonts w:asciiTheme="majorBidi" w:hAnsiTheme="majorBidi" w:cs="David" w:hint="cs"/>
          <w:sz w:val="24"/>
          <w:szCs w:val="24"/>
          <w:rtl/>
        </w:rPr>
        <w:t xml:space="preserve"> הרווחת</w:t>
      </w:r>
      <w:r w:rsidR="005F6E9A" w:rsidRPr="00763963">
        <w:rPr>
          <w:rFonts w:asciiTheme="majorBidi" w:hAnsiTheme="majorBidi" w:cs="David"/>
          <w:sz w:val="24"/>
          <w:szCs w:val="24"/>
          <w:rtl/>
        </w:rPr>
        <w:t xml:space="preserve">. </w:t>
      </w:r>
    </w:p>
    <w:p w14:paraId="6C1B1D39" w14:textId="1CC836B9" w:rsidR="0036322F" w:rsidRPr="00763963" w:rsidRDefault="00545687" w:rsidP="00474B23">
      <w:pPr>
        <w:spacing w:line="480" w:lineRule="auto"/>
        <w:jc w:val="both"/>
        <w:rPr>
          <w:rFonts w:asciiTheme="majorBidi" w:hAnsiTheme="majorBidi" w:cs="David" w:hint="cs"/>
          <w:sz w:val="24"/>
          <w:szCs w:val="24"/>
          <w:rtl/>
        </w:rPr>
      </w:pPr>
      <w:r w:rsidRPr="00763963">
        <w:rPr>
          <w:rFonts w:asciiTheme="majorBidi" w:hAnsiTheme="majorBidi" w:cs="David"/>
          <w:sz w:val="24"/>
          <w:szCs w:val="24"/>
          <w:rtl/>
        </w:rPr>
        <w:t xml:space="preserve">בלב מאמר זה </w:t>
      </w:r>
      <w:r w:rsidR="003A4A5F" w:rsidRPr="00763963">
        <w:rPr>
          <w:rFonts w:asciiTheme="majorBidi" w:hAnsiTheme="majorBidi" w:cs="David"/>
          <w:sz w:val="24"/>
          <w:szCs w:val="24"/>
          <w:rtl/>
        </w:rPr>
        <w:t>נצבות, כאמור, דילמות המתעוררות על רקע הסיטואציה המשפחתית של</w:t>
      </w:r>
      <w:r w:rsidR="00186697">
        <w:rPr>
          <w:rFonts w:asciiTheme="majorBidi" w:hAnsiTheme="majorBidi" w:cs="David" w:hint="cs"/>
          <w:sz w:val="24"/>
          <w:szCs w:val="24"/>
          <w:rtl/>
        </w:rPr>
        <w:t xml:space="preserve"> פרידת ההורים</w:t>
      </w:r>
      <w:r w:rsidR="003A4A5F" w:rsidRPr="00763963">
        <w:rPr>
          <w:rFonts w:asciiTheme="majorBidi" w:hAnsiTheme="majorBidi" w:cs="David"/>
          <w:sz w:val="24"/>
          <w:szCs w:val="24"/>
          <w:rtl/>
        </w:rPr>
        <w:t xml:space="preserve"> </w:t>
      </w:r>
      <w:r w:rsidR="00186697">
        <w:rPr>
          <w:rFonts w:asciiTheme="majorBidi" w:hAnsiTheme="majorBidi" w:cs="David" w:hint="cs"/>
          <w:sz w:val="24"/>
          <w:szCs w:val="24"/>
          <w:rtl/>
        </w:rPr>
        <w:t>ו</w:t>
      </w:r>
      <w:r w:rsidR="003A4A5F" w:rsidRPr="00763963">
        <w:rPr>
          <w:rFonts w:asciiTheme="majorBidi" w:hAnsiTheme="majorBidi" w:cs="David"/>
          <w:sz w:val="24"/>
          <w:szCs w:val="24"/>
          <w:rtl/>
        </w:rPr>
        <w:t xml:space="preserve">הקמת משפחה שנייה </w:t>
      </w:r>
      <w:r w:rsidR="002B188C">
        <w:rPr>
          <w:rFonts w:asciiTheme="majorBidi" w:hAnsiTheme="majorBidi" w:cs="David"/>
          <w:sz w:val="24"/>
          <w:szCs w:val="24"/>
        </w:rPr>
        <w:t xml:space="preserve">remarriage families </w:t>
      </w:r>
      <w:r w:rsidR="002B188C">
        <w:rPr>
          <w:rFonts w:asciiTheme="majorBidi" w:hAnsiTheme="majorBidi" w:cs="David" w:hint="cs"/>
          <w:sz w:val="24"/>
          <w:szCs w:val="24"/>
          <w:rtl/>
        </w:rPr>
        <w:t xml:space="preserve"> </w:t>
      </w:r>
      <w:r w:rsidR="001C32AD">
        <w:rPr>
          <w:rStyle w:val="FootnoteReference"/>
          <w:rFonts w:asciiTheme="majorBidi" w:hAnsiTheme="majorBidi" w:cs="David"/>
          <w:sz w:val="24"/>
          <w:szCs w:val="24"/>
          <w:rtl/>
        </w:rPr>
        <w:footnoteReference w:id="8"/>
      </w:r>
      <w:r w:rsidR="00186697">
        <w:rPr>
          <w:rFonts w:asciiTheme="majorBidi" w:hAnsiTheme="majorBidi" w:cs="David"/>
          <w:sz w:val="24"/>
          <w:szCs w:val="24"/>
          <w:rtl/>
        </w:rPr>
        <w:t xml:space="preserve"> </w:t>
      </w:r>
      <w:r w:rsidR="00186697">
        <w:rPr>
          <w:rFonts w:asciiTheme="majorBidi" w:hAnsiTheme="majorBidi" w:cs="David" w:hint="cs"/>
          <w:sz w:val="24"/>
          <w:szCs w:val="24"/>
          <w:rtl/>
        </w:rPr>
        <w:t>המובילה ל</w:t>
      </w:r>
      <w:r w:rsidR="003A4A5F" w:rsidRPr="00763963">
        <w:rPr>
          <w:rFonts w:asciiTheme="majorBidi" w:hAnsiTheme="majorBidi" w:cs="David"/>
          <w:sz w:val="24"/>
          <w:szCs w:val="24"/>
          <w:rtl/>
        </w:rPr>
        <w:t>כניסתו של בן זוג חדש</w:t>
      </w:r>
      <w:r w:rsidR="00186697">
        <w:rPr>
          <w:rFonts w:asciiTheme="majorBidi" w:hAnsiTheme="majorBidi" w:cs="David" w:hint="cs"/>
          <w:sz w:val="24"/>
          <w:szCs w:val="24"/>
          <w:rtl/>
        </w:rPr>
        <w:t xml:space="preserve"> למשפחה. בן זוג זה, המכונה כאן </w:t>
      </w:r>
      <w:r w:rsidR="00DD4293">
        <w:rPr>
          <w:rFonts w:asciiTheme="majorBidi" w:hAnsiTheme="majorBidi" w:cs="David" w:hint="cs"/>
          <w:sz w:val="24"/>
          <w:szCs w:val="24"/>
          <w:rtl/>
        </w:rPr>
        <w:t xml:space="preserve">כאמור </w:t>
      </w:r>
      <w:r w:rsidR="00186697">
        <w:rPr>
          <w:rFonts w:asciiTheme="majorBidi" w:hAnsiTheme="majorBidi" w:cs="David" w:hint="cs"/>
          <w:sz w:val="24"/>
          <w:szCs w:val="24"/>
          <w:rtl/>
        </w:rPr>
        <w:t xml:space="preserve">"הורה חורג", </w:t>
      </w:r>
      <w:r w:rsidR="003A4A5F" w:rsidRPr="00763963">
        <w:rPr>
          <w:rFonts w:asciiTheme="majorBidi" w:hAnsiTheme="majorBidi" w:cs="David"/>
          <w:sz w:val="24"/>
          <w:szCs w:val="24"/>
          <w:rtl/>
        </w:rPr>
        <w:t>הופך</w:t>
      </w:r>
      <w:r w:rsidR="00D42DF6">
        <w:rPr>
          <w:rFonts w:asciiTheme="majorBidi" w:hAnsiTheme="majorBidi" w:cs="David" w:hint="cs"/>
          <w:sz w:val="24"/>
          <w:szCs w:val="24"/>
          <w:rtl/>
        </w:rPr>
        <w:t>, בחלק מן המקרים,</w:t>
      </w:r>
      <w:r w:rsidR="003A4A5F" w:rsidRPr="00763963">
        <w:rPr>
          <w:rFonts w:asciiTheme="majorBidi" w:hAnsiTheme="majorBidi" w:cs="David"/>
          <w:sz w:val="24"/>
          <w:szCs w:val="24"/>
          <w:rtl/>
        </w:rPr>
        <w:t xml:space="preserve"> להיות </w:t>
      </w:r>
      <w:r w:rsidR="00DD0108">
        <w:rPr>
          <w:rFonts w:asciiTheme="majorBidi" w:hAnsiTheme="majorBidi" w:cs="David" w:hint="cs"/>
          <w:sz w:val="24"/>
          <w:szCs w:val="24"/>
          <w:rtl/>
        </w:rPr>
        <w:t xml:space="preserve">מעין </w:t>
      </w:r>
      <w:r w:rsidR="003A4A5F" w:rsidRPr="00763963">
        <w:rPr>
          <w:rFonts w:asciiTheme="majorBidi" w:hAnsiTheme="majorBidi" w:cs="David"/>
          <w:sz w:val="24"/>
          <w:szCs w:val="24"/>
          <w:rtl/>
        </w:rPr>
        <w:t>הורה נוסף לילד</w:t>
      </w:r>
      <w:r w:rsidR="00186697">
        <w:rPr>
          <w:rFonts w:asciiTheme="majorBidi" w:hAnsiTheme="majorBidi" w:cs="David" w:hint="cs"/>
          <w:sz w:val="24"/>
          <w:szCs w:val="24"/>
          <w:rtl/>
        </w:rPr>
        <w:t xml:space="preserve">. </w:t>
      </w:r>
      <w:r w:rsidR="003A4A5F" w:rsidRPr="00763963">
        <w:rPr>
          <w:rFonts w:asciiTheme="majorBidi" w:hAnsiTheme="majorBidi" w:cs="David"/>
          <w:sz w:val="24"/>
          <w:szCs w:val="24"/>
          <w:rtl/>
        </w:rPr>
        <w:t xml:space="preserve">בין </w:t>
      </w:r>
      <w:r w:rsidR="00535EFD">
        <w:rPr>
          <w:rFonts w:asciiTheme="majorBidi" w:hAnsiTheme="majorBidi" w:cs="David" w:hint="cs"/>
          <w:sz w:val="24"/>
          <w:szCs w:val="24"/>
          <w:rtl/>
        </w:rPr>
        <w:t xml:space="preserve">ה-  </w:t>
      </w:r>
      <w:r w:rsidR="00535EFD">
        <w:rPr>
          <w:rFonts w:asciiTheme="majorBidi" w:hAnsiTheme="majorBidi" w:cs="David"/>
          <w:sz w:val="24"/>
          <w:szCs w:val="24"/>
        </w:rPr>
        <w:t>nonresidential parent</w:t>
      </w:r>
      <w:r w:rsidR="003A4A5F" w:rsidRPr="00763963">
        <w:rPr>
          <w:rFonts w:asciiTheme="majorBidi" w:hAnsiTheme="majorBidi" w:cs="David"/>
          <w:sz w:val="24"/>
          <w:szCs w:val="24"/>
          <w:rtl/>
        </w:rPr>
        <w:t xml:space="preserve"> להורה החורג אין מתקיימים</w:t>
      </w:r>
      <w:r w:rsidR="00784A98" w:rsidRPr="00763963">
        <w:rPr>
          <w:rFonts w:asciiTheme="majorBidi" w:hAnsiTheme="majorBidi" w:cs="David"/>
          <w:sz w:val="24"/>
          <w:szCs w:val="24"/>
          <w:rtl/>
        </w:rPr>
        <w:t>, על פי הסיווגים המקובלים כיום,</w:t>
      </w:r>
      <w:r w:rsidR="00014B1C" w:rsidRPr="00763963">
        <w:rPr>
          <w:rFonts w:asciiTheme="majorBidi" w:hAnsiTheme="majorBidi" w:cs="David"/>
          <w:sz w:val="24"/>
          <w:szCs w:val="24"/>
          <w:rtl/>
        </w:rPr>
        <w:t xml:space="preserve"> יחסים משפטיים פורמליים.</w:t>
      </w:r>
      <w:r w:rsidR="003A4A5F" w:rsidRPr="00763963">
        <w:rPr>
          <w:rFonts w:asciiTheme="majorBidi" w:hAnsiTheme="majorBidi" w:cs="David"/>
          <w:sz w:val="24"/>
          <w:szCs w:val="24"/>
          <w:rtl/>
        </w:rPr>
        <w:t xml:space="preserve"> ה</w:t>
      </w:r>
      <w:r w:rsidR="0055161A">
        <w:rPr>
          <w:rFonts w:asciiTheme="majorBidi" w:hAnsiTheme="majorBidi" w:cs="David" w:hint="cs"/>
          <w:sz w:val="24"/>
          <w:szCs w:val="24"/>
          <w:rtl/>
        </w:rPr>
        <w:t xml:space="preserve">- </w:t>
      </w:r>
      <w:r w:rsidR="0055161A">
        <w:rPr>
          <w:rFonts w:asciiTheme="majorBidi" w:hAnsiTheme="majorBidi" w:cs="David"/>
          <w:sz w:val="24"/>
          <w:szCs w:val="24"/>
        </w:rPr>
        <w:t xml:space="preserve">nonresidential parent </w:t>
      </w:r>
      <w:r w:rsidR="0055161A">
        <w:rPr>
          <w:rFonts w:asciiTheme="majorBidi" w:hAnsiTheme="majorBidi" w:cs="David" w:hint="cs"/>
          <w:sz w:val="24"/>
          <w:szCs w:val="24"/>
          <w:rtl/>
        </w:rPr>
        <w:t xml:space="preserve"> </w:t>
      </w:r>
      <w:r w:rsidR="003A4A5F" w:rsidRPr="00763963">
        <w:rPr>
          <w:rFonts w:asciiTheme="majorBidi" w:hAnsiTheme="majorBidi" w:cs="David"/>
          <w:sz w:val="24"/>
          <w:szCs w:val="24"/>
          <w:rtl/>
        </w:rPr>
        <w:t>לא בחר</w:t>
      </w:r>
      <w:r w:rsidR="00784A98" w:rsidRPr="00763963">
        <w:rPr>
          <w:rFonts w:asciiTheme="majorBidi" w:hAnsiTheme="majorBidi" w:cs="David"/>
          <w:sz w:val="24"/>
          <w:szCs w:val="24"/>
          <w:rtl/>
        </w:rPr>
        <w:t xml:space="preserve"> להכניס את ההורה החורג לחיי</w:t>
      </w:r>
      <w:r w:rsidR="008E44B6" w:rsidRPr="00763963">
        <w:rPr>
          <w:rFonts w:asciiTheme="majorBidi" w:hAnsiTheme="majorBidi" w:cs="David"/>
          <w:sz w:val="24"/>
          <w:szCs w:val="24"/>
          <w:rtl/>
        </w:rPr>
        <w:t>ו</w:t>
      </w:r>
      <w:r w:rsidR="00784A98" w:rsidRPr="00763963">
        <w:rPr>
          <w:rFonts w:asciiTheme="majorBidi" w:hAnsiTheme="majorBidi" w:cs="David"/>
          <w:sz w:val="24"/>
          <w:szCs w:val="24"/>
          <w:rtl/>
        </w:rPr>
        <w:t>. במובן זה אין בין הצדדים יחסים חוזיים.</w:t>
      </w:r>
      <w:r w:rsidR="005D2309">
        <w:rPr>
          <w:rStyle w:val="FootnoteReference"/>
          <w:rFonts w:asciiTheme="majorBidi" w:hAnsiTheme="majorBidi" w:cs="David"/>
          <w:sz w:val="24"/>
          <w:szCs w:val="24"/>
          <w:rtl/>
        </w:rPr>
        <w:footnoteReference w:id="9"/>
      </w:r>
      <w:r w:rsidR="00784A98" w:rsidRPr="00763963">
        <w:rPr>
          <w:rFonts w:asciiTheme="majorBidi" w:hAnsiTheme="majorBidi" w:cs="David"/>
          <w:sz w:val="24"/>
          <w:szCs w:val="24"/>
          <w:rtl/>
        </w:rPr>
        <w:t xml:space="preserve"> </w:t>
      </w:r>
      <w:r w:rsidR="00D15B99" w:rsidRPr="00763963">
        <w:rPr>
          <w:rFonts w:asciiTheme="majorBidi" w:hAnsiTheme="majorBidi" w:cs="David"/>
          <w:sz w:val="24"/>
          <w:szCs w:val="24"/>
          <w:rtl/>
        </w:rPr>
        <w:t>זיקה זאת אף איננה בגדר "סטטוס", כפי שמקובל לזהותו.</w:t>
      </w:r>
      <w:r w:rsidR="00B5302F">
        <w:rPr>
          <w:rStyle w:val="FootnoteReference"/>
          <w:rFonts w:asciiTheme="majorBidi" w:hAnsiTheme="majorBidi" w:cs="David"/>
          <w:sz w:val="24"/>
          <w:szCs w:val="24"/>
          <w:rtl/>
        </w:rPr>
        <w:footnoteReference w:id="10"/>
      </w:r>
      <w:r w:rsidR="00D15B99" w:rsidRPr="00763963">
        <w:rPr>
          <w:rFonts w:asciiTheme="majorBidi" w:hAnsiTheme="majorBidi" w:cs="David"/>
          <w:sz w:val="24"/>
          <w:szCs w:val="24"/>
          <w:rtl/>
        </w:rPr>
        <w:t xml:space="preserve"> </w:t>
      </w:r>
      <w:r w:rsidR="003A4A5F" w:rsidRPr="00763963">
        <w:rPr>
          <w:rFonts w:asciiTheme="majorBidi" w:hAnsiTheme="majorBidi" w:cs="David"/>
          <w:sz w:val="24"/>
          <w:szCs w:val="24"/>
          <w:rtl/>
        </w:rPr>
        <w:t xml:space="preserve">אולם כניסתו </w:t>
      </w:r>
      <w:r w:rsidR="001E2637">
        <w:rPr>
          <w:rFonts w:asciiTheme="majorBidi" w:hAnsiTheme="majorBidi" w:cs="David" w:hint="cs"/>
          <w:sz w:val="24"/>
          <w:szCs w:val="24"/>
          <w:rtl/>
        </w:rPr>
        <w:t xml:space="preserve">של ההורה החורג </w:t>
      </w:r>
      <w:r w:rsidR="00E10290">
        <w:rPr>
          <w:rFonts w:asciiTheme="majorBidi" w:hAnsiTheme="majorBidi" w:cs="David" w:hint="cs"/>
          <w:sz w:val="24"/>
          <w:szCs w:val="24"/>
          <w:rtl/>
        </w:rPr>
        <w:t>למשפחה</w:t>
      </w:r>
      <w:r w:rsidR="00E10290">
        <w:rPr>
          <w:rFonts w:asciiTheme="majorBidi" w:hAnsiTheme="majorBidi" w:cs="David"/>
          <w:sz w:val="24"/>
          <w:szCs w:val="24"/>
          <w:rtl/>
        </w:rPr>
        <w:t xml:space="preserve"> יצרה ביניהם</w:t>
      </w:r>
      <w:r w:rsidR="00550F75">
        <w:rPr>
          <w:rFonts w:asciiTheme="majorBidi" w:hAnsiTheme="majorBidi" w:cs="David" w:hint="cs"/>
          <w:sz w:val="24"/>
          <w:szCs w:val="24"/>
          <w:rtl/>
        </w:rPr>
        <w:t>,</w:t>
      </w:r>
      <w:r w:rsidR="00B5302F">
        <w:rPr>
          <w:rFonts w:asciiTheme="majorBidi" w:hAnsiTheme="majorBidi" w:cs="David" w:hint="cs"/>
          <w:sz w:val="24"/>
          <w:szCs w:val="24"/>
          <w:rtl/>
        </w:rPr>
        <w:t xml:space="preserve"> בפועל</w:t>
      </w:r>
      <w:r w:rsidR="00550F75">
        <w:rPr>
          <w:rFonts w:asciiTheme="majorBidi" w:hAnsiTheme="majorBidi" w:cs="David" w:hint="cs"/>
          <w:sz w:val="24"/>
          <w:szCs w:val="24"/>
          <w:rtl/>
        </w:rPr>
        <w:t>,</w:t>
      </w:r>
      <w:r w:rsidR="00014B1C" w:rsidRPr="00763963">
        <w:rPr>
          <w:rFonts w:asciiTheme="majorBidi" w:hAnsiTheme="majorBidi" w:cs="David"/>
          <w:sz w:val="24"/>
          <w:szCs w:val="24"/>
          <w:rtl/>
        </w:rPr>
        <w:t xml:space="preserve"> זיקה</w:t>
      </w:r>
      <w:r w:rsidR="00784A98" w:rsidRPr="00763963">
        <w:rPr>
          <w:rFonts w:asciiTheme="majorBidi" w:hAnsiTheme="majorBidi" w:cs="David"/>
          <w:sz w:val="24"/>
          <w:szCs w:val="24"/>
          <w:rtl/>
        </w:rPr>
        <w:t>,</w:t>
      </w:r>
      <w:r w:rsidR="00014B1C" w:rsidRPr="00763963">
        <w:rPr>
          <w:rFonts w:asciiTheme="majorBidi" w:hAnsiTheme="majorBidi" w:cs="David"/>
          <w:sz w:val="24"/>
          <w:szCs w:val="24"/>
          <w:rtl/>
        </w:rPr>
        <w:t xml:space="preserve"> </w:t>
      </w:r>
      <w:r w:rsidR="008E44B6" w:rsidRPr="00763963">
        <w:rPr>
          <w:rFonts w:asciiTheme="majorBidi" w:hAnsiTheme="majorBidi" w:cs="David"/>
          <w:sz w:val="24"/>
          <w:szCs w:val="24"/>
          <w:rtl/>
        </w:rPr>
        <w:t>שכן</w:t>
      </w:r>
      <w:r w:rsidR="003A4A5F" w:rsidRPr="00763963">
        <w:rPr>
          <w:rFonts w:asciiTheme="majorBidi" w:hAnsiTheme="majorBidi" w:cs="David"/>
          <w:sz w:val="24"/>
          <w:szCs w:val="24"/>
          <w:rtl/>
        </w:rPr>
        <w:t xml:space="preserve"> השפעתו </w:t>
      </w:r>
      <w:r w:rsidR="00E11895">
        <w:rPr>
          <w:rFonts w:asciiTheme="majorBidi" w:hAnsiTheme="majorBidi" w:cs="David" w:hint="cs"/>
          <w:sz w:val="24"/>
          <w:szCs w:val="24"/>
          <w:rtl/>
        </w:rPr>
        <w:t xml:space="preserve">של ההורה החורג </w:t>
      </w:r>
      <w:r w:rsidR="003A4A5F" w:rsidRPr="00763963">
        <w:rPr>
          <w:rFonts w:asciiTheme="majorBidi" w:hAnsiTheme="majorBidi" w:cs="David"/>
          <w:sz w:val="24"/>
          <w:szCs w:val="24"/>
          <w:rtl/>
        </w:rPr>
        <w:t xml:space="preserve">על חיי הילד עשויה להיות מרחיקת לכת אף </w:t>
      </w:r>
      <w:r w:rsidR="00DD0108">
        <w:rPr>
          <w:rFonts w:asciiTheme="majorBidi" w:hAnsiTheme="majorBidi" w:cs="David" w:hint="cs"/>
          <w:sz w:val="24"/>
          <w:szCs w:val="24"/>
          <w:rtl/>
        </w:rPr>
        <w:t>ב</w:t>
      </w:r>
      <w:r w:rsidR="00550F75">
        <w:rPr>
          <w:rFonts w:asciiTheme="majorBidi" w:hAnsiTheme="majorBidi" w:cs="David" w:hint="cs"/>
          <w:sz w:val="24"/>
          <w:szCs w:val="24"/>
          <w:rtl/>
        </w:rPr>
        <w:t>נוגע ל</w:t>
      </w:r>
      <w:r w:rsidR="00DD0108">
        <w:rPr>
          <w:rFonts w:asciiTheme="majorBidi" w:hAnsiTheme="majorBidi" w:cs="David" w:hint="cs"/>
          <w:sz w:val="24"/>
          <w:szCs w:val="24"/>
          <w:rtl/>
        </w:rPr>
        <w:t>יחסיו עם ה</w:t>
      </w:r>
      <w:r w:rsidR="00DD4293">
        <w:rPr>
          <w:rFonts w:asciiTheme="majorBidi" w:hAnsiTheme="majorBidi" w:cs="David" w:hint="cs"/>
          <w:sz w:val="24"/>
          <w:szCs w:val="24"/>
          <w:rtl/>
        </w:rPr>
        <w:t xml:space="preserve"> - </w:t>
      </w:r>
      <w:r w:rsidR="00DD4293">
        <w:rPr>
          <w:rFonts w:asciiTheme="majorBidi" w:hAnsiTheme="majorBidi" w:cs="David"/>
          <w:sz w:val="24"/>
          <w:szCs w:val="24"/>
        </w:rPr>
        <w:t xml:space="preserve">nonresidential parent </w:t>
      </w:r>
      <w:r w:rsidR="003A4A5F" w:rsidRPr="00763963">
        <w:rPr>
          <w:rFonts w:asciiTheme="majorBidi" w:hAnsiTheme="majorBidi" w:cs="David"/>
          <w:sz w:val="24"/>
          <w:szCs w:val="24"/>
          <w:rtl/>
        </w:rPr>
        <w:t xml:space="preserve">, המושפע </w:t>
      </w:r>
      <w:r w:rsidR="00550F75">
        <w:rPr>
          <w:rFonts w:asciiTheme="majorBidi" w:hAnsiTheme="majorBidi" w:cs="David" w:hint="cs"/>
          <w:sz w:val="24"/>
          <w:szCs w:val="24"/>
          <w:rtl/>
        </w:rPr>
        <w:t>דה פקטו</w:t>
      </w:r>
      <w:r w:rsidR="003A4A5F" w:rsidRPr="00763963">
        <w:rPr>
          <w:rFonts w:asciiTheme="majorBidi" w:hAnsiTheme="majorBidi" w:cs="David"/>
          <w:sz w:val="24"/>
          <w:szCs w:val="24"/>
          <w:rtl/>
        </w:rPr>
        <w:t xml:space="preserve"> מהתנהגותו ומ</w:t>
      </w:r>
      <w:r w:rsidR="008E44B6" w:rsidRPr="00763963">
        <w:rPr>
          <w:rFonts w:asciiTheme="majorBidi" w:hAnsiTheme="majorBidi" w:cs="David"/>
          <w:sz w:val="24"/>
          <w:szCs w:val="24"/>
          <w:rtl/>
        </w:rPr>
        <w:t>מ</w:t>
      </w:r>
      <w:r w:rsidR="003A4A5F" w:rsidRPr="00763963">
        <w:rPr>
          <w:rFonts w:asciiTheme="majorBidi" w:hAnsiTheme="majorBidi" w:cs="David"/>
          <w:sz w:val="24"/>
          <w:szCs w:val="24"/>
          <w:rtl/>
        </w:rPr>
        <w:t>עשיו</w:t>
      </w:r>
      <w:r w:rsidR="00727A1D">
        <w:rPr>
          <w:rFonts w:asciiTheme="majorBidi" w:hAnsiTheme="majorBidi" w:cs="David" w:hint="cs"/>
          <w:sz w:val="24"/>
          <w:szCs w:val="24"/>
          <w:rtl/>
        </w:rPr>
        <w:t xml:space="preserve"> של ההורה החורג</w:t>
      </w:r>
      <w:r w:rsidR="003A4A5F" w:rsidRPr="00763963">
        <w:rPr>
          <w:rFonts w:asciiTheme="majorBidi" w:hAnsiTheme="majorBidi" w:cs="David"/>
          <w:sz w:val="24"/>
          <w:szCs w:val="24"/>
          <w:rtl/>
        </w:rPr>
        <w:t>. בהקשר זה יבקש המאמר לדון בשתי דוגמאות. ה</w:t>
      </w:r>
      <w:r w:rsidR="005F6E9A" w:rsidRPr="00763963">
        <w:rPr>
          <w:rFonts w:asciiTheme="majorBidi" w:hAnsiTheme="majorBidi" w:cs="David"/>
          <w:sz w:val="24"/>
          <w:szCs w:val="24"/>
          <w:rtl/>
        </w:rPr>
        <w:t>אחת</w:t>
      </w:r>
      <w:r w:rsidR="003A4A5F" w:rsidRPr="00763963">
        <w:rPr>
          <w:rFonts w:asciiTheme="majorBidi" w:hAnsiTheme="majorBidi" w:cs="David"/>
          <w:sz w:val="24"/>
          <w:szCs w:val="24"/>
          <w:rtl/>
        </w:rPr>
        <w:t xml:space="preserve">, </w:t>
      </w:r>
      <w:r w:rsidR="005F6E9A" w:rsidRPr="00763963">
        <w:rPr>
          <w:rFonts w:asciiTheme="majorBidi" w:hAnsiTheme="majorBidi" w:cs="David"/>
          <w:sz w:val="24"/>
          <w:szCs w:val="24"/>
          <w:rtl/>
        </w:rPr>
        <w:t xml:space="preserve">הינה </w:t>
      </w:r>
      <w:r w:rsidR="0024132D" w:rsidRPr="00763963">
        <w:rPr>
          <w:rFonts w:asciiTheme="majorBidi" w:hAnsiTheme="majorBidi" w:cs="David"/>
          <w:sz w:val="24"/>
          <w:szCs w:val="24"/>
          <w:rtl/>
        </w:rPr>
        <w:t xml:space="preserve">התנהגות מצדו של ההורה החורג </w:t>
      </w:r>
      <w:r w:rsidR="00474B23">
        <w:rPr>
          <w:rFonts w:asciiTheme="majorBidi" w:hAnsiTheme="majorBidi" w:cs="David" w:hint="cs"/>
          <w:sz w:val="24"/>
          <w:szCs w:val="24"/>
          <w:rtl/>
        </w:rPr>
        <w:t>שתוצאתה</w:t>
      </w:r>
      <w:r w:rsidR="00474B23">
        <w:rPr>
          <w:rFonts w:asciiTheme="majorBidi" w:hAnsiTheme="majorBidi" w:cs="David"/>
          <w:sz w:val="24"/>
          <w:szCs w:val="24"/>
          <w:rtl/>
        </w:rPr>
        <w:t xml:space="preserve"> </w:t>
      </w:r>
      <w:r w:rsidR="0024132D" w:rsidRPr="00763963">
        <w:rPr>
          <w:rFonts w:asciiTheme="majorBidi" w:hAnsiTheme="majorBidi" w:cs="David"/>
          <w:sz w:val="24"/>
          <w:szCs w:val="24"/>
          <w:rtl/>
        </w:rPr>
        <w:t>הסתה</w:t>
      </w:r>
      <w:r w:rsidR="005F6E9A" w:rsidRPr="00763963">
        <w:rPr>
          <w:rFonts w:asciiTheme="majorBidi" w:hAnsiTheme="majorBidi" w:cs="David"/>
          <w:sz w:val="24"/>
          <w:szCs w:val="24"/>
          <w:rtl/>
        </w:rPr>
        <w:t xml:space="preserve"> של הילד כנגד ה</w:t>
      </w:r>
      <w:r w:rsidR="00DD4293">
        <w:rPr>
          <w:rFonts w:asciiTheme="majorBidi" w:hAnsiTheme="majorBidi" w:cs="David" w:hint="cs"/>
          <w:sz w:val="24"/>
          <w:szCs w:val="24"/>
          <w:rtl/>
        </w:rPr>
        <w:t xml:space="preserve">- </w:t>
      </w:r>
      <w:r w:rsidR="00DD4293">
        <w:rPr>
          <w:rFonts w:asciiTheme="majorBidi" w:hAnsiTheme="majorBidi" w:cs="David"/>
          <w:sz w:val="24"/>
          <w:szCs w:val="24"/>
        </w:rPr>
        <w:t>nonresidential parent</w:t>
      </w:r>
      <w:r w:rsidR="005F6E9A" w:rsidRPr="00763963">
        <w:rPr>
          <w:rFonts w:asciiTheme="majorBidi" w:hAnsiTheme="majorBidi" w:cs="David"/>
          <w:sz w:val="24"/>
          <w:szCs w:val="24"/>
          <w:rtl/>
        </w:rPr>
        <w:t xml:space="preserve">. </w:t>
      </w:r>
      <w:r w:rsidR="003A4A5F" w:rsidRPr="00763963">
        <w:rPr>
          <w:rFonts w:asciiTheme="majorBidi" w:hAnsiTheme="majorBidi" w:cs="David"/>
          <w:sz w:val="24"/>
          <w:szCs w:val="24"/>
          <w:rtl/>
        </w:rPr>
        <w:t xml:space="preserve">השנייה, </w:t>
      </w:r>
      <w:r w:rsidR="0024132D" w:rsidRPr="00763963">
        <w:rPr>
          <w:rFonts w:asciiTheme="majorBidi" w:hAnsiTheme="majorBidi" w:cs="David"/>
          <w:sz w:val="24"/>
          <w:szCs w:val="24"/>
          <w:rtl/>
        </w:rPr>
        <w:t>היא זאת הנוגעת להתנהגות ואורח חיים של ההורה החורג, אליה חשוף הילד ובמשתמע שותף, ואשר יש בה פגיעה באמונתו ואורחות חייו של ה</w:t>
      </w:r>
      <w:r w:rsidR="00C9525B">
        <w:rPr>
          <w:rFonts w:asciiTheme="majorBidi" w:hAnsiTheme="majorBidi" w:cs="David" w:hint="cs"/>
          <w:sz w:val="24"/>
          <w:szCs w:val="24"/>
          <w:rtl/>
        </w:rPr>
        <w:t xml:space="preserve"> - </w:t>
      </w:r>
      <w:r w:rsidR="00C9525B">
        <w:rPr>
          <w:rFonts w:asciiTheme="majorBidi" w:hAnsiTheme="majorBidi" w:cs="David"/>
          <w:sz w:val="24"/>
          <w:szCs w:val="24"/>
        </w:rPr>
        <w:t>nonresidential parent</w:t>
      </w:r>
      <w:r w:rsidR="0024132D" w:rsidRPr="00763963">
        <w:rPr>
          <w:rFonts w:asciiTheme="majorBidi" w:hAnsiTheme="majorBidi" w:cs="David"/>
          <w:sz w:val="24"/>
          <w:szCs w:val="24"/>
          <w:rtl/>
        </w:rPr>
        <w:t xml:space="preserve">. </w:t>
      </w:r>
      <w:r w:rsidR="005A0348">
        <w:rPr>
          <w:rFonts w:asciiTheme="majorBidi" w:hAnsiTheme="majorBidi" w:cs="David"/>
          <w:sz w:val="24"/>
          <w:szCs w:val="24"/>
          <w:rtl/>
        </w:rPr>
        <w:tab/>
      </w:r>
    </w:p>
    <w:p w14:paraId="673CFE54" w14:textId="1AFA61DA" w:rsidR="0036322F" w:rsidRPr="00763963" w:rsidRDefault="0036322F" w:rsidP="00C9525B">
      <w:pPr>
        <w:spacing w:line="480" w:lineRule="auto"/>
        <w:jc w:val="both"/>
        <w:rPr>
          <w:rFonts w:asciiTheme="majorBidi" w:hAnsiTheme="majorBidi" w:cs="David"/>
          <w:sz w:val="24"/>
          <w:szCs w:val="24"/>
          <w:rtl/>
        </w:rPr>
      </w:pPr>
      <w:r w:rsidRPr="00763963">
        <w:rPr>
          <w:rFonts w:asciiTheme="majorBidi" w:hAnsiTheme="majorBidi" w:cs="David"/>
          <w:sz w:val="24"/>
          <w:szCs w:val="24"/>
          <w:rtl/>
        </w:rPr>
        <w:t xml:space="preserve">מאחר שהמשפט אינו מכיר </w:t>
      </w:r>
      <w:r w:rsidR="008E44B6" w:rsidRPr="00763963">
        <w:rPr>
          <w:rFonts w:asciiTheme="majorBidi" w:hAnsiTheme="majorBidi" w:cs="David"/>
          <w:sz w:val="24"/>
          <w:szCs w:val="24"/>
          <w:rtl/>
        </w:rPr>
        <w:t xml:space="preserve">כיום </w:t>
      </w:r>
      <w:r w:rsidRPr="00763963">
        <w:rPr>
          <w:rFonts w:asciiTheme="majorBidi" w:hAnsiTheme="majorBidi" w:cs="David"/>
          <w:sz w:val="24"/>
          <w:szCs w:val="24"/>
          <w:rtl/>
        </w:rPr>
        <w:t>בזיקה בין ההורה החורג ל</w:t>
      </w:r>
      <w:r w:rsidR="00B5302F">
        <w:rPr>
          <w:rFonts w:asciiTheme="majorBidi" w:hAnsiTheme="majorBidi" w:cs="David" w:hint="cs"/>
          <w:sz w:val="24"/>
          <w:szCs w:val="24"/>
          <w:rtl/>
        </w:rPr>
        <w:t xml:space="preserve"> </w:t>
      </w:r>
      <w:r w:rsidR="00B5302F">
        <w:rPr>
          <w:rFonts w:asciiTheme="majorBidi" w:hAnsiTheme="majorBidi" w:cs="David"/>
          <w:sz w:val="24"/>
          <w:szCs w:val="24"/>
        </w:rPr>
        <w:t>nonresidential legal  parent</w:t>
      </w:r>
      <w:r w:rsidR="00B5302F">
        <w:rPr>
          <w:rFonts w:asciiTheme="majorBidi" w:hAnsiTheme="majorBidi" w:cs="David" w:hint="cs"/>
          <w:sz w:val="24"/>
          <w:szCs w:val="24"/>
          <w:rtl/>
        </w:rPr>
        <w:t xml:space="preserve"> </w:t>
      </w:r>
      <w:r w:rsidRPr="00763963">
        <w:rPr>
          <w:rFonts w:asciiTheme="majorBidi" w:hAnsiTheme="majorBidi" w:cs="David"/>
          <w:sz w:val="24"/>
          <w:szCs w:val="24"/>
          <w:rtl/>
        </w:rPr>
        <w:t xml:space="preserve">ולפיכך </w:t>
      </w:r>
      <w:r w:rsidR="001E4F90" w:rsidRPr="00763963">
        <w:rPr>
          <w:rFonts w:asciiTheme="majorBidi" w:hAnsiTheme="majorBidi" w:cs="David"/>
          <w:sz w:val="24"/>
          <w:szCs w:val="24"/>
          <w:rtl/>
        </w:rPr>
        <w:t xml:space="preserve">אינו מטיל על ההורה החורג חובות </w:t>
      </w:r>
      <w:r w:rsidR="006944CE">
        <w:rPr>
          <w:rFonts w:asciiTheme="majorBidi" w:hAnsiTheme="majorBidi" w:cs="David" w:hint="cs"/>
          <w:sz w:val="24"/>
          <w:szCs w:val="24"/>
          <w:rtl/>
        </w:rPr>
        <w:t>כלפי ה</w:t>
      </w:r>
      <w:r w:rsidR="00C9525B">
        <w:rPr>
          <w:rFonts w:asciiTheme="majorBidi" w:hAnsiTheme="majorBidi" w:cs="David" w:hint="cs"/>
          <w:sz w:val="24"/>
          <w:szCs w:val="24"/>
          <w:rtl/>
        </w:rPr>
        <w:t xml:space="preserve"> </w:t>
      </w:r>
      <w:r w:rsidR="00C9525B">
        <w:rPr>
          <w:rFonts w:asciiTheme="majorBidi" w:hAnsiTheme="majorBidi" w:cs="David"/>
          <w:sz w:val="24"/>
          <w:szCs w:val="24"/>
        </w:rPr>
        <w:t>nonresidential parent</w:t>
      </w:r>
      <w:r w:rsidRPr="00763963">
        <w:rPr>
          <w:rFonts w:asciiTheme="majorBidi" w:hAnsiTheme="majorBidi" w:cs="David"/>
          <w:sz w:val="24"/>
          <w:szCs w:val="24"/>
          <w:rtl/>
        </w:rPr>
        <w:t xml:space="preserve">, </w:t>
      </w:r>
      <w:r w:rsidR="00054195">
        <w:rPr>
          <w:rFonts w:asciiTheme="majorBidi" w:hAnsiTheme="majorBidi" w:cs="David" w:hint="cs"/>
          <w:sz w:val="24"/>
          <w:szCs w:val="24"/>
          <w:rtl/>
        </w:rPr>
        <w:t>יוצע</w:t>
      </w:r>
      <w:r w:rsidRPr="00763963">
        <w:rPr>
          <w:rFonts w:asciiTheme="majorBidi" w:hAnsiTheme="majorBidi" w:cs="David"/>
          <w:sz w:val="24"/>
          <w:szCs w:val="24"/>
          <w:rtl/>
        </w:rPr>
        <w:t xml:space="preserve"> לרתום את</w:t>
      </w:r>
      <w:r w:rsidR="00682F6F">
        <w:rPr>
          <w:rFonts w:asciiTheme="majorBidi" w:hAnsiTheme="majorBidi" w:cs="David" w:hint="cs"/>
          <w:sz w:val="24"/>
          <w:szCs w:val="24"/>
          <w:rtl/>
        </w:rPr>
        <w:t xml:space="preserve"> ה- </w:t>
      </w:r>
      <w:r w:rsidR="00682F6F">
        <w:rPr>
          <w:rFonts w:asciiTheme="majorBidi" w:hAnsiTheme="majorBidi" w:cs="David"/>
          <w:sz w:val="24"/>
          <w:szCs w:val="24"/>
        </w:rPr>
        <w:t>fiduciary</w:t>
      </w:r>
      <w:r w:rsidR="00682F6F">
        <w:rPr>
          <w:rFonts w:asciiTheme="majorBidi" w:hAnsiTheme="majorBidi" w:cs="David" w:hint="cs"/>
          <w:sz w:val="24"/>
          <w:szCs w:val="24"/>
          <w:rtl/>
        </w:rPr>
        <w:t xml:space="preserve"> </w:t>
      </w:r>
      <w:r w:rsidR="006778A6">
        <w:rPr>
          <w:rFonts w:asciiTheme="majorBidi" w:hAnsiTheme="majorBidi" w:cs="David" w:hint="cs"/>
          <w:sz w:val="24"/>
          <w:szCs w:val="24"/>
          <w:rtl/>
        </w:rPr>
        <w:t>ו</w:t>
      </w:r>
      <w:r w:rsidRPr="00763963">
        <w:rPr>
          <w:rFonts w:asciiTheme="majorBidi" w:hAnsiTheme="majorBidi" w:cs="David"/>
          <w:sz w:val="24"/>
          <w:szCs w:val="24"/>
          <w:rtl/>
        </w:rPr>
        <w:t>לגזור</w:t>
      </w:r>
      <w:r w:rsidR="006778A6">
        <w:rPr>
          <w:rFonts w:asciiTheme="majorBidi" w:hAnsiTheme="majorBidi" w:cs="David" w:hint="cs"/>
          <w:sz w:val="24"/>
          <w:szCs w:val="24"/>
          <w:rtl/>
        </w:rPr>
        <w:t xml:space="preserve"> ממנה</w:t>
      </w:r>
      <w:r w:rsidRPr="00763963">
        <w:rPr>
          <w:rFonts w:asciiTheme="majorBidi" w:hAnsiTheme="majorBidi" w:cs="David"/>
          <w:sz w:val="24"/>
          <w:szCs w:val="24"/>
          <w:rtl/>
        </w:rPr>
        <w:t>, למשל, את החובה להימנע מלהסית את הילד כנגד ה</w:t>
      </w:r>
      <w:r w:rsidR="00C9525B">
        <w:rPr>
          <w:rFonts w:asciiTheme="majorBidi" w:hAnsiTheme="majorBidi" w:cs="David" w:hint="cs"/>
          <w:sz w:val="24"/>
          <w:szCs w:val="24"/>
          <w:rtl/>
        </w:rPr>
        <w:t xml:space="preserve"> </w:t>
      </w:r>
      <w:r w:rsidR="00C9525B">
        <w:rPr>
          <w:rFonts w:asciiTheme="majorBidi" w:hAnsiTheme="majorBidi" w:cs="David"/>
          <w:sz w:val="24"/>
          <w:szCs w:val="24"/>
        </w:rPr>
        <w:t>nonresidential parent</w:t>
      </w:r>
      <w:r w:rsidRPr="00763963">
        <w:rPr>
          <w:rFonts w:asciiTheme="majorBidi" w:hAnsiTheme="majorBidi" w:cs="David"/>
          <w:sz w:val="24"/>
          <w:szCs w:val="24"/>
          <w:rtl/>
        </w:rPr>
        <w:t>, בהקשר של הדוגמה הראשונה, או</w:t>
      </w:r>
      <w:r w:rsidR="006778A6">
        <w:rPr>
          <w:rFonts w:asciiTheme="majorBidi" w:hAnsiTheme="majorBidi" w:cs="David" w:hint="cs"/>
          <w:sz w:val="24"/>
          <w:szCs w:val="24"/>
          <w:rtl/>
        </w:rPr>
        <w:t xml:space="preserve"> את החובה</w:t>
      </w:r>
      <w:r w:rsidRPr="00763963">
        <w:rPr>
          <w:rFonts w:asciiTheme="majorBidi" w:hAnsiTheme="majorBidi" w:cs="David"/>
          <w:sz w:val="24"/>
          <w:szCs w:val="24"/>
          <w:rtl/>
        </w:rPr>
        <w:t xml:space="preserve"> להימנע מהתנהגות שיש בה פגיעה בכבודו ובאמונתו של ה</w:t>
      </w:r>
      <w:r w:rsidR="00C9525B">
        <w:rPr>
          <w:rFonts w:asciiTheme="majorBidi" w:hAnsiTheme="majorBidi" w:cs="David" w:hint="cs"/>
          <w:sz w:val="24"/>
          <w:szCs w:val="24"/>
          <w:rtl/>
        </w:rPr>
        <w:t xml:space="preserve"> </w:t>
      </w:r>
      <w:r w:rsidR="00C9525B">
        <w:rPr>
          <w:rFonts w:asciiTheme="majorBidi" w:hAnsiTheme="majorBidi" w:cs="David"/>
          <w:sz w:val="24"/>
          <w:szCs w:val="24"/>
        </w:rPr>
        <w:t>nonresidential parent</w:t>
      </w:r>
      <w:r w:rsidRPr="00763963">
        <w:rPr>
          <w:rFonts w:asciiTheme="majorBidi" w:hAnsiTheme="majorBidi" w:cs="David"/>
          <w:sz w:val="24"/>
          <w:szCs w:val="24"/>
          <w:rtl/>
        </w:rPr>
        <w:t xml:space="preserve">, </w:t>
      </w:r>
      <w:r w:rsidR="00080D51" w:rsidRPr="00763963">
        <w:rPr>
          <w:rFonts w:asciiTheme="majorBidi" w:hAnsiTheme="majorBidi" w:cs="David"/>
          <w:sz w:val="24"/>
          <w:szCs w:val="24"/>
          <w:rtl/>
        </w:rPr>
        <w:t>בהקשרה של ה</w:t>
      </w:r>
      <w:r w:rsidRPr="00763963">
        <w:rPr>
          <w:rFonts w:asciiTheme="majorBidi" w:hAnsiTheme="majorBidi" w:cs="David"/>
          <w:sz w:val="24"/>
          <w:szCs w:val="24"/>
          <w:rtl/>
        </w:rPr>
        <w:t>דוגמה השנייה.</w:t>
      </w:r>
      <w:r w:rsidR="001E4F90" w:rsidRPr="00763963">
        <w:rPr>
          <w:rFonts w:asciiTheme="majorBidi" w:hAnsiTheme="majorBidi" w:cs="David"/>
          <w:sz w:val="24"/>
          <w:szCs w:val="24"/>
          <w:rtl/>
        </w:rPr>
        <w:t xml:space="preserve"> </w:t>
      </w:r>
    </w:p>
    <w:p w14:paraId="29F5C8A4" w14:textId="0725E68E" w:rsidR="0024132D" w:rsidRPr="00763963" w:rsidRDefault="00474B23" w:rsidP="00C9525B">
      <w:pPr>
        <w:spacing w:line="480" w:lineRule="auto"/>
        <w:jc w:val="both"/>
        <w:rPr>
          <w:rFonts w:asciiTheme="majorBidi" w:hAnsiTheme="majorBidi" w:cs="David"/>
          <w:sz w:val="24"/>
          <w:szCs w:val="24"/>
          <w:rtl/>
        </w:rPr>
      </w:pPr>
      <w:r>
        <w:rPr>
          <w:rFonts w:asciiTheme="majorBidi" w:hAnsiTheme="majorBidi" w:cs="David" w:hint="cs"/>
          <w:sz w:val="24"/>
          <w:szCs w:val="24"/>
          <w:rtl/>
        </w:rPr>
        <w:t xml:space="preserve">מאמר זה אינו מתיימר לטעון כי הדין הנוכחי אינו יכול לספק תשובה למצב האמור. </w:t>
      </w:r>
      <w:r w:rsidR="0024132D" w:rsidRPr="00763963">
        <w:rPr>
          <w:rFonts w:asciiTheme="majorBidi" w:hAnsiTheme="majorBidi" w:cs="David"/>
          <w:sz w:val="24"/>
          <w:szCs w:val="24"/>
          <w:rtl/>
        </w:rPr>
        <w:t>הדין הקיים כיום עשוי להציע מענה לסיטואציות אל</w:t>
      </w:r>
      <w:r w:rsidR="0036322F" w:rsidRPr="00763963">
        <w:rPr>
          <w:rFonts w:asciiTheme="majorBidi" w:hAnsiTheme="majorBidi" w:cs="David"/>
          <w:sz w:val="24"/>
          <w:szCs w:val="24"/>
          <w:rtl/>
        </w:rPr>
        <w:t>ה</w:t>
      </w:r>
      <w:r w:rsidR="0024132D" w:rsidRPr="00763963">
        <w:rPr>
          <w:rFonts w:asciiTheme="majorBidi" w:hAnsiTheme="majorBidi" w:cs="David"/>
          <w:sz w:val="24"/>
          <w:szCs w:val="24"/>
          <w:rtl/>
        </w:rPr>
        <w:t xml:space="preserve"> באמצעות </w:t>
      </w:r>
      <w:r w:rsidR="0036322F" w:rsidRPr="00763963">
        <w:rPr>
          <w:rFonts w:asciiTheme="majorBidi" w:hAnsiTheme="majorBidi" w:cs="David"/>
          <w:sz w:val="24"/>
          <w:szCs w:val="24"/>
          <w:rtl/>
        </w:rPr>
        <w:t>בסיסים</w:t>
      </w:r>
      <w:r w:rsidR="0024132D" w:rsidRPr="00763963">
        <w:rPr>
          <w:rFonts w:asciiTheme="majorBidi" w:hAnsiTheme="majorBidi" w:cs="David"/>
          <w:sz w:val="24"/>
          <w:szCs w:val="24"/>
          <w:rtl/>
        </w:rPr>
        <w:t xml:space="preserve"> משפטיים</w:t>
      </w:r>
      <w:r w:rsidR="001E4F90" w:rsidRPr="00763963">
        <w:rPr>
          <w:rFonts w:asciiTheme="majorBidi" w:hAnsiTheme="majorBidi" w:cs="David"/>
          <w:sz w:val="24"/>
          <w:szCs w:val="24"/>
          <w:rtl/>
        </w:rPr>
        <w:t xml:space="preserve"> חלופיים</w:t>
      </w:r>
      <w:r w:rsidR="0024132D" w:rsidRPr="00763963">
        <w:rPr>
          <w:rFonts w:asciiTheme="majorBidi" w:hAnsiTheme="majorBidi" w:cs="David"/>
          <w:sz w:val="24"/>
          <w:szCs w:val="24"/>
          <w:rtl/>
        </w:rPr>
        <w:t xml:space="preserve"> – </w:t>
      </w:r>
      <w:r w:rsidR="006D25F6" w:rsidRPr="00763963">
        <w:rPr>
          <w:rFonts w:asciiTheme="majorBidi" w:hAnsiTheme="majorBidi" w:cs="David"/>
          <w:sz w:val="24"/>
          <w:szCs w:val="24"/>
          <w:rtl/>
        </w:rPr>
        <w:t xml:space="preserve">זכויות ההורה </w:t>
      </w:r>
      <w:r w:rsidR="0024132D" w:rsidRPr="00763963">
        <w:rPr>
          <w:rFonts w:asciiTheme="majorBidi" w:hAnsiTheme="majorBidi" w:cs="David"/>
          <w:sz w:val="24"/>
          <w:szCs w:val="24"/>
          <w:rtl/>
        </w:rPr>
        <w:t xml:space="preserve">מצד אחד, </w:t>
      </w:r>
      <w:r w:rsidR="006D25F6">
        <w:rPr>
          <w:rFonts w:asciiTheme="majorBidi" w:hAnsiTheme="majorBidi" w:cs="David" w:hint="cs"/>
          <w:sz w:val="24"/>
          <w:szCs w:val="24"/>
          <w:rtl/>
        </w:rPr>
        <w:t>ו</w:t>
      </w:r>
      <w:r w:rsidR="006D25F6" w:rsidRPr="00763963">
        <w:rPr>
          <w:rFonts w:asciiTheme="majorBidi" w:hAnsiTheme="majorBidi" w:cs="David"/>
          <w:sz w:val="24"/>
          <w:szCs w:val="24"/>
          <w:rtl/>
        </w:rPr>
        <w:t>טובת הילד</w:t>
      </w:r>
      <w:r w:rsidR="0024132D" w:rsidRPr="00763963">
        <w:rPr>
          <w:rFonts w:asciiTheme="majorBidi" w:hAnsiTheme="majorBidi" w:cs="David"/>
          <w:sz w:val="24"/>
          <w:szCs w:val="24"/>
          <w:rtl/>
        </w:rPr>
        <w:t>, מצד שני.</w:t>
      </w:r>
      <w:r w:rsidR="001E4F90" w:rsidRPr="00763963">
        <w:rPr>
          <w:rFonts w:asciiTheme="majorBidi" w:hAnsiTheme="majorBidi" w:cs="David"/>
          <w:sz w:val="24"/>
          <w:szCs w:val="24"/>
          <w:rtl/>
        </w:rPr>
        <w:t xml:space="preserve"> בנוסף, אפשר לטעון כי מענה </w:t>
      </w:r>
      <w:r w:rsidR="00054195">
        <w:rPr>
          <w:rFonts w:asciiTheme="majorBidi" w:hAnsiTheme="majorBidi" w:cs="David" w:hint="cs"/>
          <w:sz w:val="24"/>
          <w:szCs w:val="24"/>
          <w:rtl/>
        </w:rPr>
        <w:t>נוסף</w:t>
      </w:r>
      <w:r w:rsidR="001E4F90" w:rsidRPr="00763963">
        <w:rPr>
          <w:rFonts w:asciiTheme="majorBidi" w:hAnsiTheme="majorBidi" w:cs="David"/>
          <w:sz w:val="24"/>
          <w:szCs w:val="24"/>
          <w:rtl/>
        </w:rPr>
        <w:t xml:space="preserve"> ניתן לבסס דרך חובות המוטלות על ההורה המשפטי השני</w:t>
      </w:r>
      <w:r w:rsidR="006944CE">
        <w:rPr>
          <w:rFonts w:asciiTheme="majorBidi" w:hAnsiTheme="majorBidi" w:cs="David" w:hint="cs"/>
          <w:sz w:val="24"/>
          <w:szCs w:val="24"/>
          <w:rtl/>
        </w:rPr>
        <w:t xml:space="preserve"> (</w:t>
      </w:r>
      <w:r w:rsidR="00C9525B">
        <w:rPr>
          <w:rFonts w:asciiTheme="majorBidi" w:hAnsiTheme="majorBidi" w:cs="David"/>
          <w:sz w:val="24"/>
          <w:szCs w:val="24"/>
        </w:rPr>
        <w:t>residential</w:t>
      </w:r>
      <w:r w:rsidR="006944CE">
        <w:rPr>
          <w:rFonts w:asciiTheme="majorBidi" w:hAnsiTheme="majorBidi" w:cs="David" w:hint="cs"/>
          <w:sz w:val="24"/>
          <w:szCs w:val="24"/>
          <w:rtl/>
        </w:rPr>
        <w:t>)</w:t>
      </w:r>
      <w:r w:rsidR="001E4F90" w:rsidRPr="00763963">
        <w:rPr>
          <w:rFonts w:asciiTheme="majorBidi" w:hAnsiTheme="majorBidi" w:cs="David"/>
          <w:sz w:val="24"/>
          <w:szCs w:val="24"/>
          <w:rtl/>
        </w:rPr>
        <w:t xml:space="preserve"> ביחס לבן זוגו לשעבר</w:t>
      </w:r>
      <w:r w:rsidR="00C9525B">
        <w:rPr>
          <w:rFonts w:asciiTheme="majorBidi" w:hAnsiTheme="majorBidi" w:cs="David" w:hint="cs"/>
          <w:sz w:val="24"/>
          <w:szCs w:val="24"/>
          <w:rtl/>
        </w:rPr>
        <w:t xml:space="preserve"> (</w:t>
      </w:r>
      <w:r w:rsidR="00C9525B">
        <w:rPr>
          <w:rFonts w:asciiTheme="majorBidi" w:hAnsiTheme="majorBidi" w:cs="David"/>
          <w:sz w:val="24"/>
          <w:szCs w:val="24"/>
        </w:rPr>
        <w:t>nonresidential parent</w:t>
      </w:r>
      <w:r w:rsidR="00C9525B">
        <w:rPr>
          <w:rFonts w:asciiTheme="majorBidi" w:hAnsiTheme="majorBidi" w:cs="David" w:hint="cs"/>
          <w:sz w:val="24"/>
          <w:szCs w:val="24"/>
          <w:rtl/>
        </w:rPr>
        <w:t>)</w:t>
      </w:r>
      <w:r w:rsidR="001E4F90" w:rsidRPr="00763963">
        <w:rPr>
          <w:rFonts w:asciiTheme="majorBidi" w:hAnsiTheme="majorBidi" w:cs="David"/>
          <w:sz w:val="24"/>
          <w:szCs w:val="24"/>
          <w:rtl/>
        </w:rPr>
        <w:t xml:space="preserve">. </w:t>
      </w:r>
      <w:r w:rsidR="0024132D" w:rsidRPr="00763963">
        <w:rPr>
          <w:rFonts w:asciiTheme="majorBidi" w:hAnsiTheme="majorBidi" w:cs="David"/>
          <w:sz w:val="24"/>
          <w:szCs w:val="24"/>
          <w:rtl/>
        </w:rPr>
        <w:t xml:space="preserve">מאמר זה יבקש להסביר מדוע בסיסים משפטיים אלה </w:t>
      </w:r>
      <w:r w:rsidR="00863B25" w:rsidRPr="00763963">
        <w:rPr>
          <w:rFonts w:asciiTheme="majorBidi" w:hAnsiTheme="majorBidi" w:cs="David"/>
          <w:sz w:val="24"/>
          <w:szCs w:val="24"/>
          <w:rtl/>
        </w:rPr>
        <w:t xml:space="preserve">אינם </w:t>
      </w:r>
      <w:r w:rsidR="001C32AD">
        <w:rPr>
          <w:rFonts w:asciiTheme="majorBidi" w:hAnsiTheme="majorBidi" w:cs="David" w:hint="cs"/>
          <w:sz w:val="24"/>
          <w:szCs w:val="24"/>
          <w:rtl/>
        </w:rPr>
        <w:t>אופטימאליים</w:t>
      </w:r>
      <w:r w:rsidR="00863B25" w:rsidRPr="00763963">
        <w:rPr>
          <w:rFonts w:asciiTheme="majorBidi" w:hAnsiTheme="majorBidi" w:cs="David"/>
          <w:sz w:val="24"/>
          <w:szCs w:val="24"/>
          <w:rtl/>
        </w:rPr>
        <w:t>, וכיצד יש בפיתוח המוצע של קונספט האמונאות</w:t>
      </w:r>
      <w:r w:rsidR="00682F6F">
        <w:rPr>
          <w:rFonts w:asciiTheme="majorBidi" w:hAnsiTheme="majorBidi" w:cs="David" w:hint="cs"/>
          <w:sz w:val="24"/>
          <w:szCs w:val="24"/>
          <w:rtl/>
        </w:rPr>
        <w:t>, במובן שיוצע לו כאן,</w:t>
      </w:r>
      <w:r w:rsidR="00863B25" w:rsidRPr="00763963">
        <w:rPr>
          <w:rFonts w:asciiTheme="majorBidi" w:hAnsiTheme="majorBidi" w:cs="David"/>
          <w:sz w:val="24"/>
          <w:szCs w:val="24"/>
          <w:rtl/>
        </w:rPr>
        <w:t xml:space="preserve"> כדי להציע מתווה </w:t>
      </w:r>
      <w:r w:rsidR="00523BDA">
        <w:rPr>
          <w:rFonts w:asciiTheme="majorBidi" w:hAnsiTheme="majorBidi" w:cs="David" w:hint="cs"/>
          <w:sz w:val="24"/>
          <w:szCs w:val="24"/>
          <w:rtl/>
        </w:rPr>
        <w:t>מתאים</w:t>
      </w:r>
      <w:r w:rsidR="00863B25" w:rsidRPr="00763963">
        <w:rPr>
          <w:rFonts w:asciiTheme="majorBidi" w:hAnsiTheme="majorBidi" w:cs="David"/>
          <w:sz w:val="24"/>
          <w:szCs w:val="24"/>
          <w:rtl/>
        </w:rPr>
        <w:t xml:space="preserve"> י</w:t>
      </w:r>
      <w:r w:rsidR="0036322F" w:rsidRPr="00763963">
        <w:rPr>
          <w:rFonts w:asciiTheme="majorBidi" w:hAnsiTheme="majorBidi" w:cs="David"/>
          <w:sz w:val="24"/>
          <w:szCs w:val="24"/>
          <w:rtl/>
        </w:rPr>
        <w:t>ותר למענה לסוגיות המתוארות</w:t>
      </w:r>
      <w:r w:rsidR="00A8423C" w:rsidRPr="00763963">
        <w:rPr>
          <w:rFonts w:asciiTheme="majorBidi" w:hAnsiTheme="majorBidi" w:cs="David"/>
          <w:sz w:val="24"/>
          <w:szCs w:val="24"/>
          <w:rtl/>
        </w:rPr>
        <w:t xml:space="preserve"> ובאופן פוטנציאלי לסוגיות נוספות המאפיינות את המשפחה (ואת דיני המשפחה) </w:t>
      </w:r>
      <w:r w:rsidR="00DD0108">
        <w:rPr>
          <w:rFonts w:asciiTheme="majorBidi" w:hAnsiTheme="majorBidi" w:cs="David" w:hint="cs"/>
          <w:sz w:val="24"/>
          <w:szCs w:val="24"/>
          <w:rtl/>
        </w:rPr>
        <w:t>כיום</w:t>
      </w:r>
      <w:r w:rsidR="00054195">
        <w:rPr>
          <w:rFonts w:asciiTheme="majorBidi" w:hAnsiTheme="majorBidi" w:cs="David" w:hint="cs"/>
          <w:sz w:val="24"/>
          <w:szCs w:val="24"/>
          <w:rtl/>
        </w:rPr>
        <w:t xml:space="preserve">, מעבר ליחסי </w:t>
      </w:r>
      <w:r w:rsidR="00C9525B">
        <w:rPr>
          <w:rFonts w:asciiTheme="majorBidi" w:hAnsiTheme="majorBidi" w:cs="David"/>
          <w:sz w:val="24"/>
          <w:szCs w:val="24"/>
        </w:rPr>
        <w:t>nonresidential parent</w:t>
      </w:r>
      <w:r w:rsidR="00C9525B">
        <w:rPr>
          <w:rFonts w:asciiTheme="majorBidi" w:hAnsiTheme="majorBidi" w:cs="David" w:hint="cs"/>
          <w:sz w:val="24"/>
          <w:szCs w:val="24"/>
          <w:rtl/>
        </w:rPr>
        <w:t xml:space="preserve"> </w:t>
      </w:r>
      <w:r w:rsidR="00054195">
        <w:rPr>
          <w:rFonts w:asciiTheme="majorBidi" w:hAnsiTheme="majorBidi" w:cs="David" w:hint="cs"/>
          <w:sz w:val="24"/>
          <w:szCs w:val="24"/>
          <w:rtl/>
        </w:rPr>
        <w:t>-הורה חורג</w:t>
      </w:r>
      <w:r w:rsidR="0036322F" w:rsidRPr="00763963">
        <w:rPr>
          <w:rFonts w:asciiTheme="majorBidi" w:hAnsiTheme="majorBidi" w:cs="David"/>
          <w:sz w:val="24"/>
          <w:szCs w:val="24"/>
          <w:rtl/>
        </w:rPr>
        <w:t xml:space="preserve">. </w:t>
      </w:r>
    </w:p>
    <w:p w14:paraId="551EF32D" w14:textId="77C44D04" w:rsidR="007E3289" w:rsidRDefault="007E3289" w:rsidP="00A44867">
      <w:pPr>
        <w:spacing w:line="480" w:lineRule="auto"/>
        <w:jc w:val="both"/>
        <w:rPr>
          <w:rFonts w:asciiTheme="majorBidi" w:hAnsiTheme="majorBidi" w:cs="David"/>
          <w:sz w:val="24"/>
          <w:szCs w:val="24"/>
          <w:rtl/>
        </w:rPr>
      </w:pPr>
      <w:r w:rsidRPr="00A44867">
        <w:rPr>
          <w:rFonts w:asciiTheme="majorBidi" w:hAnsiTheme="majorBidi" w:cs="David" w:hint="cs"/>
          <w:sz w:val="24"/>
          <w:szCs w:val="24"/>
          <w:rtl/>
        </w:rPr>
        <w:t>חלקו הראשון</w:t>
      </w:r>
      <w:r w:rsidR="00080D51" w:rsidRPr="00A44867">
        <w:rPr>
          <w:rFonts w:asciiTheme="majorBidi" w:hAnsiTheme="majorBidi" w:cs="David"/>
          <w:sz w:val="24"/>
          <w:szCs w:val="24"/>
          <w:rtl/>
        </w:rPr>
        <w:t xml:space="preserve"> של המאמר </w:t>
      </w:r>
      <w:r w:rsidRPr="00A44867">
        <w:rPr>
          <w:rFonts w:asciiTheme="majorBidi" w:hAnsiTheme="majorBidi" w:cs="David"/>
          <w:sz w:val="24"/>
          <w:szCs w:val="24"/>
          <w:rtl/>
        </w:rPr>
        <w:t xml:space="preserve">יבחן </w:t>
      </w:r>
      <w:r w:rsidRPr="00A44867">
        <w:rPr>
          <w:rFonts w:asciiTheme="majorBidi" w:hAnsiTheme="majorBidi" w:cs="David" w:hint="cs"/>
          <w:sz w:val="24"/>
          <w:szCs w:val="24"/>
          <w:rtl/>
        </w:rPr>
        <w:t>את</w:t>
      </w:r>
      <w:r w:rsidRPr="00A44867">
        <w:rPr>
          <w:rFonts w:asciiTheme="majorBidi" w:hAnsiTheme="majorBidi" w:cs="David"/>
          <w:sz w:val="24"/>
          <w:szCs w:val="24"/>
          <w:rtl/>
        </w:rPr>
        <w:t xml:space="preserve"> היחסים בין הורה</w:t>
      </w:r>
      <w:r w:rsidRPr="00A44867">
        <w:rPr>
          <w:rFonts w:asciiTheme="majorBidi" w:hAnsiTheme="majorBidi" w:cs="David" w:hint="cs"/>
          <w:sz w:val="24"/>
          <w:szCs w:val="24"/>
          <w:rtl/>
        </w:rPr>
        <w:t xml:space="preserve"> </w:t>
      </w:r>
      <w:r w:rsidR="001C32AD" w:rsidRPr="00A44867">
        <w:rPr>
          <w:rFonts w:asciiTheme="majorBidi" w:hAnsiTheme="majorBidi" w:cs="David" w:hint="cs"/>
          <w:sz w:val="24"/>
          <w:szCs w:val="24"/>
          <w:rtl/>
        </w:rPr>
        <w:t>חורג</w:t>
      </w:r>
      <w:r w:rsidRPr="00A44867">
        <w:rPr>
          <w:rFonts w:asciiTheme="majorBidi" w:hAnsiTheme="majorBidi" w:cs="David"/>
          <w:sz w:val="24"/>
          <w:szCs w:val="24"/>
          <w:rtl/>
        </w:rPr>
        <w:t xml:space="preserve"> ל</w:t>
      </w:r>
      <w:r w:rsidR="00067102" w:rsidRPr="00A44867">
        <w:rPr>
          <w:rFonts w:asciiTheme="majorBidi" w:hAnsiTheme="majorBidi" w:cs="David" w:hint="cs"/>
          <w:sz w:val="24"/>
          <w:szCs w:val="24"/>
          <w:rtl/>
        </w:rPr>
        <w:t xml:space="preserve"> </w:t>
      </w:r>
      <w:r w:rsidR="00067102" w:rsidRPr="00A44867">
        <w:rPr>
          <w:rFonts w:asciiTheme="majorBidi" w:hAnsiTheme="majorBidi" w:cs="David"/>
          <w:sz w:val="24"/>
          <w:szCs w:val="24"/>
        </w:rPr>
        <w:t>nonresidential legal  parent</w:t>
      </w:r>
      <w:r w:rsidRPr="00A44867">
        <w:rPr>
          <w:rFonts w:asciiTheme="majorBidi" w:hAnsiTheme="majorBidi" w:cs="David"/>
          <w:sz w:val="24"/>
          <w:szCs w:val="24"/>
          <w:rtl/>
        </w:rPr>
        <w:t>, על</w:t>
      </w:r>
      <w:r w:rsidRPr="00763963">
        <w:rPr>
          <w:rFonts w:asciiTheme="majorBidi" w:hAnsiTheme="majorBidi" w:cs="David"/>
          <w:sz w:val="24"/>
          <w:szCs w:val="24"/>
          <w:rtl/>
        </w:rPr>
        <w:t xml:space="preserve"> רקע ריבוי </w:t>
      </w:r>
      <w:r w:rsidR="00B56FCB">
        <w:rPr>
          <w:rFonts w:asciiTheme="majorBidi" w:hAnsiTheme="majorBidi" w:cs="David" w:hint="cs"/>
          <w:sz w:val="24"/>
          <w:szCs w:val="24"/>
          <w:rtl/>
        </w:rPr>
        <w:t xml:space="preserve">ה- </w:t>
      </w:r>
      <w:r w:rsidR="00B56FCB" w:rsidRPr="00763963">
        <w:rPr>
          <w:rFonts w:asciiTheme="majorBidi" w:hAnsiTheme="majorBidi" w:cs="David"/>
          <w:sz w:val="24"/>
          <w:szCs w:val="24"/>
        </w:rPr>
        <w:t>blended</w:t>
      </w:r>
      <w:r w:rsidR="00B56FCB">
        <w:rPr>
          <w:rFonts w:asciiTheme="majorBidi" w:hAnsiTheme="majorBidi" w:cs="David"/>
          <w:sz w:val="24"/>
          <w:szCs w:val="24"/>
        </w:rPr>
        <w:t xml:space="preserve"> families</w:t>
      </w:r>
      <w:r w:rsidR="00B56FCB" w:rsidRPr="00763963">
        <w:rPr>
          <w:rFonts w:asciiTheme="majorBidi" w:hAnsiTheme="majorBidi" w:cs="David"/>
          <w:sz w:val="24"/>
          <w:szCs w:val="24"/>
        </w:rPr>
        <w:t xml:space="preserve"> </w:t>
      </w:r>
      <w:r w:rsidRPr="00763963">
        <w:rPr>
          <w:rFonts w:asciiTheme="majorBidi" w:hAnsiTheme="majorBidi" w:cs="David"/>
          <w:sz w:val="24"/>
          <w:szCs w:val="24"/>
          <w:rtl/>
        </w:rPr>
        <w:t xml:space="preserve"> המאפיין את העשורים האחרונים. נעמוד על </w:t>
      </w:r>
      <w:r>
        <w:rPr>
          <w:rFonts w:asciiTheme="majorBidi" w:hAnsiTheme="majorBidi" w:cs="David" w:hint="cs"/>
          <w:sz w:val="24"/>
          <w:szCs w:val="24"/>
          <w:rtl/>
        </w:rPr>
        <w:t>ההשפעה</w:t>
      </w:r>
      <w:r w:rsidR="002E40F2">
        <w:rPr>
          <w:rFonts w:asciiTheme="majorBidi" w:hAnsiTheme="majorBidi" w:cs="David" w:hint="cs"/>
          <w:sz w:val="24"/>
          <w:szCs w:val="24"/>
          <w:rtl/>
        </w:rPr>
        <w:t xml:space="preserve"> הפוטנציאלית</w:t>
      </w:r>
      <w:r>
        <w:rPr>
          <w:rFonts w:asciiTheme="majorBidi" w:hAnsiTheme="majorBidi" w:cs="David" w:hint="cs"/>
          <w:sz w:val="24"/>
          <w:szCs w:val="24"/>
          <w:rtl/>
        </w:rPr>
        <w:t xml:space="preserve"> הקיימת להורה חורג על ההורה </w:t>
      </w:r>
      <w:r w:rsidR="00A44867">
        <w:rPr>
          <w:rFonts w:asciiTheme="majorBidi" w:hAnsiTheme="majorBidi" w:cs="David" w:hint="cs"/>
          <w:sz w:val="24"/>
          <w:szCs w:val="24"/>
          <w:rtl/>
        </w:rPr>
        <w:t>הלא משמורן</w:t>
      </w:r>
      <w:r w:rsidRPr="00763963">
        <w:rPr>
          <w:rFonts w:asciiTheme="majorBidi" w:hAnsiTheme="majorBidi" w:cs="David"/>
          <w:sz w:val="24"/>
          <w:szCs w:val="24"/>
          <w:rtl/>
        </w:rPr>
        <w:t xml:space="preserve"> ו</w:t>
      </w:r>
      <w:r w:rsidR="002E40F2">
        <w:rPr>
          <w:rFonts w:asciiTheme="majorBidi" w:hAnsiTheme="majorBidi" w:cs="David" w:hint="cs"/>
          <w:sz w:val="24"/>
          <w:szCs w:val="24"/>
          <w:rtl/>
        </w:rPr>
        <w:t xml:space="preserve">נציג את </w:t>
      </w:r>
      <w:r w:rsidRPr="00763963">
        <w:rPr>
          <w:rFonts w:asciiTheme="majorBidi" w:hAnsiTheme="majorBidi" w:cs="David"/>
          <w:sz w:val="24"/>
          <w:szCs w:val="24"/>
          <w:rtl/>
        </w:rPr>
        <w:t>יחסיהם</w:t>
      </w:r>
      <w:r w:rsidR="00727A1D">
        <w:rPr>
          <w:rFonts w:asciiTheme="majorBidi" w:hAnsiTheme="majorBidi" w:cs="David" w:hint="cs"/>
          <w:sz w:val="24"/>
          <w:szCs w:val="24"/>
          <w:rtl/>
        </w:rPr>
        <w:t xml:space="preserve"> המורכבים</w:t>
      </w:r>
      <w:r w:rsidR="00B56FCB">
        <w:rPr>
          <w:rFonts w:asciiTheme="majorBidi" w:hAnsiTheme="majorBidi" w:cs="David" w:hint="cs"/>
          <w:sz w:val="24"/>
          <w:szCs w:val="24"/>
          <w:rtl/>
        </w:rPr>
        <w:t xml:space="preserve"> </w:t>
      </w:r>
      <w:r w:rsidR="00B56FCB">
        <w:rPr>
          <w:rFonts w:asciiTheme="majorBidi" w:hAnsiTheme="majorBidi" w:cs="David"/>
          <w:sz w:val="24"/>
          <w:szCs w:val="24"/>
        </w:rPr>
        <w:t>complexed(</w:t>
      </w:r>
      <w:r w:rsidRPr="00763963">
        <w:rPr>
          <w:rFonts w:asciiTheme="majorBidi" w:hAnsiTheme="majorBidi" w:cs="David"/>
          <w:sz w:val="24"/>
          <w:szCs w:val="24"/>
          <w:rtl/>
        </w:rPr>
        <w:t xml:space="preserve">. חלק זה יציג חלופות </w:t>
      </w:r>
      <w:r>
        <w:rPr>
          <w:rFonts w:asciiTheme="majorBidi" w:hAnsiTheme="majorBidi" w:cs="David" w:hint="cs"/>
          <w:sz w:val="24"/>
          <w:szCs w:val="24"/>
          <w:rtl/>
        </w:rPr>
        <w:t xml:space="preserve">אפשריות </w:t>
      </w:r>
      <w:r w:rsidRPr="00763963">
        <w:rPr>
          <w:rFonts w:asciiTheme="majorBidi" w:hAnsiTheme="majorBidi" w:cs="David"/>
          <w:sz w:val="24"/>
          <w:szCs w:val="24"/>
          <w:rtl/>
        </w:rPr>
        <w:t>להסדרת היחסים ביניהם</w:t>
      </w:r>
      <w:r w:rsidR="00B56FCB">
        <w:rPr>
          <w:rFonts w:asciiTheme="majorBidi" w:hAnsiTheme="majorBidi" w:cs="David" w:hint="cs"/>
          <w:sz w:val="24"/>
          <w:szCs w:val="24"/>
          <w:rtl/>
        </w:rPr>
        <w:t>, בהן,</w:t>
      </w:r>
      <w:r w:rsidRPr="00763963">
        <w:rPr>
          <w:rFonts w:asciiTheme="majorBidi" w:hAnsiTheme="majorBidi" w:cs="David"/>
          <w:sz w:val="24"/>
          <w:szCs w:val="24"/>
          <w:rtl/>
        </w:rPr>
        <w:t xml:space="preserve"> </w:t>
      </w:r>
      <w:r w:rsidR="006D25F6" w:rsidRPr="00763963">
        <w:rPr>
          <w:rFonts w:asciiTheme="majorBidi" w:hAnsiTheme="majorBidi" w:cs="David"/>
          <w:sz w:val="24"/>
          <w:szCs w:val="24"/>
          <w:rtl/>
        </w:rPr>
        <w:t>זכויות ההורה</w:t>
      </w:r>
      <w:r w:rsidRPr="00763963">
        <w:rPr>
          <w:rFonts w:asciiTheme="majorBidi" w:hAnsiTheme="majorBidi" w:cs="David"/>
          <w:sz w:val="24"/>
          <w:szCs w:val="24"/>
          <w:rtl/>
        </w:rPr>
        <w:t xml:space="preserve">, מחד, </w:t>
      </w:r>
      <w:r w:rsidR="006D25F6">
        <w:rPr>
          <w:rFonts w:asciiTheme="majorBidi" w:hAnsiTheme="majorBidi" w:cs="David" w:hint="cs"/>
          <w:sz w:val="24"/>
          <w:szCs w:val="24"/>
          <w:rtl/>
        </w:rPr>
        <w:t>ו</w:t>
      </w:r>
      <w:r w:rsidR="006D25F6" w:rsidRPr="00763963">
        <w:rPr>
          <w:rFonts w:asciiTheme="majorBidi" w:hAnsiTheme="majorBidi" w:cs="David"/>
          <w:sz w:val="24"/>
          <w:szCs w:val="24"/>
          <w:rtl/>
        </w:rPr>
        <w:t>טובת הילד</w:t>
      </w:r>
      <w:r w:rsidR="006D25F6">
        <w:rPr>
          <w:rFonts w:asciiTheme="majorBidi" w:hAnsiTheme="majorBidi" w:cs="David" w:hint="cs"/>
          <w:sz w:val="24"/>
          <w:szCs w:val="24"/>
          <w:rtl/>
        </w:rPr>
        <w:t>,</w:t>
      </w:r>
      <w:r w:rsidRPr="00763963">
        <w:rPr>
          <w:rFonts w:asciiTheme="majorBidi" w:hAnsiTheme="majorBidi" w:cs="David"/>
          <w:sz w:val="24"/>
          <w:szCs w:val="24"/>
          <w:rtl/>
        </w:rPr>
        <w:t xml:space="preserve"> מאידך, חלופות המוכרות </w:t>
      </w:r>
      <w:r w:rsidR="00E10290">
        <w:rPr>
          <w:rFonts w:asciiTheme="majorBidi" w:hAnsiTheme="majorBidi" w:cs="David" w:hint="cs"/>
          <w:sz w:val="24"/>
          <w:szCs w:val="24"/>
          <w:rtl/>
        </w:rPr>
        <w:t>בדין בהקשרים אחרים</w:t>
      </w:r>
      <w:r w:rsidRPr="00763963">
        <w:rPr>
          <w:rFonts w:asciiTheme="majorBidi" w:hAnsiTheme="majorBidi" w:cs="David"/>
          <w:sz w:val="24"/>
          <w:szCs w:val="24"/>
          <w:rtl/>
        </w:rPr>
        <w:t>, ואשר</w:t>
      </w:r>
      <w:r>
        <w:rPr>
          <w:rFonts w:asciiTheme="majorBidi" w:hAnsiTheme="majorBidi" w:cs="David"/>
          <w:sz w:val="24"/>
          <w:szCs w:val="24"/>
          <w:rtl/>
        </w:rPr>
        <w:t xml:space="preserve"> התאמת</w:t>
      </w:r>
      <w:r>
        <w:rPr>
          <w:rFonts w:asciiTheme="majorBidi" w:hAnsiTheme="majorBidi" w:cs="David" w:hint="cs"/>
          <w:sz w:val="24"/>
          <w:szCs w:val="24"/>
          <w:rtl/>
        </w:rPr>
        <w:t>ן</w:t>
      </w:r>
      <w:r w:rsidR="00AB08B6">
        <w:rPr>
          <w:rFonts w:asciiTheme="majorBidi" w:hAnsiTheme="majorBidi" w:cs="David" w:hint="cs"/>
          <w:sz w:val="24"/>
          <w:szCs w:val="24"/>
          <w:rtl/>
        </w:rPr>
        <w:t xml:space="preserve"> בהקשר זה</w:t>
      </w:r>
      <w:r w:rsidRPr="00763963">
        <w:rPr>
          <w:rFonts w:asciiTheme="majorBidi" w:hAnsiTheme="majorBidi" w:cs="David"/>
          <w:sz w:val="24"/>
          <w:szCs w:val="24"/>
          <w:rtl/>
        </w:rPr>
        <w:t>, כך אטען,</w:t>
      </w:r>
      <w:r>
        <w:rPr>
          <w:rFonts w:asciiTheme="majorBidi" w:hAnsiTheme="majorBidi" w:cs="David"/>
          <w:sz w:val="24"/>
          <w:szCs w:val="24"/>
          <w:rtl/>
        </w:rPr>
        <w:t xml:space="preserve"> </w:t>
      </w:r>
      <w:r w:rsidR="00727A1D">
        <w:rPr>
          <w:rFonts w:asciiTheme="majorBidi" w:hAnsiTheme="majorBidi" w:cs="David" w:hint="cs"/>
          <w:sz w:val="24"/>
          <w:szCs w:val="24"/>
          <w:rtl/>
        </w:rPr>
        <w:t>לוקה בחסר</w:t>
      </w:r>
      <w:r w:rsidRPr="00763963">
        <w:rPr>
          <w:rFonts w:asciiTheme="majorBidi" w:hAnsiTheme="majorBidi" w:cs="David"/>
          <w:sz w:val="24"/>
          <w:szCs w:val="24"/>
          <w:rtl/>
        </w:rPr>
        <w:t>.</w:t>
      </w:r>
      <w:r>
        <w:rPr>
          <w:rFonts w:asciiTheme="majorBidi" w:hAnsiTheme="majorBidi" w:cs="David" w:hint="cs"/>
          <w:sz w:val="24"/>
          <w:szCs w:val="24"/>
          <w:rtl/>
        </w:rPr>
        <w:t xml:space="preserve"> </w:t>
      </w:r>
    </w:p>
    <w:p w14:paraId="1F63D6A6" w14:textId="215C102E" w:rsidR="007E3289" w:rsidRDefault="007E3289" w:rsidP="00A44867">
      <w:pPr>
        <w:spacing w:line="480" w:lineRule="auto"/>
        <w:jc w:val="both"/>
        <w:rPr>
          <w:rFonts w:asciiTheme="majorBidi" w:hAnsiTheme="majorBidi" w:cs="David"/>
          <w:sz w:val="24"/>
          <w:szCs w:val="24"/>
          <w:rtl/>
        </w:rPr>
      </w:pPr>
      <w:r>
        <w:rPr>
          <w:rFonts w:asciiTheme="majorBidi" w:hAnsiTheme="majorBidi" w:cs="David" w:hint="cs"/>
          <w:sz w:val="24"/>
          <w:szCs w:val="24"/>
          <w:rtl/>
        </w:rPr>
        <w:t xml:space="preserve">לאחר שמערך היחסים המורכב בין </w:t>
      </w:r>
      <w:r w:rsidR="00067102">
        <w:rPr>
          <w:rFonts w:asciiTheme="majorBidi" w:hAnsiTheme="majorBidi" w:cs="David" w:hint="cs"/>
          <w:sz w:val="24"/>
          <w:szCs w:val="24"/>
          <w:rtl/>
        </w:rPr>
        <w:t xml:space="preserve">ה </w:t>
      </w:r>
      <w:r w:rsidR="00067102">
        <w:rPr>
          <w:rFonts w:asciiTheme="majorBidi" w:hAnsiTheme="majorBidi" w:cs="David"/>
          <w:sz w:val="24"/>
          <w:szCs w:val="24"/>
        </w:rPr>
        <w:t>nonresidential legal parent</w:t>
      </w:r>
      <w:r w:rsidR="00067102">
        <w:rPr>
          <w:rFonts w:asciiTheme="majorBidi" w:hAnsiTheme="majorBidi" w:cs="David" w:hint="cs"/>
          <w:sz w:val="24"/>
          <w:szCs w:val="24"/>
          <w:rtl/>
        </w:rPr>
        <w:t xml:space="preserve"> </w:t>
      </w:r>
      <w:r>
        <w:rPr>
          <w:rFonts w:asciiTheme="majorBidi" w:hAnsiTheme="majorBidi" w:cs="David" w:hint="cs"/>
          <w:sz w:val="24"/>
          <w:szCs w:val="24"/>
          <w:rtl/>
        </w:rPr>
        <w:t xml:space="preserve">להורה </w:t>
      </w:r>
      <w:r w:rsidR="00067102">
        <w:rPr>
          <w:rFonts w:asciiTheme="majorBidi" w:hAnsiTheme="majorBidi" w:cs="David" w:hint="cs"/>
          <w:sz w:val="24"/>
          <w:szCs w:val="24"/>
          <w:rtl/>
        </w:rPr>
        <w:t>ה</w:t>
      </w:r>
      <w:r>
        <w:rPr>
          <w:rFonts w:asciiTheme="majorBidi" w:hAnsiTheme="majorBidi" w:cs="David" w:hint="cs"/>
          <w:sz w:val="24"/>
          <w:szCs w:val="24"/>
          <w:rtl/>
        </w:rPr>
        <w:t xml:space="preserve">חורג יוצג והחסר בהסדרתו יתברר, אעבור, בחלקו השני של המאמר, לפרוס את התשתית </w:t>
      </w:r>
      <w:r w:rsidR="00A44867">
        <w:rPr>
          <w:rFonts w:asciiTheme="majorBidi" w:hAnsiTheme="majorBidi" w:cs="David" w:hint="cs"/>
          <w:sz w:val="24"/>
          <w:szCs w:val="24"/>
          <w:rtl/>
        </w:rPr>
        <w:t>הרעיונית</w:t>
      </w:r>
      <w:r>
        <w:rPr>
          <w:rFonts w:asciiTheme="majorBidi" w:hAnsiTheme="majorBidi" w:cs="David" w:hint="cs"/>
          <w:sz w:val="24"/>
          <w:szCs w:val="24"/>
          <w:rtl/>
        </w:rPr>
        <w:t xml:space="preserve"> שברצוני להציע כמענה לסיטואציה האמורה. </w:t>
      </w:r>
      <w:r w:rsidR="00535EFD">
        <w:rPr>
          <w:rFonts w:asciiTheme="majorBidi" w:hAnsiTheme="majorBidi" w:cs="David" w:hint="cs"/>
          <w:sz w:val="24"/>
          <w:szCs w:val="24"/>
          <w:rtl/>
        </w:rPr>
        <w:t>בחלק זה א</w:t>
      </w:r>
      <w:r w:rsidR="00DC18C3">
        <w:rPr>
          <w:rFonts w:asciiTheme="majorBidi" w:hAnsiTheme="majorBidi" w:cs="David" w:hint="cs"/>
          <w:sz w:val="24"/>
          <w:szCs w:val="24"/>
          <w:rtl/>
        </w:rPr>
        <w:t>סביר</w:t>
      </w:r>
      <w:r w:rsidR="002E40F2">
        <w:rPr>
          <w:rFonts w:asciiTheme="majorBidi" w:hAnsiTheme="majorBidi" w:cs="David" w:hint="cs"/>
          <w:sz w:val="24"/>
          <w:szCs w:val="24"/>
          <w:rtl/>
        </w:rPr>
        <w:t xml:space="preserve"> בכלליות</w:t>
      </w:r>
      <w:r>
        <w:rPr>
          <w:rFonts w:asciiTheme="majorBidi" w:hAnsiTheme="majorBidi" w:cs="David" w:hint="cs"/>
          <w:sz w:val="24"/>
          <w:szCs w:val="24"/>
          <w:rtl/>
        </w:rPr>
        <w:t xml:space="preserve"> </w:t>
      </w:r>
      <w:r w:rsidR="00080D51" w:rsidRPr="00763963">
        <w:rPr>
          <w:rFonts w:asciiTheme="majorBidi" w:hAnsiTheme="majorBidi" w:cs="David"/>
          <w:sz w:val="24"/>
          <w:szCs w:val="24"/>
          <w:rtl/>
        </w:rPr>
        <w:t>מהי אמונאות</w:t>
      </w:r>
      <w:r w:rsidR="00DC18C3">
        <w:rPr>
          <w:rFonts w:asciiTheme="majorBidi" w:hAnsiTheme="majorBidi" w:cs="David"/>
          <w:sz w:val="24"/>
          <w:szCs w:val="24"/>
          <w:rtl/>
        </w:rPr>
        <w:t xml:space="preserve"> במשפט הפרטי </w:t>
      </w:r>
      <w:r w:rsidR="00535EFD">
        <w:rPr>
          <w:rFonts w:asciiTheme="majorBidi" w:hAnsiTheme="majorBidi" w:cs="David" w:hint="cs"/>
          <w:sz w:val="24"/>
          <w:szCs w:val="24"/>
          <w:rtl/>
        </w:rPr>
        <w:t>וא</w:t>
      </w:r>
      <w:r w:rsidR="00DC18C3">
        <w:rPr>
          <w:rFonts w:asciiTheme="majorBidi" w:hAnsiTheme="majorBidi" w:cs="David" w:hint="cs"/>
          <w:sz w:val="24"/>
          <w:szCs w:val="24"/>
          <w:rtl/>
        </w:rPr>
        <w:t>עמוד</w:t>
      </w:r>
      <w:r w:rsidR="00080D51" w:rsidRPr="00763963">
        <w:rPr>
          <w:rFonts w:asciiTheme="majorBidi" w:hAnsiTheme="majorBidi" w:cs="David"/>
          <w:sz w:val="24"/>
          <w:szCs w:val="24"/>
          <w:rtl/>
        </w:rPr>
        <w:t xml:space="preserve"> על </w:t>
      </w:r>
      <w:r w:rsidR="002F25A4">
        <w:rPr>
          <w:rFonts w:asciiTheme="majorBidi" w:hAnsiTheme="majorBidi" w:cs="David" w:hint="cs"/>
          <w:sz w:val="24"/>
          <w:szCs w:val="24"/>
          <w:rtl/>
        </w:rPr>
        <w:t>המקום שיש או שיכול להיות לה ב</w:t>
      </w:r>
      <w:r w:rsidR="002F25A4" w:rsidRPr="002F25A4">
        <w:rPr>
          <w:rFonts w:asciiTheme="majorBidi" w:hAnsiTheme="majorBidi" w:cs="David"/>
          <w:sz w:val="24"/>
          <w:szCs w:val="24"/>
          <w:rtl/>
        </w:rPr>
        <w:t>הקשר המשפחתי</w:t>
      </w:r>
      <w:r w:rsidR="002F25A4" w:rsidRPr="002F25A4">
        <w:rPr>
          <w:rFonts w:asciiTheme="majorBidi" w:hAnsiTheme="majorBidi" w:cs="David" w:hint="cs"/>
          <w:sz w:val="24"/>
          <w:szCs w:val="24"/>
          <w:rtl/>
        </w:rPr>
        <w:t>, ו</w:t>
      </w:r>
      <w:r w:rsidR="002F25A4">
        <w:rPr>
          <w:rFonts w:asciiTheme="majorBidi" w:hAnsiTheme="majorBidi" w:cs="David" w:hint="cs"/>
          <w:sz w:val="24"/>
          <w:szCs w:val="24"/>
          <w:rtl/>
        </w:rPr>
        <w:t>במיוחד ב</w:t>
      </w:r>
      <w:r w:rsidR="002F25A4" w:rsidRPr="002F25A4">
        <w:rPr>
          <w:rFonts w:asciiTheme="majorBidi" w:hAnsiTheme="majorBidi" w:cs="David" w:hint="cs"/>
          <w:sz w:val="24"/>
          <w:szCs w:val="24"/>
          <w:rtl/>
        </w:rPr>
        <w:t>הקשרם של יחסי הורה חורג</w:t>
      </w:r>
      <w:r w:rsidR="002F25A4">
        <w:rPr>
          <w:rFonts w:asciiTheme="majorBidi" w:hAnsiTheme="majorBidi" w:cs="David" w:hint="cs"/>
          <w:sz w:val="24"/>
          <w:szCs w:val="24"/>
          <w:rtl/>
        </w:rPr>
        <w:t xml:space="preserve"> ו</w:t>
      </w:r>
      <w:r w:rsidR="002F25A4" w:rsidRPr="002F25A4">
        <w:rPr>
          <w:rFonts w:asciiTheme="majorBidi" w:hAnsiTheme="majorBidi" w:cs="David" w:hint="cs"/>
          <w:sz w:val="24"/>
          <w:szCs w:val="24"/>
          <w:rtl/>
        </w:rPr>
        <w:t>-</w:t>
      </w:r>
      <w:r w:rsidR="002F25A4" w:rsidRPr="002F25A4">
        <w:rPr>
          <w:rFonts w:asciiTheme="majorBidi" w:hAnsiTheme="majorBidi" w:cs="David"/>
          <w:sz w:val="24"/>
          <w:szCs w:val="24"/>
        </w:rPr>
        <w:t xml:space="preserve"> </w:t>
      </w:r>
      <w:r w:rsidR="002F25A4">
        <w:rPr>
          <w:rFonts w:asciiTheme="majorBidi" w:hAnsiTheme="majorBidi" w:cs="David"/>
          <w:sz w:val="24"/>
          <w:szCs w:val="24"/>
        </w:rPr>
        <w:t>nonresidential parent</w:t>
      </w:r>
      <w:r w:rsidR="00E3564B">
        <w:rPr>
          <w:rFonts w:asciiTheme="majorBidi" w:hAnsiTheme="majorBidi" w:cs="David" w:hint="cs"/>
          <w:sz w:val="24"/>
          <w:szCs w:val="24"/>
          <w:rtl/>
        </w:rPr>
        <w:t xml:space="preserve">. מהלך זה יעשה </w:t>
      </w:r>
      <w:r w:rsidR="00CA5768">
        <w:rPr>
          <w:rFonts w:asciiTheme="majorBidi" w:hAnsiTheme="majorBidi" w:cs="David" w:hint="cs"/>
          <w:sz w:val="24"/>
          <w:szCs w:val="24"/>
          <w:rtl/>
        </w:rPr>
        <w:t xml:space="preserve">תוך צלילה לדיני אמונאות כפי שמתגבשים </w:t>
      </w:r>
      <w:r w:rsidR="00DC18C3">
        <w:rPr>
          <w:rFonts w:asciiTheme="majorBidi" w:hAnsiTheme="majorBidi" w:cs="David" w:hint="cs"/>
          <w:sz w:val="24"/>
          <w:szCs w:val="24"/>
          <w:rtl/>
        </w:rPr>
        <w:t>במשפט</w:t>
      </w:r>
      <w:r w:rsidR="00CA5768">
        <w:rPr>
          <w:rFonts w:asciiTheme="majorBidi" w:hAnsiTheme="majorBidi" w:cs="David" w:hint="cs"/>
          <w:sz w:val="24"/>
          <w:szCs w:val="24"/>
          <w:rtl/>
        </w:rPr>
        <w:t xml:space="preserve"> הפרטי </w:t>
      </w:r>
      <w:r w:rsidR="00262631">
        <w:rPr>
          <w:rFonts w:asciiTheme="majorBidi" w:hAnsiTheme="majorBidi" w:cs="David" w:hint="cs"/>
          <w:sz w:val="24"/>
          <w:szCs w:val="24"/>
          <w:rtl/>
        </w:rPr>
        <w:t xml:space="preserve">בכלל </w:t>
      </w:r>
      <w:r w:rsidR="00CA5768">
        <w:rPr>
          <w:rFonts w:asciiTheme="majorBidi" w:hAnsiTheme="majorBidi" w:cs="David" w:hint="cs"/>
          <w:sz w:val="24"/>
          <w:szCs w:val="24"/>
          <w:rtl/>
        </w:rPr>
        <w:t>ו</w:t>
      </w:r>
      <w:r w:rsidR="00BE6A83">
        <w:rPr>
          <w:rFonts w:asciiTheme="majorBidi" w:hAnsiTheme="majorBidi" w:cs="David" w:hint="cs"/>
          <w:sz w:val="24"/>
          <w:szCs w:val="24"/>
          <w:rtl/>
        </w:rPr>
        <w:t xml:space="preserve">בהשראת כתיבתה של אליזבט סקוט יחד עם </w:t>
      </w:r>
      <w:r w:rsidR="00E3564B">
        <w:rPr>
          <w:rFonts w:asciiTheme="majorBidi" w:hAnsiTheme="majorBidi" w:cs="David" w:hint="cs"/>
          <w:sz w:val="24"/>
          <w:szCs w:val="24"/>
          <w:rtl/>
        </w:rPr>
        <w:t>אחרים</w:t>
      </w:r>
      <w:r w:rsidR="00262631">
        <w:rPr>
          <w:rFonts w:asciiTheme="majorBidi" w:hAnsiTheme="majorBidi" w:cs="David" w:hint="cs"/>
          <w:sz w:val="24"/>
          <w:szCs w:val="24"/>
          <w:rtl/>
        </w:rPr>
        <w:t>, בזירה של דיני המשפחה</w:t>
      </w:r>
      <w:r w:rsidR="001C32AD">
        <w:rPr>
          <w:rFonts w:asciiTheme="majorBidi" w:hAnsiTheme="majorBidi" w:cs="David" w:hint="cs"/>
          <w:sz w:val="24"/>
          <w:szCs w:val="24"/>
          <w:rtl/>
        </w:rPr>
        <w:t>,</w:t>
      </w:r>
      <w:r w:rsidR="00262631">
        <w:rPr>
          <w:rFonts w:asciiTheme="majorBidi" w:hAnsiTheme="majorBidi" w:cs="David" w:hint="cs"/>
          <w:sz w:val="24"/>
          <w:szCs w:val="24"/>
          <w:rtl/>
        </w:rPr>
        <w:t xml:space="preserve"> בפרט</w:t>
      </w:r>
      <w:r w:rsidR="00A8423C" w:rsidRPr="00763963">
        <w:rPr>
          <w:rFonts w:asciiTheme="majorBidi" w:hAnsiTheme="majorBidi" w:cs="David"/>
          <w:sz w:val="24"/>
          <w:szCs w:val="24"/>
          <w:rtl/>
        </w:rPr>
        <w:t>.</w:t>
      </w:r>
      <w:r w:rsidR="00763963">
        <w:rPr>
          <w:rFonts w:asciiTheme="majorBidi" w:hAnsiTheme="majorBidi" w:cs="David" w:hint="cs"/>
          <w:sz w:val="24"/>
          <w:szCs w:val="24"/>
          <w:rtl/>
        </w:rPr>
        <w:t xml:space="preserve"> </w:t>
      </w:r>
    </w:p>
    <w:p w14:paraId="542E54DA" w14:textId="77777777" w:rsidR="001E4F90" w:rsidRDefault="00115DD2" w:rsidP="00262631">
      <w:pPr>
        <w:spacing w:line="480" w:lineRule="auto"/>
        <w:jc w:val="both"/>
        <w:rPr>
          <w:rFonts w:asciiTheme="majorBidi" w:hAnsiTheme="majorBidi" w:cs="David"/>
          <w:sz w:val="24"/>
          <w:szCs w:val="24"/>
          <w:rtl/>
        </w:rPr>
      </w:pPr>
      <w:r w:rsidRPr="00763963">
        <w:rPr>
          <w:rFonts w:asciiTheme="majorBidi" w:hAnsiTheme="majorBidi" w:cs="David"/>
          <w:sz w:val="24"/>
          <w:szCs w:val="24"/>
          <w:rtl/>
        </w:rPr>
        <w:t xml:space="preserve">חלקו השלישי של המאמר </w:t>
      </w:r>
      <w:r w:rsidR="001E4F90" w:rsidRPr="00763963">
        <w:rPr>
          <w:rFonts w:asciiTheme="majorBidi" w:hAnsiTheme="majorBidi" w:cs="David"/>
          <w:sz w:val="24"/>
          <w:szCs w:val="24"/>
          <w:rtl/>
        </w:rPr>
        <w:t xml:space="preserve">יוקדש </w:t>
      </w:r>
      <w:r w:rsidRPr="00763963">
        <w:rPr>
          <w:rFonts w:asciiTheme="majorBidi" w:hAnsiTheme="majorBidi" w:cs="David"/>
          <w:sz w:val="24"/>
          <w:szCs w:val="24"/>
          <w:rtl/>
        </w:rPr>
        <w:t>להצגת ה</w:t>
      </w:r>
      <w:r w:rsidR="001E4F90" w:rsidRPr="00763963">
        <w:rPr>
          <w:rFonts w:asciiTheme="majorBidi" w:hAnsiTheme="majorBidi" w:cs="David"/>
          <w:sz w:val="24"/>
          <w:szCs w:val="24"/>
          <w:rtl/>
        </w:rPr>
        <w:t xml:space="preserve">דוגמאות </w:t>
      </w:r>
      <w:r w:rsidRPr="00763963">
        <w:rPr>
          <w:rFonts w:asciiTheme="majorBidi" w:hAnsiTheme="majorBidi" w:cs="David"/>
          <w:sz w:val="24"/>
          <w:szCs w:val="24"/>
          <w:rtl/>
        </w:rPr>
        <w:t>שנבחרו ולדיון בהן</w:t>
      </w:r>
      <w:r w:rsidR="00DC18C3">
        <w:rPr>
          <w:rFonts w:asciiTheme="majorBidi" w:hAnsiTheme="majorBidi" w:cs="David" w:hint="cs"/>
          <w:sz w:val="24"/>
          <w:szCs w:val="24"/>
          <w:rtl/>
        </w:rPr>
        <w:t xml:space="preserve"> על רקע </w:t>
      </w:r>
      <w:r w:rsidR="00262631">
        <w:rPr>
          <w:rFonts w:asciiTheme="majorBidi" w:hAnsiTheme="majorBidi" w:cs="David" w:hint="cs"/>
          <w:sz w:val="24"/>
          <w:szCs w:val="24"/>
          <w:rtl/>
        </w:rPr>
        <w:t>התשתית הרעיונית</w:t>
      </w:r>
      <w:r w:rsidR="00DC18C3">
        <w:rPr>
          <w:rFonts w:asciiTheme="majorBidi" w:hAnsiTheme="majorBidi" w:cs="David" w:hint="cs"/>
          <w:sz w:val="24"/>
          <w:szCs w:val="24"/>
          <w:rtl/>
        </w:rPr>
        <w:t xml:space="preserve"> שמציעים דיני האמונאות</w:t>
      </w:r>
      <w:r w:rsidRPr="00763963">
        <w:rPr>
          <w:rFonts w:asciiTheme="majorBidi" w:hAnsiTheme="majorBidi" w:cs="David"/>
          <w:sz w:val="24"/>
          <w:szCs w:val="24"/>
          <w:rtl/>
        </w:rPr>
        <w:t xml:space="preserve">. </w:t>
      </w:r>
      <w:r w:rsidR="009004AC" w:rsidRPr="00763963">
        <w:rPr>
          <w:rFonts w:asciiTheme="majorBidi" w:hAnsiTheme="majorBidi" w:cs="David"/>
          <w:sz w:val="24"/>
          <w:szCs w:val="24"/>
          <w:rtl/>
        </w:rPr>
        <w:t xml:space="preserve"> </w:t>
      </w:r>
    </w:p>
    <w:p w14:paraId="107A1207" w14:textId="77777777" w:rsidR="003A49E5" w:rsidRDefault="003A49E5" w:rsidP="00CA5768">
      <w:pPr>
        <w:spacing w:line="480" w:lineRule="auto"/>
        <w:jc w:val="both"/>
        <w:rPr>
          <w:rFonts w:asciiTheme="majorBidi" w:hAnsiTheme="majorBidi" w:cs="David"/>
          <w:sz w:val="24"/>
          <w:szCs w:val="24"/>
          <w:rtl/>
        </w:rPr>
      </w:pPr>
    </w:p>
    <w:p w14:paraId="3612606C" w14:textId="135EC759" w:rsidR="00DC18C3" w:rsidRPr="00DC18C3" w:rsidRDefault="00DC18C3" w:rsidP="00655DA6">
      <w:pPr>
        <w:pStyle w:val="ListParagraph"/>
        <w:numPr>
          <w:ilvl w:val="0"/>
          <w:numId w:val="2"/>
        </w:numPr>
        <w:spacing w:line="480" w:lineRule="auto"/>
        <w:rPr>
          <w:rFonts w:asciiTheme="majorBidi" w:hAnsiTheme="majorBidi" w:cs="David"/>
          <w:b/>
          <w:bCs/>
          <w:sz w:val="24"/>
          <w:szCs w:val="24"/>
          <w:rtl/>
        </w:rPr>
      </w:pPr>
      <w:r>
        <w:rPr>
          <w:rFonts w:asciiTheme="majorBidi" w:hAnsiTheme="majorBidi" w:cs="David"/>
          <w:b/>
          <w:bCs/>
          <w:sz w:val="24"/>
          <w:szCs w:val="24"/>
          <w:rtl/>
        </w:rPr>
        <w:t xml:space="preserve">ריבוי הורים ויחסיהם </w:t>
      </w:r>
      <w:r w:rsidR="00655DA6">
        <w:rPr>
          <w:rFonts w:asciiTheme="majorBidi" w:hAnsiTheme="majorBidi" w:cs="David" w:hint="cs"/>
          <w:b/>
          <w:bCs/>
          <w:sz w:val="24"/>
          <w:szCs w:val="24"/>
          <w:rtl/>
        </w:rPr>
        <w:t xml:space="preserve">של </w:t>
      </w:r>
      <w:r w:rsidR="00655DA6">
        <w:rPr>
          <w:rFonts w:asciiTheme="majorBidi" w:hAnsiTheme="majorBidi" w:cs="David"/>
          <w:sz w:val="24"/>
          <w:szCs w:val="24"/>
        </w:rPr>
        <w:t>nonresidential parent</w:t>
      </w:r>
      <w:r w:rsidR="00655DA6">
        <w:rPr>
          <w:rFonts w:asciiTheme="majorBidi" w:hAnsiTheme="majorBidi" w:cs="David" w:hint="cs"/>
          <w:b/>
          <w:bCs/>
          <w:sz w:val="24"/>
          <w:szCs w:val="24"/>
          <w:rtl/>
        </w:rPr>
        <w:t xml:space="preserve"> </w:t>
      </w:r>
      <w:r>
        <w:rPr>
          <w:rFonts w:asciiTheme="majorBidi" w:hAnsiTheme="majorBidi" w:cs="David" w:hint="cs"/>
          <w:b/>
          <w:bCs/>
          <w:sz w:val="24"/>
          <w:szCs w:val="24"/>
          <w:rtl/>
        </w:rPr>
        <w:t>והורה חורג</w:t>
      </w:r>
    </w:p>
    <w:p w14:paraId="7A09ECD1" w14:textId="45B092AF" w:rsidR="00EB3B5F" w:rsidRDefault="00EB3B5F" w:rsidP="00B56FCB">
      <w:pPr>
        <w:spacing w:line="480" w:lineRule="auto"/>
        <w:jc w:val="both"/>
        <w:rPr>
          <w:rStyle w:val="Hyperlink"/>
          <w:rFonts w:asciiTheme="majorBidi" w:hAnsiTheme="majorBidi" w:cs="David"/>
          <w:color w:val="auto"/>
          <w:sz w:val="24"/>
          <w:szCs w:val="24"/>
          <w:u w:val="none"/>
        </w:rPr>
      </w:pPr>
      <w:r w:rsidRPr="00EB3B5F">
        <w:rPr>
          <w:rStyle w:val="Hyperlink"/>
          <w:rFonts w:asciiTheme="majorBidi" w:hAnsiTheme="majorBidi" w:cs="David" w:hint="cs"/>
          <w:color w:val="auto"/>
          <w:sz w:val="24"/>
          <w:szCs w:val="24"/>
          <w:u w:val="none"/>
          <w:rtl/>
        </w:rPr>
        <w:t>המציאות המשפחתית</w:t>
      </w:r>
      <w:r>
        <w:rPr>
          <w:rStyle w:val="Hyperlink"/>
          <w:rFonts w:asciiTheme="majorBidi" w:hAnsiTheme="majorBidi" w:cs="David" w:hint="cs"/>
          <w:color w:val="auto"/>
          <w:sz w:val="24"/>
          <w:szCs w:val="24"/>
          <w:u w:val="none"/>
          <w:rtl/>
        </w:rPr>
        <w:t xml:space="preserve"> בעשורים האחרונים מייצרת מגוון הקשרים בהם ילד מ</w:t>
      </w:r>
      <w:r w:rsidR="00BA18DF">
        <w:rPr>
          <w:rStyle w:val="Hyperlink"/>
          <w:rFonts w:asciiTheme="majorBidi" w:hAnsiTheme="majorBidi" w:cs="David" w:hint="cs"/>
          <w:color w:val="auto"/>
          <w:sz w:val="24"/>
          <w:szCs w:val="24"/>
          <w:u w:val="none"/>
          <w:rtl/>
        </w:rPr>
        <w:t xml:space="preserve">תגורר במחיצת דמות </w:t>
      </w:r>
      <w:r w:rsidR="006D1146">
        <w:rPr>
          <w:rStyle w:val="Hyperlink"/>
          <w:rFonts w:asciiTheme="majorBidi" w:hAnsiTheme="majorBidi" w:cs="David" w:hint="cs"/>
          <w:color w:val="auto"/>
          <w:sz w:val="24"/>
          <w:szCs w:val="24"/>
          <w:u w:val="none"/>
          <w:rtl/>
        </w:rPr>
        <w:t xml:space="preserve"> </w:t>
      </w:r>
      <w:r w:rsidR="00CD10B8">
        <w:rPr>
          <w:rStyle w:val="Hyperlink"/>
          <w:rFonts w:asciiTheme="majorBidi" w:hAnsiTheme="majorBidi" w:cs="David" w:hint="cs"/>
          <w:color w:val="auto"/>
          <w:sz w:val="24"/>
          <w:szCs w:val="24"/>
          <w:u w:val="none"/>
          <w:rtl/>
        </w:rPr>
        <w:t xml:space="preserve">                                                                                                                                                                                                                                                                                                                                                                                                                                                                                                                                                                                                                                                                                                                                                                                                                                                                                                                                                                                                                                                                                                                                                                                                                                                                                                                                                                                                                                                                                                                                                                                                                                                                                                                                                                                                                                                                                                                                                                                                                                                                                                                                                                                                                                                                                                                                                                                                                                                                                                                                                                                                                                                                                                                                                                                                                                                                                                                                                                                                                                                                                                                                                                                                                                                                                                                                                                                                                                                                                                                                                                                                                                                                                                                                                                                                                                                                                                                                                                                                                                                                                                                                                                                                                                                                                                                                                                                                                                                                                                                                                                                                                                                                                                                                                                                                                                                                                                                                                                                                                                                                                                                                                                                                                                                                                                                                                                                                                                                                                                                                                                                                                                                                                                                                                                                                                         </w:t>
      </w:r>
      <w:r w:rsidR="00BA18DF">
        <w:rPr>
          <w:rStyle w:val="Hyperlink"/>
          <w:rFonts w:asciiTheme="majorBidi" w:hAnsiTheme="majorBidi" w:cs="David" w:hint="cs"/>
          <w:color w:val="auto"/>
          <w:sz w:val="24"/>
          <w:szCs w:val="24"/>
          <w:u w:val="none"/>
          <w:rtl/>
        </w:rPr>
        <w:t xml:space="preserve">הורית שאיננה </w:t>
      </w:r>
      <w:r>
        <w:rPr>
          <w:rStyle w:val="Hyperlink"/>
          <w:rFonts w:asciiTheme="majorBidi" w:hAnsiTheme="majorBidi" w:cs="David" w:hint="cs"/>
          <w:color w:val="auto"/>
          <w:sz w:val="24"/>
          <w:szCs w:val="24"/>
          <w:u w:val="none"/>
          <w:rtl/>
        </w:rPr>
        <w:t>הורה</w:t>
      </w:r>
      <w:r w:rsidR="00BA18DF">
        <w:rPr>
          <w:rStyle w:val="Hyperlink"/>
          <w:rFonts w:asciiTheme="majorBidi" w:hAnsiTheme="majorBidi" w:cs="David" w:hint="cs"/>
          <w:color w:val="auto"/>
          <w:sz w:val="24"/>
          <w:szCs w:val="24"/>
          <w:u w:val="none"/>
          <w:rtl/>
        </w:rPr>
        <w:t>ו</w:t>
      </w:r>
      <w:r>
        <w:rPr>
          <w:rStyle w:val="Hyperlink"/>
          <w:rFonts w:asciiTheme="majorBidi" w:hAnsiTheme="majorBidi" w:cs="David" w:hint="cs"/>
          <w:color w:val="auto"/>
          <w:sz w:val="24"/>
          <w:szCs w:val="24"/>
          <w:u w:val="none"/>
          <w:rtl/>
        </w:rPr>
        <w:t xml:space="preserve"> המשפטי, לרוב בנוסף לאחד משני</w:t>
      </w:r>
      <w:r w:rsidR="00C325F4">
        <w:rPr>
          <w:rStyle w:val="Hyperlink"/>
          <w:rFonts w:asciiTheme="majorBidi" w:hAnsiTheme="majorBidi" w:cs="David" w:hint="cs"/>
          <w:color w:val="auto"/>
          <w:sz w:val="24"/>
          <w:szCs w:val="24"/>
          <w:u w:val="none"/>
          <w:rtl/>
        </w:rPr>
        <w:t xml:space="preserve"> הוריו המשפטיים.</w:t>
      </w:r>
      <w:r w:rsidR="00791519">
        <w:rPr>
          <w:rStyle w:val="FootnoteReference"/>
          <w:rFonts w:asciiTheme="majorBidi" w:hAnsiTheme="majorBidi" w:cs="David"/>
          <w:sz w:val="24"/>
          <w:szCs w:val="24"/>
          <w:rtl/>
        </w:rPr>
        <w:footnoteReference w:id="11"/>
      </w:r>
      <w:r>
        <w:rPr>
          <w:rStyle w:val="Hyperlink"/>
          <w:rFonts w:asciiTheme="majorBidi" w:hAnsiTheme="majorBidi" w:cs="David" w:hint="cs"/>
          <w:color w:val="auto"/>
          <w:sz w:val="24"/>
          <w:szCs w:val="24"/>
          <w:u w:val="none"/>
          <w:rtl/>
        </w:rPr>
        <w:t xml:space="preserve"> </w:t>
      </w:r>
      <w:r w:rsidR="000D112F">
        <w:rPr>
          <w:rStyle w:val="Hyperlink"/>
          <w:rFonts w:asciiTheme="majorBidi" w:hAnsiTheme="majorBidi" w:cs="David" w:hint="cs"/>
          <w:color w:val="auto"/>
          <w:sz w:val="24"/>
          <w:szCs w:val="24"/>
          <w:u w:val="none"/>
          <w:rtl/>
        </w:rPr>
        <w:t xml:space="preserve">למרות ההיקף ההולך וגדל של הסדרי משמורת משותפת, הרי שרבים </w:t>
      </w:r>
      <w:r w:rsidR="0091427F">
        <w:rPr>
          <w:rStyle w:val="Hyperlink"/>
          <w:rFonts w:asciiTheme="majorBidi" w:hAnsiTheme="majorBidi" w:cs="David" w:hint="cs"/>
          <w:color w:val="auto"/>
          <w:sz w:val="24"/>
          <w:szCs w:val="24"/>
          <w:u w:val="none"/>
          <w:rtl/>
        </w:rPr>
        <w:t xml:space="preserve">עדיין </w:t>
      </w:r>
      <w:r w:rsidR="000D112F">
        <w:rPr>
          <w:rStyle w:val="Hyperlink"/>
          <w:rFonts w:asciiTheme="majorBidi" w:hAnsiTheme="majorBidi" w:cs="David" w:hint="cs"/>
          <w:color w:val="auto"/>
          <w:sz w:val="24"/>
          <w:szCs w:val="24"/>
          <w:u w:val="none"/>
          <w:rtl/>
        </w:rPr>
        <w:t xml:space="preserve">המקרים בהם </w:t>
      </w:r>
      <w:r>
        <w:rPr>
          <w:rStyle w:val="Hyperlink"/>
          <w:rFonts w:asciiTheme="majorBidi" w:hAnsiTheme="majorBidi" w:cs="David" w:hint="cs"/>
          <w:color w:val="auto"/>
          <w:sz w:val="24"/>
          <w:szCs w:val="24"/>
          <w:u w:val="none"/>
          <w:rtl/>
        </w:rPr>
        <w:t>ילד מתגורר עם הורה משמורן</w:t>
      </w:r>
      <w:r w:rsidR="000D112F">
        <w:rPr>
          <w:rStyle w:val="Hyperlink"/>
          <w:rFonts w:asciiTheme="majorBidi" w:hAnsiTheme="majorBidi" w:cs="David" w:hint="cs"/>
          <w:color w:val="auto"/>
          <w:sz w:val="24"/>
          <w:szCs w:val="24"/>
          <w:u w:val="none"/>
          <w:rtl/>
        </w:rPr>
        <w:t xml:space="preserve"> מרכזי</w:t>
      </w:r>
      <w:r w:rsidR="002B1E6F">
        <w:rPr>
          <w:rStyle w:val="Hyperlink"/>
          <w:rFonts w:asciiTheme="majorBidi" w:hAnsiTheme="majorBidi" w:cs="David" w:hint="cs"/>
          <w:color w:val="auto"/>
          <w:sz w:val="24"/>
          <w:szCs w:val="24"/>
          <w:u w:val="none"/>
          <w:rtl/>
        </w:rPr>
        <w:t xml:space="preserve"> אחד</w:t>
      </w:r>
      <w:r>
        <w:rPr>
          <w:rStyle w:val="Hyperlink"/>
          <w:rFonts w:asciiTheme="majorBidi" w:hAnsiTheme="majorBidi" w:cs="David" w:hint="cs"/>
          <w:color w:val="auto"/>
          <w:sz w:val="24"/>
          <w:szCs w:val="24"/>
          <w:u w:val="none"/>
          <w:rtl/>
        </w:rPr>
        <w:t xml:space="preserve"> (לרוב, האם)</w:t>
      </w:r>
      <w:r w:rsidR="00A21B87">
        <w:rPr>
          <w:rStyle w:val="FootnoteReference"/>
          <w:rFonts w:asciiTheme="majorBidi" w:hAnsiTheme="majorBidi" w:cs="David"/>
          <w:sz w:val="24"/>
          <w:szCs w:val="24"/>
          <w:rtl/>
        </w:rPr>
        <w:footnoteReference w:id="12"/>
      </w:r>
      <w:r>
        <w:rPr>
          <w:rStyle w:val="Hyperlink"/>
          <w:rFonts w:asciiTheme="majorBidi" w:hAnsiTheme="majorBidi" w:cs="David" w:hint="cs"/>
          <w:color w:val="auto"/>
          <w:sz w:val="24"/>
          <w:szCs w:val="24"/>
          <w:u w:val="none"/>
          <w:rtl/>
        </w:rPr>
        <w:t xml:space="preserve"> ובן זוגה, </w:t>
      </w:r>
      <w:r w:rsidR="000D112F">
        <w:rPr>
          <w:rStyle w:val="Hyperlink"/>
          <w:rFonts w:asciiTheme="majorBidi" w:hAnsiTheme="majorBidi" w:cs="David" w:hint="cs"/>
          <w:color w:val="auto"/>
          <w:sz w:val="24"/>
          <w:szCs w:val="24"/>
          <w:u w:val="none"/>
          <w:rtl/>
        </w:rPr>
        <w:t xml:space="preserve">המכונה כאן, הורה חורג. </w:t>
      </w:r>
      <w:r>
        <w:rPr>
          <w:rStyle w:val="Hyperlink"/>
          <w:rFonts w:asciiTheme="majorBidi" w:hAnsiTheme="majorBidi" w:cs="David" w:hint="cs"/>
          <w:color w:val="auto"/>
          <w:sz w:val="24"/>
          <w:szCs w:val="24"/>
          <w:u w:val="none"/>
          <w:rtl/>
        </w:rPr>
        <w:t>בתמונה הורה נוסף (לרוב האב) המתגורר בנפרד</w:t>
      </w:r>
      <w:r w:rsidR="000D112F">
        <w:rPr>
          <w:rStyle w:val="Hyperlink"/>
          <w:rFonts w:asciiTheme="majorBidi" w:hAnsiTheme="majorBidi" w:cs="David" w:hint="cs"/>
          <w:color w:val="auto"/>
          <w:sz w:val="24"/>
          <w:szCs w:val="24"/>
          <w:u w:val="none"/>
          <w:rtl/>
        </w:rPr>
        <w:t xml:space="preserve"> ואשר איתו </w:t>
      </w:r>
      <w:r w:rsidR="002B1E6F">
        <w:rPr>
          <w:rStyle w:val="Hyperlink"/>
          <w:rFonts w:asciiTheme="majorBidi" w:hAnsiTheme="majorBidi" w:cs="David" w:hint="cs"/>
          <w:color w:val="auto"/>
          <w:sz w:val="24"/>
          <w:szCs w:val="24"/>
          <w:u w:val="none"/>
          <w:rtl/>
        </w:rPr>
        <w:t>הילד</w:t>
      </w:r>
      <w:r w:rsidR="000D112F">
        <w:rPr>
          <w:rStyle w:val="Hyperlink"/>
          <w:rFonts w:asciiTheme="majorBidi" w:hAnsiTheme="majorBidi" w:cs="David" w:hint="cs"/>
          <w:color w:val="auto"/>
          <w:sz w:val="24"/>
          <w:szCs w:val="24"/>
          <w:u w:val="none"/>
          <w:rtl/>
        </w:rPr>
        <w:t xml:space="preserve"> מקיים הסדרי קשר בהיקף משתנה</w:t>
      </w:r>
      <w:r w:rsidR="00E351F4">
        <w:rPr>
          <w:rStyle w:val="Hyperlink"/>
          <w:rFonts w:asciiTheme="majorBidi" w:hAnsiTheme="majorBidi" w:cs="David" w:hint="cs"/>
          <w:color w:val="auto"/>
          <w:sz w:val="24"/>
          <w:szCs w:val="24"/>
          <w:u w:val="none"/>
          <w:rtl/>
        </w:rPr>
        <w:t>, אך שאינו שוויוני</w:t>
      </w:r>
      <w:r w:rsidR="0091427F">
        <w:rPr>
          <w:rStyle w:val="Hyperlink"/>
          <w:rFonts w:asciiTheme="majorBidi" w:hAnsiTheme="majorBidi" w:cs="David" w:hint="cs"/>
          <w:color w:val="auto"/>
          <w:sz w:val="24"/>
          <w:szCs w:val="24"/>
          <w:u w:val="none"/>
          <w:rtl/>
        </w:rPr>
        <w:t xml:space="preserve"> לזה של ההורה המשמורן</w:t>
      </w:r>
      <w:r>
        <w:rPr>
          <w:rStyle w:val="Hyperlink"/>
          <w:rFonts w:asciiTheme="majorBidi" w:hAnsiTheme="majorBidi" w:cs="David" w:hint="cs"/>
          <w:color w:val="auto"/>
          <w:sz w:val="24"/>
          <w:szCs w:val="24"/>
          <w:u w:val="none"/>
          <w:rtl/>
        </w:rPr>
        <w:t>.</w:t>
      </w:r>
      <w:r w:rsidR="000D112F">
        <w:rPr>
          <w:rStyle w:val="Hyperlink"/>
          <w:rFonts w:asciiTheme="majorBidi" w:hAnsiTheme="majorBidi" w:cs="David" w:hint="cs"/>
          <w:color w:val="auto"/>
          <w:sz w:val="24"/>
          <w:szCs w:val="24"/>
          <w:u w:val="none"/>
          <w:rtl/>
        </w:rPr>
        <w:t xml:space="preserve"> </w:t>
      </w:r>
      <w:r>
        <w:rPr>
          <w:rStyle w:val="Hyperlink"/>
          <w:rFonts w:asciiTheme="majorBidi" w:hAnsiTheme="majorBidi" w:cs="David" w:hint="cs"/>
          <w:color w:val="auto"/>
          <w:sz w:val="24"/>
          <w:szCs w:val="24"/>
          <w:u w:val="none"/>
          <w:rtl/>
        </w:rPr>
        <w:t xml:space="preserve"> </w:t>
      </w:r>
      <w:r w:rsidR="00B56FCB">
        <w:rPr>
          <w:rStyle w:val="Hyperlink"/>
          <w:rFonts w:asciiTheme="majorBidi" w:hAnsiTheme="majorBidi" w:cs="David" w:hint="cs"/>
          <w:color w:val="auto"/>
          <w:sz w:val="24"/>
          <w:szCs w:val="24"/>
          <w:u w:val="none"/>
          <w:rtl/>
        </w:rPr>
        <w:t xml:space="preserve">כמובן שגם מקרים הפוכים, בהם ה- </w:t>
      </w:r>
      <w:r w:rsidR="00B56FCB">
        <w:rPr>
          <w:rStyle w:val="Hyperlink"/>
          <w:rFonts w:asciiTheme="majorBidi" w:hAnsiTheme="majorBidi" w:cs="David"/>
          <w:color w:val="auto"/>
          <w:sz w:val="24"/>
          <w:szCs w:val="24"/>
          <w:u w:val="none"/>
        </w:rPr>
        <w:t>residential parent</w:t>
      </w:r>
      <w:r w:rsidR="00B56FCB">
        <w:rPr>
          <w:rStyle w:val="Hyperlink"/>
          <w:rFonts w:asciiTheme="majorBidi" w:hAnsiTheme="majorBidi" w:cs="David" w:hint="cs"/>
          <w:color w:val="auto"/>
          <w:sz w:val="24"/>
          <w:szCs w:val="24"/>
          <w:u w:val="none"/>
          <w:rtl/>
        </w:rPr>
        <w:t xml:space="preserve"> הוא האב, קיימים. או אז יהיה ההורה החורג </w:t>
      </w:r>
      <w:r w:rsidR="007711E5">
        <w:rPr>
          <w:rStyle w:val="Hyperlink"/>
          <w:rFonts w:asciiTheme="majorBidi" w:hAnsiTheme="majorBidi" w:cs="David" w:hint="cs"/>
          <w:color w:val="auto"/>
          <w:sz w:val="24"/>
          <w:szCs w:val="24"/>
          <w:u w:val="none"/>
          <w:rtl/>
        </w:rPr>
        <w:t>ב-</w:t>
      </w:r>
      <w:r w:rsidR="00B56FCB">
        <w:rPr>
          <w:rStyle w:val="Hyperlink"/>
          <w:rFonts w:asciiTheme="majorBidi" w:hAnsiTheme="majorBidi" w:cs="David" w:hint="cs"/>
          <w:color w:val="auto"/>
          <w:sz w:val="24"/>
          <w:szCs w:val="24"/>
          <w:u w:val="none"/>
          <w:rtl/>
        </w:rPr>
        <w:t xml:space="preserve"> </w:t>
      </w:r>
      <w:r w:rsidR="00B56FCB">
        <w:rPr>
          <w:rStyle w:val="Hyperlink"/>
          <w:rFonts w:asciiTheme="majorBidi" w:hAnsiTheme="majorBidi" w:cs="David"/>
          <w:color w:val="auto"/>
          <w:sz w:val="24"/>
          <w:szCs w:val="24"/>
          <w:u w:val="none"/>
        </w:rPr>
        <w:t>opposite sex couples households</w:t>
      </w:r>
      <w:r w:rsidR="00B56FCB">
        <w:rPr>
          <w:rStyle w:val="Hyperlink"/>
          <w:rFonts w:asciiTheme="majorBidi" w:hAnsiTheme="majorBidi" w:cs="David" w:hint="cs"/>
          <w:color w:val="auto"/>
          <w:sz w:val="24"/>
          <w:szCs w:val="24"/>
          <w:u w:val="none"/>
          <w:rtl/>
        </w:rPr>
        <w:t xml:space="preserve"> </w:t>
      </w:r>
      <w:r w:rsidR="007711E5">
        <w:rPr>
          <w:rStyle w:val="Hyperlink"/>
          <w:rFonts w:asciiTheme="majorBidi" w:hAnsiTheme="majorBidi" w:cs="David" w:hint="cs"/>
          <w:color w:val="auto"/>
          <w:sz w:val="24"/>
          <w:szCs w:val="24"/>
          <w:u w:val="none"/>
          <w:rtl/>
        </w:rPr>
        <w:t>אם חורגת.</w:t>
      </w:r>
      <w:r w:rsidR="000E00E1">
        <w:rPr>
          <w:rStyle w:val="FootnoteReference"/>
          <w:rFonts w:asciiTheme="majorBidi" w:hAnsiTheme="majorBidi" w:cs="David"/>
          <w:sz w:val="24"/>
          <w:szCs w:val="24"/>
        </w:rPr>
        <w:footnoteReference w:id="13"/>
      </w:r>
    </w:p>
    <w:p w14:paraId="69CF091B" w14:textId="77777777" w:rsidR="00DC18C3" w:rsidRDefault="00EB3B5F" w:rsidP="002B1E6F">
      <w:pPr>
        <w:spacing w:line="480" w:lineRule="auto"/>
        <w:jc w:val="both"/>
        <w:rPr>
          <w:rStyle w:val="Hyperlink"/>
          <w:rFonts w:asciiTheme="majorBidi" w:hAnsiTheme="majorBidi" w:cs="David"/>
          <w:color w:val="auto"/>
          <w:sz w:val="24"/>
          <w:szCs w:val="24"/>
          <w:u w:val="none"/>
          <w:rtl/>
        </w:rPr>
      </w:pPr>
      <w:r>
        <w:rPr>
          <w:rStyle w:val="Hyperlink"/>
          <w:rFonts w:asciiTheme="majorBidi" w:hAnsiTheme="majorBidi" w:cs="David" w:hint="cs"/>
          <w:color w:val="auto"/>
          <w:sz w:val="24"/>
          <w:szCs w:val="24"/>
          <w:u w:val="none"/>
          <w:rtl/>
        </w:rPr>
        <w:t xml:space="preserve">מציאות זאת יכולה להיות תוצר </w:t>
      </w:r>
      <w:r w:rsidR="004B461A">
        <w:rPr>
          <w:rStyle w:val="Hyperlink"/>
          <w:rFonts w:asciiTheme="majorBidi" w:hAnsiTheme="majorBidi" w:cs="David" w:hint="cs"/>
          <w:color w:val="auto"/>
          <w:sz w:val="24"/>
          <w:szCs w:val="24"/>
          <w:u w:val="none"/>
          <w:rtl/>
        </w:rPr>
        <w:t>של אחת משתי</w:t>
      </w:r>
      <w:r>
        <w:rPr>
          <w:rStyle w:val="Hyperlink"/>
          <w:rFonts w:asciiTheme="majorBidi" w:hAnsiTheme="majorBidi" w:cs="David" w:hint="cs"/>
          <w:color w:val="auto"/>
          <w:sz w:val="24"/>
          <w:szCs w:val="24"/>
          <w:u w:val="none"/>
          <w:rtl/>
        </w:rPr>
        <w:t xml:space="preserve"> סיטואציות</w:t>
      </w:r>
      <w:r w:rsidR="004B461A">
        <w:rPr>
          <w:rStyle w:val="Hyperlink"/>
          <w:rFonts w:asciiTheme="majorBidi" w:hAnsiTheme="majorBidi" w:cs="David" w:hint="cs"/>
          <w:color w:val="auto"/>
          <w:sz w:val="24"/>
          <w:szCs w:val="24"/>
          <w:u w:val="none"/>
          <w:rtl/>
        </w:rPr>
        <w:t xml:space="preserve"> רווחות, הרלוונטיות לענייננו:</w:t>
      </w:r>
      <w:r>
        <w:rPr>
          <w:rStyle w:val="Hyperlink"/>
          <w:rFonts w:asciiTheme="majorBidi" w:hAnsiTheme="majorBidi" w:cs="David" w:hint="cs"/>
          <w:color w:val="auto"/>
          <w:sz w:val="24"/>
          <w:szCs w:val="24"/>
          <w:u w:val="none"/>
          <w:rtl/>
        </w:rPr>
        <w:t xml:space="preserve"> זוג הוריו של הילד</w:t>
      </w:r>
      <w:r w:rsidR="000D112F">
        <w:rPr>
          <w:rStyle w:val="Hyperlink"/>
          <w:rFonts w:asciiTheme="majorBidi" w:hAnsiTheme="majorBidi" w:cs="David" w:hint="cs"/>
          <w:color w:val="auto"/>
          <w:sz w:val="24"/>
          <w:szCs w:val="24"/>
          <w:u w:val="none"/>
          <w:rtl/>
        </w:rPr>
        <w:t>,</w:t>
      </w:r>
      <w:r>
        <w:rPr>
          <w:rStyle w:val="Hyperlink"/>
          <w:rFonts w:asciiTheme="majorBidi" w:hAnsiTheme="majorBidi" w:cs="David" w:hint="cs"/>
          <w:color w:val="auto"/>
          <w:sz w:val="24"/>
          <w:szCs w:val="24"/>
          <w:u w:val="none"/>
          <w:rtl/>
        </w:rPr>
        <w:t xml:space="preserve"> שה</w:t>
      </w:r>
      <w:r w:rsidR="00C325F4">
        <w:rPr>
          <w:rStyle w:val="Hyperlink"/>
          <w:rFonts w:asciiTheme="majorBidi" w:hAnsiTheme="majorBidi" w:cs="David" w:hint="cs"/>
          <w:color w:val="auto"/>
          <w:sz w:val="24"/>
          <w:szCs w:val="24"/>
          <w:u w:val="none"/>
          <w:rtl/>
        </w:rPr>
        <w:t xml:space="preserve">יו נשואים או חיו בזוגיות </w:t>
      </w:r>
      <w:r w:rsidR="00BA18DF">
        <w:rPr>
          <w:rStyle w:val="Hyperlink"/>
          <w:rFonts w:asciiTheme="majorBidi" w:hAnsiTheme="majorBidi" w:cs="David" w:hint="cs"/>
          <w:color w:val="auto"/>
          <w:sz w:val="24"/>
          <w:szCs w:val="24"/>
          <w:u w:val="none"/>
          <w:rtl/>
        </w:rPr>
        <w:t>מוכרת</w:t>
      </w:r>
      <w:r w:rsidR="000D112F">
        <w:rPr>
          <w:rStyle w:val="Hyperlink"/>
          <w:rFonts w:asciiTheme="majorBidi" w:hAnsiTheme="majorBidi" w:cs="David" w:hint="cs"/>
          <w:color w:val="auto"/>
          <w:sz w:val="24"/>
          <w:szCs w:val="24"/>
          <w:u w:val="none"/>
          <w:rtl/>
        </w:rPr>
        <w:t>,</w:t>
      </w:r>
      <w:r w:rsidR="00C325F4">
        <w:rPr>
          <w:rStyle w:val="Hyperlink"/>
          <w:rFonts w:asciiTheme="majorBidi" w:hAnsiTheme="majorBidi" w:cs="David" w:hint="cs"/>
          <w:color w:val="auto"/>
          <w:sz w:val="24"/>
          <w:szCs w:val="24"/>
          <w:u w:val="none"/>
          <w:rtl/>
        </w:rPr>
        <w:t xml:space="preserve"> התגרשו או נפרדו, וההורה שהילד מצוי במשמרתו נמצא בזוגיות חדשה; </w:t>
      </w:r>
      <w:r w:rsidR="00CE37EF">
        <w:rPr>
          <w:rStyle w:val="Hyperlink"/>
          <w:rFonts w:asciiTheme="majorBidi" w:hAnsiTheme="majorBidi" w:cs="David" w:hint="cs"/>
          <w:color w:val="auto"/>
          <w:sz w:val="24"/>
          <w:szCs w:val="24"/>
          <w:u w:val="none"/>
          <w:rtl/>
        </w:rPr>
        <w:t xml:space="preserve">או </w:t>
      </w:r>
      <w:r w:rsidR="002B1E6F">
        <w:rPr>
          <w:rStyle w:val="Hyperlink"/>
          <w:rFonts w:asciiTheme="majorBidi" w:hAnsiTheme="majorBidi" w:cs="David" w:hint="cs"/>
          <w:color w:val="auto"/>
          <w:sz w:val="24"/>
          <w:szCs w:val="24"/>
          <w:u w:val="none"/>
          <w:rtl/>
        </w:rPr>
        <w:t>שהוריו של הילד מעולם לא התגוררו יחד, והילד, ה</w:t>
      </w:r>
      <w:r w:rsidR="00DD1841">
        <w:rPr>
          <w:rStyle w:val="Hyperlink"/>
          <w:rFonts w:asciiTheme="majorBidi" w:hAnsiTheme="majorBidi" w:cs="David" w:hint="cs"/>
          <w:color w:val="auto"/>
          <w:sz w:val="24"/>
          <w:szCs w:val="24"/>
          <w:u w:val="none"/>
          <w:rtl/>
        </w:rPr>
        <w:t>מתגורר עם האם ובן זוגה הנוכחי</w:t>
      </w:r>
      <w:r w:rsidR="002B1E6F">
        <w:rPr>
          <w:rStyle w:val="Hyperlink"/>
          <w:rFonts w:asciiTheme="majorBidi" w:hAnsiTheme="majorBidi" w:cs="David" w:hint="cs"/>
          <w:color w:val="auto"/>
          <w:sz w:val="24"/>
          <w:szCs w:val="24"/>
          <w:u w:val="none"/>
          <w:rtl/>
        </w:rPr>
        <w:t xml:space="preserve">, </w:t>
      </w:r>
      <w:r w:rsidR="00C325F4">
        <w:rPr>
          <w:rStyle w:val="Hyperlink"/>
          <w:rFonts w:asciiTheme="majorBidi" w:hAnsiTheme="majorBidi" w:cs="David" w:hint="cs"/>
          <w:color w:val="auto"/>
          <w:sz w:val="24"/>
          <w:szCs w:val="24"/>
          <w:u w:val="none"/>
          <w:rtl/>
        </w:rPr>
        <w:t>שומר</w:t>
      </w:r>
      <w:r w:rsidR="00DD1841">
        <w:rPr>
          <w:rStyle w:val="Hyperlink"/>
          <w:rFonts w:asciiTheme="majorBidi" w:hAnsiTheme="majorBidi" w:cs="David" w:hint="cs"/>
          <w:color w:val="auto"/>
          <w:sz w:val="24"/>
          <w:szCs w:val="24"/>
          <w:u w:val="none"/>
          <w:rtl/>
        </w:rPr>
        <w:t xml:space="preserve"> על קשר עם אביו</w:t>
      </w:r>
      <w:r w:rsidR="00C325F4">
        <w:rPr>
          <w:rStyle w:val="Hyperlink"/>
          <w:rFonts w:asciiTheme="majorBidi" w:hAnsiTheme="majorBidi" w:cs="David" w:hint="cs"/>
          <w:color w:val="auto"/>
          <w:sz w:val="24"/>
          <w:szCs w:val="24"/>
          <w:u w:val="none"/>
          <w:rtl/>
        </w:rPr>
        <w:t>.</w:t>
      </w:r>
      <w:r>
        <w:rPr>
          <w:rStyle w:val="Hyperlink"/>
          <w:rFonts w:asciiTheme="majorBidi" w:hAnsiTheme="majorBidi" w:cs="David" w:hint="cs"/>
          <w:color w:val="auto"/>
          <w:sz w:val="24"/>
          <w:szCs w:val="24"/>
          <w:u w:val="none"/>
          <w:rtl/>
        </w:rPr>
        <w:t xml:space="preserve"> </w:t>
      </w:r>
      <w:r w:rsidR="00CE37EF">
        <w:rPr>
          <w:rStyle w:val="Hyperlink"/>
          <w:rFonts w:asciiTheme="majorBidi" w:hAnsiTheme="majorBidi" w:cs="David" w:hint="cs"/>
          <w:color w:val="auto"/>
          <w:sz w:val="24"/>
          <w:szCs w:val="24"/>
          <w:u w:val="none"/>
          <w:rtl/>
        </w:rPr>
        <w:t xml:space="preserve">לנוכח הגידול בשיעור הגירושים, מצד אחד, וההיקף </w:t>
      </w:r>
      <w:r w:rsidR="00BD7576">
        <w:rPr>
          <w:rStyle w:val="Hyperlink"/>
          <w:rFonts w:asciiTheme="majorBidi" w:hAnsiTheme="majorBidi" w:cs="David" w:hint="cs"/>
          <w:color w:val="auto"/>
          <w:sz w:val="24"/>
          <w:szCs w:val="24"/>
          <w:u w:val="none"/>
          <w:rtl/>
        </w:rPr>
        <w:t>הגדול</w:t>
      </w:r>
      <w:r w:rsidR="00CE37EF">
        <w:rPr>
          <w:rStyle w:val="Hyperlink"/>
          <w:rFonts w:asciiTheme="majorBidi" w:hAnsiTheme="majorBidi" w:cs="David" w:hint="cs"/>
          <w:color w:val="auto"/>
          <w:sz w:val="24"/>
          <w:szCs w:val="24"/>
          <w:u w:val="none"/>
          <w:rtl/>
        </w:rPr>
        <w:t xml:space="preserve"> של הולדה ללא נישואים או זוגיות מוכרת,</w:t>
      </w:r>
      <w:r w:rsidR="006C5622">
        <w:rPr>
          <w:rStyle w:val="Hyperlink"/>
          <w:rFonts w:asciiTheme="majorBidi" w:hAnsiTheme="majorBidi" w:cs="David" w:hint="cs"/>
          <w:color w:val="auto"/>
          <w:sz w:val="24"/>
          <w:szCs w:val="24"/>
          <w:u w:val="none"/>
          <w:rtl/>
        </w:rPr>
        <w:t xml:space="preserve"> מצד שני, </w:t>
      </w:r>
      <w:r w:rsidR="00CE37EF">
        <w:rPr>
          <w:rStyle w:val="Hyperlink"/>
          <w:rFonts w:asciiTheme="majorBidi" w:hAnsiTheme="majorBidi" w:cs="David" w:hint="cs"/>
          <w:color w:val="auto"/>
          <w:sz w:val="24"/>
          <w:szCs w:val="24"/>
          <w:u w:val="none"/>
          <w:rtl/>
        </w:rPr>
        <w:t>שיעור הילדים שנמצאים בסיטואציות האמורות משמעותי,</w:t>
      </w:r>
      <w:r w:rsidR="004162E8">
        <w:rPr>
          <w:rStyle w:val="FootnoteReference"/>
          <w:rFonts w:asciiTheme="majorBidi" w:hAnsiTheme="majorBidi" w:cs="David"/>
          <w:sz w:val="24"/>
          <w:szCs w:val="24"/>
          <w:rtl/>
        </w:rPr>
        <w:footnoteReference w:id="14"/>
      </w:r>
      <w:r w:rsidR="00CE37EF">
        <w:rPr>
          <w:rStyle w:val="Hyperlink"/>
          <w:rFonts w:asciiTheme="majorBidi" w:hAnsiTheme="majorBidi" w:cs="David" w:hint="cs"/>
          <w:color w:val="auto"/>
          <w:sz w:val="24"/>
          <w:szCs w:val="24"/>
          <w:u w:val="none"/>
          <w:rtl/>
        </w:rPr>
        <w:t xml:space="preserve"> אם כי קשה להעריך את היקפו המדויק.</w:t>
      </w:r>
      <w:r w:rsidR="003E38A2">
        <w:rPr>
          <w:rStyle w:val="FootnoteReference"/>
          <w:rFonts w:asciiTheme="majorBidi" w:hAnsiTheme="majorBidi" w:cs="David"/>
          <w:sz w:val="24"/>
          <w:szCs w:val="24"/>
          <w:rtl/>
        </w:rPr>
        <w:footnoteReference w:id="15"/>
      </w:r>
    </w:p>
    <w:p w14:paraId="469D4253" w14:textId="24A7562F" w:rsidR="00293CF8" w:rsidRDefault="00EB3B5F" w:rsidP="00807A0E">
      <w:pPr>
        <w:pStyle w:val="ListParagraph"/>
        <w:spacing w:line="480" w:lineRule="auto"/>
        <w:ind w:left="0"/>
        <w:jc w:val="both"/>
        <w:rPr>
          <w:rStyle w:val="Hyperlink"/>
          <w:rFonts w:asciiTheme="majorBidi" w:hAnsiTheme="majorBidi" w:cs="David"/>
          <w:color w:val="auto"/>
          <w:sz w:val="24"/>
          <w:szCs w:val="24"/>
          <w:u w:val="none"/>
          <w:rtl/>
        </w:rPr>
      </w:pPr>
      <w:r w:rsidRPr="00BD7576">
        <w:rPr>
          <w:rStyle w:val="Hyperlink"/>
          <w:rFonts w:asciiTheme="majorBidi" w:hAnsiTheme="majorBidi" w:cs="David" w:hint="cs"/>
          <w:color w:val="auto"/>
          <w:sz w:val="24"/>
          <w:szCs w:val="24"/>
          <w:u w:val="none"/>
          <w:rtl/>
        </w:rPr>
        <w:t xml:space="preserve">הבהרה טרמינולוגית </w:t>
      </w:r>
      <w:r w:rsidR="00CE37EF" w:rsidRPr="00BD7576">
        <w:rPr>
          <w:rStyle w:val="Hyperlink"/>
          <w:rFonts w:asciiTheme="majorBidi" w:hAnsiTheme="majorBidi" w:cs="David" w:hint="cs"/>
          <w:color w:val="auto"/>
          <w:sz w:val="24"/>
          <w:szCs w:val="24"/>
          <w:u w:val="none"/>
          <w:rtl/>
        </w:rPr>
        <w:t xml:space="preserve">מקדמית </w:t>
      </w:r>
      <w:r w:rsidRPr="00BD7576">
        <w:rPr>
          <w:rStyle w:val="Hyperlink"/>
          <w:rFonts w:asciiTheme="majorBidi" w:hAnsiTheme="majorBidi" w:cs="David" w:hint="cs"/>
          <w:color w:val="auto"/>
          <w:sz w:val="24"/>
          <w:szCs w:val="24"/>
          <w:u w:val="none"/>
          <w:rtl/>
        </w:rPr>
        <w:t xml:space="preserve">נדרשת כאן </w:t>
      </w:r>
      <w:r w:rsidRPr="00BD7576">
        <w:rPr>
          <w:rStyle w:val="Hyperlink"/>
          <w:rFonts w:asciiTheme="majorBidi" w:hAnsiTheme="majorBidi" w:cs="David"/>
          <w:color w:val="auto"/>
          <w:sz w:val="24"/>
          <w:szCs w:val="24"/>
          <w:u w:val="none"/>
          <w:rtl/>
        </w:rPr>
        <w:t>–</w:t>
      </w:r>
      <w:r w:rsidRPr="00BD7576">
        <w:rPr>
          <w:rStyle w:val="Hyperlink"/>
          <w:rFonts w:asciiTheme="majorBidi" w:hAnsiTheme="majorBidi" w:cs="David" w:hint="cs"/>
          <w:color w:val="auto"/>
          <w:sz w:val="24"/>
          <w:szCs w:val="24"/>
          <w:u w:val="none"/>
          <w:rtl/>
        </w:rPr>
        <w:t xml:space="preserve"> אותה דמות הורית </w:t>
      </w:r>
      <w:r w:rsidR="00C325F4" w:rsidRPr="00BD7576">
        <w:rPr>
          <w:rStyle w:val="Hyperlink"/>
          <w:rFonts w:asciiTheme="majorBidi" w:hAnsiTheme="majorBidi" w:cs="David" w:hint="cs"/>
          <w:color w:val="auto"/>
          <w:sz w:val="24"/>
          <w:szCs w:val="24"/>
          <w:u w:val="none"/>
          <w:rtl/>
        </w:rPr>
        <w:t>עימה מתגורר הילד</w:t>
      </w:r>
      <w:r w:rsidR="00CE37EF" w:rsidRPr="00BD7576">
        <w:rPr>
          <w:rStyle w:val="Hyperlink"/>
          <w:rFonts w:asciiTheme="majorBidi" w:hAnsiTheme="majorBidi" w:cs="David" w:hint="cs"/>
          <w:color w:val="auto"/>
          <w:sz w:val="24"/>
          <w:szCs w:val="24"/>
          <w:u w:val="none"/>
          <w:rtl/>
        </w:rPr>
        <w:t xml:space="preserve">, בן זוגו של </w:t>
      </w:r>
      <w:r w:rsidR="00C40043">
        <w:rPr>
          <w:rStyle w:val="Hyperlink"/>
          <w:rFonts w:asciiTheme="majorBidi" w:hAnsiTheme="majorBidi" w:cs="David" w:hint="cs"/>
          <w:color w:val="auto"/>
          <w:sz w:val="24"/>
          <w:szCs w:val="24"/>
          <w:u w:val="none"/>
          <w:rtl/>
        </w:rPr>
        <w:t>ה-</w:t>
      </w:r>
      <w:r w:rsidR="00CE37EF" w:rsidRPr="00BD7576">
        <w:rPr>
          <w:rStyle w:val="Hyperlink"/>
          <w:rFonts w:asciiTheme="majorBidi" w:hAnsiTheme="majorBidi" w:cs="David" w:hint="cs"/>
          <w:color w:val="auto"/>
          <w:sz w:val="24"/>
          <w:szCs w:val="24"/>
          <w:u w:val="none"/>
          <w:rtl/>
        </w:rPr>
        <w:t xml:space="preserve"> </w:t>
      </w:r>
      <w:r w:rsidR="00C40043">
        <w:rPr>
          <w:rFonts w:asciiTheme="majorBidi" w:hAnsiTheme="majorBidi" w:cs="David"/>
          <w:sz w:val="24"/>
          <w:szCs w:val="24"/>
        </w:rPr>
        <w:t>residential parent</w:t>
      </w:r>
      <w:r w:rsidR="00C40043" w:rsidRPr="00BD7576">
        <w:rPr>
          <w:rStyle w:val="Hyperlink"/>
          <w:rFonts w:asciiTheme="majorBidi" w:hAnsiTheme="majorBidi" w:cs="David" w:hint="cs"/>
          <w:color w:val="auto"/>
          <w:sz w:val="24"/>
          <w:szCs w:val="24"/>
          <w:u w:val="none"/>
          <w:rtl/>
        </w:rPr>
        <w:t xml:space="preserve"> </w:t>
      </w:r>
      <w:r w:rsidR="00CE37EF" w:rsidRPr="00BD7576">
        <w:rPr>
          <w:rStyle w:val="Hyperlink"/>
          <w:rFonts w:asciiTheme="majorBidi" w:hAnsiTheme="majorBidi" w:cs="David" w:hint="cs"/>
          <w:color w:val="auto"/>
          <w:sz w:val="24"/>
          <w:szCs w:val="24"/>
          <w:u w:val="none"/>
          <w:rtl/>
        </w:rPr>
        <w:t xml:space="preserve">עימו הוא גר, </w:t>
      </w:r>
      <w:r w:rsidR="0091427F">
        <w:rPr>
          <w:rStyle w:val="Hyperlink"/>
          <w:rFonts w:asciiTheme="majorBidi" w:hAnsiTheme="majorBidi" w:cs="David" w:hint="cs"/>
          <w:color w:val="auto"/>
          <w:sz w:val="24"/>
          <w:szCs w:val="24"/>
          <w:u w:val="none"/>
          <w:rtl/>
        </w:rPr>
        <w:t>מכונה</w:t>
      </w:r>
      <w:r w:rsidR="00CE37EF" w:rsidRPr="00BD7576">
        <w:rPr>
          <w:rStyle w:val="Hyperlink"/>
          <w:rFonts w:asciiTheme="majorBidi" w:hAnsiTheme="majorBidi" w:cs="David" w:hint="cs"/>
          <w:color w:val="auto"/>
          <w:sz w:val="24"/>
          <w:szCs w:val="24"/>
          <w:u w:val="none"/>
          <w:rtl/>
        </w:rPr>
        <w:t xml:space="preserve"> כאן לצורך הפשטות</w:t>
      </w:r>
      <w:r w:rsidR="00BD7576" w:rsidRPr="00BD7576">
        <w:rPr>
          <w:rStyle w:val="Hyperlink"/>
          <w:rFonts w:asciiTheme="majorBidi" w:hAnsiTheme="majorBidi" w:cs="David" w:hint="cs"/>
          <w:color w:val="auto"/>
          <w:sz w:val="24"/>
          <w:szCs w:val="24"/>
          <w:u w:val="none"/>
          <w:rtl/>
        </w:rPr>
        <w:t xml:space="preserve"> </w:t>
      </w:r>
      <w:r w:rsidR="00CE37EF" w:rsidRPr="00BD7576">
        <w:rPr>
          <w:rStyle w:val="Hyperlink"/>
          <w:rFonts w:asciiTheme="majorBidi" w:hAnsiTheme="majorBidi" w:cs="David" w:hint="cs"/>
          <w:color w:val="auto"/>
          <w:sz w:val="24"/>
          <w:szCs w:val="24"/>
          <w:u w:val="none"/>
          <w:rtl/>
        </w:rPr>
        <w:t>"הורה חורג"</w:t>
      </w:r>
      <w:r w:rsidR="00BD7576" w:rsidRPr="00BD7576">
        <w:rPr>
          <w:rStyle w:val="FootnoteReference"/>
          <w:rFonts w:asciiTheme="majorBidi" w:hAnsiTheme="majorBidi" w:cs="David"/>
          <w:sz w:val="24"/>
          <w:szCs w:val="24"/>
          <w:rtl/>
        </w:rPr>
        <w:footnoteReference w:id="16"/>
      </w:r>
      <w:r w:rsidR="00CE37EF" w:rsidRPr="00BD7576">
        <w:rPr>
          <w:rStyle w:val="Hyperlink"/>
          <w:rFonts w:asciiTheme="majorBidi" w:hAnsiTheme="majorBidi" w:cs="David" w:hint="cs"/>
          <w:color w:val="auto"/>
          <w:sz w:val="24"/>
          <w:szCs w:val="24"/>
          <w:u w:val="none"/>
          <w:rtl/>
        </w:rPr>
        <w:t xml:space="preserve">. </w:t>
      </w:r>
      <w:r w:rsidR="00BD7576" w:rsidRPr="00BD7576">
        <w:rPr>
          <w:rFonts w:ascii="David" w:hAnsi="David" w:cs="David"/>
          <w:sz w:val="24"/>
          <w:szCs w:val="24"/>
          <w:rtl/>
        </w:rPr>
        <w:t xml:space="preserve">מינוח זה צבוע סטיגמה שלילית </w:t>
      </w:r>
      <w:r w:rsidR="00807A0E">
        <w:rPr>
          <w:rFonts w:ascii="David" w:hAnsi="David" w:cs="David" w:hint="cs"/>
          <w:sz w:val="24"/>
          <w:szCs w:val="24"/>
          <w:rtl/>
        </w:rPr>
        <w:t xml:space="preserve">ומטעם זה רצוי </w:t>
      </w:r>
      <w:r w:rsidR="00BD7576" w:rsidRPr="00BD7576">
        <w:rPr>
          <w:rFonts w:ascii="David" w:hAnsi="David" w:cs="David"/>
          <w:sz w:val="24"/>
          <w:szCs w:val="24"/>
          <w:rtl/>
        </w:rPr>
        <w:t>היה להשתמש בהגדרה אחרת.</w:t>
      </w:r>
      <w:r w:rsidR="00947118">
        <w:rPr>
          <w:rStyle w:val="FootnoteReference"/>
          <w:rFonts w:ascii="David" w:hAnsi="David" w:cs="David"/>
          <w:sz w:val="24"/>
          <w:szCs w:val="24"/>
          <w:rtl/>
        </w:rPr>
        <w:footnoteReference w:id="17"/>
      </w:r>
      <w:r w:rsidR="00BD7576" w:rsidRPr="00BD7576">
        <w:rPr>
          <w:rFonts w:ascii="David" w:hAnsi="David" w:cs="David"/>
          <w:sz w:val="24"/>
          <w:szCs w:val="24"/>
          <w:rtl/>
        </w:rPr>
        <w:t xml:space="preserve"> עם זאת לנוכח היותו רווח וכדי להימנע מהצורך להגדיר את מעמדו המשפטי </w:t>
      </w:r>
      <w:r w:rsidR="00EB4A12">
        <w:rPr>
          <w:rFonts w:ascii="David" w:hAnsi="David" w:cs="David" w:hint="cs"/>
          <w:sz w:val="24"/>
          <w:szCs w:val="24"/>
          <w:rtl/>
        </w:rPr>
        <w:t>המדויק</w:t>
      </w:r>
      <w:r w:rsidR="00FB424B">
        <w:rPr>
          <w:rFonts w:ascii="David" w:hAnsi="David" w:cs="David" w:hint="cs"/>
          <w:sz w:val="24"/>
          <w:szCs w:val="24"/>
          <w:rtl/>
        </w:rPr>
        <w:t xml:space="preserve"> ועל מנת להימנע מהאבחנות בין </w:t>
      </w:r>
      <w:r w:rsidR="00EB4A12">
        <w:rPr>
          <w:rFonts w:ascii="David" w:hAnsi="David" w:cs="David"/>
          <w:sz w:val="24"/>
          <w:szCs w:val="24"/>
          <w:rtl/>
        </w:rPr>
        <w:t xml:space="preserve">הורה דה פקטו, </w:t>
      </w:r>
      <w:r w:rsidR="00BD7576" w:rsidRPr="00BD7576">
        <w:rPr>
          <w:rFonts w:ascii="David" w:hAnsi="David" w:cs="David"/>
          <w:sz w:val="24"/>
          <w:szCs w:val="24"/>
          <w:rtl/>
        </w:rPr>
        <w:t xml:space="preserve">הורה </w:t>
      </w:r>
      <w:r w:rsidR="00FB424B">
        <w:rPr>
          <w:rFonts w:ascii="David" w:hAnsi="David" w:cs="David" w:hint="cs"/>
          <w:sz w:val="24"/>
          <w:szCs w:val="24"/>
          <w:rtl/>
        </w:rPr>
        <w:t xml:space="preserve">פסיכולוגי, </w:t>
      </w:r>
      <w:r w:rsidR="00734601" w:rsidRPr="00734601">
        <w:rPr>
          <w:rFonts w:ascii="David" w:hAnsi="David" w:cs="David"/>
        </w:rPr>
        <w:t>Functional</w:t>
      </w:r>
      <w:r w:rsidR="00EB4A12">
        <w:rPr>
          <w:rFonts w:ascii="David" w:hAnsi="David" w:cs="David" w:hint="cs"/>
          <w:sz w:val="24"/>
          <w:szCs w:val="24"/>
          <w:rtl/>
        </w:rPr>
        <w:t xml:space="preserve"> </w:t>
      </w:r>
      <w:r w:rsidR="00734601">
        <w:rPr>
          <w:rFonts w:ascii="David" w:hAnsi="David" w:cs="David"/>
          <w:sz w:val="24"/>
          <w:szCs w:val="24"/>
        </w:rPr>
        <w:t xml:space="preserve"> parent </w:t>
      </w:r>
      <w:r w:rsidR="00734601">
        <w:rPr>
          <w:rFonts w:ascii="David" w:hAnsi="David" w:cs="David" w:hint="cs"/>
          <w:sz w:val="24"/>
          <w:szCs w:val="24"/>
          <w:rtl/>
        </w:rPr>
        <w:t>, כזה שהוכר פורמלית כהורה או שלא,</w:t>
      </w:r>
      <w:r w:rsidR="00734601">
        <w:rPr>
          <w:rStyle w:val="FootnoteReference"/>
          <w:rFonts w:ascii="David" w:hAnsi="David" w:cs="David"/>
          <w:sz w:val="24"/>
          <w:szCs w:val="24"/>
          <w:rtl/>
        </w:rPr>
        <w:footnoteReference w:id="18"/>
      </w:r>
      <w:r w:rsidR="00734601">
        <w:rPr>
          <w:rFonts w:ascii="David" w:hAnsi="David" w:cs="David" w:hint="cs"/>
          <w:sz w:val="24"/>
          <w:szCs w:val="24"/>
          <w:rtl/>
        </w:rPr>
        <w:t xml:space="preserve"> </w:t>
      </w:r>
      <w:r w:rsidR="00807A0E">
        <w:rPr>
          <w:rFonts w:ascii="David" w:hAnsi="David" w:cs="David" w:hint="cs"/>
          <w:sz w:val="24"/>
          <w:szCs w:val="24"/>
          <w:rtl/>
        </w:rPr>
        <w:t>אבחנות שאינן רלוונטיות למאמר זה</w:t>
      </w:r>
      <w:r w:rsidR="00FB424B">
        <w:rPr>
          <w:rFonts w:ascii="David" w:hAnsi="David" w:cs="David" w:hint="cs"/>
          <w:sz w:val="24"/>
          <w:szCs w:val="24"/>
          <w:rtl/>
        </w:rPr>
        <w:t xml:space="preserve">, </w:t>
      </w:r>
      <w:r w:rsidR="00BD7576" w:rsidRPr="00BD7576">
        <w:rPr>
          <w:rFonts w:ascii="David" w:hAnsi="David" w:cs="David"/>
          <w:sz w:val="24"/>
          <w:szCs w:val="24"/>
          <w:rtl/>
        </w:rPr>
        <w:t>אדבוק בהגדרה "</w:t>
      </w:r>
      <w:r w:rsidR="006C5622">
        <w:rPr>
          <w:rFonts w:ascii="David" w:hAnsi="David" w:cs="David" w:hint="cs"/>
          <w:sz w:val="24"/>
          <w:szCs w:val="24"/>
          <w:rtl/>
        </w:rPr>
        <w:t xml:space="preserve">הורה </w:t>
      </w:r>
      <w:r w:rsidR="00EB4A12">
        <w:rPr>
          <w:rFonts w:ascii="David" w:hAnsi="David" w:cs="David"/>
          <w:sz w:val="24"/>
          <w:szCs w:val="24"/>
          <w:rtl/>
        </w:rPr>
        <w:t>חורג"</w:t>
      </w:r>
      <w:r w:rsidR="00EB4A12">
        <w:rPr>
          <w:rFonts w:ascii="David" w:hAnsi="David" w:cs="David" w:hint="cs"/>
          <w:sz w:val="24"/>
          <w:szCs w:val="24"/>
          <w:rtl/>
        </w:rPr>
        <w:t>.</w:t>
      </w:r>
      <w:r w:rsidR="00DD1841">
        <w:rPr>
          <w:rFonts w:ascii="David" w:hAnsi="David" w:cs="David" w:hint="cs"/>
          <w:sz w:val="24"/>
          <w:szCs w:val="24"/>
          <w:rtl/>
        </w:rPr>
        <w:t xml:space="preserve"> למעשה, לצורך הדיון במאמר זה, אפשר שההורה החורג אינו מוכר כבעל זיקה</w:t>
      </w:r>
      <w:r w:rsidR="00FB424B">
        <w:rPr>
          <w:rFonts w:ascii="David" w:hAnsi="David" w:cs="David" w:hint="cs"/>
          <w:sz w:val="24"/>
          <w:szCs w:val="24"/>
          <w:rtl/>
        </w:rPr>
        <w:t xml:space="preserve"> משפטית-פורמלית</w:t>
      </w:r>
      <w:r w:rsidR="00DD1841">
        <w:rPr>
          <w:rFonts w:ascii="David" w:hAnsi="David" w:cs="David" w:hint="cs"/>
          <w:sz w:val="24"/>
          <w:szCs w:val="24"/>
          <w:rtl/>
        </w:rPr>
        <w:t xml:space="preserve"> </w:t>
      </w:r>
      <w:r w:rsidR="00DD1841" w:rsidRPr="00FB424B">
        <w:rPr>
          <w:rFonts w:ascii="David" w:hAnsi="David" w:cs="David" w:hint="cs"/>
          <w:sz w:val="24"/>
          <w:szCs w:val="24"/>
          <w:rtl/>
        </w:rPr>
        <w:t>לילד</w:t>
      </w:r>
      <w:r w:rsidR="00DD1841">
        <w:rPr>
          <w:rFonts w:ascii="David" w:hAnsi="David" w:cs="David" w:hint="cs"/>
          <w:sz w:val="24"/>
          <w:szCs w:val="24"/>
          <w:rtl/>
        </w:rPr>
        <w:t>.</w:t>
      </w:r>
      <w:r w:rsidR="00EB4A12">
        <w:rPr>
          <w:rFonts w:ascii="David" w:hAnsi="David" w:cs="David" w:hint="cs"/>
          <w:sz w:val="24"/>
          <w:szCs w:val="24"/>
          <w:rtl/>
        </w:rPr>
        <w:t xml:space="preserve"> הגדרה </w:t>
      </w:r>
      <w:r w:rsidR="008A5EED">
        <w:rPr>
          <w:rFonts w:ascii="David" w:hAnsi="David" w:cs="David" w:hint="cs"/>
          <w:sz w:val="24"/>
          <w:szCs w:val="24"/>
          <w:rtl/>
        </w:rPr>
        <w:t>זו</w:t>
      </w:r>
      <w:r w:rsidR="009652B1">
        <w:rPr>
          <w:rFonts w:ascii="David" w:hAnsi="David" w:cs="David" w:hint="cs"/>
          <w:sz w:val="24"/>
          <w:szCs w:val="24"/>
          <w:rtl/>
        </w:rPr>
        <w:t>,</w:t>
      </w:r>
      <w:r w:rsidR="00EB4A12">
        <w:rPr>
          <w:rFonts w:ascii="David" w:hAnsi="David" w:cs="David" w:hint="cs"/>
          <w:sz w:val="24"/>
          <w:szCs w:val="24"/>
          <w:rtl/>
        </w:rPr>
        <w:t xml:space="preserve"> </w:t>
      </w:r>
      <w:r w:rsidR="009652B1">
        <w:rPr>
          <w:rFonts w:ascii="David" w:hAnsi="David" w:cs="David" w:hint="cs"/>
          <w:sz w:val="24"/>
          <w:szCs w:val="24"/>
          <w:rtl/>
        </w:rPr>
        <w:t>כפי שאני עושה בה שימוש,</w:t>
      </w:r>
      <w:r w:rsidR="00BD7576" w:rsidRPr="00BD7576">
        <w:rPr>
          <w:rFonts w:ascii="David" w:hAnsi="David" w:cs="David"/>
          <w:sz w:val="24"/>
          <w:szCs w:val="24"/>
          <w:rtl/>
        </w:rPr>
        <w:t xml:space="preserve"> מתארת את עובדת </w:t>
      </w:r>
      <w:r w:rsidR="00FB424B">
        <w:rPr>
          <w:rFonts w:ascii="David" w:hAnsi="David" w:cs="David"/>
          <w:sz w:val="24"/>
          <w:szCs w:val="24"/>
          <w:rtl/>
        </w:rPr>
        <w:t xml:space="preserve">היותו בן הזוג של ההורה המשפטי, </w:t>
      </w:r>
      <w:r w:rsidR="00BD7576" w:rsidRPr="00BD7576">
        <w:rPr>
          <w:rFonts w:ascii="David" w:hAnsi="David" w:cs="David"/>
          <w:sz w:val="24"/>
          <w:szCs w:val="24"/>
          <w:rtl/>
        </w:rPr>
        <w:t>הגר איתו ועם הילד באותו בית</w:t>
      </w:r>
      <w:r w:rsidR="00FB424B">
        <w:rPr>
          <w:rFonts w:ascii="David" w:hAnsi="David" w:cs="David" w:hint="cs"/>
          <w:sz w:val="24"/>
          <w:szCs w:val="24"/>
          <w:rtl/>
        </w:rPr>
        <w:t xml:space="preserve"> ומקיים עם הילד יחסים משמעותיים</w:t>
      </w:r>
      <w:r w:rsidR="00BD7576" w:rsidRPr="00BD7576">
        <w:rPr>
          <w:rFonts w:ascii="David" w:hAnsi="David" w:cs="David"/>
          <w:sz w:val="24"/>
          <w:szCs w:val="24"/>
          <w:rtl/>
        </w:rPr>
        <w:t>.</w:t>
      </w:r>
      <w:r w:rsidR="006C5622">
        <w:rPr>
          <w:rStyle w:val="Hyperlink"/>
          <w:rFonts w:asciiTheme="majorBidi" w:hAnsiTheme="majorBidi" w:cs="David" w:hint="cs"/>
          <w:color w:val="auto"/>
          <w:sz w:val="24"/>
          <w:szCs w:val="24"/>
          <w:u w:val="none"/>
          <w:rtl/>
        </w:rPr>
        <w:t xml:space="preserve"> </w:t>
      </w:r>
      <w:r w:rsidR="00DD1841">
        <w:rPr>
          <w:rStyle w:val="Hyperlink"/>
          <w:rFonts w:asciiTheme="majorBidi" w:hAnsiTheme="majorBidi" w:cs="David" w:hint="cs"/>
          <w:color w:val="auto"/>
          <w:sz w:val="24"/>
          <w:szCs w:val="24"/>
          <w:u w:val="none"/>
          <w:rtl/>
        </w:rPr>
        <w:t>בנוסף, ו</w:t>
      </w:r>
      <w:r w:rsidR="006C5622">
        <w:rPr>
          <w:rStyle w:val="Hyperlink"/>
          <w:rFonts w:asciiTheme="majorBidi" w:hAnsiTheme="majorBidi" w:cs="David" w:hint="cs"/>
          <w:color w:val="auto"/>
          <w:sz w:val="24"/>
          <w:szCs w:val="24"/>
          <w:u w:val="none"/>
          <w:rtl/>
        </w:rPr>
        <w:t xml:space="preserve">למרות שמקובל </w:t>
      </w:r>
      <w:r w:rsidR="004162E8">
        <w:rPr>
          <w:rStyle w:val="Hyperlink"/>
          <w:rFonts w:asciiTheme="majorBidi" w:hAnsiTheme="majorBidi" w:cs="David" w:hint="cs"/>
          <w:color w:val="auto"/>
          <w:sz w:val="24"/>
          <w:szCs w:val="24"/>
          <w:u w:val="none"/>
          <w:rtl/>
        </w:rPr>
        <w:t xml:space="preserve">היה </w:t>
      </w:r>
      <w:r w:rsidR="006C5622">
        <w:rPr>
          <w:rStyle w:val="Hyperlink"/>
          <w:rFonts w:asciiTheme="majorBidi" w:hAnsiTheme="majorBidi" w:cs="David" w:hint="cs"/>
          <w:color w:val="auto"/>
          <w:sz w:val="24"/>
          <w:szCs w:val="24"/>
          <w:u w:val="none"/>
          <w:rtl/>
        </w:rPr>
        <w:t xml:space="preserve">לזהות </w:t>
      </w:r>
      <w:r w:rsidR="00EB4A12">
        <w:rPr>
          <w:rStyle w:val="Hyperlink"/>
          <w:rFonts w:asciiTheme="majorBidi" w:hAnsiTheme="majorBidi" w:cs="David" w:hint="cs"/>
          <w:color w:val="auto"/>
          <w:sz w:val="24"/>
          <w:szCs w:val="24"/>
          <w:u w:val="none"/>
          <w:rtl/>
        </w:rPr>
        <w:t>כהורה חורג רק את מי שהתחתן עם ההורה המשפטי,</w:t>
      </w:r>
      <w:r w:rsidR="00DD1841">
        <w:rPr>
          <w:rStyle w:val="FootnoteReference"/>
          <w:rFonts w:asciiTheme="majorBidi" w:hAnsiTheme="majorBidi" w:cs="David"/>
          <w:sz w:val="24"/>
          <w:szCs w:val="24"/>
          <w:rtl/>
        </w:rPr>
        <w:footnoteReference w:id="19"/>
      </w:r>
      <w:r w:rsidR="00EB4A12">
        <w:rPr>
          <w:rStyle w:val="Hyperlink"/>
          <w:rFonts w:asciiTheme="majorBidi" w:hAnsiTheme="majorBidi" w:cs="David" w:hint="cs"/>
          <w:color w:val="auto"/>
          <w:sz w:val="24"/>
          <w:szCs w:val="24"/>
          <w:u w:val="none"/>
          <w:rtl/>
        </w:rPr>
        <w:t xml:space="preserve"> הרי שלצורך מאמר זה ולנוכח השינויים הדמוגרפיים המאפיינים את תקופתנו, הורה חורג יתייחס לבן זוג של ההורה</w:t>
      </w:r>
      <w:r w:rsidR="0091427F">
        <w:rPr>
          <w:rStyle w:val="Hyperlink"/>
          <w:rFonts w:asciiTheme="majorBidi" w:hAnsiTheme="majorBidi" w:cs="David" w:hint="cs"/>
          <w:color w:val="auto"/>
          <w:sz w:val="24"/>
          <w:szCs w:val="24"/>
          <w:u w:val="none"/>
          <w:rtl/>
        </w:rPr>
        <w:t>,</w:t>
      </w:r>
      <w:r w:rsidR="00EB4A12">
        <w:rPr>
          <w:rStyle w:val="Hyperlink"/>
          <w:rFonts w:asciiTheme="majorBidi" w:hAnsiTheme="majorBidi" w:cs="David" w:hint="cs"/>
          <w:color w:val="auto"/>
          <w:sz w:val="24"/>
          <w:szCs w:val="24"/>
          <w:u w:val="none"/>
          <w:rtl/>
        </w:rPr>
        <w:t xml:space="preserve"> המתגורר איתו, גם אם לא נישא לו.</w:t>
      </w:r>
      <w:r w:rsidR="00DD1841">
        <w:rPr>
          <w:rStyle w:val="FootnoteReference"/>
          <w:rFonts w:asciiTheme="majorBidi" w:hAnsiTheme="majorBidi" w:cs="David"/>
          <w:sz w:val="24"/>
          <w:szCs w:val="24"/>
          <w:rtl/>
        </w:rPr>
        <w:footnoteReference w:id="20"/>
      </w:r>
      <w:r w:rsidR="00EB4A12">
        <w:rPr>
          <w:rStyle w:val="Hyperlink"/>
          <w:rFonts w:asciiTheme="majorBidi" w:hAnsiTheme="majorBidi" w:cs="David" w:hint="cs"/>
          <w:color w:val="auto"/>
          <w:sz w:val="24"/>
          <w:szCs w:val="24"/>
          <w:u w:val="none"/>
          <w:rtl/>
        </w:rPr>
        <w:t xml:space="preserve"> עובדת המגורים המשותפים באותו בית לפרק זמן משמעותי</w:t>
      </w:r>
      <w:r w:rsidR="00582742">
        <w:rPr>
          <w:rStyle w:val="Hyperlink"/>
          <w:rFonts w:asciiTheme="majorBidi" w:hAnsiTheme="majorBidi" w:cs="David" w:hint="cs"/>
          <w:color w:val="auto"/>
          <w:sz w:val="24"/>
          <w:szCs w:val="24"/>
          <w:u w:val="none"/>
          <w:rtl/>
        </w:rPr>
        <w:t>,</w:t>
      </w:r>
      <w:r w:rsidR="00EB4A12">
        <w:rPr>
          <w:rStyle w:val="Hyperlink"/>
          <w:rFonts w:asciiTheme="majorBidi" w:hAnsiTheme="majorBidi" w:cs="David" w:hint="cs"/>
          <w:color w:val="auto"/>
          <w:sz w:val="24"/>
          <w:szCs w:val="24"/>
          <w:u w:val="none"/>
          <w:rtl/>
        </w:rPr>
        <w:t xml:space="preserve"> היא הפקטור הרלוונטי לענייננו. שהרי לא ההגדרה הפורמלית היא החשובה אלא פוטנציאל ההשפעה הקיים להורה החורג על הילד, </w:t>
      </w:r>
      <w:r w:rsidR="002B1E6F">
        <w:rPr>
          <w:rStyle w:val="Hyperlink"/>
          <w:rFonts w:asciiTheme="majorBidi" w:hAnsiTheme="majorBidi" w:cs="David" w:hint="cs"/>
          <w:color w:val="auto"/>
          <w:sz w:val="24"/>
          <w:szCs w:val="24"/>
          <w:u w:val="none"/>
          <w:rtl/>
        </w:rPr>
        <w:t xml:space="preserve">על </w:t>
      </w:r>
      <w:r w:rsidR="00EB4A12">
        <w:rPr>
          <w:rStyle w:val="Hyperlink"/>
          <w:rFonts w:asciiTheme="majorBidi" w:hAnsiTheme="majorBidi" w:cs="David" w:hint="cs"/>
          <w:color w:val="auto"/>
          <w:sz w:val="24"/>
          <w:szCs w:val="24"/>
          <w:u w:val="none"/>
          <w:rtl/>
        </w:rPr>
        <w:t>התנהגותו ו</w:t>
      </w:r>
      <w:r w:rsidR="002B1E6F">
        <w:rPr>
          <w:rStyle w:val="Hyperlink"/>
          <w:rFonts w:asciiTheme="majorBidi" w:hAnsiTheme="majorBidi" w:cs="David" w:hint="cs"/>
          <w:color w:val="auto"/>
          <w:sz w:val="24"/>
          <w:szCs w:val="24"/>
          <w:u w:val="none"/>
          <w:rtl/>
        </w:rPr>
        <w:t xml:space="preserve">על </w:t>
      </w:r>
      <w:r w:rsidR="00EB4A12">
        <w:rPr>
          <w:rStyle w:val="Hyperlink"/>
          <w:rFonts w:asciiTheme="majorBidi" w:hAnsiTheme="majorBidi" w:cs="David" w:hint="cs"/>
          <w:color w:val="auto"/>
          <w:sz w:val="24"/>
          <w:szCs w:val="24"/>
          <w:u w:val="none"/>
          <w:rtl/>
        </w:rPr>
        <w:t>אורחות חייו.</w:t>
      </w:r>
      <w:r w:rsidR="00BD7576" w:rsidRPr="00BD7576">
        <w:rPr>
          <w:rStyle w:val="Hyperlink"/>
          <w:rFonts w:asciiTheme="majorBidi" w:hAnsiTheme="majorBidi" w:cs="David" w:hint="cs"/>
          <w:color w:val="auto"/>
          <w:sz w:val="24"/>
          <w:szCs w:val="24"/>
          <w:u w:val="none"/>
          <w:rtl/>
        </w:rPr>
        <w:t xml:space="preserve"> </w:t>
      </w:r>
      <w:r w:rsidR="00CE37EF" w:rsidRPr="00BD7576">
        <w:rPr>
          <w:rStyle w:val="Hyperlink"/>
          <w:rFonts w:asciiTheme="majorBidi" w:hAnsiTheme="majorBidi" w:cs="David" w:hint="cs"/>
          <w:color w:val="auto"/>
          <w:sz w:val="24"/>
          <w:szCs w:val="24"/>
          <w:u w:val="none"/>
          <w:rtl/>
        </w:rPr>
        <w:t xml:space="preserve">דמות זאת, אף אם אינה מוכרת משפטית כהורה פורמלי, או כאפוטרופוס, </w:t>
      </w:r>
      <w:r w:rsidR="004B461A" w:rsidRPr="00BD7576">
        <w:rPr>
          <w:rStyle w:val="Hyperlink"/>
          <w:rFonts w:asciiTheme="majorBidi" w:hAnsiTheme="majorBidi" w:cs="David" w:hint="cs"/>
          <w:color w:val="auto"/>
          <w:sz w:val="24"/>
          <w:szCs w:val="24"/>
          <w:u w:val="none"/>
          <w:rtl/>
        </w:rPr>
        <w:t>תוגדר כאן כ"הורה חורג".</w:t>
      </w:r>
      <w:r w:rsidR="00E50FDE">
        <w:rPr>
          <w:rStyle w:val="Hyperlink"/>
          <w:rFonts w:asciiTheme="majorBidi" w:hAnsiTheme="majorBidi" w:cs="David" w:hint="cs"/>
          <w:color w:val="auto"/>
          <w:sz w:val="24"/>
          <w:szCs w:val="24"/>
          <w:u w:val="none"/>
          <w:rtl/>
        </w:rPr>
        <w:t xml:space="preserve"> מכאן כי תחת</w:t>
      </w:r>
      <w:r w:rsidR="007F1023">
        <w:rPr>
          <w:rStyle w:val="Hyperlink"/>
          <w:rFonts w:asciiTheme="majorBidi" w:hAnsiTheme="majorBidi" w:cs="David" w:hint="cs"/>
          <w:color w:val="auto"/>
          <w:sz w:val="24"/>
          <w:szCs w:val="24"/>
          <w:u w:val="none"/>
          <w:rtl/>
        </w:rPr>
        <w:t xml:space="preserve"> כנפי</w:t>
      </w:r>
      <w:r w:rsidR="00E50FDE">
        <w:rPr>
          <w:rStyle w:val="Hyperlink"/>
          <w:rFonts w:asciiTheme="majorBidi" w:hAnsiTheme="majorBidi" w:cs="David" w:hint="cs"/>
          <w:color w:val="auto"/>
          <w:sz w:val="24"/>
          <w:szCs w:val="24"/>
          <w:u w:val="none"/>
          <w:rtl/>
        </w:rPr>
        <w:t xml:space="preserve"> </w:t>
      </w:r>
      <w:r w:rsidR="002B1E6F">
        <w:rPr>
          <w:rStyle w:val="Hyperlink"/>
          <w:rFonts w:asciiTheme="majorBidi" w:hAnsiTheme="majorBidi" w:cs="David" w:hint="cs"/>
          <w:color w:val="auto"/>
          <w:sz w:val="24"/>
          <w:szCs w:val="24"/>
          <w:u w:val="none"/>
          <w:rtl/>
        </w:rPr>
        <w:t xml:space="preserve">המונח </w:t>
      </w:r>
      <w:r w:rsidR="00E50FDE">
        <w:rPr>
          <w:rStyle w:val="Hyperlink"/>
          <w:rFonts w:asciiTheme="majorBidi" w:hAnsiTheme="majorBidi" w:cs="David" w:hint="cs"/>
          <w:color w:val="auto"/>
          <w:sz w:val="24"/>
          <w:szCs w:val="24"/>
          <w:u w:val="none"/>
          <w:rtl/>
        </w:rPr>
        <w:t xml:space="preserve">"הורה חורג" </w:t>
      </w:r>
      <w:r w:rsidR="002B1E6F">
        <w:rPr>
          <w:rStyle w:val="Hyperlink"/>
          <w:rFonts w:asciiTheme="majorBidi" w:hAnsiTheme="majorBidi" w:cs="David" w:hint="cs"/>
          <w:color w:val="auto"/>
          <w:sz w:val="24"/>
          <w:szCs w:val="24"/>
          <w:u w:val="none"/>
          <w:rtl/>
        </w:rPr>
        <w:t>בו נעשה שימוש ב</w:t>
      </w:r>
      <w:r w:rsidR="00E50FDE">
        <w:rPr>
          <w:rStyle w:val="Hyperlink"/>
          <w:rFonts w:asciiTheme="majorBidi" w:hAnsiTheme="majorBidi" w:cs="David" w:hint="cs"/>
          <w:color w:val="auto"/>
          <w:sz w:val="24"/>
          <w:szCs w:val="24"/>
          <w:u w:val="none"/>
          <w:rtl/>
        </w:rPr>
        <w:t>מאמר זה</w:t>
      </w:r>
      <w:r w:rsidR="002B1E6F">
        <w:rPr>
          <w:rStyle w:val="Hyperlink"/>
          <w:rFonts w:asciiTheme="majorBidi" w:hAnsiTheme="majorBidi" w:cs="David" w:hint="cs"/>
          <w:color w:val="auto"/>
          <w:sz w:val="24"/>
          <w:szCs w:val="24"/>
          <w:u w:val="none"/>
          <w:rtl/>
        </w:rPr>
        <w:t>,</w:t>
      </w:r>
      <w:r w:rsidR="00E50FDE">
        <w:rPr>
          <w:rStyle w:val="Hyperlink"/>
          <w:rFonts w:asciiTheme="majorBidi" w:hAnsiTheme="majorBidi" w:cs="David" w:hint="cs"/>
          <w:color w:val="auto"/>
          <w:sz w:val="24"/>
          <w:szCs w:val="24"/>
          <w:u w:val="none"/>
          <w:rtl/>
        </w:rPr>
        <w:t xml:space="preserve"> נמצא מגוון דמויות הוריות, אשר ההגדרה המשפטית שלהם </w:t>
      </w:r>
      <w:r w:rsidR="00CB25F6">
        <w:rPr>
          <w:rStyle w:val="Hyperlink"/>
          <w:rFonts w:asciiTheme="majorBidi" w:hAnsiTheme="majorBidi" w:cs="David" w:hint="cs"/>
          <w:color w:val="auto"/>
          <w:sz w:val="24"/>
          <w:szCs w:val="24"/>
          <w:u w:val="none"/>
          <w:rtl/>
        </w:rPr>
        <w:t>עשויה להיות שונה</w:t>
      </w:r>
      <w:r w:rsidR="00E50FDE">
        <w:rPr>
          <w:rStyle w:val="Hyperlink"/>
          <w:rFonts w:asciiTheme="majorBidi" w:hAnsiTheme="majorBidi" w:cs="David" w:hint="cs"/>
          <w:color w:val="auto"/>
          <w:sz w:val="24"/>
          <w:szCs w:val="24"/>
          <w:u w:val="none"/>
          <w:rtl/>
        </w:rPr>
        <w:t>.</w:t>
      </w:r>
      <w:r w:rsidR="00293CF8">
        <w:rPr>
          <w:rStyle w:val="Hyperlink"/>
          <w:rFonts w:asciiTheme="majorBidi" w:hAnsiTheme="majorBidi" w:cs="David" w:hint="cs"/>
          <w:color w:val="auto"/>
          <w:sz w:val="24"/>
          <w:szCs w:val="24"/>
          <w:u w:val="none"/>
          <w:rtl/>
        </w:rPr>
        <w:t xml:space="preserve"> מגוון זה מכביד על האפשרות לבצע הערכה של </w:t>
      </w:r>
      <w:r w:rsidR="005E7D75">
        <w:rPr>
          <w:rStyle w:val="Hyperlink"/>
          <w:rFonts w:asciiTheme="majorBidi" w:hAnsiTheme="majorBidi" w:cs="David" w:hint="cs"/>
          <w:color w:val="auto"/>
          <w:sz w:val="24"/>
          <w:szCs w:val="24"/>
          <w:u w:val="none"/>
          <w:rtl/>
        </w:rPr>
        <w:t xml:space="preserve">היקף </w:t>
      </w:r>
      <w:r w:rsidR="007F1023">
        <w:rPr>
          <w:rStyle w:val="Hyperlink"/>
          <w:rFonts w:asciiTheme="majorBidi" w:hAnsiTheme="majorBidi" w:cs="David" w:hint="cs"/>
          <w:color w:val="auto"/>
          <w:sz w:val="24"/>
          <w:szCs w:val="24"/>
          <w:u w:val="none"/>
          <w:rtl/>
        </w:rPr>
        <w:t>התופעה</w:t>
      </w:r>
      <w:r w:rsidR="007F1023">
        <w:rPr>
          <w:rStyle w:val="FootnoteReference"/>
          <w:rFonts w:asciiTheme="majorBidi" w:hAnsiTheme="majorBidi" w:cs="David"/>
          <w:sz w:val="24"/>
          <w:szCs w:val="24"/>
          <w:rtl/>
        </w:rPr>
        <w:footnoteReference w:id="21"/>
      </w:r>
      <w:r w:rsidR="00293CF8">
        <w:rPr>
          <w:rStyle w:val="Hyperlink"/>
          <w:rFonts w:asciiTheme="majorBidi" w:hAnsiTheme="majorBidi" w:cs="David" w:hint="cs"/>
          <w:color w:val="auto"/>
          <w:sz w:val="24"/>
          <w:szCs w:val="24"/>
          <w:u w:val="none"/>
          <w:rtl/>
        </w:rPr>
        <w:t xml:space="preserve"> </w:t>
      </w:r>
      <w:r w:rsidR="005E7D75">
        <w:rPr>
          <w:rStyle w:val="Hyperlink"/>
          <w:rFonts w:asciiTheme="majorBidi" w:hAnsiTheme="majorBidi" w:cs="David" w:hint="cs"/>
          <w:color w:val="auto"/>
          <w:sz w:val="24"/>
          <w:szCs w:val="24"/>
          <w:u w:val="none"/>
          <w:rtl/>
        </w:rPr>
        <w:t>ו</w:t>
      </w:r>
      <w:r w:rsidR="00293CF8">
        <w:rPr>
          <w:rStyle w:val="Hyperlink"/>
          <w:rFonts w:asciiTheme="majorBidi" w:hAnsiTheme="majorBidi" w:cs="David" w:hint="cs"/>
          <w:color w:val="auto"/>
          <w:sz w:val="24"/>
          <w:szCs w:val="24"/>
          <w:u w:val="none"/>
          <w:rtl/>
        </w:rPr>
        <w:t>מרחיב את שוליה.</w:t>
      </w:r>
    </w:p>
    <w:p w14:paraId="1A064B1D" w14:textId="4139A431" w:rsidR="008211D5" w:rsidRDefault="00E50FDE" w:rsidP="00582742">
      <w:pPr>
        <w:pStyle w:val="ListParagraph"/>
        <w:spacing w:line="480" w:lineRule="auto"/>
        <w:ind w:left="0"/>
        <w:jc w:val="both"/>
        <w:rPr>
          <w:rStyle w:val="Hyperlink"/>
          <w:rFonts w:asciiTheme="majorBidi" w:hAnsiTheme="majorBidi" w:cs="David"/>
          <w:color w:val="auto"/>
          <w:sz w:val="24"/>
          <w:szCs w:val="24"/>
          <w:u w:val="none"/>
          <w:rtl/>
        </w:rPr>
      </w:pPr>
      <w:r>
        <w:rPr>
          <w:rStyle w:val="Hyperlink"/>
          <w:rFonts w:asciiTheme="majorBidi" w:hAnsiTheme="majorBidi" w:cs="David" w:hint="cs"/>
          <w:color w:val="auto"/>
          <w:sz w:val="24"/>
          <w:szCs w:val="24"/>
          <w:u w:val="none"/>
          <w:rtl/>
        </w:rPr>
        <w:t>גם מהותית יתכן מגוון</w:t>
      </w:r>
      <w:r w:rsidR="00293CF8">
        <w:rPr>
          <w:rStyle w:val="Hyperlink"/>
          <w:rFonts w:asciiTheme="majorBidi" w:hAnsiTheme="majorBidi" w:cs="David" w:hint="cs"/>
          <w:color w:val="auto"/>
          <w:sz w:val="24"/>
          <w:szCs w:val="24"/>
          <w:u w:val="none"/>
          <w:rtl/>
        </w:rPr>
        <w:t xml:space="preserve"> ביחס לטיב היחסים בין ההורה החורג לילד, ללא קשר למעמדו</w:t>
      </w:r>
      <w:r w:rsidR="004C5E90">
        <w:rPr>
          <w:rStyle w:val="Hyperlink"/>
          <w:rFonts w:asciiTheme="majorBidi" w:hAnsiTheme="majorBidi" w:cs="David" w:hint="cs"/>
          <w:color w:val="auto"/>
          <w:sz w:val="24"/>
          <w:szCs w:val="24"/>
          <w:u w:val="none"/>
          <w:rtl/>
        </w:rPr>
        <w:t xml:space="preserve"> המשפטי</w:t>
      </w:r>
      <w:r w:rsidR="00293CF8">
        <w:rPr>
          <w:rStyle w:val="Hyperlink"/>
          <w:rFonts w:asciiTheme="majorBidi" w:hAnsiTheme="majorBidi" w:cs="David" w:hint="cs"/>
          <w:color w:val="auto"/>
          <w:sz w:val="24"/>
          <w:szCs w:val="24"/>
          <w:u w:val="none"/>
          <w:rtl/>
        </w:rPr>
        <w:t xml:space="preserve"> הפורמלי של ההורה החורג. מגוון המשפחות הקיים,</w:t>
      </w:r>
      <w:r w:rsidR="00AA6D6C">
        <w:rPr>
          <w:rStyle w:val="FootnoteReference"/>
          <w:rFonts w:asciiTheme="majorBidi" w:hAnsiTheme="majorBidi" w:cs="David"/>
          <w:sz w:val="24"/>
          <w:szCs w:val="24"/>
          <w:rtl/>
        </w:rPr>
        <w:footnoteReference w:id="22"/>
      </w:r>
      <w:r w:rsidR="00293CF8">
        <w:rPr>
          <w:rStyle w:val="Hyperlink"/>
          <w:rFonts w:asciiTheme="majorBidi" w:hAnsiTheme="majorBidi" w:cs="David" w:hint="cs"/>
          <w:color w:val="auto"/>
          <w:sz w:val="24"/>
          <w:szCs w:val="24"/>
          <w:u w:val="none"/>
          <w:rtl/>
        </w:rPr>
        <w:t xml:space="preserve"> השלב בו הצטרף ההורה החורג למשפחה וגילו של הילד, מספר השנים בו הוא משמש כהורה חורג ומידת המעורבות של ההורה הלא משמורן בחיי הילד, </w:t>
      </w:r>
      <w:r w:rsidR="004C5E90">
        <w:rPr>
          <w:rStyle w:val="Hyperlink"/>
          <w:rFonts w:asciiTheme="majorBidi" w:hAnsiTheme="majorBidi" w:cs="David" w:hint="cs"/>
          <w:color w:val="auto"/>
          <w:sz w:val="24"/>
          <w:szCs w:val="24"/>
          <w:u w:val="none"/>
          <w:rtl/>
        </w:rPr>
        <w:t xml:space="preserve">כל אלה עשויים להכתיב שונות במידת ההשפעה של ההורה החורג </w:t>
      </w:r>
      <w:r w:rsidR="00582742">
        <w:rPr>
          <w:rStyle w:val="Hyperlink"/>
          <w:rFonts w:asciiTheme="majorBidi" w:hAnsiTheme="majorBidi" w:cs="David" w:hint="cs"/>
          <w:color w:val="auto"/>
          <w:sz w:val="24"/>
          <w:szCs w:val="24"/>
          <w:u w:val="none"/>
          <w:rtl/>
        </w:rPr>
        <w:t xml:space="preserve">על הילד ועל יחסיו עם ה- </w:t>
      </w:r>
      <w:r w:rsidR="00582742">
        <w:rPr>
          <w:rFonts w:asciiTheme="majorBidi" w:hAnsiTheme="majorBidi" w:cs="David"/>
          <w:sz w:val="24"/>
          <w:szCs w:val="24"/>
        </w:rPr>
        <w:t>nonresidential legal  parent</w:t>
      </w:r>
      <w:r w:rsidR="004C5E90">
        <w:rPr>
          <w:rStyle w:val="Hyperlink"/>
          <w:rFonts w:asciiTheme="majorBidi" w:hAnsiTheme="majorBidi" w:cs="David" w:hint="cs"/>
          <w:color w:val="auto"/>
          <w:sz w:val="24"/>
          <w:szCs w:val="24"/>
          <w:u w:val="none"/>
          <w:rtl/>
        </w:rPr>
        <w:t>.</w:t>
      </w:r>
      <w:r w:rsidR="004C5E90">
        <w:rPr>
          <w:rStyle w:val="FootnoteReference"/>
          <w:rFonts w:asciiTheme="majorBidi" w:hAnsiTheme="majorBidi" w:cs="David"/>
          <w:sz w:val="24"/>
          <w:szCs w:val="24"/>
          <w:rtl/>
        </w:rPr>
        <w:footnoteReference w:id="23"/>
      </w:r>
      <w:r>
        <w:rPr>
          <w:rStyle w:val="Hyperlink"/>
          <w:rFonts w:asciiTheme="majorBidi" w:hAnsiTheme="majorBidi" w:cs="David" w:hint="cs"/>
          <w:color w:val="auto"/>
          <w:sz w:val="24"/>
          <w:szCs w:val="24"/>
          <w:u w:val="none"/>
          <w:rtl/>
        </w:rPr>
        <w:t xml:space="preserve"> </w:t>
      </w:r>
    </w:p>
    <w:p w14:paraId="7E7C4CA8" w14:textId="114C81BF" w:rsidR="008211D5" w:rsidRDefault="008211D5" w:rsidP="007F1023">
      <w:pPr>
        <w:pStyle w:val="ListParagraph"/>
        <w:spacing w:line="480" w:lineRule="auto"/>
        <w:ind w:left="0"/>
        <w:jc w:val="both"/>
        <w:rPr>
          <w:rStyle w:val="Hyperlink"/>
          <w:rFonts w:asciiTheme="majorBidi" w:hAnsiTheme="majorBidi" w:cs="David"/>
          <w:color w:val="auto"/>
          <w:sz w:val="24"/>
          <w:szCs w:val="24"/>
          <w:u w:val="none"/>
          <w:rtl/>
        </w:rPr>
      </w:pPr>
      <w:r>
        <w:rPr>
          <w:rStyle w:val="Hyperlink"/>
          <w:rFonts w:asciiTheme="majorBidi" w:hAnsiTheme="majorBidi" w:cs="David" w:hint="cs"/>
          <w:color w:val="auto"/>
          <w:sz w:val="24"/>
          <w:szCs w:val="24"/>
          <w:u w:val="none"/>
          <w:rtl/>
        </w:rPr>
        <w:t xml:space="preserve">המחקר חלוק על היקף ההשפעה שיש להורה חורג </w:t>
      </w:r>
      <w:r w:rsidR="006043C0">
        <w:rPr>
          <w:rStyle w:val="Hyperlink"/>
          <w:rFonts w:asciiTheme="majorBidi" w:hAnsiTheme="majorBidi" w:cs="David" w:hint="cs"/>
          <w:color w:val="auto"/>
          <w:sz w:val="24"/>
          <w:szCs w:val="24"/>
          <w:u w:val="none"/>
          <w:rtl/>
        </w:rPr>
        <w:t>על הילד באופן כללי.</w:t>
      </w:r>
      <w:r w:rsidR="00A83641">
        <w:rPr>
          <w:rStyle w:val="FootnoteReference"/>
          <w:rFonts w:asciiTheme="majorBidi" w:hAnsiTheme="majorBidi" w:cs="David"/>
          <w:sz w:val="24"/>
          <w:szCs w:val="24"/>
          <w:rtl/>
        </w:rPr>
        <w:footnoteReference w:id="24"/>
      </w:r>
      <w:r w:rsidR="006043C0">
        <w:rPr>
          <w:rStyle w:val="Hyperlink"/>
          <w:rFonts w:asciiTheme="majorBidi" w:hAnsiTheme="majorBidi" w:cs="David" w:hint="cs"/>
          <w:color w:val="auto"/>
          <w:sz w:val="24"/>
          <w:szCs w:val="24"/>
          <w:u w:val="none"/>
          <w:rtl/>
        </w:rPr>
        <w:t xml:space="preserve"> עמדה מסורתית דומיננטית גרסה כי לאב חורג, החיי עם</w:t>
      </w:r>
      <w:r w:rsidR="00CB3B4D">
        <w:rPr>
          <w:rStyle w:val="Hyperlink"/>
          <w:rFonts w:asciiTheme="majorBidi" w:hAnsiTheme="majorBidi" w:cs="David" w:hint="cs"/>
          <w:color w:val="auto"/>
          <w:sz w:val="24"/>
          <w:szCs w:val="24"/>
          <w:u w:val="none"/>
          <w:rtl/>
        </w:rPr>
        <w:t xml:space="preserve"> ה-</w:t>
      </w:r>
      <w:r w:rsidR="006043C0">
        <w:rPr>
          <w:rStyle w:val="Hyperlink"/>
          <w:rFonts w:asciiTheme="majorBidi" w:hAnsiTheme="majorBidi" w:cs="David" w:hint="cs"/>
          <w:color w:val="auto"/>
          <w:sz w:val="24"/>
          <w:szCs w:val="24"/>
          <w:u w:val="none"/>
          <w:rtl/>
        </w:rPr>
        <w:t xml:space="preserve"> </w:t>
      </w:r>
      <w:r w:rsidR="006043C0">
        <w:rPr>
          <w:rStyle w:val="Hyperlink"/>
          <w:rFonts w:asciiTheme="majorBidi" w:hAnsiTheme="majorBidi" w:cs="David"/>
          <w:color w:val="auto"/>
          <w:sz w:val="24"/>
          <w:szCs w:val="24"/>
          <w:u w:val="none"/>
        </w:rPr>
        <w:t xml:space="preserve">residential mother </w:t>
      </w:r>
      <w:r w:rsidR="006043C0">
        <w:rPr>
          <w:rStyle w:val="Hyperlink"/>
          <w:rFonts w:asciiTheme="majorBidi" w:hAnsiTheme="majorBidi" w:cs="David" w:hint="cs"/>
          <w:color w:val="auto"/>
          <w:sz w:val="24"/>
          <w:szCs w:val="24"/>
          <w:u w:val="none"/>
          <w:rtl/>
        </w:rPr>
        <w:t xml:space="preserve"> והילד, אין השפעה משמעותית על </w:t>
      </w:r>
      <w:r w:rsidR="006043C0">
        <w:rPr>
          <w:rStyle w:val="Hyperlink"/>
          <w:rFonts w:asciiTheme="majorBidi" w:hAnsiTheme="majorBidi" w:cs="David"/>
          <w:color w:val="auto"/>
          <w:sz w:val="24"/>
          <w:szCs w:val="24"/>
          <w:u w:val="none"/>
        </w:rPr>
        <w:t>child outcome</w:t>
      </w:r>
      <w:r w:rsidR="006043C0">
        <w:rPr>
          <w:rStyle w:val="Hyperlink"/>
          <w:rFonts w:asciiTheme="majorBidi" w:hAnsiTheme="majorBidi" w:cs="David" w:hint="cs"/>
          <w:color w:val="auto"/>
          <w:sz w:val="24"/>
          <w:szCs w:val="24"/>
          <w:u w:val="none"/>
          <w:rtl/>
        </w:rPr>
        <w:t>.</w:t>
      </w:r>
      <w:r w:rsidR="006043C0">
        <w:rPr>
          <w:rStyle w:val="FootnoteReference"/>
          <w:rFonts w:asciiTheme="majorBidi" w:hAnsiTheme="majorBidi" w:cs="David"/>
          <w:sz w:val="24"/>
          <w:szCs w:val="24"/>
          <w:rtl/>
        </w:rPr>
        <w:footnoteReference w:id="25"/>
      </w:r>
      <w:r w:rsidR="006043C0">
        <w:rPr>
          <w:rStyle w:val="Hyperlink"/>
          <w:rFonts w:asciiTheme="majorBidi" w:hAnsiTheme="majorBidi" w:cs="David" w:hint="cs"/>
          <w:color w:val="auto"/>
          <w:sz w:val="24"/>
          <w:szCs w:val="24"/>
          <w:u w:val="none"/>
          <w:rtl/>
        </w:rPr>
        <w:t xml:space="preserve"> ואולם, חוקרים אחרים מטילים ספק במסקנה האמורה:</w:t>
      </w:r>
    </w:p>
    <w:p w14:paraId="0195C0EC" w14:textId="51A7C18A" w:rsidR="006043C0" w:rsidRPr="00417047" w:rsidRDefault="00582742" w:rsidP="00582742">
      <w:pPr>
        <w:autoSpaceDE w:val="0"/>
        <w:autoSpaceDN w:val="0"/>
        <w:bidi w:val="0"/>
        <w:adjustRightInd w:val="0"/>
        <w:spacing w:after="0" w:line="480" w:lineRule="auto"/>
        <w:jc w:val="both"/>
        <w:rPr>
          <w:rStyle w:val="Hyperlink"/>
          <w:rFonts w:asciiTheme="majorBidi" w:hAnsiTheme="majorBidi" w:cs="David"/>
          <w:color w:val="auto"/>
          <w:sz w:val="24"/>
          <w:szCs w:val="24"/>
          <w:u w:val="none"/>
        </w:rPr>
      </w:pPr>
      <w:r>
        <w:rPr>
          <w:rFonts w:ascii="Times-Roman" w:hAnsi="Times-Roman" w:cs="Times-Roman"/>
          <w:sz w:val="24"/>
          <w:szCs w:val="24"/>
        </w:rPr>
        <w:t>"W</w:t>
      </w:r>
      <w:r w:rsidR="006043C0" w:rsidRPr="00417047">
        <w:rPr>
          <w:rFonts w:ascii="Times-Roman" w:hAnsi="Times-Roman" w:cs="Times-Roman"/>
          <w:sz w:val="24"/>
          <w:szCs w:val="24"/>
        </w:rPr>
        <w:t>e question the conclusion that stepfathers have no or minimal effects on stepchildren, and we doubt that there are many members of stepfather households who would agree with it</w:t>
      </w:r>
      <w:r w:rsidR="002F46D5">
        <w:rPr>
          <w:rFonts w:ascii="Times-Roman" w:hAnsi="Times-Roman" w:cs="Times-Roman"/>
          <w:sz w:val="24"/>
          <w:szCs w:val="24"/>
        </w:rPr>
        <w:t>"</w:t>
      </w:r>
      <w:r w:rsidR="006043C0" w:rsidRPr="00417047">
        <w:rPr>
          <w:rFonts w:ascii="Times-Roman" w:hAnsi="Times-Roman" w:cs="Times-Roman"/>
          <w:sz w:val="24"/>
          <w:szCs w:val="24"/>
        </w:rPr>
        <w:t>.</w:t>
      </w:r>
      <w:r w:rsidR="002F46D5">
        <w:rPr>
          <w:rStyle w:val="FootnoteReference"/>
          <w:rFonts w:ascii="Times-Roman" w:hAnsi="Times-Roman" w:cs="Times-Roman"/>
          <w:sz w:val="24"/>
          <w:szCs w:val="24"/>
        </w:rPr>
        <w:footnoteReference w:id="26"/>
      </w:r>
    </w:p>
    <w:p w14:paraId="6916C2D2" w14:textId="77777777" w:rsidR="006043C0" w:rsidRDefault="006043C0" w:rsidP="005E7D75">
      <w:pPr>
        <w:pStyle w:val="ListParagraph"/>
        <w:spacing w:line="480" w:lineRule="auto"/>
        <w:ind w:left="0"/>
        <w:jc w:val="both"/>
        <w:rPr>
          <w:rStyle w:val="Hyperlink"/>
          <w:rFonts w:asciiTheme="majorBidi" w:hAnsiTheme="majorBidi" w:cs="David" w:hint="cs"/>
          <w:color w:val="auto"/>
          <w:sz w:val="24"/>
          <w:szCs w:val="24"/>
          <w:u w:val="none"/>
          <w:rtl/>
        </w:rPr>
      </w:pPr>
    </w:p>
    <w:p w14:paraId="293CEF1F" w14:textId="77777777" w:rsidR="000F3A4C" w:rsidRDefault="000F3A4C" w:rsidP="005E7D75">
      <w:pPr>
        <w:pStyle w:val="ListParagraph"/>
        <w:spacing w:line="480" w:lineRule="auto"/>
        <w:ind w:left="0"/>
        <w:jc w:val="both"/>
        <w:rPr>
          <w:rStyle w:val="Hyperlink"/>
          <w:rFonts w:asciiTheme="majorBidi" w:hAnsiTheme="majorBidi" w:cs="David"/>
          <w:color w:val="auto"/>
          <w:sz w:val="24"/>
          <w:szCs w:val="24"/>
          <w:u w:val="none"/>
          <w:rtl/>
        </w:rPr>
      </w:pPr>
      <w:r>
        <w:rPr>
          <w:rStyle w:val="Hyperlink"/>
          <w:rFonts w:asciiTheme="majorBidi" w:hAnsiTheme="majorBidi" w:cs="David" w:hint="cs"/>
          <w:color w:val="auto"/>
          <w:sz w:val="24"/>
          <w:szCs w:val="24"/>
          <w:u w:val="none"/>
          <w:rtl/>
        </w:rPr>
        <w:t>ומציגים את מנעד התפקידים וההשפעות שיש להורה החורג על הילד ועל המשפחה כולה.</w:t>
      </w:r>
    </w:p>
    <w:p w14:paraId="21AE4EBB" w14:textId="4092C441" w:rsidR="00E50FDE" w:rsidRDefault="000F3A4C" w:rsidP="00CB3B4D">
      <w:pPr>
        <w:pStyle w:val="ListParagraph"/>
        <w:spacing w:line="480" w:lineRule="auto"/>
        <w:ind w:left="0"/>
        <w:jc w:val="both"/>
        <w:rPr>
          <w:rStyle w:val="Hyperlink"/>
          <w:rFonts w:asciiTheme="majorBidi" w:hAnsiTheme="majorBidi" w:cs="David"/>
          <w:color w:val="auto"/>
          <w:sz w:val="24"/>
          <w:szCs w:val="24"/>
          <w:u w:val="none"/>
          <w:rtl/>
        </w:rPr>
      </w:pPr>
      <w:r>
        <w:rPr>
          <w:rStyle w:val="Hyperlink"/>
          <w:rFonts w:asciiTheme="majorBidi" w:hAnsiTheme="majorBidi" w:cs="David" w:hint="cs"/>
          <w:color w:val="auto"/>
          <w:sz w:val="24"/>
          <w:szCs w:val="24"/>
          <w:u w:val="none"/>
          <w:rtl/>
        </w:rPr>
        <w:t xml:space="preserve">נראה כי הקושי להגדיר את מקומו של ההורה החורג בחייו של הילד נובע משילוב בין המגוון הגדול בסוגי ההורים החורגים, אך גם מהעדרן של נורמות ביחס לתפקיד אותו </w:t>
      </w:r>
      <w:r w:rsidR="00CB3B4D">
        <w:rPr>
          <w:rStyle w:val="Hyperlink"/>
          <w:rFonts w:asciiTheme="majorBidi" w:hAnsiTheme="majorBidi" w:cs="David" w:hint="cs"/>
          <w:color w:val="auto"/>
          <w:sz w:val="24"/>
          <w:szCs w:val="24"/>
          <w:u w:val="none"/>
          <w:rtl/>
        </w:rPr>
        <w:t>הוא</w:t>
      </w:r>
      <w:r>
        <w:rPr>
          <w:rStyle w:val="Hyperlink"/>
          <w:rFonts w:asciiTheme="majorBidi" w:hAnsiTheme="majorBidi" w:cs="David" w:hint="cs"/>
          <w:color w:val="auto"/>
          <w:sz w:val="24"/>
          <w:szCs w:val="24"/>
          <w:u w:val="none"/>
          <w:rtl/>
        </w:rPr>
        <w:t xml:space="preserve"> מצופ</w:t>
      </w:r>
      <w:r w:rsidR="00CB3B4D">
        <w:rPr>
          <w:rStyle w:val="Hyperlink"/>
          <w:rFonts w:asciiTheme="majorBidi" w:hAnsiTheme="majorBidi" w:cs="David" w:hint="cs"/>
          <w:color w:val="auto"/>
          <w:sz w:val="24"/>
          <w:szCs w:val="24"/>
          <w:u w:val="none"/>
          <w:rtl/>
        </w:rPr>
        <w:t>ה</w:t>
      </w:r>
      <w:r>
        <w:rPr>
          <w:rStyle w:val="Hyperlink"/>
          <w:rFonts w:asciiTheme="majorBidi" w:hAnsiTheme="majorBidi" w:cs="David" w:hint="cs"/>
          <w:color w:val="auto"/>
          <w:sz w:val="24"/>
          <w:szCs w:val="24"/>
          <w:u w:val="none"/>
          <w:rtl/>
        </w:rPr>
        <w:t xml:space="preserve"> למלא.</w:t>
      </w:r>
      <w:r>
        <w:rPr>
          <w:rStyle w:val="FootnoteReference"/>
          <w:rFonts w:asciiTheme="majorBidi" w:hAnsiTheme="majorBidi" w:cs="David"/>
          <w:sz w:val="24"/>
          <w:szCs w:val="24"/>
          <w:rtl/>
        </w:rPr>
        <w:footnoteReference w:id="27"/>
      </w:r>
      <w:r w:rsidR="00D151E5">
        <w:rPr>
          <w:rStyle w:val="Hyperlink"/>
          <w:rFonts w:asciiTheme="majorBidi" w:hAnsiTheme="majorBidi" w:cs="David" w:hint="cs"/>
          <w:color w:val="auto"/>
          <w:sz w:val="24"/>
          <w:szCs w:val="24"/>
          <w:u w:val="none"/>
          <w:rtl/>
        </w:rPr>
        <w:t xml:space="preserve"> בנוסף, אפשר להעריך כי העמדה המסורתית כלפי תפקידם</w:t>
      </w:r>
      <w:r w:rsidR="006D5D23">
        <w:rPr>
          <w:rStyle w:val="Hyperlink"/>
          <w:rFonts w:asciiTheme="majorBidi" w:hAnsiTheme="majorBidi" w:cs="David" w:hint="cs"/>
          <w:color w:val="auto"/>
          <w:sz w:val="24"/>
          <w:szCs w:val="24"/>
          <w:u w:val="none"/>
          <w:rtl/>
        </w:rPr>
        <w:t xml:space="preserve"> המוגבל </w:t>
      </w:r>
      <w:r w:rsidR="00D151E5">
        <w:rPr>
          <w:rStyle w:val="Hyperlink"/>
          <w:rFonts w:asciiTheme="majorBidi" w:hAnsiTheme="majorBidi" w:cs="David" w:hint="cs"/>
          <w:color w:val="auto"/>
          <w:sz w:val="24"/>
          <w:szCs w:val="24"/>
          <w:u w:val="none"/>
          <w:rtl/>
        </w:rPr>
        <w:t>של אבות כמטפלים</w:t>
      </w:r>
      <w:r w:rsidR="00CB3B4D">
        <w:rPr>
          <w:rStyle w:val="Hyperlink"/>
          <w:rFonts w:asciiTheme="majorBidi" w:hAnsiTheme="majorBidi" w:cs="David" w:hint="cs"/>
          <w:color w:val="auto"/>
          <w:sz w:val="24"/>
          <w:szCs w:val="24"/>
          <w:u w:val="none"/>
          <w:rtl/>
        </w:rPr>
        <w:t xml:space="preserve"> בכלל,</w:t>
      </w:r>
      <w:r w:rsidR="00D151E5">
        <w:rPr>
          <w:rStyle w:val="Hyperlink"/>
          <w:rFonts w:asciiTheme="majorBidi" w:hAnsiTheme="majorBidi" w:cs="David" w:hint="cs"/>
          <w:color w:val="auto"/>
          <w:sz w:val="24"/>
          <w:szCs w:val="24"/>
          <w:u w:val="none"/>
          <w:rtl/>
        </w:rPr>
        <w:t xml:space="preserve"> השפיעה על עיצוב דמותם של האבות החורגים לאורך השנים, וני</w:t>
      </w:r>
      <w:r w:rsidR="00CB3B4D">
        <w:rPr>
          <w:rStyle w:val="Hyperlink"/>
          <w:rFonts w:asciiTheme="majorBidi" w:hAnsiTheme="majorBidi" w:cs="David" w:hint="cs"/>
          <w:color w:val="auto"/>
          <w:sz w:val="24"/>
          <w:szCs w:val="24"/>
          <w:u w:val="none"/>
          <w:rtl/>
        </w:rPr>
        <w:t>תן להניח כי היא משתנה</w:t>
      </w:r>
      <w:r w:rsidR="00D151E5">
        <w:rPr>
          <w:rStyle w:val="Hyperlink"/>
          <w:rFonts w:asciiTheme="majorBidi" w:hAnsiTheme="majorBidi" w:cs="David" w:hint="cs"/>
          <w:color w:val="auto"/>
          <w:sz w:val="24"/>
          <w:szCs w:val="24"/>
          <w:u w:val="none"/>
          <w:rtl/>
        </w:rPr>
        <w:t xml:space="preserve"> עם חלוף השנים ועם השינוי במקומם של אבות במשפחה</w:t>
      </w:r>
      <w:r w:rsidR="00FB424B">
        <w:rPr>
          <w:rStyle w:val="Hyperlink"/>
          <w:rFonts w:asciiTheme="majorBidi" w:hAnsiTheme="majorBidi" w:cs="David" w:hint="cs"/>
          <w:color w:val="auto"/>
          <w:sz w:val="24"/>
          <w:szCs w:val="24"/>
          <w:u w:val="none"/>
          <w:rtl/>
        </w:rPr>
        <w:t>,</w:t>
      </w:r>
      <w:r w:rsidR="00D151E5">
        <w:rPr>
          <w:rStyle w:val="Hyperlink"/>
          <w:rFonts w:asciiTheme="majorBidi" w:hAnsiTheme="majorBidi" w:cs="David" w:hint="cs"/>
          <w:color w:val="auto"/>
          <w:sz w:val="24"/>
          <w:szCs w:val="24"/>
          <w:u w:val="none"/>
          <w:rtl/>
        </w:rPr>
        <w:t xml:space="preserve"> </w:t>
      </w:r>
      <w:r w:rsidR="00A83641">
        <w:rPr>
          <w:rStyle w:val="Hyperlink"/>
          <w:rFonts w:asciiTheme="majorBidi" w:hAnsiTheme="majorBidi" w:cs="David" w:hint="cs"/>
          <w:color w:val="auto"/>
          <w:sz w:val="24"/>
          <w:szCs w:val="24"/>
          <w:u w:val="none"/>
          <w:rtl/>
        </w:rPr>
        <w:t>המאפיין את העידן הנוכחי</w:t>
      </w:r>
      <w:r w:rsidR="00D151E5">
        <w:rPr>
          <w:rStyle w:val="Hyperlink"/>
          <w:rFonts w:asciiTheme="majorBidi" w:hAnsiTheme="majorBidi" w:cs="David" w:hint="cs"/>
          <w:color w:val="auto"/>
          <w:sz w:val="24"/>
          <w:szCs w:val="24"/>
          <w:u w:val="none"/>
          <w:rtl/>
        </w:rPr>
        <w:t>.</w:t>
      </w:r>
      <w:r w:rsidR="003E5E18">
        <w:rPr>
          <w:rStyle w:val="FootnoteReference"/>
          <w:rFonts w:asciiTheme="majorBidi" w:hAnsiTheme="majorBidi" w:cs="David"/>
          <w:sz w:val="24"/>
          <w:szCs w:val="24"/>
          <w:rtl/>
        </w:rPr>
        <w:footnoteReference w:id="28"/>
      </w:r>
    </w:p>
    <w:p w14:paraId="370F26F0" w14:textId="77777777" w:rsidR="006D5D23" w:rsidRDefault="00417047" w:rsidP="003859C6">
      <w:pPr>
        <w:pStyle w:val="ListParagraph"/>
        <w:spacing w:line="480" w:lineRule="auto"/>
        <w:ind w:left="0"/>
        <w:jc w:val="both"/>
        <w:rPr>
          <w:rStyle w:val="Hyperlink"/>
          <w:rFonts w:asciiTheme="majorBidi" w:hAnsiTheme="majorBidi" w:cs="David"/>
          <w:color w:val="auto"/>
          <w:sz w:val="24"/>
          <w:szCs w:val="24"/>
          <w:u w:val="none"/>
          <w:rtl/>
        </w:rPr>
      </w:pPr>
      <w:r>
        <w:rPr>
          <w:rStyle w:val="Hyperlink"/>
          <w:rFonts w:asciiTheme="majorBidi" w:hAnsiTheme="majorBidi" w:cs="David" w:hint="cs"/>
          <w:color w:val="auto"/>
          <w:sz w:val="24"/>
          <w:szCs w:val="24"/>
          <w:u w:val="none"/>
          <w:rtl/>
        </w:rPr>
        <w:t xml:space="preserve">היקפה הגדול של </w:t>
      </w:r>
      <w:r w:rsidR="00FE230A">
        <w:rPr>
          <w:rStyle w:val="Hyperlink"/>
          <w:rFonts w:asciiTheme="majorBidi" w:hAnsiTheme="majorBidi" w:cs="David" w:hint="cs"/>
          <w:color w:val="auto"/>
          <w:sz w:val="24"/>
          <w:szCs w:val="24"/>
          <w:u w:val="none"/>
          <w:rtl/>
        </w:rPr>
        <w:t xml:space="preserve">התופעה, קרי, מספר הילדים החשופים בחייהם להורה חורג בד בבד לקשרים שהם משמרים עם הוריהם המשפטיים, מצד אחד, ומידת ההשפעה </w:t>
      </w:r>
      <w:r w:rsidR="005A4BF6">
        <w:rPr>
          <w:rStyle w:val="Hyperlink"/>
          <w:rFonts w:asciiTheme="majorBidi" w:hAnsiTheme="majorBidi" w:cs="David" w:hint="cs"/>
          <w:color w:val="auto"/>
          <w:sz w:val="24"/>
          <w:szCs w:val="24"/>
          <w:u w:val="none"/>
          <w:rtl/>
        </w:rPr>
        <w:t xml:space="preserve">הפוטנציאלית </w:t>
      </w:r>
      <w:r w:rsidR="00FE230A">
        <w:rPr>
          <w:rStyle w:val="Hyperlink"/>
          <w:rFonts w:asciiTheme="majorBidi" w:hAnsiTheme="majorBidi" w:cs="David" w:hint="cs"/>
          <w:color w:val="auto"/>
          <w:sz w:val="24"/>
          <w:szCs w:val="24"/>
          <w:u w:val="none"/>
          <w:rtl/>
        </w:rPr>
        <w:t>הקיימת להורה החורג על חייהם</w:t>
      </w:r>
      <w:r w:rsidR="005E6091">
        <w:rPr>
          <w:rStyle w:val="Hyperlink"/>
          <w:rFonts w:asciiTheme="majorBidi" w:hAnsiTheme="majorBidi" w:cs="David" w:hint="cs"/>
          <w:color w:val="auto"/>
          <w:sz w:val="24"/>
          <w:szCs w:val="24"/>
          <w:u w:val="none"/>
          <w:rtl/>
        </w:rPr>
        <w:t xml:space="preserve"> של הילדים</w:t>
      </w:r>
      <w:r w:rsidR="00FE230A">
        <w:rPr>
          <w:rStyle w:val="Hyperlink"/>
          <w:rFonts w:asciiTheme="majorBidi" w:hAnsiTheme="majorBidi" w:cs="David" w:hint="cs"/>
          <w:color w:val="auto"/>
          <w:sz w:val="24"/>
          <w:szCs w:val="24"/>
          <w:u w:val="none"/>
          <w:rtl/>
        </w:rPr>
        <w:t xml:space="preserve">, </w:t>
      </w:r>
      <w:r w:rsidR="005E6091">
        <w:rPr>
          <w:rStyle w:val="Hyperlink"/>
          <w:rFonts w:asciiTheme="majorBidi" w:hAnsiTheme="majorBidi" w:cs="David" w:hint="cs"/>
          <w:color w:val="auto"/>
          <w:sz w:val="24"/>
          <w:szCs w:val="24"/>
          <w:u w:val="none"/>
          <w:rtl/>
        </w:rPr>
        <w:t xml:space="preserve">מצד שני, </w:t>
      </w:r>
      <w:r w:rsidR="00291D7E">
        <w:rPr>
          <w:rStyle w:val="Hyperlink"/>
          <w:rFonts w:asciiTheme="majorBidi" w:hAnsiTheme="majorBidi" w:cs="David" w:hint="cs"/>
          <w:color w:val="auto"/>
          <w:sz w:val="24"/>
          <w:szCs w:val="24"/>
          <w:u w:val="none"/>
          <w:rtl/>
        </w:rPr>
        <w:t>מייצרים</w:t>
      </w:r>
      <w:r w:rsidR="005E6091">
        <w:rPr>
          <w:rStyle w:val="Hyperlink"/>
          <w:rFonts w:asciiTheme="majorBidi" w:hAnsiTheme="majorBidi" w:cs="David" w:hint="cs"/>
          <w:color w:val="auto"/>
          <w:sz w:val="24"/>
          <w:szCs w:val="24"/>
          <w:u w:val="none"/>
          <w:rtl/>
        </w:rPr>
        <w:t xml:space="preserve"> פוטנציאל</w:t>
      </w:r>
      <w:r w:rsidR="00291D7E">
        <w:rPr>
          <w:rStyle w:val="Hyperlink"/>
          <w:rFonts w:asciiTheme="majorBidi" w:hAnsiTheme="majorBidi" w:cs="David" w:hint="cs"/>
          <w:color w:val="auto"/>
          <w:sz w:val="24"/>
          <w:szCs w:val="24"/>
          <w:u w:val="none"/>
          <w:rtl/>
        </w:rPr>
        <w:t xml:space="preserve"> </w:t>
      </w:r>
      <w:r w:rsidR="005E6091">
        <w:rPr>
          <w:rStyle w:val="Hyperlink"/>
          <w:rFonts w:asciiTheme="majorBidi" w:hAnsiTheme="majorBidi" w:cs="David" w:hint="cs"/>
          <w:color w:val="auto"/>
          <w:sz w:val="24"/>
          <w:szCs w:val="24"/>
          <w:u w:val="none"/>
          <w:rtl/>
        </w:rPr>
        <w:t>ל</w:t>
      </w:r>
      <w:r w:rsidR="00291D7E">
        <w:rPr>
          <w:rStyle w:val="Hyperlink"/>
          <w:rFonts w:asciiTheme="majorBidi" w:hAnsiTheme="majorBidi" w:cs="David" w:hint="cs"/>
          <w:color w:val="auto"/>
          <w:sz w:val="24"/>
          <w:szCs w:val="24"/>
          <w:u w:val="none"/>
          <w:rtl/>
        </w:rPr>
        <w:t>מציאות לא פשוטה</w:t>
      </w:r>
      <w:r w:rsidR="00FE230A">
        <w:rPr>
          <w:rStyle w:val="Hyperlink"/>
          <w:rFonts w:asciiTheme="majorBidi" w:hAnsiTheme="majorBidi" w:cs="David" w:hint="cs"/>
          <w:color w:val="auto"/>
          <w:sz w:val="24"/>
          <w:szCs w:val="24"/>
          <w:u w:val="none"/>
          <w:rtl/>
        </w:rPr>
        <w:t>. ה</w:t>
      </w:r>
      <w:r w:rsidR="005E7D75">
        <w:rPr>
          <w:rStyle w:val="Hyperlink"/>
          <w:rFonts w:asciiTheme="majorBidi" w:hAnsiTheme="majorBidi" w:cs="David" w:hint="cs"/>
          <w:color w:val="auto"/>
          <w:sz w:val="24"/>
          <w:szCs w:val="24"/>
          <w:u w:val="none"/>
          <w:rtl/>
        </w:rPr>
        <w:t xml:space="preserve">הקשר שנבחר לדיון במאמר זה נוגע </w:t>
      </w:r>
      <w:r w:rsidR="00291D7E">
        <w:rPr>
          <w:rStyle w:val="Hyperlink"/>
          <w:rFonts w:asciiTheme="majorBidi" w:hAnsiTheme="majorBidi" w:cs="David" w:hint="cs"/>
          <w:color w:val="auto"/>
          <w:sz w:val="24"/>
          <w:szCs w:val="24"/>
          <w:u w:val="none"/>
          <w:rtl/>
        </w:rPr>
        <w:t>ל</w:t>
      </w:r>
      <w:r w:rsidR="005E6091">
        <w:rPr>
          <w:rStyle w:val="Hyperlink"/>
          <w:rFonts w:asciiTheme="majorBidi" w:hAnsiTheme="majorBidi" w:cs="David" w:hint="cs"/>
          <w:color w:val="auto"/>
          <w:sz w:val="24"/>
          <w:szCs w:val="24"/>
          <w:u w:val="none"/>
          <w:rtl/>
        </w:rPr>
        <w:t>יחסים שבין ה</w:t>
      </w:r>
      <w:r w:rsidR="00291D7E">
        <w:rPr>
          <w:rStyle w:val="Hyperlink"/>
          <w:rFonts w:asciiTheme="majorBidi" w:hAnsiTheme="majorBidi" w:cs="David" w:hint="cs"/>
          <w:color w:val="auto"/>
          <w:sz w:val="24"/>
          <w:szCs w:val="24"/>
          <w:u w:val="none"/>
          <w:rtl/>
        </w:rPr>
        <w:t>ה</w:t>
      </w:r>
      <w:r w:rsidR="00FE230A">
        <w:rPr>
          <w:rStyle w:val="Hyperlink"/>
          <w:rFonts w:asciiTheme="majorBidi" w:hAnsiTheme="majorBidi" w:cs="David" w:hint="cs"/>
          <w:color w:val="auto"/>
          <w:sz w:val="24"/>
          <w:szCs w:val="24"/>
          <w:u w:val="none"/>
          <w:rtl/>
        </w:rPr>
        <w:t>ורה המשפטי השני, שאינו מתגורר עם הילד</w:t>
      </w:r>
      <w:r w:rsidR="00E351F4">
        <w:rPr>
          <w:rStyle w:val="Hyperlink"/>
          <w:rFonts w:asciiTheme="majorBidi" w:hAnsiTheme="majorBidi" w:cs="David" w:hint="cs"/>
          <w:color w:val="auto"/>
          <w:sz w:val="24"/>
          <w:szCs w:val="24"/>
          <w:u w:val="none"/>
          <w:rtl/>
        </w:rPr>
        <w:t>,</w:t>
      </w:r>
      <w:r w:rsidR="00A33B5B">
        <w:rPr>
          <w:rStyle w:val="Hyperlink"/>
          <w:rFonts w:asciiTheme="majorBidi" w:hAnsiTheme="majorBidi" w:cs="David" w:hint="cs"/>
          <w:color w:val="auto"/>
          <w:sz w:val="24"/>
          <w:szCs w:val="24"/>
          <w:u w:val="none"/>
          <w:rtl/>
        </w:rPr>
        <w:t xml:space="preserve"> לבין </w:t>
      </w:r>
      <w:r w:rsidR="005E6091">
        <w:rPr>
          <w:rStyle w:val="Hyperlink"/>
          <w:rFonts w:asciiTheme="majorBidi" w:hAnsiTheme="majorBidi" w:cs="David" w:hint="cs"/>
          <w:color w:val="auto"/>
          <w:sz w:val="24"/>
          <w:szCs w:val="24"/>
          <w:u w:val="none"/>
          <w:rtl/>
        </w:rPr>
        <w:t>ה</w:t>
      </w:r>
      <w:r w:rsidR="005E7D75">
        <w:rPr>
          <w:rStyle w:val="Hyperlink"/>
          <w:rFonts w:asciiTheme="majorBidi" w:hAnsiTheme="majorBidi" w:cs="David" w:hint="cs"/>
          <w:color w:val="auto"/>
          <w:sz w:val="24"/>
          <w:szCs w:val="24"/>
          <w:u w:val="none"/>
          <w:rtl/>
        </w:rPr>
        <w:t>ה</w:t>
      </w:r>
      <w:r w:rsidR="005E6091">
        <w:rPr>
          <w:rStyle w:val="Hyperlink"/>
          <w:rFonts w:asciiTheme="majorBidi" w:hAnsiTheme="majorBidi" w:cs="David" w:hint="cs"/>
          <w:color w:val="auto"/>
          <w:sz w:val="24"/>
          <w:szCs w:val="24"/>
          <w:u w:val="none"/>
          <w:rtl/>
        </w:rPr>
        <w:t>ורה החורג</w:t>
      </w:r>
      <w:r w:rsidR="00CB3B4D">
        <w:rPr>
          <w:rStyle w:val="Hyperlink"/>
          <w:rFonts w:asciiTheme="majorBidi" w:hAnsiTheme="majorBidi" w:cs="David" w:hint="cs"/>
          <w:color w:val="auto"/>
          <w:sz w:val="24"/>
          <w:szCs w:val="24"/>
          <w:u w:val="none"/>
          <w:rtl/>
        </w:rPr>
        <w:t>.</w:t>
      </w:r>
      <w:r w:rsidR="00FE230A">
        <w:rPr>
          <w:rStyle w:val="Hyperlink"/>
          <w:rFonts w:asciiTheme="majorBidi" w:hAnsiTheme="majorBidi" w:cs="David" w:hint="cs"/>
          <w:color w:val="auto"/>
          <w:sz w:val="24"/>
          <w:szCs w:val="24"/>
          <w:u w:val="none"/>
          <w:rtl/>
        </w:rPr>
        <w:t xml:space="preserve"> </w:t>
      </w:r>
      <w:r w:rsidR="00D151E5">
        <w:rPr>
          <w:rStyle w:val="Hyperlink"/>
          <w:rFonts w:asciiTheme="majorBidi" w:hAnsiTheme="majorBidi" w:cs="David" w:hint="cs"/>
          <w:color w:val="auto"/>
          <w:sz w:val="24"/>
          <w:szCs w:val="24"/>
          <w:u w:val="none"/>
          <w:rtl/>
        </w:rPr>
        <w:t>והמקרה הטיפוסי לדיון הוא זה בו הילד גדל אצל האם ובן זוגה הנוכחי (ההורה החורג), כאשר</w:t>
      </w:r>
      <w:r w:rsidR="006D5D23">
        <w:rPr>
          <w:rStyle w:val="Hyperlink"/>
          <w:rFonts w:asciiTheme="majorBidi" w:hAnsiTheme="majorBidi" w:cs="David" w:hint="cs"/>
          <w:color w:val="auto"/>
          <w:sz w:val="24"/>
          <w:szCs w:val="24"/>
          <w:u w:val="none"/>
          <w:rtl/>
        </w:rPr>
        <w:t xml:space="preserve"> היקף</w:t>
      </w:r>
      <w:r w:rsidR="00D151E5">
        <w:rPr>
          <w:rStyle w:val="Hyperlink"/>
          <w:rFonts w:asciiTheme="majorBidi" w:hAnsiTheme="majorBidi" w:cs="David" w:hint="cs"/>
          <w:color w:val="auto"/>
          <w:sz w:val="24"/>
          <w:szCs w:val="24"/>
          <w:u w:val="none"/>
          <w:rtl/>
        </w:rPr>
        <w:t xml:space="preserve"> השהות המשותפת של ההורה החורג והילד</w:t>
      </w:r>
      <w:r w:rsidR="006D5D23">
        <w:rPr>
          <w:rStyle w:val="Hyperlink"/>
          <w:rFonts w:asciiTheme="majorBidi" w:hAnsiTheme="majorBidi" w:cs="David" w:hint="cs"/>
          <w:color w:val="auto"/>
          <w:sz w:val="24"/>
          <w:szCs w:val="24"/>
          <w:u w:val="none"/>
          <w:rtl/>
        </w:rPr>
        <w:t xml:space="preserve"> משמעותי ומ</w:t>
      </w:r>
      <w:r w:rsidR="00D151E5">
        <w:rPr>
          <w:rStyle w:val="Hyperlink"/>
          <w:rFonts w:asciiTheme="majorBidi" w:hAnsiTheme="majorBidi" w:cs="David" w:hint="cs"/>
          <w:color w:val="auto"/>
          <w:sz w:val="24"/>
          <w:szCs w:val="24"/>
          <w:u w:val="none"/>
          <w:rtl/>
        </w:rPr>
        <w:t>גלם פוטנציאל להשפעה ניכרת על הילד והתנהגותו.</w:t>
      </w:r>
    </w:p>
    <w:p w14:paraId="5B559835" w14:textId="20B3CFDD" w:rsidR="00C475AD" w:rsidRDefault="00291D7E" w:rsidP="0053374E">
      <w:pPr>
        <w:pStyle w:val="ListParagraph"/>
        <w:spacing w:line="480" w:lineRule="auto"/>
        <w:ind w:left="0"/>
        <w:jc w:val="both"/>
        <w:rPr>
          <w:rStyle w:val="Hyperlink"/>
          <w:rFonts w:asciiTheme="majorBidi" w:hAnsiTheme="majorBidi" w:cs="David" w:hint="cs"/>
          <w:color w:val="auto"/>
          <w:sz w:val="24"/>
          <w:szCs w:val="24"/>
          <w:u w:val="none"/>
          <w:rtl/>
        </w:rPr>
      </w:pPr>
      <w:r>
        <w:rPr>
          <w:rStyle w:val="Hyperlink"/>
          <w:rFonts w:asciiTheme="majorBidi" w:hAnsiTheme="majorBidi" w:cs="David" w:hint="cs"/>
          <w:color w:val="auto"/>
          <w:sz w:val="24"/>
          <w:szCs w:val="24"/>
          <w:u w:val="none"/>
          <w:rtl/>
        </w:rPr>
        <w:t>פן זה</w:t>
      </w:r>
      <w:r w:rsidR="00A33B5B">
        <w:rPr>
          <w:rStyle w:val="Hyperlink"/>
          <w:rFonts w:asciiTheme="majorBidi" w:hAnsiTheme="majorBidi" w:cs="David" w:hint="cs"/>
          <w:color w:val="auto"/>
          <w:sz w:val="24"/>
          <w:szCs w:val="24"/>
          <w:u w:val="none"/>
          <w:rtl/>
        </w:rPr>
        <w:t xml:space="preserve"> לא זכה עד היום לדיון משפטי ממצה</w:t>
      </w:r>
      <w:r w:rsidR="00AB06CE">
        <w:rPr>
          <w:rStyle w:val="Hyperlink"/>
          <w:rFonts w:asciiTheme="majorBidi" w:hAnsiTheme="majorBidi" w:cs="David" w:hint="cs"/>
          <w:color w:val="auto"/>
          <w:sz w:val="24"/>
          <w:szCs w:val="24"/>
          <w:u w:val="none"/>
          <w:rtl/>
        </w:rPr>
        <w:t xml:space="preserve"> ויחסי </w:t>
      </w:r>
      <w:r w:rsidR="000E684B">
        <w:rPr>
          <w:rStyle w:val="Hyperlink"/>
          <w:rFonts w:asciiTheme="majorBidi" w:hAnsiTheme="majorBidi" w:cs="David" w:hint="cs"/>
          <w:color w:val="auto"/>
          <w:sz w:val="24"/>
          <w:szCs w:val="24"/>
          <w:u w:val="none"/>
          <w:rtl/>
        </w:rPr>
        <w:t>ההורים</w:t>
      </w:r>
      <w:r w:rsidR="00AB06CE">
        <w:rPr>
          <w:rStyle w:val="Hyperlink"/>
          <w:rFonts w:asciiTheme="majorBidi" w:hAnsiTheme="majorBidi" w:cs="David" w:hint="cs"/>
          <w:color w:val="auto"/>
          <w:sz w:val="24"/>
          <w:szCs w:val="24"/>
          <w:u w:val="none"/>
          <w:rtl/>
        </w:rPr>
        <w:t xml:space="preserve"> לא זכו להמשגה נפרדת</w:t>
      </w:r>
      <w:r w:rsidR="00A33B5B">
        <w:rPr>
          <w:rStyle w:val="Hyperlink"/>
          <w:rFonts w:asciiTheme="majorBidi" w:hAnsiTheme="majorBidi" w:cs="David" w:hint="cs"/>
          <w:color w:val="auto"/>
          <w:sz w:val="24"/>
          <w:szCs w:val="24"/>
          <w:u w:val="none"/>
          <w:rtl/>
        </w:rPr>
        <w:t>. למעשה</w:t>
      </w:r>
      <w:r w:rsidR="00E351F4">
        <w:rPr>
          <w:rStyle w:val="Hyperlink"/>
          <w:rFonts w:asciiTheme="majorBidi" w:hAnsiTheme="majorBidi" w:cs="David" w:hint="cs"/>
          <w:color w:val="auto"/>
          <w:sz w:val="24"/>
          <w:szCs w:val="24"/>
          <w:u w:val="none"/>
          <w:rtl/>
        </w:rPr>
        <w:t xml:space="preserve"> אף</w:t>
      </w:r>
      <w:r w:rsidR="00A33B5B">
        <w:rPr>
          <w:rStyle w:val="Hyperlink"/>
          <w:rFonts w:asciiTheme="majorBidi" w:hAnsiTheme="majorBidi" w:cs="David" w:hint="cs"/>
          <w:color w:val="auto"/>
          <w:sz w:val="24"/>
          <w:szCs w:val="24"/>
          <w:u w:val="none"/>
          <w:rtl/>
        </w:rPr>
        <w:t xml:space="preserve"> </w:t>
      </w:r>
      <w:r w:rsidR="00E351F4">
        <w:rPr>
          <w:rStyle w:val="Hyperlink"/>
          <w:rFonts w:asciiTheme="majorBidi" w:hAnsiTheme="majorBidi" w:cs="David" w:hint="cs"/>
          <w:color w:val="auto"/>
          <w:sz w:val="24"/>
          <w:szCs w:val="24"/>
          <w:u w:val="none"/>
          <w:rtl/>
        </w:rPr>
        <w:t>עצם קיומו של קונפליקט בין הדמויות ההוריות האמורות כמעט שלא מוצג בספרות המשפטית, אם כי זוכה לביטויים במחקר הפסיכולוגי והסוציולוגי.</w:t>
      </w:r>
      <w:r w:rsidR="00E351F4">
        <w:rPr>
          <w:rStyle w:val="FootnoteReference"/>
          <w:rFonts w:asciiTheme="majorBidi" w:hAnsiTheme="majorBidi" w:cs="David"/>
          <w:sz w:val="24"/>
          <w:szCs w:val="24"/>
          <w:rtl/>
        </w:rPr>
        <w:footnoteReference w:id="29"/>
      </w:r>
      <w:r w:rsidR="00E351F4">
        <w:rPr>
          <w:rStyle w:val="Hyperlink"/>
          <w:rFonts w:asciiTheme="majorBidi" w:hAnsiTheme="majorBidi" w:cs="David" w:hint="cs"/>
          <w:color w:val="auto"/>
          <w:sz w:val="24"/>
          <w:szCs w:val="24"/>
          <w:u w:val="none"/>
          <w:rtl/>
        </w:rPr>
        <w:t xml:space="preserve">  </w:t>
      </w:r>
      <w:r w:rsidR="00A33B5B">
        <w:rPr>
          <w:rStyle w:val="Hyperlink"/>
          <w:rFonts w:asciiTheme="majorBidi" w:hAnsiTheme="majorBidi" w:cs="David" w:hint="cs"/>
          <w:color w:val="auto"/>
          <w:sz w:val="24"/>
          <w:szCs w:val="24"/>
          <w:u w:val="none"/>
          <w:rtl/>
        </w:rPr>
        <w:t>אף הפסיקה עוסקת בו רק באופן מצומצם</w:t>
      </w:r>
      <w:r w:rsidR="00B90D15">
        <w:rPr>
          <w:rStyle w:val="Hyperlink"/>
          <w:rFonts w:asciiTheme="majorBidi" w:hAnsiTheme="majorBidi" w:cs="David" w:hint="cs"/>
          <w:color w:val="auto"/>
          <w:sz w:val="24"/>
          <w:szCs w:val="24"/>
          <w:u w:val="none"/>
          <w:rtl/>
        </w:rPr>
        <w:t>, אם כי בין השורות ניתן לאתר מקרים בהם ההורה החורג לוקח חלק פעיל בקונפליקט האמור.</w:t>
      </w:r>
      <w:r w:rsidR="00B90D15">
        <w:rPr>
          <w:rStyle w:val="FootnoteReference"/>
          <w:rFonts w:asciiTheme="majorBidi" w:hAnsiTheme="majorBidi" w:cs="David"/>
          <w:sz w:val="24"/>
          <w:szCs w:val="24"/>
          <w:rtl/>
        </w:rPr>
        <w:footnoteReference w:id="30"/>
      </w:r>
      <w:r w:rsidR="00B90D15">
        <w:rPr>
          <w:rStyle w:val="Hyperlink"/>
          <w:rFonts w:asciiTheme="majorBidi" w:hAnsiTheme="majorBidi" w:cs="David" w:hint="cs"/>
          <w:color w:val="auto"/>
          <w:sz w:val="24"/>
          <w:szCs w:val="24"/>
          <w:u w:val="none"/>
          <w:rtl/>
        </w:rPr>
        <w:t xml:space="preserve"> </w:t>
      </w:r>
      <w:r w:rsidR="005E6091">
        <w:rPr>
          <w:rStyle w:val="Hyperlink"/>
          <w:rFonts w:asciiTheme="majorBidi" w:hAnsiTheme="majorBidi" w:cs="David" w:hint="cs"/>
          <w:color w:val="auto"/>
          <w:sz w:val="24"/>
          <w:szCs w:val="24"/>
          <w:u w:val="none"/>
          <w:rtl/>
        </w:rPr>
        <w:t>מיעוטו של הדיון</w:t>
      </w:r>
      <w:r w:rsidR="00876587">
        <w:rPr>
          <w:rStyle w:val="Hyperlink"/>
          <w:rFonts w:asciiTheme="majorBidi" w:hAnsiTheme="majorBidi" w:cs="David" w:hint="cs"/>
          <w:color w:val="auto"/>
          <w:sz w:val="24"/>
          <w:szCs w:val="24"/>
          <w:u w:val="none"/>
          <w:rtl/>
        </w:rPr>
        <w:t xml:space="preserve"> אינו מעיד על העדרה של מציאות זאת מ</w:t>
      </w:r>
      <w:r w:rsidR="00FE230A">
        <w:rPr>
          <w:rStyle w:val="Hyperlink"/>
          <w:rFonts w:asciiTheme="majorBidi" w:hAnsiTheme="majorBidi" w:cs="David" w:hint="cs"/>
          <w:color w:val="auto"/>
          <w:sz w:val="24"/>
          <w:szCs w:val="24"/>
          <w:u w:val="none"/>
          <w:rtl/>
        </w:rPr>
        <w:t>חיינו. בכל פעם שהצגתי טי</w:t>
      </w:r>
      <w:r w:rsidR="00093409">
        <w:rPr>
          <w:rStyle w:val="Hyperlink"/>
          <w:rFonts w:asciiTheme="majorBidi" w:hAnsiTheme="majorBidi" w:cs="David" w:hint="cs"/>
          <w:color w:val="auto"/>
          <w:sz w:val="24"/>
          <w:szCs w:val="24"/>
          <w:u w:val="none"/>
          <w:rtl/>
        </w:rPr>
        <w:t>וטות קודמות של המאמר בפני חברים</w:t>
      </w:r>
      <w:r w:rsidR="00FE230A">
        <w:rPr>
          <w:rStyle w:val="Hyperlink"/>
          <w:rFonts w:asciiTheme="majorBidi" w:hAnsiTheme="majorBidi" w:cs="David" w:hint="cs"/>
          <w:color w:val="auto"/>
          <w:sz w:val="24"/>
          <w:szCs w:val="24"/>
          <w:u w:val="none"/>
          <w:rtl/>
        </w:rPr>
        <w:t xml:space="preserve"> </w:t>
      </w:r>
      <w:r w:rsidR="00093409">
        <w:rPr>
          <w:rStyle w:val="Hyperlink"/>
          <w:rFonts w:asciiTheme="majorBidi" w:hAnsiTheme="majorBidi" w:cs="David" w:hint="cs"/>
          <w:color w:val="auto"/>
          <w:sz w:val="24"/>
          <w:szCs w:val="24"/>
          <w:u w:val="none"/>
          <w:rtl/>
        </w:rPr>
        <w:t>ובפני קולגות ב</w:t>
      </w:r>
      <w:r w:rsidR="00FE230A">
        <w:rPr>
          <w:rStyle w:val="Hyperlink"/>
          <w:rFonts w:asciiTheme="majorBidi" w:hAnsiTheme="majorBidi" w:cs="David" w:hint="cs"/>
          <w:color w:val="auto"/>
          <w:sz w:val="24"/>
          <w:szCs w:val="24"/>
          <w:u w:val="none"/>
          <w:rtl/>
        </w:rPr>
        <w:t>פורומים</w:t>
      </w:r>
      <w:r w:rsidR="00C475AD">
        <w:rPr>
          <w:rStyle w:val="Hyperlink"/>
          <w:rFonts w:asciiTheme="majorBidi" w:hAnsiTheme="majorBidi" w:cs="David" w:hint="cs"/>
          <w:color w:val="auto"/>
          <w:sz w:val="24"/>
          <w:szCs w:val="24"/>
          <w:u w:val="none"/>
          <w:rtl/>
        </w:rPr>
        <w:t xml:space="preserve"> מקצועיים, הציפו בפני השומעים </w:t>
      </w:r>
      <w:r w:rsidR="00093409">
        <w:rPr>
          <w:rStyle w:val="Hyperlink"/>
          <w:rFonts w:asciiTheme="majorBidi" w:hAnsiTheme="majorBidi" w:cs="David" w:hint="cs"/>
          <w:color w:val="auto"/>
          <w:sz w:val="24"/>
          <w:szCs w:val="24"/>
          <w:u w:val="none"/>
          <w:rtl/>
        </w:rPr>
        <w:t>"</w:t>
      </w:r>
      <w:r w:rsidR="00C475AD">
        <w:rPr>
          <w:rStyle w:val="Hyperlink"/>
          <w:rFonts w:asciiTheme="majorBidi" w:hAnsiTheme="majorBidi" w:cs="David" w:hint="cs"/>
          <w:color w:val="auto"/>
          <w:sz w:val="24"/>
          <w:szCs w:val="24"/>
          <w:u w:val="none"/>
          <w:rtl/>
        </w:rPr>
        <w:t>דוגמ</w:t>
      </w:r>
      <w:r w:rsidR="00093409">
        <w:rPr>
          <w:rStyle w:val="Hyperlink"/>
          <w:rFonts w:asciiTheme="majorBidi" w:hAnsiTheme="majorBidi" w:cs="David" w:hint="cs"/>
          <w:color w:val="auto"/>
          <w:sz w:val="24"/>
          <w:szCs w:val="24"/>
          <w:u w:val="none"/>
          <w:rtl/>
        </w:rPr>
        <w:t>אות מן החיים"</w:t>
      </w:r>
      <w:r w:rsidR="00C475AD">
        <w:rPr>
          <w:rStyle w:val="Hyperlink"/>
          <w:rFonts w:asciiTheme="majorBidi" w:hAnsiTheme="majorBidi" w:cs="David" w:hint="cs"/>
          <w:color w:val="auto"/>
          <w:sz w:val="24"/>
          <w:szCs w:val="24"/>
          <w:u w:val="none"/>
          <w:rtl/>
        </w:rPr>
        <w:t xml:space="preserve"> </w:t>
      </w:r>
      <w:r w:rsidR="00093409">
        <w:rPr>
          <w:rStyle w:val="Hyperlink"/>
          <w:rFonts w:asciiTheme="majorBidi" w:hAnsiTheme="majorBidi" w:cs="David" w:hint="cs"/>
          <w:color w:val="auto"/>
          <w:sz w:val="24"/>
          <w:szCs w:val="24"/>
          <w:u w:val="none"/>
          <w:rtl/>
        </w:rPr>
        <w:t>ל</w:t>
      </w:r>
      <w:r>
        <w:rPr>
          <w:rStyle w:val="Hyperlink"/>
          <w:rFonts w:asciiTheme="majorBidi" w:hAnsiTheme="majorBidi" w:cs="David" w:hint="cs"/>
          <w:color w:val="auto"/>
          <w:sz w:val="24"/>
          <w:szCs w:val="24"/>
          <w:u w:val="none"/>
          <w:rtl/>
        </w:rPr>
        <w:t xml:space="preserve">מורכבות היחסיים שבין הורה חורג </w:t>
      </w:r>
      <w:r>
        <w:rPr>
          <w:rStyle w:val="Hyperlink"/>
          <w:rFonts w:asciiTheme="majorBidi" w:hAnsiTheme="majorBidi" w:cs="David"/>
          <w:color w:val="auto"/>
          <w:sz w:val="24"/>
          <w:szCs w:val="24"/>
          <w:u w:val="none"/>
          <w:rtl/>
        </w:rPr>
        <w:t>–</w:t>
      </w:r>
      <w:r>
        <w:rPr>
          <w:rStyle w:val="Hyperlink"/>
          <w:rFonts w:asciiTheme="majorBidi" w:hAnsiTheme="majorBidi" w:cs="David" w:hint="cs"/>
          <w:color w:val="auto"/>
          <w:sz w:val="24"/>
          <w:szCs w:val="24"/>
          <w:u w:val="none"/>
          <w:rtl/>
        </w:rPr>
        <w:t xml:space="preserve"> </w:t>
      </w:r>
      <w:r w:rsidR="00093409">
        <w:rPr>
          <w:rStyle w:val="Hyperlink"/>
          <w:rFonts w:asciiTheme="majorBidi" w:hAnsiTheme="majorBidi" w:cs="David" w:hint="cs"/>
          <w:color w:val="auto"/>
          <w:sz w:val="24"/>
          <w:szCs w:val="24"/>
          <w:u w:val="none"/>
          <w:rtl/>
        </w:rPr>
        <w:t xml:space="preserve">להורה </w:t>
      </w:r>
      <w:r w:rsidR="0053374E">
        <w:rPr>
          <w:rStyle w:val="Hyperlink"/>
          <w:rFonts w:asciiTheme="majorBidi" w:hAnsiTheme="majorBidi" w:cs="David" w:hint="cs"/>
          <w:color w:val="auto"/>
          <w:sz w:val="24"/>
          <w:szCs w:val="24"/>
          <w:u w:val="none"/>
          <w:rtl/>
        </w:rPr>
        <w:t xml:space="preserve">הלא משמורן </w:t>
      </w:r>
      <w:r w:rsidR="00093409">
        <w:rPr>
          <w:rStyle w:val="Hyperlink"/>
          <w:rFonts w:asciiTheme="majorBidi" w:hAnsiTheme="majorBidi" w:cs="David" w:hint="cs"/>
          <w:color w:val="auto"/>
          <w:sz w:val="24"/>
          <w:szCs w:val="24"/>
          <w:u w:val="none"/>
          <w:rtl/>
        </w:rPr>
        <w:t>ולקונפליקטים אליהם נחשפו</w:t>
      </w:r>
      <w:r w:rsidR="002002A8">
        <w:rPr>
          <w:rStyle w:val="Hyperlink"/>
          <w:rFonts w:asciiTheme="majorBidi" w:hAnsiTheme="majorBidi" w:cs="David" w:hint="cs"/>
          <w:color w:val="auto"/>
          <w:sz w:val="24"/>
          <w:szCs w:val="24"/>
          <w:u w:val="none"/>
          <w:rtl/>
        </w:rPr>
        <w:t xml:space="preserve"> בהקשר זה</w:t>
      </w:r>
      <w:r w:rsidR="00093409">
        <w:rPr>
          <w:rStyle w:val="Hyperlink"/>
          <w:rFonts w:asciiTheme="majorBidi" w:hAnsiTheme="majorBidi" w:cs="David" w:hint="cs"/>
          <w:color w:val="auto"/>
          <w:sz w:val="24"/>
          <w:szCs w:val="24"/>
          <w:u w:val="none"/>
          <w:rtl/>
        </w:rPr>
        <w:t xml:space="preserve">, </w:t>
      </w:r>
      <w:r w:rsidR="002002A8">
        <w:rPr>
          <w:rStyle w:val="Hyperlink"/>
          <w:rFonts w:asciiTheme="majorBidi" w:hAnsiTheme="majorBidi" w:cs="David" w:hint="cs"/>
          <w:color w:val="auto"/>
          <w:sz w:val="24"/>
          <w:szCs w:val="24"/>
          <w:u w:val="none"/>
          <w:rtl/>
        </w:rPr>
        <w:t>המשיקים</w:t>
      </w:r>
      <w:r w:rsidR="00C475AD">
        <w:rPr>
          <w:rStyle w:val="Hyperlink"/>
          <w:rFonts w:asciiTheme="majorBidi" w:hAnsiTheme="majorBidi" w:cs="David" w:hint="cs"/>
          <w:color w:val="auto"/>
          <w:sz w:val="24"/>
          <w:szCs w:val="24"/>
          <w:u w:val="none"/>
          <w:rtl/>
        </w:rPr>
        <w:t xml:space="preserve"> לסיטואציות בהן אני מבקשת לדון במאמר זה. </w:t>
      </w:r>
      <w:r w:rsidR="00056AF3">
        <w:rPr>
          <w:rStyle w:val="Hyperlink"/>
          <w:rFonts w:asciiTheme="majorBidi" w:hAnsiTheme="majorBidi" w:cs="David" w:hint="cs"/>
          <w:color w:val="auto"/>
          <w:sz w:val="24"/>
          <w:szCs w:val="24"/>
          <w:u w:val="none"/>
          <w:rtl/>
        </w:rPr>
        <w:t xml:space="preserve">את </w:t>
      </w:r>
      <w:r w:rsidR="00223EB5">
        <w:rPr>
          <w:rStyle w:val="Hyperlink"/>
          <w:rFonts w:asciiTheme="majorBidi" w:hAnsiTheme="majorBidi" w:cs="David" w:hint="cs"/>
          <w:color w:val="auto"/>
          <w:sz w:val="24"/>
          <w:szCs w:val="24"/>
          <w:u w:val="none"/>
          <w:rtl/>
        </w:rPr>
        <w:t xml:space="preserve">המורכבות </w:t>
      </w:r>
      <w:r w:rsidR="00056AF3">
        <w:rPr>
          <w:rStyle w:val="Hyperlink"/>
          <w:rFonts w:asciiTheme="majorBidi" w:hAnsiTheme="majorBidi" w:cs="David" w:hint="cs"/>
          <w:color w:val="auto"/>
          <w:sz w:val="24"/>
          <w:szCs w:val="24"/>
          <w:u w:val="none"/>
          <w:rtl/>
        </w:rPr>
        <w:t>האמור</w:t>
      </w:r>
      <w:r w:rsidR="00223EB5">
        <w:rPr>
          <w:rStyle w:val="Hyperlink"/>
          <w:rFonts w:asciiTheme="majorBidi" w:hAnsiTheme="majorBidi" w:cs="David" w:hint="cs"/>
          <w:color w:val="auto"/>
          <w:sz w:val="24"/>
          <w:szCs w:val="24"/>
          <w:u w:val="none"/>
          <w:rtl/>
        </w:rPr>
        <w:t>ה</w:t>
      </w:r>
      <w:r w:rsidR="00056AF3">
        <w:rPr>
          <w:rStyle w:val="Hyperlink"/>
          <w:rFonts w:asciiTheme="majorBidi" w:hAnsiTheme="majorBidi" w:cs="David" w:hint="cs"/>
          <w:color w:val="auto"/>
          <w:sz w:val="24"/>
          <w:szCs w:val="24"/>
          <w:u w:val="none"/>
          <w:rtl/>
        </w:rPr>
        <w:t xml:space="preserve"> </w:t>
      </w:r>
      <w:r w:rsidR="00056AF3" w:rsidRPr="0053374E">
        <w:rPr>
          <w:rStyle w:val="Hyperlink"/>
          <w:rFonts w:asciiTheme="majorBidi" w:hAnsiTheme="majorBidi" w:cs="David" w:hint="cs"/>
          <w:color w:val="auto"/>
          <w:sz w:val="24"/>
          <w:szCs w:val="24"/>
          <w:u w:val="none"/>
          <w:rtl/>
        </w:rPr>
        <w:t xml:space="preserve">הטיבו לתאר קבוצת חוקרים מאוניברסיטת מיזורי שעוסקים בתחום ניהול קונפליקטים ב </w:t>
      </w:r>
      <w:r w:rsidR="00056AF3" w:rsidRPr="0053374E">
        <w:rPr>
          <w:rStyle w:val="Hyperlink"/>
          <w:rFonts w:asciiTheme="majorBidi" w:hAnsiTheme="majorBidi" w:cs="David"/>
          <w:color w:val="auto"/>
          <w:sz w:val="24"/>
          <w:szCs w:val="24"/>
          <w:u w:val="none"/>
        </w:rPr>
        <w:t>stepfamilies</w:t>
      </w:r>
      <w:r w:rsidR="00223EB5" w:rsidRPr="0053374E">
        <w:rPr>
          <w:rStyle w:val="Hyperlink"/>
          <w:rFonts w:asciiTheme="majorBidi" w:hAnsiTheme="majorBidi" w:cs="David" w:hint="cs"/>
          <w:color w:val="auto"/>
          <w:sz w:val="24"/>
          <w:szCs w:val="24"/>
          <w:u w:val="none"/>
          <w:rtl/>
        </w:rPr>
        <w:t xml:space="preserve">, ובראשם </w:t>
      </w:r>
      <w:r w:rsidR="00223EB5" w:rsidRPr="0053374E">
        <w:t>Marilyn Coleman</w:t>
      </w:r>
      <w:r w:rsidR="00056AF3" w:rsidRPr="0053374E">
        <w:rPr>
          <w:rStyle w:val="Hyperlink"/>
          <w:rFonts w:asciiTheme="majorBidi" w:hAnsiTheme="majorBidi" w:cs="David" w:hint="cs"/>
          <w:color w:val="auto"/>
          <w:sz w:val="24"/>
          <w:szCs w:val="24"/>
          <w:u w:val="none"/>
          <w:rtl/>
        </w:rPr>
        <w:t>:</w:t>
      </w:r>
    </w:p>
    <w:p w14:paraId="7DBD0CFB" w14:textId="77777777" w:rsidR="00056AF3" w:rsidRPr="00417047" w:rsidRDefault="00223EB5" w:rsidP="00417047">
      <w:pPr>
        <w:autoSpaceDE w:val="0"/>
        <w:autoSpaceDN w:val="0"/>
        <w:bidi w:val="0"/>
        <w:adjustRightInd w:val="0"/>
        <w:spacing w:after="0" w:line="480" w:lineRule="auto"/>
        <w:jc w:val="both"/>
        <w:rPr>
          <w:rStyle w:val="Hyperlink"/>
          <w:rFonts w:asciiTheme="majorBidi" w:hAnsiTheme="majorBidi" w:cs="David"/>
          <w:color w:val="auto"/>
          <w:sz w:val="24"/>
          <w:szCs w:val="24"/>
          <w:u w:val="none"/>
        </w:rPr>
      </w:pPr>
      <w:r w:rsidRPr="00417047">
        <w:rPr>
          <w:rFonts w:ascii="Times New Roman" w:hAnsi="Times New Roman" w:cs="Times New Roman"/>
          <w:sz w:val="24"/>
          <w:szCs w:val="24"/>
        </w:rPr>
        <w:t>"</w:t>
      </w:r>
      <w:r w:rsidR="00056AF3" w:rsidRPr="00417047">
        <w:rPr>
          <w:rFonts w:ascii="Times New Roman" w:hAnsi="Times New Roman" w:cs="Times New Roman"/>
          <w:sz w:val="24"/>
          <w:szCs w:val="24"/>
        </w:rPr>
        <w:t xml:space="preserve">Interactions with the nonresidential parent can also lead to conflict. Not only can residential and nonresidential parents continue to engage in conflict after divorce </w:t>
      </w:r>
      <w:r w:rsidRPr="00417047">
        <w:rPr>
          <w:rFonts w:ascii="Times New Roman" w:hAnsi="Times New Roman" w:cs="Times New Roman"/>
          <w:sz w:val="24"/>
          <w:szCs w:val="24"/>
        </w:rPr>
        <w:t>[…]</w:t>
      </w:r>
      <w:r w:rsidR="00056AF3" w:rsidRPr="00417047">
        <w:rPr>
          <w:rFonts w:ascii="Times New Roman" w:hAnsi="Times New Roman" w:cs="Times New Roman"/>
          <w:sz w:val="24"/>
          <w:szCs w:val="24"/>
        </w:rPr>
        <w:t>, but the addition of a stepparent can exacerbate these tensions because the nonresidential parent may feel displaced by the stepparent. There are at least three adults</w:t>
      </w:r>
      <w:r w:rsidRPr="00417047">
        <w:rPr>
          <w:rFonts w:ascii="Times New Roman" w:hAnsi="Times New Roman" w:cs="Times New Roman"/>
          <w:sz w:val="24"/>
          <w:szCs w:val="24"/>
        </w:rPr>
        <w:t xml:space="preserve"> </w:t>
      </w:r>
      <w:r w:rsidR="00056AF3" w:rsidRPr="00417047">
        <w:rPr>
          <w:rFonts w:ascii="Times New Roman" w:hAnsi="Times New Roman" w:cs="Times New Roman"/>
          <w:sz w:val="24"/>
          <w:szCs w:val="24"/>
        </w:rPr>
        <w:t>who must work together to some degree to make child-related decisions and rules, and children may feel torn loyalty between their new stepparent and their nonresidential parent.</w:t>
      </w:r>
      <w:r w:rsidRPr="00417047">
        <w:rPr>
          <w:rStyle w:val="Hyperlink"/>
          <w:rFonts w:asciiTheme="majorBidi" w:hAnsiTheme="majorBidi" w:cs="David"/>
          <w:color w:val="auto"/>
          <w:sz w:val="24"/>
          <w:szCs w:val="24"/>
          <w:u w:val="none"/>
        </w:rPr>
        <w:t>"</w:t>
      </w:r>
      <w:r w:rsidRPr="00417047">
        <w:rPr>
          <w:rStyle w:val="FootnoteReference"/>
          <w:rFonts w:asciiTheme="majorBidi" w:hAnsiTheme="majorBidi" w:cs="David"/>
          <w:sz w:val="24"/>
          <w:szCs w:val="24"/>
        </w:rPr>
        <w:footnoteReference w:id="31"/>
      </w:r>
    </w:p>
    <w:p w14:paraId="58A7F052" w14:textId="77777777" w:rsidR="00056AF3" w:rsidRDefault="00056AF3" w:rsidP="00AB06CE">
      <w:pPr>
        <w:pStyle w:val="ListParagraph"/>
        <w:spacing w:line="480" w:lineRule="auto"/>
        <w:ind w:left="0"/>
        <w:jc w:val="both"/>
        <w:rPr>
          <w:rStyle w:val="Hyperlink"/>
          <w:rFonts w:asciiTheme="majorBidi" w:hAnsiTheme="majorBidi" w:cs="David" w:hint="cs"/>
          <w:color w:val="auto"/>
          <w:sz w:val="24"/>
          <w:szCs w:val="24"/>
          <w:u w:val="none"/>
          <w:rtl/>
        </w:rPr>
      </w:pPr>
    </w:p>
    <w:p w14:paraId="3DBB4C6F" w14:textId="720FB40D" w:rsidR="00C475AD" w:rsidRDefault="00C475AD" w:rsidP="0053374E">
      <w:pPr>
        <w:pStyle w:val="ListParagraph"/>
        <w:spacing w:line="480" w:lineRule="auto"/>
        <w:ind w:left="0"/>
        <w:jc w:val="both"/>
        <w:rPr>
          <w:rStyle w:val="Hyperlink"/>
          <w:rFonts w:asciiTheme="majorBidi" w:hAnsiTheme="majorBidi" w:cs="David"/>
          <w:color w:val="auto"/>
          <w:sz w:val="24"/>
          <w:szCs w:val="24"/>
          <w:u w:val="none"/>
        </w:rPr>
      </w:pPr>
      <w:r>
        <w:rPr>
          <w:rStyle w:val="Hyperlink"/>
          <w:rFonts w:asciiTheme="majorBidi" w:hAnsiTheme="majorBidi" w:cs="David" w:hint="cs"/>
          <w:color w:val="auto"/>
          <w:sz w:val="24"/>
          <w:szCs w:val="24"/>
          <w:u w:val="none"/>
          <w:rtl/>
        </w:rPr>
        <w:t>מאמר זה נועד להציע חשיבה ראשונית ביחס ל</w:t>
      </w:r>
      <w:r w:rsidR="00B34B5C">
        <w:rPr>
          <w:rStyle w:val="Hyperlink"/>
          <w:rFonts w:asciiTheme="majorBidi" w:hAnsiTheme="majorBidi" w:cs="David" w:hint="cs"/>
          <w:color w:val="auto"/>
          <w:sz w:val="24"/>
          <w:szCs w:val="24"/>
          <w:u w:val="none"/>
          <w:rtl/>
        </w:rPr>
        <w:t>כלים המשפטיים המתאימים ל</w:t>
      </w:r>
      <w:r>
        <w:rPr>
          <w:rStyle w:val="Hyperlink"/>
          <w:rFonts w:asciiTheme="majorBidi" w:hAnsiTheme="majorBidi" w:cs="David" w:hint="cs"/>
          <w:color w:val="auto"/>
          <w:sz w:val="24"/>
          <w:szCs w:val="24"/>
          <w:u w:val="none"/>
          <w:rtl/>
        </w:rPr>
        <w:t xml:space="preserve">טיפול בקונפליקטים </w:t>
      </w:r>
      <w:r w:rsidR="001E365C">
        <w:rPr>
          <w:rStyle w:val="Hyperlink"/>
          <w:rFonts w:asciiTheme="majorBidi" w:hAnsiTheme="majorBidi" w:cs="David" w:hint="cs"/>
          <w:color w:val="auto"/>
          <w:sz w:val="24"/>
          <w:szCs w:val="24"/>
          <w:u w:val="none"/>
          <w:rtl/>
        </w:rPr>
        <w:t>פוטנציאלים</w:t>
      </w:r>
      <w:r>
        <w:rPr>
          <w:rStyle w:val="Hyperlink"/>
          <w:rFonts w:asciiTheme="majorBidi" w:hAnsiTheme="majorBidi" w:cs="David" w:hint="cs"/>
          <w:color w:val="auto"/>
          <w:sz w:val="24"/>
          <w:szCs w:val="24"/>
          <w:u w:val="none"/>
          <w:rtl/>
        </w:rPr>
        <w:t xml:space="preserve"> בין ההורה </w:t>
      </w:r>
      <w:r w:rsidR="00B34B5C">
        <w:rPr>
          <w:rStyle w:val="Hyperlink"/>
          <w:rFonts w:asciiTheme="majorBidi" w:hAnsiTheme="majorBidi" w:cs="David" w:hint="cs"/>
          <w:color w:val="auto"/>
          <w:sz w:val="24"/>
          <w:szCs w:val="24"/>
          <w:u w:val="none"/>
          <w:rtl/>
        </w:rPr>
        <w:t>הלא משמורן</w:t>
      </w:r>
      <w:r>
        <w:rPr>
          <w:rStyle w:val="Hyperlink"/>
          <w:rFonts w:asciiTheme="majorBidi" w:hAnsiTheme="majorBidi" w:cs="David" w:hint="cs"/>
          <w:color w:val="auto"/>
          <w:sz w:val="24"/>
          <w:szCs w:val="24"/>
          <w:u w:val="none"/>
          <w:rtl/>
        </w:rPr>
        <w:t xml:space="preserve"> להורה החורג</w:t>
      </w:r>
      <w:r w:rsidR="00B34B5C">
        <w:rPr>
          <w:rStyle w:val="Hyperlink"/>
          <w:rFonts w:asciiTheme="majorBidi" w:hAnsiTheme="majorBidi" w:cs="David" w:hint="cs"/>
          <w:color w:val="auto"/>
          <w:sz w:val="24"/>
          <w:szCs w:val="24"/>
          <w:u w:val="none"/>
          <w:rtl/>
        </w:rPr>
        <w:t>.</w:t>
      </w:r>
      <w:r w:rsidR="002002A8">
        <w:rPr>
          <w:rStyle w:val="Hyperlink"/>
          <w:rFonts w:asciiTheme="majorBidi" w:hAnsiTheme="majorBidi" w:cs="David" w:hint="cs"/>
          <w:color w:val="auto"/>
          <w:sz w:val="24"/>
          <w:szCs w:val="24"/>
          <w:u w:val="none"/>
          <w:rtl/>
        </w:rPr>
        <w:t xml:space="preserve"> המאמר אינו טוען כי המשפט</w:t>
      </w:r>
      <w:r w:rsidR="00AB06CE">
        <w:rPr>
          <w:rStyle w:val="Hyperlink"/>
          <w:rFonts w:asciiTheme="majorBidi" w:hAnsiTheme="majorBidi" w:cs="David" w:hint="cs"/>
          <w:color w:val="auto"/>
          <w:sz w:val="24"/>
          <w:szCs w:val="24"/>
          <w:u w:val="none"/>
          <w:rtl/>
        </w:rPr>
        <w:t>, במתכונתו הנוכחית,</w:t>
      </w:r>
      <w:r w:rsidR="002002A8">
        <w:rPr>
          <w:rStyle w:val="Hyperlink"/>
          <w:rFonts w:asciiTheme="majorBidi" w:hAnsiTheme="majorBidi" w:cs="David" w:hint="cs"/>
          <w:color w:val="auto"/>
          <w:sz w:val="24"/>
          <w:szCs w:val="24"/>
          <w:u w:val="none"/>
          <w:rtl/>
        </w:rPr>
        <w:t xml:space="preserve"> נעדר כלים משפטיים</w:t>
      </w:r>
      <w:r w:rsidR="00291D7E">
        <w:rPr>
          <w:rStyle w:val="Hyperlink"/>
          <w:rFonts w:asciiTheme="majorBidi" w:hAnsiTheme="majorBidi" w:cs="David" w:hint="cs"/>
          <w:color w:val="auto"/>
          <w:sz w:val="24"/>
          <w:szCs w:val="24"/>
          <w:u w:val="none"/>
          <w:rtl/>
        </w:rPr>
        <w:t xml:space="preserve"> פוטנציאלים</w:t>
      </w:r>
      <w:r w:rsidR="002002A8">
        <w:rPr>
          <w:rStyle w:val="Hyperlink"/>
          <w:rFonts w:asciiTheme="majorBidi" w:hAnsiTheme="majorBidi" w:cs="David" w:hint="cs"/>
          <w:color w:val="auto"/>
          <w:sz w:val="24"/>
          <w:szCs w:val="24"/>
          <w:u w:val="none"/>
          <w:rtl/>
        </w:rPr>
        <w:t xml:space="preserve"> לטיפול באלה. נדמה כי אפשר לחשוב על</w:t>
      </w:r>
      <w:r>
        <w:rPr>
          <w:rStyle w:val="Hyperlink"/>
          <w:rFonts w:asciiTheme="majorBidi" w:hAnsiTheme="majorBidi" w:cs="David" w:hint="cs"/>
          <w:color w:val="auto"/>
          <w:sz w:val="24"/>
          <w:szCs w:val="24"/>
          <w:u w:val="none"/>
          <w:rtl/>
        </w:rPr>
        <w:t xml:space="preserve"> </w:t>
      </w:r>
      <w:r w:rsidR="00291D7E">
        <w:rPr>
          <w:rStyle w:val="Hyperlink"/>
          <w:rFonts w:asciiTheme="majorBidi" w:hAnsiTheme="majorBidi" w:cs="David" w:hint="cs"/>
          <w:color w:val="auto"/>
          <w:sz w:val="24"/>
          <w:szCs w:val="24"/>
          <w:u w:val="none"/>
          <w:rtl/>
        </w:rPr>
        <w:t xml:space="preserve">לפחות </w:t>
      </w:r>
      <w:r>
        <w:rPr>
          <w:rStyle w:val="Hyperlink"/>
          <w:rFonts w:asciiTheme="majorBidi" w:hAnsiTheme="majorBidi" w:cs="David" w:hint="cs"/>
          <w:color w:val="auto"/>
          <w:sz w:val="24"/>
          <w:szCs w:val="24"/>
          <w:u w:val="none"/>
          <w:rtl/>
        </w:rPr>
        <w:t>שתי חלופות להתמודדות עם הקונפליקטים האמורים</w:t>
      </w:r>
      <w:r w:rsidR="00FF2F4D">
        <w:rPr>
          <w:rStyle w:val="Hyperlink"/>
          <w:rFonts w:asciiTheme="majorBidi" w:hAnsiTheme="majorBidi" w:cs="David" w:hint="cs"/>
          <w:color w:val="auto"/>
          <w:sz w:val="24"/>
          <w:szCs w:val="24"/>
          <w:u w:val="none"/>
          <w:rtl/>
        </w:rPr>
        <w:t xml:space="preserve">, חלופות המבוססות על </w:t>
      </w:r>
      <w:r>
        <w:rPr>
          <w:rStyle w:val="Hyperlink"/>
          <w:rFonts w:asciiTheme="majorBidi" w:hAnsiTheme="majorBidi" w:cs="David" w:hint="cs"/>
          <w:color w:val="auto"/>
          <w:sz w:val="24"/>
          <w:szCs w:val="24"/>
          <w:u w:val="none"/>
          <w:rtl/>
        </w:rPr>
        <w:t xml:space="preserve">כלים משפטיים </w:t>
      </w:r>
      <w:r w:rsidR="00FF2F4D">
        <w:rPr>
          <w:rStyle w:val="Hyperlink"/>
          <w:rFonts w:asciiTheme="majorBidi" w:hAnsiTheme="majorBidi" w:cs="David" w:hint="cs"/>
          <w:color w:val="auto"/>
          <w:sz w:val="24"/>
          <w:szCs w:val="24"/>
          <w:u w:val="none"/>
          <w:rtl/>
        </w:rPr>
        <w:t>מוכרים בשיטה. ואולם שת</w:t>
      </w:r>
      <w:r>
        <w:rPr>
          <w:rStyle w:val="Hyperlink"/>
          <w:rFonts w:asciiTheme="majorBidi" w:hAnsiTheme="majorBidi" w:cs="David" w:hint="cs"/>
          <w:color w:val="auto"/>
          <w:sz w:val="24"/>
          <w:szCs w:val="24"/>
          <w:u w:val="none"/>
          <w:rtl/>
        </w:rPr>
        <w:t xml:space="preserve">י </w:t>
      </w:r>
      <w:r w:rsidR="00FF2F4D">
        <w:rPr>
          <w:rStyle w:val="Hyperlink"/>
          <w:rFonts w:asciiTheme="majorBidi" w:hAnsiTheme="majorBidi" w:cs="David" w:hint="cs"/>
          <w:color w:val="auto"/>
          <w:sz w:val="24"/>
          <w:szCs w:val="24"/>
          <w:u w:val="none"/>
          <w:rtl/>
        </w:rPr>
        <w:t>חלופות אלה, כפ</w:t>
      </w:r>
      <w:r w:rsidR="00532C3D">
        <w:rPr>
          <w:rStyle w:val="Hyperlink"/>
          <w:rFonts w:asciiTheme="majorBidi" w:hAnsiTheme="majorBidi" w:cs="David" w:hint="cs"/>
          <w:color w:val="auto"/>
          <w:sz w:val="24"/>
          <w:szCs w:val="24"/>
          <w:u w:val="none"/>
          <w:rtl/>
        </w:rPr>
        <w:t>י שיוסבר מיד, אינן אופטימאליות</w:t>
      </w:r>
      <w:r w:rsidR="00FF2F4D">
        <w:rPr>
          <w:rStyle w:val="Hyperlink"/>
          <w:rFonts w:asciiTheme="majorBidi" w:hAnsiTheme="majorBidi" w:cs="David" w:hint="cs"/>
          <w:color w:val="auto"/>
          <w:sz w:val="24"/>
          <w:szCs w:val="24"/>
          <w:u w:val="none"/>
          <w:rtl/>
        </w:rPr>
        <w:t xml:space="preserve">. </w:t>
      </w:r>
    </w:p>
    <w:p w14:paraId="55702593" w14:textId="0034C91A" w:rsidR="000A7E15" w:rsidRPr="0076770E" w:rsidRDefault="00AB06CE" w:rsidP="003B36DD">
      <w:pPr>
        <w:pStyle w:val="ListParagraph"/>
        <w:spacing w:line="480" w:lineRule="auto"/>
        <w:ind w:left="0"/>
        <w:jc w:val="both"/>
        <w:rPr>
          <w:rStyle w:val="Hyperlink"/>
          <w:rFonts w:ascii="David" w:hAnsi="David" w:cs="David"/>
          <w:color w:val="auto"/>
          <w:sz w:val="24"/>
          <w:szCs w:val="24"/>
          <w:u w:val="none"/>
        </w:rPr>
      </w:pPr>
      <w:r>
        <w:rPr>
          <w:rStyle w:val="Hyperlink"/>
          <w:rFonts w:asciiTheme="majorBidi" w:hAnsiTheme="majorBidi" w:cs="David" w:hint="cs"/>
          <w:color w:val="auto"/>
          <w:sz w:val="24"/>
          <w:szCs w:val="24"/>
          <w:u w:val="none"/>
          <w:rtl/>
        </w:rPr>
        <w:t>על פי ה</w:t>
      </w:r>
      <w:r w:rsidR="000A7E15">
        <w:rPr>
          <w:rStyle w:val="Hyperlink"/>
          <w:rFonts w:asciiTheme="majorBidi" w:hAnsiTheme="majorBidi" w:cs="David" w:hint="cs"/>
          <w:color w:val="auto"/>
          <w:sz w:val="24"/>
          <w:szCs w:val="24"/>
          <w:u w:val="none"/>
          <w:rtl/>
        </w:rPr>
        <w:t>חלופה</w:t>
      </w:r>
      <w:r w:rsidR="00C1512B">
        <w:rPr>
          <w:rStyle w:val="Hyperlink"/>
          <w:rFonts w:asciiTheme="majorBidi" w:hAnsiTheme="majorBidi" w:cs="David" w:hint="cs"/>
          <w:color w:val="auto"/>
          <w:sz w:val="24"/>
          <w:szCs w:val="24"/>
          <w:u w:val="none"/>
          <w:rtl/>
        </w:rPr>
        <w:t xml:space="preserve"> </w:t>
      </w:r>
      <w:r>
        <w:rPr>
          <w:rStyle w:val="Hyperlink"/>
          <w:rFonts w:asciiTheme="majorBidi" w:hAnsiTheme="majorBidi" w:cs="David" w:hint="cs"/>
          <w:color w:val="auto"/>
          <w:sz w:val="24"/>
          <w:szCs w:val="24"/>
          <w:u w:val="none"/>
          <w:rtl/>
        </w:rPr>
        <w:t>ה</w:t>
      </w:r>
      <w:r w:rsidR="00C1512B">
        <w:rPr>
          <w:rStyle w:val="Hyperlink"/>
          <w:rFonts w:asciiTheme="majorBidi" w:hAnsiTheme="majorBidi" w:cs="David" w:hint="cs"/>
          <w:color w:val="auto"/>
          <w:sz w:val="24"/>
          <w:szCs w:val="24"/>
          <w:u w:val="none"/>
          <w:rtl/>
        </w:rPr>
        <w:t xml:space="preserve">אחת, המבוססת </w:t>
      </w:r>
      <w:r w:rsidR="002D62D3">
        <w:rPr>
          <w:rStyle w:val="Hyperlink"/>
          <w:rFonts w:asciiTheme="majorBidi" w:hAnsiTheme="majorBidi" w:cs="David" w:hint="cs"/>
          <w:color w:val="auto"/>
          <w:sz w:val="24"/>
          <w:szCs w:val="24"/>
          <w:u w:val="none"/>
          <w:rtl/>
        </w:rPr>
        <w:t>על התפיסה הבסיסית בדיני המשפחה</w:t>
      </w:r>
      <w:r w:rsidR="00C1512B">
        <w:rPr>
          <w:rStyle w:val="Hyperlink"/>
          <w:rFonts w:asciiTheme="majorBidi" w:hAnsiTheme="majorBidi" w:cs="David" w:hint="cs"/>
          <w:color w:val="auto"/>
          <w:sz w:val="24"/>
          <w:szCs w:val="24"/>
          <w:u w:val="none"/>
          <w:rtl/>
        </w:rPr>
        <w:t>,</w:t>
      </w:r>
      <w:r w:rsidR="000A7E15" w:rsidRPr="00716BD1">
        <w:rPr>
          <w:rStyle w:val="Hyperlink"/>
          <w:rFonts w:ascii="David" w:hAnsi="David" w:cs="David"/>
          <w:color w:val="auto"/>
          <w:sz w:val="24"/>
          <w:szCs w:val="24"/>
          <w:u w:val="none"/>
          <w:rtl/>
        </w:rPr>
        <w:t xml:space="preserve"> </w:t>
      </w:r>
      <w:r w:rsidR="000A7E15">
        <w:rPr>
          <w:rStyle w:val="Hyperlink"/>
          <w:rFonts w:ascii="David" w:hAnsi="David" w:cs="David" w:hint="cs"/>
          <w:color w:val="auto"/>
          <w:sz w:val="24"/>
          <w:szCs w:val="24"/>
          <w:u w:val="none"/>
          <w:rtl/>
        </w:rPr>
        <w:t>במוקד</w:t>
      </w:r>
      <w:r w:rsidR="0053374E">
        <w:rPr>
          <w:rStyle w:val="Hyperlink"/>
          <w:rFonts w:ascii="David" w:hAnsi="David" w:cs="David" w:hint="cs"/>
          <w:color w:val="auto"/>
          <w:sz w:val="24"/>
          <w:szCs w:val="24"/>
          <w:u w:val="none"/>
          <w:rtl/>
        </w:rPr>
        <w:t xml:space="preserve"> דיני המשפחה</w:t>
      </w:r>
      <w:r w:rsidR="000A7E15">
        <w:rPr>
          <w:rStyle w:val="Hyperlink"/>
          <w:rFonts w:ascii="David" w:hAnsi="David" w:cs="David" w:hint="cs"/>
          <w:color w:val="auto"/>
          <w:sz w:val="24"/>
          <w:szCs w:val="24"/>
          <w:u w:val="none"/>
          <w:rtl/>
        </w:rPr>
        <w:t xml:space="preserve"> נמצא</w:t>
      </w:r>
      <w:r w:rsidR="000A7E15" w:rsidRPr="00716BD1">
        <w:rPr>
          <w:rStyle w:val="Hyperlink"/>
          <w:rFonts w:ascii="David" w:hAnsi="David" w:cs="David"/>
          <w:color w:val="auto"/>
          <w:sz w:val="24"/>
          <w:szCs w:val="24"/>
          <w:u w:val="none"/>
          <w:rtl/>
        </w:rPr>
        <w:t xml:space="preserve"> ההורה המשפטי</w:t>
      </w:r>
      <w:r w:rsidR="000A7E15">
        <w:rPr>
          <w:rStyle w:val="Hyperlink"/>
          <w:rFonts w:ascii="David" w:hAnsi="David" w:cs="David" w:hint="cs"/>
          <w:color w:val="auto"/>
          <w:sz w:val="24"/>
          <w:szCs w:val="24"/>
          <w:u w:val="none"/>
          <w:rtl/>
        </w:rPr>
        <w:t xml:space="preserve"> וזכויותיו</w:t>
      </w:r>
      <w:r w:rsidR="000A7E15" w:rsidRPr="00716BD1">
        <w:rPr>
          <w:rStyle w:val="Hyperlink"/>
          <w:rFonts w:ascii="David" w:hAnsi="David" w:cs="David"/>
          <w:color w:val="auto"/>
          <w:sz w:val="24"/>
          <w:szCs w:val="24"/>
          <w:u w:val="none"/>
          <w:rtl/>
        </w:rPr>
        <w:t xml:space="preserve">. </w:t>
      </w:r>
      <w:r>
        <w:rPr>
          <w:rStyle w:val="Hyperlink"/>
          <w:rFonts w:ascii="David" w:hAnsi="David" w:cs="David" w:hint="cs"/>
          <w:color w:val="auto"/>
          <w:sz w:val="24"/>
          <w:szCs w:val="24"/>
          <w:u w:val="none"/>
          <w:rtl/>
        </w:rPr>
        <w:t>חלופה</w:t>
      </w:r>
      <w:r w:rsidR="000A7E15" w:rsidRPr="00716BD1">
        <w:rPr>
          <w:rStyle w:val="Hyperlink"/>
          <w:rFonts w:ascii="David" w:hAnsi="David" w:cs="David"/>
          <w:color w:val="auto"/>
          <w:sz w:val="24"/>
          <w:szCs w:val="24"/>
          <w:u w:val="none"/>
          <w:rtl/>
        </w:rPr>
        <w:t xml:space="preserve"> זאת תטען כי התנהגות ההורה החורג עולה כדי פגיעה בזכויות ההורה המשפטי </w:t>
      </w:r>
      <w:r w:rsidR="00837944">
        <w:rPr>
          <w:rStyle w:val="Hyperlink"/>
          <w:rFonts w:ascii="David" w:hAnsi="David" w:cs="David" w:hint="cs"/>
          <w:color w:val="auto"/>
          <w:sz w:val="24"/>
          <w:szCs w:val="24"/>
          <w:u w:val="none"/>
          <w:rtl/>
        </w:rPr>
        <w:t xml:space="preserve">(הלא משמורן) </w:t>
      </w:r>
      <w:r w:rsidR="000A7E15" w:rsidRPr="00716BD1">
        <w:rPr>
          <w:rStyle w:val="Hyperlink"/>
          <w:rFonts w:ascii="David" w:hAnsi="David" w:cs="David"/>
          <w:color w:val="auto"/>
          <w:sz w:val="24"/>
          <w:szCs w:val="24"/>
          <w:u w:val="none"/>
          <w:rtl/>
        </w:rPr>
        <w:t>כלפי י</w:t>
      </w:r>
      <w:r w:rsidR="00C1512B">
        <w:rPr>
          <w:rStyle w:val="Hyperlink"/>
          <w:rFonts w:ascii="David" w:hAnsi="David" w:cs="David"/>
          <w:color w:val="auto"/>
          <w:sz w:val="24"/>
          <w:szCs w:val="24"/>
          <w:u w:val="none"/>
          <w:rtl/>
        </w:rPr>
        <w:t xml:space="preserve">לדו. </w:t>
      </w:r>
      <w:r w:rsidR="002D62D3" w:rsidRPr="00716BD1">
        <w:rPr>
          <w:rStyle w:val="Hyperlink"/>
          <w:rFonts w:ascii="David" w:hAnsi="David" w:cs="David"/>
          <w:color w:val="auto"/>
          <w:sz w:val="24"/>
          <w:szCs w:val="24"/>
          <w:u w:val="none"/>
          <w:rtl/>
        </w:rPr>
        <w:t>ואולם</w:t>
      </w:r>
      <w:r w:rsidR="002D62D3">
        <w:rPr>
          <w:rStyle w:val="Hyperlink"/>
          <w:rFonts w:ascii="David" w:hAnsi="David" w:cs="David" w:hint="cs"/>
          <w:color w:val="auto"/>
          <w:sz w:val="24"/>
          <w:szCs w:val="24"/>
          <w:u w:val="none"/>
          <w:rtl/>
        </w:rPr>
        <w:t>,</w:t>
      </w:r>
      <w:r w:rsidR="002D62D3" w:rsidRPr="00716BD1">
        <w:rPr>
          <w:rStyle w:val="Hyperlink"/>
          <w:rFonts w:ascii="David" w:hAnsi="David" w:cs="David"/>
          <w:color w:val="auto"/>
          <w:sz w:val="24"/>
          <w:szCs w:val="24"/>
          <w:u w:val="none"/>
          <w:rtl/>
        </w:rPr>
        <w:t xml:space="preserve"> </w:t>
      </w:r>
      <w:r w:rsidR="00C1512B">
        <w:rPr>
          <w:rStyle w:val="Hyperlink"/>
          <w:rFonts w:ascii="David" w:hAnsi="David" w:cs="David"/>
          <w:color w:val="auto"/>
          <w:sz w:val="24"/>
          <w:szCs w:val="24"/>
          <w:u w:val="none"/>
          <w:rtl/>
        </w:rPr>
        <w:t>דוקטרינת זכויות ההורה</w:t>
      </w:r>
      <w:r w:rsidR="002D62D3">
        <w:rPr>
          <w:rStyle w:val="Hyperlink"/>
          <w:rFonts w:ascii="David" w:hAnsi="David" w:cs="David" w:hint="cs"/>
          <w:color w:val="auto"/>
          <w:sz w:val="24"/>
          <w:szCs w:val="24"/>
          <w:u w:val="none"/>
          <w:rtl/>
        </w:rPr>
        <w:t>,</w:t>
      </w:r>
      <w:r w:rsidR="00C1512B">
        <w:rPr>
          <w:rStyle w:val="Hyperlink"/>
          <w:rFonts w:ascii="David" w:hAnsi="David" w:cs="David"/>
          <w:color w:val="auto"/>
          <w:sz w:val="24"/>
          <w:szCs w:val="24"/>
          <w:u w:val="none"/>
          <w:rtl/>
        </w:rPr>
        <w:t xml:space="preserve"> </w:t>
      </w:r>
      <w:r w:rsidR="002D62D3">
        <w:rPr>
          <w:rStyle w:val="Hyperlink"/>
          <w:rFonts w:ascii="David" w:hAnsi="David" w:cs="David" w:hint="cs"/>
          <w:color w:val="auto"/>
          <w:sz w:val="24"/>
          <w:szCs w:val="24"/>
          <w:u w:val="none"/>
          <w:rtl/>
        </w:rPr>
        <w:t>ש</w:t>
      </w:r>
      <w:r w:rsidR="00C1512B">
        <w:rPr>
          <w:rStyle w:val="Hyperlink"/>
          <w:rFonts w:ascii="David" w:hAnsi="David" w:cs="David"/>
          <w:color w:val="auto"/>
          <w:sz w:val="24"/>
          <w:szCs w:val="24"/>
          <w:u w:val="none"/>
          <w:rtl/>
        </w:rPr>
        <w:t>היתה</w:t>
      </w:r>
      <w:r w:rsidR="000A7E15" w:rsidRPr="00716BD1">
        <w:rPr>
          <w:rStyle w:val="Hyperlink"/>
          <w:rFonts w:ascii="David" w:hAnsi="David" w:cs="David"/>
          <w:color w:val="auto"/>
          <w:sz w:val="24"/>
          <w:szCs w:val="24"/>
          <w:u w:val="none"/>
          <w:rtl/>
        </w:rPr>
        <w:t xml:space="preserve"> מבוססת בעוצמה רבה במשפט האמריקאי</w:t>
      </w:r>
      <w:r w:rsidR="002D62D3">
        <w:rPr>
          <w:rStyle w:val="Hyperlink"/>
          <w:rFonts w:ascii="David" w:hAnsi="David" w:cs="David" w:hint="cs"/>
          <w:color w:val="auto"/>
          <w:sz w:val="24"/>
          <w:szCs w:val="24"/>
          <w:u w:val="none"/>
          <w:rtl/>
        </w:rPr>
        <w:t>,</w:t>
      </w:r>
      <w:r w:rsidR="00854198">
        <w:rPr>
          <w:rStyle w:val="FootnoteReference"/>
          <w:rFonts w:ascii="David" w:hAnsi="David" w:cs="David"/>
          <w:sz w:val="24"/>
          <w:szCs w:val="24"/>
          <w:rtl/>
        </w:rPr>
        <w:footnoteReference w:id="32"/>
      </w:r>
      <w:r w:rsidR="000A7E15" w:rsidRPr="00716BD1">
        <w:rPr>
          <w:rStyle w:val="Hyperlink"/>
          <w:rFonts w:ascii="David" w:hAnsi="David" w:cs="David"/>
          <w:color w:val="auto"/>
          <w:sz w:val="24"/>
          <w:szCs w:val="24"/>
          <w:u w:val="none"/>
          <w:rtl/>
        </w:rPr>
        <w:t xml:space="preserve"> החלה להתערער בשנים האחרונות, בין היתר עקב פגיעתה </w:t>
      </w:r>
      <w:r w:rsidR="00327469">
        <w:rPr>
          <w:rStyle w:val="Hyperlink"/>
          <w:rFonts w:ascii="David" w:hAnsi="David" w:cs="David" w:hint="cs"/>
          <w:color w:val="auto"/>
          <w:sz w:val="24"/>
          <w:szCs w:val="24"/>
          <w:u w:val="none"/>
          <w:rtl/>
        </w:rPr>
        <w:t>(</w:t>
      </w:r>
      <w:r w:rsidR="000A7E15" w:rsidRPr="00716BD1">
        <w:rPr>
          <w:rStyle w:val="Hyperlink"/>
          <w:rFonts w:ascii="David" w:hAnsi="David" w:cs="David"/>
          <w:color w:val="auto"/>
          <w:sz w:val="24"/>
          <w:szCs w:val="24"/>
          <w:u w:val="none"/>
          <w:rtl/>
        </w:rPr>
        <w:t>הרעיונית והמעשית</w:t>
      </w:r>
      <w:r w:rsidR="00327469">
        <w:rPr>
          <w:rStyle w:val="Hyperlink"/>
          <w:rFonts w:ascii="David" w:hAnsi="David" w:cs="David" w:hint="cs"/>
          <w:color w:val="auto"/>
          <w:sz w:val="24"/>
          <w:szCs w:val="24"/>
          <w:u w:val="none"/>
          <w:rtl/>
        </w:rPr>
        <w:t>)</w:t>
      </w:r>
      <w:r w:rsidR="000A7E15" w:rsidRPr="00716BD1">
        <w:rPr>
          <w:rStyle w:val="Hyperlink"/>
          <w:rFonts w:ascii="David" w:hAnsi="David" w:cs="David"/>
          <w:color w:val="auto"/>
          <w:sz w:val="24"/>
          <w:szCs w:val="24"/>
          <w:u w:val="none"/>
          <w:rtl/>
        </w:rPr>
        <w:t xml:space="preserve"> בילדים ובזכויותיהם</w:t>
      </w:r>
      <w:r w:rsidR="000A7E15">
        <w:rPr>
          <w:rStyle w:val="FootnoteReference"/>
          <w:rFonts w:ascii="David" w:hAnsi="David" w:cs="David"/>
          <w:sz w:val="24"/>
          <w:szCs w:val="24"/>
          <w:rtl/>
        </w:rPr>
        <w:footnoteReference w:id="33"/>
      </w:r>
      <w:r w:rsidR="000A7E15" w:rsidRPr="00716BD1">
        <w:rPr>
          <w:rStyle w:val="Hyperlink"/>
          <w:rFonts w:ascii="David" w:hAnsi="David" w:cs="David"/>
          <w:color w:val="auto"/>
          <w:sz w:val="24"/>
          <w:szCs w:val="24"/>
          <w:u w:val="none"/>
          <w:rtl/>
        </w:rPr>
        <w:t>. טעמי הביקורת כנגד</w:t>
      </w:r>
      <w:r w:rsidR="002D62D3">
        <w:rPr>
          <w:rStyle w:val="Hyperlink"/>
          <w:rFonts w:ascii="David" w:hAnsi="David" w:cs="David" w:hint="cs"/>
          <w:color w:val="auto"/>
          <w:sz w:val="24"/>
          <w:szCs w:val="24"/>
          <w:u w:val="none"/>
          <w:rtl/>
        </w:rPr>
        <w:t xml:space="preserve"> הפעלת הת</w:t>
      </w:r>
      <w:r w:rsidR="000A7E15" w:rsidRPr="00716BD1">
        <w:rPr>
          <w:rStyle w:val="Hyperlink"/>
          <w:rFonts w:ascii="David" w:hAnsi="David" w:cs="David"/>
          <w:color w:val="auto"/>
          <w:sz w:val="24"/>
          <w:szCs w:val="24"/>
          <w:u w:val="none"/>
          <w:rtl/>
        </w:rPr>
        <w:t>שתית</w:t>
      </w:r>
      <w:r w:rsidR="002D62D3">
        <w:rPr>
          <w:rStyle w:val="Hyperlink"/>
          <w:rFonts w:ascii="David" w:hAnsi="David" w:cs="David" w:hint="cs"/>
          <w:color w:val="auto"/>
          <w:sz w:val="24"/>
          <w:szCs w:val="24"/>
          <w:u w:val="none"/>
          <w:rtl/>
        </w:rPr>
        <w:t xml:space="preserve"> האמורה בהקשרנו</w:t>
      </w:r>
      <w:r w:rsidR="000A7E15" w:rsidRPr="00716BD1">
        <w:rPr>
          <w:rStyle w:val="Hyperlink"/>
          <w:rFonts w:ascii="David" w:hAnsi="David" w:cs="David"/>
          <w:color w:val="auto"/>
          <w:sz w:val="24"/>
          <w:szCs w:val="24"/>
          <w:u w:val="none"/>
          <w:rtl/>
        </w:rPr>
        <w:t xml:space="preserve"> משולבים. טעם אחד מתמקד ביחסים שבין ההורה החורג וההורה </w:t>
      </w:r>
      <w:r w:rsidR="00AC790C">
        <w:rPr>
          <w:rStyle w:val="Hyperlink"/>
          <w:rFonts w:ascii="David" w:hAnsi="David" w:cs="David" w:hint="cs"/>
          <w:color w:val="auto"/>
          <w:sz w:val="24"/>
          <w:szCs w:val="24"/>
          <w:u w:val="none"/>
          <w:rtl/>
        </w:rPr>
        <w:t>הלא משמורן</w:t>
      </w:r>
      <w:r w:rsidR="000A7E15" w:rsidRPr="00716BD1">
        <w:rPr>
          <w:rStyle w:val="Hyperlink"/>
          <w:rFonts w:ascii="David" w:hAnsi="David" w:cs="David"/>
          <w:color w:val="auto"/>
          <w:sz w:val="24"/>
          <w:szCs w:val="24"/>
          <w:u w:val="none"/>
          <w:rtl/>
        </w:rPr>
        <w:t xml:space="preserve">. לפי טעם זה מענה משפטי המבוסס על זכויות ההורים, כפי שהם </w:t>
      </w:r>
      <w:r w:rsidR="002D62D3">
        <w:rPr>
          <w:rStyle w:val="Hyperlink"/>
          <w:rFonts w:ascii="David" w:hAnsi="David" w:cs="David" w:hint="cs"/>
          <w:color w:val="auto"/>
          <w:sz w:val="24"/>
          <w:szCs w:val="24"/>
          <w:u w:val="none"/>
          <w:rtl/>
        </w:rPr>
        <w:t>מעוצבות</w:t>
      </w:r>
      <w:r w:rsidR="000A7E15" w:rsidRPr="00716BD1">
        <w:rPr>
          <w:rStyle w:val="Hyperlink"/>
          <w:rFonts w:ascii="David" w:hAnsi="David" w:cs="David"/>
          <w:color w:val="auto"/>
          <w:sz w:val="24"/>
          <w:szCs w:val="24"/>
          <w:u w:val="none"/>
          <w:rtl/>
        </w:rPr>
        <w:t xml:space="preserve"> ברוח השיח המשפטי הליברלי-אדברסרי, עלולה לחדד את</w:t>
      </w:r>
      <w:r w:rsidR="000A7E15" w:rsidRPr="00716BD1">
        <w:rPr>
          <w:rFonts w:ascii="David" w:hAnsi="David" w:cs="David"/>
          <w:sz w:val="24"/>
          <w:szCs w:val="24"/>
          <w:rtl/>
        </w:rPr>
        <w:t xml:space="preserve"> המרכיבים</w:t>
      </w:r>
      <w:r w:rsidR="000A7E15" w:rsidRPr="00716BD1">
        <w:rPr>
          <w:rFonts w:ascii="David" w:hAnsi="David" w:cs="David"/>
          <w:sz w:val="24"/>
          <w:szCs w:val="24"/>
        </w:rPr>
        <w:t xml:space="preserve"> </w:t>
      </w:r>
      <w:r w:rsidR="000A7E15" w:rsidRPr="00716BD1">
        <w:rPr>
          <w:rFonts w:ascii="David" w:hAnsi="David" w:cs="David"/>
          <w:sz w:val="24"/>
          <w:szCs w:val="24"/>
          <w:rtl/>
        </w:rPr>
        <w:t>הקונפליקטואליים</w:t>
      </w:r>
      <w:r w:rsidR="000A7E15" w:rsidRPr="00716BD1">
        <w:rPr>
          <w:rFonts w:ascii="David" w:hAnsi="David" w:cs="David"/>
          <w:sz w:val="24"/>
          <w:szCs w:val="24"/>
        </w:rPr>
        <w:t xml:space="preserve"> </w:t>
      </w:r>
      <w:r w:rsidR="000A7E15" w:rsidRPr="00716BD1">
        <w:rPr>
          <w:rFonts w:ascii="David" w:hAnsi="David" w:cs="David"/>
          <w:sz w:val="24"/>
          <w:szCs w:val="24"/>
          <w:rtl/>
        </w:rPr>
        <w:t>והמבדלים</w:t>
      </w:r>
      <w:r w:rsidR="000A7E15" w:rsidRPr="00716BD1">
        <w:rPr>
          <w:rFonts w:ascii="David" w:hAnsi="David" w:cs="David"/>
          <w:sz w:val="24"/>
          <w:szCs w:val="24"/>
        </w:rPr>
        <w:t xml:space="preserve"> </w:t>
      </w:r>
      <w:r w:rsidR="000A7E15" w:rsidRPr="00716BD1">
        <w:rPr>
          <w:rFonts w:ascii="David" w:hAnsi="David" w:cs="David"/>
          <w:sz w:val="24"/>
          <w:szCs w:val="24"/>
          <w:rtl/>
        </w:rPr>
        <w:t>ולפגום</w:t>
      </w:r>
      <w:r w:rsidR="000A7E15" w:rsidRPr="00716BD1">
        <w:rPr>
          <w:rFonts w:ascii="David" w:hAnsi="David" w:cs="David"/>
          <w:sz w:val="24"/>
          <w:szCs w:val="24"/>
        </w:rPr>
        <w:t xml:space="preserve"> </w:t>
      </w:r>
      <w:r w:rsidR="000A7E15" w:rsidRPr="00716BD1">
        <w:rPr>
          <w:rFonts w:ascii="David" w:hAnsi="David" w:cs="David"/>
          <w:sz w:val="24"/>
          <w:szCs w:val="24"/>
          <w:rtl/>
        </w:rPr>
        <w:t>במהות</w:t>
      </w:r>
      <w:r w:rsidR="000A7E15" w:rsidRPr="00716BD1">
        <w:rPr>
          <w:rFonts w:ascii="David" w:hAnsi="David" w:cs="David"/>
          <w:sz w:val="24"/>
          <w:szCs w:val="24"/>
        </w:rPr>
        <w:t xml:space="preserve"> </w:t>
      </w:r>
      <w:r w:rsidR="000A7E15" w:rsidRPr="00716BD1">
        <w:rPr>
          <w:rFonts w:ascii="David" w:hAnsi="David" w:cs="David"/>
          <w:sz w:val="24"/>
          <w:szCs w:val="24"/>
          <w:rtl/>
        </w:rPr>
        <w:t>הקשר</w:t>
      </w:r>
      <w:r w:rsidR="000A7E15" w:rsidRPr="00716BD1">
        <w:rPr>
          <w:rFonts w:ascii="David" w:hAnsi="David" w:cs="David"/>
          <w:sz w:val="24"/>
          <w:szCs w:val="24"/>
        </w:rPr>
        <w:t xml:space="preserve"> </w:t>
      </w:r>
      <w:r w:rsidR="000A7E15" w:rsidRPr="00716BD1">
        <w:rPr>
          <w:rFonts w:ascii="David" w:hAnsi="David" w:cs="David"/>
          <w:sz w:val="24"/>
          <w:szCs w:val="24"/>
          <w:rtl/>
        </w:rPr>
        <w:t>המשפחתי. תביעתו</w:t>
      </w:r>
      <w:r w:rsidR="000A7E15" w:rsidRPr="00716BD1">
        <w:rPr>
          <w:rFonts w:ascii="David" w:hAnsi="David" w:cs="David"/>
          <w:sz w:val="24"/>
          <w:szCs w:val="24"/>
        </w:rPr>
        <w:t xml:space="preserve"> </w:t>
      </w:r>
      <w:r w:rsidR="000A7E15" w:rsidRPr="00716BD1">
        <w:rPr>
          <w:rFonts w:ascii="David" w:hAnsi="David" w:cs="David"/>
          <w:sz w:val="24"/>
          <w:szCs w:val="24"/>
          <w:rtl/>
        </w:rPr>
        <w:t>של</w:t>
      </w:r>
      <w:r w:rsidR="000A7E15" w:rsidRPr="00716BD1">
        <w:rPr>
          <w:rFonts w:ascii="David" w:hAnsi="David" w:cs="David"/>
          <w:sz w:val="24"/>
          <w:szCs w:val="24"/>
        </w:rPr>
        <w:t xml:space="preserve"> </w:t>
      </w:r>
      <w:r w:rsidR="000A7E15" w:rsidRPr="00716BD1">
        <w:rPr>
          <w:rFonts w:ascii="David" w:hAnsi="David" w:cs="David"/>
          <w:sz w:val="24"/>
          <w:szCs w:val="24"/>
          <w:rtl/>
        </w:rPr>
        <w:t>ההורה</w:t>
      </w:r>
      <w:r w:rsidR="000A7E15" w:rsidRPr="00716BD1">
        <w:rPr>
          <w:rFonts w:ascii="David" w:hAnsi="David" w:cs="David"/>
          <w:sz w:val="24"/>
          <w:szCs w:val="24"/>
        </w:rPr>
        <w:t xml:space="preserve"> </w:t>
      </w:r>
      <w:r w:rsidR="000A7E15" w:rsidRPr="00716BD1">
        <w:rPr>
          <w:rFonts w:ascii="David" w:hAnsi="David" w:cs="David"/>
          <w:sz w:val="24"/>
          <w:szCs w:val="24"/>
          <w:rtl/>
        </w:rPr>
        <w:t>מנוסחת, לאור שיח זה,</w:t>
      </w:r>
      <w:r w:rsidR="000A7E15" w:rsidRPr="00716BD1">
        <w:rPr>
          <w:rFonts w:ascii="David" w:hAnsi="David" w:cs="David"/>
          <w:sz w:val="24"/>
          <w:szCs w:val="24"/>
        </w:rPr>
        <w:t xml:space="preserve"> </w:t>
      </w:r>
      <w:r w:rsidR="000A7E15" w:rsidRPr="00716BD1">
        <w:rPr>
          <w:rFonts w:ascii="David" w:hAnsi="David" w:cs="David"/>
          <w:sz w:val="24"/>
          <w:szCs w:val="24"/>
          <w:rtl/>
        </w:rPr>
        <w:t>בתבנית</w:t>
      </w:r>
      <w:r w:rsidR="000A7E15" w:rsidRPr="00716BD1">
        <w:rPr>
          <w:rFonts w:ascii="David" w:hAnsi="David" w:cs="David"/>
          <w:sz w:val="24"/>
          <w:szCs w:val="24"/>
        </w:rPr>
        <w:t xml:space="preserve"> </w:t>
      </w:r>
      <w:r w:rsidR="000A7E15" w:rsidRPr="00716BD1">
        <w:rPr>
          <w:rFonts w:ascii="David" w:hAnsi="David" w:cs="David"/>
          <w:sz w:val="24"/>
          <w:szCs w:val="24"/>
          <w:rtl/>
        </w:rPr>
        <w:t>של</w:t>
      </w:r>
      <w:r w:rsidR="000A7E15" w:rsidRPr="00716BD1">
        <w:rPr>
          <w:rFonts w:ascii="David" w:hAnsi="David" w:cs="David"/>
          <w:sz w:val="24"/>
          <w:szCs w:val="24"/>
        </w:rPr>
        <w:t xml:space="preserve"> </w:t>
      </w:r>
      <w:r w:rsidR="000A7E15" w:rsidRPr="00716BD1">
        <w:rPr>
          <w:rFonts w:ascii="David" w:hAnsi="David" w:cs="David"/>
          <w:sz w:val="24"/>
          <w:szCs w:val="24"/>
          <w:rtl/>
        </w:rPr>
        <w:t>זכאות</w:t>
      </w:r>
      <w:r w:rsidR="000A7E15" w:rsidRPr="00716BD1">
        <w:rPr>
          <w:rFonts w:ascii="David" w:hAnsi="David" w:cs="David"/>
          <w:sz w:val="24"/>
          <w:szCs w:val="24"/>
        </w:rPr>
        <w:t>,</w:t>
      </w:r>
      <w:r w:rsidR="000A7E15" w:rsidRPr="00716BD1">
        <w:rPr>
          <w:rFonts w:ascii="David" w:hAnsi="David" w:cs="David"/>
          <w:sz w:val="24"/>
          <w:szCs w:val="24"/>
          <w:rtl/>
        </w:rPr>
        <w:t xml:space="preserve"> הסעד</w:t>
      </w:r>
      <w:r w:rsidR="000A7E15" w:rsidRPr="00716BD1">
        <w:rPr>
          <w:rFonts w:ascii="David" w:hAnsi="David" w:cs="David"/>
          <w:sz w:val="24"/>
          <w:szCs w:val="24"/>
        </w:rPr>
        <w:t xml:space="preserve"> </w:t>
      </w:r>
      <w:r w:rsidR="000A7E15" w:rsidRPr="00716BD1">
        <w:rPr>
          <w:rFonts w:ascii="David" w:hAnsi="David" w:cs="David"/>
          <w:sz w:val="24"/>
          <w:szCs w:val="24"/>
          <w:rtl/>
        </w:rPr>
        <w:t>הנובע</w:t>
      </w:r>
      <w:r w:rsidR="000A7E15" w:rsidRPr="00716BD1">
        <w:rPr>
          <w:rFonts w:ascii="David" w:hAnsi="David" w:cs="David"/>
          <w:sz w:val="24"/>
          <w:szCs w:val="24"/>
        </w:rPr>
        <w:t xml:space="preserve"> </w:t>
      </w:r>
      <w:r w:rsidR="000A7E15" w:rsidRPr="00716BD1">
        <w:rPr>
          <w:rFonts w:ascii="David" w:hAnsi="David" w:cs="David"/>
          <w:sz w:val="24"/>
          <w:szCs w:val="24"/>
          <w:rtl/>
        </w:rPr>
        <w:t>ממנה</w:t>
      </w:r>
      <w:r w:rsidR="000A7E15" w:rsidRPr="00716BD1">
        <w:rPr>
          <w:rFonts w:ascii="David" w:hAnsi="David" w:cs="David"/>
          <w:sz w:val="24"/>
          <w:szCs w:val="24"/>
        </w:rPr>
        <w:t xml:space="preserve"> </w:t>
      </w:r>
      <w:r w:rsidR="000A7E15" w:rsidRPr="00716BD1">
        <w:rPr>
          <w:rFonts w:ascii="David" w:hAnsi="David" w:cs="David"/>
          <w:sz w:val="24"/>
          <w:szCs w:val="24"/>
          <w:rtl/>
        </w:rPr>
        <w:t>נתפס</w:t>
      </w:r>
      <w:r w:rsidR="000A7E15" w:rsidRPr="00716BD1">
        <w:rPr>
          <w:rFonts w:ascii="David" w:hAnsi="David" w:cs="David"/>
          <w:sz w:val="24"/>
          <w:szCs w:val="24"/>
        </w:rPr>
        <w:t xml:space="preserve"> </w:t>
      </w:r>
      <w:r w:rsidR="000A7E15" w:rsidRPr="00716BD1">
        <w:rPr>
          <w:rFonts w:ascii="David" w:hAnsi="David" w:cs="David"/>
          <w:sz w:val="24"/>
          <w:szCs w:val="24"/>
          <w:rtl/>
        </w:rPr>
        <w:t>כמילוי</w:t>
      </w:r>
      <w:r w:rsidR="000A7E15" w:rsidRPr="00716BD1">
        <w:rPr>
          <w:rFonts w:ascii="David" w:hAnsi="David" w:cs="David"/>
          <w:sz w:val="24"/>
          <w:szCs w:val="24"/>
        </w:rPr>
        <w:t xml:space="preserve"> </w:t>
      </w:r>
      <w:r w:rsidR="000A7E15" w:rsidRPr="00716BD1">
        <w:rPr>
          <w:rFonts w:ascii="David" w:hAnsi="David" w:cs="David"/>
          <w:sz w:val="24"/>
          <w:szCs w:val="24"/>
          <w:rtl/>
        </w:rPr>
        <w:t>חובה</w:t>
      </w:r>
      <w:r w:rsidR="000A7E15" w:rsidRPr="00716BD1">
        <w:rPr>
          <w:rFonts w:ascii="David" w:hAnsi="David" w:cs="David"/>
          <w:sz w:val="24"/>
          <w:szCs w:val="24"/>
        </w:rPr>
        <w:t xml:space="preserve"> </w:t>
      </w:r>
      <w:r w:rsidR="000A7E15" w:rsidRPr="00716BD1">
        <w:rPr>
          <w:rFonts w:ascii="David" w:hAnsi="David" w:cs="David"/>
          <w:sz w:val="24"/>
          <w:szCs w:val="24"/>
          <w:rtl/>
        </w:rPr>
        <w:t>על</w:t>
      </w:r>
      <w:r w:rsidR="000A7E15" w:rsidRPr="00716BD1">
        <w:rPr>
          <w:rFonts w:ascii="David" w:hAnsi="David" w:cs="David"/>
          <w:sz w:val="24"/>
          <w:szCs w:val="24"/>
        </w:rPr>
        <w:t xml:space="preserve"> </w:t>
      </w:r>
      <w:r w:rsidR="000A7E15" w:rsidRPr="00716BD1">
        <w:rPr>
          <w:rFonts w:ascii="David" w:hAnsi="David" w:cs="David"/>
          <w:sz w:val="24"/>
          <w:szCs w:val="24"/>
          <w:rtl/>
        </w:rPr>
        <w:t>ידי</w:t>
      </w:r>
      <w:r w:rsidR="000A7E15" w:rsidRPr="00716BD1">
        <w:rPr>
          <w:rFonts w:ascii="David" w:hAnsi="David" w:cs="David"/>
          <w:sz w:val="24"/>
          <w:szCs w:val="24"/>
        </w:rPr>
        <w:t xml:space="preserve"> </w:t>
      </w:r>
      <w:r w:rsidR="000A7E15" w:rsidRPr="00716BD1">
        <w:rPr>
          <w:rFonts w:ascii="David" w:hAnsi="David" w:cs="David"/>
          <w:sz w:val="24"/>
          <w:szCs w:val="24"/>
          <w:rtl/>
        </w:rPr>
        <w:t>ההורה החורג</w:t>
      </w:r>
      <w:r w:rsidR="000A7E15" w:rsidRPr="00716BD1">
        <w:rPr>
          <w:rFonts w:ascii="David" w:hAnsi="David" w:cs="David"/>
          <w:sz w:val="24"/>
          <w:szCs w:val="24"/>
        </w:rPr>
        <w:t xml:space="preserve"> </w:t>
      </w:r>
      <w:r w:rsidR="000A7E15" w:rsidRPr="00716BD1">
        <w:rPr>
          <w:rFonts w:ascii="David" w:hAnsi="David" w:cs="David"/>
          <w:sz w:val="24"/>
          <w:szCs w:val="24"/>
          <w:rtl/>
        </w:rPr>
        <w:t>ותוצאתו</w:t>
      </w:r>
      <w:r w:rsidR="000A7E15" w:rsidRPr="00716BD1">
        <w:rPr>
          <w:rFonts w:ascii="David" w:hAnsi="David" w:cs="David"/>
          <w:sz w:val="24"/>
          <w:szCs w:val="24"/>
        </w:rPr>
        <w:t xml:space="preserve"> </w:t>
      </w:r>
      <w:r w:rsidR="000A7E15" w:rsidRPr="00716BD1">
        <w:rPr>
          <w:rFonts w:ascii="David" w:hAnsi="David" w:cs="David"/>
          <w:sz w:val="24"/>
          <w:szCs w:val="24"/>
          <w:rtl/>
        </w:rPr>
        <w:t>נתפסת</w:t>
      </w:r>
      <w:r w:rsidR="000A7E15" w:rsidRPr="00716BD1">
        <w:rPr>
          <w:rFonts w:ascii="David" w:hAnsi="David" w:cs="David"/>
          <w:sz w:val="24"/>
          <w:szCs w:val="24"/>
        </w:rPr>
        <w:t xml:space="preserve"> </w:t>
      </w:r>
      <w:r w:rsidR="000A7E15" w:rsidRPr="00716BD1">
        <w:rPr>
          <w:rFonts w:ascii="David" w:hAnsi="David" w:cs="David"/>
          <w:sz w:val="24"/>
          <w:szCs w:val="24"/>
          <w:rtl/>
        </w:rPr>
        <w:t>כנזק</w:t>
      </w:r>
      <w:r w:rsidR="000A7E15" w:rsidRPr="00716BD1">
        <w:rPr>
          <w:rFonts w:ascii="David" w:hAnsi="David" w:cs="David"/>
          <w:sz w:val="24"/>
          <w:szCs w:val="24"/>
        </w:rPr>
        <w:t xml:space="preserve"> </w:t>
      </w:r>
      <w:r w:rsidR="000A7E15" w:rsidRPr="00716BD1">
        <w:rPr>
          <w:rFonts w:ascii="David" w:hAnsi="David" w:cs="David"/>
          <w:sz w:val="24"/>
          <w:szCs w:val="24"/>
          <w:rtl/>
        </w:rPr>
        <w:t>מבחינתו</w:t>
      </w:r>
      <w:r w:rsidR="000A7E15" w:rsidRPr="00716BD1">
        <w:rPr>
          <w:rFonts w:ascii="David" w:hAnsi="David" w:cs="David"/>
          <w:sz w:val="24"/>
          <w:szCs w:val="24"/>
        </w:rPr>
        <w:t>.</w:t>
      </w:r>
      <w:r w:rsidR="000A7E15" w:rsidRPr="00716BD1">
        <w:rPr>
          <w:rFonts w:ascii="David" w:hAnsi="David" w:cs="David"/>
          <w:sz w:val="24"/>
          <w:szCs w:val="24"/>
          <w:rtl/>
        </w:rPr>
        <w:t xml:space="preserve"> כך "ניצחונו" של</w:t>
      </w:r>
      <w:r w:rsidR="000A7E15" w:rsidRPr="00716BD1">
        <w:rPr>
          <w:rFonts w:ascii="David" w:hAnsi="David" w:cs="David"/>
          <w:sz w:val="24"/>
          <w:szCs w:val="24"/>
        </w:rPr>
        <w:t xml:space="preserve"> </w:t>
      </w:r>
      <w:r w:rsidR="000A7E15" w:rsidRPr="00716BD1">
        <w:rPr>
          <w:rFonts w:ascii="David" w:hAnsi="David" w:cs="David"/>
          <w:sz w:val="24"/>
          <w:szCs w:val="24"/>
          <w:rtl/>
        </w:rPr>
        <w:t>האחד</w:t>
      </w:r>
      <w:r w:rsidR="000A7E15" w:rsidRPr="00716BD1">
        <w:rPr>
          <w:rFonts w:ascii="David" w:hAnsi="David" w:cs="David"/>
          <w:sz w:val="24"/>
          <w:szCs w:val="24"/>
        </w:rPr>
        <w:t xml:space="preserve"> </w:t>
      </w:r>
      <w:r w:rsidR="000A7E15" w:rsidRPr="00716BD1">
        <w:rPr>
          <w:rFonts w:ascii="David" w:hAnsi="David" w:cs="David"/>
          <w:sz w:val="24"/>
          <w:szCs w:val="24"/>
          <w:rtl/>
        </w:rPr>
        <w:t>הוא</w:t>
      </w:r>
      <w:r w:rsidR="000A7E15" w:rsidRPr="00716BD1">
        <w:rPr>
          <w:rFonts w:ascii="David" w:hAnsi="David" w:cs="David"/>
          <w:sz w:val="24"/>
          <w:szCs w:val="24"/>
        </w:rPr>
        <w:t xml:space="preserve"> </w:t>
      </w:r>
      <w:r w:rsidR="000A7E15" w:rsidRPr="00716BD1">
        <w:rPr>
          <w:rFonts w:ascii="David" w:hAnsi="David" w:cs="David"/>
          <w:sz w:val="24"/>
          <w:szCs w:val="24"/>
          <w:rtl/>
        </w:rPr>
        <w:t>כביכול "הפסדו"</w:t>
      </w:r>
      <w:r w:rsidR="000A7E15" w:rsidRPr="00716BD1">
        <w:rPr>
          <w:rFonts w:ascii="David" w:hAnsi="David" w:cs="David"/>
          <w:sz w:val="24"/>
          <w:szCs w:val="24"/>
        </w:rPr>
        <w:t xml:space="preserve"> </w:t>
      </w:r>
      <w:r w:rsidR="000A7E15" w:rsidRPr="00716BD1">
        <w:rPr>
          <w:rFonts w:ascii="David" w:hAnsi="David" w:cs="David"/>
          <w:sz w:val="24"/>
          <w:szCs w:val="24"/>
          <w:rtl/>
        </w:rPr>
        <w:t>של</w:t>
      </w:r>
      <w:r w:rsidR="000A7E15" w:rsidRPr="00716BD1">
        <w:rPr>
          <w:rFonts w:ascii="David" w:hAnsi="David" w:cs="David"/>
          <w:sz w:val="24"/>
          <w:szCs w:val="24"/>
        </w:rPr>
        <w:t xml:space="preserve"> </w:t>
      </w:r>
      <w:r w:rsidR="000A7E15" w:rsidRPr="00716BD1">
        <w:rPr>
          <w:rFonts w:ascii="David" w:hAnsi="David" w:cs="David"/>
          <w:sz w:val="24"/>
          <w:szCs w:val="24"/>
          <w:rtl/>
        </w:rPr>
        <w:t>האחר</w:t>
      </w:r>
      <w:r w:rsidR="00C1512B">
        <w:rPr>
          <w:rFonts w:ascii="David" w:hAnsi="David" w:cs="David" w:hint="cs"/>
          <w:sz w:val="24"/>
          <w:szCs w:val="24"/>
          <w:rtl/>
        </w:rPr>
        <w:t>.</w:t>
      </w:r>
      <w:r w:rsidR="000A7E15">
        <w:rPr>
          <w:rStyle w:val="FootnoteReference"/>
          <w:rFonts w:ascii="David" w:hAnsi="David" w:cs="David"/>
          <w:sz w:val="24"/>
          <w:szCs w:val="24"/>
          <w:rtl/>
        </w:rPr>
        <w:footnoteReference w:id="34"/>
      </w:r>
      <w:r w:rsidR="000A7E15" w:rsidRPr="00716BD1">
        <w:rPr>
          <w:rFonts w:ascii="David" w:hAnsi="David" w:cs="David"/>
          <w:sz w:val="24"/>
          <w:szCs w:val="24"/>
          <w:rtl/>
        </w:rPr>
        <w:t xml:space="preserve"> המשגה</w:t>
      </w:r>
      <w:r w:rsidR="00C1512B">
        <w:rPr>
          <w:rFonts w:ascii="David" w:hAnsi="David" w:cs="David" w:hint="cs"/>
          <w:sz w:val="24"/>
          <w:szCs w:val="24"/>
          <w:rtl/>
        </w:rPr>
        <w:t xml:space="preserve"> זאת</w:t>
      </w:r>
      <w:r w:rsidR="000A7E15" w:rsidRPr="00716BD1">
        <w:rPr>
          <w:rFonts w:ascii="David" w:hAnsi="David" w:cs="David"/>
          <w:sz w:val="24"/>
          <w:szCs w:val="24"/>
          <w:rtl/>
        </w:rPr>
        <w:t xml:space="preserve"> חורה</w:t>
      </w:r>
      <w:r w:rsidR="00C1512B">
        <w:rPr>
          <w:rFonts w:ascii="David" w:hAnsi="David" w:cs="David" w:hint="cs"/>
          <w:sz w:val="24"/>
          <w:szCs w:val="24"/>
          <w:rtl/>
        </w:rPr>
        <w:t>, לא פעם,</w:t>
      </w:r>
      <w:r w:rsidR="000A7E15" w:rsidRPr="00716BD1">
        <w:rPr>
          <w:rFonts w:ascii="David" w:hAnsi="David" w:cs="David"/>
          <w:sz w:val="24"/>
          <w:szCs w:val="24"/>
          <w:rtl/>
        </w:rPr>
        <w:t xml:space="preserve"> למציאות או לפחות פוגעת בשאיפה הנורמטיבית לעצב</w:t>
      </w:r>
      <w:r w:rsidR="004E4F3E">
        <w:rPr>
          <w:rFonts w:ascii="David" w:hAnsi="David" w:cs="David" w:hint="cs"/>
          <w:sz w:val="24"/>
          <w:szCs w:val="24"/>
          <w:rtl/>
        </w:rPr>
        <w:t xml:space="preserve"> את </w:t>
      </w:r>
      <w:r w:rsidR="000A7E15" w:rsidRPr="00716BD1">
        <w:rPr>
          <w:rFonts w:ascii="David" w:hAnsi="David" w:cs="David"/>
          <w:sz w:val="24"/>
          <w:szCs w:val="24"/>
          <w:rtl/>
        </w:rPr>
        <w:t>ה</w:t>
      </w:r>
      <w:r w:rsidR="004E4F3E">
        <w:rPr>
          <w:rFonts w:ascii="David" w:hAnsi="David" w:cs="David" w:hint="cs"/>
          <w:sz w:val="24"/>
          <w:szCs w:val="24"/>
          <w:rtl/>
        </w:rPr>
        <w:t>מציאות</w:t>
      </w:r>
      <w:r w:rsidR="000A7E15" w:rsidRPr="00716BD1">
        <w:rPr>
          <w:rFonts w:ascii="David" w:hAnsi="David" w:cs="David"/>
          <w:sz w:val="24"/>
          <w:szCs w:val="24"/>
          <w:rtl/>
        </w:rPr>
        <w:t xml:space="preserve"> כזירה של שיתוף אינטרסים</w:t>
      </w:r>
      <w:r w:rsidR="002D62D3">
        <w:rPr>
          <w:rFonts w:ascii="David" w:hAnsi="David" w:cs="David" w:hint="cs"/>
          <w:sz w:val="24"/>
          <w:szCs w:val="24"/>
          <w:rtl/>
        </w:rPr>
        <w:t xml:space="preserve"> ולא של קונפליקט</w:t>
      </w:r>
      <w:r w:rsidR="000A7E15" w:rsidRPr="00716BD1">
        <w:rPr>
          <w:rFonts w:ascii="David" w:hAnsi="David" w:cs="David"/>
          <w:sz w:val="24"/>
          <w:szCs w:val="24"/>
          <w:rtl/>
        </w:rPr>
        <w:t>. טעם אחר, חזק יותר, נוגע למישור היחסים שבין ההורה לילד</w:t>
      </w:r>
      <w:r w:rsidR="004E4F3E">
        <w:rPr>
          <w:rFonts w:ascii="David" w:hAnsi="David" w:cs="David" w:hint="cs"/>
          <w:sz w:val="24"/>
          <w:szCs w:val="24"/>
          <w:rtl/>
        </w:rPr>
        <w:t xml:space="preserve"> והיא משתלבת עם הביקורת הכללית המושמעת בשנים ה</w:t>
      </w:r>
      <w:r w:rsidR="00F45F91">
        <w:rPr>
          <w:rFonts w:ascii="David" w:hAnsi="David" w:cs="David" w:hint="cs"/>
          <w:sz w:val="24"/>
          <w:szCs w:val="24"/>
          <w:rtl/>
        </w:rPr>
        <w:t xml:space="preserve">אחרונות כנגד </w:t>
      </w:r>
      <w:r w:rsidR="00AC790C">
        <w:rPr>
          <w:rFonts w:ascii="David" w:hAnsi="David" w:cs="David" w:hint="cs"/>
          <w:sz w:val="24"/>
          <w:szCs w:val="24"/>
          <w:rtl/>
        </w:rPr>
        <w:t xml:space="preserve">התשתית הרעיונית של </w:t>
      </w:r>
      <w:r w:rsidR="004E4F3E">
        <w:rPr>
          <w:rFonts w:ascii="David" w:hAnsi="David" w:cs="David" w:hint="cs"/>
          <w:sz w:val="24"/>
          <w:szCs w:val="24"/>
          <w:rtl/>
        </w:rPr>
        <w:t>זכויות ההורה</w:t>
      </w:r>
      <w:r w:rsidR="000A7E15" w:rsidRPr="00716BD1">
        <w:rPr>
          <w:rFonts w:ascii="David" w:hAnsi="David" w:cs="David"/>
          <w:sz w:val="24"/>
          <w:szCs w:val="24"/>
          <w:rtl/>
        </w:rPr>
        <w:t>.</w:t>
      </w:r>
      <w:r w:rsidR="00854198">
        <w:rPr>
          <w:rStyle w:val="FootnoteReference"/>
          <w:rFonts w:ascii="David" w:hAnsi="David" w:cs="David"/>
          <w:sz w:val="24"/>
          <w:szCs w:val="24"/>
          <w:rtl/>
        </w:rPr>
        <w:footnoteReference w:id="35"/>
      </w:r>
      <w:r w:rsidR="000A7E15" w:rsidRPr="00716BD1">
        <w:rPr>
          <w:rFonts w:ascii="David" w:hAnsi="David" w:cs="David"/>
          <w:sz w:val="24"/>
          <w:szCs w:val="24"/>
          <w:rtl/>
        </w:rPr>
        <w:t xml:space="preserve"> </w:t>
      </w:r>
      <w:r w:rsidR="004E4F3E">
        <w:rPr>
          <w:rFonts w:ascii="David" w:hAnsi="David" w:cs="David" w:hint="cs"/>
          <w:sz w:val="24"/>
          <w:szCs w:val="24"/>
          <w:rtl/>
        </w:rPr>
        <w:t xml:space="preserve">על פי טעם זה, </w:t>
      </w:r>
      <w:r w:rsidR="000A7E15" w:rsidRPr="00716BD1">
        <w:rPr>
          <w:rFonts w:ascii="David" w:hAnsi="David" w:cs="David"/>
          <w:sz w:val="24"/>
          <w:szCs w:val="24"/>
          <w:rtl/>
        </w:rPr>
        <w:t>גם</w:t>
      </w:r>
      <w:r w:rsidR="000A7E15" w:rsidRPr="00716BD1">
        <w:rPr>
          <w:rFonts w:ascii="David" w:hAnsi="David" w:cs="David"/>
          <w:sz w:val="24"/>
          <w:szCs w:val="24"/>
        </w:rPr>
        <w:t xml:space="preserve"> </w:t>
      </w:r>
      <w:r w:rsidR="000A7E15" w:rsidRPr="00716BD1">
        <w:rPr>
          <w:rFonts w:ascii="David" w:hAnsi="David" w:cs="David"/>
          <w:sz w:val="24"/>
          <w:szCs w:val="24"/>
          <w:rtl/>
        </w:rPr>
        <w:t>כאשר</w:t>
      </w:r>
      <w:r w:rsidR="000A7E15" w:rsidRPr="00716BD1">
        <w:rPr>
          <w:rFonts w:ascii="David" w:hAnsi="David" w:cs="David"/>
          <w:sz w:val="24"/>
          <w:szCs w:val="24"/>
        </w:rPr>
        <w:t xml:space="preserve"> </w:t>
      </w:r>
      <w:r w:rsidR="000A7E15" w:rsidRPr="00716BD1">
        <w:rPr>
          <w:rFonts w:ascii="David" w:hAnsi="David" w:cs="David"/>
          <w:sz w:val="24"/>
          <w:szCs w:val="24"/>
          <w:rtl/>
        </w:rPr>
        <w:t>הילד</w:t>
      </w:r>
      <w:r w:rsidR="000A7E15" w:rsidRPr="00716BD1">
        <w:rPr>
          <w:rFonts w:ascii="David" w:hAnsi="David" w:cs="David"/>
          <w:sz w:val="24"/>
          <w:szCs w:val="24"/>
        </w:rPr>
        <w:t xml:space="preserve"> </w:t>
      </w:r>
      <w:r w:rsidR="000A7E15" w:rsidRPr="00716BD1">
        <w:rPr>
          <w:rFonts w:ascii="David" w:hAnsi="David" w:cs="David"/>
          <w:sz w:val="24"/>
          <w:szCs w:val="24"/>
          <w:rtl/>
        </w:rPr>
        <w:t>אינו</w:t>
      </w:r>
      <w:r w:rsidR="000A7E15" w:rsidRPr="00716BD1">
        <w:rPr>
          <w:rFonts w:ascii="David" w:hAnsi="David" w:cs="David"/>
          <w:sz w:val="24"/>
          <w:szCs w:val="24"/>
        </w:rPr>
        <w:t xml:space="preserve"> </w:t>
      </w:r>
      <w:r w:rsidR="000A7E15" w:rsidRPr="00716BD1">
        <w:rPr>
          <w:rFonts w:ascii="David" w:hAnsi="David" w:cs="David"/>
          <w:sz w:val="24"/>
          <w:szCs w:val="24"/>
          <w:rtl/>
        </w:rPr>
        <w:t>מהווה</w:t>
      </w:r>
      <w:r w:rsidR="000A7E15" w:rsidRPr="00716BD1">
        <w:rPr>
          <w:rFonts w:ascii="David" w:hAnsi="David" w:cs="David"/>
          <w:sz w:val="24"/>
          <w:szCs w:val="24"/>
        </w:rPr>
        <w:t xml:space="preserve"> </w:t>
      </w:r>
      <w:r w:rsidR="000A7E15" w:rsidRPr="00716BD1">
        <w:rPr>
          <w:rFonts w:ascii="David" w:hAnsi="David" w:cs="David"/>
          <w:sz w:val="24"/>
          <w:szCs w:val="24"/>
          <w:rtl/>
        </w:rPr>
        <w:t>צד</w:t>
      </w:r>
      <w:r w:rsidR="000A7E15" w:rsidRPr="00716BD1">
        <w:rPr>
          <w:rFonts w:ascii="David" w:hAnsi="David" w:cs="David"/>
          <w:sz w:val="24"/>
          <w:szCs w:val="24"/>
        </w:rPr>
        <w:t xml:space="preserve"> </w:t>
      </w:r>
      <w:r w:rsidR="000A7E15" w:rsidRPr="00716BD1">
        <w:rPr>
          <w:rFonts w:ascii="David" w:hAnsi="David" w:cs="David"/>
          <w:sz w:val="24"/>
          <w:szCs w:val="24"/>
          <w:rtl/>
        </w:rPr>
        <w:t>פורמלי במאבק, הרי שניסוח הפגיעה</w:t>
      </w:r>
      <w:r w:rsidR="004E4F3E">
        <w:rPr>
          <w:rFonts w:ascii="David" w:hAnsi="David" w:cs="David" w:hint="cs"/>
          <w:sz w:val="24"/>
          <w:szCs w:val="24"/>
          <w:rtl/>
        </w:rPr>
        <w:t xml:space="preserve"> הקיימת</w:t>
      </w:r>
      <w:r w:rsidR="000A7E15" w:rsidRPr="00716BD1">
        <w:rPr>
          <w:rFonts w:ascii="David" w:hAnsi="David" w:cs="David"/>
          <w:sz w:val="24"/>
          <w:szCs w:val="24"/>
          <w:rtl/>
        </w:rPr>
        <w:t xml:space="preserve"> כפגיעה בזכויות ההורה, משמעה "זכויות ההורה </w:t>
      </w:r>
      <w:r w:rsidR="000A7E15" w:rsidRPr="00716BD1">
        <w:rPr>
          <w:rFonts w:ascii="David" w:hAnsi="David" w:cs="David"/>
          <w:sz w:val="24"/>
          <w:szCs w:val="24"/>
          <w:u w:val="single"/>
          <w:rtl/>
        </w:rPr>
        <w:t>ב</w:t>
      </w:r>
      <w:r w:rsidR="000A7E15" w:rsidRPr="00716BD1">
        <w:rPr>
          <w:rFonts w:ascii="David" w:hAnsi="David" w:cs="David"/>
          <w:sz w:val="24"/>
          <w:szCs w:val="24"/>
          <w:rtl/>
        </w:rPr>
        <w:t xml:space="preserve">ילד". </w:t>
      </w:r>
      <w:r w:rsidR="00F45F91">
        <w:rPr>
          <w:rFonts w:ascii="David" w:hAnsi="David" w:cs="David" w:hint="cs"/>
          <w:sz w:val="24"/>
          <w:szCs w:val="24"/>
          <w:rtl/>
        </w:rPr>
        <w:t>שימור ה</w:t>
      </w:r>
      <w:r w:rsidR="000A7E15">
        <w:rPr>
          <w:rFonts w:ascii="David" w:hAnsi="David" w:cs="David" w:hint="cs"/>
          <w:sz w:val="24"/>
          <w:szCs w:val="24"/>
          <w:rtl/>
        </w:rPr>
        <w:t xml:space="preserve">קונספט של </w:t>
      </w:r>
      <w:r w:rsidR="000A7E15" w:rsidRPr="00716BD1">
        <w:rPr>
          <w:rFonts w:ascii="David" w:hAnsi="David" w:cs="David"/>
          <w:sz w:val="24"/>
          <w:szCs w:val="24"/>
          <w:rtl/>
        </w:rPr>
        <w:t xml:space="preserve">זכויות </w:t>
      </w:r>
      <w:r w:rsidR="000A7E15">
        <w:rPr>
          <w:rFonts w:ascii="David" w:hAnsi="David" w:cs="David" w:hint="cs"/>
          <w:sz w:val="24"/>
          <w:szCs w:val="24"/>
          <w:rtl/>
        </w:rPr>
        <w:t xml:space="preserve">(הורה) </w:t>
      </w:r>
      <w:r w:rsidR="000A7E15" w:rsidRPr="00716BD1">
        <w:rPr>
          <w:rFonts w:ascii="David" w:hAnsi="David" w:cs="David"/>
          <w:sz w:val="24"/>
          <w:szCs w:val="24"/>
          <w:u w:val="single"/>
          <w:rtl/>
        </w:rPr>
        <w:t>ב</w:t>
      </w:r>
      <w:r w:rsidR="000A7E15" w:rsidRPr="00716BD1">
        <w:rPr>
          <w:rFonts w:ascii="David" w:hAnsi="David" w:cs="David"/>
          <w:sz w:val="24"/>
          <w:szCs w:val="24"/>
          <w:rtl/>
        </w:rPr>
        <w:t xml:space="preserve">ילד מקטין אותו וממשיג אותו כמושא </w:t>
      </w:r>
      <w:r w:rsidR="000A7E15" w:rsidRPr="00854198">
        <w:rPr>
          <w:rFonts w:ascii="David" w:hAnsi="David" w:cs="David"/>
          <w:sz w:val="24"/>
          <w:szCs w:val="24"/>
          <w:u w:val="single"/>
          <w:rtl/>
        </w:rPr>
        <w:t>לבעלות</w:t>
      </w:r>
      <w:r w:rsidR="000A7E15" w:rsidRPr="00716BD1">
        <w:rPr>
          <w:rFonts w:ascii="David" w:hAnsi="David" w:cs="David"/>
          <w:sz w:val="24"/>
          <w:szCs w:val="24"/>
          <w:rtl/>
        </w:rPr>
        <w:t xml:space="preserve"> של ההורה. </w:t>
      </w:r>
      <w:r w:rsidR="000A7E15">
        <w:rPr>
          <w:rStyle w:val="Hyperlink"/>
          <w:rFonts w:asciiTheme="majorBidi" w:hAnsiTheme="majorBidi" w:cs="David" w:hint="cs"/>
          <w:color w:val="auto"/>
          <w:sz w:val="24"/>
          <w:szCs w:val="24"/>
          <w:u w:val="none"/>
          <w:rtl/>
        </w:rPr>
        <w:t xml:space="preserve">הפנייה לאמונאות היא דרך מוצלחת, לדעתי, להימנע מן הביקורת הכרוכה בהתמקדות </w:t>
      </w:r>
      <w:r w:rsidR="000A7E15" w:rsidRPr="003B36DD">
        <w:rPr>
          <w:rStyle w:val="Hyperlink"/>
          <w:rFonts w:asciiTheme="majorBidi" w:hAnsiTheme="majorBidi" w:cs="David" w:hint="cs"/>
          <w:color w:val="auto"/>
          <w:sz w:val="24"/>
          <w:szCs w:val="24"/>
          <w:u w:val="none"/>
          <w:rtl/>
        </w:rPr>
        <w:t>בהורה ובזכויותיו.</w:t>
      </w:r>
      <w:r w:rsidR="000A7E15" w:rsidRPr="003B36DD">
        <w:rPr>
          <w:rStyle w:val="FootnoteReference"/>
          <w:rFonts w:asciiTheme="majorBidi" w:hAnsiTheme="majorBidi" w:cs="David"/>
          <w:sz w:val="24"/>
          <w:szCs w:val="24"/>
          <w:rtl/>
        </w:rPr>
        <w:footnoteReference w:id="36"/>
      </w:r>
      <w:r w:rsidR="000A7E15">
        <w:rPr>
          <w:rStyle w:val="Hyperlink"/>
          <w:rFonts w:asciiTheme="majorBidi" w:hAnsiTheme="majorBidi" w:cs="David" w:hint="cs"/>
          <w:color w:val="auto"/>
          <w:sz w:val="24"/>
          <w:szCs w:val="24"/>
          <w:u w:val="none"/>
          <w:rtl/>
        </w:rPr>
        <w:t xml:space="preserve"> </w:t>
      </w:r>
    </w:p>
    <w:p w14:paraId="4A5E5DC8" w14:textId="2983E2E4" w:rsidR="00FE230A" w:rsidRDefault="000A7E15" w:rsidP="00AC790C">
      <w:pPr>
        <w:pStyle w:val="ListParagraph"/>
        <w:spacing w:line="480" w:lineRule="auto"/>
        <w:ind w:left="0"/>
        <w:jc w:val="both"/>
        <w:rPr>
          <w:rStyle w:val="Hyperlink"/>
          <w:rFonts w:asciiTheme="majorBidi" w:hAnsiTheme="majorBidi" w:cs="David"/>
          <w:color w:val="auto"/>
          <w:sz w:val="24"/>
          <w:szCs w:val="24"/>
          <w:u w:val="none"/>
        </w:rPr>
      </w:pPr>
      <w:r>
        <w:rPr>
          <w:rStyle w:val="Hyperlink"/>
          <w:rFonts w:asciiTheme="majorBidi" w:hAnsiTheme="majorBidi" w:cs="David" w:hint="cs"/>
          <w:color w:val="auto"/>
          <w:sz w:val="24"/>
          <w:szCs w:val="24"/>
          <w:u w:val="none"/>
          <w:rtl/>
        </w:rPr>
        <w:t xml:space="preserve">החלופה השנייה, התואמת את המגמות </w:t>
      </w:r>
      <w:r w:rsidR="00F45F91">
        <w:rPr>
          <w:rStyle w:val="Hyperlink"/>
          <w:rFonts w:asciiTheme="majorBidi" w:hAnsiTheme="majorBidi" w:cs="David" w:hint="cs"/>
          <w:color w:val="auto"/>
          <w:sz w:val="24"/>
          <w:szCs w:val="24"/>
          <w:u w:val="none"/>
          <w:rtl/>
        </w:rPr>
        <w:t>העכשוויות</w:t>
      </w:r>
      <w:r>
        <w:rPr>
          <w:rStyle w:val="Hyperlink"/>
          <w:rFonts w:asciiTheme="majorBidi" w:hAnsiTheme="majorBidi" w:cs="David" w:hint="cs"/>
          <w:color w:val="auto"/>
          <w:sz w:val="24"/>
          <w:szCs w:val="24"/>
          <w:u w:val="none"/>
          <w:rtl/>
        </w:rPr>
        <w:t xml:space="preserve"> להעמיד את הילד במרכז, </w:t>
      </w:r>
      <w:r w:rsidR="002002A8">
        <w:rPr>
          <w:rStyle w:val="Hyperlink"/>
          <w:rFonts w:asciiTheme="majorBidi" w:hAnsiTheme="majorBidi" w:cs="David" w:hint="cs"/>
          <w:color w:val="auto"/>
          <w:sz w:val="24"/>
          <w:szCs w:val="24"/>
          <w:u w:val="none"/>
          <w:rtl/>
        </w:rPr>
        <w:t>יכולה</w:t>
      </w:r>
      <w:r w:rsidR="00A5317F">
        <w:rPr>
          <w:rStyle w:val="Hyperlink"/>
          <w:rFonts w:asciiTheme="majorBidi" w:hAnsiTheme="majorBidi" w:cs="David" w:hint="cs"/>
          <w:color w:val="auto"/>
          <w:sz w:val="24"/>
          <w:szCs w:val="24"/>
          <w:u w:val="none"/>
          <w:rtl/>
        </w:rPr>
        <w:t xml:space="preserve"> לתקוף את הקונפליקט הפוטנציאלי בין ההורה החורג להורה</w:t>
      </w:r>
      <w:r w:rsidR="00B34B5C">
        <w:rPr>
          <w:rStyle w:val="Hyperlink"/>
          <w:rFonts w:asciiTheme="majorBidi" w:hAnsiTheme="majorBidi" w:cs="David" w:hint="cs"/>
          <w:color w:val="auto"/>
          <w:sz w:val="24"/>
          <w:szCs w:val="24"/>
          <w:u w:val="none"/>
          <w:rtl/>
        </w:rPr>
        <w:t xml:space="preserve"> הלא משמורן</w:t>
      </w:r>
      <w:r w:rsidR="00A5317F">
        <w:rPr>
          <w:rStyle w:val="Hyperlink"/>
          <w:rFonts w:asciiTheme="majorBidi" w:hAnsiTheme="majorBidi" w:cs="David" w:hint="cs"/>
          <w:color w:val="auto"/>
          <w:sz w:val="24"/>
          <w:szCs w:val="24"/>
          <w:u w:val="none"/>
          <w:rtl/>
        </w:rPr>
        <w:t xml:space="preserve"> מן הזו</w:t>
      </w:r>
      <w:r w:rsidR="002002A8">
        <w:rPr>
          <w:rStyle w:val="Hyperlink"/>
          <w:rFonts w:asciiTheme="majorBidi" w:hAnsiTheme="majorBidi" w:cs="David" w:hint="cs"/>
          <w:color w:val="auto"/>
          <w:sz w:val="24"/>
          <w:szCs w:val="24"/>
          <w:u w:val="none"/>
          <w:rtl/>
        </w:rPr>
        <w:t>ו</w:t>
      </w:r>
      <w:r w:rsidR="00A5317F">
        <w:rPr>
          <w:rStyle w:val="Hyperlink"/>
          <w:rFonts w:asciiTheme="majorBidi" w:hAnsiTheme="majorBidi" w:cs="David" w:hint="cs"/>
          <w:color w:val="auto"/>
          <w:sz w:val="24"/>
          <w:szCs w:val="24"/>
          <w:u w:val="none"/>
          <w:rtl/>
        </w:rPr>
        <w:t>ית של טובת הילד. גישה זאת תנסה לבסס</w:t>
      </w:r>
      <w:r w:rsidR="00262CFD">
        <w:rPr>
          <w:rStyle w:val="Hyperlink"/>
          <w:rFonts w:asciiTheme="majorBidi" w:hAnsiTheme="majorBidi" w:cs="David" w:hint="cs"/>
          <w:color w:val="auto"/>
          <w:sz w:val="24"/>
          <w:szCs w:val="24"/>
          <w:u w:val="none"/>
          <w:rtl/>
        </w:rPr>
        <w:t xml:space="preserve"> סטנדרט של התנהגות ראוי</w:t>
      </w:r>
      <w:r w:rsidR="002155E3">
        <w:rPr>
          <w:rStyle w:val="Hyperlink"/>
          <w:rFonts w:asciiTheme="majorBidi" w:hAnsiTheme="majorBidi" w:cs="David" w:hint="cs"/>
          <w:color w:val="auto"/>
          <w:sz w:val="24"/>
          <w:szCs w:val="24"/>
          <w:u w:val="none"/>
          <w:rtl/>
        </w:rPr>
        <w:t>ה</w:t>
      </w:r>
      <w:r w:rsidR="00262CFD">
        <w:rPr>
          <w:rStyle w:val="Hyperlink"/>
          <w:rFonts w:asciiTheme="majorBidi" w:hAnsiTheme="majorBidi" w:cs="David" w:hint="cs"/>
          <w:color w:val="auto"/>
          <w:sz w:val="24"/>
          <w:szCs w:val="24"/>
          <w:u w:val="none"/>
          <w:rtl/>
        </w:rPr>
        <w:t xml:space="preserve"> בין ההורה החורג להורה </w:t>
      </w:r>
      <w:r w:rsidR="00AC790C">
        <w:rPr>
          <w:rStyle w:val="Hyperlink"/>
          <w:rFonts w:asciiTheme="majorBidi" w:hAnsiTheme="majorBidi" w:cs="David" w:hint="cs"/>
          <w:color w:val="auto"/>
          <w:sz w:val="24"/>
          <w:szCs w:val="24"/>
          <w:u w:val="none"/>
          <w:rtl/>
        </w:rPr>
        <w:t>הלא משמורן</w:t>
      </w:r>
      <w:r w:rsidR="00A5317F">
        <w:rPr>
          <w:rStyle w:val="Hyperlink"/>
          <w:rFonts w:asciiTheme="majorBidi" w:hAnsiTheme="majorBidi" w:cs="David" w:hint="cs"/>
          <w:color w:val="auto"/>
          <w:sz w:val="24"/>
          <w:szCs w:val="24"/>
          <w:u w:val="none"/>
          <w:rtl/>
        </w:rPr>
        <w:t xml:space="preserve"> מתוך הזווית של הילד ועל בסיס </w:t>
      </w:r>
      <w:r w:rsidR="00632AD5">
        <w:rPr>
          <w:rStyle w:val="Hyperlink"/>
          <w:rFonts w:asciiTheme="majorBidi" w:hAnsiTheme="majorBidi" w:cs="David" w:hint="cs"/>
          <w:color w:val="auto"/>
          <w:sz w:val="24"/>
          <w:szCs w:val="24"/>
          <w:u w:val="none"/>
          <w:rtl/>
        </w:rPr>
        <w:t>השמירה על טובתו</w:t>
      </w:r>
      <w:r w:rsidR="00A5317F">
        <w:rPr>
          <w:rStyle w:val="Hyperlink"/>
          <w:rFonts w:asciiTheme="majorBidi" w:hAnsiTheme="majorBidi" w:cs="David" w:hint="cs"/>
          <w:color w:val="auto"/>
          <w:sz w:val="24"/>
          <w:szCs w:val="24"/>
          <w:u w:val="none"/>
          <w:rtl/>
        </w:rPr>
        <w:t xml:space="preserve">. </w:t>
      </w:r>
      <w:r w:rsidR="005A218A">
        <w:rPr>
          <w:rStyle w:val="Hyperlink"/>
          <w:rFonts w:asciiTheme="majorBidi" w:hAnsiTheme="majorBidi" w:cs="David" w:hint="cs"/>
          <w:color w:val="auto"/>
          <w:sz w:val="24"/>
          <w:szCs w:val="24"/>
          <w:u w:val="none"/>
          <w:rtl/>
        </w:rPr>
        <w:t xml:space="preserve">כך למשל, ובקיצור רב, ניתן לומר </w:t>
      </w:r>
      <w:r w:rsidR="002002A8">
        <w:rPr>
          <w:rStyle w:val="Hyperlink"/>
          <w:rFonts w:asciiTheme="majorBidi" w:hAnsiTheme="majorBidi" w:cs="David" w:hint="cs"/>
          <w:color w:val="auto"/>
          <w:sz w:val="24"/>
          <w:szCs w:val="24"/>
          <w:u w:val="none"/>
          <w:rtl/>
        </w:rPr>
        <w:t xml:space="preserve">כי ברוב המכריע של המקרים טובת הילד </w:t>
      </w:r>
      <w:r w:rsidR="005A218A">
        <w:rPr>
          <w:rStyle w:val="Hyperlink"/>
          <w:rFonts w:asciiTheme="majorBidi" w:hAnsiTheme="majorBidi" w:cs="David" w:hint="cs"/>
          <w:color w:val="auto"/>
          <w:sz w:val="24"/>
          <w:szCs w:val="24"/>
          <w:u w:val="none"/>
          <w:rtl/>
        </w:rPr>
        <w:t xml:space="preserve">מכתיבה שלא יהיה חשוף להסתה נגד </w:t>
      </w:r>
      <w:r w:rsidR="00F45F91">
        <w:rPr>
          <w:rStyle w:val="Hyperlink"/>
          <w:rFonts w:asciiTheme="majorBidi" w:hAnsiTheme="majorBidi" w:cs="David" w:hint="cs"/>
          <w:color w:val="auto"/>
          <w:sz w:val="24"/>
          <w:szCs w:val="24"/>
          <w:u w:val="none"/>
          <w:rtl/>
        </w:rPr>
        <w:t>ה</w:t>
      </w:r>
      <w:r w:rsidR="005A218A">
        <w:rPr>
          <w:rStyle w:val="Hyperlink"/>
          <w:rFonts w:asciiTheme="majorBidi" w:hAnsiTheme="majorBidi" w:cs="David" w:hint="cs"/>
          <w:color w:val="auto"/>
          <w:sz w:val="24"/>
          <w:szCs w:val="24"/>
          <w:u w:val="none"/>
          <w:rtl/>
        </w:rPr>
        <w:t>הורה</w:t>
      </w:r>
      <w:r w:rsidR="00AC790C">
        <w:rPr>
          <w:rStyle w:val="Hyperlink"/>
          <w:rFonts w:asciiTheme="majorBidi" w:hAnsiTheme="majorBidi" w:cs="David" w:hint="cs"/>
          <w:color w:val="auto"/>
          <w:sz w:val="24"/>
          <w:szCs w:val="24"/>
          <w:u w:val="none"/>
          <w:rtl/>
        </w:rPr>
        <w:t xml:space="preserve"> הלא משמורן</w:t>
      </w:r>
      <w:r w:rsidR="005A218A">
        <w:rPr>
          <w:rStyle w:val="Hyperlink"/>
          <w:rFonts w:asciiTheme="majorBidi" w:hAnsiTheme="majorBidi" w:cs="David" w:hint="cs"/>
          <w:color w:val="auto"/>
          <w:sz w:val="24"/>
          <w:szCs w:val="24"/>
          <w:u w:val="none"/>
          <w:rtl/>
        </w:rPr>
        <w:t xml:space="preserve"> (קרי, לדיבור פוגעני, חסר בסיס המשמיץ אותו) וכי ישמור איתו על קשר טוב ומשמעותי. במובן זה ניתן לחלץ סעדים אשר יגנו על אינטרסים אלה על בסיס "טובת הילד" שהוא ערך מרכזי </w:t>
      </w:r>
      <w:r w:rsidR="00B15263">
        <w:rPr>
          <w:rStyle w:val="Hyperlink"/>
          <w:rFonts w:asciiTheme="majorBidi" w:hAnsiTheme="majorBidi" w:cs="David" w:hint="cs"/>
          <w:color w:val="auto"/>
          <w:sz w:val="24"/>
          <w:szCs w:val="24"/>
          <w:u w:val="none"/>
          <w:rtl/>
        </w:rPr>
        <w:t>בדיני המשפחה</w:t>
      </w:r>
      <w:r w:rsidR="005A218A">
        <w:rPr>
          <w:rStyle w:val="Hyperlink"/>
          <w:rFonts w:asciiTheme="majorBidi" w:hAnsiTheme="majorBidi" w:cs="David" w:hint="cs"/>
          <w:color w:val="auto"/>
          <w:sz w:val="24"/>
          <w:szCs w:val="24"/>
          <w:u w:val="none"/>
          <w:rtl/>
        </w:rPr>
        <w:t>.</w:t>
      </w:r>
      <w:r w:rsidR="00F45F91">
        <w:rPr>
          <w:rStyle w:val="FootnoteReference"/>
          <w:rFonts w:asciiTheme="majorBidi" w:hAnsiTheme="majorBidi" w:cs="David"/>
          <w:sz w:val="24"/>
          <w:szCs w:val="24"/>
          <w:rtl/>
        </w:rPr>
        <w:footnoteReference w:id="37"/>
      </w:r>
      <w:r w:rsidR="005A218A">
        <w:rPr>
          <w:rStyle w:val="Hyperlink"/>
          <w:rFonts w:asciiTheme="majorBidi" w:hAnsiTheme="majorBidi" w:cs="David" w:hint="cs"/>
          <w:color w:val="auto"/>
          <w:sz w:val="24"/>
          <w:szCs w:val="24"/>
          <w:u w:val="none"/>
          <w:rtl/>
        </w:rPr>
        <w:t xml:space="preserve"> </w:t>
      </w:r>
      <w:r w:rsidR="002002A8">
        <w:rPr>
          <w:rStyle w:val="Hyperlink"/>
          <w:rFonts w:asciiTheme="majorBidi" w:hAnsiTheme="majorBidi" w:cs="David" w:hint="cs"/>
          <w:color w:val="auto"/>
          <w:sz w:val="24"/>
          <w:szCs w:val="24"/>
          <w:u w:val="none"/>
          <w:rtl/>
        </w:rPr>
        <w:t xml:space="preserve"> </w:t>
      </w:r>
    </w:p>
    <w:p w14:paraId="21409248" w14:textId="5859A4CF" w:rsidR="00B15263" w:rsidRDefault="005A218A" w:rsidP="002155E3">
      <w:pPr>
        <w:pStyle w:val="ListParagraph"/>
        <w:spacing w:line="480" w:lineRule="auto"/>
        <w:ind w:left="0"/>
        <w:jc w:val="both"/>
        <w:rPr>
          <w:rStyle w:val="Hyperlink"/>
          <w:rFonts w:asciiTheme="majorBidi" w:hAnsiTheme="majorBidi" w:cs="David"/>
          <w:color w:val="auto"/>
          <w:sz w:val="24"/>
          <w:szCs w:val="24"/>
          <w:u w:val="none"/>
          <w:rtl/>
        </w:rPr>
      </w:pPr>
      <w:r>
        <w:rPr>
          <w:rStyle w:val="Hyperlink"/>
          <w:rFonts w:asciiTheme="majorBidi" w:hAnsiTheme="majorBidi" w:cs="David" w:hint="cs"/>
          <w:color w:val="auto"/>
          <w:sz w:val="24"/>
          <w:szCs w:val="24"/>
          <w:u w:val="none"/>
          <w:rtl/>
        </w:rPr>
        <w:t xml:space="preserve">ואולם, </w:t>
      </w:r>
      <w:r w:rsidR="00AC790C">
        <w:rPr>
          <w:rStyle w:val="Hyperlink"/>
          <w:rFonts w:asciiTheme="majorBidi" w:hAnsiTheme="majorBidi" w:cs="David" w:hint="cs"/>
          <w:color w:val="auto"/>
          <w:sz w:val="24"/>
          <w:szCs w:val="24"/>
          <w:u w:val="none"/>
          <w:rtl/>
        </w:rPr>
        <w:t xml:space="preserve">אף </w:t>
      </w:r>
      <w:r w:rsidR="00A5317F">
        <w:rPr>
          <w:rStyle w:val="Hyperlink"/>
          <w:rFonts w:asciiTheme="majorBidi" w:hAnsiTheme="majorBidi" w:cs="David" w:hint="cs"/>
          <w:color w:val="auto"/>
          <w:sz w:val="24"/>
          <w:szCs w:val="24"/>
          <w:u w:val="none"/>
          <w:rtl/>
        </w:rPr>
        <w:t xml:space="preserve">תשתית זאת בעייתית בשל כמה טעמים, ראשית, וטעם זה הוא עקרוני, הסתמכות על טובת הילד אינה מייצרת קנה מידה </w:t>
      </w:r>
      <w:r w:rsidR="00532C3D">
        <w:rPr>
          <w:rStyle w:val="Hyperlink"/>
          <w:rFonts w:asciiTheme="majorBidi" w:hAnsiTheme="majorBidi" w:cs="David" w:hint="cs"/>
          <w:color w:val="auto"/>
          <w:sz w:val="24"/>
          <w:szCs w:val="24"/>
          <w:u w:val="none"/>
          <w:rtl/>
        </w:rPr>
        <w:t xml:space="preserve">נורמטיבי </w:t>
      </w:r>
      <w:r w:rsidR="00A5317F">
        <w:rPr>
          <w:rStyle w:val="Hyperlink"/>
          <w:rFonts w:asciiTheme="majorBidi" w:hAnsiTheme="majorBidi" w:cs="David" w:hint="cs"/>
          <w:color w:val="auto"/>
          <w:sz w:val="24"/>
          <w:szCs w:val="24"/>
          <w:u w:val="none"/>
          <w:rtl/>
        </w:rPr>
        <w:t>ברור וודאי.</w:t>
      </w:r>
      <w:r w:rsidR="00753ECC">
        <w:rPr>
          <w:rStyle w:val="FootnoteReference"/>
          <w:rFonts w:asciiTheme="majorBidi" w:hAnsiTheme="majorBidi" w:cs="David"/>
          <w:sz w:val="24"/>
          <w:szCs w:val="24"/>
          <w:rtl/>
        </w:rPr>
        <w:footnoteReference w:id="38"/>
      </w:r>
      <w:r w:rsidR="00A5317F">
        <w:rPr>
          <w:rStyle w:val="Hyperlink"/>
          <w:rFonts w:asciiTheme="majorBidi" w:hAnsiTheme="majorBidi" w:cs="David" w:hint="cs"/>
          <w:color w:val="auto"/>
          <w:sz w:val="24"/>
          <w:szCs w:val="24"/>
          <w:u w:val="none"/>
          <w:rtl/>
        </w:rPr>
        <w:t xml:space="preserve"> עקרון טובת הילד הינו עקרון עמום והשימוש בו</w:t>
      </w:r>
      <w:r w:rsidR="007854AB">
        <w:rPr>
          <w:rStyle w:val="Hyperlink"/>
          <w:rFonts w:asciiTheme="majorBidi" w:hAnsiTheme="majorBidi" w:cs="David" w:hint="cs"/>
          <w:color w:val="auto"/>
          <w:sz w:val="24"/>
          <w:szCs w:val="24"/>
          <w:u w:val="none"/>
          <w:rtl/>
        </w:rPr>
        <w:t xml:space="preserve">, </w:t>
      </w:r>
      <w:r w:rsidR="00532C3D">
        <w:rPr>
          <w:rStyle w:val="Hyperlink"/>
          <w:rFonts w:asciiTheme="majorBidi" w:hAnsiTheme="majorBidi" w:cs="David" w:hint="cs"/>
          <w:color w:val="auto"/>
          <w:sz w:val="24"/>
          <w:szCs w:val="24"/>
          <w:u w:val="none"/>
          <w:rtl/>
        </w:rPr>
        <w:t xml:space="preserve">כפי שכבר </w:t>
      </w:r>
      <w:r w:rsidR="00B15263">
        <w:rPr>
          <w:rStyle w:val="Hyperlink"/>
          <w:rFonts w:asciiTheme="majorBidi" w:hAnsiTheme="majorBidi" w:cs="David" w:hint="cs"/>
          <w:color w:val="auto"/>
          <w:sz w:val="24"/>
          <w:szCs w:val="24"/>
          <w:u w:val="none"/>
          <w:rtl/>
        </w:rPr>
        <w:t xml:space="preserve">נטען </w:t>
      </w:r>
      <w:r w:rsidR="007854AB">
        <w:rPr>
          <w:rStyle w:val="Hyperlink"/>
          <w:rFonts w:asciiTheme="majorBidi" w:hAnsiTheme="majorBidi" w:cs="David" w:hint="cs"/>
          <w:color w:val="auto"/>
          <w:sz w:val="24"/>
          <w:szCs w:val="24"/>
          <w:u w:val="none"/>
          <w:rtl/>
        </w:rPr>
        <w:t>בספרות,</w:t>
      </w:r>
      <w:r w:rsidR="00A5317F">
        <w:rPr>
          <w:rStyle w:val="Hyperlink"/>
          <w:rFonts w:asciiTheme="majorBidi" w:hAnsiTheme="majorBidi" w:cs="David" w:hint="cs"/>
          <w:color w:val="auto"/>
          <w:sz w:val="24"/>
          <w:szCs w:val="24"/>
          <w:u w:val="none"/>
          <w:rtl/>
        </w:rPr>
        <w:t xml:space="preserve"> </w:t>
      </w:r>
      <w:r w:rsidR="00757484">
        <w:rPr>
          <w:rStyle w:val="Hyperlink"/>
          <w:rFonts w:asciiTheme="majorBidi" w:hAnsiTheme="majorBidi" w:cs="David" w:hint="cs"/>
          <w:color w:val="auto"/>
          <w:sz w:val="24"/>
          <w:szCs w:val="24"/>
          <w:u w:val="none"/>
          <w:rtl/>
        </w:rPr>
        <w:t>עלול</w:t>
      </w:r>
      <w:r w:rsidR="00A5317F">
        <w:rPr>
          <w:rStyle w:val="Hyperlink"/>
          <w:rFonts w:asciiTheme="majorBidi" w:hAnsiTheme="majorBidi" w:cs="David" w:hint="cs"/>
          <w:color w:val="auto"/>
          <w:sz w:val="24"/>
          <w:szCs w:val="24"/>
          <w:u w:val="none"/>
          <w:rtl/>
        </w:rPr>
        <w:t xml:space="preserve"> </w:t>
      </w:r>
      <w:r w:rsidR="00532C3D">
        <w:rPr>
          <w:rStyle w:val="Hyperlink"/>
          <w:rFonts w:asciiTheme="majorBidi" w:hAnsiTheme="majorBidi" w:cs="David" w:hint="cs"/>
          <w:color w:val="auto"/>
          <w:sz w:val="24"/>
          <w:szCs w:val="24"/>
          <w:u w:val="none"/>
          <w:rtl/>
        </w:rPr>
        <w:t xml:space="preserve">אף </w:t>
      </w:r>
      <w:r w:rsidR="00A5317F">
        <w:rPr>
          <w:rStyle w:val="Hyperlink"/>
          <w:rFonts w:asciiTheme="majorBidi" w:hAnsiTheme="majorBidi" w:cs="David" w:hint="cs"/>
          <w:color w:val="auto"/>
          <w:sz w:val="24"/>
          <w:szCs w:val="24"/>
          <w:u w:val="none"/>
          <w:rtl/>
        </w:rPr>
        <w:t>להיות</w:t>
      </w:r>
      <w:r w:rsidR="00757484">
        <w:rPr>
          <w:rStyle w:val="Hyperlink"/>
          <w:rFonts w:asciiTheme="majorBidi" w:hAnsiTheme="majorBidi" w:cs="David" w:hint="cs"/>
          <w:color w:val="auto"/>
          <w:sz w:val="24"/>
          <w:szCs w:val="24"/>
          <w:u w:val="none"/>
          <w:rtl/>
        </w:rPr>
        <w:t xml:space="preserve"> מניפולטיבי.</w:t>
      </w:r>
      <w:r w:rsidR="00A06962">
        <w:rPr>
          <w:rStyle w:val="FootnoteReference"/>
          <w:rFonts w:asciiTheme="majorBidi" w:hAnsiTheme="majorBidi" w:cs="David"/>
          <w:sz w:val="24"/>
          <w:szCs w:val="24"/>
          <w:rtl/>
        </w:rPr>
        <w:footnoteReference w:id="39"/>
      </w:r>
      <w:r w:rsidR="00757484">
        <w:rPr>
          <w:rStyle w:val="Hyperlink"/>
          <w:rFonts w:asciiTheme="majorBidi" w:hAnsiTheme="majorBidi" w:cs="David" w:hint="cs"/>
          <w:color w:val="auto"/>
          <w:sz w:val="24"/>
          <w:szCs w:val="24"/>
          <w:u w:val="none"/>
          <w:rtl/>
        </w:rPr>
        <w:t xml:space="preserve"> לגופו של עניין, </w:t>
      </w:r>
      <w:r w:rsidR="00FF2F4D">
        <w:rPr>
          <w:rStyle w:val="Hyperlink"/>
          <w:rFonts w:asciiTheme="majorBidi" w:hAnsiTheme="majorBidi" w:cs="David" w:hint="cs"/>
          <w:color w:val="auto"/>
          <w:sz w:val="24"/>
          <w:szCs w:val="24"/>
          <w:u w:val="none"/>
          <w:rtl/>
        </w:rPr>
        <w:t xml:space="preserve">וזהו הטעם השני, </w:t>
      </w:r>
      <w:r w:rsidR="00757484">
        <w:rPr>
          <w:rStyle w:val="Hyperlink"/>
          <w:rFonts w:asciiTheme="majorBidi" w:hAnsiTheme="majorBidi" w:cs="David" w:hint="cs"/>
          <w:color w:val="auto"/>
          <w:sz w:val="24"/>
          <w:szCs w:val="24"/>
          <w:u w:val="none"/>
          <w:rtl/>
        </w:rPr>
        <w:t xml:space="preserve">נראה כי אפשר וצריך להפריד בין האינטרס ההורי </w:t>
      </w:r>
      <w:r w:rsidR="00757484">
        <w:rPr>
          <w:rStyle w:val="Hyperlink"/>
          <w:rFonts w:asciiTheme="majorBidi" w:hAnsiTheme="majorBidi" w:cs="David"/>
          <w:color w:val="auto"/>
          <w:sz w:val="24"/>
          <w:szCs w:val="24"/>
          <w:u w:val="none"/>
          <w:rtl/>
        </w:rPr>
        <w:t>–</w:t>
      </w:r>
      <w:r w:rsidR="00757484">
        <w:rPr>
          <w:rStyle w:val="Hyperlink"/>
          <w:rFonts w:asciiTheme="majorBidi" w:hAnsiTheme="majorBidi" w:cs="David" w:hint="cs"/>
          <w:color w:val="auto"/>
          <w:sz w:val="24"/>
          <w:szCs w:val="24"/>
          <w:u w:val="none"/>
          <w:rtl/>
        </w:rPr>
        <w:t xml:space="preserve"> האינטרס של ההורה </w:t>
      </w:r>
      <w:r w:rsidR="00AC790C">
        <w:rPr>
          <w:rStyle w:val="Hyperlink"/>
          <w:rFonts w:asciiTheme="majorBidi" w:hAnsiTheme="majorBidi" w:cs="David" w:hint="cs"/>
          <w:color w:val="auto"/>
          <w:sz w:val="24"/>
          <w:szCs w:val="24"/>
          <w:u w:val="none"/>
          <w:rtl/>
        </w:rPr>
        <w:t>הלא משמורן</w:t>
      </w:r>
      <w:r w:rsidR="00757484">
        <w:rPr>
          <w:rStyle w:val="Hyperlink"/>
          <w:rFonts w:asciiTheme="majorBidi" w:hAnsiTheme="majorBidi" w:cs="David" w:hint="cs"/>
          <w:color w:val="auto"/>
          <w:sz w:val="24"/>
          <w:szCs w:val="24"/>
          <w:u w:val="none"/>
          <w:rtl/>
        </w:rPr>
        <w:t xml:space="preserve"> להגנה על הקשר בינו לבין ילדו כשהוא כשלעצמו</w:t>
      </w:r>
      <w:r w:rsidR="00A06962">
        <w:rPr>
          <w:rStyle w:val="Hyperlink"/>
          <w:rFonts w:asciiTheme="majorBidi" w:hAnsiTheme="majorBidi" w:cs="David" w:hint="cs"/>
          <w:color w:val="auto"/>
          <w:sz w:val="24"/>
          <w:szCs w:val="24"/>
          <w:u w:val="none"/>
          <w:rtl/>
        </w:rPr>
        <w:t xml:space="preserve"> </w:t>
      </w:r>
      <w:r w:rsidR="00FF2F4D">
        <w:rPr>
          <w:rStyle w:val="Hyperlink"/>
          <w:rFonts w:asciiTheme="majorBidi" w:hAnsiTheme="majorBidi" w:cs="David"/>
          <w:color w:val="auto"/>
          <w:sz w:val="24"/>
          <w:szCs w:val="24"/>
          <w:u w:val="none"/>
          <w:rtl/>
        </w:rPr>
        <w:t>–</w:t>
      </w:r>
      <w:r w:rsidR="00FF2F4D">
        <w:rPr>
          <w:rStyle w:val="Hyperlink"/>
          <w:rFonts w:asciiTheme="majorBidi" w:hAnsiTheme="majorBidi" w:cs="David" w:hint="cs"/>
          <w:color w:val="auto"/>
          <w:sz w:val="24"/>
          <w:szCs w:val="24"/>
          <w:u w:val="none"/>
          <w:rtl/>
        </w:rPr>
        <w:t xml:space="preserve"> </w:t>
      </w:r>
      <w:r w:rsidR="00A06962">
        <w:rPr>
          <w:rStyle w:val="Hyperlink"/>
          <w:rFonts w:asciiTheme="majorBidi" w:hAnsiTheme="majorBidi" w:cs="David" w:hint="cs"/>
          <w:color w:val="auto"/>
          <w:sz w:val="24"/>
          <w:szCs w:val="24"/>
          <w:u w:val="none"/>
          <w:rtl/>
        </w:rPr>
        <w:t>לבין אינטרס הילד</w:t>
      </w:r>
      <w:r w:rsidR="00632AD5">
        <w:rPr>
          <w:rStyle w:val="Hyperlink"/>
          <w:rFonts w:asciiTheme="majorBidi" w:hAnsiTheme="majorBidi" w:cs="David" w:hint="cs"/>
          <w:color w:val="auto"/>
          <w:sz w:val="24"/>
          <w:szCs w:val="24"/>
          <w:u w:val="none"/>
          <w:rtl/>
        </w:rPr>
        <w:t>, גם אם בעקיפין הגנה על טובת הילד מקדמת אף את אינטרס ההורה,</w:t>
      </w:r>
      <w:r w:rsidR="0002073C">
        <w:rPr>
          <w:rStyle w:val="Hyperlink"/>
          <w:rFonts w:asciiTheme="majorBidi" w:hAnsiTheme="majorBidi" w:cs="David" w:hint="cs"/>
          <w:color w:val="auto"/>
          <w:sz w:val="24"/>
          <w:szCs w:val="24"/>
          <w:u w:val="none"/>
          <w:rtl/>
        </w:rPr>
        <w:t xml:space="preserve"> </w:t>
      </w:r>
      <w:r w:rsidR="007854AB">
        <w:rPr>
          <w:rStyle w:val="Hyperlink"/>
          <w:rFonts w:asciiTheme="majorBidi" w:hAnsiTheme="majorBidi" w:cs="David" w:hint="cs"/>
          <w:color w:val="auto"/>
          <w:sz w:val="24"/>
          <w:szCs w:val="24"/>
          <w:u w:val="none"/>
          <w:rtl/>
        </w:rPr>
        <w:t>ועל אף שבמקרים רבים מדובר באינטרסים משותפים</w:t>
      </w:r>
      <w:r w:rsidR="00757484">
        <w:rPr>
          <w:rStyle w:val="Hyperlink"/>
          <w:rFonts w:asciiTheme="majorBidi" w:hAnsiTheme="majorBidi" w:cs="David" w:hint="cs"/>
          <w:color w:val="auto"/>
          <w:sz w:val="24"/>
          <w:szCs w:val="24"/>
          <w:u w:val="none"/>
          <w:rtl/>
        </w:rPr>
        <w:t>. שלישית, והוא משלב בין הטעמים, לא נכון</w:t>
      </w:r>
      <w:r w:rsidR="00375A1E">
        <w:rPr>
          <w:rStyle w:val="Hyperlink"/>
          <w:rFonts w:asciiTheme="majorBidi" w:hAnsiTheme="majorBidi" w:cs="David" w:hint="cs"/>
          <w:color w:val="auto"/>
          <w:sz w:val="24"/>
          <w:szCs w:val="24"/>
          <w:u w:val="none"/>
          <w:rtl/>
        </w:rPr>
        <w:t>, לדעתי,</w:t>
      </w:r>
      <w:r w:rsidR="00757484">
        <w:rPr>
          <w:rStyle w:val="Hyperlink"/>
          <w:rFonts w:asciiTheme="majorBidi" w:hAnsiTheme="majorBidi" w:cs="David" w:hint="cs"/>
          <w:color w:val="auto"/>
          <w:sz w:val="24"/>
          <w:szCs w:val="24"/>
          <w:u w:val="none"/>
          <w:rtl/>
        </w:rPr>
        <w:t xml:space="preserve"> להמשיג את הקונפליקט כקונפליקט בין הילד לבין הורהו. </w:t>
      </w:r>
      <w:r w:rsidR="00375A1E" w:rsidRPr="00375A1E">
        <w:rPr>
          <w:rStyle w:val="Hyperlink"/>
          <w:rFonts w:asciiTheme="majorBidi" w:hAnsiTheme="majorBidi" w:cs="David" w:hint="cs"/>
          <w:color w:val="auto"/>
          <w:sz w:val="24"/>
          <w:szCs w:val="24"/>
          <w:u w:val="none"/>
          <w:rtl/>
        </w:rPr>
        <w:t>מישור היחסים</w:t>
      </w:r>
      <w:r w:rsidR="007854AB" w:rsidRPr="00375A1E">
        <w:rPr>
          <w:rStyle w:val="Hyperlink"/>
          <w:rFonts w:asciiTheme="majorBidi" w:hAnsiTheme="majorBidi" w:cs="David" w:hint="cs"/>
          <w:color w:val="auto"/>
          <w:sz w:val="24"/>
          <w:szCs w:val="24"/>
          <w:u w:val="none"/>
          <w:rtl/>
        </w:rPr>
        <w:t xml:space="preserve"> </w:t>
      </w:r>
      <w:r w:rsidR="00375A1E" w:rsidRPr="00375A1E">
        <w:rPr>
          <w:rStyle w:val="Hyperlink"/>
          <w:rFonts w:asciiTheme="majorBidi" w:hAnsiTheme="majorBidi" w:cs="David" w:hint="cs"/>
          <w:color w:val="auto"/>
          <w:sz w:val="24"/>
          <w:szCs w:val="24"/>
          <w:u w:val="none"/>
          <w:rtl/>
        </w:rPr>
        <w:t xml:space="preserve">הרלוונטי </w:t>
      </w:r>
      <w:r w:rsidR="00B15263">
        <w:rPr>
          <w:rStyle w:val="Hyperlink"/>
          <w:rFonts w:asciiTheme="majorBidi" w:hAnsiTheme="majorBidi" w:cs="David" w:hint="cs"/>
          <w:color w:val="auto"/>
          <w:sz w:val="24"/>
          <w:szCs w:val="24"/>
          <w:u w:val="none"/>
          <w:rtl/>
        </w:rPr>
        <w:t>להסדרה</w:t>
      </w:r>
      <w:r w:rsidR="00375A1E" w:rsidRPr="00375A1E">
        <w:rPr>
          <w:rStyle w:val="Hyperlink"/>
          <w:rFonts w:asciiTheme="majorBidi" w:hAnsiTheme="majorBidi" w:cs="David" w:hint="cs"/>
          <w:color w:val="auto"/>
          <w:sz w:val="24"/>
          <w:szCs w:val="24"/>
          <w:u w:val="none"/>
          <w:rtl/>
        </w:rPr>
        <w:t xml:space="preserve"> משפטית הוא מישור היחסים </w:t>
      </w:r>
      <w:r w:rsidR="007854AB" w:rsidRPr="00375A1E">
        <w:rPr>
          <w:rStyle w:val="Hyperlink"/>
          <w:rFonts w:asciiTheme="majorBidi" w:hAnsiTheme="majorBidi" w:cs="David" w:hint="cs"/>
          <w:color w:val="auto"/>
          <w:sz w:val="24"/>
          <w:szCs w:val="24"/>
          <w:u w:val="none"/>
          <w:rtl/>
        </w:rPr>
        <w:t>שבין ההורה החורג להורה המשפטי</w:t>
      </w:r>
      <w:r w:rsidR="00AC790C">
        <w:rPr>
          <w:rStyle w:val="Hyperlink"/>
          <w:rFonts w:asciiTheme="majorBidi" w:hAnsiTheme="majorBidi" w:cs="David" w:hint="cs"/>
          <w:color w:val="auto"/>
          <w:sz w:val="24"/>
          <w:szCs w:val="24"/>
          <w:u w:val="none"/>
          <w:rtl/>
        </w:rPr>
        <w:t xml:space="preserve"> הלא משמורן</w:t>
      </w:r>
      <w:r w:rsidR="007854AB" w:rsidRPr="00375A1E">
        <w:rPr>
          <w:rStyle w:val="Hyperlink"/>
          <w:rFonts w:asciiTheme="majorBidi" w:hAnsiTheme="majorBidi" w:cs="David" w:hint="cs"/>
          <w:color w:val="auto"/>
          <w:sz w:val="24"/>
          <w:szCs w:val="24"/>
          <w:u w:val="none"/>
          <w:rtl/>
        </w:rPr>
        <w:t>.</w:t>
      </w:r>
      <w:r w:rsidR="007854AB">
        <w:rPr>
          <w:rStyle w:val="Hyperlink"/>
          <w:rFonts w:asciiTheme="majorBidi" w:hAnsiTheme="majorBidi" w:cs="David" w:hint="cs"/>
          <w:color w:val="auto"/>
          <w:sz w:val="24"/>
          <w:szCs w:val="24"/>
          <w:u w:val="none"/>
          <w:rtl/>
        </w:rPr>
        <w:t xml:space="preserve"> </w:t>
      </w:r>
    </w:p>
    <w:p w14:paraId="453898B7" w14:textId="50C48D64" w:rsidR="00375A1E" w:rsidRDefault="00375A1E" w:rsidP="00254D9B">
      <w:pPr>
        <w:pStyle w:val="ListParagraph"/>
        <w:spacing w:line="480" w:lineRule="auto"/>
        <w:ind w:left="0"/>
        <w:jc w:val="both"/>
        <w:rPr>
          <w:rStyle w:val="Hyperlink"/>
          <w:rFonts w:asciiTheme="majorBidi" w:hAnsiTheme="majorBidi" w:cs="David"/>
          <w:color w:val="auto"/>
          <w:sz w:val="24"/>
          <w:szCs w:val="24"/>
          <w:u w:val="none"/>
          <w:rtl/>
        </w:rPr>
      </w:pPr>
      <w:r>
        <w:rPr>
          <w:rStyle w:val="Hyperlink"/>
          <w:rFonts w:asciiTheme="majorBidi" w:hAnsiTheme="majorBidi" w:cs="David" w:hint="cs"/>
          <w:color w:val="auto"/>
          <w:sz w:val="24"/>
          <w:szCs w:val="24"/>
          <w:u w:val="none"/>
          <w:rtl/>
        </w:rPr>
        <w:t>חלופה נוספת</w:t>
      </w:r>
      <w:r w:rsidR="00B15263">
        <w:rPr>
          <w:rStyle w:val="Hyperlink"/>
          <w:rFonts w:asciiTheme="majorBidi" w:hAnsiTheme="majorBidi" w:cs="David" w:hint="cs"/>
          <w:color w:val="auto"/>
          <w:sz w:val="24"/>
          <w:szCs w:val="24"/>
          <w:u w:val="none"/>
          <w:rtl/>
        </w:rPr>
        <w:t xml:space="preserve"> תבקש </w:t>
      </w:r>
      <w:r w:rsidR="00B22869">
        <w:rPr>
          <w:rStyle w:val="Hyperlink"/>
          <w:rFonts w:asciiTheme="majorBidi" w:hAnsiTheme="majorBidi" w:cs="David" w:hint="cs"/>
          <w:color w:val="auto"/>
          <w:sz w:val="24"/>
          <w:szCs w:val="24"/>
          <w:u w:val="none"/>
          <w:rtl/>
        </w:rPr>
        <w:t>לגלגל את ההסדרה</w:t>
      </w:r>
      <w:r w:rsidR="00B15263">
        <w:rPr>
          <w:rStyle w:val="Hyperlink"/>
          <w:rFonts w:asciiTheme="majorBidi" w:hAnsiTheme="majorBidi" w:cs="David" w:hint="cs"/>
          <w:color w:val="auto"/>
          <w:sz w:val="24"/>
          <w:szCs w:val="24"/>
          <w:u w:val="none"/>
          <w:rtl/>
        </w:rPr>
        <w:t xml:space="preserve"> </w:t>
      </w:r>
      <w:r w:rsidR="00B22869">
        <w:rPr>
          <w:rStyle w:val="Hyperlink"/>
          <w:rFonts w:asciiTheme="majorBidi" w:hAnsiTheme="majorBidi" w:cs="David" w:hint="cs"/>
          <w:color w:val="auto"/>
          <w:sz w:val="24"/>
          <w:szCs w:val="24"/>
          <w:u w:val="none"/>
          <w:rtl/>
        </w:rPr>
        <w:t>ל</w:t>
      </w:r>
      <w:r>
        <w:rPr>
          <w:rStyle w:val="Hyperlink"/>
          <w:rFonts w:asciiTheme="majorBidi" w:hAnsiTheme="majorBidi" w:cs="David" w:hint="cs"/>
          <w:color w:val="auto"/>
          <w:sz w:val="24"/>
          <w:szCs w:val="24"/>
          <w:u w:val="none"/>
          <w:rtl/>
        </w:rPr>
        <w:t>מישור היחסים שבין ההורים המשפטיים. כלומר, לזקוף את התנהגות ההורה החורג לחובת בן זוגו, הוא ההורה המשמורן, ולהטיל עליו</w:t>
      </w:r>
      <w:r w:rsidR="00B22869">
        <w:rPr>
          <w:rStyle w:val="Hyperlink"/>
          <w:rFonts w:asciiTheme="majorBidi" w:hAnsiTheme="majorBidi" w:cs="David" w:hint="cs"/>
          <w:color w:val="auto"/>
          <w:sz w:val="24"/>
          <w:szCs w:val="24"/>
          <w:u w:val="none"/>
          <w:rtl/>
        </w:rPr>
        <w:t xml:space="preserve"> (במקום על ההורה החורג)</w:t>
      </w:r>
      <w:r>
        <w:rPr>
          <w:rStyle w:val="Hyperlink"/>
          <w:rFonts w:asciiTheme="majorBidi" w:hAnsiTheme="majorBidi" w:cs="David" w:hint="cs"/>
          <w:color w:val="auto"/>
          <w:sz w:val="24"/>
          <w:szCs w:val="24"/>
          <w:u w:val="none"/>
          <w:rtl/>
        </w:rPr>
        <w:t xml:space="preserve"> חיובים לשמור ולהגן על הקשר שבין ההורה </w:t>
      </w:r>
      <w:r w:rsidR="00254D9B">
        <w:rPr>
          <w:rStyle w:val="Hyperlink"/>
          <w:rFonts w:asciiTheme="majorBidi" w:hAnsiTheme="majorBidi" w:cs="David" w:hint="cs"/>
          <w:color w:val="auto"/>
          <w:sz w:val="24"/>
          <w:szCs w:val="24"/>
          <w:u w:val="none"/>
          <w:rtl/>
        </w:rPr>
        <w:t>הלא משמורן</w:t>
      </w:r>
      <w:r>
        <w:rPr>
          <w:rStyle w:val="Hyperlink"/>
          <w:rFonts w:asciiTheme="majorBidi" w:hAnsiTheme="majorBidi" w:cs="David" w:hint="cs"/>
          <w:color w:val="auto"/>
          <w:sz w:val="24"/>
          <w:szCs w:val="24"/>
          <w:u w:val="none"/>
          <w:rtl/>
        </w:rPr>
        <w:t xml:space="preserve"> לילד. על אף שניתן לזהות זיקה משפטית בין ההורים הפרודים ולהטיל חיובים הדדים ביניהם גם שנים לאחר הפרידה ביניהם,</w:t>
      </w:r>
      <w:r w:rsidR="00254D9B">
        <w:rPr>
          <w:rStyle w:val="FootnoteReference"/>
          <w:rFonts w:asciiTheme="majorBidi" w:hAnsiTheme="majorBidi" w:cs="David"/>
          <w:sz w:val="24"/>
          <w:szCs w:val="24"/>
          <w:rtl/>
        </w:rPr>
        <w:footnoteReference w:id="40"/>
      </w:r>
      <w:r>
        <w:rPr>
          <w:rStyle w:val="Hyperlink"/>
          <w:rFonts w:asciiTheme="majorBidi" w:hAnsiTheme="majorBidi" w:cs="David" w:hint="cs"/>
          <w:color w:val="auto"/>
          <w:sz w:val="24"/>
          <w:szCs w:val="24"/>
          <w:u w:val="none"/>
          <w:rtl/>
        </w:rPr>
        <w:t xml:space="preserve"> </w:t>
      </w:r>
      <w:r w:rsidR="00043E0F">
        <w:rPr>
          <w:rStyle w:val="Hyperlink"/>
          <w:rFonts w:asciiTheme="majorBidi" w:hAnsiTheme="majorBidi" w:cs="David" w:hint="cs"/>
          <w:color w:val="auto"/>
          <w:sz w:val="24"/>
          <w:szCs w:val="24"/>
          <w:u w:val="none"/>
          <w:rtl/>
        </w:rPr>
        <w:t>בוודאי ככל שזה נוגע ליחסיהם עם ילדם המשותף,</w:t>
      </w:r>
      <w:r w:rsidR="00B22869">
        <w:rPr>
          <w:rStyle w:val="Hyperlink"/>
          <w:rFonts w:asciiTheme="majorBidi" w:hAnsiTheme="majorBidi" w:cs="David" w:hint="cs"/>
          <w:color w:val="auto"/>
          <w:sz w:val="24"/>
          <w:szCs w:val="24"/>
          <w:u w:val="none"/>
          <w:rtl/>
        </w:rPr>
        <w:t xml:space="preserve"> וכך אף נעשה במקרים המתאימים,</w:t>
      </w:r>
      <w:r w:rsidR="00B22869">
        <w:rPr>
          <w:rStyle w:val="FootnoteReference"/>
          <w:rFonts w:asciiTheme="majorBidi" w:hAnsiTheme="majorBidi" w:cs="David"/>
          <w:sz w:val="24"/>
          <w:szCs w:val="24"/>
          <w:rtl/>
        </w:rPr>
        <w:footnoteReference w:id="41"/>
      </w:r>
      <w:r w:rsidR="00043E0F">
        <w:rPr>
          <w:rStyle w:val="Hyperlink"/>
          <w:rFonts w:asciiTheme="majorBidi" w:hAnsiTheme="majorBidi" w:cs="David" w:hint="cs"/>
          <w:color w:val="auto"/>
          <w:sz w:val="24"/>
          <w:szCs w:val="24"/>
          <w:u w:val="none"/>
          <w:rtl/>
        </w:rPr>
        <w:t xml:space="preserve"> </w:t>
      </w:r>
      <w:r>
        <w:rPr>
          <w:rStyle w:val="Hyperlink"/>
          <w:rFonts w:asciiTheme="majorBidi" w:hAnsiTheme="majorBidi" w:cs="David" w:hint="cs"/>
          <w:color w:val="auto"/>
          <w:sz w:val="24"/>
          <w:szCs w:val="24"/>
          <w:u w:val="none"/>
          <w:rtl/>
        </w:rPr>
        <w:t xml:space="preserve">לא </w:t>
      </w:r>
      <w:r w:rsidRPr="003A2DCB">
        <w:rPr>
          <w:rStyle w:val="Hyperlink"/>
          <w:rFonts w:ascii="David" w:hAnsi="David" w:cs="David"/>
          <w:color w:val="auto"/>
          <w:sz w:val="24"/>
          <w:szCs w:val="24"/>
          <w:u w:val="none"/>
          <w:rtl/>
        </w:rPr>
        <w:t>יהיה זה נכון</w:t>
      </w:r>
      <w:r w:rsidR="00B22869" w:rsidRPr="003A2DCB">
        <w:rPr>
          <w:rStyle w:val="Hyperlink"/>
          <w:rFonts w:ascii="David" w:hAnsi="David" w:cs="David"/>
          <w:color w:val="auto"/>
          <w:sz w:val="24"/>
          <w:szCs w:val="24"/>
          <w:u w:val="none"/>
          <w:rtl/>
        </w:rPr>
        <w:t>, להבנתי,</w:t>
      </w:r>
      <w:r w:rsidRPr="003A2DCB">
        <w:rPr>
          <w:rStyle w:val="Hyperlink"/>
          <w:rFonts w:ascii="David" w:hAnsi="David" w:cs="David"/>
          <w:color w:val="auto"/>
          <w:sz w:val="24"/>
          <w:szCs w:val="24"/>
          <w:u w:val="none"/>
          <w:rtl/>
        </w:rPr>
        <w:t xml:space="preserve"> לאפשר להורה החורג </w:t>
      </w:r>
      <w:r w:rsidR="00327469" w:rsidRPr="003A2DCB">
        <w:rPr>
          <w:rStyle w:val="Hyperlink"/>
          <w:rFonts w:ascii="David" w:hAnsi="David" w:cs="David"/>
          <w:color w:val="auto"/>
          <w:sz w:val="24"/>
          <w:szCs w:val="24"/>
          <w:u w:val="none"/>
          <w:rtl/>
        </w:rPr>
        <w:t>"</w:t>
      </w:r>
      <w:r w:rsidRPr="003A2DCB">
        <w:rPr>
          <w:rStyle w:val="Hyperlink"/>
          <w:rFonts w:ascii="David" w:hAnsi="David" w:cs="David"/>
          <w:color w:val="auto"/>
          <w:sz w:val="24"/>
          <w:szCs w:val="24"/>
          <w:u w:val="none"/>
          <w:rtl/>
        </w:rPr>
        <w:t>להתחבא</w:t>
      </w:r>
      <w:r w:rsidR="00327469" w:rsidRPr="003A2DCB">
        <w:rPr>
          <w:rStyle w:val="Hyperlink"/>
          <w:rFonts w:ascii="David" w:hAnsi="David" w:cs="David"/>
          <w:color w:val="auto"/>
          <w:sz w:val="24"/>
          <w:szCs w:val="24"/>
          <w:u w:val="none"/>
          <w:rtl/>
        </w:rPr>
        <w:t>"</w:t>
      </w:r>
      <w:r w:rsidRPr="003A2DCB">
        <w:rPr>
          <w:rStyle w:val="Hyperlink"/>
          <w:rFonts w:ascii="David" w:hAnsi="David" w:cs="David"/>
          <w:color w:val="auto"/>
          <w:sz w:val="24"/>
          <w:szCs w:val="24"/>
          <w:u w:val="none"/>
          <w:rtl/>
        </w:rPr>
        <w:t xml:space="preserve"> מאחורי ההורה ה</w:t>
      </w:r>
      <w:r w:rsidR="00043E0F" w:rsidRPr="003A2DCB">
        <w:rPr>
          <w:rStyle w:val="Hyperlink"/>
          <w:rFonts w:ascii="David" w:hAnsi="David" w:cs="David"/>
          <w:color w:val="auto"/>
          <w:sz w:val="24"/>
          <w:szCs w:val="24"/>
          <w:u w:val="none"/>
          <w:rtl/>
        </w:rPr>
        <w:t xml:space="preserve">משמורן. </w:t>
      </w:r>
      <w:r w:rsidR="003A2DCB" w:rsidRPr="003A2DCB">
        <w:rPr>
          <w:rFonts w:ascii="David" w:hAnsi="David" w:cs="David"/>
          <w:sz w:val="24"/>
          <w:szCs w:val="24"/>
          <w:rtl/>
        </w:rPr>
        <w:t xml:space="preserve">תפיסה כזו מגמדת את התפקיד של ההורה החורג בחיי הילד ואת מרכזיותו כאינדיבידואל בעל יחסים נפרדים וברורים עם הילד ובאופן עקיף עם ההורה הלא משמורן. </w:t>
      </w:r>
      <w:r w:rsidR="00043E0F" w:rsidRPr="003A2DCB">
        <w:rPr>
          <w:rStyle w:val="Hyperlink"/>
          <w:rFonts w:ascii="David" w:hAnsi="David" w:cs="David"/>
          <w:color w:val="auto"/>
          <w:sz w:val="24"/>
          <w:szCs w:val="24"/>
          <w:u w:val="none"/>
          <w:rtl/>
        </w:rPr>
        <w:t>רק הכרה בזיקה הישירה בינו לבין ההורה</w:t>
      </w:r>
      <w:r w:rsidR="00632AD5" w:rsidRPr="003A2DCB">
        <w:rPr>
          <w:rStyle w:val="Hyperlink"/>
          <w:rFonts w:ascii="David" w:hAnsi="David" w:cs="David"/>
          <w:color w:val="auto"/>
          <w:sz w:val="24"/>
          <w:szCs w:val="24"/>
          <w:u w:val="none"/>
          <w:rtl/>
        </w:rPr>
        <w:t xml:space="preserve"> הלא משמורן</w:t>
      </w:r>
      <w:r w:rsidR="00043E0F" w:rsidRPr="003A2DCB">
        <w:rPr>
          <w:rStyle w:val="Hyperlink"/>
          <w:rFonts w:ascii="David" w:hAnsi="David" w:cs="David"/>
          <w:color w:val="auto"/>
          <w:sz w:val="24"/>
          <w:szCs w:val="24"/>
          <w:u w:val="none"/>
          <w:rtl/>
        </w:rPr>
        <w:t xml:space="preserve">, תאפשר להתמודד באופן שלם וממצה עם השלכות התנהגותו ולתת מענה משפטי ההולם את צרכי </w:t>
      </w:r>
      <w:r w:rsidR="00043E0F">
        <w:rPr>
          <w:rStyle w:val="Hyperlink"/>
          <w:rFonts w:asciiTheme="majorBidi" w:hAnsiTheme="majorBidi" w:cs="David" w:hint="cs"/>
          <w:color w:val="auto"/>
          <w:sz w:val="24"/>
          <w:szCs w:val="24"/>
          <w:u w:val="none"/>
          <w:rtl/>
        </w:rPr>
        <w:t>המשפחה המורכבת.</w:t>
      </w:r>
      <w:r w:rsidR="00951414">
        <w:rPr>
          <w:rStyle w:val="Hyperlink"/>
          <w:rFonts w:asciiTheme="majorBidi" w:hAnsiTheme="majorBidi" w:cs="David" w:hint="cs"/>
          <w:color w:val="auto"/>
          <w:sz w:val="24"/>
          <w:szCs w:val="24"/>
          <w:u w:val="none"/>
          <w:rtl/>
        </w:rPr>
        <w:t xml:space="preserve"> </w:t>
      </w:r>
    </w:p>
    <w:p w14:paraId="2747860A" w14:textId="3ED21B73" w:rsidR="00642186" w:rsidRDefault="002B5DA0" w:rsidP="00424C5F">
      <w:pPr>
        <w:spacing w:line="480" w:lineRule="auto"/>
        <w:jc w:val="both"/>
        <w:rPr>
          <w:rFonts w:asciiTheme="majorBidi" w:hAnsiTheme="majorBidi" w:cs="David" w:hint="cs"/>
          <w:sz w:val="24"/>
          <w:szCs w:val="24"/>
          <w:rtl/>
        </w:rPr>
      </w:pPr>
      <w:r>
        <w:rPr>
          <w:rFonts w:asciiTheme="majorBidi" w:hAnsiTheme="majorBidi" w:cs="David" w:hint="cs"/>
          <w:sz w:val="24"/>
          <w:szCs w:val="24"/>
          <w:rtl/>
        </w:rPr>
        <w:t xml:space="preserve">אני סבורה, כי חלופת האמונאות </w:t>
      </w:r>
      <w:r w:rsidR="00AF61B4">
        <w:rPr>
          <w:rFonts w:asciiTheme="majorBidi" w:hAnsiTheme="majorBidi" w:cs="David" w:hint="cs"/>
          <w:sz w:val="24"/>
          <w:szCs w:val="24"/>
          <w:rtl/>
        </w:rPr>
        <w:t>שתוצע</w:t>
      </w:r>
      <w:r w:rsidR="00043E0F">
        <w:rPr>
          <w:rFonts w:asciiTheme="majorBidi" w:hAnsiTheme="majorBidi" w:cs="David" w:hint="cs"/>
          <w:sz w:val="24"/>
          <w:szCs w:val="24"/>
          <w:rtl/>
        </w:rPr>
        <w:t xml:space="preserve"> במאמר זה, ואשר מלוא פריסתה י</w:t>
      </w:r>
      <w:r w:rsidR="003828B8">
        <w:rPr>
          <w:rFonts w:asciiTheme="majorBidi" w:hAnsiTheme="majorBidi" w:cs="David" w:hint="cs"/>
          <w:sz w:val="24"/>
          <w:szCs w:val="24"/>
          <w:rtl/>
        </w:rPr>
        <w:t xml:space="preserve">וצג בחלק הבא, מצליחה לשלב בין האינטרסים של הצדדים בצורה נכונה יותר. </w:t>
      </w:r>
      <w:r w:rsidR="00642186">
        <w:rPr>
          <w:rFonts w:asciiTheme="majorBidi" w:hAnsiTheme="majorBidi" w:cs="David" w:hint="cs"/>
          <w:sz w:val="24"/>
          <w:szCs w:val="24"/>
          <w:rtl/>
        </w:rPr>
        <w:t xml:space="preserve"> </w:t>
      </w:r>
      <w:r w:rsidR="00424C5F" w:rsidRPr="00424C5F">
        <w:rPr>
          <w:rFonts w:asciiTheme="majorBidi" w:hAnsiTheme="majorBidi" w:cs="David" w:hint="cs"/>
          <w:sz w:val="24"/>
          <w:szCs w:val="24"/>
          <w:rtl/>
        </w:rPr>
        <w:t xml:space="preserve">כפי שאמרו סקוט ודגן </w:t>
      </w:r>
      <w:r w:rsidR="00642186" w:rsidRPr="00424C5F">
        <w:rPr>
          <w:rFonts w:asciiTheme="majorBidi" w:hAnsiTheme="majorBidi" w:cs="David" w:hint="cs"/>
          <w:sz w:val="24"/>
          <w:szCs w:val="24"/>
          <w:rtl/>
        </w:rPr>
        <w:t>בהקשר</w:t>
      </w:r>
      <w:r w:rsidR="00642186">
        <w:rPr>
          <w:rFonts w:asciiTheme="majorBidi" w:hAnsiTheme="majorBidi" w:cs="David" w:hint="cs"/>
          <w:sz w:val="24"/>
          <w:szCs w:val="24"/>
          <w:rtl/>
        </w:rPr>
        <w:t xml:space="preserve"> משפחתי אחר:</w:t>
      </w:r>
    </w:p>
    <w:p w14:paraId="7DEDF423" w14:textId="09CCF130" w:rsidR="00642186" w:rsidRDefault="00642186" w:rsidP="00424C5F">
      <w:pPr>
        <w:bidi w:val="0"/>
        <w:spacing w:line="480" w:lineRule="auto"/>
        <w:jc w:val="both"/>
        <w:rPr>
          <w:rFonts w:asciiTheme="majorBidi" w:hAnsiTheme="majorBidi" w:cs="David"/>
          <w:sz w:val="24"/>
          <w:szCs w:val="24"/>
        </w:rPr>
      </w:pPr>
      <w:r>
        <w:rPr>
          <w:rFonts w:asciiTheme="majorBidi" w:hAnsiTheme="majorBidi" w:cs="David"/>
          <w:sz w:val="24"/>
          <w:szCs w:val="24"/>
        </w:rPr>
        <w:t>"… the status-based conception of parenthood is normatively problematic, because it 'accords unwarranted legal protection to biological parents in ways that are both directly harmful and symbolically corrosive to the interests of their children'. Conceptualizing parents as fiduciaries offers a much more attractive model of the parent-child relationship than did traditional family law, and represents a typical instance of the fiduciary role as an office. This understanding of parenthood is grounded not in parents' rights, but rather in parents' obligation to se</w:t>
      </w:r>
      <w:r w:rsidR="00CB6D41">
        <w:rPr>
          <w:rFonts w:asciiTheme="majorBidi" w:hAnsiTheme="majorBidi" w:cs="David"/>
          <w:sz w:val="24"/>
          <w:szCs w:val="24"/>
        </w:rPr>
        <w:t>r</w:t>
      </w:r>
      <w:r>
        <w:rPr>
          <w:rFonts w:asciiTheme="majorBidi" w:hAnsiTheme="majorBidi" w:cs="David"/>
          <w:sz w:val="24"/>
          <w:szCs w:val="24"/>
        </w:rPr>
        <w:t>ve the child's best interest".</w:t>
      </w:r>
      <w:r>
        <w:rPr>
          <w:rStyle w:val="FootnoteReference"/>
          <w:rFonts w:asciiTheme="majorBidi" w:hAnsiTheme="majorBidi" w:cs="David"/>
          <w:sz w:val="24"/>
          <w:szCs w:val="24"/>
        </w:rPr>
        <w:footnoteReference w:id="42"/>
      </w:r>
      <w:r>
        <w:rPr>
          <w:rFonts w:asciiTheme="majorBidi" w:hAnsiTheme="majorBidi" w:cs="David"/>
          <w:sz w:val="24"/>
          <w:szCs w:val="24"/>
        </w:rPr>
        <w:t xml:space="preserve">  </w:t>
      </w:r>
    </w:p>
    <w:p w14:paraId="2CBBDFFF" w14:textId="0BB43A01" w:rsidR="003828B8" w:rsidRDefault="00642186" w:rsidP="00254D9B">
      <w:pPr>
        <w:spacing w:line="480" w:lineRule="auto"/>
        <w:jc w:val="both"/>
        <w:rPr>
          <w:rFonts w:asciiTheme="majorBidi" w:hAnsiTheme="majorBidi" w:cs="David"/>
          <w:sz w:val="24"/>
          <w:szCs w:val="24"/>
          <w:rtl/>
        </w:rPr>
      </w:pPr>
      <w:r>
        <w:rPr>
          <w:rFonts w:asciiTheme="majorBidi" w:hAnsiTheme="majorBidi" w:cs="David" w:hint="cs"/>
          <w:sz w:val="24"/>
          <w:szCs w:val="24"/>
          <w:rtl/>
        </w:rPr>
        <w:t>הבחירה באמונאות מעבירה</w:t>
      </w:r>
      <w:r w:rsidR="003828B8">
        <w:rPr>
          <w:rFonts w:asciiTheme="majorBidi" w:hAnsiTheme="majorBidi" w:cs="David" w:hint="cs"/>
          <w:sz w:val="24"/>
          <w:szCs w:val="24"/>
          <w:rtl/>
        </w:rPr>
        <w:t xml:space="preserve"> את המסר החשוב</w:t>
      </w:r>
      <w:r w:rsidR="00254D9B">
        <w:rPr>
          <w:rFonts w:asciiTheme="majorBidi" w:hAnsiTheme="majorBidi" w:cs="David" w:hint="cs"/>
          <w:sz w:val="24"/>
          <w:szCs w:val="24"/>
          <w:rtl/>
        </w:rPr>
        <w:t xml:space="preserve"> הקורא לשמירה על יחסי משפחה, באשר ליחסי ההורים (ויהיו אלה הורים פורמליי</w:t>
      </w:r>
      <w:r w:rsidR="00254D9B">
        <w:rPr>
          <w:rFonts w:asciiTheme="majorBidi" w:hAnsiTheme="majorBidi" w:cs="David" w:hint="eastAsia"/>
          <w:sz w:val="24"/>
          <w:szCs w:val="24"/>
          <w:rtl/>
        </w:rPr>
        <w:t>ם</w:t>
      </w:r>
      <w:r w:rsidR="00254D9B">
        <w:rPr>
          <w:rFonts w:asciiTheme="majorBidi" w:hAnsiTheme="majorBidi" w:cs="David" w:hint="cs"/>
          <w:sz w:val="24"/>
          <w:szCs w:val="24"/>
          <w:rtl/>
        </w:rPr>
        <w:t xml:space="preserve"> או דמויות משמעותיות בחיי הילד הממלאות פונקציות הוריות) ולשיתוף הפעולה ביניהם חשיבות גבוהה</w:t>
      </w:r>
      <w:r w:rsidR="002B5DA0">
        <w:rPr>
          <w:rFonts w:asciiTheme="majorBidi" w:hAnsiTheme="majorBidi" w:cs="David" w:hint="cs"/>
          <w:sz w:val="24"/>
          <w:szCs w:val="24"/>
          <w:rtl/>
        </w:rPr>
        <w:t xml:space="preserve">; </w:t>
      </w:r>
      <w:r w:rsidR="003828B8">
        <w:rPr>
          <w:rFonts w:asciiTheme="majorBidi" w:hAnsiTheme="majorBidi" w:cs="David" w:hint="cs"/>
          <w:sz w:val="24"/>
          <w:szCs w:val="24"/>
          <w:rtl/>
        </w:rPr>
        <w:t xml:space="preserve">היא נותנת מקום </w:t>
      </w:r>
      <w:r w:rsidR="002B5DA0">
        <w:rPr>
          <w:rFonts w:asciiTheme="majorBidi" w:hAnsiTheme="majorBidi" w:cs="David" w:hint="cs"/>
          <w:sz w:val="24"/>
          <w:szCs w:val="24"/>
          <w:rtl/>
        </w:rPr>
        <w:t>למגוון צו</w:t>
      </w:r>
      <w:r w:rsidR="00AF61B4">
        <w:rPr>
          <w:rFonts w:asciiTheme="majorBidi" w:hAnsiTheme="majorBidi" w:cs="David" w:hint="cs"/>
          <w:sz w:val="24"/>
          <w:szCs w:val="24"/>
          <w:rtl/>
        </w:rPr>
        <w:t>רות המשפחה של ימנו ול</w:t>
      </w:r>
      <w:r w:rsidR="002B5DA0">
        <w:rPr>
          <w:rFonts w:asciiTheme="majorBidi" w:hAnsiTheme="majorBidi" w:cs="David" w:hint="cs"/>
          <w:sz w:val="24"/>
          <w:szCs w:val="24"/>
          <w:rtl/>
        </w:rPr>
        <w:t xml:space="preserve">מגוון </w:t>
      </w:r>
      <w:r w:rsidR="00AF61B4">
        <w:rPr>
          <w:rFonts w:asciiTheme="majorBidi" w:hAnsiTheme="majorBidi" w:cs="David" w:hint="cs"/>
          <w:sz w:val="24"/>
          <w:szCs w:val="24"/>
          <w:rtl/>
        </w:rPr>
        <w:t>ה</w:t>
      </w:r>
      <w:r w:rsidR="002B5DA0">
        <w:rPr>
          <w:rFonts w:asciiTheme="majorBidi" w:hAnsiTheme="majorBidi" w:cs="David" w:hint="cs"/>
          <w:sz w:val="24"/>
          <w:szCs w:val="24"/>
          <w:rtl/>
        </w:rPr>
        <w:t xml:space="preserve">דמויות </w:t>
      </w:r>
      <w:r w:rsidR="00AF61B4">
        <w:rPr>
          <w:rFonts w:asciiTheme="majorBidi" w:hAnsiTheme="majorBidi" w:cs="David" w:hint="cs"/>
          <w:sz w:val="24"/>
          <w:szCs w:val="24"/>
          <w:rtl/>
        </w:rPr>
        <w:t>ה</w:t>
      </w:r>
      <w:r w:rsidR="002B5DA0">
        <w:rPr>
          <w:rFonts w:asciiTheme="majorBidi" w:hAnsiTheme="majorBidi" w:cs="David" w:hint="cs"/>
          <w:sz w:val="24"/>
          <w:szCs w:val="24"/>
          <w:rtl/>
        </w:rPr>
        <w:t xml:space="preserve">הוריות בחיי הילד, </w:t>
      </w:r>
      <w:r w:rsidR="003828B8">
        <w:rPr>
          <w:rFonts w:asciiTheme="majorBidi" w:hAnsiTheme="majorBidi" w:cs="David" w:hint="cs"/>
          <w:sz w:val="24"/>
          <w:szCs w:val="24"/>
          <w:rtl/>
        </w:rPr>
        <w:t xml:space="preserve">תוך שמירה על </w:t>
      </w:r>
      <w:r w:rsidR="00AF61B4">
        <w:rPr>
          <w:rFonts w:asciiTheme="majorBidi" w:hAnsiTheme="majorBidi" w:cs="David" w:hint="cs"/>
          <w:sz w:val="24"/>
          <w:szCs w:val="24"/>
          <w:rtl/>
        </w:rPr>
        <w:t>יחסי הילד עם דמויות הוריות אלה</w:t>
      </w:r>
      <w:r w:rsidR="002B5DA0">
        <w:rPr>
          <w:rFonts w:asciiTheme="majorBidi" w:hAnsiTheme="majorBidi" w:cs="David" w:hint="cs"/>
          <w:sz w:val="24"/>
          <w:szCs w:val="24"/>
          <w:rtl/>
        </w:rPr>
        <w:t xml:space="preserve"> </w:t>
      </w:r>
      <w:r w:rsidR="003828B8">
        <w:rPr>
          <w:rFonts w:asciiTheme="majorBidi" w:hAnsiTheme="majorBidi" w:cs="David" w:hint="cs"/>
          <w:sz w:val="24"/>
          <w:szCs w:val="24"/>
          <w:rtl/>
        </w:rPr>
        <w:t xml:space="preserve">ומתוך כבוד </w:t>
      </w:r>
      <w:r w:rsidR="002B5DA0">
        <w:rPr>
          <w:rFonts w:asciiTheme="majorBidi" w:hAnsiTheme="majorBidi" w:cs="David" w:hint="cs"/>
          <w:sz w:val="24"/>
          <w:szCs w:val="24"/>
          <w:rtl/>
        </w:rPr>
        <w:t>אליו</w:t>
      </w:r>
      <w:r w:rsidR="00254D9B">
        <w:rPr>
          <w:rFonts w:asciiTheme="majorBidi" w:hAnsiTheme="majorBidi" w:cs="David" w:hint="cs"/>
          <w:sz w:val="24"/>
          <w:szCs w:val="24"/>
          <w:rtl/>
        </w:rPr>
        <w:t>.</w:t>
      </w:r>
      <w:r w:rsidR="003A2DCB">
        <w:rPr>
          <w:rFonts w:asciiTheme="majorBidi" w:hAnsiTheme="majorBidi" w:cs="David" w:hint="cs"/>
          <w:sz w:val="24"/>
          <w:szCs w:val="24"/>
          <w:rtl/>
        </w:rPr>
        <w:t xml:space="preserve"> </w:t>
      </w:r>
      <w:r w:rsidR="00266674">
        <w:rPr>
          <w:rFonts w:asciiTheme="majorBidi" w:hAnsiTheme="majorBidi" w:cs="David" w:hint="cs"/>
          <w:sz w:val="24"/>
          <w:szCs w:val="24"/>
          <w:rtl/>
        </w:rPr>
        <w:t>אבל בטרם ניתן יהיה לקפוץ למסקנה האמו</w:t>
      </w:r>
      <w:r w:rsidR="00AF61B4">
        <w:rPr>
          <w:rFonts w:asciiTheme="majorBidi" w:hAnsiTheme="majorBidi" w:cs="David" w:hint="cs"/>
          <w:sz w:val="24"/>
          <w:szCs w:val="24"/>
          <w:rtl/>
        </w:rPr>
        <w:t xml:space="preserve">רה, יש להבין מהי אמונאות ולהציג </w:t>
      </w:r>
      <w:r w:rsidR="00266674">
        <w:rPr>
          <w:rFonts w:asciiTheme="majorBidi" w:hAnsiTheme="majorBidi" w:cs="David" w:hint="cs"/>
          <w:sz w:val="24"/>
          <w:szCs w:val="24"/>
          <w:rtl/>
        </w:rPr>
        <w:t xml:space="preserve">לעומק את התשתית עליה ניתן יהיה לבסס את יחסי הורה חורג-הורה </w:t>
      </w:r>
      <w:r w:rsidR="00254D9B">
        <w:rPr>
          <w:rFonts w:asciiTheme="majorBidi" w:hAnsiTheme="majorBidi" w:cs="David" w:hint="cs"/>
          <w:sz w:val="24"/>
          <w:szCs w:val="24"/>
          <w:rtl/>
        </w:rPr>
        <w:t xml:space="preserve">לא משמורן </w:t>
      </w:r>
      <w:r w:rsidR="00266674">
        <w:rPr>
          <w:rFonts w:asciiTheme="majorBidi" w:hAnsiTheme="majorBidi" w:cs="David" w:hint="cs"/>
          <w:sz w:val="24"/>
          <w:szCs w:val="24"/>
          <w:rtl/>
        </w:rPr>
        <w:t xml:space="preserve">כיחסי אמונאות. </w:t>
      </w:r>
    </w:p>
    <w:p w14:paraId="3E8D0816" w14:textId="77777777" w:rsidR="00F249F4" w:rsidRPr="00E0145B" w:rsidRDefault="00B31568" w:rsidP="00E0145B">
      <w:pPr>
        <w:pStyle w:val="ListParagraph"/>
        <w:numPr>
          <w:ilvl w:val="0"/>
          <w:numId w:val="2"/>
        </w:numPr>
        <w:spacing w:line="480" w:lineRule="auto"/>
        <w:jc w:val="both"/>
        <w:rPr>
          <w:rFonts w:asciiTheme="majorBidi" w:hAnsiTheme="majorBidi" w:cs="David"/>
          <w:b/>
          <w:bCs/>
          <w:sz w:val="24"/>
          <w:szCs w:val="24"/>
          <w:rtl/>
        </w:rPr>
      </w:pPr>
      <w:r w:rsidRPr="00E0145B">
        <w:rPr>
          <w:rFonts w:asciiTheme="majorBidi" w:hAnsiTheme="majorBidi" w:cs="David"/>
          <w:b/>
          <w:bCs/>
          <w:sz w:val="24"/>
          <w:szCs w:val="24"/>
          <w:rtl/>
        </w:rPr>
        <w:t xml:space="preserve">אמונאות </w:t>
      </w:r>
      <w:r w:rsidR="005F6E9A" w:rsidRPr="00E0145B">
        <w:rPr>
          <w:rFonts w:asciiTheme="majorBidi" w:hAnsiTheme="majorBidi" w:cs="David"/>
          <w:b/>
          <w:bCs/>
          <w:sz w:val="24"/>
          <w:szCs w:val="24"/>
          <w:rtl/>
        </w:rPr>
        <w:t>כמקור להשראה</w:t>
      </w:r>
      <w:r w:rsidR="00F249F4" w:rsidRPr="00E0145B">
        <w:rPr>
          <w:rFonts w:asciiTheme="majorBidi" w:hAnsiTheme="majorBidi" w:cs="David"/>
          <w:b/>
          <w:bCs/>
          <w:sz w:val="24"/>
          <w:szCs w:val="24"/>
          <w:rtl/>
        </w:rPr>
        <w:t xml:space="preserve"> ל</w:t>
      </w:r>
      <w:r w:rsidRPr="00E0145B">
        <w:rPr>
          <w:rFonts w:asciiTheme="majorBidi" w:hAnsiTheme="majorBidi" w:cs="David"/>
          <w:b/>
          <w:bCs/>
          <w:sz w:val="24"/>
          <w:szCs w:val="24"/>
          <w:rtl/>
        </w:rPr>
        <w:t>דיני משפחה</w:t>
      </w:r>
    </w:p>
    <w:p w14:paraId="002ABEFE" w14:textId="77777777" w:rsidR="00430E8B" w:rsidRPr="00430E8B" w:rsidRDefault="00430E8B" w:rsidP="00430E8B">
      <w:pPr>
        <w:spacing w:line="480" w:lineRule="auto"/>
        <w:jc w:val="both"/>
        <w:rPr>
          <w:rFonts w:asciiTheme="majorBidi" w:hAnsiTheme="majorBidi" w:cs="David"/>
          <w:b/>
          <w:bCs/>
          <w:sz w:val="24"/>
          <w:szCs w:val="24"/>
          <w:rtl/>
        </w:rPr>
      </w:pPr>
      <w:r w:rsidRPr="00430E8B">
        <w:rPr>
          <w:rFonts w:asciiTheme="majorBidi" w:hAnsiTheme="majorBidi" w:cs="David" w:hint="cs"/>
          <w:b/>
          <w:bCs/>
          <w:sz w:val="24"/>
          <w:szCs w:val="24"/>
          <w:rtl/>
        </w:rPr>
        <w:t xml:space="preserve">3.א. </w:t>
      </w:r>
      <w:r w:rsidRPr="00430E8B">
        <w:rPr>
          <w:rFonts w:asciiTheme="majorBidi" w:hAnsiTheme="majorBidi" w:cs="David"/>
          <w:b/>
          <w:bCs/>
          <w:sz w:val="24"/>
          <w:szCs w:val="24"/>
          <w:rtl/>
        </w:rPr>
        <w:t>אמונאות במשפט הפרטי</w:t>
      </w:r>
    </w:p>
    <w:p w14:paraId="486AAACA" w14:textId="2840FD11" w:rsidR="005E274E" w:rsidRPr="00100048" w:rsidRDefault="006461D7" w:rsidP="001A2A61">
      <w:pPr>
        <w:spacing w:line="480" w:lineRule="auto"/>
        <w:jc w:val="both"/>
        <w:rPr>
          <w:rFonts w:asciiTheme="majorBidi" w:hAnsiTheme="majorBidi" w:cs="David"/>
          <w:sz w:val="24"/>
          <w:szCs w:val="24"/>
          <w:rtl/>
        </w:rPr>
      </w:pPr>
      <w:r>
        <w:rPr>
          <w:rFonts w:asciiTheme="majorBidi" w:hAnsiTheme="majorBidi" w:cs="David" w:hint="cs"/>
          <w:sz w:val="24"/>
          <w:szCs w:val="24"/>
          <w:rtl/>
        </w:rPr>
        <w:t xml:space="preserve">לאחר שפרשתי את המציאות החברתית המייצרת מגוון משפחות בהן קיימות זיקות בין הורים לא משמורנים להורים חורגים, ועמדתי על אי ההתאמה של </w:t>
      </w:r>
      <w:r w:rsidR="001A2A61">
        <w:rPr>
          <w:rFonts w:asciiTheme="majorBidi" w:hAnsiTheme="majorBidi" w:cs="David" w:hint="cs"/>
          <w:sz w:val="24"/>
          <w:szCs w:val="24"/>
          <w:rtl/>
        </w:rPr>
        <w:t>המענה שמציע הדין</w:t>
      </w:r>
      <w:r>
        <w:rPr>
          <w:rFonts w:asciiTheme="majorBidi" w:hAnsiTheme="majorBidi" w:cs="David" w:hint="cs"/>
          <w:sz w:val="24"/>
          <w:szCs w:val="24"/>
          <w:rtl/>
        </w:rPr>
        <w:t xml:space="preserve"> הקיים כיום להסדרתן של זיקות אלה, אפנה בפרק זה לפרישת המודל המוצע להסדרה: מודל האמונאות.</w:t>
      </w:r>
      <w:r w:rsidR="005D6FAB">
        <w:rPr>
          <w:rFonts w:asciiTheme="majorBidi" w:hAnsiTheme="majorBidi" w:cs="David" w:hint="cs"/>
          <w:sz w:val="24"/>
          <w:szCs w:val="24"/>
          <w:rtl/>
        </w:rPr>
        <w:t xml:space="preserve"> </w:t>
      </w:r>
      <w:r w:rsidR="00100048" w:rsidRPr="005D6FAB">
        <w:rPr>
          <w:rFonts w:asciiTheme="majorBidi" w:hAnsiTheme="majorBidi" w:cs="David" w:hint="cs"/>
          <w:sz w:val="24"/>
          <w:szCs w:val="24"/>
          <w:rtl/>
        </w:rPr>
        <w:t>חלקו הראשון של הפרק</w:t>
      </w:r>
      <w:r>
        <w:rPr>
          <w:rFonts w:asciiTheme="majorBidi" w:hAnsiTheme="majorBidi" w:cs="David" w:hint="cs"/>
          <w:sz w:val="24"/>
          <w:szCs w:val="24"/>
          <w:rtl/>
        </w:rPr>
        <w:t xml:space="preserve"> יתחיל בהצגה של </w:t>
      </w:r>
      <w:r w:rsidR="00100048" w:rsidRPr="005D6FAB">
        <w:rPr>
          <w:rFonts w:asciiTheme="majorBidi" w:hAnsiTheme="majorBidi" w:cs="David" w:hint="cs"/>
          <w:sz w:val="24"/>
          <w:szCs w:val="24"/>
          <w:rtl/>
        </w:rPr>
        <w:t>מאפייני האמונאות באופן כללי וכפי שמוכרים במשפט הפרטי,</w:t>
      </w:r>
      <w:r w:rsidR="00430E8B" w:rsidRPr="005D6FAB">
        <w:rPr>
          <w:rFonts w:asciiTheme="majorBidi" w:hAnsiTheme="majorBidi" w:cs="David" w:hint="cs"/>
          <w:sz w:val="24"/>
          <w:szCs w:val="24"/>
          <w:rtl/>
        </w:rPr>
        <w:t xml:space="preserve"> </w:t>
      </w:r>
      <w:r>
        <w:rPr>
          <w:rFonts w:asciiTheme="majorBidi" w:hAnsiTheme="majorBidi" w:cs="David" w:hint="cs"/>
          <w:sz w:val="24"/>
          <w:szCs w:val="24"/>
          <w:rtl/>
        </w:rPr>
        <w:t>ויעבור לבחינת</w:t>
      </w:r>
      <w:r w:rsidR="00430E8B" w:rsidRPr="005D6FAB">
        <w:rPr>
          <w:rFonts w:asciiTheme="majorBidi" w:hAnsiTheme="majorBidi" w:cs="David" w:hint="cs"/>
          <w:sz w:val="24"/>
          <w:szCs w:val="24"/>
          <w:rtl/>
        </w:rPr>
        <w:t xml:space="preserve"> </w:t>
      </w:r>
      <w:r>
        <w:rPr>
          <w:rFonts w:asciiTheme="majorBidi" w:hAnsiTheme="majorBidi" w:cs="David" w:hint="cs"/>
          <w:sz w:val="24"/>
          <w:szCs w:val="24"/>
          <w:rtl/>
        </w:rPr>
        <w:t xml:space="preserve">עצם </w:t>
      </w:r>
      <w:r w:rsidR="00430E8B" w:rsidRPr="005D6FAB">
        <w:rPr>
          <w:rFonts w:asciiTheme="majorBidi" w:hAnsiTheme="majorBidi" w:cs="David" w:hint="cs"/>
          <w:sz w:val="24"/>
          <w:szCs w:val="24"/>
          <w:rtl/>
        </w:rPr>
        <w:t xml:space="preserve">האפשרות להרחיב את גבולותיה המושגיים של האמונאות אל עבר ההסדרה המשפטית של יחסי המשפחה. </w:t>
      </w:r>
      <w:r w:rsidR="00100048" w:rsidRPr="005D6FAB">
        <w:rPr>
          <w:rFonts w:asciiTheme="majorBidi" w:hAnsiTheme="majorBidi" w:cs="David" w:hint="cs"/>
          <w:sz w:val="24"/>
          <w:szCs w:val="24"/>
          <w:rtl/>
        </w:rPr>
        <w:t xml:space="preserve">חלקו השני יבחן </w:t>
      </w:r>
      <w:r w:rsidR="00430E8B" w:rsidRPr="005D6FAB">
        <w:rPr>
          <w:rFonts w:asciiTheme="majorBidi" w:hAnsiTheme="majorBidi" w:cs="David" w:hint="cs"/>
          <w:sz w:val="24"/>
          <w:szCs w:val="24"/>
          <w:rtl/>
        </w:rPr>
        <w:t xml:space="preserve">באופן מדוקדק יותר את משמעות ההחלה של דיני האמונאות </w:t>
      </w:r>
      <w:r w:rsidR="00100048" w:rsidRPr="005D6FAB">
        <w:rPr>
          <w:rFonts w:asciiTheme="majorBidi" w:hAnsiTheme="majorBidi" w:cs="David" w:hint="cs"/>
          <w:sz w:val="24"/>
          <w:szCs w:val="24"/>
          <w:rtl/>
        </w:rPr>
        <w:t>בנגזרת הייחודית של דיני משפחה.</w:t>
      </w:r>
      <w:r w:rsidR="008413E3">
        <w:rPr>
          <w:rFonts w:asciiTheme="majorBidi" w:hAnsiTheme="majorBidi" w:cs="David" w:hint="cs"/>
          <w:sz w:val="24"/>
          <w:szCs w:val="24"/>
          <w:rtl/>
        </w:rPr>
        <w:t xml:space="preserve"> </w:t>
      </w:r>
    </w:p>
    <w:p w14:paraId="16644E2A" w14:textId="594D6512" w:rsidR="005F6E9A" w:rsidRDefault="00F01986" w:rsidP="001A2A61">
      <w:pPr>
        <w:spacing w:line="480" w:lineRule="auto"/>
        <w:jc w:val="both"/>
        <w:rPr>
          <w:rFonts w:asciiTheme="majorBidi" w:hAnsiTheme="majorBidi" w:cs="David" w:hint="cs"/>
          <w:sz w:val="24"/>
          <w:szCs w:val="24"/>
          <w:rtl/>
        </w:rPr>
      </w:pPr>
      <w:r w:rsidRPr="00763963">
        <w:rPr>
          <w:rFonts w:asciiTheme="majorBidi" w:hAnsiTheme="majorBidi" w:cs="David"/>
          <w:sz w:val="24"/>
          <w:szCs w:val="24"/>
          <w:rtl/>
        </w:rPr>
        <w:t>בפסק דין קוסוי</w:t>
      </w:r>
      <w:r w:rsidR="00CA5768">
        <w:rPr>
          <w:rFonts w:asciiTheme="majorBidi" w:hAnsiTheme="majorBidi" w:cs="David" w:hint="cs"/>
          <w:sz w:val="24"/>
          <w:szCs w:val="24"/>
          <w:rtl/>
        </w:rPr>
        <w:t>, המהווה אבן דרך בדיני האמונאות הישראלים</w:t>
      </w:r>
      <w:r w:rsidR="00AB3E3A">
        <w:rPr>
          <w:rFonts w:asciiTheme="majorBidi" w:hAnsiTheme="majorBidi" w:cs="David" w:hint="cs"/>
          <w:sz w:val="24"/>
          <w:szCs w:val="24"/>
          <w:rtl/>
        </w:rPr>
        <w:t xml:space="preserve"> אך נטוע</w:t>
      </w:r>
      <w:r w:rsidR="00B140C0">
        <w:rPr>
          <w:rFonts w:asciiTheme="majorBidi" w:hAnsiTheme="majorBidi" w:cs="David" w:hint="cs"/>
          <w:sz w:val="24"/>
          <w:szCs w:val="24"/>
          <w:rtl/>
        </w:rPr>
        <w:t xml:space="preserve"> במשפט המקובל</w:t>
      </w:r>
      <w:r w:rsidR="00AB3E3A">
        <w:rPr>
          <w:rFonts w:asciiTheme="majorBidi" w:hAnsiTheme="majorBidi" w:cs="David" w:hint="cs"/>
          <w:sz w:val="24"/>
          <w:szCs w:val="24"/>
          <w:rtl/>
        </w:rPr>
        <w:t xml:space="preserve"> בכללותו</w:t>
      </w:r>
      <w:r w:rsidR="00CA5768">
        <w:rPr>
          <w:rFonts w:asciiTheme="majorBidi" w:hAnsiTheme="majorBidi" w:cs="David" w:hint="cs"/>
          <w:sz w:val="24"/>
          <w:szCs w:val="24"/>
          <w:rtl/>
        </w:rPr>
        <w:t>,</w:t>
      </w:r>
      <w:r w:rsidR="001A2A61">
        <w:rPr>
          <w:rFonts w:asciiTheme="majorBidi" w:hAnsiTheme="majorBidi" w:cs="David"/>
          <w:sz w:val="24"/>
          <w:szCs w:val="24"/>
          <w:rtl/>
        </w:rPr>
        <w:t xml:space="preserve"> מגדיר </w:t>
      </w:r>
      <w:r w:rsidRPr="00763963">
        <w:rPr>
          <w:rFonts w:asciiTheme="majorBidi" w:hAnsiTheme="majorBidi" w:cs="David"/>
          <w:sz w:val="24"/>
          <w:szCs w:val="24"/>
          <w:rtl/>
        </w:rPr>
        <w:t xml:space="preserve">שופט </w:t>
      </w:r>
      <w:r w:rsidR="001A2A61">
        <w:rPr>
          <w:rFonts w:asciiTheme="majorBidi" w:hAnsiTheme="majorBidi" w:cs="David" w:hint="cs"/>
          <w:sz w:val="24"/>
          <w:szCs w:val="24"/>
          <w:rtl/>
        </w:rPr>
        <w:t xml:space="preserve">בית המשפט העליון אהרון </w:t>
      </w:r>
      <w:r w:rsidRPr="00763963">
        <w:rPr>
          <w:rFonts w:asciiTheme="majorBidi" w:hAnsiTheme="majorBidi" w:cs="David"/>
          <w:sz w:val="24"/>
          <w:szCs w:val="24"/>
          <w:rtl/>
        </w:rPr>
        <w:t>ברק, את תכלית חובת האמון</w:t>
      </w:r>
      <w:r w:rsidR="00682F6F">
        <w:rPr>
          <w:rFonts w:asciiTheme="majorBidi" w:hAnsiTheme="majorBidi" w:cs="David" w:hint="cs"/>
          <w:sz w:val="24"/>
          <w:szCs w:val="24"/>
          <w:rtl/>
        </w:rPr>
        <w:t xml:space="preserve"> האמונאית</w:t>
      </w:r>
      <w:r w:rsidR="00022A35" w:rsidRPr="00763963">
        <w:rPr>
          <w:rFonts w:asciiTheme="majorBidi" w:hAnsiTheme="majorBidi" w:cs="David"/>
          <w:sz w:val="24"/>
          <w:szCs w:val="24"/>
          <w:rtl/>
        </w:rPr>
        <w:t xml:space="preserve">, </w:t>
      </w:r>
      <w:r w:rsidRPr="00763963">
        <w:rPr>
          <w:rFonts w:asciiTheme="majorBidi" w:hAnsiTheme="majorBidi" w:cs="David"/>
          <w:sz w:val="24"/>
          <w:szCs w:val="24"/>
          <w:rtl/>
        </w:rPr>
        <w:t>את מסגרת תחולתה</w:t>
      </w:r>
      <w:r w:rsidR="00022A35" w:rsidRPr="00763963">
        <w:rPr>
          <w:rFonts w:asciiTheme="majorBidi" w:hAnsiTheme="majorBidi" w:cs="David"/>
          <w:sz w:val="24"/>
          <w:szCs w:val="24"/>
          <w:rtl/>
        </w:rPr>
        <w:t xml:space="preserve"> ואת </w:t>
      </w:r>
      <w:r w:rsidR="009D4E59">
        <w:rPr>
          <w:rFonts w:asciiTheme="majorBidi" w:hAnsiTheme="majorBidi" w:cs="David" w:hint="cs"/>
          <w:sz w:val="24"/>
          <w:szCs w:val="24"/>
          <w:rtl/>
        </w:rPr>
        <w:t>המתחייב</w:t>
      </w:r>
      <w:r w:rsidR="00022A35" w:rsidRPr="00763963">
        <w:rPr>
          <w:rFonts w:asciiTheme="majorBidi" w:hAnsiTheme="majorBidi" w:cs="David"/>
          <w:sz w:val="24"/>
          <w:szCs w:val="24"/>
          <w:rtl/>
        </w:rPr>
        <w:t xml:space="preserve"> ממנה,</w:t>
      </w:r>
      <w:r w:rsidRPr="00763963">
        <w:rPr>
          <w:rFonts w:asciiTheme="majorBidi" w:hAnsiTheme="majorBidi" w:cs="David"/>
          <w:sz w:val="24"/>
          <w:szCs w:val="24"/>
          <w:rtl/>
        </w:rPr>
        <w:t xml:space="preserve"> כך:</w:t>
      </w:r>
    </w:p>
    <w:p w14:paraId="0D8F4267" w14:textId="6B3A1E84" w:rsidR="00213D8C" w:rsidRPr="001A2A61" w:rsidRDefault="00213D8C" w:rsidP="001A2A61">
      <w:pPr>
        <w:shd w:val="clear" w:color="auto" w:fill="FFFFFF"/>
        <w:bidi w:val="0"/>
        <w:spacing w:after="0" w:line="360" w:lineRule="auto"/>
        <w:ind w:right="851"/>
        <w:jc w:val="both"/>
        <w:rPr>
          <w:rFonts w:asciiTheme="majorBidi" w:eastAsia="Times New Roman" w:hAnsiTheme="majorBidi" w:cstheme="majorBidi"/>
          <w:color w:val="333333"/>
          <w:sz w:val="24"/>
          <w:szCs w:val="24"/>
        </w:rPr>
      </w:pPr>
      <w:r w:rsidRPr="001A2A61">
        <w:rPr>
          <w:rFonts w:asciiTheme="majorBidi" w:eastAsia="Times New Roman" w:hAnsiTheme="majorBidi" w:cstheme="majorBidi"/>
          <w:color w:val="333333"/>
          <w:sz w:val="24"/>
          <w:szCs w:val="24"/>
        </w:rPr>
        <w:t>"The law imposes a sense of trust on a person who holds power, thus helping to "create supervision and impose restraint on the holder of power in exercising his power"[…] The principle of trust has wide application. It is applicable to every situation where someone has power and control over another (see L.S. Sealy, "The Director as Trustee" [1967] Camb. L.J. 83)</w:t>
      </w:r>
      <w:r w:rsidR="00CC6993" w:rsidRPr="001A2A61">
        <w:rPr>
          <w:rFonts w:asciiTheme="majorBidi" w:eastAsia="Times New Roman" w:hAnsiTheme="majorBidi" w:cstheme="majorBidi"/>
          <w:color w:val="333333"/>
          <w:sz w:val="24"/>
          <w:szCs w:val="24"/>
        </w:rPr>
        <w:t xml:space="preserve">… </w:t>
      </w:r>
      <w:r w:rsidRPr="001A2A61">
        <w:rPr>
          <w:rFonts w:asciiTheme="majorBidi" w:eastAsia="Times New Roman" w:hAnsiTheme="majorBidi" w:cstheme="majorBidi"/>
          <w:color w:val="333333"/>
          <w:sz w:val="24"/>
          <w:szCs w:val="24"/>
        </w:rPr>
        <w:t>The list of situations to which trust relationships pertain is not a closed list, and they pertain "to a wide range of legal relationships"[…]. One of those legal relationships is that between a director and his company. The director controls the company. He manages its affairs externally and internally. All this requires that t</w:t>
      </w:r>
      <w:r w:rsidRPr="001A2A61">
        <w:rPr>
          <w:rFonts w:asciiTheme="majorBidi" w:eastAsia="Times New Roman" w:hAnsiTheme="majorBidi" w:cstheme="majorBidi"/>
          <w:b/>
          <w:bCs/>
          <w:color w:val="333333"/>
          <w:sz w:val="24"/>
          <w:szCs w:val="24"/>
        </w:rPr>
        <w:t>he power be accompanied by responsibility, since power without liability will result in chaos.</w:t>
      </w:r>
      <w:r w:rsidRPr="001A2A61">
        <w:rPr>
          <w:rFonts w:asciiTheme="majorBidi" w:eastAsia="Times New Roman" w:hAnsiTheme="majorBidi" w:cstheme="majorBidi"/>
          <w:color w:val="333333"/>
          <w:sz w:val="24"/>
          <w:szCs w:val="24"/>
        </w:rPr>
        <w:t xml:space="preserve"> […] The obligation of trust is a general obligation, and is incumbent upon the holder of power. The meaning of this obligation is that the holder of the power must act in good faith, honestly, and for the purpose of doing his job well. It is a general principle which is inherent in our system, and putting it into practice requires concretization (see T. Frankel, "Fiduciary Law," 71, Calif. L. Rev. 795 [1983])".</w:t>
      </w:r>
      <w:r w:rsidRPr="001A2A61">
        <w:rPr>
          <w:rStyle w:val="FootnoteReference"/>
          <w:rFonts w:asciiTheme="majorBidi" w:eastAsia="Times New Roman" w:hAnsiTheme="majorBidi" w:cstheme="majorBidi"/>
          <w:color w:val="333333"/>
          <w:sz w:val="24"/>
          <w:szCs w:val="24"/>
        </w:rPr>
        <w:footnoteReference w:id="43"/>
      </w:r>
      <w:r w:rsidRPr="001A2A61">
        <w:rPr>
          <w:rFonts w:asciiTheme="majorBidi" w:eastAsia="Times New Roman" w:hAnsiTheme="majorBidi" w:cstheme="majorBidi"/>
          <w:color w:val="333333"/>
          <w:sz w:val="24"/>
          <w:szCs w:val="24"/>
        </w:rPr>
        <w:t xml:space="preserve"> </w:t>
      </w:r>
    </w:p>
    <w:p w14:paraId="5DA6C98D" w14:textId="26A93B80" w:rsidR="00213D8C" w:rsidRPr="00213D8C" w:rsidRDefault="00213D8C" w:rsidP="009D4E59">
      <w:pPr>
        <w:spacing w:line="480" w:lineRule="auto"/>
        <w:jc w:val="both"/>
        <w:rPr>
          <w:rFonts w:asciiTheme="majorBidi" w:hAnsiTheme="majorBidi" w:cs="David" w:hint="cs"/>
          <w:sz w:val="24"/>
          <w:szCs w:val="24"/>
          <w:rtl/>
        </w:rPr>
      </w:pPr>
    </w:p>
    <w:p w14:paraId="297CF7AF" w14:textId="77777777" w:rsidR="00B60F30" w:rsidRDefault="00B60F30" w:rsidP="00682F6F">
      <w:pPr>
        <w:spacing w:line="480" w:lineRule="auto"/>
        <w:jc w:val="both"/>
        <w:rPr>
          <w:rFonts w:asciiTheme="majorBidi" w:hAnsiTheme="majorBidi" w:cs="David" w:hint="cs"/>
          <w:sz w:val="24"/>
          <w:szCs w:val="24"/>
          <w:rtl/>
        </w:rPr>
      </w:pPr>
      <w:r>
        <w:rPr>
          <w:rFonts w:asciiTheme="majorBidi" w:hAnsiTheme="majorBidi" w:cs="David" w:hint="cs"/>
          <w:sz w:val="24"/>
          <w:szCs w:val="24"/>
          <w:rtl/>
        </w:rPr>
        <w:t>תכלית ההגנה על הצד ה"פגיע" חוזרת במגוון הגדרות של האמונאות. כך למשל, חנוך דגן</w:t>
      </w:r>
      <w:r>
        <w:rPr>
          <w:rStyle w:val="FootnoteReference"/>
          <w:rFonts w:asciiTheme="majorBidi" w:hAnsiTheme="majorBidi" w:cs="David"/>
          <w:sz w:val="24"/>
          <w:szCs w:val="24"/>
          <w:rtl/>
        </w:rPr>
        <w:footnoteReference w:id="44"/>
      </w:r>
      <w:r>
        <w:rPr>
          <w:rFonts w:asciiTheme="majorBidi" w:hAnsiTheme="majorBidi" w:cs="David" w:hint="cs"/>
          <w:sz w:val="24"/>
          <w:szCs w:val="24"/>
          <w:rtl/>
        </w:rPr>
        <w:t xml:space="preserve"> מציין כי </w:t>
      </w:r>
      <w:r w:rsidRPr="007E3D20">
        <w:rPr>
          <w:rFonts w:asciiTheme="majorBidi" w:hAnsiTheme="majorBidi" w:cs="David" w:hint="cs"/>
          <w:b/>
          <w:bCs/>
          <w:sz w:val="24"/>
          <w:szCs w:val="24"/>
          <w:rtl/>
        </w:rPr>
        <w:t>כל</w:t>
      </w:r>
      <w:r>
        <w:rPr>
          <w:rFonts w:asciiTheme="majorBidi" w:hAnsiTheme="majorBidi" w:cs="David" w:hint="cs"/>
          <w:sz w:val="24"/>
          <w:szCs w:val="24"/>
          <w:rtl/>
        </w:rPr>
        <w:t xml:space="preserve"> יחסי האמונאות   </w:t>
      </w:r>
    </w:p>
    <w:p w14:paraId="0242576C" w14:textId="77777777" w:rsidR="00CC6993" w:rsidRDefault="007E3D20" w:rsidP="00B140C0">
      <w:pPr>
        <w:autoSpaceDE w:val="0"/>
        <w:autoSpaceDN w:val="0"/>
        <w:bidi w:val="0"/>
        <w:adjustRightInd w:val="0"/>
        <w:spacing w:after="0" w:line="480" w:lineRule="auto"/>
        <w:jc w:val="both"/>
        <w:rPr>
          <w:rFonts w:ascii="Times New Roman" w:hAnsi="Times New Roman" w:cs="Times New Roman"/>
        </w:rPr>
      </w:pPr>
      <w:r w:rsidRPr="007E3D20">
        <w:rPr>
          <w:rFonts w:asciiTheme="majorBidi" w:hAnsiTheme="majorBidi" w:cstheme="majorBidi"/>
          <w:sz w:val="24"/>
          <w:szCs w:val="24"/>
        </w:rPr>
        <w:t>"</w:t>
      </w:r>
      <w:r w:rsidR="00B60F30" w:rsidRPr="007E3D20">
        <w:rPr>
          <w:rFonts w:asciiTheme="majorBidi" w:hAnsiTheme="majorBidi" w:cstheme="majorBidi"/>
          <w:sz w:val="24"/>
          <w:szCs w:val="24"/>
        </w:rPr>
        <w:t>… emerge in the context of legally-constituted or legally-facilitated roles that create a relationship of dependence and vulnerability wherein one party is subject to the aut</w:t>
      </w:r>
      <w:r w:rsidR="00B140C0">
        <w:rPr>
          <w:rFonts w:asciiTheme="majorBidi" w:hAnsiTheme="majorBidi" w:cstheme="majorBidi"/>
          <w:sz w:val="24"/>
          <w:szCs w:val="24"/>
        </w:rPr>
        <w:t>hority entrusted to the other".</w:t>
      </w:r>
    </w:p>
    <w:p w14:paraId="4DCDDEFC" w14:textId="5B3927AB" w:rsidR="00B60F30" w:rsidRPr="00CC6993" w:rsidRDefault="00CC6993" w:rsidP="00CC6993">
      <w:pPr>
        <w:autoSpaceDE w:val="0"/>
        <w:autoSpaceDN w:val="0"/>
        <w:adjustRightInd w:val="0"/>
        <w:spacing w:after="0" w:line="480" w:lineRule="auto"/>
        <w:jc w:val="both"/>
        <w:rPr>
          <w:rFonts w:ascii="David" w:hAnsi="David" w:cs="David" w:hint="cs"/>
          <w:sz w:val="24"/>
          <w:szCs w:val="24"/>
          <w:rtl/>
        </w:rPr>
      </w:pPr>
      <w:r w:rsidRPr="00CC6993">
        <w:rPr>
          <w:rFonts w:ascii="David" w:hAnsi="David" w:cs="David"/>
          <w:sz w:val="24"/>
          <w:szCs w:val="24"/>
          <w:rtl/>
        </w:rPr>
        <w:t xml:space="preserve">באופן קרוב מציב פול מילר את אלמנט ה-  </w:t>
      </w:r>
      <w:r w:rsidR="00B60F30" w:rsidRPr="00CC6993">
        <w:rPr>
          <w:rFonts w:ascii="David" w:hAnsi="David" w:cs="David"/>
          <w:sz w:val="24"/>
          <w:szCs w:val="24"/>
        </w:rPr>
        <w:t xml:space="preserve"> </w:t>
      </w:r>
      <w:r w:rsidRPr="00CC6993">
        <w:rPr>
          <w:rFonts w:ascii="David" w:hAnsi="David" w:cs="David"/>
          <w:sz w:val="24"/>
          <w:szCs w:val="24"/>
        </w:rPr>
        <w:t>discretionary power</w:t>
      </w:r>
      <w:r w:rsidRPr="00CC6993">
        <w:rPr>
          <w:rFonts w:ascii="David" w:hAnsi="David" w:cs="David"/>
          <w:sz w:val="24"/>
          <w:szCs w:val="24"/>
          <w:rtl/>
        </w:rPr>
        <w:t>של האמונאי בלב ההגדרה של האמונאות:</w:t>
      </w:r>
    </w:p>
    <w:p w14:paraId="1DD653C5" w14:textId="529C3401" w:rsidR="00CC6993" w:rsidRPr="00CC6993" w:rsidRDefault="00A62F1E" w:rsidP="00A62F1E">
      <w:pPr>
        <w:autoSpaceDE w:val="0"/>
        <w:autoSpaceDN w:val="0"/>
        <w:bidi w:val="0"/>
        <w:adjustRightInd w:val="0"/>
        <w:spacing w:after="0" w:line="480" w:lineRule="auto"/>
        <w:jc w:val="both"/>
        <w:rPr>
          <w:rFonts w:asciiTheme="majorBidi" w:hAnsiTheme="majorBidi" w:cstheme="majorBidi"/>
          <w:sz w:val="24"/>
          <w:szCs w:val="24"/>
          <w:rtl/>
        </w:rPr>
      </w:pPr>
      <w:r w:rsidRPr="00622D05">
        <w:rPr>
          <w:rFonts w:asciiTheme="majorBidi" w:hAnsiTheme="majorBidi" w:cstheme="majorBidi"/>
          <w:color w:val="000000" w:themeColor="text1"/>
        </w:rPr>
        <w:t>“[A] fiduciary relationship is one in which one party (the fiduciary) exercises discretionary power over the significant practical interests of another (the beneficiary).”</w:t>
      </w:r>
      <w:r w:rsidR="00CC6993">
        <w:rPr>
          <w:rStyle w:val="FootnoteReference"/>
          <w:rFonts w:asciiTheme="majorBidi" w:hAnsiTheme="majorBidi" w:cstheme="majorBidi"/>
          <w:sz w:val="24"/>
          <w:szCs w:val="24"/>
          <w:rtl/>
        </w:rPr>
        <w:footnoteReference w:id="45"/>
      </w:r>
    </w:p>
    <w:p w14:paraId="6DF03CF1" w14:textId="3EF359D9" w:rsidR="006032D8" w:rsidRPr="00763963" w:rsidRDefault="00CC6993" w:rsidP="002276B6">
      <w:pPr>
        <w:spacing w:line="480" w:lineRule="auto"/>
        <w:jc w:val="both"/>
        <w:rPr>
          <w:rFonts w:asciiTheme="majorBidi" w:hAnsiTheme="majorBidi" w:cs="David"/>
          <w:sz w:val="24"/>
          <w:szCs w:val="24"/>
          <w:rtl/>
        </w:rPr>
      </w:pPr>
      <w:r>
        <w:rPr>
          <w:rFonts w:asciiTheme="majorBidi" w:hAnsiTheme="majorBidi" w:cs="David" w:hint="cs"/>
          <w:sz w:val="24"/>
          <w:szCs w:val="24"/>
          <w:rtl/>
        </w:rPr>
        <w:t>פול מילר מוסיף</w:t>
      </w:r>
      <w:r w:rsidR="00451AE6">
        <w:rPr>
          <w:rFonts w:asciiTheme="majorBidi" w:hAnsiTheme="majorBidi" w:cs="David" w:hint="cs"/>
          <w:sz w:val="24"/>
          <w:szCs w:val="24"/>
          <w:rtl/>
        </w:rPr>
        <w:t xml:space="preserve"> </w:t>
      </w:r>
      <w:r>
        <w:rPr>
          <w:rFonts w:asciiTheme="majorBidi" w:hAnsiTheme="majorBidi" w:cs="David" w:hint="cs"/>
          <w:sz w:val="24"/>
          <w:szCs w:val="24"/>
          <w:rtl/>
        </w:rPr>
        <w:t>ו</w:t>
      </w:r>
      <w:r w:rsidR="00451AE6">
        <w:rPr>
          <w:rFonts w:asciiTheme="majorBidi" w:hAnsiTheme="majorBidi" w:cs="David" w:hint="cs"/>
          <w:sz w:val="24"/>
          <w:szCs w:val="24"/>
          <w:rtl/>
        </w:rPr>
        <w:t>מצהיר על חשיבותם הכללית של העקרונות הנגזרים מדיני אמונאות למערכות יחסים</w:t>
      </w:r>
      <w:r w:rsidR="002276B6">
        <w:rPr>
          <w:rFonts w:asciiTheme="majorBidi" w:hAnsiTheme="majorBidi" w:cs="David" w:hint="cs"/>
          <w:sz w:val="24"/>
          <w:szCs w:val="24"/>
          <w:rtl/>
        </w:rPr>
        <w:t>,</w:t>
      </w:r>
      <w:r w:rsidR="00451AE6">
        <w:rPr>
          <w:rFonts w:asciiTheme="majorBidi" w:hAnsiTheme="majorBidi" w:cs="David" w:hint="cs"/>
          <w:sz w:val="24"/>
          <w:szCs w:val="24"/>
          <w:rtl/>
        </w:rPr>
        <w:t xml:space="preserve"> המאפשר</w:t>
      </w:r>
      <w:r w:rsidR="002276B6">
        <w:rPr>
          <w:rFonts w:asciiTheme="majorBidi" w:hAnsiTheme="majorBidi" w:cs="David" w:hint="cs"/>
          <w:sz w:val="24"/>
          <w:szCs w:val="24"/>
          <w:rtl/>
        </w:rPr>
        <w:t>ות</w:t>
      </w:r>
      <w:r w:rsidR="00451AE6">
        <w:rPr>
          <w:rFonts w:asciiTheme="majorBidi" w:hAnsiTheme="majorBidi" w:cs="David" w:hint="cs"/>
          <w:sz w:val="24"/>
          <w:szCs w:val="24"/>
          <w:rtl/>
        </w:rPr>
        <w:t xml:space="preserve"> תיאום ושיתופי פעולה חברתיים וכלכליים.</w:t>
      </w:r>
      <w:r w:rsidR="00451AE6">
        <w:rPr>
          <w:rStyle w:val="FootnoteReference"/>
          <w:rFonts w:asciiTheme="majorBidi" w:hAnsiTheme="majorBidi" w:cs="David"/>
          <w:sz w:val="24"/>
          <w:szCs w:val="24"/>
          <w:rtl/>
        </w:rPr>
        <w:footnoteReference w:id="46"/>
      </w:r>
      <w:r w:rsidR="00451AE6">
        <w:rPr>
          <w:rFonts w:asciiTheme="majorBidi" w:hAnsiTheme="majorBidi" w:cs="David" w:hint="cs"/>
          <w:sz w:val="24"/>
          <w:szCs w:val="24"/>
          <w:rtl/>
        </w:rPr>
        <w:t xml:space="preserve"> במובן זה</w:t>
      </w:r>
      <w:r w:rsidR="006032D8">
        <w:rPr>
          <w:rFonts w:asciiTheme="majorBidi" w:hAnsiTheme="majorBidi" w:cs="David" w:hint="cs"/>
          <w:sz w:val="24"/>
          <w:szCs w:val="24"/>
          <w:rtl/>
        </w:rPr>
        <w:t xml:space="preserve"> ערכה של האמונאות חורג ממסגרת יחסים אחת קונקרטית והיא נוע</w:t>
      </w:r>
      <w:r w:rsidR="00F83F6D">
        <w:rPr>
          <w:rFonts w:asciiTheme="majorBidi" w:hAnsiTheme="majorBidi" w:cs="David" w:hint="cs"/>
          <w:sz w:val="24"/>
          <w:szCs w:val="24"/>
          <w:rtl/>
        </w:rPr>
        <w:t xml:space="preserve">דה </w:t>
      </w:r>
      <w:r w:rsidR="001801F4">
        <w:rPr>
          <w:rFonts w:asciiTheme="majorBidi" w:hAnsiTheme="majorBidi" w:cs="David" w:hint="cs"/>
          <w:sz w:val="24"/>
          <w:szCs w:val="24"/>
          <w:rtl/>
        </w:rPr>
        <w:t xml:space="preserve">לקדם </w:t>
      </w:r>
      <w:r w:rsidR="00F83F6D">
        <w:rPr>
          <w:rFonts w:asciiTheme="majorBidi" w:hAnsiTheme="majorBidi" w:cs="David" w:hint="cs"/>
          <w:sz w:val="24"/>
          <w:szCs w:val="24"/>
          <w:rtl/>
        </w:rPr>
        <w:t>טובין חברתיים חשובים:</w:t>
      </w:r>
    </w:p>
    <w:p w14:paraId="345EC9C2" w14:textId="77777777" w:rsidR="006032D8" w:rsidRDefault="006032D8" w:rsidP="00451AE6">
      <w:pPr>
        <w:autoSpaceDE w:val="0"/>
        <w:autoSpaceDN w:val="0"/>
        <w:bidi w:val="0"/>
        <w:adjustRightInd w:val="0"/>
        <w:spacing w:after="0" w:line="480" w:lineRule="auto"/>
        <w:jc w:val="both"/>
        <w:rPr>
          <w:rFonts w:asciiTheme="majorBidi" w:hAnsiTheme="majorBidi" w:cs="David"/>
          <w:sz w:val="24"/>
          <w:szCs w:val="24"/>
        </w:rPr>
      </w:pPr>
      <w:r w:rsidRPr="00763963">
        <w:rPr>
          <w:rFonts w:asciiTheme="majorBidi" w:hAnsiTheme="majorBidi" w:cs="David"/>
          <w:sz w:val="24"/>
          <w:szCs w:val="24"/>
        </w:rPr>
        <w:t>"There is reason to believe that fiduciary relationships are important to the realization of a variety of morally important goods.</w:t>
      </w:r>
      <w:r w:rsidR="00451AE6">
        <w:rPr>
          <w:rFonts w:asciiTheme="majorBidi" w:hAnsiTheme="majorBidi" w:cs="David"/>
          <w:sz w:val="24"/>
          <w:szCs w:val="24"/>
        </w:rPr>
        <w:t xml:space="preserve"> </w:t>
      </w:r>
      <w:r w:rsidRPr="00763963">
        <w:rPr>
          <w:rFonts w:asciiTheme="majorBidi" w:hAnsiTheme="majorBidi" w:cs="David"/>
          <w:sz w:val="24"/>
          <w:szCs w:val="24"/>
        </w:rPr>
        <w:t>They are a means by which private wealth is secured and/or maximized. They shape the provision of professional services and so indirectly contribute to moral goods realized through the performance of professional roles. Fiduciary principles have informed our understanding of child-focused parenting obligations, including prioritization of the best interests of children. More broadly, fiduciary relationships facilitate interpersonal reliance in the performance of specialized functions and in the achievement of</w:t>
      </w:r>
      <w:r>
        <w:rPr>
          <w:rFonts w:asciiTheme="majorBidi" w:hAnsiTheme="majorBidi" w:cs="David"/>
          <w:sz w:val="24"/>
          <w:szCs w:val="24"/>
        </w:rPr>
        <w:t xml:space="preserve"> </w:t>
      </w:r>
      <w:r w:rsidRPr="00763963">
        <w:rPr>
          <w:rFonts w:asciiTheme="majorBidi" w:hAnsiTheme="majorBidi" w:cs="David"/>
          <w:sz w:val="24"/>
          <w:szCs w:val="24"/>
        </w:rPr>
        <w:t>coordination within groups, making it more likely that we will realize various goods that can only - or best - be achieved through specialization and coordination"</w:t>
      </w:r>
      <w:r>
        <w:rPr>
          <w:rFonts w:asciiTheme="majorBidi" w:hAnsiTheme="majorBidi" w:cs="David"/>
          <w:sz w:val="24"/>
          <w:szCs w:val="24"/>
        </w:rPr>
        <w:t>.</w:t>
      </w:r>
      <w:r w:rsidR="00F83F6D">
        <w:rPr>
          <w:rStyle w:val="FootnoteReference"/>
          <w:rFonts w:asciiTheme="majorBidi" w:hAnsiTheme="majorBidi" w:cs="David"/>
          <w:sz w:val="24"/>
          <w:szCs w:val="24"/>
        </w:rPr>
        <w:footnoteReference w:id="47"/>
      </w:r>
    </w:p>
    <w:p w14:paraId="336EFA02" w14:textId="2F758765" w:rsidR="00AA70C4" w:rsidRDefault="00D027EF" w:rsidP="00CC6993">
      <w:pPr>
        <w:autoSpaceDE w:val="0"/>
        <w:autoSpaceDN w:val="0"/>
        <w:adjustRightInd w:val="0"/>
        <w:spacing w:after="0" w:line="480" w:lineRule="auto"/>
        <w:jc w:val="both"/>
        <w:rPr>
          <w:rFonts w:asciiTheme="majorBidi" w:hAnsiTheme="majorBidi" w:cs="David"/>
          <w:sz w:val="24"/>
          <w:szCs w:val="24"/>
          <w:rtl/>
        </w:rPr>
      </w:pPr>
      <w:r>
        <w:rPr>
          <w:rFonts w:asciiTheme="majorBidi" w:hAnsiTheme="majorBidi" w:cs="David" w:hint="cs"/>
          <w:sz w:val="24"/>
          <w:szCs w:val="24"/>
          <w:rtl/>
        </w:rPr>
        <w:t>אף עלי בוקשפן, העומד בהרחבה על מקומו של האמון כנורמה חברתית ומשפטית, מדגיש (בין היתר) את משמעות</w:t>
      </w:r>
      <w:r w:rsidR="00AA70C4">
        <w:rPr>
          <w:rFonts w:asciiTheme="majorBidi" w:hAnsiTheme="majorBidi" w:cs="David" w:hint="cs"/>
          <w:sz w:val="24"/>
          <w:szCs w:val="24"/>
          <w:rtl/>
        </w:rPr>
        <w:t>ו</w:t>
      </w:r>
      <w:r>
        <w:rPr>
          <w:rFonts w:asciiTheme="majorBidi" w:hAnsiTheme="majorBidi" w:cs="David" w:hint="cs"/>
          <w:sz w:val="24"/>
          <w:szCs w:val="24"/>
          <w:rtl/>
        </w:rPr>
        <w:t xml:space="preserve"> </w:t>
      </w:r>
      <w:r w:rsidR="00CC6993">
        <w:rPr>
          <w:rFonts w:asciiTheme="majorBidi" w:hAnsiTheme="majorBidi" w:cs="David" w:hint="cs"/>
          <w:sz w:val="24"/>
          <w:szCs w:val="24"/>
          <w:rtl/>
        </w:rPr>
        <w:t>כאמצעי להשגת:</w:t>
      </w:r>
    </w:p>
    <w:p w14:paraId="4379F319" w14:textId="77777777" w:rsidR="006032D8" w:rsidRPr="00AA70C4" w:rsidRDefault="00AA70C4" w:rsidP="00AA70C4">
      <w:pPr>
        <w:autoSpaceDE w:val="0"/>
        <w:autoSpaceDN w:val="0"/>
        <w:bidi w:val="0"/>
        <w:adjustRightInd w:val="0"/>
        <w:spacing w:after="0" w:line="480" w:lineRule="auto"/>
        <w:jc w:val="both"/>
        <w:rPr>
          <w:rFonts w:asciiTheme="majorBidi" w:hAnsiTheme="majorBidi" w:cs="David"/>
          <w:sz w:val="24"/>
          <w:szCs w:val="24"/>
        </w:rPr>
      </w:pPr>
      <w:r w:rsidRPr="00AA70C4">
        <w:rPr>
          <w:rFonts w:ascii="Times New Roman" w:hAnsi="Times New Roman" w:cs="Times New Roman"/>
          <w:sz w:val="24"/>
          <w:szCs w:val="24"/>
        </w:rPr>
        <w:t>"… universal goals of cooperation, risktaking, and fulfillment of reasonable expectations</w:t>
      </w:r>
      <w:r>
        <w:rPr>
          <w:rFonts w:asciiTheme="majorBidi" w:hAnsiTheme="majorBidi" w:cs="David"/>
          <w:sz w:val="24"/>
          <w:szCs w:val="24"/>
        </w:rPr>
        <w:t>.</w:t>
      </w:r>
      <w:r w:rsidRPr="00AA70C4">
        <w:rPr>
          <w:rFonts w:asciiTheme="majorBidi" w:hAnsiTheme="majorBidi" w:cs="David"/>
          <w:sz w:val="24"/>
          <w:szCs w:val="24"/>
        </w:rPr>
        <w:t>"</w:t>
      </w:r>
      <w:r>
        <w:rPr>
          <w:rStyle w:val="FootnoteReference"/>
          <w:rFonts w:asciiTheme="majorBidi" w:hAnsiTheme="majorBidi" w:cs="David"/>
          <w:sz w:val="24"/>
          <w:szCs w:val="24"/>
        </w:rPr>
        <w:footnoteReference w:id="48"/>
      </w:r>
    </w:p>
    <w:p w14:paraId="386FCDCA" w14:textId="77777777" w:rsidR="00451AE6" w:rsidRDefault="00451AE6" w:rsidP="00451AE6">
      <w:pPr>
        <w:spacing w:line="480" w:lineRule="auto"/>
        <w:jc w:val="both"/>
        <w:rPr>
          <w:rFonts w:asciiTheme="majorBidi" w:hAnsiTheme="majorBidi" w:cs="David"/>
          <w:sz w:val="24"/>
          <w:szCs w:val="24"/>
          <w:rtl/>
        </w:rPr>
      </w:pPr>
      <w:r w:rsidRPr="008C18E4">
        <w:rPr>
          <w:rFonts w:asciiTheme="majorBidi" w:hAnsiTheme="majorBidi" w:cs="David" w:hint="cs"/>
          <w:sz w:val="24"/>
          <w:szCs w:val="24"/>
          <w:rtl/>
        </w:rPr>
        <w:t>חשיבות זאת קיימת, כפי שיוסבר בחלק הבא, גם (</w:t>
      </w:r>
      <w:r>
        <w:rPr>
          <w:rFonts w:asciiTheme="majorBidi" w:hAnsiTheme="majorBidi" w:cs="David" w:hint="cs"/>
          <w:sz w:val="24"/>
          <w:szCs w:val="24"/>
          <w:rtl/>
        </w:rPr>
        <w:t>ו</w:t>
      </w:r>
      <w:r w:rsidRPr="008C18E4">
        <w:rPr>
          <w:rFonts w:asciiTheme="majorBidi" w:hAnsiTheme="majorBidi" w:cs="David" w:hint="cs"/>
          <w:sz w:val="24"/>
          <w:szCs w:val="24"/>
          <w:rtl/>
        </w:rPr>
        <w:t>אולי אף ביתר שאת) בנגזרת המשפחתית, אשר ע</w:t>
      </w:r>
      <w:r w:rsidR="00AA70C4">
        <w:rPr>
          <w:rFonts w:asciiTheme="majorBidi" w:hAnsiTheme="majorBidi" w:cs="David" w:hint="cs"/>
          <w:sz w:val="24"/>
          <w:szCs w:val="24"/>
          <w:rtl/>
        </w:rPr>
        <w:t>צם קיומה תלוי בשיתוף פעולה</w:t>
      </w:r>
      <w:r w:rsidRPr="008C18E4">
        <w:rPr>
          <w:rFonts w:asciiTheme="majorBidi" w:hAnsiTheme="majorBidi" w:cs="David" w:hint="cs"/>
          <w:sz w:val="24"/>
          <w:szCs w:val="24"/>
          <w:rtl/>
        </w:rPr>
        <w:t xml:space="preserve"> בין חבריה.</w:t>
      </w:r>
    </w:p>
    <w:p w14:paraId="343691B4" w14:textId="77777777" w:rsidR="00044DF7" w:rsidRDefault="000577AF" w:rsidP="006032D8">
      <w:pPr>
        <w:spacing w:line="480" w:lineRule="auto"/>
        <w:jc w:val="both"/>
        <w:rPr>
          <w:rFonts w:asciiTheme="majorBidi" w:hAnsiTheme="majorBidi" w:cs="David"/>
          <w:sz w:val="24"/>
          <w:szCs w:val="24"/>
          <w:rtl/>
        </w:rPr>
      </w:pPr>
      <w:r>
        <w:rPr>
          <w:rFonts w:asciiTheme="majorBidi" w:hAnsiTheme="majorBidi" w:cs="David" w:hint="cs"/>
          <w:sz w:val="24"/>
          <w:szCs w:val="24"/>
          <w:rtl/>
        </w:rPr>
        <w:t>תמר פרנקל</w:t>
      </w:r>
      <w:r w:rsidR="006032D8">
        <w:rPr>
          <w:rFonts w:asciiTheme="majorBidi" w:hAnsiTheme="majorBidi" w:cs="David" w:hint="cs"/>
          <w:sz w:val="24"/>
          <w:szCs w:val="24"/>
          <w:rtl/>
        </w:rPr>
        <w:t xml:space="preserve"> </w:t>
      </w:r>
      <w:r w:rsidR="00451AE6">
        <w:rPr>
          <w:rFonts w:asciiTheme="majorBidi" w:hAnsiTheme="majorBidi" w:cs="David" w:hint="cs"/>
          <w:sz w:val="24"/>
          <w:szCs w:val="24"/>
          <w:rtl/>
        </w:rPr>
        <w:t xml:space="preserve">אף היא </w:t>
      </w:r>
      <w:r w:rsidR="006032D8">
        <w:rPr>
          <w:rFonts w:asciiTheme="majorBidi" w:hAnsiTheme="majorBidi" w:cs="David" w:hint="cs"/>
          <w:sz w:val="24"/>
          <w:szCs w:val="24"/>
          <w:rtl/>
        </w:rPr>
        <w:t xml:space="preserve">מדגישה את </w:t>
      </w:r>
      <w:r w:rsidR="00805D9B">
        <w:rPr>
          <w:rFonts w:asciiTheme="majorBidi" w:hAnsiTheme="majorBidi" w:cs="David" w:hint="cs"/>
          <w:sz w:val="24"/>
          <w:szCs w:val="24"/>
          <w:rtl/>
        </w:rPr>
        <w:t xml:space="preserve">ערכה החברתי </w:t>
      </w:r>
      <w:r w:rsidR="006032D8">
        <w:rPr>
          <w:rFonts w:asciiTheme="majorBidi" w:hAnsiTheme="majorBidi" w:cs="David" w:hint="cs"/>
          <w:sz w:val="24"/>
          <w:szCs w:val="24"/>
          <w:rtl/>
        </w:rPr>
        <w:t>של האמונאות</w:t>
      </w:r>
      <w:r w:rsidR="00EB533D">
        <w:rPr>
          <w:rFonts w:asciiTheme="majorBidi" w:hAnsiTheme="majorBidi" w:cs="David" w:hint="cs"/>
          <w:sz w:val="24"/>
          <w:szCs w:val="24"/>
          <w:rtl/>
        </w:rPr>
        <w:t xml:space="preserve">: </w:t>
      </w:r>
    </w:p>
    <w:p w14:paraId="2C807FA2" w14:textId="77777777" w:rsidR="00044DF7" w:rsidRPr="00763963" w:rsidRDefault="00044DF7" w:rsidP="00044DF7">
      <w:pPr>
        <w:bidi w:val="0"/>
        <w:spacing w:line="480" w:lineRule="auto"/>
        <w:jc w:val="both"/>
        <w:rPr>
          <w:rFonts w:asciiTheme="majorBidi" w:hAnsiTheme="majorBidi" w:cs="David"/>
          <w:sz w:val="24"/>
          <w:szCs w:val="24"/>
        </w:rPr>
      </w:pPr>
      <w:r>
        <w:rPr>
          <w:rFonts w:asciiTheme="majorBidi" w:hAnsiTheme="majorBidi" w:cs="David"/>
          <w:sz w:val="24"/>
          <w:szCs w:val="24"/>
        </w:rPr>
        <w:t>"</w:t>
      </w:r>
      <w:r w:rsidRPr="00763963">
        <w:rPr>
          <w:rFonts w:asciiTheme="majorBidi" w:hAnsiTheme="majorBidi" w:cs="David"/>
          <w:sz w:val="24"/>
          <w:szCs w:val="24"/>
        </w:rPr>
        <w:t>Regardless of whether they are enforced by law, by social rules, or by cultural pressures,</w:t>
      </w:r>
      <w:r>
        <w:rPr>
          <w:rFonts w:asciiTheme="majorBidi" w:hAnsiTheme="majorBidi" w:cs="David"/>
          <w:sz w:val="24"/>
          <w:szCs w:val="24"/>
        </w:rPr>
        <w:t xml:space="preserve"> </w:t>
      </w:r>
      <w:r w:rsidRPr="00763963">
        <w:rPr>
          <w:rFonts w:asciiTheme="majorBidi" w:hAnsiTheme="majorBidi" w:cs="David"/>
          <w:sz w:val="24"/>
          <w:szCs w:val="24"/>
        </w:rPr>
        <w:t>fiduciary rules are a condition to the long-term well-being of a human society. These</w:t>
      </w:r>
      <w:r>
        <w:rPr>
          <w:rFonts w:asciiTheme="majorBidi" w:hAnsiTheme="majorBidi" w:cs="David"/>
          <w:sz w:val="24"/>
          <w:szCs w:val="24"/>
        </w:rPr>
        <w:t xml:space="preserve"> </w:t>
      </w:r>
      <w:r w:rsidRPr="00763963">
        <w:rPr>
          <w:rFonts w:asciiTheme="majorBidi" w:hAnsiTheme="majorBidi" w:cs="David"/>
          <w:sz w:val="24"/>
          <w:szCs w:val="24"/>
        </w:rPr>
        <w:t>rules constitute a condition to cooperate-relationships, which requires justly rewarded</w:t>
      </w:r>
      <w:r>
        <w:rPr>
          <w:rFonts w:asciiTheme="majorBidi" w:hAnsiTheme="majorBidi" w:cs="David"/>
          <w:sz w:val="24"/>
          <w:szCs w:val="24"/>
        </w:rPr>
        <w:t xml:space="preserve"> </w:t>
      </w:r>
      <w:r w:rsidRPr="00763963">
        <w:rPr>
          <w:rFonts w:asciiTheme="majorBidi" w:hAnsiTheme="majorBidi" w:cs="David"/>
          <w:sz w:val="24"/>
          <w:szCs w:val="24"/>
        </w:rPr>
        <w:t>truthful and reliable expertise and service by humans to other humans. Those who do not</w:t>
      </w:r>
      <w:r>
        <w:rPr>
          <w:rFonts w:asciiTheme="majorBidi" w:hAnsiTheme="majorBidi" w:cs="David"/>
          <w:sz w:val="24"/>
          <w:szCs w:val="24"/>
        </w:rPr>
        <w:t xml:space="preserve"> </w:t>
      </w:r>
      <w:r w:rsidRPr="00763963">
        <w:rPr>
          <w:rFonts w:asciiTheme="majorBidi" w:hAnsiTheme="majorBidi" w:cs="David"/>
          <w:sz w:val="24"/>
          <w:szCs w:val="24"/>
        </w:rPr>
        <w:t>wish to live in a community where fraud is admired and is practiced, and where</w:t>
      </w:r>
      <w:r>
        <w:rPr>
          <w:rFonts w:asciiTheme="majorBidi" w:hAnsiTheme="majorBidi" w:cs="David"/>
          <w:sz w:val="24"/>
          <w:szCs w:val="24"/>
        </w:rPr>
        <w:t xml:space="preserve"> </w:t>
      </w:r>
      <w:r w:rsidRPr="00763963">
        <w:rPr>
          <w:rFonts w:asciiTheme="majorBidi" w:hAnsiTheme="majorBidi" w:cs="David"/>
          <w:sz w:val="24"/>
          <w:szCs w:val="24"/>
        </w:rPr>
        <w:t>suspicious reigns, might better remember that freedom should not include what fiduciary</w:t>
      </w:r>
      <w:r>
        <w:rPr>
          <w:rFonts w:asciiTheme="majorBidi" w:hAnsiTheme="majorBidi" w:cs="David"/>
          <w:sz w:val="24"/>
          <w:szCs w:val="24"/>
        </w:rPr>
        <w:t xml:space="preserve"> law prohibits".</w:t>
      </w:r>
      <w:r>
        <w:rPr>
          <w:rStyle w:val="FootnoteReference"/>
          <w:rFonts w:asciiTheme="majorBidi" w:hAnsiTheme="majorBidi" w:cs="David"/>
          <w:sz w:val="24"/>
          <w:szCs w:val="24"/>
        </w:rPr>
        <w:footnoteReference w:id="49"/>
      </w:r>
    </w:p>
    <w:p w14:paraId="58AD2A24" w14:textId="77777777" w:rsidR="00EB533D" w:rsidRDefault="00EB533D" w:rsidP="00D7494B">
      <w:pPr>
        <w:spacing w:line="480" w:lineRule="auto"/>
        <w:jc w:val="both"/>
        <w:rPr>
          <w:rFonts w:asciiTheme="majorBidi" w:hAnsiTheme="majorBidi" w:cs="David" w:hint="cs"/>
          <w:sz w:val="24"/>
          <w:szCs w:val="24"/>
          <w:rtl/>
        </w:rPr>
      </w:pPr>
      <w:r>
        <w:rPr>
          <w:rFonts w:asciiTheme="majorBidi" w:hAnsiTheme="majorBidi" w:cs="David" w:hint="cs"/>
          <w:sz w:val="24"/>
          <w:szCs w:val="24"/>
          <w:rtl/>
        </w:rPr>
        <w:t xml:space="preserve">אמירה זאת מתכתבת עם החשש המרכזי הקיים </w:t>
      </w:r>
      <w:r w:rsidR="006264F7">
        <w:rPr>
          <w:rFonts w:asciiTheme="majorBidi" w:hAnsiTheme="majorBidi" w:cs="David" w:hint="cs"/>
          <w:sz w:val="24"/>
          <w:szCs w:val="24"/>
          <w:rtl/>
        </w:rPr>
        <w:t xml:space="preserve">מהחלה נרחבת של דיני אמונאות, והוא התערבות גדולה מדי </w:t>
      </w:r>
      <w:r w:rsidR="00511224">
        <w:rPr>
          <w:rFonts w:asciiTheme="majorBidi" w:hAnsiTheme="majorBidi" w:cs="David" w:hint="cs"/>
          <w:sz w:val="24"/>
          <w:szCs w:val="24"/>
          <w:rtl/>
        </w:rPr>
        <w:t>בהתנהלות הפרט</w:t>
      </w:r>
      <w:r w:rsidR="00891D35">
        <w:rPr>
          <w:rFonts w:asciiTheme="majorBidi" w:hAnsiTheme="majorBidi" w:cs="David" w:hint="cs"/>
          <w:sz w:val="24"/>
          <w:szCs w:val="24"/>
          <w:rtl/>
        </w:rPr>
        <w:t>,</w:t>
      </w:r>
      <w:r w:rsidR="00511224">
        <w:rPr>
          <w:rFonts w:asciiTheme="majorBidi" w:hAnsiTheme="majorBidi" w:cs="David" w:hint="cs"/>
          <w:sz w:val="24"/>
          <w:szCs w:val="24"/>
          <w:rtl/>
        </w:rPr>
        <w:t xml:space="preserve"> </w:t>
      </w:r>
      <w:r w:rsidR="006264F7">
        <w:rPr>
          <w:rFonts w:asciiTheme="majorBidi" w:hAnsiTheme="majorBidi" w:cs="David" w:hint="cs"/>
          <w:sz w:val="24"/>
          <w:szCs w:val="24"/>
          <w:rtl/>
        </w:rPr>
        <w:t>אשר תפגע בחירות</w:t>
      </w:r>
      <w:r w:rsidR="00805D9B">
        <w:rPr>
          <w:rFonts w:asciiTheme="majorBidi" w:hAnsiTheme="majorBidi" w:cs="David" w:hint="cs"/>
          <w:sz w:val="24"/>
          <w:szCs w:val="24"/>
          <w:rtl/>
        </w:rPr>
        <w:t xml:space="preserve">. </w:t>
      </w:r>
      <w:r w:rsidR="00511224">
        <w:rPr>
          <w:rFonts w:asciiTheme="majorBidi" w:hAnsiTheme="majorBidi" w:cs="David" w:hint="cs"/>
          <w:sz w:val="24"/>
          <w:szCs w:val="24"/>
          <w:rtl/>
        </w:rPr>
        <w:t>ואולם</w:t>
      </w:r>
      <w:r w:rsidR="00EB4F52">
        <w:rPr>
          <w:rFonts w:asciiTheme="majorBidi" w:hAnsiTheme="majorBidi" w:cs="David" w:hint="cs"/>
          <w:sz w:val="24"/>
          <w:szCs w:val="24"/>
          <w:rtl/>
        </w:rPr>
        <w:t>,</w:t>
      </w:r>
      <w:r w:rsidR="00511224">
        <w:rPr>
          <w:rFonts w:asciiTheme="majorBidi" w:hAnsiTheme="majorBidi" w:cs="David" w:hint="cs"/>
          <w:sz w:val="24"/>
          <w:szCs w:val="24"/>
          <w:rtl/>
        </w:rPr>
        <w:t xml:space="preserve"> </w:t>
      </w:r>
      <w:r w:rsidR="006264F7">
        <w:rPr>
          <w:rFonts w:asciiTheme="majorBidi" w:hAnsiTheme="majorBidi" w:cs="David" w:hint="cs"/>
          <w:sz w:val="24"/>
          <w:szCs w:val="24"/>
          <w:rtl/>
        </w:rPr>
        <w:t xml:space="preserve">כפי שעולה מדבריה, כמו גם מדברי </w:t>
      </w:r>
      <w:r w:rsidR="000577AF">
        <w:rPr>
          <w:rFonts w:asciiTheme="majorBidi" w:hAnsiTheme="majorBidi" w:cs="David" w:hint="cs"/>
          <w:sz w:val="24"/>
          <w:szCs w:val="24"/>
          <w:rtl/>
        </w:rPr>
        <w:t xml:space="preserve">אהרן </w:t>
      </w:r>
      <w:r w:rsidR="006264F7">
        <w:rPr>
          <w:rFonts w:asciiTheme="majorBidi" w:hAnsiTheme="majorBidi" w:cs="David" w:hint="cs"/>
          <w:sz w:val="24"/>
          <w:szCs w:val="24"/>
          <w:rtl/>
        </w:rPr>
        <w:t>ברק בקוס</w:t>
      </w:r>
      <w:r w:rsidR="00511224">
        <w:rPr>
          <w:rFonts w:asciiTheme="majorBidi" w:hAnsiTheme="majorBidi" w:cs="David" w:hint="cs"/>
          <w:sz w:val="24"/>
          <w:szCs w:val="24"/>
          <w:rtl/>
        </w:rPr>
        <w:t>וי, כוח ללא מגבלות מוביל לשרירות</w:t>
      </w:r>
      <w:r w:rsidR="00A1207B">
        <w:rPr>
          <w:rFonts w:asciiTheme="majorBidi" w:hAnsiTheme="majorBidi" w:cs="David" w:hint="cs"/>
          <w:sz w:val="24"/>
          <w:szCs w:val="24"/>
          <w:rtl/>
        </w:rPr>
        <w:t>, או כפי שהטעים אוריאל פרוקצ'יה,</w:t>
      </w:r>
      <w:r w:rsidR="00A1207B">
        <w:rPr>
          <w:rStyle w:val="FootnoteReference"/>
          <w:rFonts w:asciiTheme="majorBidi" w:hAnsiTheme="majorBidi" w:cs="David"/>
          <w:sz w:val="24"/>
          <w:szCs w:val="24"/>
          <w:rtl/>
        </w:rPr>
        <w:footnoteReference w:id="50"/>
      </w:r>
      <w:r w:rsidR="00A1207B">
        <w:rPr>
          <w:rFonts w:asciiTheme="majorBidi" w:hAnsiTheme="majorBidi" w:cs="David" w:hint="cs"/>
          <w:sz w:val="24"/>
          <w:szCs w:val="24"/>
          <w:rtl/>
        </w:rPr>
        <w:t xml:space="preserve"> להפקרות. </w:t>
      </w:r>
      <w:r w:rsidR="00BC49CD">
        <w:rPr>
          <w:rFonts w:asciiTheme="majorBidi" w:hAnsiTheme="majorBidi" w:cs="David" w:hint="cs"/>
          <w:sz w:val="24"/>
          <w:szCs w:val="24"/>
          <w:rtl/>
        </w:rPr>
        <w:t>ו</w:t>
      </w:r>
      <w:r w:rsidR="00A1207B">
        <w:rPr>
          <w:rFonts w:asciiTheme="majorBidi" w:hAnsiTheme="majorBidi" w:cs="David" w:hint="cs"/>
          <w:sz w:val="24"/>
          <w:szCs w:val="24"/>
          <w:rtl/>
        </w:rPr>
        <w:t>הפקרות ושרירות</w:t>
      </w:r>
      <w:r w:rsidR="007D4C83">
        <w:rPr>
          <w:rFonts w:asciiTheme="majorBidi" w:hAnsiTheme="majorBidi" w:cs="David" w:hint="cs"/>
          <w:sz w:val="24"/>
          <w:szCs w:val="24"/>
          <w:rtl/>
        </w:rPr>
        <w:t xml:space="preserve"> הרי</w:t>
      </w:r>
      <w:r w:rsidR="00511224">
        <w:rPr>
          <w:rFonts w:asciiTheme="majorBidi" w:hAnsiTheme="majorBidi" w:cs="David" w:hint="cs"/>
          <w:sz w:val="24"/>
          <w:szCs w:val="24"/>
          <w:rtl/>
        </w:rPr>
        <w:t xml:space="preserve"> עומד</w:t>
      </w:r>
      <w:r w:rsidR="00A1207B">
        <w:rPr>
          <w:rFonts w:asciiTheme="majorBidi" w:hAnsiTheme="majorBidi" w:cs="David" w:hint="cs"/>
          <w:sz w:val="24"/>
          <w:szCs w:val="24"/>
          <w:rtl/>
        </w:rPr>
        <w:t>ו</w:t>
      </w:r>
      <w:r w:rsidR="00511224">
        <w:rPr>
          <w:rFonts w:asciiTheme="majorBidi" w:hAnsiTheme="majorBidi" w:cs="David" w:hint="cs"/>
          <w:sz w:val="24"/>
          <w:szCs w:val="24"/>
          <w:rtl/>
        </w:rPr>
        <w:t xml:space="preserve">ת בסתירה לחירות.  </w:t>
      </w:r>
    </w:p>
    <w:p w14:paraId="1C0ADF28" w14:textId="2FB0A1F5" w:rsidR="00CC6993" w:rsidRPr="004708AE" w:rsidRDefault="00CC6993" w:rsidP="002276B6">
      <w:pPr>
        <w:spacing w:line="480" w:lineRule="auto"/>
        <w:jc w:val="both"/>
        <w:rPr>
          <w:rFonts w:asciiTheme="majorBidi" w:hAnsiTheme="majorBidi" w:cs="David" w:hint="cs"/>
          <w:sz w:val="24"/>
          <w:szCs w:val="24"/>
          <w:rtl/>
        </w:rPr>
      </w:pPr>
      <w:r w:rsidRPr="004708AE">
        <w:rPr>
          <w:rFonts w:asciiTheme="majorBidi" w:hAnsiTheme="majorBidi" w:cs="David" w:hint="cs"/>
          <w:sz w:val="24"/>
          <w:szCs w:val="24"/>
          <w:rtl/>
        </w:rPr>
        <w:t>נדמה כי תשתית זאת מספק</w:t>
      </w:r>
      <w:r w:rsidR="004708AE" w:rsidRPr="004708AE">
        <w:rPr>
          <w:rFonts w:asciiTheme="majorBidi" w:hAnsiTheme="majorBidi" w:cs="David" w:hint="cs"/>
          <w:sz w:val="24"/>
          <w:szCs w:val="24"/>
          <w:rtl/>
        </w:rPr>
        <w:t>ת</w:t>
      </w:r>
      <w:r w:rsidRPr="004708AE">
        <w:rPr>
          <w:rFonts w:asciiTheme="majorBidi" w:hAnsiTheme="majorBidi" w:cs="David" w:hint="cs"/>
          <w:sz w:val="24"/>
          <w:szCs w:val="24"/>
          <w:rtl/>
        </w:rPr>
        <w:t xml:space="preserve"> לצורך ביסוס </w:t>
      </w:r>
      <w:r w:rsidR="004708AE" w:rsidRPr="004708AE">
        <w:rPr>
          <w:rFonts w:asciiTheme="majorBidi" w:hAnsiTheme="majorBidi" w:cs="David" w:hint="cs"/>
          <w:sz w:val="24"/>
          <w:szCs w:val="24"/>
          <w:rtl/>
        </w:rPr>
        <w:t>רעיוני-ראשוני ליחסי אמונאות בין ההורה החורג להורה הלא משמורן. ההורה החורג</w:t>
      </w:r>
      <w:r w:rsidR="00D82CD1">
        <w:rPr>
          <w:rFonts w:asciiTheme="majorBidi" w:hAnsiTheme="majorBidi" w:cs="David" w:hint="cs"/>
          <w:sz w:val="24"/>
          <w:szCs w:val="24"/>
          <w:rtl/>
        </w:rPr>
        <w:t>,</w:t>
      </w:r>
      <w:r w:rsidR="00C13BD1">
        <w:rPr>
          <w:rFonts w:asciiTheme="majorBidi" w:hAnsiTheme="majorBidi" w:cs="David" w:hint="cs"/>
          <w:sz w:val="24"/>
          <w:szCs w:val="24"/>
          <w:rtl/>
        </w:rPr>
        <w:t xml:space="preserve"> במקום שהוא ממלא בחיי הילד</w:t>
      </w:r>
      <w:r w:rsidR="004708AE" w:rsidRPr="004708AE">
        <w:rPr>
          <w:rFonts w:asciiTheme="majorBidi" w:hAnsiTheme="majorBidi" w:cs="David" w:hint="cs"/>
          <w:sz w:val="24"/>
          <w:szCs w:val="24"/>
          <w:rtl/>
        </w:rPr>
        <w:t xml:space="preserve"> מחזיק </w:t>
      </w:r>
      <w:r w:rsidR="004708AE" w:rsidRPr="004708AE">
        <w:rPr>
          <w:rFonts w:ascii="David" w:hAnsi="David" w:cs="David"/>
          <w:sz w:val="24"/>
          <w:szCs w:val="24"/>
        </w:rPr>
        <w:t>discretionary power</w:t>
      </w:r>
      <w:r w:rsidR="004708AE" w:rsidRPr="004708AE">
        <w:rPr>
          <w:rFonts w:asciiTheme="majorBidi" w:hAnsiTheme="majorBidi" w:cs="David" w:hint="cs"/>
          <w:sz w:val="24"/>
          <w:szCs w:val="24"/>
          <w:rtl/>
        </w:rPr>
        <w:t xml:space="preserve"> </w:t>
      </w:r>
      <w:r w:rsidR="002276B6">
        <w:rPr>
          <w:rFonts w:asciiTheme="majorBidi" w:hAnsiTheme="majorBidi" w:cs="David" w:hint="cs"/>
          <w:sz w:val="24"/>
          <w:szCs w:val="24"/>
          <w:rtl/>
        </w:rPr>
        <w:t xml:space="preserve">ביחס להורה הלא משמורן, </w:t>
      </w:r>
      <w:r w:rsidR="004708AE" w:rsidRPr="004708AE">
        <w:rPr>
          <w:rFonts w:asciiTheme="majorBidi" w:hAnsiTheme="majorBidi" w:cs="David" w:hint="cs"/>
          <w:sz w:val="24"/>
          <w:szCs w:val="24"/>
          <w:rtl/>
        </w:rPr>
        <w:t xml:space="preserve">וניצב בעמדת כוח ביחס </w:t>
      </w:r>
      <w:r w:rsidR="002276B6">
        <w:rPr>
          <w:rFonts w:asciiTheme="majorBidi" w:hAnsiTheme="majorBidi" w:cs="David" w:hint="cs"/>
          <w:sz w:val="24"/>
          <w:szCs w:val="24"/>
          <w:rtl/>
        </w:rPr>
        <w:t>אליו</w:t>
      </w:r>
      <w:r w:rsidR="004708AE" w:rsidRPr="004708AE">
        <w:rPr>
          <w:rFonts w:asciiTheme="majorBidi" w:hAnsiTheme="majorBidi" w:cs="David" w:hint="cs"/>
          <w:sz w:val="24"/>
          <w:szCs w:val="24"/>
          <w:rtl/>
        </w:rPr>
        <w:t xml:space="preserve">, </w:t>
      </w:r>
      <w:r w:rsidR="002276B6">
        <w:rPr>
          <w:rFonts w:asciiTheme="majorBidi" w:hAnsiTheme="majorBidi" w:cs="David" w:hint="cs"/>
          <w:sz w:val="24"/>
          <w:szCs w:val="24"/>
          <w:rtl/>
        </w:rPr>
        <w:t xml:space="preserve">בעוד ההורה הלא משמורן, </w:t>
      </w:r>
      <w:r w:rsidR="004708AE">
        <w:rPr>
          <w:rFonts w:asciiTheme="majorBidi" w:hAnsiTheme="majorBidi" w:cs="David" w:hint="cs"/>
          <w:sz w:val="24"/>
          <w:szCs w:val="24"/>
          <w:rtl/>
        </w:rPr>
        <w:t xml:space="preserve">בנגזרת בה עוסק המאמר, נמצא בעמדת </w:t>
      </w:r>
      <w:r w:rsidR="000042AE">
        <w:rPr>
          <w:rFonts w:asciiTheme="majorBidi" w:hAnsiTheme="majorBidi" w:cs="David" w:hint="cs"/>
          <w:sz w:val="24"/>
          <w:szCs w:val="24"/>
          <w:rtl/>
        </w:rPr>
        <w:t>פגי</w:t>
      </w:r>
      <w:r w:rsidR="00C13BD1">
        <w:rPr>
          <w:rFonts w:asciiTheme="majorBidi" w:hAnsiTheme="majorBidi" w:cs="David" w:hint="cs"/>
          <w:sz w:val="24"/>
          <w:szCs w:val="24"/>
          <w:rtl/>
        </w:rPr>
        <w:t>עו</w:t>
      </w:r>
      <w:r w:rsidR="000042AE">
        <w:rPr>
          <w:rFonts w:asciiTheme="majorBidi" w:hAnsiTheme="majorBidi" w:cs="David" w:hint="cs"/>
          <w:sz w:val="24"/>
          <w:szCs w:val="24"/>
          <w:rtl/>
        </w:rPr>
        <w:t>ת</w:t>
      </w:r>
      <w:r w:rsidR="004708AE">
        <w:rPr>
          <w:rFonts w:asciiTheme="majorBidi" w:hAnsiTheme="majorBidi" w:cs="David" w:hint="cs"/>
          <w:sz w:val="24"/>
          <w:szCs w:val="24"/>
          <w:rtl/>
        </w:rPr>
        <w:t xml:space="preserve">. גם </w:t>
      </w:r>
      <w:r w:rsidR="004708AE" w:rsidRPr="004708AE">
        <w:rPr>
          <w:rFonts w:asciiTheme="majorBidi" w:hAnsiTheme="majorBidi" w:cs="David" w:hint="cs"/>
          <w:sz w:val="24"/>
          <w:szCs w:val="24"/>
          <w:rtl/>
        </w:rPr>
        <w:t>הערך החברתי הגלום ב</w:t>
      </w:r>
      <w:r w:rsidR="004708AE">
        <w:rPr>
          <w:rFonts w:asciiTheme="majorBidi" w:hAnsiTheme="majorBidi" w:cs="David" w:hint="cs"/>
          <w:sz w:val="24"/>
          <w:szCs w:val="24"/>
          <w:rtl/>
        </w:rPr>
        <w:t xml:space="preserve">הבטחת </w:t>
      </w:r>
      <w:r w:rsidR="004708AE" w:rsidRPr="004708AE">
        <w:rPr>
          <w:rFonts w:asciiTheme="majorBidi" w:hAnsiTheme="majorBidi" w:cs="David" w:hint="cs"/>
          <w:sz w:val="24"/>
          <w:szCs w:val="24"/>
          <w:rtl/>
        </w:rPr>
        <w:t xml:space="preserve">יחסי משפחה </w:t>
      </w:r>
      <w:r w:rsidR="004708AE">
        <w:rPr>
          <w:rFonts w:asciiTheme="majorBidi" w:hAnsiTheme="majorBidi" w:cs="David" w:hint="cs"/>
          <w:sz w:val="24"/>
          <w:szCs w:val="24"/>
          <w:rtl/>
        </w:rPr>
        <w:t xml:space="preserve">תקינים ובפרט </w:t>
      </w:r>
      <w:r w:rsidR="004708AE" w:rsidRPr="004708AE">
        <w:rPr>
          <w:rFonts w:asciiTheme="majorBidi" w:hAnsiTheme="majorBidi" w:cs="David" w:hint="cs"/>
          <w:sz w:val="24"/>
          <w:szCs w:val="24"/>
          <w:rtl/>
        </w:rPr>
        <w:t>כאלה התומכים ביחסי הורים-ילדים</w:t>
      </w:r>
      <w:r w:rsidR="004708AE">
        <w:rPr>
          <w:rFonts w:asciiTheme="majorBidi" w:hAnsiTheme="majorBidi" w:cs="David" w:hint="cs"/>
          <w:sz w:val="24"/>
          <w:szCs w:val="24"/>
          <w:rtl/>
        </w:rPr>
        <w:t>,</w:t>
      </w:r>
      <w:r w:rsidR="002276B6">
        <w:rPr>
          <w:rFonts w:asciiTheme="majorBidi" w:hAnsiTheme="majorBidi" w:cs="David" w:hint="cs"/>
          <w:sz w:val="24"/>
          <w:szCs w:val="24"/>
          <w:rtl/>
        </w:rPr>
        <w:t xml:space="preserve"> וביחסי הורים בינם לבין עצמם (ביחס לילדיהם) </w:t>
      </w:r>
      <w:r w:rsidR="004708AE" w:rsidRPr="004708AE">
        <w:rPr>
          <w:rFonts w:asciiTheme="majorBidi" w:hAnsiTheme="majorBidi" w:cs="David" w:hint="cs"/>
          <w:sz w:val="24"/>
          <w:szCs w:val="24"/>
          <w:rtl/>
        </w:rPr>
        <w:t xml:space="preserve"> הוא רב.</w:t>
      </w:r>
      <w:r w:rsidR="004708AE" w:rsidRPr="004708AE">
        <w:rPr>
          <w:rStyle w:val="FootnoteReference"/>
          <w:rFonts w:asciiTheme="majorBidi" w:hAnsiTheme="majorBidi" w:cs="David"/>
          <w:sz w:val="24"/>
          <w:szCs w:val="24"/>
          <w:rtl/>
        </w:rPr>
        <w:footnoteReference w:id="51"/>
      </w:r>
      <w:r w:rsidR="004708AE" w:rsidRPr="004708AE">
        <w:rPr>
          <w:rFonts w:asciiTheme="majorBidi" w:hAnsiTheme="majorBidi" w:cs="David" w:hint="cs"/>
          <w:sz w:val="24"/>
          <w:szCs w:val="24"/>
          <w:rtl/>
        </w:rPr>
        <w:t xml:space="preserve"> </w:t>
      </w:r>
    </w:p>
    <w:p w14:paraId="06367B14" w14:textId="36B998A7" w:rsidR="00EB533D" w:rsidRPr="00763963" w:rsidRDefault="00CC6993" w:rsidP="004708AE">
      <w:pPr>
        <w:spacing w:line="480" w:lineRule="auto"/>
        <w:jc w:val="both"/>
        <w:rPr>
          <w:rFonts w:asciiTheme="majorBidi" w:hAnsiTheme="majorBidi" w:cs="David"/>
          <w:sz w:val="24"/>
          <w:szCs w:val="24"/>
          <w:rtl/>
        </w:rPr>
      </w:pPr>
      <w:r w:rsidRPr="004708AE">
        <w:rPr>
          <w:rFonts w:asciiTheme="majorBidi" w:hAnsiTheme="majorBidi" w:cs="David" w:hint="cs"/>
          <w:sz w:val="24"/>
          <w:szCs w:val="24"/>
          <w:rtl/>
        </w:rPr>
        <w:t xml:space="preserve">ואולם חשוב להתעכב על ביקורת אפשרית שעשויה להישמע על המהלך </w:t>
      </w:r>
      <w:r w:rsidR="004708AE" w:rsidRPr="004708AE">
        <w:rPr>
          <w:rFonts w:asciiTheme="majorBidi" w:hAnsiTheme="majorBidi" w:cs="David" w:hint="cs"/>
          <w:sz w:val="24"/>
          <w:szCs w:val="24"/>
          <w:rtl/>
        </w:rPr>
        <w:t>וזאת מכיוונם של מי שסבורים כי בבסיס המערכת האמונאית ניצב חוזה.</w:t>
      </w:r>
      <w:r w:rsidR="004708AE">
        <w:rPr>
          <w:rFonts w:asciiTheme="majorBidi" w:hAnsiTheme="majorBidi" w:cs="David" w:hint="cs"/>
          <w:sz w:val="24"/>
          <w:szCs w:val="24"/>
          <w:rtl/>
        </w:rPr>
        <w:t xml:space="preserve"> ויוסבר: </w:t>
      </w:r>
      <w:r w:rsidR="00C36B92">
        <w:rPr>
          <w:rFonts w:asciiTheme="majorBidi" w:hAnsiTheme="majorBidi" w:cs="David" w:hint="cs"/>
          <w:sz w:val="24"/>
          <w:szCs w:val="24"/>
          <w:rtl/>
        </w:rPr>
        <w:t xml:space="preserve">עמיר </w:t>
      </w:r>
      <w:r w:rsidR="00511224">
        <w:rPr>
          <w:rFonts w:asciiTheme="majorBidi" w:hAnsiTheme="majorBidi" w:cs="David"/>
          <w:sz w:val="24"/>
          <w:szCs w:val="24"/>
          <w:rtl/>
        </w:rPr>
        <w:t>ליכט</w:t>
      </w:r>
      <w:r w:rsidR="00891D35">
        <w:rPr>
          <w:rStyle w:val="FootnoteReference"/>
          <w:rFonts w:asciiTheme="majorBidi" w:hAnsiTheme="majorBidi" w:cs="David"/>
          <w:sz w:val="24"/>
          <w:szCs w:val="24"/>
          <w:rtl/>
        </w:rPr>
        <w:footnoteReference w:id="52"/>
      </w:r>
      <w:r w:rsidR="00511224">
        <w:rPr>
          <w:rFonts w:asciiTheme="majorBidi" w:hAnsiTheme="majorBidi" w:cs="David"/>
          <w:sz w:val="24"/>
          <w:szCs w:val="24"/>
          <w:rtl/>
        </w:rPr>
        <w:t xml:space="preserve"> מציג ב</w:t>
      </w:r>
      <w:r w:rsidR="00511224">
        <w:rPr>
          <w:rFonts w:asciiTheme="majorBidi" w:hAnsiTheme="majorBidi" w:cs="David" w:hint="cs"/>
          <w:sz w:val="24"/>
          <w:szCs w:val="24"/>
          <w:rtl/>
        </w:rPr>
        <w:t>כתיבתו</w:t>
      </w:r>
      <w:r w:rsidR="00414F72">
        <w:rPr>
          <w:rFonts w:asciiTheme="majorBidi" w:hAnsiTheme="majorBidi" w:cs="David"/>
          <w:sz w:val="24"/>
          <w:szCs w:val="24"/>
          <w:rtl/>
        </w:rPr>
        <w:t xml:space="preserve"> שתי גישות</w:t>
      </w:r>
      <w:r w:rsidR="00085FD0">
        <w:rPr>
          <w:rFonts w:asciiTheme="majorBidi" w:hAnsiTheme="majorBidi" w:cs="David" w:hint="cs"/>
          <w:sz w:val="24"/>
          <w:szCs w:val="24"/>
          <w:rtl/>
        </w:rPr>
        <w:t xml:space="preserve"> קלאסיות</w:t>
      </w:r>
      <w:r w:rsidR="00414F72">
        <w:rPr>
          <w:rFonts w:asciiTheme="majorBidi" w:hAnsiTheme="majorBidi" w:cs="David"/>
          <w:sz w:val="24"/>
          <w:szCs w:val="24"/>
          <w:rtl/>
        </w:rPr>
        <w:t xml:space="preserve"> לגיבוש</w:t>
      </w:r>
      <w:r w:rsidR="00414F72">
        <w:rPr>
          <w:rFonts w:asciiTheme="majorBidi" w:hAnsiTheme="majorBidi" w:cs="David" w:hint="cs"/>
          <w:sz w:val="24"/>
          <w:szCs w:val="24"/>
          <w:rtl/>
        </w:rPr>
        <w:t xml:space="preserve"> </w:t>
      </w:r>
      <w:r w:rsidR="00EB533D" w:rsidRPr="00763963">
        <w:rPr>
          <w:rFonts w:asciiTheme="majorBidi" w:hAnsiTheme="majorBidi" w:cs="David"/>
          <w:sz w:val="24"/>
          <w:szCs w:val="24"/>
          <w:rtl/>
        </w:rPr>
        <w:t>יחסי אמונאות</w:t>
      </w:r>
      <w:r w:rsidR="006723B1">
        <w:rPr>
          <w:rFonts w:asciiTheme="majorBidi" w:hAnsiTheme="majorBidi" w:cs="David" w:hint="cs"/>
          <w:sz w:val="24"/>
          <w:szCs w:val="24"/>
          <w:rtl/>
        </w:rPr>
        <w:t>, המשרטטות מענה לשאלת גבולות התפרשותה של האמונאות</w:t>
      </w:r>
      <w:r w:rsidR="00414F72">
        <w:rPr>
          <w:rFonts w:asciiTheme="majorBidi" w:hAnsiTheme="majorBidi" w:cs="David" w:hint="cs"/>
          <w:sz w:val="24"/>
          <w:szCs w:val="24"/>
          <w:rtl/>
        </w:rPr>
        <w:t>:</w:t>
      </w:r>
      <w:r w:rsidR="00511224">
        <w:rPr>
          <w:rStyle w:val="FootnoteReference"/>
          <w:rFonts w:asciiTheme="majorBidi" w:hAnsiTheme="majorBidi" w:cs="David"/>
          <w:sz w:val="24"/>
          <w:szCs w:val="24"/>
          <w:rtl/>
        </w:rPr>
        <w:footnoteReference w:id="53"/>
      </w:r>
      <w:r w:rsidR="00414F72">
        <w:rPr>
          <w:rFonts w:asciiTheme="majorBidi" w:hAnsiTheme="majorBidi" w:cs="David" w:hint="cs"/>
          <w:sz w:val="24"/>
          <w:szCs w:val="24"/>
          <w:rtl/>
        </w:rPr>
        <w:t xml:space="preserve"> </w:t>
      </w:r>
      <w:r w:rsidR="00EB533D" w:rsidRPr="00763963">
        <w:rPr>
          <w:rFonts w:asciiTheme="majorBidi" w:hAnsiTheme="majorBidi" w:cs="David"/>
          <w:sz w:val="24"/>
          <w:szCs w:val="24"/>
          <w:rtl/>
        </w:rPr>
        <w:t xml:space="preserve">גישה קזואיסטית שמאפשרת </w:t>
      </w:r>
      <w:r w:rsidR="006723B1">
        <w:rPr>
          <w:rFonts w:asciiTheme="majorBidi" w:hAnsiTheme="majorBidi" w:cs="David" w:hint="cs"/>
          <w:sz w:val="24"/>
          <w:szCs w:val="24"/>
          <w:rtl/>
        </w:rPr>
        <w:t>גמישות</w:t>
      </w:r>
      <w:r w:rsidR="006723B1">
        <w:rPr>
          <w:rFonts w:asciiTheme="majorBidi" w:hAnsiTheme="majorBidi" w:cs="David"/>
          <w:sz w:val="24"/>
          <w:szCs w:val="24"/>
          <w:rtl/>
        </w:rPr>
        <w:t xml:space="preserve"> </w:t>
      </w:r>
      <w:r w:rsidR="00F710A3">
        <w:rPr>
          <w:rFonts w:asciiTheme="majorBidi" w:hAnsiTheme="majorBidi" w:cs="David" w:hint="cs"/>
          <w:sz w:val="24"/>
          <w:szCs w:val="24"/>
          <w:rtl/>
        </w:rPr>
        <w:t>בגיבוש/ביסוס</w:t>
      </w:r>
      <w:r w:rsidR="00EB533D" w:rsidRPr="00763963">
        <w:rPr>
          <w:rFonts w:asciiTheme="majorBidi" w:hAnsiTheme="majorBidi" w:cs="David"/>
          <w:sz w:val="24"/>
          <w:szCs w:val="24"/>
          <w:rtl/>
        </w:rPr>
        <w:t xml:space="preserve"> דיאדות אמונאיות עליהן יוטלו חובות </w:t>
      </w:r>
      <w:r w:rsidR="00414F72">
        <w:rPr>
          <w:rFonts w:asciiTheme="majorBidi" w:hAnsiTheme="majorBidi" w:cs="David" w:hint="cs"/>
          <w:sz w:val="24"/>
          <w:szCs w:val="24"/>
          <w:rtl/>
        </w:rPr>
        <w:t>ה</w:t>
      </w:r>
      <w:r w:rsidR="00414F72">
        <w:rPr>
          <w:rFonts w:asciiTheme="majorBidi" w:hAnsiTheme="majorBidi" w:cs="David"/>
          <w:sz w:val="24"/>
          <w:szCs w:val="24"/>
          <w:rtl/>
        </w:rPr>
        <w:t xml:space="preserve">אמון </w:t>
      </w:r>
      <w:r w:rsidR="00414F72">
        <w:rPr>
          <w:rFonts w:asciiTheme="majorBidi" w:hAnsiTheme="majorBidi" w:cs="David" w:hint="cs"/>
          <w:sz w:val="24"/>
          <w:szCs w:val="24"/>
          <w:rtl/>
        </w:rPr>
        <w:t>והחובות ה</w:t>
      </w:r>
      <w:r w:rsidR="00EB533D" w:rsidRPr="00763963">
        <w:rPr>
          <w:rFonts w:asciiTheme="majorBidi" w:hAnsiTheme="majorBidi" w:cs="David"/>
          <w:sz w:val="24"/>
          <w:szCs w:val="24"/>
          <w:rtl/>
        </w:rPr>
        <w:t>אחרות</w:t>
      </w:r>
      <w:r w:rsidR="00315CE2">
        <w:rPr>
          <w:rFonts w:asciiTheme="majorBidi" w:hAnsiTheme="majorBidi" w:cs="David" w:hint="cs"/>
          <w:sz w:val="24"/>
          <w:szCs w:val="24"/>
          <w:rtl/>
        </w:rPr>
        <w:t xml:space="preserve"> על דרך של היקש</w:t>
      </w:r>
      <w:r w:rsidR="00414F72">
        <w:rPr>
          <w:rFonts w:asciiTheme="majorBidi" w:hAnsiTheme="majorBidi" w:cs="David" w:hint="cs"/>
          <w:sz w:val="24"/>
          <w:szCs w:val="24"/>
          <w:rtl/>
        </w:rPr>
        <w:t xml:space="preserve">. </w:t>
      </w:r>
      <w:r w:rsidR="00315CE2">
        <w:rPr>
          <w:rFonts w:asciiTheme="majorBidi" w:hAnsiTheme="majorBidi" w:cs="David" w:hint="cs"/>
          <w:sz w:val="24"/>
          <w:szCs w:val="24"/>
          <w:rtl/>
        </w:rPr>
        <w:t xml:space="preserve">גישה זאת עשויה להתפרש באופן </w:t>
      </w:r>
      <w:r w:rsidR="00315CE2" w:rsidRPr="00763963">
        <w:rPr>
          <w:rFonts w:asciiTheme="majorBidi" w:hAnsiTheme="majorBidi" w:cs="David"/>
          <w:sz w:val="24"/>
          <w:szCs w:val="24"/>
          <w:rtl/>
        </w:rPr>
        <w:t>מרחיב</w:t>
      </w:r>
      <w:r w:rsidR="00315CE2">
        <w:rPr>
          <w:rFonts w:asciiTheme="majorBidi" w:hAnsiTheme="majorBidi" w:cs="David" w:hint="cs"/>
          <w:sz w:val="24"/>
          <w:szCs w:val="24"/>
          <w:rtl/>
        </w:rPr>
        <w:t xml:space="preserve"> ולהביא בפועל להחלת חובות אמונא</w:t>
      </w:r>
      <w:r w:rsidR="00F710A3">
        <w:rPr>
          <w:rFonts w:asciiTheme="majorBidi" w:hAnsiTheme="majorBidi" w:cs="David" w:hint="cs"/>
          <w:sz w:val="24"/>
          <w:szCs w:val="24"/>
          <w:rtl/>
        </w:rPr>
        <w:t>י</w:t>
      </w:r>
      <w:r w:rsidR="00315CE2">
        <w:rPr>
          <w:rFonts w:asciiTheme="majorBidi" w:hAnsiTheme="majorBidi" w:cs="David" w:hint="cs"/>
          <w:sz w:val="24"/>
          <w:szCs w:val="24"/>
          <w:rtl/>
        </w:rPr>
        <w:t xml:space="preserve">ות במגוון גדול של יחסים ונסיבות. הגישה השנייה, אשר היא </w:t>
      </w:r>
      <w:r w:rsidR="00414F72">
        <w:rPr>
          <w:rFonts w:asciiTheme="majorBidi" w:hAnsiTheme="majorBidi" w:cs="David" w:hint="cs"/>
          <w:sz w:val="24"/>
          <w:szCs w:val="24"/>
          <w:rtl/>
        </w:rPr>
        <w:t xml:space="preserve">מצמצמת יותר, </w:t>
      </w:r>
      <w:r w:rsidR="00315CE2">
        <w:rPr>
          <w:rFonts w:asciiTheme="majorBidi" w:hAnsiTheme="majorBidi" w:cs="David" w:hint="cs"/>
          <w:sz w:val="24"/>
          <w:szCs w:val="24"/>
          <w:rtl/>
        </w:rPr>
        <w:t>ו</w:t>
      </w:r>
      <w:r w:rsidR="00414F72">
        <w:rPr>
          <w:rFonts w:asciiTheme="majorBidi" w:hAnsiTheme="majorBidi" w:cs="David" w:hint="cs"/>
          <w:sz w:val="24"/>
          <w:szCs w:val="24"/>
          <w:rtl/>
        </w:rPr>
        <w:t xml:space="preserve">בה הוא מצדד, </w:t>
      </w:r>
      <w:r w:rsidR="00315CE2">
        <w:rPr>
          <w:rFonts w:asciiTheme="majorBidi" w:hAnsiTheme="majorBidi" w:cs="David" w:hint="cs"/>
          <w:sz w:val="24"/>
          <w:szCs w:val="24"/>
          <w:rtl/>
        </w:rPr>
        <w:t xml:space="preserve">הינה הגישה המושגית. </w:t>
      </w:r>
    </w:p>
    <w:p w14:paraId="731C5321" w14:textId="0F4B1F6C" w:rsidR="00EB533D" w:rsidRDefault="00414F72" w:rsidP="00911F5F">
      <w:pPr>
        <w:spacing w:line="480" w:lineRule="auto"/>
        <w:jc w:val="both"/>
        <w:rPr>
          <w:rFonts w:asciiTheme="majorBidi" w:hAnsiTheme="majorBidi" w:cs="David"/>
          <w:sz w:val="24"/>
          <w:szCs w:val="24"/>
        </w:rPr>
      </w:pPr>
      <w:r>
        <w:rPr>
          <w:rFonts w:asciiTheme="majorBidi" w:hAnsiTheme="majorBidi" w:cs="David" w:hint="cs"/>
          <w:sz w:val="24"/>
          <w:szCs w:val="24"/>
          <w:rtl/>
        </w:rPr>
        <w:t>ה</w:t>
      </w:r>
      <w:r w:rsidR="00EB533D" w:rsidRPr="00763963">
        <w:rPr>
          <w:rFonts w:asciiTheme="majorBidi" w:hAnsiTheme="majorBidi" w:cs="David"/>
          <w:sz w:val="24"/>
          <w:szCs w:val="24"/>
          <w:rtl/>
        </w:rPr>
        <w:t>גישה</w:t>
      </w:r>
      <w:r>
        <w:rPr>
          <w:rFonts w:asciiTheme="majorBidi" w:hAnsiTheme="majorBidi" w:cs="David" w:hint="cs"/>
          <w:sz w:val="24"/>
          <w:szCs w:val="24"/>
          <w:rtl/>
        </w:rPr>
        <w:t xml:space="preserve"> הקזואיסטית, </w:t>
      </w:r>
      <w:r w:rsidR="00EB533D" w:rsidRPr="00763963">
        <w:rPr>
          <w:rFonts w:asciiTheme="majorBidi" w:hAnsiTheme="majorBidi" w:cs="David"/>
          <w:sz w:val="24"/>
          <w:szCs w:val="24"/>
          <w:rtl/>
        </w:rPr>
        <w:t>הנתמכת בפסיקה קודמת של בית המשפט העליון הקנדי</w:t>
      </w:r>
      <w:r w:rsidR="00950CEB">
        <w:rPr>
          <w:rStyle w:val="FootnoteReference"/>
          <w:rFonts w:asciiTheme="majorBidi" w:hAnsiTheme="majorBidi" w:cs="David"/>
          <w:sz w:val="24"/>
          <w:szCs w:val="24"/>
          <w:rtl/>
        </w:rPr>
        <w:footnoteReference w:id="54"/>
      </w:r>
      <w:r w:rsidR="00EB533D" w:rsidRPr="00763963">
        <w:rPr>
          <w:rFonts w:asciiTheme="majorBidi" w:hAnsiTheme="majorBidi" w:cs="David"/>
          <w:sz w:val="24"/>
          <w:szCs w:val="24"/>
          <w:rtl/>
        </w:rPr>
        <w:t xml:space="preserve"> </w:t>
      </w:r>
      <w:r>
        <w:rPr>
          <w:rFonts w:asciiTheme="majorBidi" w:hAnsiTheme="majorBidi" w:cs="David" w:hint="cs"/>
          <w:sz w:val="24"/>
          <w:szCs w:val="24"/>
          <w:rtl/>
        </w:rPr>
        <w:t xml:space="preserve">ואשר </w:t>
      </w:r>
      <w:r w:rsidR="00EB533D" w:rsidRPr="00763963">
        <w:rPr>
          <w:rFonts w:asciiTheme="majorBidi" w:hAnsiTheme="majorBidi" w:cs="David"/>
          <w:sz w:val="24"/>
          <w:szCs w:val="24"/>
          <w:rtl/>
        </w:rPr>
        <w:t xml:space="preserve">לשיטת ליכט </w:t>
      </w:r>
      <w:r w:rsidR="00BC49CD">
        <w:rPr>
          <w:rFonts w:asciiTheme="majorBidi" w:hAnsiTheme="majorBidi" w:cs="David" w:hint="cs"/>
          <w:sz w:val="24"/>
          <w:szCs w:val="24"/>
          <w:rtl/>
        </w:rPr>
        <w:t>נדחתה</w:t>
      </w:r>
      <w:r w:rsidR="00EB533D" w:rsidRPr="00763963">
        <w:rPr>
          <w:rFonts w:asciiTheme="majorBidi" w:hAnsiTheme="majorBidi" w:cs="David"/>
          <w:sz w:val="24"/>
          <w:szCs w:val="24"/>
          <w:rtl/>
        </w:rPr>
        <w:t xml:space="preserve"> מאז</w:t>
      </w:r>
      <w:r w:rsidR="001F1FA8">
        <w:rPr>
          <w:rFonts w:asciiTheme="majorBidi" w:hAnsiTheme="majorBidi" w:cs="David" w:hint="cs"/>
          <w:sz w:val="24"/>
          <w:szCs w:val="24"/>
          <w:rtl/>
        </w:rPr>
        <w:t xml:space="preserve"> בפסיקה</w:t>
      </w:r>
      <w:r w:rsidR="00EB533D" w:rsidRPr="00763963">
        <w:rPr>
          <w:rFonts w:asciiTheme="majorBidi" w:hAnsiTheme="majorBidi" w:cs="David"/>
          <w:sz w:val="24"/>
          <w:szCs w:val="24"/>
          <w:rtl/>
        </w:rPr>
        <w:t>,</w:t>
      </w:r>
      <w:r>
        <w:rPr>
          <w:rStyle w:val="FootnoteReference"/>
          <w:rFonts w:asciiTheme="majorBidi" w:hAnsiTheme="majorBidi" w:cs="David"/>
          <w:sz w:val="24"/>
          <w:szCs w:val="24"/>
          <w:rtl/>
        </w:rPr>
        <w:footnoteReference w:id="55"/>
      </w:r>
      <w:r w:rsidR="00EB533D" w:rsidRPr="00763963">
        <w:rPr>
          <w:rFonts w:asciiTheme="majorBidi" w:hAnsiTheme="majorBidi" w:cs="David"/>
          <w:sz w:val="24"/>
          <w:szCs w:val="24"/>
          <w:rtl/>
        </w:rPr>
        <w:t xml:space="preserve"> מאפשרת זיהוי אמונאים עד הוק לרבות בני משפחה</w:t>
      </w:r>
      <w:r>
        <w:rPr>
          <w:rFonts w:asciiTheme="majorBidi" w:hAnsiTheme="majorBidi" w:cs="David" w:hint="cs"/>
          <w:sz w:val="24"/>
          <w:szCs w:val="24"/>
          <w:rtl/>
        </w:rPr>
        <w:t xml:space="preserve">, </w:t>
      </w:r>
      <w:r w:rsidR="00EB533D" w:rsidRPr="00763963">
        <w:rPr>
          <w:rFonts w:asciiTheme="majorBidi" w:hAnsiTheme="majorBidi" w:cs="David"/>
          <w:sz w:val="24"/>
          <w:szCs w:val="24"/>
          <w:rtl/>
        </w:rPr>
        <w:t>כמו בני זוג לשעבר.</w:t>
      </w:r>
      <w:r>
        <w:rPr>
          <w:rFonts w:asciiTheme="majorBidi" w:hAnsiTheme="majorBidi" w:cs="David" w:hint="cs"/>
          <w:sz w:val="24"/>
          <w:szCs w:val="24"/>
          <w:rtl/>
        </w:rPr>
        <w:t xml:space="preserve"> </w:t>
      </w:r>
      <w:r w:rsidR="00EB533D" w:rsidRPr="00763963">
        <w:rPr>
          <w:rFonts w:asciiTheme="majorBidi" w:hAnsiTheme="majorBidi" w:cs="David"/>
          <w:sz w:val="24"/>
          <w:szCs w:val="24"/>
          <w:rtl/>
        </w:rPr>
        <w:t xml:space="preserve">המבחן המרכזי לזיהוי שלהם הוא הכוח </w:t>
      </w:r>
      <w:r w:rsidR="006723B1">
        <w:rPr>
          <w:rFonts w:asciiTheme="majorBidi" w:hAnsiTheme="majorBidi" w:cs="David" w:hint="cs"/>
          <w:sz w:val="24"/>
          <w:szCs w:val="24"/>
          <w:rtl/>
        </w:rPr>
        <w:t>הנתון בידיו של</w:t>
      </w:r>
      <w:r w:rsidR="00EB533D" w:rsidRPr="00763963">
        <w:rPr>
          <w:rFonts w:asciiTheme="majorBidi" w:hAnsiTheme="majorBidi" w:cs="David"/>
          <w:sz w:val="24"/>
          <w:szCs w:val="24"/>
          <w:rtl/>
        </w:rPr>
        <w:t xml:space="preserve"> האמונאי ופגיעותו</w:t>
      </w:r>
      <w:r w:rsidR="00F710A3">
        <w:rPr>
          <w:rFonts w:asciiTheme="majorBidi" w:hAnsiTheme="majorBidi" w:cs="David" w:hint="cs"/>
          <w:sz w:val="24"/>
          <w:szCs w:val="24"/>
          <w:rtl/>
        </w:rPr>
        <w:t xml:space="preserve"> </w:t>
      </w:r>
      <w:r w:rsidR="00F710A3" w:rsidRPr="00F710A3">
        <w:rPr>
          <w:rFonts w:asciiTheme="majorBidi" w:hAnsiTheme="majorBidi" w:cs="David"/>
          <w:sz w:val="24"/>
          <w:szCs w:val="24"/>
        </w:rPr>
        <w:t xml:space="preserve">vulnerability </w:t>
      </w:r>
      <w:r w:rsidR="00F710A3">
        <w:rPr>
          <w:rFonts w:asciiTheme="majorBidi" w:hAnsiTheme="majorBidi" w:cs="David" w:hint="cs"/>
          <w:sz w:val="24"/>
          <w:szCs w:val="24"/>
          <w:rtl/>
        </w:rPr>
        <w:t xml:space="preserve"> </w:t>
      </w:r>
      <w:r w:rsidR="00EB533D" w:rsidRPr="00763963">
        <w:rPr>
          <w:rFonts w:asciiTheme="majorBidi" w:hAnsiTheme="majorBidi" w:cs="David"/>
          <w:sz w:val="24"/>
          <w:szCs w:val="24"/>
          <w:rtl/>
        </w:rPr>
        <w:t>של האחר</w:t>
      </w:r>
      <w:r w:rsidR="00085FD0">
        <w:rPr>
          <w:rFonts w:asciiTheme="majorBidi" w:hAnsiTheme="majorBidi" w:cs="David" w:hint="cs"/>
          <w:sz w:val="24"/>
          <w:szCs w:val="24"/>
          <w:rtl/>
        </w:rPr>
        <w:t>. במובן זה</w:t>
      </w:r>
      <w:r>
        <w:rPr>
          <w:rFonts w:asciiTheme="majorBidi" w:hAnsiTheme="majorBidi" w:cs="David" w:hint="cs"/>
          <w:sz w:val="24"/>
          <w:szCs w:val="24"/>
          <w:rtl/>
        </w:rPr>
        <w:t>: "</w:t>
      </w:r>
      <w:r w:rsidR="00EB533D" w:rsidRPr="00763963">
        <w:rPr>
          <w:rFonts w:asciiTheme="majorBidi" w:hAnsiTheme="majorBidi" w:cs="David"/>
          <w:sz w:val="24"/>
          <w:szCs w:val="24"/>
          <w:rtl/>
        </w:rPr>
        <w:t>חובת האמון היא מענה משפטי חיוני למצבים של כוח</w:t>
      </w:r>
      <w:r>
        <w:rPr>
          <w:rFonts w:asciiTheme="majorBidi" w:hAnsiTheme="majorBidi" w:cs="David" w:hint="cs"/>
          <w:sz w:val="24"/>
          <w:szCs w:val="24"/>
          <w:rtl/>
        </w:rPr>
        <w:t>".</w:t>
      </w:r>
      <w:r>
        <w:rPr>
          <w:rStyle w:val="FootnoteReference"/>
          <w:rFonts w:asciiTheme="majorBidi" w:hAnsiTheme="majorBidi" w:cs="David"/>
          <w:sz w:val="24"/>
          <w:szCs w:val="24"/>
          <w:rtl/>
        </w:rPr>
        <w:footnoteReference w:id="56"/>
      </w:r>
      <w:r w:rsidR="00EB533D" w:rsidRPr="00763963">
        <w:rPr>
          <w:rFonts w:asciiTheme="majorBidi" w:hAnsiTheme="majorBidi" w:cs="David"/>
          <w:sz w:val="24"/>
          <w:szCs w:val="24"/>
          <w:rtl/>
        </w:rPr>
        <w:t xml:space="preserve"> </w:t>
      </w:r>
      <w:r w:rsidR="00950CEB">
        <w:rPr>
          <w:rFonts w:asciiTheme="majorBidi" w:hAnsiTheme="majorBidi" w:cs="David" w:hint="cs"/>
          <w:sz w:val="24"/>
          <w:szCs w:val="24"/>
          <w:rtl/>
        </w:rPr>
        <w:t>על אף שניתן היה לבסס את המהלך</w:t>
      </w:r>
      <w:r w:rsidR="00911F5F">
        <w:rPr>
          <w:rFonts w:asciiTheme="majorBidi" w:hAnsiTheme="majorBidi" w:cs="David" w:hint="cs"/>
          <w:sz w:val="24"/>
          <w:szCs w:val="24"/>
          <w:rtl/>
        </w:rPr>
        <w:t xml:space="preserve"> המוצע כאן</w:t>
      </w:r>
      <w:r w:rsidR="00950CEB">
        <w:rPr>
          <w:rFonts w:asciiTheme="majorBidi" w:hAnsiTheme="majorBidi" w:cs="David" w:hint="cs"/>
          <w:sz w:val="24"/>
          <w:szCs w:val="24"/>
          <w:rtl/>
        </w:rPr>
        <w:t xml:space="preserve"> להרחבת האמונאות על יחסי הורה</w:t>
      </w:r>
      <w:r w:rsidR="00E35E3D">
        <w:rPr>
          <w:rFonts w:asciiTheme="majorBidi" w:hAnsiTheme="majorBidi" w:cs="David" w:hint="cs"/>
          <w:sz w:val="24"/>
          <w:szCs w:val="24"/>
          <w:rtl/>
        </w:rPr>
        <w:t xml:space="preserve"> לא משמורן</w:t>
      </w:r>
      <w:r w:rsidR="00950CEB">
        <w:rPr>
          <w:rFonts w:asciiTheme="majorBidi" w:hAnsiTheme="majorBidi" w:cs="David" w:hint="cs"/>
          <w:sz w:val="24"/>
          <w:szCs w:val="24"/>
          <w:rtl/>
        </w:rPr>
        <w:t xml:space="preserve">-הורה חורג על בסיס הגישה הקזואיסטית, אבקש להציע מהלך </w:t>
      </w:r>
      <w:r w:rsidR="00911F5F">
        <w:rPr>
          <w:rFonts w:asciiTheme="majorBidi" w:hAnsiTheme="majorBidi" w:cs="David" w:hint="cs"/>
          <w:sz w:val="24"/>
          <w:szCs w:val="24"/>
          <w:rtl/>
        </w:rPr>
        <w:t>נוסף</w:t>
      </w:r>
      <w:r w:rsidR="00950CEB">
        <w:rPr>
          <w:rFonts w:asciiTheme="majorBidi" w:hAnsiTheme="majorBidi" w:cs="David" w:hint="cs"/>
          <w:sz w:val="24"/>
          <w:szCs w:val="24"/>
          <w:rtl/>
        </w:rPr>
        <w:t xml:space="preserve">, מאתגר יותר, לפיו הרחבה כאמור אפשרית </w:t>
      </w:r>
      <w:r w:rsidR="00950CEB" w:rsidRPr="00911F5F">
        <w:rPr>
          <w:rFonts w:asciiTheme="majorBidi" w:hAnsiTheme="majorBidi" w:cs="David" w:hint="cs"/>
          <w:i/>
          <w:iCs/>
          <w:sz w:val="24"/>
          <w:szCs w:val="24"/>
          <w:rtl/>
        </w:rPr>
        <w:t>גם</w:t>
      </w:r>
      <w:r w:rsidR="00950CEB">
        <w:rPr>
          <w:rFonts w:asciiTheme="majorBidi" w:hAnsiTheme="majorBidi" w:cs="David" w:hint="cs"/>
          <w:sz w:val="24"/>
          <w:szCs w:val="24"/>
          <w:rtl/>
        </w:rPr>
        <w:t xml:space="preserve"> על פי הגישה המושגית</w:t>
      </w:r>
      <w:r w:rsidR="00911F5F">
        <w:rPr>
          <w:rFonts w:asciiTheme="majorBidi" w:hAnsiTheme="majorBidi" w:cs="David" w:hint="cs"/>
          <w:sz w:val="24"/>
          <w:szCs w:val="24"/>
          <w:rtl/>
        </w:rPr>
        <w:t>.</w:t>
      </w:r>
      <w:r w:rsidR="002E674E">
        <w:rPr>
          <w:rFonts w:asciiTheme="majorBidi" w:hAnsiTheme="majorBidi" w:cs="David" w:hint="cs"/>
          <w:sz w:val="24"/>
          <w:szCs w:val="24"/>
          <w:rtl/>
        </w:rPr>
        <w:t xml:space="preserve"> </w:t>
      </w:r>
    </w:p>
    <w:p w14:paraId="20AE00EB" w14:textId="31B60D53" w:rsidR="002E674E" w:rsidRDefault="0036009B" w:rsidP="0036009B">
      <w:pPr>
        <w:spacing w:line="480" w:lineRule="auto"/>
        <w:jc w:val="both"/>
        <w:rPr>
          <w:rFonts w:asciiTheme="majorBidi" w:hAnsiTheme="majorBidi" w:cs="David"/>
          <w:sz w:val="24"/>
          <w:szCs w:val="24"/>
          <w:rtl/>
        </w:rPr>
      </w:pPr>
      <w:r>
        <w:rPr>
          <w:rFonts w:asciiTheme="majorBidi" w:hAnsiTheme="majorBidi" w:cs="David" w:hint="cs"/>
          <w:sz w:val="24"/>
          <w:szCs w:val="24"/>
          <w:rtl/>
        </w:rPr>
        <w:t>לשיטתו של</w:t>
      </w:r>
      <w:r w:rsidR="00911F5F">
        <w:rPr>
          <w:rFonts w:asciiTheme="majorBidi" w:hAnsiTheme="majorBidi" w:cs="David" w:hint="cs"/>
          <w:sz w:val="24"/>
          <w:szCs w:val="24"/>
          <w:rtl/>
        </w:rPr>
        <w:t xml:space="preserve"> ליכט, </w:t>
      </w:r>
      <w:r w:rsidRPr="00763963">
        <w:rPr>
          <w:rFonts w:asciiTheme="majorBidi" w:hAnsiTheme="majorBidi" w:cs="David"/>
          <w:sz w:val="24"/>
          <w:szCs w:val="24"/>
          <w:rtl/>
        </w:rPr>
        <w:t>על מנת להכיר ביחסי אמונאות</w:t>
      </w:r>
      <w:r>
        <w:rPr>
          <w:rFonts w:asciiTheme="majorBidi" w:hAnsiTheme="majorBidi" w:cs="David" w:hint="cs"/>
          <w:sz w:val="24"/>
          <w:szCs w:val="24"/>
          <w:rtl/>
        </w:rPr>
        <w:t>, מחייבת ה</w:t>
      </w:r>
      <w:r w:rsidR="00911F5F">
        <w:rPr>
          <w:rFonts w:asciiTheme="majorBidi" w:hAnsiTheme="majorBidi" w:cs="David" w:hint="cs"/>
          <w:sz w:val="24"/>
          <w:szCs w:val="24"/>
          <w:rtl/>
        </w:rPr>
        <w:t xml:space="preserve">גישה המושגית איתור </w:t>
      </w:r>
      <w:r w:rsidR="00911F5F" w:rsidRPr="00763963">
        <w:rPr>
          <w:rFonts w:asciiTheme="majorBidi" w:hAnsiTheme="majorBidi" w:cs="David"/>
          <w:sz w:val="24"/>
          <w:szCs w:val="24"/>
          <w:rtl/>
        </w:rPr>
        <w:t xml:space="preserve">מרכיב חוזי-הסכמי </w:t>
      </w:r>
      <w:r w:rsidR="00911F5F">
        <w:rPr>
          <w:rFonts w:asciiTheme="majorBidi" w:hAnsiTheme="majorBidi" w:cs="David" w:hint="cs"/>
          <w:sz w:val="24"/>
          <w:szCs w:val="24"/>
          <w:rtl/>
        </w:rPr>
        <w:t xml:space="preserve">(כמרכיב מושגי הכרחי) </w:t>
      </w:r>
      <w:r w:rsidR="00911F5F" w:rsidRPr="00763963">
        <w:rPr>
          <w:rFonts w:asciiTheme="majorBidi" w:hAnsiTheme="majorBidi" w:cs="David"/>
          <w:sz w:val="24"/>
          <w:szCs w:val="24"/>
          <w:rtl/>
        </w:rPr>
        <w:t>בין הצדדים</w:t>
      </w:r>
      <w:r w:rsidR="00911F5F">
        <w:rPr>
          <w:rFonts w:asciiTheme="majorBidi" w:hAnsiTheme="majorBidi" w:cs="David" w:hint="cs"/>
          <w:sz w:val="24"/>
          <w:szCs w:val="24"/>
          <w:rtl/>
        </w:rPr>
        <w:t xml:space="preserve">. הצידוד בגישה </w:t>
      </w:r>
      <w:r>
        <w:rPr>
          <w:rFonts w:asciiTheme="majorBidi" w:hAnsiTheme="majorBidi" w:cs="David" w:hint="cs"/>
          <w:sz w:val="24"/>
          <w:szCs w:val="24"/>
          <w:rtl/>
        </w:rPr>
        <w:t>זו</w:t>
      </w:r>
      <w:r w:rsidR="00911F5F">
        <w:rPr>
          <w:rFonts w:asciiTheme="majorBidi" w:hAnsiTheme="majorBidi" w:cs="David" w:hint="cs"/>
          <w:sz w:val="24"/>
          <w:szCs w:val="24"/>
          <w:rtl/>
        </w:rPr>
        <w:t xml:space="preserve"> חושף את המורכבות בהחלת דיני אמונאות בהקשרנו. </w:t>
      </w:r>
      <w:r w:rsidR="007D4C83">
        <w:rPr>
          <w:rFonts w:asciiTheme="majorBidi" w:hAnsiTheme="majorBidi" w:cs="David" w:hint="cs"/>
          <w:sz w:val="24"/>
          <w:szCs w:val="24"/>
          <w:rtl/>
        </w:rPr>
        <w:t xml:space="preserve">שכן </w:t>
      </w:r>
      <w:r w:rsidR="002E674E">
        <w:rPr>
          <w:rFonts w:asciiTheme="majorBidi" w:hAnsiTheme="majorBidi" w:cs="David" w:hint="cs"/>
          <w:sz w:val="24"/>
          <w:szCs w:val="24"/>
          <w:rtl/>
        </w:rPr>
        <w:t xml:space="preserve">גם אם בין בני משפחה מסוימים, </w:t>
      </w:r>
      <w:r w:rsidR="006B2EB5">
        <w:rPr>
          <w:rFonts w:asciiTheme="majorBidi" w:hAnsiTheme="majorBidi" w:cs="David" w:hint="cs"/>
          <w:sz w:val="24"/>
          <w:szCs w:val="24"/>
          <w:rtl/>
        </w:rPr>
        <w:t>ובראש ובראשונה בני זוג (</w:t>
      </w:r>
      <w:r w:rsidR="00D936A4">
        <w:rPr>
          <w:rFonts w:asciiTheme="majorBidi" w:hAnsiTheme="majorBidi" w:cs="David" w:hint="cs"/>
          <w:sz w:val="24"/>
          <w:szCs w:val="24"/>
          <w:rtl/>
        </w:rPr>
        <w:t xml:space="preserve">לרבות </w:t>
      </w:r>
      <w:r w:rsidR="002E674E">
        <w:rPr>
          <w:rFonts w:asciiTheme="majorBidi" w:hAnsiTheme="majorBidi" w:cs="David" w:hint="cs"/>
          <w:sz w:val="24"/>
          <w:szCs w:val="24"/>
          <w:rtl/>
        </w:rPr>
        <w:t>בני זוג לשעבר</w:t>
      </w:r>
      <w:r w:rsidR="000577AF">
        <w:rPr>
          <w:rStyle w:val="FootnoteReference"/>
          <w:rFonts w:asciiTheme="majorBidi" w:hAnsiTheme="majorBidi" w:cs="David"/>
          <w:sz w:val="24"/>
          <w:szCs w:val="24"/>
          <w:rtl/>
        </w:rPr>
        <w:footnoteReference w:id="57"/>
      </w:r>
      <w:r w:rsidR="002E674E">
        <w:rPr>
          <w:rFonts w:asciiTheme="majorBidi" w:hAnsiTheme="majorBidi" w:cs="David" w:hint="cs"/>
          <w:sz w:val="24"/>
          <w:szCs w:val="24"/>
          <w:rtl/>
        </w:rPr>
        <w:t>) ניתן לאתר יחסים חוזיים, הרי שבין הגורמים לגביהם אני מבקשת</w:t>
      </w:r>
      <w:r w:rsidR="00826918">
        <w:rPr>
          <w:rFonts w:asciiTheme="majorBidi" w:hAnsiTheme="majorBidi" w:cs="David" w:hint="cs"/>
          <w:sz w:val="24"/>
          <w:szCs w:val="24"/>
          <w:rtl/>
        </w:rPr>
        <w:t xml:space="preserve"> כאן</w:t>
      </w:r>
      <w:r w:rsidR="002E674E">
        <w:rPr>
          <w:rFonts w:asciiTheme="majorBidi" w:hAnsiTheme="majorBidi" w:cs="David" w:hint="cs"/>
          <w:sz w:val="24"/>
          <w:szCs w:val="24"/>
          <w:rtl/>
        </w:rPr>
        <w:t xml:space="preserve"> להכיר ביחסי אמונאות </w:t>
      </w:r>
      <w:r w:rsidR="002E674E">
        <w:rPr>
          <w:rFonts w:asciiTheme="majorBidi" w:hAnsiTheme="majorBidi" w:cs="David"/>
          <w:sz w:val="24"/>
          <w:szCs w:val="24"/>
          <w:rtl/>
        </w:rPr>
        <w:t>–</w:t>
      </w:r>
      <w:r w:rsidR="002E674E">
        <w:rPr>
          <w:rFonts w:asciiTheme="majorBidi" w:hAnsiTheme="majorBidi" w:cs="David" w:hint="cs"/>
          <w:sz w:val="24"/>
          <w:szCs w:val="24"/>
          <w:rtl/>
        </w:rPr>
        <w:t xml:space="preserve"> הורה</w:t>
      </w:r>
      <w:r w:rsidR="00E35E3D">
        <w:rPr>
          <w:rFonts w:asciiTheme="majorBidi" w:hAnsiTheme="majorBidi" w:cs="David" w:hint="cs"/>
          <w:sz w:val="24"/>
          <w:szCs w:val="24"/>
          <w:rtl/>
        </w:rPr>
        <w:t xml:space="preserve"> לא משמורן</w:t>
      </w:r>
      <w:r w:rsidR="002E674E">
        <w:rPr>
          <w:rFonts w:asciiTheme="majorBidi" w:hAnsiTheme="majorBidi" w:cs="David" w:hint="cs"/>
          <w:sz w:val="24"/>
          <w:szCs w:val="24"/>
          <w:rtl/>
        </w:rPr>
        <w:t xml:space="preserve"> והורה חורג (שאינם </w:t>
      </w:r>
      <w:r w:rsidR="00805D9B">
        <w:rPr>
          <w:rFonts w:asciiTheme="majorBidi" w:hAnsiTheme="majorBidi" w:cs="David" w:hint="cs"/>
          <w:sz w:val="24"/>
          <w:szCs w:val="24"/>
          <w:rtl/>
        </w:rPr>
        <w:t xml:space="preserve">ולא היו, </w:t>
      </w:r>
      <w:r w:rsidR="006B2EB5">
        <w:rPr>
          <w:rFonts w:asciiTheme="majorBidi" w:hAnsiTheme="majorBidi" w:cs="David" w:hint="cs"/>
          <w:sz w:val="24"/>
          <w:szCs w:val="24"/>
          <w:rtl/>
        </w:rPr>
        <w:t>כאמור, בני זוג) לא ניתן לאתר זי</w:t>
      </w:r>
      <w:r w:rsidR="006E3780">
        <w:rPr>
          <w:rFonts w:asciiTheme="majorBidi" w:hAnsiTheme="majorBidi" w:cs="David" w:hint="cs"/>
          <w:sz w:val="24"/>
          <w:szCs w:val="24"/>
          <w:rtl/>
        </w:rPr>
        <w:t xml:space="preserve">קה חוזית. </w:t>
      </w:r>
      <w:r w:rsidR="006B2EB5">
        <w:rPr>
          <w:rFonts w:asciiTheme="majorBidi" w:hAnsiTheme="majorBidi" w:cs="David" w:hint="cs"/>
          <w:sz w:val="24"/>
          <w:szCs w:val="24"/>
          <w:rtl/>
        </w:rPr>
        <w:t>כניסתו של ההורה החורג למשפחה לא לוותה בהסכמה וברצון</w:t>
      </w:r>
      <w:r w:rsidR="00805D9B">
        <w:rPr>
          <w:rFonts w:asciiTheme="majorBidi" w:hAnsiTheme="majorBidi" w:cs="David" w:hint="cs"/>
          <w:sz w:val="24"/>
          <w:szCs w:val="24"/>
          <w:rtl/>
        </w:rPr>
        <w:t xml:space="preserve"> של ההורה</w:t>
      </w:r>
      <w:r w:rsidR="00E35E3D">
        <w:rPr>
          <w:rFonts w:asciiTheme="majorBidi" w:hAnsiTheme="majorBidi" w:cs="David" w:hint="cs"/>
          <w:sz w:val="24"/>
          <w:szCs w:val="24"/>
          <w:rtl/>
        </w:rPr>
        <w:t xml:space="preserve"> הלא משמורן</w:t>
      </w:r>
      <w:r w:rsidR="00363DED">
        <w:rPr>
          <w:rFonts w:asciiTheme="majorBidi" w:hAnsiTheme="majorBidi" w:cs="David" w:hint="cs"/>
          <w:sz w:val="24"/>
          <w:szCs w:val="24"/>
          <w:rtl/>
        </w:rPr>
        <w:t xml:space="preserve"> (אלא בזה של בן זוגו לשעבר)</w:t>
      </w:r>
      <w:r w:rsidR="006E3780">
        <w:rPr>
          <w:rFonts w:asciiTheme="majorBidi" w:hAnsiTheme="majorBidi" w:cs="David" w:hint="cs"/>
          <w:sz w:val="24"/>
          <w:szCs w:val="24"/>
          <w:rtl/>
        </w:rPr>
        <w:t>, כך ש</w:t>
      </w:r>
      <w:r w:rsidR="00805D9B">
        <w:rPr>
          <w:rFonts w:asciiTheme="majorBidi" w:hAnsiTheme="majorBidi" w:cs="David" w:hint="cs"/>
          <w:sz w:val="24"/>
          <w:szCs w:val="24"/>
          <w:rtl/>
        </w:rPr>
        <w:t>בנסיבות אלה לא ניתן להכיר במערכת חוזית ביניהם, אף לא במשתמע.</w:t>
      </w:r>
      <w:r w:rsidR="008C5E73" w:rsidRPr="008C5E73">
        <w:rPr>
          <w:rStyle w:val="FootnoteReference"/>
          <w:rFonts w:asciiTheme="majorBidi" w:hAnsiTheme="majorBidi" w:cs="David"/>
          <w:sz w:val="24"/>
          <w:szCs w:val="24"/>
          <w:rtl/>
        </w:rPr>
        <w:t xml:space="preserve"> </w:t>
      </w:r>
      <w:r w:rsidR="008C5E73">
        <w:rPr>
          <w:rStyle w:val="FootnoteReference"/>
          <w:rFonts w:asciiTheme="majorBidi" w:hAnsiTheme="majorBidi" w:cs="David"/>
          <w:sz w:val="24"/>
          <w:szCs w:val="24"/>
          <w:rtl/>
        </w:rPr>
        <w:footnoteReference w:id="58"/>
      </w:r>
      <w:r w:rsidR="00805D9B">
        <w:rPr>
          <w:rFonts w:asciiTheme="majorBidi" w:hAnsiTheme="majorBidi" w:cs="David" w:hint="cs"/>
          <w:sz w:val="24"/>
          <w:szCs w:val="24"/>
          <w:rtl/>
        </w:rPr>
        <w:t xml:space="preserve"> </w:t>
      </w:r>
    </w:p>
    <w:p w14:paraId="4E65E873" w14:textId="1A64717B" w:rsidR="00F03927" w:rsidRDefault="007D4C83" w:rsidP="00EE065A">
      <w:pPr>
        <w:spacing w:line="480" w:lineRule="auto"/>
        <w:jc w:val="both"/>
        <w:rPr>
          <w:rFonts w:asciiTheme="majorBidi" w:hAnsiTheme="majorBidi" w:cs="David"/>
          <w:sz w:val="24"/>
          <w:szCs w:val="24"/>
          <w:rtl/>
        </w:rPr>
      </w:pPr>
      <w:r>
        <w:rPr>
          <w:rFonts w:asciiTheme="majorBidi" w:hAnsiTheme="majorBidi" w:cs="David" w:hint="cs"/>
          <w:sz w:val="24"/>
          <w:szCs w:val="24"/>
          <w:rtl/>
        </w:rPr>
        <w:t xml:space="preserve">ואולם גישתו האמורה של ליכט (שאפשר שהיא נכונה במיוחד במישור העסקי-מסחרי) אינה הגישה היחידה </w:t>
      </w:r>
      <w:r w:rsidR="00EE065A">
        <w:rPr>
          <w:rFonts w:asciiTheme="majorBidi" w:hAnsiTheme="majorBidi" w:cs="David" w:hint="cs"/>
          <w:sz w:val="24"/>
          <w:szCs w:val="24"/>
          <w:rtl/>
        </w:rPr>
        <w:t>המוכרת</w:t>
      </w:r>
      <w:r>
        <w:rPr>
          <w:rFonts w:asciiTheme="majorBidi" w:hAnsiTheme="majorBidi" w:cs="David" w:hint="cs"/>
          <w:sz w:val="24"/>
          <w:szCs w:val="24"/>
          <w:rtl/>
        </w:rPr>
        <w:t xml:space="preserve"> בהקשרם של דיני אמונאות.</w:t>
      </w:r>
      <w:r w:rsidR="008D6ED4">
        <w:rPr>
          <w:rStyle w:val="FootnoteReference"/>
          <w:rFonts w:asciiTheme="majorBidi" w:hAnsiTheme="majorBidi" w:cs="David"/>
          <w:sz w:val="24"/>
          <w:szCs w:val="24"/>
          <w:rtl/>
        </w:rPr>
        <w:footnoteReference w:id="59"/>
      </w:r>
      <w:r>
        <w:rPr>
          <w:rFonts w:asciiTheme="majorBidi" w:hAnsiTheme="majorBidi" w:cs="David" w:hint="cs"/>
          <w:sz w:val="24"/>
          <w:szCs w:val="24"/>
          <w:rtl/>
        </w:rPr>
        <w:t xml:space="preserve"> כך למשל, עמדת</w:t>
      </w:r>
      <w:r w:rsidR="00EE065A">
        <w:rPr>
          <w:rFonts w:asciiTheme="majorBidi" w:hAnsiTheme="majorBidi" w:cs="David" w:hint="cs"/>
          <w:sz w:val="24"/>
          <w:szCs w:val="24"/>
          <w:rtl/>
        </w:rPr>
        <w:t>ו של</w:t>
      </w:r>
      <w:r w:rsidR="009602F5">
        <w:rPr>
          <w:rFonts w:asciiTheme="majorBidi" w:hAnsiTheme="majorBidi" w:cs="David" w:hint="cs"/>
          <w:sz w:val="24"/>
          <w:szCs w:val="24"/>
          <w:rtl/>
        </w:rPr>
        <w:t xml:space="preserve"> </w:t>
      </w:r>
      <w:r w:rsidR="00F03927">
        <w:rPr>
          <w:rFonts w:asciiTheme="majorBidi" w:hAnsiTheme="majorBidi" w:cs="David" w:hint="cs"/>
          <w:sz w:val="24"/>
          <w:szCs w:val="24"/>
          <w:rtl/>
        </w:rPr>
        <w:t>ליונאל סמית</w:t>
      </w:r>
      <w:r w:rsidR="00F03927" w:rsidRPr="00F03927">
        <w:rPr>
          <w:rFonts w:asciiTheme="majorBidi" w:hAnsiTheme="majorBidi" w:cs="David"/>
          <w:sz w:val="24"/>
          <w:szCs w:val="24"/>
        </w:rPr>
        <w:t xml:space="preserve"> </w:t>
      </w:r>
      <w:r w:rsidR="00F03927" w:rsidRPr="00763963">
        <w:rPr>
          <w:rFonts w:asciiTheme="majorBidi" w:hAnsiTheme="majorBidi" w:cs="David"/>
          <w:sz w:val="24"/>
          <w:szCs w:val="24"/>
        </w:rPr>
        <w:t>Lionel Smith</w:t>
      </w:r>
      <w:r w:rsidR="00F03927">
        <w:rPr>
          <w:rFonts w:asciiTheme="majorBidi" w:hAnsiTheme="majorBidi" w:cs="David"/>
          <w:sz w:val="24"/>
          <w:szCs w:val="24"/>
        </w:rPr>
        <w:t xml:space="preserve"> </w:t>
      </w:r>
      <w:r w:rsidR="00F03927">
        <w:rPr>
          <w:rFonts w:asciiTheme="majorBidi" w:hAnsiTheme="majorBidi" w:cs="David" w:hint="cs"/>
          <w:sz w:val="24"/>
          <w:szCs w:val="24"/>
          <w:rtl/>
        </w:rPr>
        <w:t xml:space="preserve">, </w:t>
      </w:r>
      <w:r w:rsidR="000577AF">
        <w:rPr>
          <w:rFonts w:asciiTheme="majorBidi" w:hAnsiTheme="majorBidi" w:cs="David" w:hint="cs"/>
          <w:sz w:val="24"/>
          <w:szCs w:val="24"/>
          <w:rtl/>
        </w:rPr>
        <w:t>ה</w:t>
      </w:r>
      <w:r w:rsidR="00F03927">
        <w:rPr>
          <w:rFonts w:asciiTheme="majorBidi" w:hAnsiTheme="majorBidi" w:cs="David" w:hint="cs"/>
          <w:sz w:val="24"/>
          <w:szCs w:val="24"/>
          <w:rtl/>
        </w:rPr>
        <w:t xml:space="preserve">מדגיש כי יחסי אמונאות </w:t>
      </w:r>
      <w:r w:rsidR="009602F5">
        <w:rPr>
          <w:rFonts w:asciiTheme="majorBidi" w:hAnsiTheme="majorBidi" w:cs="David" w:hint="cs"/>
          <w:sz w:val="24"/>
          <w:szCs w:val="24"/>
          <w:rtl/>
        </w:rPr>
        <w:t>עשויים להיות מושתתים על זיקה של סטטוס</w:t>
      </w:r>
      <w:r w:rsidR="00315CE2">
        <w:rPr>
          <w:rFonts w:asciiTheme="majorBidi" w:hAnsiTheme="majorBidi" w:cs="David" w:hint="cs"/>
          <w:sz w:val="24"/>
          <w:szCs w:val="24"/>
          <w:rtl/>
        </w:rPr>
        <w:t>, ולאו דווקא על קיומו של חוזה</w:t>
      </w:r>
      <w:r w:rsidR="0034314F">
        <w:rPr>
          <w:rFonts w:asciiTheme="majorBidi" w:hAnsiTheme="majorBidi" w:cs="David" w:hint="cs"/>
          <w:sz w:val="24"/>
          <w:szCs w:val="24"/>
          <w:rtl/>
        </w:rPr>
        <w:t xml:space="preserve"> או הסכמה רצונית</w:t>
      </w:r>
      <w:r w:rsidR="00363DED">
        <w:rPr>
          <w:rFonts w:asciiTheme="majorBidi" w:hAnsiTheme="majorBidi" w:cs="David" w:hint="cs"/>
          <w:sz w:val="24"/>
          <w:szCs w:val="24"/>
          <w:rtl/>
        </w:rPr>
        <w:t xml:space="preserve">. </w:t>
      </w:r>
      <w:r w:rsidR="006E3780">
        <w:rPr>
          <w:rFonts w:asciiTheme="majorBidi" w:hAnsiTheme="majorBidi" w:cs="David" w:hint="cs"/>
          <w:sz w:val="24"/>
          <w:szCs w:val="24"/>
          <w:rtl/>
        </w:rPr>
        <w:t>ולשיטתו</w:t>
      </w:r>
      <w:r w:rsidR="00363DED">
        <w:rPr>
          <w:rFonts w:asciiTheme="majorBidi" w:hAnsiTheme="majorBidi" w:cs="David" w:hint="cs"/>
          <w:sz w:val="24"/>
          <w:szCs w:val="24"/>
          <w:rtl/>
        </w:rPr>
        <w:t>, כפי שמובא</w:t>
      </w:r>
      <w:r w:rsidR="006E3780">
        <w:rPr>
          <w:rFonts w:asciiTheme="majorBidi" w:hAnsiTheme="majorBidi" w:cs="David" w:hint="cs"/>
          <w:sz w:val="24"/>
          <w:szCs w:val="24"/>
          <w:rtl/>
        </w:rPr>
        <w:t>ת</w:t>
      </w:r>
      <w:r w:rsidR="00363DED">
        <w:rPr>
          <w:rFonts w:asciiTheme="majorBidi" w:hAnsiTheme="majorBidi" w:cs="David" w:hint="cs"/>
          <w:sz w:val="24"/>
          <w:szCs w:val="24"/>
          <w:rtl/>
        </w:rPr>
        <w:t xml:space="preserve"> אצל מילר</w:t>
      </w:r>
      <w:r w:rsidR="009602F5">
        <w:rPr>
          <w:rFonts w:asciiTheme="majorBidi" w:hAnsiTheme="majorBidi" w:cs="David" w:hint="cs"/>
          <w:sz w:val="24"/>
          <w:szCs w:val="24"/>
          <w:rtl/>
        </w:rPr>
        <w:t xml:space="preserve">: </w:t>
      </w:r>
    </w:p>
    <w:p w14:paraId="36935CA5" w14:textId="3AC96730" w:rsidR="00F03927" w:rsidRDefault="00F03927" w:rsidP="00F03927">
      <w:pPr>
        <w:autoSpaceDE w:val="0"/>
        <w:autoSpaceDN w:val="0"/>
        <w:bidi w:val="0"/>
        <w:adjustRightInd w:val="0"/>
        <w:spacing w:after="0" w:line="480" w:lineRule="auto"/>
        <w:rPr>
          <w:rFonts w:asciiTheme="majorBidi" w:hAnsiTheme="majorBidi" w:cs="David"/>
          <w:sz w:val="24"/>
          <w:szCs w:val="24"/>
        </w:rPr>
      </w:pPr>
      <w:r w:rsidRPr="00F03927">
        <w:rPr>
          <w:rFonts w:asciiTheme="majorBidi" w:hAnsiTheme="majorBidi" w:cs="David"/>
          <w:sz w:val="24"/>
          <w:szCs w:val="24"/>
        </w:rPr>
        <w:t>"</w:t>
      </w:r>
      <w:r w:rsidR="005A5B73">
        <w:rPr>
          <w:rFonts w:asciiTheme="majorBidi" w:hAnsiTheme="majorBidi" w:cs="David"/>
          <w:sz w:val="24"/>
          <w:szCs w:val="24"/>
        </w:rPr>
        <w:t>[</w:t>
      </w:r>
      <w:r w:rsidR="00B64B1A" w:rsidRPr="00826918">
        <w:rPr>
          <w:rFonts w:asciiTheme="majorBidi" w:hAnsiTheme="majorBidi" w:cs="David"/>
          <w:sz w:val="24"/>
          <w:szCs w:val="24"/>
          <w:highlight w:val="red"/>
        </w:rPr>
        <w:t>fiduciary</w:t>
      </w:r>
      <w:r w:rsidR="00B64B1A">
        <w:rPr>
          <w:rFonts w:asciiTheme="majorBidi" w:hAnsiTheme="majorBidi" w:cs="David"/>
          <w:sz w:val="24"/>
          <w:szCs w:val="24"/>
        </w:rPr>
        <w:t xml:space="preserve">] </w:t>
      </w:r>
      <w:r w:rsidR="00F5538B" w:rsidRPr="00F03927">
        <w:rPr>
          <w:rFonts w:asciiTheme="majorBidi" w:hAnsiTheme="majorBidi" w:cs="David"/>
          <w:sz w:val="24"/>
          <w:szCs w:val="24"/>
        </w:rPr>
        <w:t>may be founded irrespective of mutual consent, and that status prefigures the judicial construction of fiduciary relationships".</w:t>
      </w:r>
      <w:r w:rsidR="00741641">
        <w:rPr>
          <w:rStyle w:val="FootnoteReference"/>
          <w:rFonts w:asciiTheme="majorBidi" w:hAnsiTheme="majorBidi" w:cs="David"/>
          <w:sz w:val="24"/>
          <w:szCs w:val="24"/>
        </w:rPr>
        <w:footnoteReference w:id="60"/>
      </w:r>
    </w:p>
    <w:p w14:paraId="4E55E9C0" w14:textId="0B7E2D74" w:rsidR="00FA3799" w:rsidRDefault="00FA3799" w:rsidP="00EE065A">
      <w:pPr>
        <w:autoSpaceDE w:val="0"/>
        <w:autoSpaceDN w:val="0"/>
        <w:adjustRightInd w:val="0"/>
        <w:spacing w:after="0" w:line="480" w:lineRule="auto"/>
        <w:rPr>
          <w:rFonts w:asciiTheme="majorBidi" w:hAnsiTheme="majorBidi" w:cs="David" w:hint="cs"/>
          <w:sz w:val="24"/>
          <w:szCs w:val="24"/>
          <w:rtl/>
        </w:rPr>
      </w:pPr>
      <w:r>
        <w:rPr>
          <w:rFonts w:asciiTheme="majorBidi" w:hAnsiTheme="majorBidi" w:cs="David" w:hint="cs"/>
          <w:sz w:val="24"/>
          <w:szCs w:val="24"/>
          <w:rtl/>
        </w:rPr>
        <w:t xml:space="preserve">ובלשונו המפורשת של </w:t>
      </w:r>
      <w:r w:rsidR="00EE065A" w:rsidRPr="00763963">
        <w:rPr>
          <w:rFonts w:asciiTheme="majorBidi" w:hAnsiTheme="majorBidi" w:cs="David"/>
          <w:sz w:val="24"/>
          <w:szCs w:val="24"/>
        </w:rPr>
        <w:t>Smith</w:t>
      </w:r>
      <w:r w:rsidR="00EE065A">
        <w:rPr>
          <w:rFonts w:asciiTheme="majorBidi" w:hAnsiTheme="majorBidi" w:cs="David"/>
          <w:sz w:val="24"/>
          <w:szCs w:val="24"/>
        </w:rPr>
        <w:t xml:space="preserve"> </w:t>
      </w:r>
      <w:r w:rsidR="00EE065A">
        <w:rPr>
          <w:rFonts w:asciiTheme="majorBidi" w:hAnsiTheme="majorBidi" w:cs="David" w:hint="cs"/>
          <w:sz w:val="24"/>
          <w:szCs w:val="24"/>
          <w:rtl/>
        </w:rPr>
        <w:t xml:space="preserve"> </w:t>
      </w:r>
      <w:r w:rsidR="00692F53">
        <w:rPr>
          <w:rFonts w:asciiTheme="majorBidi" w:hAnsiTheme="majorBidi" w:cs="David" w:hint="cs"/>
          <w:sz w:val="24"/>
          <w:szCs w:val="24"/>
          <w:rtl/>
        </w:rPr>
        <w:t>במקום אחר</w:t>
      </w:r>
      <w:r>
        <w:rPr>
          <w:rFonts w:asciiTheme="majorBidi" w:hAnsiTheme="majorBidi" w:cs="David" w:hint="cs"/>
          <w:sz w:val="24"/>
          <w:szCs w:val="24"/>
          <w:rtl/>
        </w:rPr>
        <w:t>:</w:t>
      </w:r>
    </w:p>
    <w:p w14:paraId="50F55359" w14:textId="77777777" w:rsidR="00FA3799" w:rsidRPr="00B64B1A" w:rsidRDefault="00FA3799" w:rsidP="00B64B1A">
      <w:pPr>
        <w:autoSpaceDE w:val="0"/>
        <w:autoSpaceDN w:val="0"/>
        <w:bidi w:val="0"/>
        <w:adjustRightInd w:val="0"/>
        <w:spacing w:after="0" w:line="480" w:lineRule="auto"/>
        <w:jc w:val="both"/>
        <w:rPr>
          <w:rFonts w:asciiTheme="majorBidi" w:hAnsiTheme="majorBidi" w:cstheme="majorBidi"/>
          <w:sz w:val="24"/>
          <w:szCs w:val="24"/>
        </w:rPr>
      </w:pPr>
      <w:r w:rsidRPr="00B64B1A">
        <w:rPr>
          <w:rFonts w:asciiTheme="majorBidi" w:hAnsiTheme="majorBidi" w:cstheme="majorBidi"/>
          <w:sz w:val="24"/>
          <w:szCs w:val="24"/>
        </w:rPr>
        <w:t>"it is not the case that that all fiduciary obligations can be understood as arising voluntarily".</w:t>
      </w:r>
      <w:r w:rsidRPr="00B64B1A">
        <w:rPr>
          <w:rStyle w:val="FootnoteReference"/>
          <w:rFonts w:asciiTheme="majorBidi" w:hAnsiTheme="majorBidi" w:cstheme="majorBidi"/>
          <w:sz w:val="24"/>
          <w:szCs w:val="24"/>
        </w:rPr>
        <w:footnoteReference w:id="61"/>
      </w:r>
    </w:p>
    <w:p w14:paraId="6E8B6D0C" w14:textId="6A16540D" w:rsidR="00363DED" w:rsidRDefault="00F03927" w:rsidP="00EE065A">
      <w:pPr>
        <w:autoSpaceDE w:val="0"/>
        <w:autoSpaceDN w:val="0"/>
        <w:adjustRightInd w:val="0"/>
        <w:spacing w:after="0" w:line="480" w:lineRule="auto"/>
        <w:jc w:val="both"/>
        <w:rPr>
          <w:rFonts w:asciiTheme="majorBidi" w:hAnsiTheme="majorBidi" w:cs="David"/>
          <w:sz w:val="24"/>
          <w:szCs w:val="24"/>
          <w:rtl/>
        </w:rPr>
      </w:pPr>
      <w:r w:rsidRPr="004B5F91">
        <w:rPr>
          <w:rFonts w:asciiTheme="majorBidi" w:hAnsiTheme="majorBidi" w:cs="David" w:hint="cs"/>
          <w:sz w:val="24"/>
          <w:szCs w:val="24"/>
          <w:rtl/>
        </w:rPr>
        <w:t xml:space="preserve">חנוך דגן ואליזבת סקוט </w:t>
      </w:r>
      <w:r w:rsidR="00C36B92" w:rsidRPr="004B5F91">
        <w:rPr>
          <w:rFonts w:asciiTheme="majorBidi" w:hAnsiTheme="majorBidi" w:cs="David" w:hint="cs"/>
          <w:sz w:val="24"/>
          <w:szCs w:val="24"/>
          <w:rtl/>
        </w:rPr>
        <w:t>מציעים לפתור את המחלוקת האמורה</w:t>
      </w:r>
      <w:r w:rsidR="009602F5" w:rsidRPr="004B5F91">
        <w:rPr>
          <w:rFonts w:asciiTheme="majorBidi" w:hAnsiTheme="majorBidi" w:cs="David" w:hint="cs"/>
          <w:sz w:val="24"/>
          <w:szCs w:val="24"/>
          <w:rtl/>
        </w:rPr>
        <w:t xml:space="preserve"> בדבר שאלת הקשר המשפטי בין</w:t>
      </w:r>
      <w:r w:rsidR="009602F5">
        <w:rPr>
          <w:rFonts w:asciiTheme="majorBidi" w:hAnsiTheme="majorBidi" w:cs="David" w:hint="cs"/>
          <w:sz w:val="24"/>
          <w:szCs w:val="24"/>
          <w:rtl/>
        </w:rPr>
        <w:t xml:space="preserve"> הנאמן לנהנה </w:t>
      </w:r>
      <w:r w:rsidR="009602F5">
        <w:rPr>
          <w:rFonts w:asciiTheme="majorBidi" w:hAnsiTheme="majorBidi" w:cs="David"/>
          <w:sz w:val="24"/>
          <w:szCs w:val="24"/>
          <w:rtl/>
        </w:rPr>
        <w:t>–</w:t>
      </w:r>
      <w:r w:rsidR="009602F5">
        <w:rPr>
          <w:rFonts w:asciiTheme="majorBidi" w:hAnsiTheme="majorBidi" w:cs="David" w:hint="cs"/>
          <w:sz w:val="24"/>
          <w:szCs w:val="24"/>
          <w:rtl/>
        </w:rPr>
        <w:t xml:space="preserve"> אם חוזי או מושתת על אדני סטטוס - </w:t>
      </w:r>
      <w:r w:rsidR="00C36B92">
        <w:rPr>
          <w:rFonts w:asciiTheme="majorBidi" w:hAnsiTheme="majorBidi" w:cs="David" w:hint="cs"/>
          <w:sz w:val="24"/>
          <w:szCs w:val="24"/>
          <w:rtl/>
        </w:rPr>
        <w:t>על רקע הבנה תיאורתית מורכבת יותר של מושגי הסטטוס והחוזה. לשיטתם, סטטוס וחוזה אינם בהכ</w:t>
      </w:r>
      <w:r w:rsidR="00692F53">
        <w:rPr>
          <w:rFonts w:asciiTheme="majorBidi" w:hAnsiTheme="majorBidi" w:cs="David" w:hint="cs"/>
          <w:sz w:val="24"/>
          <w:szCs w:val="24"/>
          <w:rtl/>
        </w:rPr>
        <w:t>רח מושגים בינאריים וכי בין שני מושגים אלה</w:t>
      </w:r>
      <w:r w:rsidR="00C36B92">
        <w:rPr>
          <w:rFonts w:asciiTheme="majorBidi" w:hAnsiTheme="majorBidi" w:cs="David" w:hint="cs"/>
          <w:sz w:val="24"/>
          <w:szCs w:val="24"/>
          <w:rtl/>
        </w:rPr>
        <w:t xml:space="preserve"> מתפרש מנעד של מוסדות משפטיים שהגוון שלהם עשוי להיות משולב</w:t>
      </w:r>
      <w:r w:rsidR="00363DED">
        <w:rPr>
          <w:rFonts w:asciiTheme="majorBidi" w:hAnsiTheme="majorBidi" w:cs="David" w:hint="cs"/>
          <w:sz w:val="24"/>
          <w:szCs w:val="24"/>
          <w:rtl/>
        </w:rPr>
        <w:t xml:space="preserve"> סטטוס-חוזה</w:t>
      </w:r>
      <w:r w:rsidR="00C36B92">
        <w:rPr>
          <w:rFonts w:asciiTheme="majorBidi" w:hAnsiTheme="majorBidi" w:cs="David" w:hint="cs"/>
          <w:sz w:val="24"/>
          <w:szCs w:val="24"/>
          <w:rtl/>
        </w:rPr>
        <w:t>. חוזים כוללים הרי את חוזי היחס</w:t>
      </w:r>
      <w:r w:rsidR="005622C8">
        <w:rPr>
          <w:rStyle w:val="FootnoteReference"/>
          <w:rFonts w:asciiTheme="majorBidi" w:hAnsiTheme="majorBidi" w:cs="David"/>
          <w:sz w:val="24"/>
          <w:szCs w:val="24"/>
          <w:rtl/>
        </w:rPr>
        <w:footnoteReference w:id="62"/>
      </w:r>
      <w:r w:rsidR="00C36B92">
        <w:rPr>
          <w:rFonts w:asciiTheme="majorBidi" w:hAnsiTheme="majorBidi" w:cs="David" w:hint="cs"/>
          <w:sz w:val="24"/>
          <w:szCs w:val="24"/>
          <w:rtl/>
        </w:rPr>
        <w:t xml:space="preserve"> ו</w:t>
      </w:r>
      <w:r w:rsidR="00CB4C3F">
        <w:rPr>
          <w:rFonts w:asciiTheme="majorBidi" w:hAnsiTheme="majorBidi" w:cs="David" w:hint="cs"/>
          <w:sz w:val="24"/>
          <w:szCs w:val="24"/>
          <w:rtl/>
        </w:rPr>
        <w:t xml:space="preserve">לצד </w:t>
      </w:r>
      <w:r w:rsidR="00C36B92">
        <w:rPr>
          <w:rFonts w:asciiTheme="majorBidi" w:hAnsiTheme="majorBidi" w:cs="David" w:hint="cs"/>
          <w:sz w:val="24"/>
          <w:szCs w:val="24"/>
          <w:rtl/>
        </w:rPr>
        <w:t>הסטטוס</w:t>
      </w:r>
      <w:r w:rsidR="00CB4C3F">
        <w:rPr>
          <w:rFonts w:asciiTheme="majorBidi" w:hAnsiTheme="majorBidi" w:cs="David" w:hint="cs"/>
          <w:sz w:val="24"/>
          <w:szCs w:val="24"/>
          <w:rtl/>
        </w:rPr>
        <w:t xml:space="preserve"> אפשר להציב </w:t>
      </w:r>
      <w:r w:rsidR="00C36B92">
        <w:rPr>
          <w:rFonts w:asciiTheme="majorBidi" w:hAnsiTheme="majorBidi" w:cs="David" w:hint="cs"/>
          <w:sz w:val="24"/>
          <w:szCs w:val="24"/>
          <w:rtl/>
        </w:rPr>
        <w:t xml:space="preserve">את </w:t>
      </w:r>
      <w:r w:rsidR="00B452DB">
        <w:rPr>
          <w:rFonts w:asciiTheme="majorBidi" w:hAnsiTheme="majorBidi" w:cs="David" w:hint="cs"/>
          <w:sz w:val="24"/>
          <w:szCs w:val="24"/>
          <w:rtl/>
        </w:rPr>
        <w:t>"בעלי התפקיד"</w:t>
      </w:r>
      <w:r w:rsidR="00CB4C3F">
        <w:rPr>
          <w:rFonts w:asciiTheme="majorBidi" w:hAnsiTheme="majorBidi" w:cs="David" w:hint="cs"/>
          <w:sz w:val="24"/>
          <w:szCs w:val="24"/>
          <w:rtl/>
        </w:rPr>
        <w:t xml:space="preserve"> </w:t>
      </w:r>
      <w:r w:rsidR="00CB4C3F">
        <w:rPr>
          <w:rFonts w:asciiTheme="majorBidi" w:hAnsiTheme="majorBidi" w:cs="David"/>
          <w:sz w:val="24"/>
          <w:szCs w:val="24"/>
        </w:rPr>
        <w:t>(office)</w:t>
      </w:r>
      <w:r w:rsidR="00B64B1A">
        <w:rPr>
          <w:rFonts w:asciiTheme="majorBidi" w:hAnsiTheme="majorBidi" w:cs="David" w:hint="cs"/>
          <w:sz w:val="24"/>
          <w:szCs w:val="24"/>
          <w:rtl/>
        </w:rPr>
        <w:t>,</w:t>
      </w:r>
      <w:r w:rsidR="00CB4C3F">
        <w:rPr>
          <w:rStyle w:val="FootnoteReference"/>
          <w:rFonts w:asciiTheme="majorBidi" w:hAnsiTheme="majorBidi" w:cs="David"/>
          <w:sz w:val="24"/>
          <w:szCs w:val="24"/>
          <w:rtl/>
        </w:rPr>
        <w:footnoteReference w:id="63"/>
      </w:r>
      <w:r w:rsidR="00B64B1A">
        <w:rPr>
          <w:rFonts w:asciiTheme="majorBidi" w:hAnsiTheme="majorBidi" w:cs="David" w:hint="cs"/>
          <w:sz w:val="24"/>
          <w:szCs w:val="24"/>
          <w:rtl/>
        </w:rPr>
        <w:t xml:space="preserve"> כך שהדיכוטומיה חוזה-סטטוס מט</w:t>
      </w:r>
      <w:r w:rsidR="0054140C">
        <w:rPr>
          <w:rFonts w:asciiTheme="majorBidi" w:hAnsiTheme="majorBidi" w:cs="David" w:hint="cs"/>
          <w:sz w:val="24"/>
          <w:szCs w:val="24"/>
          <w:rtl/>
        </w:rPr>
        <w:t>ו</w:t>
      </w:r>
      <w:r w:rsidR="00B64B1A">
        <w:rPr>
          <w:rFonts w:asciiTheme="majorBidi" w:hAnsiTheme="majorBidi" w:cs="David" w:hint="cs"/>
          <w:sz w:val="24"/>
          <w:szCs w:val="24"/>
          <w:rtl/>
        </w:rPr>
        <w:t>שטשת ממילא:</w:t>
      </w:r>
    </w:p>
    <w:p w14:paraId="75E35EE4" w14:textId="1A3A139A" w:rsidR="00363DED" w:rsidRPr="004B5F91" w:rsidRDefault="00363DED" w:rsidP="002C5C1A">
      <w:pPr>
        <w:autoSpaceDE w:val="0"/>
        <w:autoSpaceDN w:val="0"/>
        <w:bidi w:val="0"/>
        <w:adjustRightInd w:val="0"/>
        <w:spacing w:after="0" w:line="480" w:lineRule="auto"/>
        <w:rPr>
          <w:rFonts w:asciiTheme="majorBidi" w:hAnsiTheme="majorBidi" w:cstheme="majorBidi"/>
          <w:sz w:val="24"/>
          <w:szCs w:val="24"/>
        </w:rPr>
      </w:pPr>
      <w:r w:rsidRPr="004B5F91">
        <w:rPr>
          <w:rFonts w:asciiTheme="majorBidi" w:hAnsiTheme="majorBidi" w:cstheme="majorBidi"/>
          <w:sz w:val="24"/>
          <w:szCs w:val="24"/>
        </w:rPr>
        <w:t>"</w:t>
      </w:r>
      <w:r w:rsidR="002C5C1A" w:rsidRPr="004B5F91">
        <w:rPr>
          <w:rFonts w:asciiTheme="majorBidi" w:hAnsiTheme="majorBidi" w:cstheme="majorBidi"/>
          <w:sz w:val="24"/>
          <w:szCs w:val="24"/>
        </w:rPr>
        <w:t xml:space="preserve"> fiduciary relationships vacillate between poles of contract and status, occupying the mediating terrain of offices and relational contracts"</w:t>
      </w:r>
      <w:r w:rsidRPr="004B5F91">
        <w:rPr>
          <w:rFonts w:asciiTheme="majorBidi" w:hAnsiTheme="majorBidi" w:cstheme="majorBidi"/>
          <w:sz w:val="24"/>
          <w:szCs w:val="24"/>
        </w:rPr>
        <w:t>.</w:t>
      </w:r>
      <w:r w:rsidR="00B64B1A" w:rsidRPr="004B5F91">
        <w:rPr>
          <w:rStyle w:val="FootnoteReference"/>
          <w:rFonts w:asciiTheme="majorBidi" w:hAnsiTheme="majorBidi" w:cstheme="majorBidi"/>
          <w:sz w:val="24"/>
          <w:szCs w:val="24"/>
        </w:rPr>
        <w:footnoteReference w:id="64"/>
      </w:r>
      <w:r w:rsidRPr="004B5F91">
        <w:rPr>
          <w:rFonts w:asciiTheme="majorBidi" w:hAnsiTheme="majorBidi" w:cstheme="majorBidi"/>
          <w:sz w:val="24"/>
          <w:szCs w:val="24"/>
        </w:rPr>
        <w:t xml:space="preserve"> </w:t>
      </w:r>
    </w:p>
    <w:p w14:paraId="2EBC42A5" w14:textId="77777777" w:rsidR="00B2431E" w:rsidRDefault="00B452DB" w:rsidP="0054140C">
      <w:pPr>
        <w:autoSpaceDE w:val="0"/>
        <w:autoSpaceDN w:val="0"/>
        <w:adjustRightInd w:val="0"/>
        <w:spacing w:after="0" w:line="480" w:lineRule="auto"/>
        <w:jc w:val="both"/>
        <w:rPr>
          <w:rFonts w:asciiTheme="majorBidi" w:hAnsiTheme="majorBidi" w:cs="David" w:hint="cs"/>
          <w:sz w:val="24"/>
          <w:szCs w:val="24"/>
          <w:rtl/>
        </w:rPr>
      </w:pPr>
      <w:r>
        <w:rPr>
          <w:rFonts w:asciiTheme="majorBidi" w:hAnsiTheme="majorBidi" w:cs="David" w:hint="cs"/>
          <w:sz w:val="24"/>
          <w:szCs w:val="24"/>
          <w:rtl/>
        </w:rPr>
        <w:t xml:space="preserve">מכאן שלצורך החלת דיני האמונאות </w:t>
      </w:r>
      <w:r w:rsidR="0054140C">
        <w:rPr>
          <w:rFonts w:asciiTheme="majorBidi" w:hAnsiTheme="majorBidi" w:cs="David" w:hint="cs"/>
          <w:sz w:val="24"/>
          <w:szCs w:val="24"/>
          <w:rtl/>
        </w:rPr>
        <w:t>לא</w:t>
      </w:r>
      <w:r>
        <w:rPr>
          <w:rFonts w:asciiTheme="majorBidi" w:hAnsiTheme="majorBidi" w:cs="David" w:hint="cs"/>
          <w:sz w:val="24"/>
          <w:szCs w:val="24"/>
          <w:rtl/>
        </w:rPr>
        <w:t xml:space="preserve"> </w:t>
      </w:r>
      <w:r w:rsidR="00741641">
        <w:rPr>
          <w:rFonts w:asciiTheme="majorBidi" w:hAnsiTheme="majorBidi" w:cs="David" w:hint="cs"/>
          <w:sz w:val="24"/>
          <w:szCs w:val="24"/>
          <w:rtl/>
        </w:rPr>
        <w:t xml:space="preserve">נדרשת בהכרח מערכת יחסים חוזית </w:t>
      </w:r>
      <w:r>
        <w:rPr>
          <w:rFonts w:asciiTheme="majorBidi" w:hAnsiTheme="majorBidi" w:cs="David" w:hint="cs"/>
          <w:sz w:val="24"/>
          <w:szCs w:val="24"/>
          <w:rtl/>
        </w:rPr>
        <w:t>פורמלית, וכי אלה יכולים להיות מוכרים בהקשר של מערכות היחסים ו</w:t>
      </w:r>
      <w:r w:rsidR="00E16F47">
        <w:rPr>
          <w:rFonts w:asciiTheme="majorBidi" w:hAnsiTheme="majorBidi" w:cs="David" w:hint="cs"/>
          <w:sz w:val="24"/>
          <w:szCs w:val="24"/>
          <w:rtl/>
        </w:rPr>
        <w:t>תחת חס</w:t>
      </w:r>
      <w:r>
        <w:rPr>
          <w:rFonts w:asciiTheme="majorBidi" w:hAnsiTheme="majorBidi" w:cs="David" w:hint="cs"/>
          <w:sz w:val="24"/>
          <w:szCs w:val="24"/>
          <w:rtl/>
        </w:rPr>
        <w:t xml:space="preserve">ותם של </w:t>
      </w:r>
      <w:r w:rsidR="0025359B">
        <w:rPr>
          <w:rFonts w:asciiTheme="majorBidi" w:hAnsiTheme="majorBidi" w:cs="David" w:hint="cs"/>
          <w:sz w:val="24"/>
          <w:szCs w:val="24"/>
          <w:rtl/>
        </w:rPr>
        <w:t>"</w:t>
      </w:r>
      <w:r>
        <w:rPr>
          <w:rFonts w:asciiTheme="majorBidi" w:hAnsiTheme="majorBidi" w:cs="David" w:hint="cs"/>
          <w:sz w:val="24"/>
          <w:szCs w:val="24"/>
          <w:rtl/>
        </w:rPr>
        <w:t>בעלי התפקידים</w:t>
      </w:r>
      <w:r w:rsidR="00176E36">
        <w:rPr>
          <w:rFonts w:asciiTheme="majorBidi" w:hAnsiTheme="majorBidi" w:cs="David" w:hint="cs"/>
          <w:sz w:val="24"/>
          <w:szCs w:val="24"/>
          <w:rtl/>
        </w:rPr>
        <w:t>".</w:t>
      </w:r>
      <w:r w:rsidR="00176E36">
        <w:rPr>
          <w:rStyle w:val="FootnoteReference"/>
          <w:rFonts w:asciiTheme="majorBidi" w:hAnsiTheme="majorBidi" w:cs="David"/>
          <w:sz w:val="24"/>
          <w:szCs w:val="24"/>
          <w:rtl/>
        </w:rPr>
        <w:footnoteReference w:id="65"/>
      </w:r>
      <w:r w:rsidR="00363DED">
        <w:rPr>
          <w:rFonts w:asciiTheme="majorBidi" w:hAnsiTheme="majorBidi" w:cs="David" w:hint="cs"/>
          <w:sz w:val="24"/>
          <w:szCs w:val="24"/>
          <w:rtl/>
        </w:rPr>
        <w:t xml:space="preserve"> </w:t>
      </w:r>
      <w:r w:rsidR="00176E36" w:rsidRPr="00176E36">
        <w:rPr>
          <w:rFonts w:asciiTheme="majorBidi" w:hAnsiTheme="majorBidi" w:cs="David" w:hint="cs"/>
          <w:sz w:val="24"/>
          <w:szCs w:val="24"/>
          <w:highlight w:val="lightGray"/>
          <w:rtl/>
        </w:rPr>
        <w:t xml:space="preserve"> </w:t>
      </w:r>
      <w:r w:rsidR="00B2431E">
        <w:rPr>
          <w:rFonts w:asciiTheme="majorBidi" w:hAnsiTheme="majorBidi" w:cs="David" w:hint="cs"/>
          <w:sz w:val="24"/>
          <w:szCs w:val="24"/>
          <w:rtl/>
        </w:rPr>
        <w:t>ובלשונם של דגן וסקוט:</w:t>
      </w:r>
    </w:p>
    <w:p w14:paraId="07558A7D" w14:textId="77777777" w:rsidR="0025359B" w:rsidRPr="00763963" w:rsidRDefault="0025359B" w:rsidP="00B64B1A">
      <w:pPr>
        <w:autoSpaceDE w:val="0"/>
        <w:autoSpaceDN w:val="0"/>
        <w:bidi w:val="0"/>
        <w:adjustRightInd w:val="0"/>
        <w:spacing w:line="480" w:lineRule="auto"/>
        <w:jc w:val="both"/>
        <w:rPr>
          <w:rFonts w:asciiTheme="majorBidi" w:hAnsiTheme="majorBidi" w:cs="David"/>
          <w:sz w:val="24"/>
          <w:szCs w:val="24"/>
        </w:rPr>
      </w:pPr>
      <w:r>
        <w:rPr>
          <w:rFonts w:asciiTheme="majorBidi" w:hAnsiTheme="majorBidi" w:cs="David"/>
          <w:sz w:val="24"/>
          <w:szCs w:val="24"/>
        </w:rPr>
        <w:t>"Within fiduciary law we can find both offices and contract types, as well as intermediate configuration between these ideal types."</w:t>
      </w:r>
      <w:r w:rsidR="00B2431E">
        <w:rPr>
          <w:rStyle w:val="FootnoteReference"/>
          <w:rFonts w:asciiTheme="majorBidi" w:hAnsiTheme="majorBidi" w:cs="David"/>
          <w:sz w:val="24"/>
          <w:szCs w:val="24"/>
        </w:rPr>
        <w:footnoteReference w:id="66"/>
      </w:r>
    </w:p>
    <w:p w14:paraId="77AE8904" w14:textId="5228154F" w:rsidR="002803F8" w:rsidRDefault="00741641" w:rsidP="0046657A">
      <w:pPr>
        <w:spacing w:line="480" w:lineRule="auto"/>
        <w:jc w:val="both"/>
        <w:rPr>
          <w:rFonts w:asciiTheme="majorBidi" w:hAnsiTheme="majorBidi" w:cs="David"/>
          <w:sz w:val="24"/>
          <w:szCs w:val="24"/>
          <w:rtl/>
        </w:rPr>
      </w:pPr>
      <w:r>
        <w:rPr>
          <w:rFonts w:asciiTheme="majorBidi" w:hAnsiTheme="majorBidi" w:cs="David" w:hint="cs"/>
          <w:sz w:val="24"/>
          <w:szCs w:val="24"/>
          <w:rtl/>
        </w:rPr>
        <w:t xml:space="preserve">ואולם </w:t>
      </w:r>
      <w:r w:rsidR="00291F31">
        <w:rPr>
          <w:rFonts w:asciiTheme="majorBidi" w:hAnsiTheme="majorBidi" w:cs="David" w:hint="cs"/>
          <w:sz w:val="24"/>
          <w:szCs w:val="24"/>
          <w:rtl/>
        </w:rPr>
        <w:t>קושי אחר שגישה זאת מעוררת, נוגע לכך שמערכת</w:t>
      </w:r>
      <w:r w:rsidR="00B452DB">
        <w:rPr>
          <w:rFonts w:asciiTheme="majorBidi" w:hAnsiTheme="majorBidi" w:cs="David" w:hint="cs"/>
          <w:sz w:val="24"/>
          <w:szCs w:val="24"/>
          <w:rtl/>
        </w:rPr>
        <w:t xml:space="preserve"> היחסים בין הורה</w:t>
      </w:r>
      <w:r w:rsidR="00B714F9">
        <w:rPr>
          <w:rFonts w:asciiTheme="majorBidi" w:hAnsiTheme="majorBidi" w:cs="David" w:hint="cs"/>
          <w:sz w:val="24"/>
          <w:szCs w:val="24"/>
          <w:rtl/>
        </w:rPr>
        <w:t xml:space="preserve"> חורג</w:t>
      </w:r>
      <w:r w:rsidR="00B452DB">
        <w:rPr>
          <w:rFonts w:asciiTheme="majorBidi" w:hAnsiTheme="majorBidi" w:cs="David" w:hint="cs"/>
          <w:sz w:val="24"/>
          <w:szCs w:val="24"/>
          <w:rtl/>
        </w:rPr>
        <w:t xml:space="preserve"> להורה</w:t>
      </w:r>
      <w:r w:rsidR="00C13BD1">
        <w:rPr>
          <w:rFonts w:asciiTheme="majorBidi" w:hAnsiTheme="majorBidi" w:cs="David" w:hint="cs"/>
          <w:sz w:val="24"/>
          <w:szCs w:val="24"/>
          <w:rtl/>
        </w:rPr>
        <w:t xml:space="preserve"> לא משמורן</w:t>
      </w:r>
      <w:r w:rsidR="00B452DB">
        <w:rPr>
          <w:rFonts w:asciiTheme="majorBidi" w:hAnsiTheme="majorBidi" w:cs="David" w:hint="cs"/>
          <w:sz w:val="24"/>
          <w:szCs w:val="24"/>
          <w:rtl/>
        </w:rPr>
        <w:t xml:space="preserve"> </w:t>
      </w:r>
      <w:r w:rsidR="008D12ED">
        <w:rPr>
          <w:rFonts w:asciiTheme="majorBidi" w:hAnsiTheme="majorBidi" w:cs="David" w:hint="cs"/>
          <w:sz w:val="24"/>
          <w:szCs w:val="24"/>
          <w:rtl/>
        </w:rPr>
        <w:t xml:space="preserve">אף </w:t>
      </w:r>
      <w:r w:rsidR="0046657A">
        <w:rPr>
          <w:rFonts w:asciiTheme="majorBidi" w:hAnsiTheme="majorBidi" w:cs="David" w:hint="cs"/>
          <w:sz w:val="24"/>
          <w:szCs w:val="24"/>
          <w:rtl/>
        </w:rPr>
        <w:t xml:space="preserve">אינה בגדר סטטוס מוכר ולמעשה </w:t>
      </w:r>
      <w:r w:rsidR="00B452DB">
        <w:rPr>
          <w:rFonts w:asciiTheme="majorBidi" w:hAnsiTheme="majorBidi" w:cs="David" w:hint="cs"/>
          <w:sz w:val="24"/>
          <w:szCs w:val="24"/>
          <w:rtl/>
        </w:rPr>
        <w:t>טרם הוכרה כ</w:t>
      </w:r>
      <w:r w:rsidR="00B714F9">
        <w:rPr>
          <w:rFonts w:asciiTheme="majorBidi" w:hAnsiTheme="majorBidi" w:cs="David" w:hint="cs"/>
          <w:sz w:val="24"/>
          <w:szCs w:val="24"/>
          <w:rtl/>
        </w:rPr>
        <w:t>מערכת יחסים משפטית מכל סוג שהוא</w:t>
      </w:r>
      <w:r w:rsidR="0046657A">
        <w:rPr>
          <w:rFonts w:asciiTheme="majorBidi" w:hAnsiTheme="majorBidi" w:cs="David" w:hint="cs"/>
          <w:sz w:val="24"/>
          <w:szCs w:val="24"/>
          <w:rtl/>
        </w:rPr>
        <w:t xml:space="preserve">. </w:t>
      </w:r>
      <w:r>
        <w:rPr>
          <w:rFonts w:asciiTheme="majorBidi" w:hAnsiTheme="majorBidi" w:cs="David" w:hint="cs"/>
          <w:sz w:val="24"/>
          <w:szCs w:val="24"/>
          <w:rtl/>
        </w:rPr>
        <w:t xml:space="preserve">לקושי זה ניתן להשיב </w:t>
      </w:r>
      <w:r w:rsidR="009E6E43">
        <w:rPr>
          <w:rFonts w:asciiTheme="majorBidi" w:hAnsiTheme="majorBidi" w:cs="David" w:hint="cs"/>
          <w:sz w:val="24"/>
          <w:szCs w:val="24"/>
          <w:rtl/>
        </w:rPr>
        <w:t>באופן הבא: יחסי הורה חורג-הורה</w:t>
      </w:r>
      <w:r w:rsidR="00C13BD1">
        <w:rPr>
          <w:rFonts w:asciiTheme="majorBidi" w:hAnsiTheme="majorBidi" w:cs="David" w:hint="cs"/>
          <w:sz w:val="24"/>
          <w:szCs w:val="24"/>
          <w:rtl/>
        </w:rPr>
        <w:t xml:space="preserve"> לא משמורן</w:t>
      </w:r>
      <w:r w:rsidR="009E6E43">
        <w:rPr>
          <w:rFonts w:asciiTheme="majorBidi" w:hAnsiTheme="majorBidi" w:cs="David" w:hint="cs"/>
          <w:sz w:val="24"/>
          <w:szCs w:val="24"/>
          <w:rtl/>
        </w:rPr>
        <w:t xml:space="preserve"> הינם בגדר יחסים הראויים להכרה משפטית. </w:t>
      </w:r>
      <w:r w:rsidR="008E560D">
        <w:rPr>
          <w:rFonts w:asciiTheme="majorBidi" w:hAnsiTheme="majorBidi" w:cs="David" w:hint="cs"/>
          <w:sz w:val="24"/>
          <w:szCs w:val="24"/>
          <w:rtl/>
        </w:rPr>
        <w:t>בהיקש</w:t>
      </w:r>
      <w:r w:rsidR="009E6E43">
        <w:rPr>
          <w:rFonts w:asciiTheme="majorBidi" w:hAnsiTheme="majorBidi" w:cs="David" w:hint="cs"/>
          <w:sz w:val="24"/>
          <w:szCs w:val="24"/>
          <w:rtl/>
        </w:rPr>
        <w:t xml:space="preserve"> </w:t>
      </w:r>
      <w:r w:rsidR="008E560D">
        <w:rPr>
          <w:rFonts w:asciiTheme="majorBidi" w:hAnsiTheme="majorBidi" w:cs="David" w:hint="cs"/>
          <w:sz w:val="24"/>
          <w:szCs w:val="24"/>
          <w:rtl/>
        </w:rPr>
        <w:t>מ</w:t>
      </w:r>
      <w:r w:rsidR="009E6E43">
        <w:rPr>
          <w:rFonts w:asciiTheme="majorBidi" w:hAnsiTheme="majorBidi" w:cs="David" w:hint="cs"/>
          <w:sz w:val="24"/>
          <w:szCs w:val="24"/>
          <w:rtl/>
        </w:rPr>
        <w:t>שיטתו של אמנון רייכמן ניתן להמשיג את מערכת הי</w:t>
      </w:r>
      <w:r w:rsidR="005622C8">
        <w:rPr>
          <w:rFonts w:asciiTheme="majorBidi" w:hAnsiTheme="majorBidi" w:cs="David" w:hint="cs"/>
          <w:sz w:val="24"/>
          <w:szCs w:val="24"/>
          <w:rtl/>
        </w:rPr>
        <w:t>חסים האמורה כססטוס במובן התפקידי.</w:t>
      </w:r>
      <w:r w:rsidR="008D12ED">
        <w:rPr>
          <w:rStyle w:val="FootnoteReference"/>
          <w:rFonts w:asciiTheme="majorBidi" w:hAnsiTheme="majorBidi" w:cs="David"/>
          <w:sz w:val="24"/>
          <w:szCs w:val="24"/>
          <w:rtl/>
        </w:rPr>
        <w:footnoteReference w:id="67"/>
      </w:r>
      <w:r w:rsidR="005622C8">
        <w:rPr>
          <w:rFonts w:asciiTheme="majorBidi" w:hAnsiTheme="majorBidi" w:cs="David" w:hint="cs"/>
          <w:sz w:val="24"/>
          <w:szCs w:val="24"/>
          <w:rtl/>
        </w:rPr>
        <w:t xml:space="preserve"> במאמרו, אשר עוסק בזכות לכבוד כחברות בקהילייה המוסרית</w:t>
      </w:r>
      <w:r w:rsidR="003C5453">
        <w:rPr>
          <w:rStyle w:val="FootnoteReference"/>
          <w:rFonts w:asciiTheme="majorBidi" w:hAnsiTheme="majorBidi" w:cs="David"/>
          <w:sz w:val="24"/>
          <w:szCs w:val="24"/>
          <w:rtl/>
        </w:rPr>
        <w:footnoteReference w:id="68"/>
      </w:r>
      <w:r w:rsidR="005622C8">
        <w:rPr>
          <w:rFonts w:asciiTheme="majorBidi" w:hAnsiTheme="majorBidi" w:cs="David" w:hint="cs"/>
          <w:sz w:val="24"/>
          <w:szCs w:val="24"/>
          <w:rtl/>
        </w:rPr>
        <w:t>,הוא כותב כך:</w:t>
      </w:r>
      <w:r w:rsidR="00692F53">
        <w:rPr>
          <w:rFonts w:asciiTheme="majorBidi" w:hAnsiTheme="majorBidi" w:cs="David" w:hint="cs"/>
          <w:sz w:val="24"/>
          <w:szCs w:val="24"/>
          <w:rtl/>
        </w:rPr>
        <w:t xml:space="preserve"> </w:t>
      </w:r>
    </w:p>
    <w:p w14:paraId="7DCB53B6" w14:textId="77777777" w:rsidR="002803F8" w:rsidRPr="008815E4" w:rsidRDefault="005622C8" w:rsidP="00C07796">
      <w:pPr>
        <w:spacing w:line="480" w:lineRule="auto"/>
        <w:jc w:val="both"/>
        <w:rPr>
          <w:rFonts w:ascii="David" w:hAnsi="David" w:cs="David"/>
          <w:sz w:val="24"/>
          <w:szCs w:val="24"/>
          <w:rtl/>
        </w:rPr>
      </w:pPr>
      <w:r w:rsidRPr="008815E4">
        <w:rPr>
          <w:rFonts w:ascii="David" w:hAnsi="David" w:cs="David"/>
          <w:sz w:val="24"/>
          <w:szCs w:val="24"/>
          <w:rtl/>
        </w:rPr>
        <w:t>"החברות בקהילייה המוסרית, ולפיכך התביעה להימנע מפגיעה בביטויה של ח</w:t>
      </w:r>
      <w:r w:rsidR="008815E4">
        <w:rPr>
          <w:rFonts w:ascii="David" w:hAnsi="David" w:cs="David"/>
          <w:sz w:val="24"/>
          <w:szCs w:val="24"/>
          <w:rtl/>
        </w:rPr>
        <w:t xml:space="preserve">ברות </w:t>
      </w:r>
      <w:r w:rsidR="008815E4">
        <w:rPr>
          <w:rFonts w:ascii="David" w:hAnsi="David" w:cs="David" w:hint="cs"/>
          <w:sz w:val="24"/>
          <w:szCs w:val="24"/>
          <w:rtl/>
        </w:rPr>
        <w:t xml:space="preserve">זו, </w:t>
      </w:r>
      <w:r w:rsidR="008815E4" w:rsidRPr="008815E4">
        <w:rPr>
          <w:rFonts w:ascii="David" w:hAnsi="David" w:cs="David"/>
          <w:sz w:val="24"/>
          <w:szCs w:val="24"/>
        </w:rPr>
        <w:t xml:space="preserve"> </w:t>
      </w:r>
      <w:r w:rsidR="002803F8" w:rsidRPr="008815E4">
        <w:rPr>
          <w:rFonts w:ascii="David" w:hAnsi="David" w:cs="David"/>
          <w:sz w:val="24"/>
          <w:szCs w:val="24"/>
          <w:rtl/>
        </w:rPr>
        <w:t>איננה רק עניין מופשט, שנדון תיאורט</w:t>
      </w:r>
      <w:r w:rsidR="00892D6B" w:rsidRPr="008815E4">
        <w:rPr>
          <w:rFonts w:ascii="David" w:hAnsi="David" w:cs="David"/>
          <w:sz w:val="24"/>
          <w:szCs w:val="24"/>
          <w:rtl/>
        </w:rPr>
        <w:t>ית כאילו היה האדם מ</w:t>
      </w:r>
      <w:r w:rsidR="002803F8" w:rsidRPr="008815E4">
        <w:rPr>
          <w:rFonts w:ascii="David" w:hAnsi="David" w:cs="David"/>
          <w:sz w:val="24"/>
          <w:szCs w:val="24"/>
          <w:rtl/>
        </w:rPr>
        <w:t xml:space="preserve">נותק מן הקיום האמפירי </w:t>
      </w:r>
      <w:r w:rsidR="00C07796">
        <w:rPr>
          <w:rFonts w:ascii="David" w:hAnsi="David" w:cs="David"/>
          <w:sz w:val="24"/>
          <w:szCs w:val="24"/>
          <w:rtl/>
        </w:rPr>
        <w:t>של חייו או מתקיים לבדו</w:t>
      </w:r>
      <w:r w:rsidR="00C07796">
        <w:rPr>
          <w:rFonts w:ascii="David" w:hAnsi="David" w:cs="David" w:hint="cs"/>
          <w:sz w:val="24"/>
          <w:szCs w:val="24"/>
          <w:rtl/>
        </w:rPr>
        <w:t>..</w:t>
      </w:r>
      <w:r w:rsidR="00892D6B" w:rsidRPr="008815E4">
        <w:rPr>
          <w:rFonts w:ascii="David" w:hAnsi="David" w:cs="David"/>
          <w:sz w:val="24"/>
          <w:szCs w:val="24"/>
          <w:rtl/>
        </w:rPr>
        <w:t>. החברה האזרחית, בה מ</w:t>
      </w:r>
      <w:r w:rsidR="002803F8" w:rsidRPr="008815E4">
        <w:rPr>
          <w:rFonts w:ascii="David" w:hAnsi="David" w:cs="David"/>
          <w:sz w:val="24"/>
          <w:szCs w:val="24"/>
          <w:rtl/>
        </w:rPr>
        <w:t xml:space="preserve">תממשת </w:t>
      </w:r>
      <w:r w:rsidR="00892D6B" w:rsidRPr="008815E4">
        <w:rPr>
          <w:rFonts w:ascii="David" w:hAnsi="David" w:cs="David"/>
          <w:sz w:val="24"/>
          <w:szCs w:val="24"/>
          <w:rtl/>
        </w:rPr>
        <w:t>הקהילייה המוסרית, מאפשרת ל</w:t>
      </w:r>
      <w:r w:rsidR="002803F8" w:rsidRPr="008815E4">
        <w:rPr>
          <w:rFonts w:ascii="David" w:hAnsi="David" w:cs="David"/>
          <w:sz w:val="24"/>
          <w:szCs w:val="24"/>
          <w:rtl/>
        </w:rPr>
        <w:t>חברים ל</w:t>
      </w:r>
      <w:r w:rsidR="00892D6B" w:rsidRPr="008815E4">
        <w:rPr>
          <w:rFonts w:ascii="David" w:hAnsi="David" w:cs="David"/>
          <w:sz w:val="24"/>
          <w:szCs w:val="24"/>
          <w:rtl/>
        </w:rPr>
        <w:t xml:space="preserve">פעול גם (אבל לא רק) </w:t>
      </w:r>
      <w:r w:rsidR="002803F8" w:rsidRPr="008815E4">
        <w:rPr>
          <w:rFonts w:ascii="David" w:hAnsi="David" w:cs="David"/>
          <w:sz w:val="24"/>
          <w:szCs w:val="24"/>
          <w:rtl/>
        </w:rPr>
        <w:t>באמצעות תפקידים</w:t>
      </w:r>
      <w:r w:rsidR="000519AE">
        <w:rPr>
          <w:rFonts w:ascii="David" w:hAnsi="David" w:cs="David" w:hint="cs"/>
          <w:sz w:val="24"/>
          <w:szCs w:val="24"/>
          <w:rtl/>
        </w:rPr>
        <w:t xml:space="preserve"> שונים - </w:t>
      </w:r>
      <w:r w:rsidR="002803F8" w:rsidRPr="008815E4">
        <w:rPr>
          <w:rFonts w:ascii="David" w:hAnsi="David" w:cs="David"/>
          <w:sz w:val="24"/>
          <w:szCs w:val="24"/>
          <w:rtl/>
        </w:rPr>
        <w:t>סטטוסים - א</w:t>
      </w:r>
      <w:r w:rsidR="00892D6B" w:rsidRPr="008815E4">
        <w:rPr>
          <w:rFonts w:ascii="David" w:hAnsi="David" w:cs="David"/>
          <w:sz w:val="24"/>
          <w:szCs w:val="24"/>
          <w:rtl/>
        </w:rPr>
        <w:t>ותם מאיישים בני החברה. כך ניתן לדבר בחברה אזרחית ע</w:t>
      </w:r>
      <w:r w:rsidR="002803F8" w:rsidRPr="008815E4">
        <w:rPr>
          <w:rFonts w:ascii="David" w:hAnsi="David" w:cs="David"/>
          <w:sz w:val="24"/>
          <w:szCs w:val="24"/>
          <w:rtl/>
        </w:rPr>
        <w:t>ל עובד, מעביד, בעל, אישה, בעל מקצוע כזה או אחר, אזרח, נושא ת</w:t>
      </w:r>
      <w:r w:rsidR="00892D6B" w:rsidRPr="008815E4">
        <w:rPr>
          <w:rFonts w:ascii="David" w:hAnsi="David" w:cs="David"/>
          <w:sz w:val="24"/>
          <w:szCs w:val="24"/>
          <w:rtl/>
        </w:rPr>
        <w:t>פקיד מטעם המדינה,</w:t>
      </w:r>
      <w:r w:rsidR="002803F8" w:rsidRPr="008815E4">
        <w:rPr>
          <w:rFonts w:ascii="David" w:hAnsi="David" w:cs="David"/>
          <w:sz w:val="24"/>
          <w:szCs w:val="24"/>
        </w:rPr>
        <w:t xml:space="preserve"> </w:t>
      </w:r>
      <w:r w:rsidR="00892D6B" w:rsidRPr="008815E4">
        <w:rPr>
          <w:rFonts w:ascii="David" w:hAnsi="David" w:cs="David"/>
          <w:sz w:val="24"/>
          <w:szCs w:val="24"/>
          <w:rtl/>
        </w:rPr>
        <w:t xml:space="preserve"> </w:t>
      </w:r>
      <w:r w:rsidR="002803F8" w:rsidRPr="008815E4">
        <w:rPr>
          <w:rFonts w:ascii="David" w:hAnsi="David" w:cs="David"/>
          <w:sz w:val="24"/>
          <w:szCs w:val="24"/>
          <w:rtl/>
        </w:rPr>
        <w:t>וכולי. אלו הם סטטוסים - תפקידים או ״כובע</w:t>
      </w:r>
      <w:r w:rsidR="00892D6B" w:rsidRPr="008815E4">
        <w:rPr>
          <w:rFonts w:ascii="David" w:hAnsi="David" w:cs="David"/>
          <w:sz w:val="24"/>
          <w:szCs w:val="24"/>
          <w:rtl/>
        </w:rPr>
        <w:t>ים״ - שמכוחם יכולים בני החברה ל</w:t>
      </w:r>
      <w:r w:rsidR="002803F8" w:rsidRPr="008815E4">
        <w:rPr>
          <w:rFonts w:ascii="David" w:hAnsi="David" w:cs="David"/>
          <w:sz w:val="24"/>
          <w:szCs w:val="24"/>
          <w:rtl/>
        </w:rPr>
        <w:t>התקשר ע</w:t>
      </w:r>
      <w:r w:rsidR="00892D6B" w:rsidRPr="008815E4">
        <w:rPr>
          <w:rFonts w:ascii="David" w:hAnsi="David" w:cs="David"/>
          <w:sz w:val="24"/>
          <w:szCs w:val="24"/>
          <w:rtl/>
        </w:rPr>
        <w:t>ם חבריהם ועם החברה בכללותה, שמכוחם יכולים הם לתבוע זכויות ומכוחם ח</w:t>
      </w:r>
      <w:r w:rsidR="002803F8" w:rsidRPr="008815E4">
        <w:rPr>
          <w:rFonts w:ascii="David" w:hAnsi="David" w:cs="David"/>
          <w:sz w:val="24"/>
          <w:szCs w:val="24"/>
          <w:rtl/>
        </w:rPr>
        <w:t>לות עליהם חובות כ</w:t>
      </w:r>
      <w:r w:rsidR="00892D6B" w:rsidRPr="008815E4">
        <w:rPr>
          <w:rFonts w:ascii="David" w:hAnsi="David" w:cs="David"/>
          <w:sz w:val="24"/>
          <w:szCs w:val="24"/>
          <w:rtl/>
        </w:rPr>
        <w:t>לפי המתקשרים ע</w:t>
      </w:r>
      <w:r w:rsidR="002803F8" w:rsidRPr="008815E4">
        <w:rPr>
          <w:rFonts w:ascii="David" w:hAnsi="David" w:cs="David"/>
          <w:sz w:val="24"/>
          <w:szCs w:val="24"/>
          <w:rtl/>
        </w:rPr>
        <w:t>מם (או המצויים ב</w:t>
      </w:r>
      <w:r w:rsidR="00892D6B" w:rsidRPr="008815E4">
        <w:rPr>
          <w:rFonts w:ascii="David" w:hAnsi="David" w:cs="David"/>
          <w:sz w:val="24"/>
          <w:szCs w:val="24"/>
          <w:rtl/>
        </w:rPr>
        <w:t>׳קרבתם׳) ו</w:t>
      </w:r>
      <w:r w:rsidR="002803F8" w:rsidRPr="008815E4">
        <w:rPr>
          <w:rFonts w:ascii="David" w:hAnsi="David" w:cs="David"/>
          <w:sz w:val="24"/>
          <w:szCs w:val="24"/>
          <w:rtl/>
        </w:rPr>
        <w:t>כלפי החברה. תפקידים חברתיים - סטטוסים - אלו מגדירים ומוגדרים על־ידי מ</w:t>
      </w:r>
      <w:r w:rsidR="00892D6B" w:rsidRPr="008815E4">
        <w:rPr>
          <w:rFonts w:ascii="David" w:hAnsi="David" w:cs="David"/>
          <w:sz w:val="24"/>
          <w:szCs w:val="24"/>
          <w:rtl/>
        </w:rPr>
        <w:t>ערכות יחסים שבהן נוטל חל</w:t>
      </w:r>
      <w:r w:rsidR="002803F8" w:rsidRPr="008815E4">
        <w:rPr>
          <w:rFonts w:ascii="David" w:hAnsi="David" w:cs="David"/>
          <w:sz w:val="24"/>
          <w:szCs w:val="24"/>
          <w:rtl/>
        </w:rPr>
        <w:t>ק ב</w:t>
      </w:r>
      <w:r w:rsidR="00892D6B" w:rsidRPr="008815E4">
        <w:rPr>
          <w:rFonts w:ascii="David" w:hAnsi="David" w:cs="David"/>
          <w:sz w:val="24"/>
          <w:szCs w:val="24"/>
          <w:rtl/>
        </w:rPr>
        <w:t>על ה</w:t>
      </w:r>
      <w:r w:rsidR="002803F8" w:rsidRPr="008815E4">
        <w:rPr>
          <w:rFonts w:ascii="David" w:hAnsi="David" w:cs="David"/>
          <w:sz w:val="24"/>
          <w:szCs w:val="24"/>
          <w:rtl/>
        </w:rPr>
        <w:t>תפקיד בבואו לפעול במסגרת תפקיד</w:t>
      </w:r>
      <w:r w:rsidR="00892D6B" w:rsidRPr="008815E4">
        <w:rPr>
          <w:rFonts w:ascii="David" w:hAnsi="David" w:cs="David"/>
          <w:sz w:val="24"/>
          <w:szCs w:val="24"/>
          <w:rtl/>
        </w:rPr>
        <w:t>ו"</w:t>
      </w:r>
      <w:r w:rsidR="00892D6B" w:rsidRPr="008815E4">
        <w:rPr>
          <w:rStyle w:val="FootnoteReference"/>
          <w:rFonts w:ascii="David" w:hAnsi="David" w:cs="David"/>
          <w:sz w:val="24"/>
          <w:szCs w:val="24"/>
          <w:rtl/>
        </w:rPr>
        <w:footnoteReference w:id="69"/>
      </w:r>
      <w:r w:rsidR="002803F8" w:rsidRPr="008815E4">
        <w:rPr>
          <w:rFonts w:ascii="David" w:hAnsi="David" w:cs="David"/>
          <w:sz w:val="24"/>
          <w:szCs w:val="24"/>
        </w:rPr>
        <w:t>.</w:t>
      </w:r>
    </w:p>
    <w:p w14:paraId="7C5777A8" w14:textId="77777777" w:rsidR="00E27C3E" w:rsidRPr="008815E4" w:rsidRDefault="00892D6B" w:rsidP="008815E4">
      <w:pPr>
        <w:spacing w:line="480" w:lineRule="auto"/>
        <w:jc w:val="both"/>
        <w:rPr>
          <w:rFonts w:ascii="David" w:hAnsi="David" w:cs="David"/>
          <w:sz w:val="24"/>
          <w:szCs w:val="24"/>
          <w:rtl/>
        </w:rPr>
      </w:pPr>
      <w:r w:rsidRPr="008815E4">
        <w:rPr>
          <w:rFonts w:ascii="David" w:hAnsi="David" w:cs="David"/>
          <w:sz w:val="24"/>
          <w:szCs w:val="24"/>
          <w:rtl/>
        </w:rPr>
        <w:t>ועוד:</w:t>
      </w:r>
    </w:p>
    <w:p w14:paraId="429662B0" w14:textId="316F6793" w:rsidR="00A56A81" w:rsidRPr="008815E4" w:rsidRDefault="00892D6B" w:rsidP="00F83B3E">
      <w:pPr>
        <w:spacing w:line="480" w:lineRule="auto"/>
        <w:jc w:val="both"/>
        <w:rPr>
          <w:rFonts w:ascii="David" w:hAnsi="David" w:cs="David"/>
          <w:sz w:val="24"/>
          <w:szCs w:val="24"/>
          <w:rtl/>
        </w:rPr>
      </w:pPr>
      <w:r w:rsidRPr="008815E4">
        <w:rPr>
          <w:rFonts w:ascii="David" w:hAnsi="David" w:cs="David"/>
          <w:sz w:val="24"/>
          <w:szCs w:val="24"/>
          <w:rtl/>
        </w:rPr>
        <w:t>"</w:t>
      </w:r>
      <w:r w:rsidR="00BC4F0B">
        <w:rPr>
          <w:rFonts w:ascii="David" w:hAnsi="David" w:cs="David" w:hint="cs"/>
          <w:sz w:val="24"/>
          <w:szCs w:val="24"/>
          <w:rtl/>
        </w:rPr>
        <w:t>ב</w:t>
      </w:r>
      <w:r w:rsidR="00A56A81" w:rsidRPr="008815E4">
        <w:rPr>
          <w:rFonts w:ascii="David" w:hAnsi="David" w:cs="David"/>
          <w:sz w:val="24"/>
          <w:szCs w:val="24"/>
          <w:rtl/>
        </w:rPr>
        <w:t>בואנו להתקשר איש עם רעהו מכוח סטטוס כזה או אחר, עלינו להתייחס זה אל זה בהתאם ל</w:t>
      </w:r>
      <w:r w:rsidRPr="008815E4">
        <w:rPr>
          <w:rFonts w:ascii="David" w:hAnsi="David" w:cs="David"/>
          <w:sz w:val="24"/>
          <w:szCs w:val="24"/>
          <w:rtl/>
        </w:rPr>
        <w:t>דרישות ה</w:t>
      </w:r>
      <w:r w:rsidR="00A56A81" w:rsidRPr="008815E4">
        <w:rPr>
          <w:rFonts w:ascii="David" w:hAnsi="David" w:cs="David"/>
          <w:sz w:val="24"/>
          <w:szCs w:val="24"/>
          <w:rtl/>
        </w:rPr>
        <w:t xml:space="preserve">נובעות מן </w:t>
      </w:r>
      <w:r w:rsidR="009410D9" w:rsidRPr="008815E4">
        <w:rPr>
          <w:rFonts w:ascii="David" w:hAnsi="David" w:cs="David"/>
          <w:sz w:val="24"/>
          <w:szCs w:val="24"/>
          <w:rtl/>
        </w:rPr>
        <w:t xml:space="preserve">הסטטוס </w:t>
      </w:r>
      <w:r w:rsidR="009410D9" w:rsidRPr="00BC4F0B">
        <w:rPr>
          <w:rFonts w:ascii="David" w:hAnsi="David" w:cs="David"/>
          <w:sz w:val="24"/>
          <w:szCs w:val="24"/>
          <w:rtl/>
        </w:rPr>
        <w:t>ו</w:t>
      </w:r>
      <w:r w:rsidR="00A56A81" w:rsidRPr="00BC4F0B">
        <w:rPr>
          <w:rFonts w:ascii="David" w:hAnsi="David" w:cs="David"/>
          <w:sz w:val="24"/>
          <w:szCs w:val="24"/>
          <w:rtl/>
        </w:rPr>
        <w:t>ממערכות היחסים בין הסטטוסים השונים</w:t>
      </w:r>
      <w:r w:rsidR="00C07796">
        <w:rPr>
          <w:rFonts w:ascii="David" w:hAnsi="David" w:cs="David"/>
          <w:sz w:val="24"/>
          <w:szCs w:val="24"/>
          <w:rtl/>
        </w:rPr>
        <w:t>.</w:t>
      </w:r>
      <w:r w:rsidR="00C07796">
        <w:rPr>
          <w:rFonts w:ascii="David" w:hAnsi="David" w:cs="David" w:hint="cs"/>
          <w:sz w:val="24"/>
          <w:szCs w:val="24"/>
          <w:rtl/>
        </w:rPr>
        <w:t xml:space="preserve">.. </w:t>
      </w:r>
      <w:r w:rsidR="00A56A81" w:rsidRPr="008815E4">
        <w:rPr>
          <w:rFonts w:ascii="David" w:hAnsi="David" w:cs="David"/>
          <w:sz w:val="24"/>
          <w:szCs w:val="24"/>
          <w:rtl/>
        </w:rPr>
        <w:t>יחס כלפי אחר שאיננו עולה בקנה אחד עם התפקידים שממלאים בני האדם זה כלפי זה משמעו האופרטיבי כי אדם אחד מדיר אדם שני מ</w:t>
      </w:r>
      <w:r w:rsidR="00C07796">
        <w:rPr>
          <w:rFonts w:ascii="David" w:hAnsi="David" w:cs="David"/>
          <w:sz w:val="24"/>
          <w:szCs w:val="24"/>
          <w:rtl/>
        </w:rPr>
        <w:t>ן הסטטוס אותו ממלא האדם השני</w:t>
      </w:r>
      <w:r w:rsidR="00985A3E">
        <w:rPr>
          <w:rFonts w:ascii="David" w:hAnsi="David" w:cs="David" w:hint="cs"/>
          <w:sz w:val="24"/>
          <w:szCs w:val="24"/>
          <w:rtl/>
        </w:rPr>
        <w:t>...</w:t>
      </w:r>
      <w:r w:rsidR="00A56A81" w:rsidRPr="008815E4">
        <w:rPr>
          <w:rFonts w:ascii="David" w:hAnsi="David" w:cs="David"/>
          <w:sz w:val="24"/>
          <w:szCs w:val="24"/>
          <w:rtl/>
        </w:rPr>
        <w:t xml:space="preserve"> </w:t>
      </w:r>
      <w:r w:rsidR="00C63965" w:rsidRPr="008815E4">
        <w:rPr>
          <w:rFonts w:ascii="David" w:hAnsi="David" w:cs="David"/>
          <w:sz w:val="24"/>
          <w:szCs w:val="24"/>
          <w:rtl/>
        </w:rPr>
        <w:t>יחס שכזה מ</w:t>
      </w:r>
      <w:r w:rsidR="00A56A81" w:rsidRPr="008815E4">
        <w:rPr>
          <w:rFonts w:ascii="David" w:hAnsi="David" w:cs="David"/>
          <w:sz w:val="24"/>
          <w:szCs w:val="24"/>
          <w:rtl/>
        </w:rPr>
        <w:t>פר את ה</w:t>
      </w:r>
      <w:r w:rsidR="00C63965" w:rsidRPr="008815E4">
        <w:rPr>
          <w:rFonts w:ascii="David" w:hAnsi="David" w:cs="David"/>
          <w:sz w:val="24"/>
          <w:szCs w:val="24"/>
          <w:rtl/>
        </w:rPr>
        <w:t>זכות ל</w:t>
      </w:r>
      <w:r w:rsidR="00A56A81" w:rsidRPr="008815E4">
        <w:rPr>
          <w:rFonts w:ascii="David" w:hAnsi="David" w:cs="David"/>
          <w:sz w:val="24"/>
          <w:szCs w:val="24"/>
          <w:rtl/>
        </w:rPr>
        <w:t>כבוד האדם</w:t>
      </w:r>
      <w:r w:rsidR="00B64B1A">
        <w:rPr>
          <w:rFonts w:ascii="David" w:hAnsi="David" w:cs="David"/>
          <w:sz w:val="24"/>
          <w:szCs w:val="24"/>
        </w:rPr>
        <w:t>…</w:t>
      </w:r>
      <w:r w:rsidR="000519AE">
        <w:rPr>
          <w:rFonts w:ascii="David" w:hAnsi="David" w:cs="David" w:hint="cs"/>
          <w:sz w:val="24"/>
          <w:szCs w:val="24"/>
          <w:rtl/>
        </w:rPr>
        <w:t>"</w:t>
      </w:r>
      <w:r w:rsidR="000519AE">
        <w:rPr>
          <w:rStyle w:val="FootnoteReference"/>
          <w:rFonts w:ascii="David" w:hAnsi="David" w:cs="David"/>
          <w:sz w:val="24"/>
          <w:szCs w:val="24"/>
          <w:rtl/>
        </w:rPr>
        <w:footnoteReference w:id="70"/>
      </w:r>
      <w:r w:rsidR="00A56A81" w:rsidRPr="008815E4">
        <w:rPr>
          <w:rFonts w:ascii="David" w:hAnsi="David" w:cs="David"/>
          <w:sz w:val="24"/>
          <w:szCs w:val="24"/>
        </w:rPr>
        <w:t>.</w:t>
      </w:r>
    </w:p>
    <w:p w14:paraId="1E54E11E" w14:textId="09689FBE" w:rsidR="00111D00" w:rsidRDefault="000519AE" w:rsidP="005D2309">
      <w:pPr>
        <w:spacing w:line="480" w:lineRule="auto"/>
        <w:jc w:val="both"/>
        <w:rPr>
          <w:rFonts w:ascii="David" w:hAnsi="David" w:cs="David"/>
          <w:sz w:val="24"/>
          <w:szCs w:val="24"/>
          <w:rtl/>
        </w:rPr>
      </w:pPr>
      <w:r w:rsidRPr="00B64B1A">
        <w:rPr>
          <w:rFonts w:ascii="David" w:hAnsi="David" w:cs="David" w:hint="cs"/>
          <w:sz w:val="24"/>
          <w:szCs w:val="24"/>
          <w:highlight w:val="lightGray"/>
          <w:rtl/>
        </w:rPr>
        <w:t>כפי שאטען בחלק הבא,</w:t>
      </w:r>
      <w:r>
        <w:rPr>
          <w:rFonts w:ascii="David" w:hAnsi="David" w:cs="David" w:hint="cs"/>
          <w:sz w:val="24"/>
          <w:szCs w:val="24"/>
          <w:rtl/>
        </w:rPr>
        <w:t xml:space="preserve"> ניתן בהקשר זה לדבר על פגיעה באחד משני תפקידים. </w:t>
      </w:r>
      <w:r w:rsidR="0090216F">
        <w:rPr>
          <w:rFonts w:ascii="David" w:hAnsi="David" w:cs="David" w:hint="cs"/>
          <w:sz w:val="24"/>
          <w:szCs w:val="24"/>
          <w:rtl/>
        </w:rPr>
        <w:t xml:space="preserve">האחד, </w:t>
      </w:r>
      <w:r>
        <w:rPr>
          <w:rFonts w:ascii="David" w:hAnsi="David" w:cs="David" w:hint="cs"/>
          <w:sz w:val="24"/>
          <w:szCs w:val="24"/>
          <w:rtl/>
        </w:rPr>
        <w:t>פגיעה ישירה באותו יחס תפקידי בין הורה חורג להורה</w:t>
      </w:r>
      <w:r w:rsidR="00B5748E">
        <w:rPr>
          <w:rFonts w:ascii="David" w:hAnsi="David" w:cs="David" w:hint="cs"/>
          <w:sz w:val="24"/>
          <w:szCs w:val="24"/>
          <w:rtl/>
        </w:rPr>
        <w:t xml:space="preserve"> לא משמורן</w:t>
      </w:r>
      <w:r w:rsidR="00D51776">
        <w:rPr>
          <w:rFonts w:ascii="David" w:hAnsi="David" w:cs="David" w:hint="cs"/>
          <w:sz w:val="24"/>
          <w:szCs w:val="24"/>
          <w:rtl/>
        </w:rPr>
        <w:t xml:space="preserve"> (במלאו תפקיד הורי במקומו של ההורה הלא משמורן ובהחזיקו אינטרסים הוריים השייכים לו)</w:t>
      </w:r>
      <w:r w:rsidR="00A13C11">
        <w:rPr>
          <w:rFonts w:ascii="David" w:hAnsi="David" w:cs="David" w:hint="cs"/>
          <w:sz w:val="24"/>
          <w:szCs w:val="24"/>
          <w:rtl/>
        </w:rPr>
        <w:t>,</w:t>
      </w:r>
      <w:r w:rsidR="00111D00">
        <w:rPr>
          <w:rFonts w:ascii="David" w:hAnsi="David" w:cs="David" w:hint="cs"/>
          <w:sz w:val="24"/>
          <w:szCs w:val="24"/>
          <w:rtl/>
        </w:rPr>
        <w:t xml:space="preserve"> </w:t>
      </w:r>
      <w:r w:rsidR="00D51776">
        <w:rPr>
          <w:rFonts w:ascii="David" w:hAnsi="David" w:cs="David" w:hint="cs"/>
          <w:sz w:val="24"/>
          <w:szCs w:val="24"/>
          <w:rtl/>
        </w:rPr>
        <w:t xml:space="preserve">יחס תפקידי </w:t>
      </w:r>
      <w:r w:rsidR="00A13C11">
        <w:rPr>
          <w:rFonts w:ascii="David" w:hAnsi="David" w:cs="David" w:hint="cs"/>
          <w:sz w:val="24"/>
          <w:szCs w:val="24"/>
          <w:rtl/>
        </w:rPr>
        <w:t>המובא כחידוש במאמר זה</w:t>
      </w:r>
      <w:r w:rsidR="0090216F">
        <w:rPr>
          <w:rFonts w:ascii="David" w:hAnsi="David" w:cs="David" w:hint="cs"/>
          <w:sz w:val="24"/>
          <w:szCs w:val="24"/>
          <w:rtl/>
        </w:rPr>
        <w:t xml:space="preserve">; השני, </w:t>
      </w:r>
      <w:r>
        <w:rPr>
          <w:rFonts w:ascii="David" w:hAnsi="David" w:cs="David" w:hint="cs"/>
          <w:sz w:val="24"/>
          <w:szCs w:val="24"/>
          <w:rtl/>
        </w:rPr>
        <w:t>פגיעה הנגרמת בעקי</w:t>
      </w:r>
      <w:r w:rsidR="003457BB">
        <w:rPr>
          <w:rFonts w:ascii="David" w:hAnsi="David" w:cs="David" w:hint="cs"/>
          <w:sz w:val="24"/>
          <w:szCs w:val="24"/>
          <w:rtl/>
        </w:rPr>
        <w:t>פין כתוצאה מ</w:t>
      </w:r>
      <w:r>
        <w:rPr>
          <w:rFonts w:ascii="David" w:hAnsi="David" w:cs="David" w:hint="cs"/>
          <w:sz w:val="24"/>
          <w:szCs w:val="24"/>
          <w:rtl/>
        </w:rPr>
        <w:t>התנהגות ההורה החורג</w:t>
      </w:r>
      <w:r w:rsidR="00C07796">
        <w:rPr>
          <w:rFonts w:ascii="David" w:hAnsi="David" w:cs="David" w:hint="cs"/>
          <w:sz w:val="24"/>
          <w:szCs w:val="24"/>
          <w:rtl/>
        </w:rPr>
        <w:t>,</w:t>
      </w:r>
      <w:r>
        <w:rPr>
          <w:rFonts w:ascii="David" w:hAnsi="David" w:cs="David" w:hint="cs"/>
          <w:sz w:val="24"/>
          <w:szCs w:val="24"/>
          <w:rtl/>
        </w:rPr>
        <w:t xml:space="preserve"> ביחס התפקידי</w:t>
      </w:r>
      <w:r w:rsidR="005220BE" w:rsidRPr="005220BE">
        <w:rPr>
          <w:rFonts w:ascii="David" w:hAnsi="David" w:cs="David" w:hint="cs"/>
          <w:sz w:val="24"/>
          <w:szCs w:val="24"/>
          <w:rtl/>
        </w:rPr>
        <w:t xml:space="preserve"> </w:t>
      </w:r>
      <w:r w:rsidR="005220BE">
        <w:rPr>
          <w:rFonts w:ascii="David" w:hAnsi="David" w:cs="David" w:hint="cs"/>
          <w:sz w:val="24"/>
          <w:szCs w:val="24"/>
          <w:rtl/>
        </w:rPr>
        <w:t>שבין ההורה</w:t>
      </w:r>
      <w:r w:rsidR="00D51776">
        <w:rPr>
          <w:rFonts w:ascii="David" w:hAnsi="David" w:cs="David" w:hint="cs"/>
          <w:sz w:val="24"/>
          <w:szCs w:val="24"/>
          <w:rtl/>
        </w:rPr>
        <w:t xml:space="preserve"> הלא משמורן</w:t>
      </w:r>
      <w:r w:rsidR="005220BE">
        <w:rPr>
          <w:rFonts w:ascii="David" w:hAnsi="David" w:cs="David" w:hint="cs"/>
          <w:sz w:val="24"/>
          <w:szCs w:val="24"/>
          <w:rtl/>
        </w:rPr>
        <w:t xml:space="preserve"> והילד</w:t>
      </w:r>
      <w:r w:rsidR="00BC4F0B">
        <w:rPr>
          <w:rFonts w:ascii="David" w:hAnsi="David" w:cs="David" w:hint="cs"/>
          <w:sz w:val="24"/>
          <w:szCs w:val="24"/>
          <w:rtl/>
        </w:rPr>
        <w:t xml:space="preserve">, </w:t>
      </w:r>
      <w:r w:rsidR="005220BE">
        <w:rPr>
          <w:rFonts w:ascii="David" w:hAnsi="David" w:cs="David" w:hint="cs"/>
          <w:sz w:val="24"/>
          <w:szCs w:val="24"/>
          <w:rtl/>
        </w:rPr>
        <w:t xml:space="preserve">יחס תפקידי </w:t>
      </w:r>
      <w:r w:rsidR="00BC4F0B">
        <w:rPr>
          <w:rFonts w:ascii="David" w:hAnsi="David" w:cs="David" w:hint="cs"/>
          <w:sz w:val="24"/>
          <w:szCs w:val="24"/>
          <w:rtl/>
        </w:rPr>
        <w:t>המבוסס היטב במשפט</w:t>
      </w:r>
      <w:r w:rsidR="005220BE">
        <w:rPr>
          <w:rFonts w:ascii="David" w:hAnsi="David" w:cs="David" w:hint="cs"/>
          <w:sz w:val="24"/>
          <w:szCs w:val="24"/>
          <w:rtl/>
        </w:rPr>
        <w:t xml:space="preserve"> כבר עתה</w:t>
      </w:r>
      <w:r>
        <w:rPr>
          <w:rFonts w:ascii="David" w:hAnsi="David" w:cs="David" w:hint="cs"/>
          <w:sz w:val="24"/>
          <w:szCs w:val="24"/>
          <w:rtl/>
        </w:rPr>
        <w:t xml:space="preserve">. </w:t>
      </w:r>
      <w:r w:rsidR="005220BE">
        <w:rPr>
          <w:rFonts w:ascii="David" w:hAnsi="David" w:cs="David" w:hint="cs"/>
          <w:sz w:val="24"/>
          <w:szCs w:val="24"/>
          <w:rtl/>
        </w:rPr>
        <w:t xml:space="preserve">חשוב לציין כי </w:t>
      </w:r>
      <w:r w:rsidR="0090216F">
        <w:rPr>
          <w:rFonts w:ascii="David" w:hAnsi="David" w:cs="David" w:hint="cs"/>
          <w:sz w:val="24"/>
          <w:szCs w:val="24"/>
          <w:rtl/>
        </w:rPr>
        <w:t>ה</w:t>
      </w:r>
      <w:r w:rsidR="005220BE">
        <w:rPr>
          <w:rFonts w:ascii="David" w:hAnsi="David" w:cs="David" w:hint="cs"/>
          <w:sz w:val="24"/>
          <w:szCs w:val="24"/>
          <w:rtl/>
        </w:rPr>
        <w:t xml:space="preserve">יחס </w:t>
      </w:r>
      <w:r w:rsidR="0090216F">
        <w:rPr>
          <w:rFonts w:ascii="David" w:hAnsi="David" w:cs="David" w:hint="cs"/>
          <w:sz w:val="24"/>
          <w:szCs w:val="24"/>
          <w:rtl/>
        </w:rPr>
        <w:t>ה</w:t>
      </w:r>
      <w:r w:rsidR="005220BE">
        <w:rPr>
          <w:rFonts w:ascii="David" w:hAnsi="David" w:cs="David" w:hint="cs"/>
          <w:sz w:val="24"/>
          <w:szCs w:val="24"/>
          <w:rtl/>
        </w:rPr>
        <w:t>תפקידי</w:t>
      </w:r>
      <w:r w:rsidR="0090216F">
        <w:rPr>
          <w:rFonts w:ascii="David" w:hAnsi="David" w:cs="David" w:hint="cs"/>
          <w:sz w:val="24"/>
          <w:szCs w:val="24"/>
          <w:rtl/>
        </w:rPr>
        <w:t xml:space="preserve"> האחרון</w:t>
      </w:r>
      <w:r w:rsidR="00C07796">
        <w:rPr>
          <w:rFonts w:ascii="David" w:hAnsi="David" w:cs="David" w:hint="cs"/>
          <w:sz w:val="24"/>
          <w:szCs w:val="24"/>
          <w:rtl/>
        </w:rPr>
        <w:t>,</w:t>
      </w:r>
      <w:r w:rsidR="0090216F">
        <w:rPr>
          <w:rFonts w:ascii="David" w:hAnsi="David" w:cs="David" w:hint="cs"/>
          <w:sz w:val="24"/>
          <w:szCs w:val="24"/>
          <w:rtl/>
        </w:rPr>
        <w:t xml:space="preserve"> </w:t>
      </w:r>
      <w:r w:rsidR="005D2309">
        <w:rPr>
          <w:rFonts w:ascii="David" w:hAnsi="David" w:cs="David" w:hint="cs"/>
          <w:sz w:val="24"/>
          <w:szCs w:val="24"/>
          <w:rtl/>
        </w:rPr>
        <w:t>זוהה</w:t>
      </w:r>
      <w:r w:rsidR="0090216F">
        <w:rPr>
          <w:rFonts w:ascii="David" w:hAnsi="David" w:cs="David" w:hint="cs"/>
          <w:sz w:val="24"/>
          <w:szCs w:val="24"/>
          <w:rtl/>
        </w:rPr>
        <w:t>,</w:t>
      </w:r>
      <w:r w:rsidR="00C07796">
        <w:rPr>
          <w:rFonts w:ascii="David" w:hAnsi="David" w:cs="David" w:hint="cs"/>
          <w:sz w:val="24"/>
          <w:szCs w:val="24"/>
          <w:rtl/>
        </w:rPr>
        <w:t xml:space="preserve"> כפי שיורחב בחלק הבא,</w:t>
      </w:r>
      <w:r>
        <w:rPr>
          <w:rFonts w:ascii="David" w:hAnsi="David" w:cs="David" w:hint="cs"/>
          <w:sz w:val="24"/>
          <w:szCs w:val="24"/>
          <w:rtl/>
        </w:rPr>
        <w:t xml:space="preserve"> בכתיבתם של אליזבת סקוט ורוברט סקוט כסטטוס </w:t>
      </w:r>
      <w:r w:rsidR="0090457D">
        <w:rPr>
          <w:rFonts w:ascii="David" w:hAnsi="David" w:cs="David" w:hint="cs"/>
          <w:sz w:val="24"/>
          <w:szCs w:val="24"/>
          <w:rtl/>
        </w:rPr>
        <w:t>אמונאי</w:t>
      </w:r>
      <w:r w:rsidR="00111D00">
        <w:rPr>
          <w:rFonts w:ascii="David" w:hAnsi="David" w:cs="David" w:hint="cs"/>
          <w:sz w:val="24"/>
          <w:szCs w:val="24"/>
          <w:rtl/>
        </w:rPr>
        <w:t>.</w:t>
      </w:r>
      <w:r w:rsidR="003457BB">
        <w:rPr>
          <w:rStyle w:val="FootnoteReference"/>
          <w:rFonts w:ascii="David" w:hAnsi="David" w:cs="David"/>
          <w:sz w:val="24"/>
          <w:szCs w:val="24"/>
          <w:rtl/>
        </w:rPr>
        <w:footnoteReference w:id="71"/>
      </w:r>
      <w:r w:rsidR="00111D00">
        <w:rPr>
          <w:rFonts w:ascii="David" w:hAnsi="David" w:cs="David" w:hint="cs"/>
          <w:sz w:val="24"/>
          <w:szCs w:val="24"/>
          <w:rtl/>
        </w:rPr>
        <w:t xml:space="preserve"> </w:t>
      </w:r>
    </w:p>
    <w:p w14:paraId="394CF3F2" w14:textId="6A9F546D" w:rsidR="003A106C" w:rsidRPr="009039E8" w:rsidRDefault="003A106C" w:rsidP="005D2309">
      <w:pPr>
        <w:spacing w:line="480" w:lineRule="auto"/>
        <w:jc w:val="both"/>
        <w:rPr>
          <w:rFonts w:asciiTheme="majorBidi" w:hAnsiTheme="majorBidi" w:cstheme="majorBidi"/>
          <w:color w:val="000000"/>
          <w:sz w:val="24"/>
          <w:szCs w:val="24"/>
        </w:rPr>
      </w:pPr>
      <w:r w:rsidRPr="00656210">
        <w:rPr>
          <w:rFonts w:asciiTheme="majorBidi" w:hAnsiTheme="majorBidi" w:cs="David" w:hint="cs"/>
          <w:sz w:val="24"/>
          <w:szCs w:val="24"/>
          <w:rtl/>
        </w:rPr>
        <w:t xml:space="preserve">בטרם נפנה לדון </w:t>
      </w:r>
      <w:r w:rsidR="00A31C71" w:rsidRPr="00656210">
        <w:rPr>
          <w:rFonts w:asciiTheme="majorBidi" w:hAnsiTheme="majorBidi" w:cs="David" w:hint="cs"/>
          <w:sz w:val="24"/>
          <w:szCs w:val="24"/>
          <w:rtl/>
        </w:rPr>
        <w:t>במאפייני היחסים שבין הורה-</w:t>
      </w:r>
      <w:r w:rsidRPr="00656210">
        <w:rPr>
          <w:rFonts w:asciiTheme="majorBidi" w:hAnsiTheme="majorBidi" w:cs="David" w:hint="cs"/>
          <w:sz w:val="24"/>
          <w:szCs w:val="24"/>
          <w:rtl/>
        </w:rPr>
        <w:t>חורג והורה</w:t>
      </w:r>
      <w:r w:rsidR="00536179" w:rsidRPr="00656210">
        <w:rPr>
          <w:rFonts w:asciiTheme="majorBidi" w:hAnsiTheme="majorBidi" w:cs="David" w:hint="cs"/>
          <w:sz w:val="24"/>
          <w:szCs w:val="24"/>
          <w:rtl/>
        </w:rPr>
        <w:t xml:space="preserve"> </w:t>
      </w:r>
      <w:r w:rsidR="00B5748E">
        <w:rPr>
          <w:rFonts w:asciiTheme="majorBidi" w:hAnsiTheme="majorBidi" w:cs="David" w:hint="cs"/>
          <w:sz w:val="24"/>
          <w:szCs w:val="24"/>
          <w:rtl/>
        </w:rPr>
        <w:t xml:space="preserve">לא משמורן </w:t>
      </w:r>
      <w:r w:rsidR="00536179" w:rsidRPr="00656210">
        <w:rPr>
          <w:rFonts w:asciiTheme="majorBidi" w:hAnsiTheme="majorBidi" w:cs="David" w:hint="cs"/>
          <w:sz w:val="24"/>
          <w:szCs w:val="24"/>
          <w:rtl/>
        </w:rPr>
        <w:t>(ובין הורה לילד)</w:t>
      </w:r>
      <w:r w:rsidRPr="00656210">
        <w:rPr>
          <w:rFonts w:asciiTheme="majorBidi" w:hAnsiTheme="majorBidi" w:cs="David" w:hint="cs"/>
          <w:sz w:val="24"/>
          <w:szCs w:val="24"/>
          <w:rtl/>
        </w:rPr>
        <w:t xml:space="preserve">, ובטרם נעמוד על </w:t>
      </w:r>
      <w:r w:rsidR="0026560E" w:rsidRPr="00656210">
        <w:rPr>
          <w:rFonts w:asciiTheme="majorBidi" w:hAnsiTheme="majorBidi" w:cs="David" w:hint="cs"/>
          <w:sz w:val="24"/>
          <w:szCs w:val="24"/>
          <w:rtl/>
        </w:rPr>
        <w:t>אפשרות</w:t>
      </w:r>
      <w:r w:rsidRPr="00656210">
        <w:rPr>
          <w:rFonts w:asciiTheme="majorBidi" w:hAnsiTheme="majorBidi" w:cs="David" w:hint="cs"/>
          <w:sz w:val="24"/>
          <w:szCs w:val="24"/>
          <w:rtl/>
        </w:rPr>
        <w:t xml:space="preserve"> סיווגם כיחסים המבססים חובות אמונאות</w:t>
      </w:r>
      <w:r w:rsidR="0026560E" w:rsidRPr="00656210">
        <w:rPr>
          <w:rFonts w:asciiTheme="majorBidi" w:hAnsiTheme="majorBidi" w:cs="David" w:hint="cs"/>
          <w:sz w:val="24"/>
          <w:szCs w:val="24"/>
          <w:rtl/>
        </w:rPr>
        <w:t xml:space="preserve"> ועל </w:t>
      </w:r>
      <w:r w:rsidR="005D2309">
        <w:rPr>
          <w:rFonts w:asciiTheme="majorBidi" w:hAnsiTheme="majorBidi" w:cs="David" w:hint="cs"/>
          <w:sz w:val="24"/>
          <w:szCs w:val="24"/>
          <w:rtl/>
        </w:rPr>
        <w:t>תוכנן של אותן חובות</w:t>
      </w:r>
      <w:r w:rsidRPr="00656210">
        <w:rPr>
          <w:rFonts w:asciiTheme="majorBidi" w:hAnsiTheme="majorBidi" w:cs="David" w:hint="cs"/>
          <w:sz w:val="24"/>
          <w:szCs w:val="24"/>
          <w:rtl/>
        </w:rPr>
        <w:t xml:space="preserve">, אבקש להדגיש </w:t>
      </w:r>
      <w:r w:rsidR="00536179" w:rsidRPr="00656210">
        <w:rPr>
          <w:rFonts w:asciiTheme="majorBidi" w:hAnsiTheme="majorBidi" w:cs="David" w:hint="cs"/>
          <w:sz w:val="24"/>
          <w:szCs w:val="24"/>
          <w:rtl/>
        </w:rPr>
        <w:t xml:space="preserve">כי </w:t>
      </w:r>
      <w:r w:rsidRPr="00656210">
        <w:rPr>
          <w:rFonts w:asciiTheme="majorBidi" w:hAnsiTheme="majorBidi" w:cs="David" w:hint="cs"/>
          <w:sz w:val="24"/>
          <w:szCs w:val="24"/>
          <w:rtl/>
        </w:rPr>
        <w:t xml:space="preserve">מאמר זה אינו מציע </w:t>
      </w:r>
      <w:r w:rsidR="00A31C71" w:rsidRPr="00656210">
        <w:rPr>
          <w:rFonts w:asciiTheme="majorBidi" w:hAnsiTheme="majorBidi" w:cs="David" w:hint="cs"/>
          <w:sz w:val="24"/>
          <w:szCs w:val="24"/>
          <w:rtl/>
        </w:rPr>
        <w:t>"</w:t>
      </w:r>
      <w:r w:rsidRPr="00656210">
        <w:rPr>
          <w:rFonts w:asciiTheme="majorBidi" w:hAnsiTheme="majorBidi" w:cs="David" w:hint="cs"/>
          <w:sz w:val="24"/>
          <w:szCs w:val="24"/>
          <w:rtl/>
        </w:rPr>
        <w:t>להעתיק</w:t>
      </w:r>
      <w:r w:rsidR="00A31C71" w:rsidRPr="00656210">
        <w:rPr>
          <w:rFonts w:asciiTheme="majorBidi" w:hAnsiTheme="majorBidi" w:cs="David" w:hint="cs"/>
          <w:sz w:val="24"/>
          <w:szCs w:val="24"/>
          <w:rtl/>
        </w:rPr>
        <w:t>"</w:t>
      </w:r>
      <w:r w:rsidRPr="00656210">
        <w:rPr>
          <w:rFonts w:asciiTheme="majorBidi" w:hAnsiTheme="majorBidi" w:cs="David" w:hint="cs"/>
          <w:sz w:val="24"/>
          <w:szCs w:val="24"/>
          <w:rtl/>
        </w:rPr>
        <w:t xml:space="preserve"> את דיני האמונאות ככאלה ובאופן שלם לדיני המשפחה. </w:t>
      </w:r>
      <w:r w:rsidR="00761EAB" w:rsidRPr="00656210">
        <w:rPr>
          <w:rFonts w:asciiTheme="majorBidi" w:hAnsiTheme="majorBidi" w:cs="David" w:hint="cs"/>
          <w:sz w:val="24"/>
          <w:szCs w:val="24"/>
          <w:rtl/>
        </w:rPr>
        <w:t>למעשה, וכפי שמתאר בדיוק רב חנוך דגן, לא ניתן לדבר על "דיני אמונאות" כמקשה אחת. מגוון ההקשרים בהם מוכרת האמונאות כבר כיום, ו</w:t>
      </w:r>
      <w:r w:rsidR="00553C4E">
        <w:rPr>
          <w:rFonts w:asciiTheme="majorBidi" w:hAnsiTheme="majorBidi" w:cs="David" w:hint="cs"/>
          <w:sz w:val="24"/>
          <w:szCs w:val="24"/>
          <w:rtl/>
        </w:rPr>
        <w:t xml:space="preserve">עוד </w:t>
      </w:r>
      <w:r w:rsidR="00761EAB" w:rsidRPr="00656210">
        <w:rPr>
          <w:rFonts w:asciiTheme="majorBidi" w:hAnsiTheme="majorBidi" w:cs="David" w:hint="cs"/>
          <w:sz w:val="24"/>
          <w:szCs w:val="24"/>
          <w:rtl/>
        </w:rPr>
        <w:t>בטרם הורחבה לזירה</w:t>
      </w:r>
      <w:r w:rsidR="00656210" w:rsidRPr="00656210">
        <w:rPr>
          <w:rFonts w:asciiTheme="majorBidi" w:hAnsiTheme="majorBidi" w:cs="David" w:hint="cs"/>
          <w:sz w:val="24"/>
          <w:szCs w:val="24"/>
          <w:rtl/>
        </w:rPr>
        <w:t xml:space="preserve"> הייחודית</w:t>
      </w:r>
      <w:r w:rsidR="00761EAB" w:rsidRPr="00656210">
        <w:rPr>
          <w:rFonts w:asciiTheme="majorBidi" w:hAnsiTheme="majorBidi" w:cs="David" w:hint="cs"/>
          <w:sz w:val="24"/>
          <w:szCs w:val="24"/>
          <w:rtl/>
        </w:rPr>
        <w:t xml:space="preserve"> העומדת במרכז מאמר זה, רבים </w:t>
      </w:r>
      <w:r w:rsidR="00656210" w:rsidRPr="00656210">
        <w:rPr>
          <w:rFonts w:asciiTheme="majorBidi" w:hAnsiTheme="majorBidi" w:cs="David" w:hint="cs"/>
          <w:sz w:val="24"/>
          <w:szCs w:val="24"/>
          <w:rtl/>
        </w:rPr>
        <w:t>ושונים ו</w:t>
      </w:r>
      <w:r w:rsidR="00761EAB" w:rsidRPr="00656210">
        <w:rPr>
          <w:rFonts w:asciiTheme="majorBidi" w:hAnsiTheme="majorBidi" w:cs="David" w:hint="cs"/>
          <w:sz w:val="24"/>
          <w:szCs w:val="24"/>
          <w:rtl/>
        </w:rPr>
        <w:t>לאמונאות ביטויים שונים בכל אחד מ</w:t>
      </w:r>
      <w:r w:rsidR="00656210" w:rsidRPr="00656210">
        <w:rPr>
          <w:rFonts w:asciiTheme="majorBidi" w:hAnsiTheme="majorBidi" w:cs="David" w:hint="cs"/>
          <w:sz w:val="24"/>
          <w:szCs w:val="24"/>
          <w:rtl/>
        </w:rPr>
        <w:t>הם,</w:t>
      </w:r>
      <w:r w:rsidR="00761EAB" w:rsidRPr="00656210">
        <w:rPr>
          <w:rFonts w:asciiTheme="majorBidi" w:hAnsiTheme="majorBidi" w:cs="David" w:hint="cs"/>
          <w:sz w:val="24"/>
          <w:szCs w:val="24"/>
          <w:rtl/>
        </w:rPr>
        <w:t xml:space="preserve"> ובכל</w:t>
      </w:r>
      <w:r w:rsidR="005D6FAB">
        <w:rPr>
          <w:rFonts w:asciiTheme="majorBidi" w:hAnsiTheme="majorBidi" w:cs="David" w:hint="cs"/>
          <w:sz w:val="24"/>
          <w:szCs w:val="24"/>
          <w:rtl/>
        </w:rPr>
        <w:t xml:space="preserve"> זאת היא מתקיימת תחת אותה</w:t>
      </w:r>
      <w:r w:rsidR="009039E8" w:rsidRPr="00656210">
        <w:rPr>
          <w:rFonts w:asciiTheme="majorBidi" w:hAnsiTheme="majorBidi" w:cs="David" w:hint="cs"/>
          <w:sz w:val="24"/>
          <w:szCs w:val="24"/>
          <w:rtl/>
        </w:rPr>
        <w:t xml:space="preserve"> </w:t>
      </w:r>
      <w:r w:rsidR="002C7AAC" w:rsidRPr="00656210">
        <w:rPr>
          <w:rFonts w:asciiTheme="majorBidi" w:hAnsiTheme="majorBidi" w:cs="David" w:hint="cs"/>
          <w:sz w:val="24"/>
          <w:szCs w:val="24"/>
          <w:rtl/>
        </w:rPr>
        <w:t>מטריה מושגית</w:t>
      </w:r>
      <w:r w:rsidR="009039E8" w:rsidRPr="00656210">
        <w:rPr>
          <w:rFonts w:asciiTheme="majorBidi" w:hAnsiTheme="majorBidi" w:cs="David" w:hint="cs"/>
          <w:sz w:val="24"/>
          <w:szCs w:val="24"/>
          <w:rtl/>
        </w:rPr>
        <w:t>.</w:t>
      </w:r>
      <w:r w:rsidR="005D2309">
        <w:rPr>
          <w:rStyle w:val="FootnoteReference"/>
          <w:rFonts w:asciiTheme="majorBidi" w:hAnsiTheme="majorBidi" w:cs="David"/>
          <w:sz w:val="24"/>
          <w:szCs w:val="24"/>
          <w:rtl/>
        </w:rPr>
        <w:footnoteReference w:id="72"/>
      </w:r>
      <w:r w:rsidR="00656210">
        <w:rPr>
          <w:rFonts w:asciiTheme="majorBidi" w:hAnsiTheme="majorBidi" w:cs="David" w:hint="cs"/>
          <w:sz w:val="24"/>
          <w:szCs w:val="24"/>
          <w:rtl/>
        </w:rPr>
        <w:t xml:space="preserve"> </w:t>
      </w:r>
    </w:p>
    <w:p w14:paraId="58375FA8" w14:textId="77777777" w:rsidR="003A106C" w:rsidRPr="003F5E21" w:rsidRDefault="003F5E21" w:rsidP="003F5E21">
      <w:pPr>
        <w:spacing w:line="480" w:lineRule="auto"/>
        <w:ind w:left="360"/>
        <w:rPr>
          <w:rFonts w:asciiTheme="majorBidi" w:hAnsiTheme="majorBidi" w:cs="David"/>
          <w:sz w:val="24"/>
          <w:szCs w:val="24"/>
          <w:rtl/>
        </w:rPr>
      </w:pPr>
      <w:r>
        <w:rPr>
          <w:rFonts w:asciiTheme="majorBidi" w:hAnsiTheme="majorBidi" w:cs="David" w:hint="cs"/>
          <w:b/>
          <w:bCs/>
          <w:sz w:val="24"/>
          <w:szCs w:val="24"/>
          <w:rtl/>
        </w:rPr>
        <w:t xml:space="preserve">3.ב. </w:t>
      </w:r>
      <w:r w:rsidR="003A106C" w:rsidRPr="003F5E21">
        <w:rPr>
          <w:rFonts w:asciiTheme="majorBidi" w:hAnsiTheme="majorBidi" w:cs="David" w:hint="cs"/>
          <w:b/>
          <w:bCs/>
          <w:sz w:val="24"/>
          <w:szCs w:val="24"/>
          <w:rtl/>
        </w:rPr>
        <w:t>אמונאות במשפחה</w:t>
      </w:r>
      <w:r w:rsidR="00BE2A4A" w:rsidRPr="003F5E21">
        <w:rPr>
          <w:rFonts w:asciiTheme="majorBidi" w:hAnsiTheme="majorBidi" w:cs="David" w:hint="cs"/>
          <w:sz w:val="24"/>
          <w:szCs w:val="24"/>
          <w:rtl/>
        </w:rPr>
        <w:t xml:space="preserve"> </w:t>
      </w:r>
    </w:p>
    <w:p w14:paraId="317193D4" w14:textId="46629324" w:rsidR="004C056E" w:rsidRDefault="00B641AF" w:rsidP="00813CB4">
      <w:pPr>
        <w:spacing w:line="480" w:lineRule="auto"/>
        <w:jc w:val="both"/>
        <w:rPr>
          <w:rFonts w:ascii="David" w:hAnsi="David" w:cs="David"/>
          <w:sz w:val="24"/>
          <w:szCs w:val="24"/>
          <w:rtl/>
        </w:rPr>
      </w:pPr>
      <w:r w:rsidRPr="00D525FF">
        <w:rPr>
          <w:rFonts w:ascii="David" w:hAnsi="David" w:cs="David"/>
          <w:sz w:val="24"/>
          <w:szCs w:val="24"/>
          <w:rtl/>
        </w:rPr>
        <w:t xml:space="preserve">על אף שאמונאות מבוססת היטב בשתי נגזרות מרכזיות – זו המסחרית-כלכלית (בין היתר בדיני תאגידים ובדיני השליחות) וזאת הפרופסניונאלית (בין היתר, בין עורך דין ולקוח ובין רופא </w:t>
      </w:r>
      <w:r w:rsidR="006B1B5E">
        <w:rPr>
          <w:rFonts w:ascii="David" w:hAnsi="David" w:cs="David" w:hint="cs"/>
          <w:sz w:val="24"/>
          <w:szCs w:val="24"/>
          <w:rtl/>
        </w:rPr>
        <w:t>ומטופל</w:t>
      </w:r>
      <w:r w:rsidRPr="00D525FF">
        <w:rPr>
          <w:rFonts w:ascii="David" w:hAnsi="David" w:cs="David"/>
          <w:sz w:val="24"/>
          <w:szCs w:val="24"/>
          <w:rtl/>
        </w:rPr>
        <w:t xml:space="preserve">), הרי </w:t>
      </w:r>
      <w:r w:rsidR="00281EC3">
        <w:rPr>
          <w:rFonts w:ascii="David" w:hAnsi="David" w:cs="David" w:hint="cs"/>
          <w:sz w:val="24"/>
          <w:szCs w:val="24"/>
          <w:rtl/>
        </w:rPr>
        <w:t>ש</w:t>
      </w:r>
      <w:r w:rsidR="00362D71">
        <w:rPr>
          <w:rFonts w:ascii="David" w:hAnsi="David" w:cs="David" w:hint="cs"/>
          <w:sz w:val="24"/>
          <w:szCs w:val="24"/>
          <w:rtl/>
        </w:rPr>
        <w:t>ב</w:t>
      </w:r>
      <w:r w:rsidR="00281EC3">
        <w:rPr>
          <w:rFonts w:ascii="David" w:hAnsi="David" w:cs="David" w:hint="cs"/>
          <w:sz w:val="24"/>
          <w:szCs w:val="24"/>
          <w:rtl/>
        </w:rPr>
        <w:t>כמה</w:t>
      </w:r>
      <w:r w:rsidRPr="00D525FF">
        <w:rPr>
          <w:rFonts w:ascii="David" w:hAnsi="David" w:cs="David"/>
          <w:sz w:val="24"/>
          <w:szCs w:val="24"/>
          <w:rtl/>
        </w:rPr>
        <w:t xml:space="preserve"> עבודות שנכתבו</w:t>
      </w:r>
      <w:r w:rsidR="004C056E">
        <w:rPr>
          <w:rFonts w:ascii="David" w:hAnsi="David" w:cs="David" w:hint="cs"/>
          <w:sz w:val="24"/>
          <w:szCs w:val="24"/>
          <w:rtl/>
        </w:rPr>
        <w:t xml:space="preserve"> על ידי אליזבת סקוט יחד עם אחרים,</w:t>
      </w:r>
      <w:r w:rsidR="00813CB4">
        <w:rPr>
          <w:rFonts w:ascii="David" w:hAnsi="David" w:cs="David" w:hint="cs"/>
          <w:sz w:val="24"/>
          <w:szCs w:val="24"/>
          <w:rtl/>
        </w:rPr>
        <w:t xml:space="preserve"> החל משנת 1995</w:t>
      </w:r>
      <w:r w:rsidRPr="00D525FF">
        <w:rPr>
          <w:rFonts w:ascii="David" w:hAnsi="David" w:cs="David"/>
          <w:sz w:val="24"/>
          <w:szCs w:val="24"/>
          <w:rtl/>
        </w:rPr>
        <w:t xml:space="preserve"> </w:t>
      </w:r>
      <w:r w:rsidR="007E3601">
        <w:rPr>
          <w:rFonts w:ascii="David" w:hAnsi="David" w:cs="David" w:hint="cs"/>
          <w:sz w:val="24"/>
          <w:szCs w:val="24"/>
          <w:rtl/>
        </w:rPr>
        <w:t>הוצע</w:t>
      </w:r>
      <w:r w:rsidRPr="00D525FF">
        <w:rPr>
          <w:rFonts w:ascii="David" w:hAnsi="David" w:cs="David"/>
          <w:sz w:val="24"/>
          <w:szCs w:val="24"/>
          <w:rtl/>
        </w:rPr>
        <w:t xml:space="preserve"> להרחיב</w:t>
      </w:r>
      <w:r w:rsidR="007E3601">
        <w:rPr>
          <w:rFonts w:ascii="David" w:hAnsi="David" w:cs="David" w:hint="cs"/>
          <w:sz w:val="24"/>
          <w:szCs w:val="24"/>
          <w:rtl/>
        </w:rPr>
        <w:t xml:space="preserve"> את המסגרת האמונאית </w:t>
      </w:r>
      <w:r w:rsidRPr="00D525FF">
        <w:rPr>
          <w:rFonts w:ascii="David" w:hAnsi="David" w:cs="David"/>
          <w:sz w:val="24"/>
          <w:szCs w:val="24"/>
          <w:rtl/>
        </w:rPr>
        <w:t xml:space="preserve">למערכות יחסים </w:t>
      </w:r>
      <w:r w:rsidR="004C056E">
        <w:rPr>
          <w:rFonts w:ascii="David" w:hAnsi="David" w:cs="David" w:hint="cs"/>
          <w:sz w:val="24"/>
          <w:szCs w:val="24"/>
          <w:rtl/>
        </w:rPr>
        <w:t>משפחתיות</w:t>
      </w:r>
      <w:r w:rsidR="00813CB4">
        <w:rPr>
          <w:rFonts w:ascii="David" w:hAnsi="David" w:cs="David"/>
          <w:sz w:val="24"/>
          <w:szCs w:val="24"/>
          <w:rtl/>
        </w:rPr>
        <w:t xml:space="preserve"> קרובות</w:t>
      </w:r>
      <w:r w:rsidR="00813CB4">
        <w:rPr>
          <w:rFonts w:ascii="David" w:hAnsi="David" w:cs="David" w:hint="cs"/>
          <w:sz w:val="24"/>
          <w:szCs w:val="24"/>
          <w:rtl/>
        </w:rPr>
        <w:t>.</w:t>
      </w:r>
      <w:r w:rsidR="00126027">
        <w:rPr>
          <w:rStyle w:val="FootnoteReference"/>
          <w:rFonts w:ascii="David" w:hAnsi="David" w:cs="David"/>
          <w:sz w:val="24"/>
          <w:szCs w:val="24"/>
          <w:rtl/>
        </w:rPr>
        <w:footnoteReference w:id="73"/>
      </w:r>
      <w:r w:rsidRPr="00D525FF">
        <w:rPr>
          <w:rFonts w:ascii="David" w:hAnsi="David" w:cs="David"/>
          <w:sz w:val="24"/>
          <w:szCs w:val="24"/>
          <w:rtl/>
        </w:rPr>
        <w:t xml:space="preserve"> </w:t>
      </w:r>
      <w:r w:rsidR="004C056E">
        <w:rPr>
          <w:rFonts w:ascii="David" w:hAnsi="David" w:cs="David" w:hint="cs"/>
          <w:sz w:val="24"/>
          <w:szCs w:val="24"/>
          <w:rtl/>
        </w:rPr>
        <w:t xml:space="preserve">על אף שונות אינטגרלית בין מערכת היחסים שבין הורה חורג והורה לא משמורן לבין </w:t>
      </w:r>
      <w:r w:rsidR="007E3601">
        <w:rPr>
          <w:rFonts w:ascii="David" w:hAnsi="David" w:cs="David" w:hint="cs"/>
          <w:sz w:val="24"/>
          <w:szCs w:val="24"/>
          <w:rtl/>
        </w:rPr>
        <w:t>ה</w:t>
      </w:r>
      <w:r w:rsidR="004C056E">
        <w:rPr>
          <w:rFonts w:ascii="David" w:hAnsi="David" w:cs="David" w:hint="cs"/>
          <w:sz w:val="24"/>
          <w:szCs w:val="24"/>
          <w:rtl/>
        </w:rPr>
        <w:t xml:space="preserve">מערכות </w:t>
      </w:r>
      <w:r w:rsidR="007E3601">
        <w:rPr>
          <w:rFonts w:ascii="David" w:hAnsi="David" w:cs="David" w:hint="cs"/>
          <w:sz w:val="24"/>
          <w:szCs w:val="24"/>
          <w:rtl/>
        </w:rPr>
        <w:t>ה</w:t>
      </w:r>
      <w:r w:rsidR="004C056E">
        <w:rPr>
          <w:rFonts w:ascii="David" w:hAnsi="David" w:cs="David" w:hint="cs"/>
          <w:sz w:val="24"/>
          <w:szCs w:val="24"/>
          <w:rtl/>
        </w:rPr>
        <w:t>משפחתיות</w:t>
      </w:r>
      <w:r w:rsidR="007E3601">
        <w:rPr>
          <w:rFonts w:ascii="David" w:hAnsi="David" w:cs="David" w:hint="cs"/>
          <w:sz w:val="24"/>
          <w:szCs w:val="24"/>
          <w:rtl/>
        </w:rPr>
        <w:t xml:space="preserve"> האמורות, הרי ש</w:t>
      </w:r>
      <w:r w:rsidR="004C056E">
        <w:rPr>
          <w:rFonts w:ascii="David" w:hAnsi="David" w:cs="David" w:hint="cs"/>
          <w:sz w:val="24"/>
          <w:szCs w:val="24"/>
          <w:rtl/>
        </w:rPr>
        <w:t xml:space="preserve">כפי שאטען בחלק זה, </w:t>
      </w:r>
      <w:r w:rsidR="00362D71">
        <w:rPr>
          <w:rFonts w:ascii="David" w:hAnsi="David" w:cs="David" w:hint="cs"/>
          <w:sz w:val="24"/>
          <w:szCs w:val="24"/>
          <w:rtl/>
        </w:rPr>
        <w:t xml:space="preserve">גם </w:t>
      </w:r>
      <w:r w:rsidR="004C056E">
        <w:rPr>
          <w:rFonts w:ascii="David" w:hAnsi="David" w:cs="David" w:hint="cs"/>
          <w:sz w:val="24"/>
          <w:szCs w:val="24"/>
          <w:rtl/>
        </w:rPr>
        <w:t>מערכת יחסי הורה חורג-הורה</w:t>
      </w:r>
      <w:r w:rsidR="007E3601">
        <w:rPr>
          <w:rFonts w:ascii="David" w:hAnsi="David" w:cs="David" w:hint="cs"/>
          <w:sz w:val="24"/>
          <w:szCs w:val="24"/>
          <w:rtl/>
        </w:rPr>
        <w:t xml:space="preserve"> לא משמורן</w:t>
      </w:r>
      <w:r w:rsidR="004C056E">
        <w:rPr>
          <w:rFonts w:ascii="David" w:hAnsi="David" w:cs="David" w:hint="cs"/>
          <w:sz w:val="24"/>
          <w:szCs w:val="24"/>
          <w:rtl/>
        </w:rPr>
        <w:t xml:space="preserve"> עשויה להתאים רעיונית למסגרת האמונאית ולהפיק ממנה תועלת.</w:t>
      </w:r>
    </w:p>
    <w:p w14:paraId="250004D9" w14:textId="113649CD" w:rsidR="006B1B5E" w:rsidRPr="007C33A9" w:rsidRDefault="00677D9A" w:rsidP="00362D71">
      <w:pPr>
        <w:spacing w:line="480" w:lineRule="auto"/>
        <w:jc w:val="both"/>
        <w:rPr>
          <w:rFonts w:ascii="David" w:hAnsi="David" w:cs="David"/>
          <w:sz w:val="24"/>
          <w:szCs w:val="24"/>
          <w:rtl/>
        </w:rPr>
      </w:pPr>
      <w:r w:rsidRPr="007C33A9">
        <w:rPr>
          <w:rFonts w:ascii="David" w:hAnsi="David" w:cs="David"/>
          <w:sz w:val="24"/>
          <w:szCs w:val="24"/>
          <w:rtl/>
        </w:rPr>
        <w:t xml:space="preserve">את המהלך </w:t>
      </w:r>
      <w:r w:rsidR="0085363D">
        <w:rPr>
          <w:rFonts w:ascii="David" w:hAnsi="David" w:cs="David" w:hint="cs"/>
          <w:sz w:val="24"/>
          <w:szCs w:val="24"/>
          <w:rtl/>
        </w:rPr>
        <w:t xml:space="preserve">לבדיקת </w:t>
      </w:r>
      <w:r w:rsidR="00126027">
        <w:rPr>
          <w:rFonts w:ascii="David" w:hAnsi="David" w:cs="David"/>
          <w:sz w:val="24"/>
          <w:szCs w:val="24"/>
          <w:rtl/>
        </w:rPr>
        <w:t>מידת ההתאמה</w:t>
      </w:r>
      <w:r w:rsidRPr="007C33A9">
        <w:rPr>
          <w:rFonts w:ascii="David" w:hAnsi="David" w:cs="David"/>
          <w:sz w:val="24"/>
          <w:szCs w:val="24"/>
          <w:rtl/>
        </w:rPr>
        <w:t xml:space="preserve"> של מערכת יחסי הורה</w:t>
      </w:r>
      <w:r w:rsidR="00E27102">
        <w:rPr>
          <w:rFonts w:ascii="David" w:hAnsi="David" w:cs="David" w:hint="cs"/>
          <w:sz w:val="24"/>
          <w:szCs w:val="24"/>
          <w:rtl/>
        </w:rPr>
        <w:t>-</w:t>
      </w:r>
      <w:r w:rsidRPr="007C33A9">
        <w:rPr>
          <w:rFonts w:ascii="David" w:hAnsi="David" w:cs="David"/>
          <w:sz w:val="24"/>
          <w:szCs w:val="24"/>
          <w:rtl/>
        </w:rPr>
        <w:t>חורג-הורה</w:t>
      </w:r>
      <w:r w:rsidR="007E3601">
        <w:rPr>
          <w:rFonts w:ascii="David" w:hAnsi="David" w:cs="David" w:hint="cs"/>
          <w:sz w:val="24"/>
          <w:szCs w:val="24"/>
          <w:rtl/>
        </w:rPr>
        <w:t xml:space="preserve"> לא משמורן</w:t>
      </w:r>
      <w:r w:rsidRPr="007C33A9">
        <w:rPr>
          <w:rFonts w:ascii="David" w:hAnsi="David" w:cs="David"/>
          <w:sz w:val="24"/>
          <w:szCs w:val="24"/>
          <w:rtl/>
        </w:rPr>
        <w:t xml:space="preserve"> למודלים מבוססים של אמונאות הן בנגזרות המוכרות (המסחרית והפרופסיונאלית) והן ביחס למערכות יחסים </w:t>
      </w:r>
      <w:r w:rsidR="007E3601">
        <w:rPr>
          <w:rFonts w:ascii="David" w:hAnsi="David" w:cs="David" w:hint="cs"/>
          <w:sz w:val="24"/>
          <w:szCs w:val="24"/>
          <w:rtl/>
        </w:rPr>
        <w:t>משפח</w:t>
      </w:r>
      <w:r w:rsidR="00362D71">
        <w:rPr>
          <w:rFonts w:ascii="David" w:hAnsi="David" w:cs="David" w:hint="cs"/>
          <w:sz w:val="24"/>
          <w:szCs w:val="24"/>
          <w:rtl/>
        </w:rPr>
        <w:t>ת</w:t>
      </w:r>
      <w:r w:rsidR="007E3601">
        <w:rPr>
          <w:rFonts w:ascii="David" w:hAnsi="David" w:cs="David" w:hint="cs"/>
          <w:sz w:val="24"/>
          <w:szCs w:val="24"/>
          <w:rtl/>
        </w:rPr>
        <w:t>יות</w:t>
      </w:r>
      <w:r w:rsidRPr="007C33A9">
        <w:rPr>
          <w:rFonts w:ascii="David" w:hAnsi="David" w:cs="David"/>
          <w:sz w:val="24"/>
          <w:szCs w:val="24"/>
          <w:rtl/>
        </w:rPr>
        <w:t xml:space="preserve">, כפי שהוצע בעבודות קודמות של סקוט </w:t>
      </w:r>
      <w:r w:rsidR="00813CB4">
        <w:rPr>
          <w:rFonts w:ascii="David" w:hAnsi="David" w:cs="David" w:hint="cs"/>
          <w:sz w:val="24"/>
          <w:szCs w:val="24"/>
          <w:rtl/>
        </w:rPr>
        <w:t>ואחרים</w:t>
      </w:r>
      <w:r w:rsidRPr="007C33A9">
        <w:rPr>
          <w:rFonts w:ascii="David" w:hAnsi="David" w:cs="David"/>
          <w:sz w:val="24"/>
          <w:szCs w:val="24"/>
          <w:rtl/>
        </w:rPr>
        <w:t xml:space="preserve"> כאמור, ילוו שתי תובנות: </w:t>
      </w:r>
      <w:r w:rsidR="006B1B5E" w:rsidRPr="007C33A9">
        <w:rPr>
          <w:rFonts w:ascii="David" w:hAnsi="David" w:cs="David"/>
          <w:sz w:val="24"/>
          <w:szCs w:val="24"/>
          <w:rtl/>
        </w:rPr>
        <w:t xml:space="preserve">האחת של </w:t>
      </w:r>
      <w:r w:rsidR="00813CB4">
        <w:rPr>
          <w:rFonts w:ascii="David" w:hAnsi="David" w:cs="David" w:hint="cs"/>
          <w:sz w:val="24"/>
          <w:szCs w:val="24"/>
          <w:rtl/>
        </w:rPr>
        <w:t xml:space="preserve">איתן </w:t>
      </w:r>
      <w:r w:rsidR="006B1B5E" w:rsidRPr="007C33A9">
        <w:rPr>
          <w:rFonts w:ascii="David" w:hAnsi="David" w:cs="David"/>
          <w:sz w:val="24"/>
          <w:szCs w:val="24"/>
          <w:rtl/>
        </w:rPr>
        <w:t>לייב</w:t>
      </w:r>
      <w:r w:rsidR="007E3601">
        <w:rPr>
          <w:rFonts w:ascii="David" w:hAnsi="David" w:cs="David" w:hint="cs"/>
          <w:sz w:val="24"/>
          <w:szCs w:val="24"/>
          <w:rtl/>
        </w:rPr>
        <w:t xml:space="preserve"> (</w:t>
      </w:r>
      <w:r w:rsidR="00362D71">
        <w:rPr>
          <w:rFonts w:ascii="David" w:hAnsi="David" w:cs="David" w:hint="cs"/>
          <w:sz w:val="24"/>
          <w:szCs w:val="24"/>
          <w:rtl/>
        </w:rPr>
        <w:t>שהמשיג  יחסי חברות כ</w:t>
      </w:r>
      <w:r w:rsidR="007E3601">
        <w:rPr>
          <w:rFonts w:ascii="David" w:hAnsi="David" w:cs="David" w:hint="cs"/>
          <w:sz w:val="24"/>
          <w:szCs w:val="24"/>
          <w:rtl/>
        </w:rPr>
        <w:t>מערכת אמונאית)</w:t>
      </w:r>
      <w:r w:rsidR="006B1B5E" w:rsidRPr="007C33A9">
        <w:rPr>
          <w:rFonts w:ascii="David" w:hAnsi="David" w:cs="David"/>
          <w:sz w:val="24"/>
          <w:szCs w:val="24"/>
          <w:rtl/>
        </w:rPr>
        <w:t>,</w:t>
      </w:r>
      <w:r w:rsidR="001A5F33" w:rsidRPr="007C33A9">
        <w:rPr>
          <w:rStyle w:val="FootnoteReference"/>
          <w:rFonts w:ascii="David" w:hAnsi="David" w:cs="David"/>
          <w:sz w:val="24"/>
          <w:szCs w:val="24"/>
          <w:rtl/>
        </w:rPr>
        <w:footnoteReference w:id="74"/>
      </w:r>
      <w:r w:rsidR="006B1B5E" w:rsidRPr="007C33A9">
        <w:rPr>
          <w:rFonts w:ascii="David" w:hAnsi="David" w:cs="David"/>
          <w:sz w:val="24"/>
          <w:szCs w:val="24"/>
          <w:rtl/>
        </w:rPr>
        <w:t xml:space="preserve"> לפיה:</w:t>
      </w:r>
    </w:p>
    <w:p w14:paraId="0CC6AD96" w14:textId="77777777" w:rsidR="006B1B5E" w:rsidRPr="001A5F33" w:rsidRDefault="001A5F33" w:rsidP="001A5F33">
      <w:pPr>
        <w:autoSpaceDE w:val="0"/>
        <w:autoSpaceDN w:val="0"/>
        <w:bidi w:val="0"/>
        <w:adjustRightInd w:val="0"/>
        <w:spacing w:line="480" w:lineRule="auto"/>
        <w:jc w:val="both"/>
        <w:rPr>
          <w:rFonts w:asciiTheme="majorBidi" w:hAnsiTheme="majorBidi" w:cs="David"/>
          <w:sz w:val="24"/>
          <w:szCs w:val="24"/>
        </w:rPr>
      </w:pPr>
      <w:r w:rsidRPr="001A5F33">
        <w:rPr>
          <w:rFonts w:asciiTheme="majorBidi" w:hAnsiTheme="majorBidi" w:cs="David"/>
          <w:sz w:val="24"/>
          <w:szCs w:val="24"/>
        </w:rPr>
        <w:t>"</w:t>
      </w:r>
      <w:r w:rsidR="00A62D7B">
        <w:rPr>
          <w:rFonts w:ascii="Times New Roman" w:hAnsi="Times New Roman" w:cs="Times New Roman"/>
          <w:sz w:val="24"/>
          <w:szCs w:val="24"/>
        </w:rPr>
        <w:t>N</w:t>
      </w:r>
      <w:r w:rsidR="006B1B5E" w:rsidRPr="001A5F33">
        <w:rPr>
          <w:rFonts w:ascii="Times New Roman" w:hAnsi="Times New Roman" w:cs="Times New Roman"/>
          <w:sz w:val="24"/>
          <w:szCs w:val="24"/>
        </w:rPr>
        <w:t>o typology of the fiduciary could be complete without recognizing a few central features: the concept is self-consciously open, flexible, and adaptable to new kinds of</w:t>
      </w:r>
      <w:r w:rsidRPr="001A5F33">
        <w:rPr>
          <w:rFonts w:ascii="Times New Roman" w:hAnsi="Times New Roman" w:cs="Times New Roman"/>
          <w:sz w:val="24"/>
          <w:szCs w:val="24"/>
        </w:rPr>
        <w:t xml:space="preserve"> </w:t>
      </w:r>
      <w:r w:rsidR="006B1B5E" w:rsidRPr="001A5F33">
        <w:rPr>
          <w:rFonts w:ascii="Times New Roman" w:hAnsi="Times New Roman" w:cs="Times New Roman"/>
          <w:sz w:val="24"/>
          <w:szCs w:val="24"/>
        </w:rPr>
        <w:t>relationships"</w:t>
      </w:r>
      <w:r w:rsidRPr="001A5F33">
        <w:rPr>
          <w:rFonts w:asciiTheme="majorBidi" w:hAnsiTheme="majorBidi" w:cs="David"/>
          <w:sz w:val="24"/>
          <w:szCs w:val="24"/>
        </w:rPr>
        <w:t>.</w:t>
      </w:r>
    </w:p>
    <w:p w14:paraId="3CFE022C" w14:textId="3DF49594" w:rsidR="006B1B5E" w:rsidRPr="007C33A9" w:rsidRDefault="001A5F33" w:rsidP="00813CB4">
      <w:pPr>
        <w:spacing w:line="480" w:lineRule="auto"/>
        <w:jc w:val="both"/>
        <w:rPr>
          <w:rFonts w:ascii="David" w:hAnsi="David" w:cs="David" w:hint="cs"/>
          <w:sz w:val="24"/>
          <w:szCs w:val="24"/>
          <w:rtl/>
        </w:rPr>
      </w:pPr>
      <w:r w:rsidRPr="007C33A9">
        <w:rPr>
          <w:rFonts w:ascii="David" w:hAnsi="David" w:cs="David"/>
          <w:sz w:val="24"/>
          <w:szCs w:val="24"/>
          <w:rtl/>
        </w:rPr>
        <w:t xml:space="preserve">והשנייה </w:t>
      </w:r>
      <w:r w:rsidR="00677D9A" w:rsidRPr="007C33A9">
        <w:rPr>
          <w:rFonts w:ascii="David" w:hAnsi="David" w:cs="David"/>
          <w:sz w:val="24"/>
          <w:szCs w:val="24"/>
          <w:rtl/>
        </w:rPr>
        <w:t xml:space="preserve">של </w:t>
      </w:r>
      <w:r w:rsidR="00813CB4">
        <w:rPr>
          <w:rFonts w:ascii="David" w:hAnsi="David" w:cs="David" w:hint="cs"/>
          <w:sz w:val="24"/>
          <w:szCs w:val="24"/>
          <w:rtl/>
        </w:rPr>
        <w:t xml:space="preserve">חנוך </w:t>
      </w:r>
      <w:r w:rsidR="00677D9A" w:rsidRPr="007C33A9">
        <w:rPr>
          <w:rFonts w:ascii="David" w:hAnsi="David" w:cs="David"/>
          <w:sz w:val="24"/>
          <w:szCs w:val="24"/>
          <w:rtl/>
        </w:rPr>
        <w:t xml:space="preserve">דגן, </w:t>
      </w:r>
      <w:r w:rsidR="009039E8">
        <w:rPr>
          <w:rFonts w:ascii="David" w:hAnsi="David" w:cs="David" w:hint="cs"/>
          <w:sz w:val="24"/>
          <w:szCs w:val="24"/>
          <w:rtl/>
        </w:rPr>
        <w:t xml:space="preserve">שהוזכרה כבר בסוף החלק הקודם, </w:t>
      </w:r>
      <w:r w:rsidR="00677D9A" w:rsidRPr="007C33A9">
        <w:rPr>
          <w:rFonts w:ascii="David" w:hAnsi="David" w:cs="David"/>
          <w:sz w:val="24"/>
          <w:szCs w:val="24"/>
          <w:rtl/>
        </w:rPr>
        <w:t>לפיה יש לבצע את האנלוג</w:t>
      </w:r>
      <w:r w:rsidR="00A62D7B">
        <w:rPr>
          <w:rFonts w:ascii="David" w:hAnsi="David" w:cs="David"/>
          <w:sz w:val="24"/>
          <w:szCs w:val="24"/>
          <w:rtl/>
        </w:rPr>
        <w:t>יה בין מערכת אמונא</w:t>
      </w:r>
      <w:r w:rsidR="00813CB4">
        <w:rPr>
          <w:rFonts w:ascii="David" w:hAnsi="David" w:cs="David" w:hint="cs"/>
          <w:sz w:val="24"/>
          <w:szCs w:val="24"/>
          <w:rtl/>
        </w:rPr>
        <w:t>י</w:t>
      </w:r>
      <w:r w:rsidR="00A62D7B">
        <w:rPr>
          <w:rFonts w:ascii="David" w:hAnsi="David" w:cs="David"/>
          <w:sz w:val="24"/>
          <w:szCs w:val="24"/>
          <w:rtl/>
        </w:rPr>
        <w:t xml:space="preserve">ת אחת לאחרת לא מתוך הנחה כי </w:t>
      </w:r>
      <w:r w:rsidR="00281EC3">
        <w:rPr>
          <w:rFonts w:ascii="David" w:hAnsi="David" w:cs="David" w:hint="cs"/>
          <w:sz w:val="24"/>
          <w:szCs w:val="24"/>
          <w:rtl/>
        </w:rPr>
        <w:t>קיימת</w:t>
      </w:r>
      <w:r w:rsidR="00A62D7B">
        <w:rPr>
          <w:rFonts w:ascii="David" w:hAnsi="David" w:cs="David"/>
          <w:sz w:val="24"/>
          <w:szCs w:val="24"/>
          <w:rtl/>
        </w:rPr>
        <w:t xml:space="preserve"> מערכת אמונא</w:t>
      </w:r>
      <w:r w:rsidR="00A62D7B">
        <w:rPr>
          <w:rFonts w:ascii="David" w:hAnsi="David" w:cs="David" w:hint="cs"/>
          <w:sz w:val="24"/>
          <w:szCs w:val="24"/>
          <w:rtl/>
        </w:rPr>
        <w:t>י</w:t>
      </w:r>
      <w:r w:rsidR="00677D9A" w:rsidRPr="007C33A9">
        <w:rPr>
          <w:rFonts w:ascii="David" w:hAnsi="David" w:cs="David"/>
          <w:sz w:val="24"/>
          <w:szCs w:val="24"/>
          <w:rtl/>
        </w:rPr>
        <w:t xml:space="preserve">ת "אבטיפוסית" ממנה יש </w:t>
      </w:r>
      <w:r w:rsidR="00B3685D">
        <w:rPr>
          <w:rFonts w:ascii="David" w:hAnsi="David" w:cs="David" w:hint="cs"/>
          <w:sz w:val="24"/>
          <w:szCs w:val="24"/>
          <w:rtl/>
        </w:rPr>
        <w:t>להקיש</w:t>
      </w:r>
      <w:r w:rsidR="00B3685D">
        <w:rPr>
          <w:rFonts w:ascii="David" w:hAnsi="David" w:cs="David"/>
          <w:sz w:val="24"/>
          <w:szCs w:val="24"/>
          <w:rtl/>
        </w:rPr>
        <w:t xml:space="preserve"> א</w:t>
      </w:r>
      <w:r w:rsidR="00B3685D">
        <w:rPr>
          <w:rFonts w:ascii="David" w:hAnsi="David" w:cs="David" w:hint="cs"/>
          <w:sz w:val="24"/>
          <w:szCs w:val="24"/>
          <w:rtl/>
        </w:rPr>
        <w:t xml:space="preserve">ל </w:t>
      </w:r>
      <w:r w:rsidR="00677D9A" w:rsidRPr="007C33A9">
        <w:rPr>
          <w:rFonts w:ascii="David" w:hAnsi="David" w:cs="David"/>
          <w:sz w:val="24"/>
          <w:szCs w:val="24"/>
          <w:rtl/>
        </w:rPr>
        <w:t>האחרות</w:t>
      </w:r>
      <w:r w:rsidR="00A62D7B">
        <w:rPr>
          <w:rFonts w:ascii="David" w:hAnsi="David" w:cs="David" w:hint="cs"/>
          <w:sz w:val="24"/>
          <w:szCs w:val="24"/>
          <w:rtl/>
        </w:rPr>
        <w:t xml:space="preserve"> ובמיוחד ל</w:t>
      </w:r>
      <w:r w:rsidR="00A62D7B" w:rsidRPr="007C33A9">
        <w:rPr>
          <w:rFonts w:ascii="David" w:hAnsi="David" w:cs="David"/>
          <w:sz w:val="24"/>
          <w:szCs w:val="24"/>
          <w:rtl/>
        </w:rPr>
        <w:t xml:space="preserve">א </w:t>
      </w:r>
      <w:r w:rsidR="00A62D7B">
        <w:rPr>
          <w:rFonts w:ascii="David" w:hAnsi="David" w:cs="David" w:hint="cs"/>
          <w:sz w:val="24"/>
          <w:szCs w:val="24"/>
          <w:rtl/>
        </w:rPr>
        <w:t xml:space="preserve">להתבונן עליה </w:t>
      </w:r>
      <w:r w:rsidR="00A62D7B" w:rsidRPr="007C33A9">
        <w:rPr>
          <w:rFonts w:ascii="David" w:hAnsi="David" w:cs="David"/>
          <w:sz w:val="24"/>
          <w:szCs w:val="24"/>
          <w:rtl/>
        </w:rPr>
        <w:t xml:space="preserve">כקטגוריה של עיצוב החלטות אלא </w:t>
      </w:r>
      <w:r w:rsidR="00A62D7B">
        <w:rPr>
          <w:rFonts w:ascii="David" w:hAnsi="David" w:cs="David" w:hint="cs"/>
          <w:sz w:val="24"/>
          <w:szCs w:val="24"/>
          <w:rtl/>
        </w:rPr>
        <w:t>כקטגוריה לחשיבה.</w:t>
      </w:r>
      <w:r w:rsidRPr="007C33A9">
        <w:rPr>
          <w:rFonts w:ascii="David" w:hAnsi="David" w:cs="David"/>
          <w:sz w:val="24"/>
          <w:szCs w:val="24"/>
          <w:rtl/>
        </w:rPr>
        <w:t xml:space="preserve"> ובלשונו של דגן</w:t>
      </w:r>
      <w:r w:rsidR="007C33A9" w:rsidRPr="007C33A9">
        <w:rPr>
          <w:rFonts w:ascii="David" w:hAnsi="David" w:cs="David"/>
          <w:sz w:val="24"/>
          <w:szCs w:val="24"/>
          <w:rtl/>
        </w:rPr>
        <w:t>,</w:t>
      </w:r>
      <w:r w:rsidRPr="007C33A9">
        <w:rPr>
          <w:rFonts w:ascii="David" w:hAnsi="David" w:cs="David"/>
          <w:sz w:val="24"/>
          <w:szCs w:val="24"/>
          <w:rtl/>
        </w:rPr>
        <w:t xml:space="preserve"> שהתייחס לביקורת </w:t>
      </w:r>
      <w:r w:rsidR="00A37EF6">
        <w:rPr>
          <w:rFonts w:ascii="David" w:hAnsi="David" w:cs="David" w:hint="cs"/>
          <w:sz w:val="24"/>
          <w:szCs w:val="24"/>
          <w:rtl/>
        </w:rPr>
        <w:t xml:space="preserve">שהושמעה </w:t>
      </w:r>
      <w:r w:rsidRPr="007C33A9">
        <w:rPr>
          <w:rFonts w:ascii="David" w:hAnsi="David" w:cs="David"/>
          <w:sz w:val="24"/>
          <w:szCs w:val="24"/>
          <w:rtl/>
        </w:rPr>
        <w:t>על הרחבת תחולת האמונאות בהקשרים משפחתיים וציבורים:</w:t>
      </w:r>
    </w:p>
    <w:p w14:paraId="77A6320A" w14:textId="77777777" w:rsidR="001A5F33" w:rsidRPr="00ED6C8C" w:rsidRDefault="007C33A9" w:rsidP="00A62D7B">
      <w:pPr>
        <w:autoSpaceDE w:val="0"/>
        <w:autoSpaceDN w:val="0"/>
        <w:bidi w:val="0"/>
        <w:adjustRightInd w:val="0"/>
        <w:spacing w:line="480" w:lineRule="auto"/>
        <w:jc w:val="both"/>
        <w:rPr>
          <w:rFonts w:cstheme="majorBidi"/>
          <w:sz w:val="24"/>
          <w:szCs w:val="24"/>
        </w:rPr>
      </w:pPr>
      <w:r w:rsidRPr="007C33A9">
        <w:rPr>
          <w:rFonts w:asciiTheme="majorBidi" w:hAnsiTheme="majorBidi" w:cstheme="majorBidi"/>
          <w:color w:val="000000"/>
          <w:sz w:val="24"/>
          <w:szCs w:val="24"/>
        </w:rPr>
        <w:t>"</w:t>
      </w:r>
      <w:r w:rsidR="001A5F33" w:rsidRPr="007C33A9">
        <w:rPr>
          <w:rFonts w:asciiTheme="majorBidi" w:hAnsiTheme="majorBidi" w:cstheme="majorBidi"/>
          <w:color w:val="000000"/>
          <w:sz w:val="24"/>
          <w:szCs w:val="24"/>
        </w:rPr>
        <w:t>Commentators rightly highlight these differences when criticizing what they read as hasty extensions of rules from the familiar private law fiduciary-types … to the contexts of family law or public law.</w:t>
      </w:r>
      <w:r w:rsidR="001A5F33" w:rsidRPr="007C33A9">
        <w:rPr>
          <w:rFonts w:asciiTheme="majorBidi" w:hAnsiTheme="majorBidi" w:cstheme="majorBidi"/>
          <w:color w:val="252525"/>
          <w:sz w:val="16"/>
          <w:szCs w:val="16"/>
        </w:rPr>
        <w:t xml:space="preserve"> </w:t>
      </w:r>
      <w:r w:rsidR="001A5F33" w:rsidRPr="007C33A9">
        <w:rPr>
          <w:rFonts w:asciiTheme="majorBidi" w:hAnsiTheme="majorBidi" w:cstheme="majorBidi"/>
          <w:color w:val="000000"/>
          <w:sz w:val="24"/>
          <w:szCs w:val="24"/>
        </w:rPr>
        <w:t>These moves are indeed problematic since they mistakenly assume that the former represent the core of fiduciary law, and thus offer the analogy to these fiduciary-types as a justification for concrete decisions, results, or reforms.</w:t>
      </w:r>
      <w:r w:rsidR="00A62D7B">
        <w:rPr>
          <w:rFonts w:asciiTheme="majorBidi" w:hAnsiTheme="majorBidi" w:cstheme="majorBidi"/>
          <w:sz w:val="24"/>
          <w:szCs w:val="24"/>
        </w:rPr>
        <w:t xml:space="preserve">.. </w:t>
      </w:r>
      <w:r w:rsidR="001A5F33" w:rsidRPr="007C33A9">
        <w:rPr>
          <w:rFonts w:asciiTheme="majorBidi" w:hAnsiTheme="majorBidi" w:cstheme="majorBidi"/>
          <w:color w:val="000000"/>
          <w:sz w:val="24"/>
          <w:szCs w:val="24"/>
        </w:rPr>
        <w:t>Proper appreciation of the nature of plural legal categories, however, implies that these</w:t>
      </w:r>
      <w:r w:rsidR="00F73041" w:rsidRPr="007C33A9">
        <w:rPr>
          <w:rFonts w:asciiTheme="majorBidi" w:hAnsiTheme="majorBidi" w:cstheme="majorBidi"/>
          <w:color w:val="000000"/>
          <w:sz w:val="24"/>
          <w:szCs w:val="24"/>
        </w:rPr>
        <w:t xml:space="preserve"> </w:t>
      </w:r>
      <w:r w:rsidR="001A5F33" w:rsidRPr="007C33A9">
        <w:rPr>
          <w:rFonts w:asciiTheme="majorBidi" w:hAnsiTheme="majorBidi" w:cstheme="majorBidi"/>
          <w:color w:val="000000"/>
          <w:sz w:val="24"/>
          <w:szCs w:val="24"/>
        </w:rPr>
        <w:t>differences need not refute the characterization of parents or sovereigns as fiduciaries.</w:t>
      </w:r>
      <w:r w:rsidR="00F73041" w:rsidRPr="007C33A9">
        <w:rPr>
          <w:rFonts w:asciiTheme="majorBidi" w:hAnsiTheme="majorBidi" w:cstheme="majorBidi"/>
          <w:color w:val="252525"/>
          <w:sz w:val="16"/>
          <w:szCs w:val="16"/>
        </w:rPr>
        <w:t xml:space="preserve"> </w:t>
      </w:r>
      <w:r w:rsidR="001A5F33" w:rsidRPr="007C33A9">
        <w:rPr>
          <w:rFonts w:asciiTheme="majorBidi" w:hAnsiTheme="majorBidi" w:cstheme="majorBidi"/>
          <w:color w:val="000000"/>
          <w:sz w:val="24"/>
          <w:szCs w:val="24"/>
        </w:rPr>
        <w:t>Some of these accounts, at least if read charitably, implicitly treat the category of fiduciary</w:t>
      </w:r>
      <w:r w:rsidR="00F73041" w:rsidRPr="007C33A9">
        <w:rPr>
          <w:rFonts w:asciiTheme="majorBidi" w:hAnsiTheme="majorBidi" w:cstheme="majorBidi"/>
          <w:color w:val="000000"/>
          <w:sz w:val="24"/>
          <w:szCs w:val="24"/>
        </w:rPr>
        <w:t xml:space="preserve"> </w:t>
      </w:r>
      <w:r w:rsidR="001A5F33" w:rsidRPr="007C33A9">
        <w:rPr>
          <w:rFonts w:asciiTheme="majorBidi" w:hAnsiTheme="majorBidi" w:cstheme="majorBidi"/>
          <w:color w:val="000000"/>
          <w:sz w:val="24"/>
          <w:szCs w:val="24"/>
        </w:rPr>
        <w:t xml:space="preserve">as a </w:t>
      </w:r>
      <w:r w:rsidR="001A5F33" w:rsidRPr="00281EC3">
        <w:rPr>
          <w:rFonts w:asciiTheme="majorBidi" w:hAnsiTheme="majorBidi" w:cstheme="majorBidi"/>
          <w:b/>
          <w:bCs/>
          <w:color w:val="000000"/>
          <w:sz w:val="24"/>
          <w:szCs w:val="24"/>
        </w:rPr>
        <w:t>category of thinking</w:t>
      </w:r>
      <w:r w:rsidR="001A5F33" w:rsidRPr="007C33A9">
        <w:rPr>
          <w:rFonts w:asciiTheme="majorBidi" w:hAnsiTheme="majorBidi" w:cstheme="majorBidi"/>
          <w:color w:val="000000"/>
          <w:sz w:val="24"/>
          <w:szCs w:val="24"/>
        </w:rPr>
        <w:t>. They do not imply that the more familiar fiduciary-types should</w:t>
      </w:r>
      <w:r>
        <w:rPr>
          <w:rFonts w:asciiTheme="majorBidi" w:hAnsiTheme="majorBidi" w:cstheme="majorBidi"/>
          <w:color w:val="000000"/>
          <w:sz w:val="24"/>
          <w:szCs w:val="24"/>
        </w:rPr>
        <w:t xml:space="preserve"> </w:t>
      </w:r>
      <w:r w:rsidR="001A5F33" w:rsidRPr="007C33A9">
        <w:rPr>
          <w:rFonts w:asciiTheme="majorBidi" w:hAnsiTheme="majorBidi" w:cstheme="majorBidi"/>
          <w:color w:val="000000"/>
          <w:sz w:val="24"/>
          <w:szCs w:val="24"/>
        </w:rPr>
        <w:t>be treated as the core of fiduciary law or that their constitutive rules are necessary features</w:t>
      </w:r>
      <w:r w:rsidR="00F73041" w:rsidRPr="007C33A9">
        <w:rPr>
          <w:rFonts w:asciiTheme="majorBidi" w:hAnsiTheme="majorBidi" w:cstheme="majorBidi"/>
          <w:color w:val="000000"/>
          <w:sz w:val="24"/>
          <w:szCs w:val="24"/>
        </w:rPr>
        <w:t xml:space="preserve"> </w:t>
      </w:r>
      <w:r w:rsidR="001A5F33" w:rsidRPr="007C33A9">
        <w:rPr>
          <w:rFonts w:asciiTheme="majorBidi" w:hAnsiTheme="majorBidi" w:cstheme="majorBidi"/>
          <w:color w:val="000000"/>
          <w:sz w:val="24"/>
          <w:szCs w:val="24"/>
        </w:rPr>
        <w:t>of all fiduciary-types</w:t>
      </w:r>
      <w:r>
        <w:rPr>
          <w:rFonts w:ascii="TimesNewRomanPSMT" w:hAnsi="TimesNewRomanPSMT" w:cs="TimesNewRomanPSMT"/>
          <w:color w:val="000000"/>
          <w:sz w:val="24"/>
          <w:szCs w:val="24"/>
        </w:rPr>
        <w:t>"</w:t>
      </w:r>
      <w:r w:rsidR="001A5F33">
        <w:rPr>
          <w:rFonts w:ascii="TimesNewRomanPSMT" w:hAnsi="TimesNewRomanPSMT" w:cs="TimesNewRomanPSMT"/>
          <w:color w:val="000000"/>
          <w:sz w:val="24"/>
          <w:szCs w:val="24"/>
        </w:rPr>
        <w:t>.</w:t>
      </w:r>
      <w:r w:rsidR="00283534">
        <w:rPr>
          <w:rStyle w:val="FootnoteReference"/>
          <w:rFonts w:ascii="TimesNewRomanPSMT" w:hAnsi="TimesNewRomanPSMT" w:cs="TimesNewRomanPSMT"/>
          <w:color w:val="000000"/>
          <w:sz w:val="24"/>
          <w:szCs w:val="24"/>
        </w:rPr>
        <w:footnoteReference w:id="75"/>
      </w:r>
    </w:p>
    <w:p w14:paraId="3DDAA497" w14:textId="32531DEB" w:rsidR="00004125" w:rsidRDefault="007C33A9" w:rsidP="002061C5">
      <w:pPr>
        <w:spacing w:line="480" w:lineRule="auto"/>
        <w:jc w:val="both"/>
        <w:rPr>
          <w:rFonts w:asciiTheme="majorBidi" w:hAnsiTheme="majorBidi" w:cs="David"/>
          <w:sz w:val="24"/>
          <w:szCs w:val="24"/>
          <w:rtl/>
        </w:rPr>
      </w:pPr>
      <w:r w:rsidRPr="0069482C">
        <w:rPr>
          <w:rFonts w:ascii="David" w:hAnsi="David" w:cs="David"/>
          <w:sz w:val="24"/>
          <w:szCs w:val="24"/>
          <w:rtl/>
        </w:rPr>
        <w:t>לפני שאצלול ל</w:t>
      </w:r>
      <w:r w:rsidR="0069482C" w:rsidRPr="0069482C">
        <w:rPr>
          <w:rFonts w:ascii="David" w:hAnsi="David" w:cs="David"/>
          <w:sz w:val="24"/>
          <w:szCs w:val="24"/>
          <w:rtl/>
        </w:rPr>
        <w:t>מערכת היחסים שבין הורה</w:t>
      </w:r>
      <w:r w:rsidR="00362D71">
        <w:rPr>
          <w:rFonts w:ascii="David" w:hAnsi="David" w:cs="David" w:hint="cs"/>
          <w:sz w:val="24"/>
          <w:szCs w:val="24"/>
          <w:rtl/>
        </w:rPr>
        <w:t xml:space="preserve"> </w:t>
      </w:r>
      <w:r w:rsidR="0069482C" w:rsidRPr="0069482C">
        <w:rPr>
          <w:rFonts w:ascii="David" w:hAnsi="David" w:cs="David"/>
          <w:sz w:val="24"/>
          <w:szCs w:val="24"/>
          <w:rtl/>
        </w:rPr>
        <w:t>חורג</w:t>
      </w:r>
      <w:r w:rsidR="0069482C" w:rsidRPr="0069482C">
        <w:rPr>
          <w:rFonts w:ascii="David" w:hAnsi="David" w:cs="David" w:hint="cs"/>
          <w:sz w:val="24"/>
          <w:szCs w:val="24"/>
          <w:rtl/>
        </w:rPr>
        <w:t xml:space="preserve"> ל</w:t>
      </w:r>
      <w:r w:rsidR="00004125">
        <w:rPr>
          <w:rFonts w:ascii="David" w:hAnsi="David" w:cs="David"/>
          <w:sz w:val="24"/>
          <w:szCs w:val="24"/>
          <w:rtl/>
        </w:rPr>
        <w:t>הורה</w:t>
      </w:r>
      <w:r w:rsidR="00362D71">
        <w:rPr>
          <w:rFonts w:ascii="David" w:hAnsi="David" w:cs="David" w:hint="cs"/>
          <w:sz w:val="24"/>
          <w:szCs w:val="24"/>
          <w:rtl/>
        </w:rPr>
        <w:t xml:space="preserve"> לא משמורן</w:t>
      </w:r>
      <w:r w:rsidR="00004125">
        <w:rPr>
          <w:rFonts w:ascii="David" w:hAnsi="David" w:cs="David"/>
          <w:sz w:val="24"/>
          <w:szCs w:val="24"/>
          <w:rtl/>
        </w:rPr>
        <w:t xml:space="preserve"> אבקש להתעכב על גישת</w:t>
      </w:r>
      <w:r w:rsidR="00004125">
        <w:rPr>
          <w:rFonts w:ascii="David" w:hAnsi="David" w:cs="David" w:hint="cs"/>
          <w:sz w:val="24"/>
          <w:szCs w:val="24"/>
          <w:rtl/>
        </w:rPr>
        <w:t>ה</w:t>
      </w:r>
      <w:r w:rsidRPr="0069482C">
        <w:rPr>
          <w:rFonts w:ascii="David" w:hAnsi="David" w:cs="David"/>
          <w:sz w:val="24"/>
          <w:szCs w:val="24"/>
          <w:rtl/>
        </w:rPr>
        <w:t xml:space="preserve"> של אליזבט סקוט</w:t>
      </w:r>
      <w:r w:rsidR="006A7E2F">
        <w:rPr>
          <w:rFonts w:ascii="David" w:hAnsi="David" w:cs="David" w:hint="cs"/>
          <w:sz w:val="24"/>
          <w:szCs w:val="24"/>
          <w:rtl/>
        </w:rPr>
        <w:t xml:space="preserve"> שכן הצעתה להרחיב את האמונאות לזירה המשפחתית, מהווה מקור השראה חשוב למהלך המוצע כאן</w:t>
      </w:r>
      <w:r w:rsidR="00004125">
        <w:rPr>
          <w:rFonts w:ascii="David" w:hAnsi="David" w:cs="David" w:hint="cs"/>
          <w:sz w:val="24"/>
          <w:szCs w:val="24"/>
          <w:rtl/>
        </w:rPr>
        <w:t>.</w:t>
      </w:r>
      <w:r w:rsidR="00B37DCD">
        <w:rPr>
          <w:rStyle w:val="FootnoteReference"/>
          <w:rFonts w:ascii="David" w:hAnsi="David" w:cs="David"/>
          <w:sz w:val="24"/>
          <w:szCs w:val="24"/>
          <w:rtl/>
        </w:rPr>
        <w:footnoteReference w:id="76"/>
      </w:r>
      <w:r w:rsidRPr="0069482C">
        <w:rPr>
          <w:rFonts w:ascii="David" w:hAnsi="David" w:cs="David"/>
          <w:sz w:val="24"/>
          <w:szCs w:val="24"/>
          <w:rtl/>
        </w:rPr>
        <w:t xml:space="preserve"> </w:t>
      </w:r>
      <w:r w:rsidR="004F35C0">
        <w:rPr>
          <w:rFonts w:asciiTheme="majorBidi" w:hAnsiTheme="majorBidi" w:cs="David" w:hint="cs"/>
          <w:sz w:val="24"/>
          <w:szCs w:val="24"/>
          <w:rtl/>
        </w:rPr>
        <w:t>בכמה</w:t>
      </w:r>
      <w:r w:rsidR="002061C5">
        <w:rPr>
          <w:rFonts w:asciiTheme="majorBidi" w:hAnsiTheme="majorBidi" w:cs="David" w:hint="cs"/>
          <w:sz w:val="24"/>
          <w:szCs w:val="24"/>
          <w:rtl/>
        </w:rPr>
        <w:t xml:space="preserve"> מאמרים </w:t>
      </w:r>
      <w:r w:rsidR="00004125">
        <w:rPr>
          <w:rFonts w:asciiTheme="majorBidi" w:hAnsiTheme="majorBidi" w:cs="David" w:hint="cs"/>
          <w:sz w:val="24"/>
          <w:szCs w:val="24"/>
          <w:rtl/>
        </w:rPr>
        <w:t xml:space="preserve">מבססת </w:t>
      </w:r>
      <w:r w:rsidR="006F3F58">
        <w:rPr>
          <w:rFonts w:asciiTheme="majorBidi" w:hAnsiTheme="majorBidi" w:cs="David" w:hint="cs"/>
          <w:sz w:val="24"/>
          <w:szCs w:val="24"/>
          <w:rtl/>
        </w:rPr>
        <w:t>סקוט</w:t>
      </w:r>
      <w:r w:rsidR="002061C5">
        <w:rPr>
          <w:rFonts w:asciiTheme="majorBidi" w:hAnsiTheme="majorBidi" w:cs="David" w:hint="cs"/>
          <w:sz w:val="24"/>
          <w:szCs w:val="24"/>
          <w:rtl/>
        </w:rPr>
        <w:t xml:space="preserve"> (יחד עם אחרים)</w:t>
      </w:r>
      <w:r w:rsidR="006F3F58">
        <w:rPr>
          <w:rFonts w:asciiTheme="majorBidi" w:hAnsiTheme="majorBidi" w:cs="David" w:hint="cs"/>
          <w:sz w:val="24"/>
          <w:szCs w:val="24"/>
          <w:rtl/>
        </w:rPr>
        <w:t xml:space="preserve"> </w:t>
      </w:r>
      <w:r w:rsidR="00B3685D">
        <w:rPr>
          <w:rFonts w:asciiTheme="majorBidi" w:hAnsiTheme="majorBidi" w:cs="David" w:hint="cs"/>
          <w:sz w:val="24"/>
          <w:szCs w:val="24"/>
          <w:rtl/>
        </w:rPr>
        <w:t>מהלך לפיו</w:t>
      </w:r>
      <w:r w:rsidR="00004125">
        <w:rPr>
          <w:rFonts w:asciiTheme="majorBidi" w:hAnsiTheme="majorBidi" w:cs="David" w:hint="cs"/>
          <w:sz w:val="24"/>
          <w:szCs w:val="24"/>
          <w:rtl/>
        </w:rPr>
        <w:t xml:space="preserve"> לאמונאות יש וצריך להיות מקום בדיני המשפחה. </w:t>
      </w:r>
      <w:r w:rsidR="00281EC3">
        <w:rPr>
          <w:rFonts w:asciiTheme="majorBidi" w:hAnsiTheme="majorBidi" w:cs="David" w:hint="cs"/>
          <w:sz w:val="24"/>
          <w:szCs w:val="24"/>
          <w:rtl/>
        </w:rPr>
        <w:t>במאמר שכתבה יחד עם רוברט סקו</w:t>
      </w:r>
      <w:r w:rsidR="00004125">
        <w:rPr>
          <w:rFonts w:asciiTheme="majorBidi" w:hAnsiTheme="majorBidi" w:cs="David" w:hint="cs"/>
          <w:sz w:val="24"/>
          <w:szCs w:val="24"/>
          <w:rtl/>
        </w:rPr>
        <w:t>ט,</w:t>
      </w:r>
      <w:r w:rsidR="009039E8">
        <w:rPr>
          <w:rStyle w:val="FootnoteReference"/>
          <w:rFonts w:asciiTheme="majorBidi" w:hAnsiTheme="majorBidi" w:cs="David"/>
          <w:sz w:val="24"/>
          <w:szCs w:val="24"/>
          <w:rtl/>
        </w:rPr>
        <w:footnoteReference w:id="77"/>
      </w:r>
      <w:r w:rsidR="00004125">
        <w:rPr>
          <w:rFonts w:asciiTheme="majorBidi" w:hAnsiTheme="majorBidi" w:cs="David" w:hint="cs"/>
          <w:sz w:val="24"/>
          <w:szCs w:val="24"/>
          <w:rtl/>
        </w:rPr>
        <w:t xml:space="preserve"> </w:t>
      </w:r>
      <w:r w:rsidR="00E44D96">
        <w:rPr>
          <w:rFonts w:ascii="David" w:hAnsi="David" w:cs="David" w:hint="cs"/>
          <w:sz w:val="24"/>
          <w:szCs w:val="24"/>
          <w:rtl/>
        </w:rPr>
        <w:t>הוצגה</w:t>
      </w:r>
      <w:r w:rsidR="006F3F58">
        <w:rPr>
          <w:rFonts w:ascii="David" w:hAnsi="David" w:cs="David" w:hint="cs"/>
          <w:sz w:val="24"/>
          <w:szCs w:val="24"/>
          <w:rtl/>
        </w:rPr>
        <w:t xml:space="preserve"> האמונאות ביחס ל</w:t>
      </w:r>
      <w:r w:rsidR="00004125" w:rsidRPr="0069482C">
        <w:rPr>
          <w:rFonts w:ascii="David" w:hAnsi="David" w:cs="David"/>
          <w:sz w:val="24"/>
          <w:szCs w:val="24"/>
          <w:rtl/>
        </w:rPr>
        <w:t>מערכת היחסים הייחודית שבין הורה לילד</w:t>
      </w:r>
      <w:r w:rsidR="00004125">
        <w:rPr>
          <w:rFonts w:ascii="David" w:hAnsi="David" w:cs="David" w:hint="cs"/>
          <w:sz w:val="24"/>
          <w:szCs w:val="24"/>
          <w:rtl/>
        </w:rPr>
        <w:t>.</w:t>
      </w:r>
      <w:r w:rsidR="00004125">
        <w:rPr>
          <w:rFonts w:asciiTheme="majorBidi" w:hAnsiTheme="majorBidi" w:cs="David" w:hint="cs"/>
          <w:sz w:val="24"/>
          <w:szCs w:val="24"/>
          <w:rtl/>
        </w:rPr>
        <w:t xml:space="preserve"> ואולם לשיטתה (כפי </w:t>
      </w:r>
      <w:r w:rsidR="006F3F58">
        <w:rPr>
          <w:rFonts w:asciiTheme="majorBidi" w:hAnsiTheme="majorBidi" w:cs="David" w:hint="cs"/>
          <w:sz w:val="24"/>
          <w:szCs w:val="24"/>
          <w:rtl/>
        </w:rPr>
        <w:t>שבוטאה</w:t>
      </w:r>
      <w:r w:rsidR="00004125">
        <w:rPr>
          <w:rFonts w:asciiTheme="majorBidi" w:hAnsiTheme="majorBidi" w:cs="David" w:hint="cs"/>
          <w:sz w:val="24"/>
          <w:szCs w:val="24"/>
          <w:rtl/>
        </w:rPr>
        <w:t xml:space="preserve"> לאחרונה במאמר שכתבה </w:t>
      </w:r>
      <w:r w:rsidR="00004125" w:rsidRPr="009039E8">
        <w:rPr>
          <w:rFonts w:asciiTheme="majorBidi" w:hAnsiTheme="majorBidi" w:cs="David" w:hint="cs"/>
          <w:sz w:val="24"/>
          <w:szCs w:val="24"/>
          <w:rtl/>
        </w:rPr>
        <w:t xml:space="preserve">יחד עם  </w:t>
      </w:r>
      <w:r w:rsidR="00004125" w:rsidRPr="009039E8">
        <w:rPr>
          <w:rFonts w:asciiTheme="majorBidi" w:hAnsiTheme="majorBidi" w:cs="David"/>
          <w:sz w:val="24"/>
          <w:szCs w:val="24"/>
        </w:rPr>
        <w:t>Ben Chen</w:t>
      </w:r>
      <w:r w:rsidR="009039E8">
        <w:rPr>
          <w:rFonts w:asciiTheme="majorBidi" w:hAnsiTheme="majorBidi" w:cs="David" w:hint="cs"/>
          <w:sz w:val="24"/>
          <w:szCs w:val="24"/>
          <w:rtl/>
        </w:rPr>
        <w:t>)</w:t>
      </w:r>
      <w:r w:rsidR="009039E8">
        <w:rPr>
          <w:rStyle w:val="FootnoteReference"/>
          <w:rFonts w:asciiTheme="majorBidi" w:hAnsiTheme="majorBidi" w:cs="David"/>
          <w:sz w:val="24"/>
          <w:szCs w:val="24"/>
          <w:rtl/>
        </w:rPr>
        <w:footnoteReference w:id="78"/>
      </w:r>
      <w:r w:rsidR="00004125">
        <w:rPr>
          <w:rFonts w:asciiTheme="majorBidi" w:hAnsiTheme="majorBidi" w:cs="David" w:hint="cs"/>
          <w:sz w:val="24"/>
          <w:szCs w:val="24"/>
          <w:rtl/>
        </w:rPr>
        <w:t xml:space="preserve"> ניתן להרחיב את המודל אף למערכות יחסים </w:t>
      </w:r>
      <w:r w:rsidR="0085159F">
        <w:rPr>
          <w:rFonts w:asciiTheme="majorBidi" w:hAnsiTheme="majorBidi" w:cs="David" w:hint="cs"/>
          <w:sz w:val="24"/>
          <w:szCs w:val="24"/>
          <w:rtl/>
        </w:rPr>
        <w:t xml:space="preserve">משפחתיות אחרות - </w:t>
      </w:r>
      <w:r w:rsidR="00004125">
        <w:rPr>
          <w:rFonts w:asciiTheme="majorBidi" w:hAnsiTheme="majorBidi" w:cs="David" w:hint="cs"/>
          <w:sz w:val="24"/>
          <w:szCs w:val="24"/>
          <w:rtl/>
        </w:rPr>
        <w:t>בין בני זוג</w:t>
      </w:r>
      <w:r w:rsidR="00B14BAF">
        <w:rPr>
          <w:rFonts w:asciiTheme="majorBidi" w:hAnsiTheme="majorBidi" w:cs="David" w:hint="cs"/>
          <w:sz w:val="24"/>
          <w:szCs w:val="24"/>
          <w:rtl/>
        </w:rPr>
        <w:t>,</w:t>
      </w:r>
      <w:r w:rsidR="00004125">
        <w:rPr>
          <w:rFonts w:asciiTheme="majorBidi" w:hAnsiTheme="majorBidi" w:cs="David" w:hint="cs"/>
          <w:sz w:val="24"/>
          <w:szCs w:val="24"/>
          <w:rtl/>
        </w:rPr>
        <w:t xml:space="preserve"> כאשר </w:t>
      </w:r>
      <w:r w:rsidR="0085159F">
        <w:rPr>
          <w:rFonts w:asciiTheme="majorBidi" w:hAnsiTheme="majorBidi" w:cs="David" w:hint="cs"/>
          <w:sz w:val="24"/>
          <w:szCs w:val="24"/>
          <w:rtl/>
        </w:rPr>
        <w:t>מערכת היחסים</w:t>
      </w:r>
      <w:r w:rsidR="006F3F58">
        <w:rPr>
          <w:rFonts w:asciiTheme="majorBidi" w:hAnsiTheme="majorBidi" w:cs="David" w:hint="cs"/>
          <w:sz w:val="24"/>
          <w:szCs w:val="24"/>
          <w:rtl/>
        </w:rPr>
        <w:t xml:space="preserve"> ביניהם</w:t>
      </w:r>
      <w:r w:rsidR="0085159F">
        <w:rPr>
          <w:rFonts w:asciiTheme="majorBidi" w:hAnsiTheme="majorBidi" w:cs="David" w:hint="cs"/>
          <w:sz w:val="24"/>
          <w:szCs w:val="24"/>
          <w:rtl/>
        </w:rPr>
        <w:t xml:space="preserve"> מקבלת אופי של תלות</w:t>
      </w:r>
      <w:r w:rsidR="00004125">
        <w:rPr>
          <w:rFonts w:asciiTheme="majorBidi" w:hAnsiTheme="majorBidi" w:cs="David" w:hint="cs"/>
          <w:sz w:val="24"/>
          <w:szCs w:val="24"/>
          <w:rtl/>
        </w:rPr>
        <w:t xml:space="preserve">, </w:t>
      </w:r>
      <w:r w:rsidR="006F3F58">
        <w:rPr>
          <w:rFonts w:asciiTheme="majorBidi" w:hAnsiTheme="majorBidi" w:cs="David" w:hint="cs"/>
          <w:sz w:val="24"/>
          <w:szCs w:val="24"/>
          <w:rtl/>
        </w:rPr>
        <w:t>ול</w:t>
      </w:r>
      <w:r w:rsidR="0085159F">
        <w:rPr>
          <w:rFonts w:asciiTheme="majorBidi" w:hAnsiTheme="majorBidi" w:cs="David" w:hint="cs"/>
          <w:sz w:val="24"/>
          <w:szCs w:val="24"/>
          <w:rtl/>
        </w:rPr>
        <w:t>מערכות יחסים</w:t>
      </w:r>
      <w:r w:rsidR="00004125">
        <w:rPr>
          <w:rFonts w:asciiTheme="majorBidi" w:hAnsiTheme="majorBidi" w:cs="David" w:hint="cs"/>
          <w:sz w:val="24"/>
          <w:szCs w:val="24"/>
          <w:rtl/>
        </w:rPr>
        <w:t xml:space="preserve"> עם בני משפ</w:t>
      </w:r>
      <w:r w:rsidR="0085159F">
        <w:rPr>
          <w:rFonts w:asciiTheme="majorBidi" w:hAnsiTheme="majorBidi" w:cs="David" w:hint="cs"/>
          <w:sz w:val="24"/>
          <w:szCs w:val="24"/>
          <w:rtl/>
        </w:rPr>
        <w:t>חה מבוגרים</w:t>
      </w:r>
      <w:r w:rsidR="006F3F58">
        <w:rPr>
          <w:rFonts w:asciiTheme="majorBidi" w:hAnsiTheme="majorBidi" w:cs="David" w:hint="cs"/>
          <w:sz w:val="24"/>
          <w:szCs w:val="24"/>
          <w:rtl/>
        </w:rPr>
        <w:t>,</w:t>
      </w:r>
      <w:r w:rsidR="0085159F">
        <w:rPr>
          <w:rFonts w:asciiTheme="majorBidi" w:hAnsiTheme="majorBidi" w:cs="David" w:hint="cs"/>
          <w:sz w:val="24"/>
          <w:szCs w:val="24"/>
          <w:rtl/>
        </w:rPr>
        <w:t xml:space="preserve"> אשר כושרם נפגע מהותי</w:t>
      </w:r>
      <w:r w:rsidR="000464CA">
        <w:rPr>
          <w:rFonts w:asciiTheme="majorBidi" w:hAnsiTheme="majorBidi" w:cs="David" w:hint="cs"/>
          <w:sz w:val="24"/>
          <w:szCs w:val="24"/>
          <w:rtl/>
        </w:rPr>
        <w:t>ת</w:t>
      </w:r>
      <w:r w:rsidR="00197439">
        <w:rPr>
          <w:rFonts w:asciiTheme="majorBidi" w:hAnsiTheme="majorBidi" w:cs="David" w:hint="cs"/>
          <w:sz w:val="24"/>
          <w:szCs w:val="24"/>
          <w:rtl/>
        </w:rPr>
        <w:t xml:space="preserve"> והם הופכים תלויים פיזית ו/או מנטלית בבן משפחתם</w:t>
      </w:r>
      <w:r w:rsidR="0085159F">
        <w:rPr>
          <w:rFonts w:asciiTheme="majorBidi" w:hAnsiTheme="majorBidi" w:cs="David" w:hint="cs"/>
          <w:sz w:val="24"/>
          <w:szCs w:val="24"/>
          <w:rtl/>
        </w:rPr>
        <w:t>.</w:t>
      </w:r>
      <w:r w:rsidR="009039E8">
        <w:rPr>
          <w:rFonts w:asciiTheme="majorBidi" w:hAnsiTheme="majorBidi" w:cs="David" w:hint="cs"/>
          <w:sz w:val="24"/>
          <w:szCs w:val="24"/>
          <w:rtl/>
        </w:rPr>
        <w:t xml:space="preserve"> </w:t>
      </w:r>
    </w:p>
    <w:p w14:paraId="07E9118C" w14:textId="7277CF85" w:rsidR="00422121" w:rsidRPr="00827CDF" w:rsidRDefault="007C33A9" w:rsidP="002061C5">
      <w:pPr>
        <w:spacing w:line="480" w:lineRule="auto"/>
        <w:jc w:val="both"/>
        <w:rPr>
          <w:rFonts w:ascii="David" w:hAnsi="David" w:cs="David"/>
          <w:sz w:val="24"/>
          <w:szCs w:val="24"/>
          <w:rtl/>
        </w:rPr>
      </w:pPr>
      <w:r w:rsidRPr="00827CDF">
        <w:rPr>
          <w:rFonts w:ascii="David" w:hAnsi="David" w:cs="David"/>
          <w:sz w:val="24"/>
          <w:szCs w:val="24"/>
          <w:rtl/>
        </w:rPr>
        <w:t xml:space="preserve">התעכבות על </w:t>
      </w:r>
      <w:r w:rsidR="0085159F">
        <w:rPr>
          <w:rFonts w:ascii="David" w:hAnsi="David" w:cs="David" w:hint="cs"/>
          <w:sz w:val="24"/>
          <w:szCs w:val="24"/>
          <w:rtl/>
        </w:rPr>
        <w:t>ה</w:t>
      </w:r>
      <w:r w:rsidRPr="00827CDF">
        <w:rPr>
          <w:rFonts w:ascii="David" w:hAnsi="David" w:cs="David"/>
          <w:sz w:val="24"/>
          <w:szCs w:val="24"/>
          <w:rtl/>
        </w:rPr>
        <w:t>מודל</w:t>
      </w:r>
      <w:r w:rsidR="0085159F">
        <w:rPr>
          <w:rFonts w:ascii="David" w:hAnsi="David" w:cs="David" w:hint="cs"/>
          <w:sz w:val="24"/>
          <w:szCs w:val="24"/>
          <w:rtl/>
        </w:rPr>
        <w:t xml:space="preserve"> של סקוט</w:t>
      </w:r>
      <w:r w:rsidRPr="00827CDF">
        <w:rPr>
          <w:rFonts w:ascii="David" w:hAnsi="David" w:cs="David"/>
          <w:sz w:val="24"/>
          <w:szCs w:val="24"/>
          <w:rtl/>
        </w:rPr>
        <w:t xml:space="preserve"> תשרת</w:t>
      </w:r>
      <w:r w:rsidR="0069482C">
        <w:rPr>
          <w:rFonts w:ascii="David" w:hAnsi="David" w:cs="David"/>
          <w:sz w:val="24"/>
          <w:szCs w:val="24"/>
          <w:rtl/>
        </w:rPr>
        <w:t xml:space="preserve"> את הדיון במאמר </w:t>
      </w:r>
      <w:r w:rsidR="00A30351">
        <w:rPr>
          <w:rFonts w:ascii="David" w:hAnsi="David" w:cs="David" w:hint="cs"/>
          <w:sz w:val="24"/>
          <w:szCs w:val="24"/>
          <w:rtl/>
        </w:rPr>
        <w:t>בשני</w:t>
      </w:r>
      <w:r w:rsidR="0069482C">
        <w:rPr>
          <w:rFonts w:ascii="David" w:hAnsi="David" w:cs="David"/>
          <w:sz w:val="24"/>
          <w:szCs w:val="24"/>
          <w:rtl/>
        </w:rPr>
        <w:t xml:space="preserve"> מישורים</w:t>
      </w:r>
      <w:r w:rsidR="0069482C">
        <w:rPr>
          <w:rFonts w:ascii="David" w:hAnsi="David" w:cs="David" w:hint="cs"/>
          <w:sz w:val="24"/>
          <w:szCs w:val="24"/>
          <w:rtl/>
        </w:rPr>
        <w:t>:</w:t>
      </w:r>
      <w:r w:rsidR="003B0199">
        <w:rPr>
          <w:rFonts w:ascii="David" w:hAnsi="David" w:cs="David" w:hint="cs"/>
          <w:sz w:val="24"/>
          <w:szCs w:val="24"/>
          <w:rtl/>
        </w:rPr>
        <w:t xml:space="preserve"> </w:t>
      </w:r>
      <w:r w:rsidRPr="00827CDF">
        <w:rPr>
          <w:rFonts w:ascii="David" w:hAnsi="David" w:cs="David"/>
          <w:sz w:val="24"/>
          <w:szCs w:val="24"/>
          <w:rtl/>
        </w:rPr>
        <w:t xml:space="preserve">ראשית, על אף השוני העמוק והמהותי שבין </w:t>
      </w:r>
      <w:r w:rsidR="000464CA">
        <w:rPr>
          <w:rFonts w:ascii="David" w:hAnsi="David" w:cs="David" w:hint="cs"/>
          <w:sz w:val="24"/>
          <w:szCs w:val="24"/>
          <w:rtl/>
        </w:rPr>
        <w:t xml:space="preserve">המערכות המשפחתיות בהן עוסקת סקוט (ובפרט </w:t>
      </w:r>
      <w:r w:rsidRPr="00827CDF">
        <w:rPr>
          <w:rFonts w:ascii="David" w:hAnsi="David" w:cs="David"/>
          <w:sz w:val="24"/>
          <w:szCs w:val="24"/>
          <w:rtl/>
        </w:rPr>
        <w:t>מערכת יחסי הורה-ילד</w:t>
      </w:r>
      <w:r w:rsidR="000464CA">
        <w:rPr>
          <w:rFonts w:ascii="David" w:hAnsi="David" w:cs="David" w:hint="cs"/>
          <w:sz w:val="24"/>
          <w:szCs w:val="24"/>
          <w:rtl/>
        </w:rPr>
        <w:t>)</w:t>
      </w:r>
      <w:r w:rsidRPr="00827CDF">
        <w:rPr>
          <w:rFonts w:ascii="David" w:hAnsi="David" w:cs="David"/>
          <w:sz w:val="24"/>
          <w:szCs w:val="24"/>
          <w:rtl/>
        </w:rPr>
        <w:t xml:space="preserve"> ל</w:t>
      </w:r>
      <w:r w:rsidR="000464CA">
        <w:rPr>
          <w:rFonts w:ascii="David" w:hAnsi="David" w:cs="David" w:hint="cs"/>
          <w:sz w:val="24"/>
          <w:szCs w:val="24"/>
          <w:rtl/>
        </w:rPr>
        <w:t xml:space="preserve">מערכת </w:t>
      </w:r>
      <w:r w:rsidR="00982640">
        <w:rPr>
          <w:rFonts w:ascii="David" w:hAnsi="David" w:cs="David"/>
          <w:sz w:val="24"/>
          <w:szCs w:val="24"/>
          <w:rtl/>
        </w:rPr>
        <w:t>יחסי הורה</w:t>
      </w:r>
      <w:r w:rsidR="006F3F58">
        <w:rPr>
          <w:rFonts w:ascii="David" w:hAnsi="David" w:cs="David" w:hint="cs"/>
          <w:sz w:val="24"/>
          <w:szCs w:val="24"/>
          <w:rtl/>
        </w:rPr>
        <w:t xml:space="preserve"> </w:t>
      </w:r>
      <w:r w:rsidRPr="00827CDF">
        <w:rPr>
          <w:rFonts w:ascii="David" w:hAnsi="David" w:cs="David"/>
          <w:sz w:val="24"/>
          <w:szCs w:val="24"/>
          <w:rtl/>
        </w:rPr>
        <w:t>חורג</w:t>
      </w:r>
      <w:r w:rsidR="00982640">
        <w:rPr>
          <w:rFonts w:ascii="David" w:hAnsi="David" w:cs="David"/>
          <w:sz w:val="24"/>
          <w:szCs w:val="24"/>
          <w:rtl/>
        </w:rPr>
        <w:t>–</w:t>
      </w:r>
      <w:r w:rsidR="002061C5">
        <w:rPr>
          <w:rFonts w:ascii="David" w:hAnsi="David" w:cs="David"/>
          <w:sz w:val="24"/>
          <w:szCs w:val="24"/>
          <w:rtl/>
        </w:rPr>
        <w:t>הורה</w:t>
      </w:r>
      <w:r w:rsidR="002061C5">
        <w:rPr>
          <w:rFonts w:ascii="David" w:hAnsi="David" w:cs="David" w:hint="cs"/>
          <w:sz w:val="24"/>
          <w:szCs w:val="24"/>
          <w:rtl/>
        </w:rPr>
        <w:t xml:space="preserve"> </w:t>
      </w:r>
      <w:r w:rsidR="00362D71">
        <w:rPr>
          <w:rFonts w:ascii="David" w:hAnsi="David" w:cs="David" w:hint="cs"/>
          <w:sz w:val="24"/>
          <w:szCs w:val="24"/>
          <w:rtl/>
        </w:rPr>
        <w:t xml:space="preserve">לא </w:t>
      </w:r>
      <w:r w:rsidR="002061C5">
        <w:rPr>
          <w:rFonts w:ascii="David" w:hAnsi="David" w:cs="David" w:hint="cs"/>
          <w:sz w:val="24"/>
          <w:szCs w:val="24"/>
          <w:rtl/>
        </w:rPr>
        <w:t>משמורן,</w:t>
      </w:r>
      <w:r w:rsidRPr="00827CDF">
        <w:rPr>
          <w:rFonts w:ascii="David" w:hAnsi="David" w:cs="David"/>
          <w:sz w:val="24"/>
          <w:szCs w:val="24"/>
          <w:rtl/>
        </w:rPr>
        <w:t xml:space="preserve"> הרי שהזירה המשותפת – הזירה המשפחתית, </w:t>
      </w:r>
      <w:r w:rsidR="0069482C">
        <w:rPr>
          <w:rFonts w:ascii="David" w:hAnsi="David" w:cs="David" w:hint="cs"/>
          <w:sz w:val="24"/>
          <w:szCs w:val="24"/>
          <w:rtl/>
        </w:rPr>
        <w:t xml:space="preserve">מהווה מכנה משותף חשוב ואמורה </w:t>
      </w:r>
      <w:r w:rsidR="00A853FE">
        <w:rPr>
          <w:rFonts w:ascii="David" w:hAnsi="David" w:cs="David" w:hint="cs"/>
          <w:sz w:val="24"/>
          <w:szCs w:val="24"/>
          <w:rtl/>
        </w:rPr>
        <w:t>ליצור</w:t>
      </w:r>
      <w:r w:rsidR="0069482C">
        <w:rPr>
          <w:rFonts w:ascii="David" w:hAnsi="David" w:cs="David" w:hint="cs"/>
          <w:sz w:val="24"/>
          <w:szCs w:val="24"/>
          <w:rtl/>
        </w:rPr>
        <w:t>, להבנתי, גישה בסיסית דומה כלפי מערכות היחסים האמורות</w:t>
      </w:r>
      <w:r w:rsidRPr="00827CDF">
        <w:rPr>
          <w:rFonts w:ascii="David" w:hAnsi="David" w:cs="David"/>
          <w:sz w:val="24"/>
          <w:szCs w:val="24"/>
          <w:rtl/>
        </w:rPr>
        <w:t xml:space="preserve">. </w:t>
      </w:r>
      <w:r w:rsidR="0069482C">
        <w:rPr>
          <w:rFonts w:ascii="David" w:hAnsi="David" w:cs="David" w:hint="cs"/>
          <w:sz w:val="24"/>
          <w:szCs w:val="24"/>
          <w:rtl/>
        </w:rPr>
        <w:t xml:space="preserve">במובן זה, </w:t>
      </w:r>
      <w:r w:rsidRPr="00827CDF">
        <w:rPr>
          <w:rFonts w:ascii="David" w:hAnsi="David" w:cs="David"/>
          <w:sz w:val="24"/>
          <w:szCs w:val="24"/>
          <w:rtl/>
        </w:rPr>
        <w:t>עצם המהלך</w:t>
      </w:r>
      <w:r w:rsidR="00982640">
        <w:rPr>
          <w:rFonts w:ascii="David" w:hAnsi="David" w:cs="David" w:hint="cs"/>
          <w:sz w:val="24"/>
          <w:szCs w:val="24"/>
          <w:rtl/>
        </w:rPr>
        <w:t>,</w:t>
      </w:r>
      <w:r w:rsidRPr="00827CDF">
        <w:rPr>
          <w:rFonts w:ascii="David" w:hAnsi="David" w:cs="David"/>
          <w:sz w:val="24"/>
          <w:szCs w:val="24"/>
          <w:rtl/>
        </w:rPr>
        <w:t xml:space="preserve"> שהוצע על</w:t>
      </w:r>
      <w:r w:rsidR="00A853FE">
        <w:rPr>
          <w:rFonts w:ascii="David" w:hAnsi="David" w:cs="David" w:hint="cs"/>
          <w:sz w:val="24"/>
          <w:szCs w:val="24"/>
          <w:rtl/>
        </w:rPr>
        <w:t xml:space="preserve"> ידי</w:t>
      </w:r>
      <w:r w:rsidRPr="00827CDF">
        <w:rPr>
          <w:rFonts w:ascii="David" w:hAnsi="David" w:cs="David"/>
          <w:sz w:val="24"/>
          <w:szCs w:val="24"/>
          <w:rtl/>
        </w:rPr>
        <w:t xml:space="preserve"> </w:t>
      </w:r>
      <w:r w:rsidR="0069482C">
        <w:rPr>
          <w:rFonts w:ascii="David" w:hAnsi="David" w:cs="David" w:hint="cs"/>
          <w:sz w:val="24"/>
          <w:szCs w:val="24"/>
          <w:rtl/>
        </w:rPr>
        <w:t>אליזבט ורוברט סקוט</w:t>
      </w:r>
      <w:r w:rsidRPr="00827CDF">
        <w:rPr>
          <w:rFonts w:ascii="David" w:hAnsi="David" w:cs="David"/>
          <w:sz w:val="24"/>
          <w:szCs w:val="24"/>
          <w:rtl/>
        </w:rPr>
        <w:t xml:space="preserve"> לפני עשרים</w:t>
      </w:r>
      <w:r w:rsidR="00E01A09">
        <w:rPr>
          <w:rFonts w:ascii="David" w:hAnsi="David" w:cs="David" w:hint="cs"/>
          <w:sz w:val="24"/>
          <w:szCs w:val="24"/>
          <w:rtl/>
        </w:rPr>
        <w:t xml:space="preserve"> וחמש</w:t>
      </w:r>
      <w:r w:rsidRPr="00827CDF">
        <w:rPr>
          <w:rFonts w:ascii="David" w:hAnsi="David" w:cs="David"/>
          <w:sz w:val="24"/>
          <w:szCs w:val="24"/>
          <w:rtl/>
        </w:rPr>
        <w:t xml:space="preserve"> שנה</w:t>
      </w:r>
      <w:r w:rsidR="0069482C">
        <w:rPr>
          <w:rFonts w:ascii="David" w:hAnsi="David" w:cs="David"/>
          <w:sz w:val="24"/>
          <w:szCs w:val="24"/>
          <w:rtl/>
        </w:rPr>
        <w:t xml:space="preserve">, לפרוץ את גבולות האמונאות </w:t>
      </w:r>
      <w:r w:rsidR="0069482C">
        <w:rPr>
          <w:rFonts w:ascii="David" w:hAnsi="David" w:cs="David" w:hint="cs"/>
          <w:sz w:val="24"/>
          <w:szCs w:val="24"/>
          <w:rtl/>
        </w:rPr>
        <w:t>שיוחסה עד אז למשפט פרטי בהקשרים כלכליים או פרופסיונאלים</w:t>
      </w:r>
      <w:r w:rsidRPr="00827CDF">
        <w:rPr>
          <w:rFonts w:ascii="David" w:hAnsi="David" w:cs="David"/>
          <w:sz w:val="24"/>
          <w:szCs w:val="24"/>
          <w:rtl/>
        </w:rPr>
        <w:t>, היה מהפכני ו</w:t>
      </w:r>
      <w:r w:rsidR="0069482C">
        <w:rPr>
          <w:rFonts w:ascii="David" w:hAnsi="David" w:cs="David" w:hint="cs"/>
          <w:sz w:val="24"/>
          <w:szCs w:val="24"/>
          <w:rtl/>
        </w:rPr>
        <w:t xml:space="preserve">יצר את התשתית </w:t>
      </w:r>
      <w:r w:rsidR="00EE45C4">
        <w:rPr>
          <w:rFonts w:ascii="David" w:hAnsi="David" w:cs="David" w:hint="cs"/>
          <w:sz w:val="24"/>
          <w:szCs w:val="24"/>
          <w:rtl/>
        </w:rPr>
        <w:t>החשיבתית לתחולה גם ב</w:t>
      </w:r>
      <w:r w:rsidR="0069482C">
        <w:rPr>
          <w:rFonts w:ascii="David" w:hAnsi="David" w:cs="David" w:hint="cs"/>
          <w:sz w:val="24"/>
          <w:szCs w:val="24"/>
          <w:rtl/>
        </w:rPr>
        <w:t>הקשרנו.</w:t>
      </w:r>
      <w:r w:rsidR="005062D3">
        <w:rPr>
          <w:rFonts w:ascii="David" w:hAnsi="David" w:cs="David" w:hint="cs"/>
          <w:sz w:val="24"/>
          <w:szCs w:val="24"/>
          <w:rtl/>
        </w:rPr>
        <w:t xml:space="preserve"> </w:t>
      </w:r>
      <w:r w:rsidRPr="00827CDF">
        <w:rPr>
          <w:rFonts w:ascii="David" w:hAnsi="David" w:cs="David"/>
          <w:sz w:val="24"/>
          <w:szCs w:val="24"/>
          <w:rtl/>
        </w:rPr>
        <w:t xml:space="preserve">שנית, </w:t>
      </w:r>
      <w:r w:rsidR="00273E91" w:rsidRPr="00827CDF">
        <w:rPr>
          <w:rFonts w:ascii="David" w:hAnsi="David" w:cs="David"/>
          <w:sz w:val="24"/>
          <w:szCs w:val="24"/>
          <w:rtl/>
        </w:rPr>
        <w:t>כפי שכבר רמזתי קו</w:t>
      </w:r>
      <w:r w:rsidR="00273E91">
        <w:rPr>
          <w:rFonts w:ascii="David" w:hAnsi="David" w:cs="David"/>
          <w:sz w:val="24"/>
          <w:szCs w:val="24"/>
          <w:rtl/>
        </w:rPr>
        <w:t>דם,</w:t>
      </w:r>
      <w:r w:rsidR="00627391">
        <w:rPr>
          <w:rStyle w:val="FootnoteReference"/>
          <w:rFonts w:ascii="David" w:hAnsi="David" w:cs="David"/>
          <w:sz w:val="24"/>
          <w:szCs w:val="24"/>
          <w:rtl/>
        </w:rPr>
        <w:footnoteReference w:id="79"/>
      </w:r>
      <w:r w:rsidR="00273E91">
        <w:rPr>
          <w:rFonts w:ascii="David" w:hAnsi="David" w:cs="David"/>
          <w:sz w:val="24"/>
          <w:szCs w:val="24"/>
          <w:rtl/>
        </w:rPr>
        <w:t xml:space="preserve"> מערכת היחסים</w:t>
      </w:r>
      <w:r w:rsidR="00273E91">
        <w:rPr>
          <w:rFonts w:ascii="David" w:hAnsi="David" w:cs="David" w:hint="cs"/>
          <w:sz w:val="24"/>
          <w:szCs w:val="24"/>
          <w:rtl/>
        </w:rPr>
        <w:t xml:space="preserve"> התפקידית</w:t>
      </w:r>
      <w:r w:rsidR="00273E91">
        <w:rPr>
          <w:rFonts w:ascii="David" w:hAnsi="David" w:cs="David"/>
          <w:sz w:val="24"/>
          <w:szCs w:val="24"/>
          <w:rtl/>
        </w:rPr>
        <w:t xml:space="preserve"> </w:t>
      </w:r>
      <w:r w:rsidR="00273E91">
        <w:rPr>
          <w:rFonts w:ascii="David" w:hAnsi="David" w:cs="David" w:hint="cs"/>
          <w:sz w:val="24"/>
          <w:szCs w:val="24"/>
          <w:rtl/>
        </w:rPr>
        <w:t>לשמה נועדה האמונאות לחול, איננה</w:t>
      </w:r>
      <w:r w:rsidR="00273E91" w:rsidRPr="00827CDF">
        <w:rPr>
          <w:rFonts w:ascii="David" w:hAnsi="David" w:cs="David"/>
          <w:sz w:val="24"/>
          <w:szCs w:val="24"/>
          <w:rtl/>
        </w:rPr>
        <w:t xml:space="preserve"> רק </w:t>
      </w:r>
      <w:r w:rsidR="00273E91">
        <w:rPr>
          <w:rFonts w:ascii="David" w:hAnsi="David" w:cs="David" w:hint="cs"/>
          <w:sz w:val="24"/>
          <w:szCs w:val="24"/>
          <w:rtl/>
        </w:rPr>
        <w:t xml:space="preserve">זו של ההורה החורג כלפי ההורה </w:t>
      </w:r>
      <w:r w:rsidR="002061C5">
        <w:rPr>
          <w:rFonts w:ascii="David" w:hAnsi="David" w:cs="David" w:hint="cs"/>
          <w:sz w:val="24"/>
          <w:szCs w:val="24"/>
          <w:rtl/>
        </w:rPr>
        <w:t>הלא משמורן</w:t>
      </w:r>
      <w:r w:rsidR="00273E91">
        <w:rPr>
          <w:rFonts w:ascii="David" w:hAnsi="David" w:cs="David" w:hint="cs"/>
          <w:sz w:val="24"/>
          <w:szCs w:val="24"/>
          <w:rtl/>
        </w:rPr>
        <w:t xml:space="preserve"> כשלעצמה</w:t>
      </w:r>
      <w:r w:rsidR="00273E91">
        <w:rPr>
          <w:rFonts w:ascii="David" w:hAnsi="David" w:cs="David"/>
          <w:sz w:val="24"/>
          <w:szCs w:val="24"/>
          <w:rtl/>
        </w:rPr>
        <w:t xml:space="preserve">, </w:t>
      </w:r>
      <w:r w:rsidR="00273E91" w:rsidRPr="00827CDF">
        <w:rPr>
          <w:rFonts w:ascii="David" w:hAnsi="David" w:cs="David"/>
          <w:sz w:val="24"/>
          <w:szCs w:val="24"/>
          <w:rtl/>
        </w:rPr>
        <w:t>אלא</w:t>
      </w:r>
      <w:r w:rsidR="002061C5">
        <w:rPr>
          <w:rFonts w:ascii="David" w:hAnsi="David" w:cs="David" w:hint="cs"/>
          <w:sz w:val="24"/>
          <w:szCs w:val="24"/>
          <w:rtl/>
        </w:rPr>
        <w:t xml:space="preserve"> גם</w:t>
      </w:r>
      <w:r w:rsidR="00273E91" w:rsidRPr="00827CDF">
        <w:rPr>
          <w:rFonts w:ascii="David" w:hAnsi="David" w:cs="David"/>
          <w:sz w:val="24"/>
          <w:szCs w:val="24"/>
          <w:rtl/>
        </w:rPr>
        <w:t xml:space="preserve"> מערכת היחסים שבין ההורה לילד</w:t>
      </w:r>
      <w:r w:rsidR="00273E91">
        <w:rPr>
          <w:rFonts w:ascii="David" w:hAnsi="David" w:cs="David" w:hint="cs"/>
          <w:sz w:val="24"/>
          <w:szCs w:val="24"/>
          <w:rtl/>
        </w:rPr>
        <w:t>, הנדרשת להגנה</w:t>
      </w:r>
      <w:r w:rsidR="002061C5">
        <w:rPr>
          <w:rFonts w:ascii="David" w:hAnsi="David" w:cs="David" w:hint="cs"/>
          <w:sz w:val="24"/>
          <w:szCs w:val="24"/>
          <w:rtl/>
        </w:rPr>
        <w:t xml:space="preserve"> במסגרת יחסי ההורה החורג וההורה הלא משמורן.</w:t>
      </w:r>
      <w:r w:rsidR="00273E91">
        <w:rPr>
          <w:rFonts w:ascii="David" w:hAnsi="David" w:cs="David" w:hint="cs"/>
          <w:sz w:val="24"/>
          <w:szCs w:val="24"/>
          <w:rtl/>
        </w:rPr>
        <w:t xml:space="preserve"> במובן זה הרי שלמתווה שמשרטטים אליזבת ורוברט סקוט ביחס להורה-ילד</w:t>
      </w:r>
      <w:r w:rsidR="008E5FE4">
        <w:rPr>
          <w:rFonts w:ascii="David" w:hAnsi="David" w:cs="David" w:hint="cs"/>
          <w:sz w:val="24"/>
          <w:szCs w:val="24"/>
          <w:rtl/>
        </w:rPr>
        <w:t>, אשר כלל גם את יחסי ההורה הלא משמורן והילד,</w:t>
      </w:r>
      <w:r w:rsidR="008E5FE4">
        <w:rPr>
          <w:rStyle w:val="FootnoteReference"/>
          <w:rFonts w:ascii="David" w:hAnsi="David" w:cs="David"/>
          <w:sz w:val="24"/>
          <w:szCs w:val="24"/>
          <w:rtl/>
        </w:rPr>
        <w:footnoteReference w:id="80"/>
      </w:r>
      <w:r w:rsidR="00273E91">
        <w:rPr>
          <w:rFonts w:ascii="David" w:hAnsi="David" w:cs="David" w:hint="cs"/>
          <w:sz w:val="24"/>
          <w:szCs w:val="24"/>
          <w:rtl/>
        </w:rPr>
        <w:t xml:space="preserve"> יש </w:t>
      </w:r>
      <w:r w:rsidR="00CB629F">
        <w:rPr>
          <w:rFonts w:ascii="David" w:hAnsi="David" w:cs="David" w:hint="cs"/>
          <w:sz w:val="24"/>
          <w:szCs w:val="24"/>
          <w:rtl/>
        </w:rPr>
        <w:t>נגיעה רעיונית עקיפה גם בהקשרנו.</w:t>
      </w:r>
    </w:p>
    <w:p w14:paraId="1352CF6D" w14:textId="5FD9A017" w:rsidR="00651D5E" w:rsidRDefault="00982640" w:rsidP="00982640">
      <w:pPr>
        <w:spacing w:line="480" w:lineRule="auto"/>
        <w:jc w:val="both"/>
        <w:rPr>
          <w:rFonts w:asciiTheme="majorBidi" w:hAnsiTheme="majorBidi" w:cs="David"/>
          <w:sz w:val="24"/>
          <w:szCs w:val="24"/>
          <w:rtl/>
        </w:rPr>
      </w:pPr>
      <w:r>
        <w:rPr>
          <w:rFonts w:asciiTheme="majorBidi" w:hAnsiTheme="majorBidi" w:cs="David" w:hint="cs"/>
          <w:sz w:val="24"/>
          <w:szCs w:val="24"/>
          <w:rtl/>
        </w:rPr>
        <w:t xml:space="preserve">ואכן ביחס להתאמתה של הזירה המשפחתית לאמונאות, כותבים </w:t>
      </w:r>
      <w:r w:rsidR="000464CA">
        <w:rPr>
          <w:rFonts w:asciiTheme="majorBidi" w:hAnsiTheme="majorBidi" w:cs="David" w:hint="cs"/>
          <w:sz w:val="24"/>
          <w:szCs w:val="24"/>
          <w:rtl/>
        </w:rPr>
        <w:t>סקוט ו</w:t>
      </w:r>
      <w:r w:rsidR="00362D71">
        <w:rPr>
          <w:rFonts w:asciiTheme="majorBidi" w:hAnsiTheme="majorBidi" w:cs="David" w:hint="cs"/>
          <w:sz w:val="24"/>
          <w:szCs w:val="24"/>
          <w:rtl/>
        </w:rPr>
        <w:t xml:space="preserve"> </w:t>
      </w:r>
      <w:r w:rsidR="00362D71">
        <w:rPr>
          <w:rFonts w:asciiTheme="majorBidi" w:hAnsiTheme="majorBidi" w:cs="David"/>
          <w:sz w:val="24"/>
          <w:szCs w:val="24"/>
        </w:rPr>
        <w:t xml:space="preserve">Chen </w:t>
      </w:r>
      <w:r w:rsidR="00C43E8A">
        <w:rPr>
          <w:rFonts w:asciiTheme="majorBidi" w:hAnsiTheme="majorBidi" w:cs="David" w:hint="cs"/>
          <w:sz w:val="24"/>
          <w:szCs w:val="24"/>
          <w:rtl/>
        </w:rPr>
        <w:t xml:space="preserve"> את הדברים הקולעים הבאים</w:t>
      </w:r>
      <w:r w:rsidR="000464CA">
        <w:rPr>
          <w:rFonts w:asciiTheme="majorBidi" w:hAnsiTheme="majorBidi" w:cs="David" w:hint="cs"/>
          <w:sz w:val="24"/>
          <w:szCs w:val="24"/>
          <w:rtl/>
        </w:rPr>
        <w:t>:</w:t>
      </w:r>
    </w:p>
    <w:p w14:paraId="6AEC3879" w14:textId="77777777" w:rsidR="00651D5E" w:rsidRDefault="00651D5E" w:rsidP="00C43E8A">
      <w:pPr>
        <w:pStyle w:val="Default"/>
        <w:spacing w:line="480" w:lineRule="auto"/>
        <w:jc w:val="both"/>
        <w:rPr>
          <w:sz w:val="23"/>
          <w:szCs w:val="23"/>
        </w:rPr>
      </w:pPr>
      <w:r>
        <w:rPr>
          <w:rFonts w:asciiTheme="majorBidi" w:hAnsiTheme="majorBidi" w:cs="David"/>
        </w:rPr>
        <w:t>"</w:t>
      </w:r>
      <w:r>
        <w:rPr>
          <w:sz w:val="23"/>
          <w:szCs w:val="23"/>
        </w:rPr>
        <w:t>Family members bear primary responsibility for the care of dependent and vulnerable individuals in our society, and therefore family relationships are infused with fiduciary obligation. Most importantly, the legal relationship between parents and their minor children is best understood as one that is regulated by fiduciary principles. Husbands and wives relate to one another as equals under contemporary law, but this relationship as well is subject to duties of care and loyalty when either spouse i</w:t>
      </w:r>
      <w:r w:rsidR="00C43E8A">
        <w:rPr>
          <w:sz w:val="23"/>
          <w:szCs w:val="23"/>
        </w:rPr>
        <w:t>s in a condition of dependency</w:t>
      </w:r>
      <w:r>
        <w:rPr>
          <w:sz w:val="23"/>
          <w:szCs w:val="23"/>
        </w:rPr>
        <w:t>".</w:t>
      </w:r>
      <w:r>
        <w:rPr>
          <w:rStyle w:val="FootnoteReference"/>
          <w:sz w:val="23"/>
          <w:szCs w:val="23"/>
        </w:rPr>
        <w:footnoteReference w:id="81"/>
      </w:r>
    </w:p>
    <w:p w14:paraId="033F7CC9" w14:textId="77777777" w:rsidR="00ED6C8C" w:rsidRPr="009657BA" w:rsidRDefault="00ED6C8C" w:rsidP="00ED6C8C">
      <w:pPr>
        <w:pStyle w:val="Default"/>
        <w:bidi/>
        <w:rPr>
          <w:rFonts w:ascii="David" w:hAnsi="David" w:cs="David" w:hint="cs"/>
          <w:rtl/>
        </w:rPr>
      </w:pPr>
      <w:r w:rsidRPr="00BA1C00">
        <w:rPr>
          <w:rFonts w:ascii="David" w:hAnsi="David" w:cs="David"/>
          <w:rtl/>
        </w:rPr>
        <w:t>לשיטתם מערכת היחסים שבין הורה לילד מאופיינת בדימיון רב למערכת היחסים האמונאית:</w:t>
      </w:r>
    </w:p>
    <w:p w14:paraId="35A2E431" w14:textId="77777777" w:rsidR="00651D5E" w:rsidRDefault="00651D5E" w:rsidP="00651D5E">
      <w:pPr>
        <w:pStyle w:val="Default"/>
        <w:bidi/>
        <w:rPr>
          <w:rFonts w:hint="cs"/>
          <w:sz w:val="23"/>
          <w:szCs w:val="23"/>
          <w:rtl/>
        </w:rPr>
      </w:pPr>
    </w:p>
    <w:p w14:paraId="4518F5FB" w14:textId="77777777" w:rsidR="00651D5E" w:rsidRDefault="009657BA" w:rsidP="009657BA">
      <w:pPr>
        <w:pStyle w:val="Default"/>
        <w:spacing w:line="480" w:lineRule="auto"/>
        <w:jc w:val="both"/>
      </w:pPr>
      <w:r>
        <w:t>"</w:t>
      </w:r>
      <w:r w:rsidR="00651D5E" w:rsidRPr="009657BA">
        <w:t>Indeed, the parent-child relationship shares much in common with other fiduciary relationships, such as guardianships, trusts, and relationships between corporate directors and shareholders. Like other fiduciaries, parents are agents who hold asymmetric power and wield substantial discretionary authority in a relationship that aims to benefit the principal. And like other principals, children are vulnerable and not in a position to supervise or control parental performance. Here, as in other fiduciary contexts, the goal of legal regulation is to encourage the parent to serve the child’s interest, and to do so under conditions in which monitoring is difficult</w:t>
      </w:r>
      <w:r w:rsidR="00BD4103">
        <w:t>"</w:t>
      </w:r>
      <w:r w:rsidR="00651D5E" w:rsidRPr="009657BA">
        <w:t>.</w:t>
      </w:r>
      <w:r w:rsidR="00BD4103">
        <w:rPr>
          <w:rStyle w:val="FootnoteReference"/>
        </w:rPr>
        <w:footnoteReference w:id="82"/>
      </w:r>
      <w:r w:rsidRPr="009657BA">
        <w:t xml:space="preserve"> </w:t>
      </w:r>
    </w:p>
    <w:p w14:paraId="69A18848" w14:textId="0907E4BA" w:rsidR="005829DA" w:rsidRDefault="00B604A6" w:rsidP="00331729">
      <w:pPr>
        <w:pStyle w:val="Default"/>
        <w:bidi/>
        <w:spacing w:line="480" w:lineRule="auto"/>
        <w:jc w:val="both"/>
        <w:rPr>
          <w:rFonts w:ascii="David" w:hAnsi="David" w:cs="David"/>
          <w:rtl/>
        </w:rPr>
      </w:pPr>
      <w:r>
        <w:rPr>
          <w:rFonts w:ascii="David" w:hAnsi="David" w:cs="David" w:hint="cs"/>
          <w:rtl/>
        </w:rPr>
        <w:t xml:space="preserve">לצד </w:t>
      </w:r>
      <w:r w:rsidR="00C5207D" w:rsidRPr="00C5207D">
        <w:rPr>
          <w:rFonts w:ascii="David" w:hAnsi="David" w:cs="David"/>
          <w:rtl/>
        </w:rPr>
        <w:t>הזיהוי של ה</w:t>
      </w:r>
      <w:r w:rsidR="00935F4C">
        <w:rPr>
          <w:rFonts w:ascii="David" w:hAnsi="David" w:cs="David"/>
          <w:rtl/>
        </w:rPr>
        <w:t>זירה המשותפת</w:t>
      </w:r>
      <w:r w:rsidR="00935F4C">
        <w:rPr>
          <w:rFonts w:ascii="David" w:hAnsi="David" w:cs="David" w:hint="cs"/>
          <w:rtl/>
        </w:rPr>
        <w:t xml:space="preserve"> לכתיבה של סקוט ולמאמר זה </w:t>
      </w:r>
      <w:r w:rsidR="00935F4C">
        <w:rPr>
          <w:rFonts w:ascii="David" w:hAnsi="David" w:cs="David"/>
          <w:rtl/>
        </w:rPr>
        <w:t>–</w:t>
      </w:r>
      <w:r w:rsidR="00935F4C">
        <w:rPr>
          <w:rFonts w:ascii="David" w:hAnsi="David" w:cs="David" w:hint="cs"/>
          <w:rtl/>
        </w:rPr>
        <w:t xml:space="preserve"> </w:t>
      </w:r>
      <w:r w:rsidR="00935F4C">
        <w:rPr>
          <w:rFonts w:ascii="David" w:hAnsi="David" w:cs="David"/>
          <w:rtl/>
        </w:rPr>
        <w:t>הזירה המשפחתית</w:t>
      </w:r>
      <w:r w:rsidR="00935F4C">
        <w:rPr>
          <w:rFonts w:ascii="David" w:hAnsi="David" w:cs="David" w:hint="cs"/>
          <w:rtl/>
        </w:rPr>
        <w:t xml:space="preserve"> </w:t>
      </w:r>
      <w:r w:rsidR="00935F4C">
        <w:rPr>
          <w:rFonts w:ascii="David" w:hAnsi="David" w:cs="David"/>
          <w:rtl/>
        </w:rPr>
        <w:t>–</w:t>
      </w:r>
      <w:r w:rsidR="00935F4C">
        <w:rPr>
          <w:rFonts w:ascii="David" w:hAnsi="David" w:cs="David" w:hint="cs"/>
          <w:rtl/>
        </w:rPr>
        <w:t xml:space="preserve"> </w:t>
      </w:r>
      <w:r w:rsidR="00766DEB" w:rsidRPr="00C5207D">
        <w:rPr>
          <w:rFonts w:ascii="David" w:hAnsi="David" w:cs="David"/>
          <w:rtl/>
        </w:rPr>
        <w:t xml:space="preserve"> הקוראת כמו מאליה לתפיסה המגלמת אחריות הדדית בין בני משפחה</w:t>
      </w:r>
      <w:r w:rsidR="00C5207D" w:rsidRPr="00C5207D">
        <w:rPr>
          <w:rFonts w:ascii="David" w:hAnsi="David" w:cs="David"/>
          <w:rtl/>
        </w:rPr>
        <w:t xml:space="preserve"> </w:t>
      </w:r>
      <w:r w:rsidR="00935F4C">
        <w:rPr>
          <w:rFonts w:ascii="David" w:hAnsi="David" w:cs="David" w:hint="cs"/>
          <w:rtl/>
        </w:rPr>
        <w:t>ו</w:t>
      </w:r>
      <w:r w:rsidR="00C5207D" w:rsidRPr="00C5207D">
        <w:rPr>
          <w:rFonts w:ascii="David" w:hAnsi="David" w:cs="David"/>
          <w:rtl/>
        </w:rPr>
        <w:t>המשיקה לתפיסה האמונאית הבסיסית</w:t>
      </w:r>
      <w:r w:rsidR="00766DEB" w:rsidRPr="00C5207D">
        <w:rPr>
          <w:rFonts w:ascii="David" w:hAnsi="David" w:cs="David"/>
          <w:rtl/>
        </w:rPr>
        <w:t>, הרי שמערכת יחסי הורה חורג-הורה</w:t>
      </w:r>
      <w:r w:rsidR="003A632E">
        <w:rPr>
          <w:rFonts w:ascii="David" w:hAnsi="David" w:cs="David" w:hint="cs"/>
          <w:rtl/>
        </w:rPr>
        <w:t xml:space="preserve"> לא משמורן</w:t>
      </w:r>
      <w:r w:rsidR="00766DEB" w:rsidRPr="00C5207D">
        <w:rPr>
          <w:rFonts w:ascii="David" w:hAnsi="David" w:cs="David"/>
          <w:rtl/>
        </w:rPr>
        <w:t xml:space="preserve">, מחייבת </w:t>
      </w:r>
      <w:r w:rsidR="00935F4C">
        <w:rPr>
          <w:rFonts w:ascii="David" w:hAnsi="David" w:cs="David" w:hint="cs"/>
          <w:rtl/>
        </w:rPr>
        <w:t>אבחנה</w:t>
      </w:r>
      <w:r w:rsidR="00C5207D" w:rsidRPr="00C5207D">
        <w:rPr>
          <w:rFonts w:ascii="David" w:hAnsi="David" w:cs="David"/>
          <w:rtl/>
        </w:rPr>
        <w:t xml:space="preserve">. </w:t>
      </w:r>
      <w:r w:rsidR="005829DA">
        <w:rPr>
          <w:rFonts w:asciiTheme="majorBidi" w:hAnsiTheme="majorBidi" w:cs="David" w:hint="cs"/>
          <w:rtl/>
        </w:rPr>
        <w:t xml:space="preserve">שני הורים אלה </w:t>
      </w:r>
      <w:r w:rsidR="006A7E2F">
        <w:rPr>
          <w:rFonts w:asciiTheme="majorBidi" w:hAnsiTheme="majorBidi" w:cs="David" w:hint="cs"/>
          <w:rtl/>
        </w:rPr>
        <w:t xml:space="preserve">(ההורה </w:t>
      </w:r>
      <w:r w:rsidR="003A632E">
        <w:rPr>
          <w:rFonts w:asciiTheme="majorBidi" w:hAnsiTheme="majorBidi" w:cs="David" w:hint="cs"/>
          <w:rtl/>
        </w:rPr>
        <w:t>הלא משמורן</w:t>
      </w:r>
      <w:r w:rsidR="006A7E2F">
        <w:rPr>
          <w:rFonts w:asciiTheme="majorBidi" w:hAnsiTheme="majorBidi" w:cs="David" w:hint="cs"/>
          <w:rtl/>
        </w:rPr>
        <w:t xml:space="preserve"> וההורה החורג) </w:t>
      </w:r>
      <w:r w:rsidR="005829DA">
        <w:rPr>
          <w:rFonts w:asciiTheme="majorBidi" w:hAnsiTheme="majorBidi" w:cs="David" w:hint="cs"/>
          <w:rtl/>
        </w:rPr>
        <w:t>אינם שותפים לאותה יחידה משפחתית גרעינית, ואפשר כי הקשר הישיר ביניהם עקיף ומוגבל ביותר. במובן זה</w:t>
      </w:r>
      <w:r w:rsidR="005829DA" w:rsidRPr="00C5207D">
        <w:rPr>
          <w:rFonts w:ascii="David" w:hAnsi="David" w:cs="David"/>
          <w:rtl/>
        </w:rPr>
        <w:t xml:space="preserve"> </w:t>
      </w:r>
      <w:r w:rsidR="00C5207D" w:rsidRPr="00C5207D">
        <w:rPr>
          <w:rFonts w:ascii="David" w:hAnsi="David" w:cs="David"/>
          <w:rtl/>
        </w:rPr>
        <w:t>ראיית ההורה החורג וההורה</w:t>
      </w:r>
      <w:r w:rsidR="00BA1C00">
        <w:rPr>
          <w:rFonts w:ascii="David" w:hAnsi="David" w:cs="David" w:hint="cs"/>
          <w:rtl/>
        </w:rPr>
        <w:t xml:space="preserve"> הלא משמורן</w:t>
      </w:r>
      <w:r w:rsidR="00C5207D" w:rsidRPr="00C5207D">
        <w:rPr>
          <w:rFonts w:ascii="David" w:hAnsi="David" w:cs="David"/>
          <w:rtl/>
        </w:rPr>
        <w:t xml:space="preserve"> כבני אותה משפחה, אינה מובנת מאליה. ה</w:t>
      </w:r>
      <w:r w:rsidR="006A7E2F">
        <w:rPr>
          <w:rFonts w:ascii="David" w:hAnsi="David" w:cs="David"/>
          <w:rtl/>
        </w:rPr>
        <w:t xml:space="preserve">ם אינם נכנסים להגדרות המקובלות </w:t>
      </w:r>
      <w:r w:rsidR="00C5207D" w:rsidRPr="00C5207D">
        <w:rPr>
          <w:rFonts w:ascii="David" w:hAnsi="David" w:cs="David"/>
          <w:rtl/>
        </w:rPr>
        <w:t>המזהות קרובי משפחה</w:t>
      </w:r>
      <w:r w:rsidR="00302CF0">
        <w:rPr>
          <w:rFonts w:ascii="David" w:hAnsi="David" w:cs="David" w:hint="cs"/>
          <w:rtl/>
        </w:rPr>
        <w:t>,</w:t>
      </w:r>
      <w:r w:rsidR="00C5207D" w:rsidRPr="00C5207D">
        <w:rPr>
          <w:rFonts w:ascii="David" w:hAnsi="David" w:cs="David"/>
          <w:rtl/>
        </w:rPr>
        <w:t xml:space="preserve"> </w:t>
      </w:r>
      <w:r w:rsidR="00302CF0">
        <w:rPr>
          <w:rFonts w:ascii="David" w:hAnsi="David" w:cs="David" w:hint="cs"/>
          <w:rtl/>
        </w:rPr>
        <w:t xml:space="preserve">שכן </w:t>
      </w:r>
      <w:r w:rsidR="00535A1B">
        <w:rPr>
          <w:rFonts w:ascii="David" w:hAnsi="David" w:cs="David" w:hint="cs"/>
          <w:rtl/>
        </w:rPr>
        <w:t>אין ביניהם קשר דם או נישואים</w:t>
      </w:r>
      <w:r w:rsidR="004F35C0">
        <w:rPr>
          <w:rFonts w:ascii="David" w:hAnsi="David" w:cs="David" w:hint="cs"/>
          <w:rtl/>
        </w:rPr>
        <w:t xml:space="preserve"> ו</w:t>
      </w:r>
      <w:r w:rsidR="00935F4C">
        <w:rPr>
          <w:rFonts w:ascii="David" w:hAnsi="David" w:cs="David" w:hint="cs"/>
          <w:rtl/>
        </w:rPr>
        <w:t xml:space="preserve">הצפייה </w:t>
      </w:r>
      <w:r w:rsidR="002546D9">
        <w:rPr>
          <w:rFonts w:ascii="David" w:hAnsi="David" w:cs="David" w:hint="cs"/>
          <w:rtl/>
        </w:rPr>
        <w:t>למצוא</w:t>
      </w:r>
      <w:r w:rsidR="00935F4C">
        <w:rPr>
          <w:rFonts w:ascii="David" w:hAnsi="David" w:cs="David" w:hint="cs"/>
          <w:rtl/>
        </w:rPr>
        <w:t xml:space="preserve"> ביחסיהם </w:t>
      </w:r>
      <w:r w:rsidR="002546D9">
        <w:rPr>
          <w:rFonts w:ascii="David" w:hAnsi="David" w:cs="David" w:hint="cs"/>
          <w:rtl/>
        </w:rPr>
        <w:t>אכפתיות</w:t>
      </w:r>
      <w:r w:rsidR="00BA1C00">
        <w:rPr>
          <w:rFonts w:ascii="David" w:hAnsi="David" w:cs="David" w:hint="cs"/>
          <w:rtl/>
        </w:rPr>
        <w:t xml:space="preserve"> </w:t>
      </w:r>
      <w:r w:rsidR="00BA1C00">
        <w:rPr>
          <w:rFonts w:ascii="David" w:hAnsi="David" w:cs="David"/>
        </w:rPr>
        <w:t>care</w:t>
      </w:r>
      <w:r w:rsidR="004F35C0">
        <w:rPr>
          <w:rFonts w:ascii="David" w:hAnsi="David" w:cs="David" w:hint="cs"/>
          <w:rtl/>
        </w:rPr>
        <w:t>,</w:t>
      </w:r>
      <w:r w:rsidR="00935F4C">
        <w:rPr>
          <w:rFonts w:ascii="David" w:hAnsi="David" w:cs="David" w:hint="cs"/>
          <w:rtl/>
        </w:rPr>
        <w:t xml:space="preserve"> אינה מובנת מא</w:t>
      </w:r>
      <w:r w:rsidR="002546D9">
        <w:rPr>
          <w:rFonts w:ascii="David" w:hAnsi="David" w:cs="David" w:hint="cs"/>
          <w:rtl/>
        </w:rPr>
        <w:t>ליה. ואולם דווקא בשל ייחודם, ובש</w:t>
      </w:r>
      <w:r w:rsidR="00935F4C">
        <w:rPr>
          <w:rFonts w:ascii="David" w:hAnsi="David" w:cs="David" w:hint="cs"/>
          <w:rtl/>
        </w:rPr>
        <w:t xml:space="preserve">ל העובדה כי אינם "טבעיים" לזירה המשפחתית ולקנה מידה של אחריות ודאגה הדדית, הפניה לאמונאות חשובה. </w:t>
      </w:r>
      <w:r w:rsidR="005829DA">
        <w:rPr>
          <w:rFonts w:asciiTheme="majorBidi" w:hAnsiTheme="majorBidi" w:cs="David" w:hint="cs"/>
          <w:rtl/>
        </w:rPr>
        <w:t xml:space="preserve">הם ממלאים כל אחד "תפקיד" משמעותי בחיי הילד, </w:t>
      </w:r>
      <w:r w:rsidR="005829DA" w:rsidRPr="00025F7F">
        <w:rPr>
          <w:rFonts w:asciiTheme="majorBidi" w:hAnsiTheme="majorBidi" w:cs="David" w:hint="cs"/>
          <w:i/>
          <w:iCs/>
          <w:rtl/>
        </w:rPr>
        <w:t>אותו</w:t>
      </w:r>
      <w:r w:rsidR="005829DA">
        <w:rPr>
          <w:rFonts w:asciiTheme="majorBidi" w:hAnsiTheme="majorBidi" w:cs="David" w:hint="cs"/>
          <w:rtl/>
        </w:rPr>
        <w:t xml:space="preserve"> ילד. כל אחד מהם ממלא</w:t>
      </w:r>
      <w:r w:rsidR="004F35C0">
        <w:rPr>
          <w:rFonts w:asciiTheme="majorBidi" w:hAnsiTheme="majorBidi" w:cs="David" w:hint="cs"/>
          <w:rtl/>
        </w:rPr>
        <w:t>, לפחות באופן פוטנציאלי,</w:t>
      </w:r>
      <w:r w:rsidR="005829DA">
        <w:rPr>
          <w:rFonts w:asciiTheme="majorBidi" w:hAnsiTheme="majorBidi" w:cs="David" w:hint="cs"/>
          <w:rtl/>
        </w:rPr>
        <w:t xml:space="preserve"> תפקיד המגלם טיפול ואחריות כלפי הילד ולכל מערכת יחסים עצמאית</w:t>
      </w:r>
      <w:r w:rsidR="00302CF0">
        <w:rPr>
          <w:rFonts w:asciiTheme="majorBidi" w:hAnsiTheme="majorBidi" w:cs="David" w:hint="cs"/>
          <w:rtl/>
        </w:rPr>
        <w:t xml:space="preserve"> (הורה</w:t>
      </w:r>
      <w:r w:rsidR="003A632E">
        <w:rPr>
          <w:rFonts w:asciiTheme="majorBidi" w:hAnsiTheme="majorBidi" w:cs="David" w:hint="cs"/>
          <w:rtl/>
        </w:rPr>
        <w:t xml:space="preserve"> לא משמורן</w:t>
      </w:r>
      <w:r w:rsidR="00302CF0">
        <w:rPr>
          <w:rFonts w:asciiTheme="majorBidi" w:hAnsiTheme="majorBidi" w:cs="David" w:hint="cs"/>
          <w:rtl/>
        </w:rPr>
        <w:t>-ילד והורה חורג-ילד)</w:t>
      </w:r>
      <w:r w:rsidR="005829DA">
        <w:rPr>
          <w:rFonts w:asciiTheme="majorBidi" w:hAnsiTheme="majorBidi" w:cs="David" w:hint="cs"/>
          <w:rtl/>
        </w:rPr>
        <w:t xml:space="preserve"> ישנה השפעה עקיפה על האחרת.</w:t>
      </w:r>
      <w:r w:rsidR="003A632E">
        <w:rPr>
          <w:rFonts w:asciiTheme="majorBidi" w:hAnsiTheme="majorBidi" w:cs="David" w:hint="cs"/>
          <w:rtl/>
        </w:rPr>
        <w:t xml:space="preserve"> בנוסף, בחלק מן המקרים לפחות, ממלא ההורה החורג</w:t>
      </w:r>
      <w:r w:rsidR="00331729">
        <w:rPr>
          <w:rFonts w:asciiTheme="majorBidi" w:hAnsiTheme="majorBidi" w:cs="David" w:hint="cs"/>
          <w:rtl/>
        </w:rPr>
        <w:t xml:space="preserve"> תפקידים הוריים אותם הוא ממלא, בין היתר, עבור ההורה הלא משמורן עצמו.</w:t>
      </w:r>
      <w:r w:rsidR="003A632E">
        <w:rPr>
          <w:rFonts w:asciiTheme="majorBidi" w:hAnsiTheme="majorBidi" w:cs="David" w:hint="cs"/>
          <w:rtl/>
        </w:rPr>
        <w:t xml:space="preserve">  </w:t>
      </w:r>
    </w:p>
    <w:p w14:paraId="74F613C9" w14:textId="1FE8EB6C" w:rsidR="00E2113D" w:rsidRDefault="005829DA" w:rsidP="00331729">
      <w:pPr>
        <w:spacing w:line="480" w:lineRule="auto"/>
        <w:jc w:val="both"/>
        <w:rPr>
          <w:rFonts w:asciiTheme="majorBidi" w:hAnsiTheme="majorBidi" w:cs="David"/>
          <w:sz w:val="24"/>
          <w:szCs w:val="24"/>
          <w:rtl/>
        </w:rPr>
      </w:pPr>
      <w:r>
        <w:rPr>
          <w:rFonts w:asciiTheme="majorBidi" w:hAnsiTheme="majorBidi" w:cs="David" w:hint="cs"/>
          <w:sz w:val="24"/>
          <w:szCs w:val="24"/>
          <w:rtl/>
        </w:rPr>
        <w:t>בהמשגה רחבה יותר ותוך התאמה לתפיסה המזהה אמונאות עם קידום ערכים חברתיים</w:t>
      </w:r>
      <w:r w:rsidR="00F17335">
        <w:rPr>
          <w:rFonts w:asciiTheme="majorBidi" w:hAnsiTheme="majorBidi" w:cs="David" w:hint="cs"/>
          <w:sz w:val="24"/>
          <w:szCs w:val="24"/>
          <w:rtl/>
        </w:rPr>
        <w:t xml:space="preserve"> חשובים,</w:t>
      </w:r>
      <w:r w:rsidR="00F17335">
        <w:rPr>
          <w:rStyle w:val="FootnoteReference"/>
          <w:rFonts w:asciiTheme="majorBidi" w:hAnsiTheme="majorBidi" w:cs="David"/>
          <w:sz w:val="24"/>
          <w:szCs w:val="24"/>
          <w:rtl/>
        </w:rPr>
        <w:footnoteReference w:id="83"/>
      </w:r>
      <w:r>
        <w:rPr>
          <w:rFonts w:asciiTheme="majorBidi" w:hAnsiTheme="majorBidi" w:cs="David" w:hint="cs"/>
          <w:sz w:val="24"/>
          <w:szCs w:val="24"/>
          <w:rtl/>
        </w:rPr>
        <w:t xml:space="preserve"> הרי שלפנינו ערך רם מעלה </w:t>
      </w:r>
      <w:r>
        <w:rPr>
          <w:rFonts w:asciiTheme="majorBidi" w:hAnsiTheme="majorBidi" w:cs="David"/>
          <w:sz w:val="24"/>
          <w:szCs w:val="24"/>
          <w:rtl/>
        </w:rPr>
        <w:t>–</w:t>
      </w:r>
      <w:r>
        <w:rPr>
          <w:rFonts w:asciiTheme="majorBidi" w:hAnsiTheme="majorBidi" w:cs="David" w:hint="cs"/>
          <w:sz w:val="24"/>
          <w:szCs w:val="24"/>
          <w:rtl/>
        </w:rPr>
        <w:t xml:space="preserve"> שמירה על יחסי משפחה </w:t>
      </w:r>
      <w:r w:rsidR="00BD70CA">
        <w:rPr>
          <w:rFonts w:asciiTheme="majorBidi" w:hAnsiTheme="majorBidi" w:cs="David" w:hint="cs"/>
          <w:sz w:val="24"/>
          <w:szCs w:val="24"/>
          <w:rtl/>
        </w:rPr>
        <w:t>בכלל</w:t>
      </w:r>
      <w:r>
        <w:rPr>
          <w:rFonts w:asciiTheme="majorBidi" w:hAnsiTheme="majorBidi" w:cs="David" w:hint="cs"/>
          <w:sz w:val="24"/>
          <w:szCs w:val="24"/>
          <w:rtl/>
        </w:rPr>
        <w:t xml:space="preserve"> </w:t>
      </w:r>
      <w:r w:rsidR="00BD70CA">
        <w:rPr>
          <w:rFonts w:asciiTheme="majorBidi" w:hAnsiTheme="majorBidi" w:cs="David" w:hint="cs"/>
          <w:sz w:val="24"/>
          <w:szCs w:val="24"/>
          <w:rtl/>
        </w:rPr>
        <w:t>ו</w:t>
      </w:r>
      <w:r>
        <w:rPr>
          <w:rFonts w:asciiTheme="majorBidi" w:hAnsiTheme="majorBidi" w:cs="David" w:hint="cs"/>
          <w:sz w:val="24"/>
          <w:szCs w:val="24"/>
          <w:rtl/>
        </w:rPr>
        <w:t>על יחסי הורה-ילד</w:t>
      </w:r>
      <w:r w:rsidR="00BD70CA">
        <w:rPr>
          <w:rFonts w:asciiTheme="majorBidi" w:hAnsiTheme="majorBidi" w:cs="David" w:hint="cs"/>
          <w:sz w:val="24"/>
          <w:szCs w:val="24"/>
          <w:rtl/>
        </w:rPr>
        <w:t>, בפרט</w:t>
      </w:r>
      <w:r>
        <w:rPr>
          <w:rFonts w:asciiTheme="majorBidi" w:hAnsiTheme="majorBidi" w:cs="David" w:hint="cs"/>
          <w:sz w:val="24"/>
          <w:szCs w:val="24"/>
          <w:rtl/>
        </w:rPr>
        <w:t xml:space="preserve">. </w:t>
      </w:r>
      <w:r w:rsidR="003B0199">
        <w:rPr>
          <w:rFonts w:asciiTheme="majorBidi" w:hAnsiTheme="majorBidi" w:cs="David" w:hint="cs"/>
          <w:sz w:val="24"/>
          <w:szCs w:val="24"/>
          <w:rtl/>
        </w:rPr>
        <w:t>טיפוח יחסי הורה-ילד מחייב</w:t>
      </w:r>
      <w:r w:rsidR="00F17335">
        <w:rPr>
          <w:rFonts w:asciiTheme="majorBidi" w:hAnsiTheme="majorBidi" w:cs="David" w:hint="cs"/>
          <w:sz w:val="24"/>
          <w:szCs w:val="24"/>
          <w:rtl/>
        </w:rPr>
        <w:t xml:space="preserve"> את שמירת מעמדו של </w:t>
      </w:r>
      <w:r w:rsidR="002546D9">
        <w:rPr>
          <w:rFonts w:asciiTheme="majorBidi" w:hAnsiTheme="majorBidi" w:cs="David" w:hint="cs"/>
          <w:sz w:val="24"/>
          <w:szCs w:val="24"/>
          <w:rtl/>
        </w:rPr>
        <w:t xml:space="preserve">כל </w:t>
      </w:r>
      <w:r w:rsidR="00F17335">
        <w:rPr>
          <w:rFonts w:asciiTheme="majorBidi" w:hAnsiTheme="majorBidi" w:cs="David" w:hint="cs"/>
          <w:sz w:val="24"/>
          <w:szCs w:val="24"/>
          <w:rtl/>
        </w:rPr>
        <w:t xml:space="preserve">הורה בנפרד והגנה על האינטרסים שלו, בכל הנוגע ליחסיו עם ילדו, גם אם הוא </w:t>
      </w:r>
      <w:r>
        <w:rPr>
          <w:rFonts w:asciiTheme="majorBidi" w:hAnsiTheme="majorBidi" w:cs="David" w:hint="cs"/>
          <w:sz w:val="24"/>
          <w:szCs w:val="24"/>
          <w:rtl/>
        </w:rPr>
        <w:t xml:space="preserve">נוטל חלק קטן יותר </w:t>
      </w:r>
      <w:r w:rsidR="00331729">
        <w:rPr>
          <w:rFonts w:asciiTheme="majorBidi" w:hAnsiTheme="majorBidi" w:cs="David" w:hint="cs"/>
          <w:sz w:val="24"/>
          <w:szCs w:val="24"/>
          <w:rtl/>
        </w:rPr>
        <w:t xml:space="preserve">(כמו ההורה הלא משמורן) </w:t>
      </w:r>
      <w:r>
        <w:rPr>
          <w:rFonts w:asciiTheme="majorBidi" w:hAnsiTheme="majorBidi" w:cs="David" w:hint="cs"/>
          <w:sz w:val="24"/>
          <w:szCs w:val="24"/>
          <w:rtl/>
        </w:rPr>
        <w:t>בטיפול בילד.</w:t>
      </w:r>
      <w:r w:rsidR="00F17335">
        <w:rPr>
          <w:rFonts w:asciiTheme="majorBidi" w:hAnsiTheme="majorBidi" w:cs="David" w:hint="cs"/>
          <w:sz w:val="24"/>
          <w:szCs w:val="24"/>
          <w:rtl/>
        </w:rPr>
        <w:t xml:space="preserve"> </w:t>
      </w:r>
      <w:r w:rsidR="00D60DC8">
        <w:rPr>
          <w:rFonts w:asciiTheme="majorBidi" w:hAnsiTheme="majorBidi" w:cs="David" w:hint="cs"/>
          <w:sz w:val="24"/>
          <w:szCs w:val="24"/>
          <w:rtl/>
        </w:rPr>
        <w:t xml:space="preserve">גם הערך החברתי </w:t>
      </w:r>
      <w:r w:rsidR="00F17335">
        <w:rPr>
          <w:rFonts w:asciiTheme="majorBidi" w:hAnsiTheme="majorBidi" w:cs="David" w:hint="cs"/>
          <w:sz w:val="24"/>
          <w:szCs w:val="24"/>
          <w:rtl/>
        </w:rPr>
        <w:t xml:space="preserve">הרחב יותר, </w:t>
      </w:r>
      <w:r w:rsidR="00D60DC8">
        <w:rPr>
          <w:rFonts w:asciiTheme="majorBidi" w:hAnsiTheme="majorBidi" w:cs="David" w:hint="cs"/>
          <w:sz w:val="24"/>
          <w:szCs w:val="24"/>
          <w:rtl/>
        </w:rPr>
        <w:t>בדבר שיתוף פעולה ושמירה על אמון בס</w:t>
      </w:r>
      <w:r w:rsidR="00E2113D">
        <w:rPr>
          <w:rFonts w:asciiTheme="majorBidi" w:hAnsiTheme="majorBidi" w:cs="David" w:hint="cs"/>
          <w:sz w:val="24"/>
          <w:szCs w:val="24"/>
          <w:rtl/>
        </w:rPr>
        <w:t>יסי מתקיימים כאן, ואף ביתר שאת.</w:t>
      </w:r>
      <w:r w:rsidR="00F17335">
        <w:rPr>
          <w:rFonts w:asciiTheme="majorBidi" w:hAnsiTheme="majorBidi" w:cs="David" w:hint="cs"/>
          <w:sz w:val="24"/>
          <w:szCs w:val="24"/>
          <w:rtl/>
        </w:rPr>
        <w:t xml:space="preserve"> שהרי </w:t>
      </w:r>
      <w:r w:rsidR="00D069A2">
        <w:rPr>
          <w:rFonts w:asciiTheme="majorBidi" w:hAnsiTheme="majorBidi" w:cs="David" w:hint="cs"/>
          <w:sz w:val="24"/>
          <w:szCs w:val="24"/>
          <w:rtl/>
        </w:rPr>
        <w:t>זירה זאת אמורה, באידיאל, לגלם לכל הפחות תקשורת תקינה וכבוד הדדי</w:t>
      </w:r>
      <w:r w:rsidR="004F1424">
        <w:rPr>
          <w:rFonts w:asciiTheme="majorBidi" w:hAnsiTheme="majorBidi" w:cs="David" w:hint="cs"/>
          <w:sz w:val="24"/>
          <w:szCs w:val="24"/>
          <w:rtl/>
        </w:rPr>
        <w:t xml:space="preserve"> בין הצדדים לה</w:t>
      </w:r>
      <w:r w:rsidR="00D069A2">
        <w:rPr>
          <w:rFonts w:asciiTheme="majorBidi" w:hAnsiTheme="majorBidi" w:cs="David" w:hint="cs"/>
          <w:sz w:val="24"/>
          <w:szCs w:val="24"/>
          <w:rtl/>
        </w:rPr>
        <w:t xml:space="preserve">. אם לא באופן הנגזר מכבודם ההדדי של קרובים השייכים לאותה משפחה (גם </w:t>
      </w:r>
      <w:r w:rsidR="00E76A11">
        <w:rPr>
          <w:rFonts w:asciiTheme="majorBidi" w:hAnsiTheme="majorBidi" w:cs="David" w:hint="cs"/>
          <w:sz w:val="24"/>
          <w:szCs w:val="24"/>
          <w:rtl/>
        </w:rPr>
        <w:t xml:space="preserve">אם </w:t>
      </w:r>
      <w:r w:rsidR="00D069A2">
        <w:rPr>
          <w:rFonts w:asciiTheme="majorBidi" w:hAnsiTheme="majorBidi" w:cs="David" w:hint="cs"/>
          <w:sz w:val="24"/>
          <w:szCs w:val="24"/>
          <w:rtl/>
        </w:rPr>
        <w:t xml:space="preserve">היא משפחה דו גרעינית ומורחבת) הרי לפחות באופן אינסטרומנטאלי הנגזר מתפקידם כהורים, או מעין הורים, במשותף. </w:t>
      </w:r>
      <w:r w:rsidR="00E2113D">
        <w:rPr>
          <w:rFonts w:asciiTheme="majorBidi" w:hAnsiTheme="majorBidi" w:cs="David" w:hint="cs"/>
          <w:sz w:val="24"/>
          <w:szCs w:val="24"/>
          <w:rtl/>
        </w:rPr>
        <w:t xml:space="preserve">שיקול זה מתקשר לעמדה הרואה ביחסי אמונאות כיחסים מבוססי תפקיד </w:t>
      </w:r>
      <w:r w:rsidR="00E2113D">
        <w:rPr>
          <w:rFonts w:asciiTheme="majorBidi" w:hAnsiTheme="majorBidi" w:cs="David"/>
          <w:sz w:val="24"/>
          <w:szCs w:val="24"/>
          <w:rtl/>
        </w:rPr>
        <w:t>–</w:t>
      </w:r>
      <w:r w:rsidR="00E2113D">
        <w:rPr>
          <w:rFonts w:asciiTheme="majorBidi" w:hAnsiTheme="majorBidi" w:cs="David" w:hint="cs"/>
          <w:sz w:val="24"/>
          <w:szCs w:val="24"/>
          <w:rtl/>
        </w:rPr>
        <w:t xml:space="preserve"> </w:t>
      </w:r>
      <w:r w:rsidR="00E2113D">
        <w:rPr>
          <w:rFonts w:asciiTheme="majorBidi" w:hAnsiTheme="majorBidi" w:cs="David"/>
          <w:sz w:val="24"/>
          <w:szCs w:val="24"/>
        </w:rPr>
        <w:t>."fiduciary statuses are role based"</w:t>
      </w:r>
      <w:r w:rsidR="00E2113D">
        <w:rPr>
          <w:rStyle w:val="FootnoteReference"/>
          <w:rFonts w:asciiTheme="majorBidi" w:hAnsiTheme="majorBidi" w:cs="David"/>
          <w:sz w:val="24"/>
          <w:szCs w:val="24"/>
          <w:rtl/>
        </w:rPr>
        <w:footnoteReference w:id="84"/>
      </w:r>
      <w:r w:rsidR="00E2113D">
        <w:rPr>
          <w:rFonts w:asciiTheme="majorBidi" w:hAnsiTheme="majorBidi" w:cs="David" w:hint="cs"/>
          <w:sz w:val="24"/>
          <w:szCs w:val="24"/>
          <w:rtl/>
        </w:rPr>
        <w:t xml:space="preserve">  </w:t>
      </w:r>
    </w:p>
    <w:p w14:paraId="1F61F9DC" w14:textId="3ACC24CF" w:rsidR="00763F62" w:rsidRDefault="00D60DC8" w:rsidP="00BA1C00">
      <w:pPr>
        <w:spacing w:line="480" w:lineRule="auto"/>
        <w:jc w:val="both"/>
        <w:rPr>
          <w:rFonts w:asciiTheme="majorBidi" w:hAnsiTheme="majorBidi" w:cs="David"/>
          <w:sz w:val="24"/>
          <w:szCs w:val="24"/>
          <w:rtl/>
        </w:rPr>
      </w:pPr>
      <w:r w:rsidRPr="00E479C4">
        <w:rPr>
          <w:rFonts w:ascii="David" w:hAnsi="David" w:cs="David"/>
          <w:sz w:val="24"/>
          <w:szCs w:val="24"/>
          <w:rtl/>
        </w:rPr>
        <w:t xml:space="preserve">דוגמה </w:t>
      </w:r>
      <w:r w:rsidR="00BA1C00">
        <w:rPr>
          <w:rFonts w:ascii="David" w:hAnsi="David" w:cs="David" w:hint="cs"/>
          <w:sz w:val="24"/>
          <w:szCs w:val="24"/>
          <w:rtl/>
        </w:rPr>
        <w:t>אחרת</w:t>
      </w:r>
      <w:r w:rsidRPr="00E479C4">
        <w:rPr>
          <w:rFonts w:ascii="David" w:hAnsi="David" w:cs="David"/>
          <w:sz w:val="24"/>
          <w:szCs w:val="24"/>
          <w:rtl/>
        </w:rPr>
        <w:t xml:space="preserve"> ליחסי</w:t>
      </w:r>
      <w:r w:rsidR="00C50D6F" w:rsidRPr="00E479C4">
        <w:rPr>
          <w:rFonts w:ascii="David" w:hAnsi="David" w:cs="David"/>
          <w:sz w:val="24"/>
          <w:szCs w:val="24"/>
          <w:rtl/>
        </w:rPr>
        <w:t xml:space="preserve"> אמונאות החורגים מן ההקשר המסחרי-פרופסיונאלי הרגיל,</w:t>
      </w:r>
      <w:r w:rsidRPr="00E479C4">
        <w:rPr>
          <w:rFonts w:ascii="David" w:hAnsi="David" w:cs="David"/>
          <w:sz w:val="24"/>
          <w:szCs w:val="24"/>
          <w:rtl/>
        </w:rPr>
        <w:t xml:space="preserve"> מוצעת על ידי </w:t>
      </w:r>
      <w:r w:rsidRPr="00E479C4">
        <w:rPr>
          <w:rFonts w:ascii="David" w:hAnsi="David" w:cs="David"/>
          <w:sz w:val="24"/>
          <w:szCs w:val="24"/>
        </w:rPr>
        <w:t>Ethan J. Leib</w:t>
      </w:r>
      <w:r w:rsidRPr="00E479C4">
        <w:rPr>
          <w:rFonts w:ascii="David" w:hAnsi="David" w:cs="David"/>
          <w:sz w:val="24"/>
          <w:szCs w:val="24"/>
          <w:rtl/>
        </w:rPr>
        <w:t>.</w:t>
      </w:r>
      <w:r w:rsidR="00C50D6F" w:rsidRPr="00E479C4">
        <w:rPr>
          <w:rFonts w:ascii="David" w:hAnsi="David" w:cs="David"/>
          <w:sz w:val="24"/>
          <w:szCs w:val="24"/>
        </w:rPr>
        <w:t xml:space="preserve"> </w:t>
      </w:r>
      <w:r w:rsidR="00C50D6F" w:rsidRPr="00E479C4">
        <w:rPr>
          <w:rStyle w:val="FootnoteReference"/>
          <w:rFonts w:ascii="David" w:hAnsi="David" w:cs="David"/>
          <w:sz w:val="24"/>
          <w:szCs w:val="24"/>
          <w:rtl/>
        </w:rPr>
        <w:footnoteReference w:id="85"/>
      </w:r>
      <w:r w:rsidRPr="00E479C4">
        <w:rPr>
          <w:rFonts w:ascii="David" w:hAnsi="David" w:cs="David"/>
          <w:sz w:val="24"/>
          <w:szCs w:val="24"/>
          <w:rtl/>
        </w:rPr>
        <w:t xml:space="preserve"> לשיטתו ניתן וצריך לחשוב על </w:t>
      </w:r>
      <w:r w:rsidRPr="007F5953">
        <w:rPr>
          <w:rFonts w:ascii="David" w:hAnsi="David" w:cs="David"/>
          <w:b/>
          <w:bCs/>
          <w:sz w:val="24"/>
          <w:szCs w:val="24"/>
          <w:rtl/>
        </w:rPr>
        <w:t>חברים כאמונאים</w:t>
      </w:r>
      <w:r w:rsidRPr="00E479C4">
        <w:rPr>
          <w:rFonts w:ascii="David" w:hAnsi="David" w:cs="David"/>
          <w:sz w:val="24"/>
          <w:szCs w:val="24"/>
          <w:rtl/>
        </w:rPr>
        <w:t xml:space="preserve">. דוגמה זאת מאירת עיניים שכן היא </w:t>
      </w:r>
      <w:r w:rsidR="001A271D">
        <w:rPr>
          <w:rFonts w:ascii="David" w:hAnsi="David" w:cs="David" w:hint="cs"/>
          <w:sz w:val="24"/>
          <w:szCs w:val="24"/>
          <w:rtl/>
        </w:rPr>
        <w:t>מעשירה</w:t>
      </w:r>
      <w:r w:rsidRPr="00E479C4">
        <w:rPr>
          <w:rFonts w:ascii="David" w:hAnsi="David" w:cs="David"/>
          <w:sz w:val="24"/>
          <w:szCs w:val="24"/>
          <w:rtl/>
        </w:rPr>
        <w:t xml:space="preserve"> את ההצעה העומדת בלב מאמר זה אך גם מ</w:t>
      </w:r>
      <w:r w:rsidR="001A271D">
        <w:rPr>
          <w:rFonts w:ascii="David" w:hAnsi="David" w:cs="David" w:hint="cs"/>
          <w:sz w:val="24"/>
          <w:szCs w:val="24"/>
          <w:rtl/>
        </w:rPr>
        <w:t xml:space="preserve">אתגרת </w:t>
      </w:r>
      <w:r w:rsidRPr="00E479C4">
        <w:rPr>
          <w:rFonts w:ascii="David" w:hAnsi="David" w:cs="David"/>
          <w:sz w:val="24"/>
          <w:szCs w:val="24"/>
          <w:rtl/>
        </w:rPr>
        <w:t>אותה. בשונה מחברים, אשר יחסיהם מושתתים באופן מוחלט על בחירה חופשית ומגלמים יחסי</w:t>
      </w:r>
      <w:r w:rsidR="00BD70CA" w:rsidRPr="00E479C4">
        <w:rPr>
          <w:rFonts w:ascii="David" w:hAnsi="David" w:cs="David"/>
          <w:sz w:val="24"/>
          <w:szCs w:val="24"/>
          <w:rtl/>
        </w:rPr>
        <w:t xml:space="preserve">ם קרובים של </w:t>
      </w:r>
      <w:r w:rsidR="004F1424">
        <w:rPr>
          <w:rFonts w:ascii="David" w:hAnsi="David" w:cs="David" w:hint="cs"/>
          <w:sz w:val="24"/>
          <w:szCs w:val="24"/>
          <w:rtl/>
        </w:rPr>
        <w:t>חיבה/אהבה</w:t>
      </w:r>
      <w:r w:rsidR="00D40E5C" w:rsidRPr="00E479C4">
        <w:rPr>
          <w:rFonts w:ascii="David" w:hAnsi="David" w:cs="David"/>
          <w:sz w:val="24"/>
          <w:szCs w:val="24"/>
          <w:rtl/>
        </w:rPr>
        <w:t>,</w:t>
      </w:r>
      <w:r w:rsidR="00273E91">
        <w:rPr>
          <w:rFonts w:ascii="David" w:hAnsi="David" w:cs="David" w:hint="cs"/>
          <w:sz w:val="24"/>
          <w:szCs w:val="24"/>
          <w:rtl/>
        </w:rPr>
        <w:t xml:space="preserve"> הרי ש</w:t>
      </w:r>
      <w:r w:rsidRPr="00E479C4">
        <w:rPr>
          <w:rFonts w:ascii="David" w:hAnsi="David" w:cs="David"/>
          <w:sz w:val="24"/>
          <w:szCs w:val="24"/>
          <w:rtl/>
        </w:rPr>
        <w:t>יחסי הורה חורג-הורה, אינם וולונטריים וקרוב לוודאי שאינם מושתתים על אדני האהבה. בהקשר שלנו אין קירבה ו</w:t>
      </w:r>
      <w:r w:rsidR="00BD70CA" w:rsidRPr="00E479C4">
        <w:rPr>
          <w:rFonts w:ascii="David" w:hAnsi="David" w:cs="David"/>
          <w:sz w:val="24"/>
          <w:szCs w:val="24"/>
          <w:rtl/>
        </w:rPr>
        <w:t xml:space="preserve">יתכן שאף </w:t>
      </w:r>
      <w:r w:rsidRPr="00E479C4">
        <w:rPr>
          <w:rFonts w:ascii="David" w:hAnsi="David" w:cs="David"/>
          <w:sz w:val="24"/>
          <w:szCs w:val="24"/>
          <w:rtl/>
        </w:rPr>
        <w:t xml:space="preserve">אין אמון. אולי אפילו להפך. </w:t>
      </w:r>
      <w:r w:rsidR="00D40E5C" w:rsidRPr="00E479C4">
        <w:rPr>
          <w:rFonts w:ascii="David" w:hAnsi="David" w:cs="David"/>
          <w:sz w:val="24"/>
          <w:szCs w:val="24"/>
          <w:rtl/>
        </w:rPr>
        <w:t>ייחודם של יחסי הורה חורג-הורה</w:t>
      </w:r>
      <w:r w:rsidR="00BA1C00">
        <w:rPr>
          <w:rFonts w:ascii="David" w:hAnsi="David" w:cs="David" w:hint="cs"/>
          <w:sz w:val="24"/>
          <w:szCs w:val="24"/>
          <w:rtl/>
        </w:rPr>
        <w:t xml:space="preserve"> לא משמורן</w:t>
      </w:r>
      <w:r w:rsidR="00D40E5C" w:rsidRPr="00E479C4">
        <w:rPr>
          <w:rFonts w:ascii="David" w:hAnsi="David" w:cs="David"/>
          <w:sz w:val="24"/>
          <w:szCs w:val="24"/>
          <w:rtl/>
        </w:rPr>
        <w:t xml:space="preserve"> במסגרת הזירה המשפחתית מתאפיין, כפי שהוסבר </w:t>
      </w:r>
      <w:r w:rsidR="00BC2E7B">
        <w:rPr>
          <w:rFonts w:ascii="David" w:hAnsi="David" w:cs="David" w:hint="cs"/>
          <w:sz w:val="24"/>
          <w:szCs w:val="24"/>
          <w:rtl/>
        </w:rPr>
        <w:t>לעיל</w:t>
      </w:r>
      <w:r w:rsidR="00D40E5C" w:rsidRPr="00E479C4">
        <w:rPr>
          <w:rFonts w:ascii="David" w:hAnsi="David" w:cs="David"/>
          <w:sz w:val="24"/>
          <w:szCs w:val="24"/>
          <w:rtl/>
        </w:rPr>
        <w:t>,</w:t>
      </w:r>
      <w:r w:rsidR="00BC2E7B">
        <w:rPr>
          <w:rStyle w:val="FootnoteReference"/>
          <w:rFonts w:ascii="David" w:hAnsi="David" w:cs="David"/>
          <w:sz w:val="24"/>
          <w:szCs w:val="24"/>
          <w:rtl/>
        </w:rPr>
        <w:footnoteReference w:id="86"/>
      </w:r>
      <w:r w:rsidR="00D40E5C" w:rsidRPr="00E479C4">
        <w:rPr>
          <w:rFonts w:ascii="David" w:hAnsi="David" w:cs="David"/>
          <w:sz w:val="24"/>
          <w:szCs w:val="24"/>
          <w:rtl/>
        </w:rPr>
        <w:t xml:space="preserve"> ביחס כפוי. יחסי הצדדים אינם מושתתים על הסכמה ורצון הדדי וזאת בשונה ממערכות אמונאיות אחרות, כמו בין מנהל בחברה ובעל מניות או בין איש המקצוע למקבל השירות (רופא- מטופל, עורך דין לקוח) ובוודאי בין חברים קרובים. כאן לפחות אחד הצדדים (ההורה</w:t>
      </w:r>
      <w:r w:rsidR="001A271D">
        <w:rPr>
          <w:rFonts w:ascii="David" w:hAnsi="David" w:cs="David" w:hint="cs"/>
          <w:sz w:val="24"/>
          <w:szCs w:val="24"/>
          <w:rtl/>
        </w:rPr>
        <w:t xml:space="preserve"> הלא משמורן</w:t>
      </w:r>
      <w:r w:rsidR="00D40E5C" w:rsidRPr="00E479C4">
        <w:rPr>
          <w:rFonts w:ascii="David" w:hAnsi="David" w:cs="David"/>
          <w:sz w:val="24"/>
          <w:szCs w:val="24"/>
          <w:rtl/>
        </w:rPr>
        <w:t>) נכפה למציאות האמורה במעשיו של השני (</w:t>
      </w:r>
      <w:r w:rsidR="00BC2E7B">
        <w:rPr>
          <w:rFonts w:ascii="David" w:hAnsi="David" w:cs="David" w:hint="cs"/>
          <w:sz w:val="24"/>
          <w:szCs w:val="24"/>
          <w:rtl/>
        </w:rPr>
        <w:t xml:space="preserve">יחסיהם הזוגיים של </w:t>
      </w:r>
      <w:r w:rsidR="00D40E5C" w:rsidRPr="00E479C4">
        <w:rPr>
          <w:rFonts w:ascii="David" w:hAnsi="David" w:cs="David"/>
          <w:sz w:val="24"/>
          <w:szCs w:val="24"/>
          <w:rtl/>
        </w:rPr>
        <w:t>ההורה החורג</w:t>
      </w:r>
      <w:r w:rsidR="00BC2E7B">
        <w:rPr>
          <w:rFonts w:ascii="David" w:hAnsi="David" w:cs="David" w:hint="cs"/>
          <w:sz w:val="24"/>
          <w:szCs w:val="24"/>
          <w:rtl/>
        </w:rPr>
        <w:t xml:space="preserve"> ו</w:t>
      </w:r>
      <w:r w:rsidR="00C50D6F" w:rsidRPr="00E479C4">
        <w:rPr>
          <w:rFonts w:ascii="David" w:hAnsi="David" w:cs="David"/>
          <w:sz w:val="24"/>
          <w:szCs w:val="24"/>
          <w:rtl/>
        </w:rPr>
        <w:t>הורה ה</w:t>
      </w:r>
      <w:r w:rsidR="00BC2E7B">
        <w:rPr>
          <w:rFonts w:ascii="David" w:hAnsi="David" w:cs="David" w:hint="cs"/>
          <w:sz w:val="24"/>
          <w:szCs w:val="24"/>
          <w:rtl/>
        </w:rPr>
        <w:t>משמורן)</w:t>
      </w:r>
      <w:r w:rsidR="00D40E5C" w:rsidRPr="00E479C4">
        <w:rPr>
          <w:rFonts w:ascii="David" w:hAnsi="David" w:cs="David"/>
          <w:sz w:val="24"/>
          <w:szCs w:val="24"/>
          <w:rtl/>
        </w:rPr>
        <w:t xml:space="preserve">. למעשה, אפשר להניח כי גם ההורה החורג "לא בחר" בהורה </w:t>
      </w:r>
      <w:r w:rsidR="001A271D">
        <w:rPr>
          <w:rFonts w:ascii="David" w:hAnsi="David" w:cs="David" w:hint="cs"/>
          <w:sz w:val="24"/>
          <w:szCs w:val="24"/>
          <w:rtl/>
        </w:rPr>
        <w:t xml:space="preserve">הלא משמורן </w:t>
      </w:r>
      <w:r w:rsidR="00D40E5C" w:rsidRPr="00E479C4">
        <w:rPr>
          <w:rFonts w:ascii="David" w:hAnsi="David" w:cs="David"/>
          <w:sz w:val="24"/>
          <w:szCs w:val="24"/>
          <w:rtl/>
        </w:rPr>
        <w:t xml:space="preserve">והוא רק "סרח עודף" ליחסיו </w:t>
      </w:r>
      <w:r w:rsidR="00E31406">
        <w:rPr>
          <w:rFonts w:ascii="David" w:hAnsi="David" w:cs="David" w:hint="cs"/>
          <w:sz w:val="24"/>
          <w:szCs w:val="24"/>
          <w:rtl/>
        </w:rPr>
        <w:t>(</w:t>
      </w:r>
      <w:r w:rsidR="00D40E5C" w:rsidRPr="00E479C4">
        <w:rPr>
          <w:rFonts w:ascii="David" w:hAnsi="David" w:cs="David"/>
          <w:sz w:val="24"/>
          <w:szCs w:val="24"/>
          <w:rtl/>
        </w:rPr>
        <w:t>הרצויים</w:t>
      </w:r>
      <w:r w:rsidR="00E31406">
        <w:rPr>
          <w:rFonts w:ascii="David" w:hAnsi="David" w:cs="David" w:hint="cs"/>
          <w:sz w:val="24"/>
          <w:szCs w:val="24"/>
          <w:rtl/>
        </w:rPr>
        <w:t xml:space="preserve"> כשלעצמם)</w:t>
      </w:r>
      <w:r w:rsidR="00D40E5C" w:rsidRPr="00E479C4">
        <w:rPr>
          <w:rFonts w:ascii="David" w:hAnsi="David" w:cs="David"/>
          <w:sz w:val="24"/>
          <w:szCs w:val="24"/>
          <w:rtl/>
        </w:rPr>
        <w:t xml:space="preserve"> עם ההורה </w:t>
      </w:r>
      <w:r w:rsidR="00BC2E7B">
        <w:rPr>
          <w:rFonts w:ascii="David" w:hAnsi="David" w:cs="David" w:hint="cs"/>
          <w:sz w:val="24"/>
          <w:szCs w:val="24"/>
          <w:rtl/>
        </w:rPr>
        <w:t>המשמורן</w:t>
      </w:r>
      <w:r w:rsidR="005F10F1">
        <w:rPr>
          <w:rFonts w:ascii="David" w:hAnsi="David" w:cs="David" w:hint="cs"/>
          <w:sz w:val="24"/>
          <w:szCs w:val="24"/>
          <w:rtl/>
        </w:rPr>
        <w:t>, זאת על אף שבחר להתקשר עם בת זוגו מתוך ידיעה על קיומו של הילד וה</w:t>
      </w:r>
      <w:r w:rsidR="008C5E73">
        <w:rPr>
          <w:rFonts w:ascii="David" w:hAnsi="David" w:cs="David" w:hint="cs"/>
          <w:sz w:val="24"/>
          <w:szCs w:val="24"/>
          <w:rtl/>
        </w:rPr>
        <w:t>ורהו</w:t>
      </w:r>
      <w:r w:rsidR="00D40E5C" w:rsidRPr="00E479C4">
        <w:rPr>
          <w:rFonts w:ascii="David" w:hAnsi="David" w:cs="David"/>
          <w:sz w:val="24"/>
          <w:szCs w:val="24"/>
          <w:rtl/>
        </w:rPr>
        <w:t xml:space="preserve">. דווקא מאפייניו של הקשר המשפחתי הייחודי האמור, קשר שאין בו באופן </w:t>
      </w:r>
      <w:r w:rsidR="00B8647A">
        <w:rPr>
          <w:rFonts w:ascii="David" w:hAnsi="David" w:cs="David" w:hint="cs"/>
          <w:sz w:val="24"/>
          <w:szCs w:val="24"/>
          <w:rtl/>
        </w:rPr>
        <w:t>אינהרנטי</w:t>
      </w:r>
      <w:r w:rsidR="00D40E5C" w:rsidRPr="00E479C4">
        <w:rPr>
          <w:rFonts w:ascii="David" w:hAnsi="David" w:cs="David"/>
          <w:sz w:val="24"/>
          <w:szCs w:val="24"/>
          <w:rtl/>
        </w:rPr>
        <w:t xml:space="preserve"> חיבה, או </w:t>
      </w:r>
      <w:r w:rsidR="00DF4653">
        <w:rPr>
          <w:rFonts w:ascii="David" w:hAnsi="David" w:cs="David" w:hint="cs"/>
          <w:sz w:val="24"/>
          <w:szCs w:val="24"/>
          <w:rtl/>
        </w:rPr>
        <w:t>ערבות</w:t>
      </w:r>
      <w:r w:rsidR="00D40E5C" w:rsidRPr="00E479C4">
        <w:rPr>
          <w:rFonts w:ascii="David" w:hAnsi="David" w:cs="David"/>
          <w:sz w:val="24"/>
          <w:szCs w:val="24"/>
          <w:rtl/>
        </w:rPr>
        <w:t xml:space="preserve"> הדדית, קשר שלעיתים מזומנות אינו רצוי כלל, קורא להחלת האמונאות. למעשה, הצורך ב</w:t>
      </w:r>
      <w:r w:rsidR="00A83810">
        <w:rPr>
          <w:rFonts w:ascii="David" w:hAnsi="David" w:cs="David" w:hint="cs"/>
          <w:sz w:val="24"/>
          <w:szCs w:val="24"/>
          <w:rtl/>
        </w:rPr>
        <w:t xml:space="preserve">אמונאות </w:t>
      </w:r>
      <w:r w:rsidR="00D40E5C" w:rsidRPr="00E479C4">
        <w:rPr>
          <w:rFonts w:ascii="David" w:hAnsi="David" w:cs="David"/>
          <w:sz w:val="24"/>
          <w:szCs w:val="24"/>
          <w:rtl/>
        </w:rPr>
        <w:t xml:space="preserve">פה משמעותי יותר כי הקשר אינו מתמלא באופן "טבעי", כמו שקורה לרוב בין הורה-לילד או בין בני זוג </w:t>
      </w:r>
      <w:r w:rsidR="008B0196">
        <w:rPr>
          <w:rFonts w:ascii="David" w:hAnsi="David" w:cs="David"/>
          <w:sz w:val="24"/>
          <w:szCs w:val="24"/>
          <w:rtl/>
        </w:rPr>
        <w:t>(לפחות כאשר האהבה שורה ביניהם)</w:t>
      </w:r>
      <w:r w:rsidR="00D40E5C" w:rsidRPr="00E479C4">
        <w:rPr>
          <w:rFonts w:ascii="David" w:hAnsi="David" w:cs="David"/>
          <w:sz w:val="24"/>
          <w:szCs w:val="24"/>
          <w:rtl/>
        </w:rPr>
        <w:t xml:space="preserve"> בטיפוליות ודאגה. הילד, העומד בתווך שבין ההורה</w:t>
      </w:r>
      <w:r w:rsidR="001A271D">
        <w:rPr>
          <w:rFonts w:ascii="David" w:hAnsi="David" w:cs="David" w:hint="cs"/>
          <w:sz w:val="24"/>
          <w:szCs w:val="24"/>
          <w:rtl/>
        </w:rPr>
        <w:t xml:space="preserve"> הלא משמורן</w:t>
      </w:r>
      <w:r w:rsidR="00D40E5C" w:rsidRPr="00E479C4">
        <w:rPr>
          <w:rFonts w:ascii="David" w:hAnsi="David" w:cs="David"/>
          <w:sz w:val="24"/>
          <w:szCs w:val="24"/>
          <w:rtl/>
        </w:rPr>
        <w:t xml:space="preserve"> להורה החורג, הוא שיוצר את הקשר המשפחתי הייחודי בין שני אלה והוא זה שמבסס את המניע להפעלת מודל האמונאות במובן המשפחתי. כאן הנורמה נועדה לכפות באופן חיצוני/מלאכותי את האמון. לאפשר אותו. </w:t>
      </w:r>
      <w:r w:rsidR="00C17CAE" w:rsidRPr="00E479C4">
        <w:rPr>
          <w:rFonts w:ascii="David" w:hAnsi="David" w:cs="David"/>
          <w:sz w:val="24"/>
          <w:szCs w:val="24"/>
          <w:rtl/>
        </w:rPr>
        <w:t xml:space="preserve">ליצור אותו. </w:t>
      </w:r>
      <w:r w:rsidR="00D40E5C" w:rsidRPr="00E479C4">
        <w:rPr>
          <w:rFonts w:ascii="David" w:hAnsi="David" w:cs="David"/>
          <w:sz w:val="24"/>
          <w:szCs w:val="24"/>
          <w:rtl/>
        </w:rPr>
        <w:t xml:space="preserve">החברים, שלייב </w:t>
      </w:r>
      <w:r w:rsidR="00C17CAE">
        <w:rPr>
          <w:rFonts w:ascii="David" w:hAnsi="David" w:cs="David" w:hint="cs"/>
          <w:sz w:val="24"/>
          <w:szCs w:val="24"/>
          <w:rtl/>
        </w:rPr>
        <w:t>מדגיש</w:t>
      </w:r>
      <w:r w:rsidR="00D40E5C" w:rsidRPr="00E479C4">
        <w:rPr>
          <w:rFonts w:ascii="David" w:hAnsi="David" w:cs="David"/>
          <w:sz w:val="24"/>
          <w:szCs w:val="24"/>
          <w:rtl/>
        </w:rPr>
        <w:t xml:space="preserve"> את האמון הקיים בניהם</w:t>
      </w:r>
      <w:r w:rsidR="00C17CAE">
        <w:rPr>
          <w:rFonts w:ascii="David" w:hAnsi="David" w:cs="David" w:hint="cs"/>
          <w:sz w:val="24"/>
          <w:szCs w:val="24"/>
          <w:rtl/>
        </w:rPr>
        <w:t>,</w:t>
      </w:r>
      <w:r w:rsidR="00D40E5C" w:rsidRPr="00E479C4">
        <w:rPr>
          <w:rStyle w:val="FootnoteReference"/>
          <w:rFonts w:ascii="David" w:hAnsi="David" w:cs="David"/>
          <w:sz w:val="24"/>
          <w:szCs w:val="24"/>
          <w:rtl/>
        </w:rPr>
        <w:footnoteReference w:id="87"/>
      </w:r>
      <w:r w:rsidRPr="00E479C4">
        <w:rPr>
          <w:rFonts w:ascii="David" w:hAnsi="David" w:cs="David"/>
          <w:sz w:val="24"/>
          <w:szCs w:val="24"/>
          <w:rtl/>
        </w:rPr>
        <w:t xml:space="preserve"> </w:t>
      </w:r>
      <w:r w:rsidR="00C50D6F" w:rsidRPr="00E479C4">
        <w:rPr>
          <w:rFonts w:ascii="David" w:hAnsi="David" w:cs="David"/>
          <w:sz w:val="24"/>
          <w:szCs w:val="24"/>
          <w:rtl/>
        </w:rPr>
        <w:t>לרוב לא יזדקקו לדיני אמ</w:t>
      </w:r>
      <w:r w:rsidRPr="00E479C4">
        <w:rPr>
          <w:rFonts w:ascii="David" w:hAnsi="David" w:cs="David"/>
          <w:sz w:val="24"/>
          <w:szCs w:val="24"/>
          <w:rtl/>
        </w:rPr>
        <w:t>ו</w:t>
      </w:r>
      <w:r w:rsidR="00C50D6F" w:rsidRPr="00E479C4">
        <w:rPr>
          <w:rFonts w:ascii="David" w:hAnsi="David" w:cs="David"/>
          <w:sz w:val="24"/>
          <w:szCs w:val="24"/>
          <w:rtl/>
        </w:rPr>
        <w:t>נאו</w:t>
      </w:r>
      <w:r w:rsidRPr="00E479C4">
        <w:rPr>
          <w:rFonts w:ascii="David" w:hAnsi="David" w:cs="David"/>
          <w:sz w:val="24"/>
          <w:szCs w:val="24"/>
          <w:rtl/>
        </w:rPr>
        <w:t>ת</w:t>
      </w:r>
      <w:r w:rsidR="00C50D6F" w:rsidRPr="00E479C4">
        <w:rPr>
          <w:rFonts w:ascii="David" w:hAnsi="David" w:cs="David"/>
          <w:sz w:val="24"/>
          <w:szCs w:val="24"/>
          <w:rtl/>
        </w:rPr>
        <w:t xml:space="preserve"> כי היא מאפיינת את יחסי</w:t>
      </w:r>
      <w:r w:rsidR="00A83810">
        <w:rPr>
          <w:rFonts w:ascii="David" w:hAnsi="David" w:cs="David" w:hint="cs"/>
          <w:sz w:val="24"/>
          <w:szCs w:val="24"/>
          <w:rtl/>
        </w:rPr>
        <w:t>ה</w:t>
      </w:r>
      <w:r w:rsidR="00C50D6F" w:rsidRPr="00E479C4">
        <w:rPr>
          <w:rFonts w:ascii="David" w:hAnsi="David" w:cs="David"/>
          <w:sz w:val="24"/>
          <w:szCs w:val="24"/>
          <w:rtl/>
        </w:rPr>
        <w:t>ם ממילא</w:t>
      </w:r>
      <w:r w:rsidRPr="00E479C4">
        <w:rPr>
          <w:rFonts w:ascii="David" w:hAnsi="David" w:cs="David"/>
          <w:sz w:val="24"/>
          <w:szCs w:val="24"/>
          <w:rtl/>
        </w:rPr>
        <w:t xml:space="preserve">. </w:t>
      </w:r>
      <w:r w:rsidR="00C50D6F" w:rsidRPr="00E479C4">
        <w:rPr>
          <w:rFonts w:ascii="David" w:hAnsi="David" w:cs="David"/>
          <w:sz w:val="24"/>
          <w:szCs w:val="24"/>
          <w:rtl/>
        </w:rPr>
        <w:t>בעוד שכאן, בדומה ל</w:t>
      </w:r>
      <w:r w:rsidRPr="00E479C4">
        <w:rPr>
          <w:rFonts w:ascii="David" w:hAnsi="David" w:cs="David"/>
          <w:sz w:val="24"/>
          <w:szCs w:val="24"/>
          <w:rtl/>
        </w:rPr>
        <w:t>רוב מערכות היחסים הטיפוסיות לאמונאות</w:t>
      </w:r>
      <w:r w:rsidR="00C17CAE">
        <w:rPr>
          <w:rFonts w:ascii="David" w:hAnsi="David" w:cs="David" w:hint="cs"/>
          <w:sz w:val="24"/>
          <w:szCs w:val="24"/>
          <w:rtl/>
        </w:rPr>
        <w:t>,</w:t>
      </w:r>
      <w:r w:rsidRPr="00E479C4">
        <w:rPr>
          <w:rFonts w:ascii="David" w:hAnsi="David" w:cs="David"/>
          <w:sz w:val="24"/>
          <w:szCs w:val="24"/>
          <w:rtl/>
        </w:rPr>
        <w:t xml:space="preserve"> התכלית היא השגת אמ</w:t>
      </w:r>
      <w:r w:rsidR="00D40E5C" w:rsidRPr="00E479C4">
        <w:rPr>
          <w:rFonts w:ascii="David" w:hAnsi="David" w:cs="David"/>
          <w:sz w:val="24"/>
          <w:szCs w:val="24"/>
          <w:rtl/>
        </w:rPr>
        <w:t>ון</w:t>
      </w:r>
      <w:r w:rsidR="00C50D6F" w:rsidRPr="00E479C4">
        <w:rPr>
          <w:rFonts w:ascii="David" w:hAnsi="David" w:cs="David"/>
          <w:sz w:val="24"/>
          <w:szCs w:val="24"/>
          <w:rtl/>
        </w:rPr>
        <w:t xml:space="preserve">, היכן שיש קושי </w:t>
      </w:r>
      <w:r w:rsidR="00DF4653">
        <w:rPr>
          <w:rFonts w:ascii="David" w:hAnsi="David" w:cs="David" w:hint="cs"/>
          <w:sz w:val="24"/>
          <w:szCs w:val="24"/>
          <w:rtl/>
        </w:rPr>
        <w:t>להבטיח</w:t>
      </w:r>
      <w:r w:rsidR="00C50D6F" w:rsidRPr="00E479C4">
        <w:rPr>
          <w:rFonts w:ascii="David" w:hAnsi="David" w:cs="David"/>
          <w:sz w:val="24"/>
          <w:szCs w:val="24"/>
          <w:rtl/>
        </w:rPr>
        <w:t xml:space="preserve"> את קיומו</w:t>
      </w:r>
      <w:r w:rsidRPr="00E479C4">
        <w:rPr>
          <w:rFonts w:ascii="David" w:hAnsi="David" w:cs="David"/>
          <w:sz w:val="24"/>
          <w:szCs w:val="24"/>
          <w:rtl/>
        </w:rPr>
        <w:t>.</w:t>
      </w:r>
      <w:r w:rsidR="00285840">
        <w:rPr>
          <w:rStyle w:val="FootnoteReference"/>
          <w:rFonts w:ascii="David" w:hAnsi="David" w:cs="David"/>
          <w:sz w:val="24"/>
          <w:szCs w:val="24"/>
          <w:rtl/>
        </w:rPr>
        <w:footnoteReference w:id="88"/>
      </w:r>
      <w:r w:rsidR="009471D9">
        <w:rPr>
          <w:rFonts w:ascii="David" w:hAnsi="David" w:cs="David" w:hint="cs"/>
          <w:sz w:val="24"/>
          <w:szCs w:val="24"/>
          <w:rtl/>
        </w:rPr>
        <w:t xml:space="preserve"> </w:t>
      </w:r>
      <w:r w:rsidR="009471D9">
        <w:rPr>
          <w:rFonts w:asciiTheme="majorBidi" w:hAnsiTheme="majorBidi" w:cs="David" w:hint="cs"/>
          <w:sz w:val="24"/>
          <w:szCs w:val="24"/>
          <w:rtl/>
        </w:rPr>
        <w:t>ראוי להזכיר עוד</w:t>
      </w:r>
      <w:r w:rsidR="00C17CAE">
        <w:rPr>
          <w:rFonts w:asciiTheme="majorBidi" w:hAnsiTheme="majorBidi" w:cs="David" w:hint="cs"/>
          <w:sz w:val="24"/>
          <w:szCs w:val="24"/>
          <w:rtl/>
        </w:rPr>
        <w:t>,</w:t>
      </w:r>
      <w:r w:rsidR="009471D9">
        <w:rPr>
          <w:rFonts w:asciiTheme="majorBidi" w:hAnsiTheme="majorBidi" w:cs="David" w:hint="cs"/>
          <w:sz w:val="24"/>
          <w:szCs w:val="24"/>
          <w:rtl/>
        </w:rPr>
        <w:t xml:space="preserve"> כי </w:t>
      </w:r>
      <w:r w:rsidR="00763F62">
        <w:rPr>
          <w:rFonts w:asciiTheme="majorBidi" w:hAnsiTheme="majorBidi" w:cs="David" w:hint="cs"/>
          <w:sz w:val="24"/>
          <w:szCs w:val="24"/>
          <w:rtl/>
        </w:rPr>
        <w:t xml:space="preserve">רף האמון שאנחנו שואפים אליו בהקשר זה הוא </w:t>
      </w:r>
      <w:r w:rsidR="001A271D">
        <w:rPr>
          <w:rFonts w:asciiTheme="majorBidi" w:hAnsiTheme="majorBidi" w:cs="David" w:hint="cs"/>
          <w:sz w:val="24"/>
          <w:szCs w:val="24"/>
          <w:rtl/>
        </w:rPr>
        <w:t>ניכר</w:t>
      </w:r>
      <w:r w:rsidR="00763F62">
        <w:rPr>
          <w:rFonts w:asciiTheme="majorBidi" w:hAnsiTheme="majorBidi" w:cs="David" w:hint="cs"/>
          <w:sz w:val="24"/>
          <w:szCs w:val="24"/>
          <w:rtl/>
        </w:rPr>
        <w:t>. ההורה מפקיד (גם אם לא מרצון) את היקר לו ביותר בידיו של ההורה החורג, את ילדו</w:t>
      </w:r>
      <w:r w:rsidR="00C17CAE">
        <w:rPr>
          <w:rFonts w:asciiTheme="majorBidi" w:hAnsiTheme="majorBidi" w:cs="David" w:hint="cs"/>
          <w:sz w:val="24"/>
          <w:szCs w:val="24"/>
          <w:rtl/>
        </w:rPr>
        <w:t>,</w:t>
      </w:r>
      <w:r w:rsidR="00763F62">
        <w:rPr>
          <w:rFonts w:asciiTheme="majorBidi" w:hAnsiTheme="majorBidi" w:cs="David" w:hint="cs"/>
          <w:sz w:val="24"/>
          <w:szCs w:val="24"/>
          <w:rtl/>
        </w:rPr>
        <w:t xml:space="preserve"> ובאופן ספציפי לסוגיה הנדונה כאן </w:t>
      </w:r>
      <w:r w:rsidR="00763F62">
        <w:rPr>
          <w:rFonts w:asciiTheme="majorBidi" w:hAnsiTheme="majorBidi" w:cs="David"/>
          <w:sz w:val="24"/>
          <w:szCs w:val="24"/>
          <w:rtl/>
        </w:rPr>
        <w:t>–</w:t>
      </w:r>
      <w:r w:rsidR="00763F62">
        <w:rPr>
          <w:rFonts w:asciiTheme="majorBidi" w:hAnsiTheme="majorBidi" w:cs="David" w:hint="cs"/>
          <w:sz w:val="24"/>
          <w:szCs w:val="24"/>
          <w:rtl/>
        </w:rPr>
        <w:t xml:space="preserve"> את הקשר בינו לבין ילדו. </w:t>
      </w:r>
    </w:p>
    <w:p w14:paraId="0CBB3FDF" w14:textId="1EC53090" w:rsidR="00D60DC8" w:rsidRPr="00E479C4" w:rsidRDefault="00C50D6F" w:rsidP="00DF4653">
      <w:pPr>
        <w:spacing w:line="480" w:lineRule="auto"/>
        <w:jc w:val="both"/>
        <w:rPr>
          <w:rFonts w:ascii="David" w:hAnsi="David" w:cs="David"/>
          <w:sz w:val="24"/>
          <w:szCs w:val="24"/>
          <w:rtl/>
        </w:rPr>
      </w:pPr>
      <w:r w:rsidRPr="00E479C4">
        <w:rPr>
          <w:rFonts w:ascii="David" w:hAnsi="David" w:cs="David"/>
          <w:sz w:val="24"/>
          <w:szCs w:val="24"/>
          <w:rtl/>
        </w:rPr>
        <w:t>העלויות הנובעות מהעדר האמון</w:t>
      </w:r>
      <w:r w:rsidR="00DF4653">
        <w:rPr>
          <w:rFonts w:ascii="David" w:hAnsi="David" w:cs="David" w:hint="cs"/>
          <w:sz w:val="24"/>
          <w:szCs w:val="24"/>
          <w:rtl/>
        </w:rPr>
        <w:t xml:space="preserve"> בין צדדים אלה</w:t>
      </w:r>
      <w:r w:rsidRPr="00E479C4">
        <w:rPr>
          <w:rFonts w:ascii="David" w:hAnsi="David" w:cs="David"/>
          <w:sz w:val="24"/>
          <w:szCs w:val="24"/>
          <w:rtl/>
        </w:rPr>
        <w:t xml:space="preserve"> </w:t>
      </w:r>
      <w:r w:rsidR="00DF4653">
        <w:rPr>
          <w:rFonts w:ascii="David" w:hAnsi="David" w:cs="David" w:hint="cs"/>
          <w:sz w:val="24"/>
          <w:szCs w:val="24"/>
          <w:rtl/>
        </w:rPr>
        <w:t xml:space="preserve">עשויות להיות </w:t>
      </w:r>
      <w:r w:rsidRPr="00E479C4">
        <w:rPr>
          <w:rFonts w:ascii="David" w:hAnsi="David" w:cs="David"/>
          <w:sz w:val="24"/>
          <w:szCs w:val="24"/>
          <w:rtl/>
        </w:rPr>
        <w:t>גבוהות</w:t>
      </w:r>
      <w:r w:rsidR="00DF4653">
        <w:rPr>
          <w:rFonts w:ascii="David" w:hAnsi="David" w:cs="David" w:hint="cs"/>
          <w:sz w:val="24"/>
          <w:szCs w:val="24"/>
          <w:rtl/>
        </w:rPr>
        <w:t xml:space="preserve"> ולכן מבססות את גיבושה של האמונאות:</w:t>
      </w:r>
      <w:r w:rsidRPr="00E479C4">
        <w:rPr>
          <w:rFonts w:ascii="David" w:hAnsi="David" w:cs="David"/>
          <w:sz w:val="24"/>
          <w:szCs w:val="24"/>
          <w:rtl/>
        </w:rPr>
        <w:t xml:space="preserve"> </w:t>
      </w:r>
    </w:p>
    <w:p w14:paraId="068E046A" w14:textId="77777777" w:rsidR="00D60DC8" w:rsidRPr="00C50D6F" w:rsidRDefault="00D60DC8" w:rsidP="00C50D6F">
      <w:pPr>
        <w:autoSpaceDE w:val="0"/>
        <w:autoSpaceDN w:val="0"/>
        <w:bidi w:val="0"/>
        <w:adjustRightInd w:val="0"/>
        <w:spacing w:line="480" w:lineRule="auto"/>
        <w:jc w:val="both"/>
        <w:rPr>
          <w:rFonts w:asciiTheme="majorBidi" w:hAnsiTheme="majorBidi" w:cs="David"/>
          <w:sz w:val="24"/>
          <w:szCs w:val="24"/>
        </w:rPr>
      </w:pPr>
      <w:r w:rsidRPr="00C50D6F">
        <w:rPr>
          <w:rFonts w:asciiTheme="majorBidi" w:hAnsiTheme="majorBidi" w:cs="David"/>
          <w:sz w:val="24"/>
          <w:szCs w:val="24"/>
        </w:rPr>
        <w:t>"</w:t>
      </w:r>
      <w:r w:rsidRPr="00C50D6F">
        <w:rPr>
          <w:rFonts w:ascii="Times New Roman" w:hAnsi="Times New Roman" w:cs="Times New Roman"/>
          <w:sz w:val="24"/>
          <w:szCs w:val="24"/>
        </w:rPr>
        <w:t>If</w:t>
      </w:r>
      <w:r w:rsidR="009C1AA1" w:rsidRPr="00C50D6F">
        <w:rPr>
          <w:rFonts w:ascii="Times New Roman" w:hAnsi="Times New Roman" w:cs="Times New Roman"/>
          <w:sz w:val="24"/>
          <w:szCs w:val="24"/>
        </w:rPr>
        <w:t xml:space="preserve"> </w:t>
      </w:r>
      <w:r w:rsidRPr="00C50D6F">
        <w:rPr>
          <w:rFonts w:ascii="Times New Roman" w:hAnsi="Times New Roman" w:cs="Times New Roman"/>
          <w:sz w:val="24"/>
          <w:szCs w:val="24"/>
        </w:rPr>
        <w:t>we think these relationships have social value—and that the law should</w:t>
      </w:r>
      <w:r w:rsidR="009C1AA1" w:rsidRPr="00C50D6F">
        <w:rPr>
          <w:rFonts w:ascii="Times New Roman" w:hAnsi="Times New Roman" w:cs="Times New Roman"/>
          <w:sz w:val="24"/>
          <w:szCs w:val="24"/>
        </w:rPr>
        <w:t xml:space="preserve"> </w:t>
      </w:r>
      <w:r w:rsidRPr="00C50D6F">
        <w:rPr>
          <w:rFonts w:ascii="Times New Roman" w:hAnsi="Times New Roman" w:cs="Times New Roman"/>
          <w:sz w:val="24"/>
          <w:szCs w:val="24"/>
        </w:rPr>
        <w:t>contribute to helping produce and sustain that value—the law must help</w:t>
      </w:r>
      <w:r w:rsidR="009C1AA1" w:rsidRPr="00C50D6F">
        <w:rPr>
          <w:rFonts w:ascii="Times New Roman" w:hAnsi="Times New Roman" w:cs="Times New Roman"/>
          <w:sz w:val="24"/>
          <w:szCs w:val="24"/>
        </w:rPr>
        <w:t xml:space="preserve"> </w:t>
      </w:r>
      <w:r w:rsidRPr="00C50D6F">
        <w:rPr>
          <w:rFonts w:ascii="Times New Roman" w:hAnsi="Times New Roman" w:cs="Times New Roman"/>
          <w:sz w:val="24"/>
          <w:szCs w:val="24"/>
        </w:rPr>
        <w:t>facilitate trust and mitigate the high costs of distrust.</w:t>
      </w:r>
      <w:r w:rsidRPr="00C50D6F">
        <w:rPr>
          <w:rFonts w:asciiTheme="majorBidi" w:hAnsiTheme="majorBidi" w:cs="David"/>
          <w:sz w:val="24"/>
          <w:szCs w:val="24"/>
        </w:rPr>
        <w:t>"</w:t>
      </w:r>
      <w:r w:rsidR="009C1AA1" w:rsidRPr="00C50D6F">
        <w:rPr>
          <w:rStyle w:val="FootnoteReference"/>
          <w:rFonts w:asciiTheme="majorBidi" w:hAnsiTheme="majorBidi" w:cs="David"/>
          <w:sz w:val="24"/>
          <w:szCs w:val="24"/>
        </w:rPr>
        <w:footnoteReference w:id="89"/>
      </w:r>
    </w:p>
    <w:p w14:paraId="114C050B" w14:textId="211335BE" w:rsidR="00B8647A" w:rsidRDefault="00DF4653" w:rsidP="00DF4653">
      <w:pPr>
        <w:pStyle w:val="Default"/>
        <w:bidi/>
        <w:spacing w:after="160" w:line="480" w:lineRule="auto"/>
        <w:jc w:val="both"/>
        <w:rPr>
          <w:rFonts w:ascii="David" w:hAnsi="David" w:cs="David"/>
          <w:rtl/>
        </w:rPr>
      </w:pPr>
      <w:r>
        <w:rPr>
          <w:rFonts w:ascii="David" w:hAnsi="David" w:cs="David" w:hint="cs"/>
          <w:rtl/>
        </w:rPr>
        <w:t xml:space="preserve">גם עלויות הפיקוח בנסיבות אלה </w:t>
      </w:r>
      <w:r w:rsidR="00114939" w:rsidRPr="00E479C4">
        <w:rPr>
          <w:rFonts w:ascii="David" w:hAnsi="David" w:cs="David"/>
          <w:rtl/>
        </w:rPr>
        <w:t>גבוהות</w:t>
      </w:r>
      <w:r w:rsidR="00BF00CE">
        <w:rPr>
          <w:rFonts w:ascii="David" w:hAnsi="David" w:cs="David" w:hint="cs"/>
          <w:rtl/>
        </w:rPr>
        <w:t>:</w:t>
      </w:r>
      <w:r w:rsidR="00114939" w:rsidRPr="00E479C4">
        <w:rPr>
          <w:rStyle w:val="FootnoteReference"/>
          <w:rFonts w:ascii="David" w:hAnsi="David" w:cs="David"/>
          <w:rtl/>
        </w:rPr>
        <w:footnoteReference w:id="90"/>
      </w:r>
      <w:r w:rsidR="00114939">
        <w:rPr>
          <w:rFonts w:ascii="David" w:hAnsi="David" w:cs="David" w:hint="cs"/>
          <w:rtl/>
        </w:rPr>
        <w:t xml:space="preserve"> </w:t>
      </w:r>
    </w:p>
    <w:p w14:paraId="2C6A22C1" w14:textId="769293C5" w:rsidR="00BF00CE" w:rsidRDefault="00BF00CE" w:rsidP="00BF00CE">
      <w:pPr>
        <w:pStyle w:val="Default"/>
        <w:spacing w:line="480" w:lineRule="auto"/>
        <w:jc w:val="both"/>
      </w:pPr>
      <w:r>
        <w:t xml:space="preserve">"… </w:t>
      </w:r>
      <w:r w:rsidRPr="009657BA">
        <w:t>intimate family relationships require privacy to flourish to a greater extent than do other fiduciary relationships. Thus, formal monitoring of pare</w:t>
      </w:r>
      <w:r>
        <w:t>ntal performance can be costly".</w:t>
      </w:r>
      <w:r>
        <w:rPr>
          <w:rStyle w:val="FootnoteReference"/>
        </w:rPr>
        <w:footnoteReference w:id="91"/>
      </w:r>
    </w:p>
    <w:p w14:paraId="7432DA98" w14:textId="2E7D4661" w:rsidR="008027C0" w:rsidRPr="00E0410A" w:rsidRDefault="008027C0" w:rsidP="008027C0">
      <w:pPr>
        <w:pStyle w:val="Default"/>
        <w:bidi/>
        <w:spacing w:line="480" w:lineRule="auto"/>
        <w:jc w:val="both"/>
        <w:rPr>
          <w:rFonts w:ascii="David" w:hAnsi="David" w:cs="David"/>
          <w:rtl/>
        </w:rPr>
      </w:pPr>
      <w:r w:rsidRPr="008027C0">
        <w:rPr>
          <w:rFonts w:ascii="David" w:hAnsi="David" w:cs="David"/>
          <w:rtl/>
        </w:rPr>
        <w:t>כפי שאף איתן לייב</w:t>
      </w:r>
      <w:r w:rsidRPr="00E0410A">
        <w:rPr>
          <w:rStyle w:val="FootnoteReference"/>
          <w:rFonts w:ascii="David" w:hAnsi="David" w:cs="David"/>
          <w:rtl/>
        </w:rPr>
        <w:footnoteReference w:id="92"/>
      </w:r>
      <w:r w:rsidRPr="00E0410A">
        <w:rPr>
          <w:rFonts w:ascii="David" w:hAnsi="David" w:cs="David"/>
          <w:rtl/>
        </w:rPr>
        <w:t xml:space="preserve"> (</w:t>
      </w:r>
      <w:r w:rsidRPr="00E0410A">
        <w:rPr>
          <w:rFonts w:ascii="David" w:hAnsi="David" w:cs="David"/>
        </w:rPr>
        <w:t>Ethan J. Leib</w:t>
      </w:r>
      <w:r w:rsidRPr="00E0410A">
        <w:rPr>
          <w:rFonts w:ascii="David" w:hAnsi="David" w:cs="David"/>
          <w:rtl/>
        </w:rPr>
        <w:t>) מוסיף ומדגיש</w:t>
      </w:r>
      <w:r>
        <w:rPr>
          <w:rFonts w:ascii="David" w:hAnsi="David" w:cs="David" w:hint="cs"/>
          <w:rtl/>
        </w:rPr>
        <w:t>:</w:t>
      </w:r>
    </w:p>
    <w:p w14:paraId="2AE5E99A" w14:textId="5DF8DD19" w:rsidR="008027C0" w:rsidRDefault="008027C0" w:rsidP="008027C0">
      <w:pPr>
        <w:pStyle w:val="Default"/>
        <w:spacing w:line="480" w:lineRule="auto"/>
        <w:jc w:val="both"/>
      </w:pPr>
      <w:r>
        <w:t>"Most importantly, they evidence special concern with policing opportunism and discretion in contexts where monitoring costs are very high and bonding is exceedingly important to the functioning of the relationship."</w:t>
      </w:r>
    </w:p>
    <w:p w14:paraId="7EC422F2" w14:textId="54E287CF" w:rsidR="00543FEA" w:rsidRPr="00D069A2" w:rsidRDefault="00114939" w:rsidP="00BF00CE">
      <w:pPr>
        <w:pStyle w:val="Default"/>
        <w:bidi/>
        <w:spacing w:after="160" w:line="480" w:lineRule="auto"/>
        <w:jc w:val="both"/>
        <w:rPr>
          <w:rFonts w:ascii="David" w:hAnsi="David" w:cs="David"/>
          <w:rtl/>
        </w:rPr>
      </w:pPr>
      <w:r>
        <w:rPr>
          <w:rFonts w:ascii="David" w:hAnsi="David" w:cs="David" w:hint="cs"/>
          <w:rtl/>
        </w:rPr>
        <w:t xml:space="preserve">במילים אחרות, </w:t>
      </w:r>
      <w:r w:rsidR="00543FEA" w:rsidRPr="00D069A2">
        <w:rPr>
          <w:rFonts w:ascii="David" w:hAnsi="David" w:cs="David"/>
          <w:rtl/>
        </w:rPr>
        <w:t>בדומה למערכות משפחתיות אחרות,</w:t>
      </w:r>
      <w:r w:rsidR="00D921A0">
        <w:rPr>
          <w:rFonts w:ascii="David" w:hAnsi="David" w:cs="David" w:hint="cs"/>
          <w:rtl/>
        </w:rPr>
        <w:t xml:space="preserve"> כפי שנדונו אצל סקוט ואחרים,</w:t>
      </w:r>
      <w:r w:rsidR="00543FEA" w:rsidRPr="00D069A2">
        <w:rPr>
          <w:rFonts w:ascii="David" w:hAnsi="David" w:cs="David"/>
          <w:rtl/>
        </w:rPr>
        <w:t xml:space="preserve"> גם בהקשר זה </w:t>
      </w:r>
      <w:r w:rsidR="00BF00CE">
        <w:rPr>
          <w:rFonts w:ascii="David" w:hAnsi="David" w:cs="David" w:hint="cs"/>
          <w:rtl/>
        </w:rPr>
        <w:t>רגישותה</w:t>
      </w:r>
      <w:r w:rsidR="00543FEA" w:rsidRPr="00D069A2">
        <w:rPr>
          <w:rFonts w:ascii="David" w:hAnsi="David" w:cs="David"/>
          <w:rtl/>
        </w:rPr>
        <w:t xml:space="preserve"> של מערכת היחסים המש</w:t>
      </w:r>
      <w:r w:rsidR="00BF00CE">
        <w:rPr>
          <w:rFonts w:ascii="David" w:hAnsi="David" w:cs="David"/>
          <w:rtl/>
        </w:rPr>
        <w:t xml:space="preserve">פחתית בין </w:t>
      </w:r>
      <w:r w:rsidR="001A271D">
        <w:rPr>
          <w:rFonts w:ascii="David" w:hAnsi="David" w:cs="David" w:hint="cs"/>
          <w:rtl/>
        </w:rPr>
        <w:t>ה</w:t>
      </w:r>
      <w:r w:rsidR="00BF00CE">
        <w:rPr>
          <w:rFonts w:ascii="David" w:hAnsi="David" w:cs="David"/>
          <w:rtl/>
        </w:rPr>
        <w:t xml:space="preserve">הורה </w:t>
      </w:r>
      <w:r w:rsidR="001A271D">
        <w:rPr>
          <w:rFonts w:ascii="David" w:hAnsi="David" w:cs="David" w:hint="cs"/>
          <w:rtl/>
        </w:rPr>
        <w:t>ה</w:t>
      </w:r>
      <w:r w:rsidR="00BF00CE">
        <w:rPr>
          <w:rFonts w:ascii="David" w:hAnsi="David" w:cs="David"/>
          <w:rtl/>
        </w:rPr>
        <w:t>חורג להורה</w:t>
      </w:r>
      <w:r w:rsidR="001A271D">
        <w:rPr>
          <w:rFonts w:ascii="David" w:hAnsi="David" w:cs="David" w:hint="cs"/>
          <w:rtl/>
        </w:rPr>
        <w:t xml:space="preserve"> הלא משמורן</w:t>
      </w:r>
      <w:r w:rsidR="00BF00CE">
        <w:rPr>
          <w:rFonts w:ascii="David" w:hAnsi="David" w:cs="David"/>
          <w:rtl/>
        </w:rPr>
        <w:t xml:space="preserve"> (</w:t>
      </w:r>
      <w:r w:rsidR="00BF00CE">
        <w:rPr>
          <w:rFonts w:ascii="David" w:hAnsi="David" w:cs="David" w:hint="cs"/>
          <w:rtl/>
        </w:rPr>
        <w:t xml:space="preserve">בנוסף למערכת </w:t>
      </w:r>
      <w:r w:rsidR="00543FEA" w:rsidRPr="00D069A2">
        <w:rPr>
          <w:rFonts w:ascii="David" w:hAnsi="David" w:cs="David"/>
          <w:rtl/>
        </w:rPr>
        <w:t xml:space="preserve">היחסים </w:t>
      </w:r>
      <w:r w:rsidR="00BF00CE">
        <w:rPr>
          <w:rFonts w:ascii="David" w:hAnsi="David" w:cs="David" w:hint="cs"/>
          <w:rtl/>
        </w:rPr>
        <w:t xml:space="preserve">הרגישה שבין </w:t>
      </w:r>
      <w:r w:rsidR="00543FEA" w:rsidRPr="00D069A2">
        <w:rPr>
          <w:rFonts w:ascii="David" w:hAnsi="David" w:cs="David"/>
          <w:rtl/>
        </w:rPr>
        <w:t>שני ההורים המשפטיים, בני הזוג לשעבר), והצורך לשמר את התנהלותה של מערכת היחסים ללא הפרעות חיצוניות</w:t>
      </w:r>
      <w:r w:rsidR="001A271D">
        <w:rPr>
          <w:rFonts w:ascii="David" w:hAnsi="David" w:cs="David" w:hint="cs"/>
          <w:rtl/>
        </w:rPr>
        <w:t>,</w:t>
      </w:r>
      <w:r w:rsidR="00543FEA" w:rsidRPr="00D069A2">
        <w:rPr>
          <w:rFonts w:ascii="David" w:hAnsi="David" w:cs="David"/>
          <w:rtl/>
        </w:rPr>
        <w:t xml:space="preserve"> </w:t>
      </w:r>
      <w:r w:rsidR="00BF00CE">
        <w:rPr>
          <w:rFonts w:ascii="David" w:hAnsi="David" w:cs="David"/>
          <w:rtl/>
        </w:rPr>
        <w:t>מצדיק</w:t>
      </w:r>
      <w:r w:rsidR="00A83810">
        <w:rPr>
          <w:rFonts w:ascii="David" w:hAnsi="David" w:cs="David" w:hint="cs"/>
          <w:rtl/>
        </w:rPr>
        <w:t>ים</w:t>
      </w:r>
      <w:r w:rsidR="00BF00CE">
        <w:rPr>
          <w:rFonts w:ascii="David" w:hAnsi="David" w:cs="David"/>
          <w:rtl/>
        </w:rPr>
        <w:t xml:space="preserve"> הפעלת אמונאות. </w:t>
      </w:r>
    </w:p>
    <w:p w14:paraId="457DA024" w14:textId="1D49017F" w:rsidR="00EC1D64" w:rsidRPr="005824DC" w:rsidRDefault="001F0992" w:rsidP="00084ACC">
      <w:pPr>
        <w:pStyle w:val="Default"/>
        <w:bidi/>
        <w:spacing w:after="160" w:line="480" w:lineRule="auto"/>
        <w:jc w:val="both"/>
        <w:rPr>
          <w:rFonts w:ascii="David" w:hAnsi="David" w:cs="David"/>
        </w:rPr>
      </w:pPr>
      <w:r>
        <w:rPr>
          <w:rFonts w:ascii="David" w:hAnsi="David" w:cs="David" w:hint="cs"/>
          <w:rtl/>
        </w:rPr>
        <w:t xml:space="preserve">כפי שכבר </w:t>
      </w:r>
      <w:r w:rsidR="00A30351">
        <w:rPr>
          <w:rFonts w:ascii="David" w:hAnsi="David" w:cs="David" w:hint="cs"/>
          <w:rtl/>
        </w:rPr>
        <w:t>הוזכר</w:t>
      </w:r>
      <w:r w:rsidR="00E479C4">
        <w:rPr>
          <w:rFonts w:ascii="David" w:hAnsi="David" w:cs="David" w:hint="cs"/>
          <w:rtl/>
        </w:rPr>
        <w:t>,</w:t>
      </w:r>
      <w:r>
        <w:rPr>
          <w:rFonts w:ascii="David" w:hAnsi="David" w:cs="David" w:hint="cs"/>
          <w:rtl/>
        </w:rPr>
        <w:t xml:space="preserve"> מערכת אמונאית מתבס</w:t>
      </w:r>
      <w:r w:rsidR="00D47F92">
        <w:rPr>
          <w:rFonts w:ascii="David" w:hAnsi="David" w:cs="David" w:hint="cs"/>
          <w:rtl/>
        </w:rPr>
        <w:t xml:space="preserve">סת </w:t>
      </w:r>
      <w:r>
        <w:rPr>
          <w:rFonts w:ascii="David" w:hAnsi="David" w:cs="David" w:hint="cs"/>
          <w:rtl/>
        </w:rPr>
        <w:t>בין שניים שפער כוחות מאפיין את יחסיהם. פגיעותו של האחד למול כוחו של האחר</w:t>
      </w:r>
      <w:r w:rsidR="001A271D">
        <w:rPr>
          <w:rFonts w:ascii="David" w:hAnsi="David" w:cs="David" w:hint="cs"/>
          <w:rtl/>
        </w:rPr>
        <w:t xml:space="preserve"> בניהול האינטרסים של האחד</w:t>
      </w:r>
      <w:r>
        <w:rPr>
          <w:rFonts w:ascii="David" w:hAnsi="David" w:cs="David" w:hint="cs"/>
          <w:rtl/>
        </w:rPr>
        <w:t>, מבססת</w:t>
      </w:r>
      <w:r w:rsidR="00EC603E">
        <w:rPr>
          <w:rFonts w:ascii="David" w:hAnsi="David" w:cs="David" w:hint="cs"/>
          <w:rtl/>
        </w:rPr>
        <w:t xml:space="preserve"> (בין היתר)</w:t>
      </w:r>
      <w:r>
        <w:rPr>
          <w:rFonts w:ascii="David" w:hAnsi="David" w:cs="David" w:hint="cs"/>
          <w:rtl/>
        </w:rPr>
        <w:t xml:space="preserve"> את חובותיו של האחרון. </w:t>
      </w:r>
      <w:r w:rsidR="00D47F92">
        <w:rPr>
          <w:rFonts w:ascii="David" w:hAnsi="David" w:cs="David" w:hint="cs"/>
          <w:rtl/>
        </w:rPr>
        <w:t>גם מהיבט זה צריך להתעכב על מאפייניו הייחודים של הקשר הורה חורג-הורה</w:t>
      </w:r>
      <w:r w:rsidR="00084ACC">
        <w:rPr>
          <w:rFonts w:ascii="David" w:hAnsi="David" w:cs="David" w:hint="cs"/>
          <w:rtl/>
        </w:rPr>
        <w:t xml:space="preserve"> לא משמורן</w:t>
      </w:r>
      <w:r w:rsidR="00D47F92">
        <w:rPr>
          <w:rFonts w:ascii="David" w:hAnsi="David" w:cs="David" w:hint="cs"/>
          <w:rtl/>
        </w:rPr>
        <w:t xml:space="preserve">: </w:t>
      </w:r>
      <w:r>
        <w:rPr>
          <w:rFonts w:ascii="David" w:hAnsi="David" w:cs="David" w:hint="cs"/>
          <w:rtl/>
        </w:rPr>
        <w:t xml:space="preserve">במקרה </w:t>
      </w:r>
      <w:r w:rsidR="00CF6CB0">
        <w:rPr>
          <w:rFonts w:ascii="David" w:hAnsi="David" w:cs="David" w:hint="cs"/>
          <w:rtl/>
        </w:rPr>
        <w:t xml:space="preserve">הטיפוסי למאמר, </w:t>
      </w:r>
      <w:r>
        <w:rPr>
          <w:rFonts w:ascii="David" w:hAnsi="David" w:cs="David" w:hint="cs"/>
          <w:rtl/>
        </w:rPr>
        <w:t>ההורה החורג,</w:t>
      </w:r>
      <w:r w:rsidR="006E4F0E">
        <w:rPr>
          <w:rFonts w:ascii="David" w:hAnsi="David" w:cs="David" w:hint="cs"/>
          <w:rtl/>
        </w:rPr>
        <w:t xml:space="preserve"> הוא בן הזוג של ההורה המשמורן, </w:t>
      </w:r>
      <w:r>
        <w:rPr>
          <w:rFonts w:ascii="David" w:hAnsi="David" w:cs="David" w:hint="cs"/>
          <w:rtl/>
        </w:rPr>
        <w:t>נוכח</w:t>
      </w:r>
      <w:r w:rsidR="006E4F0E">
        <w:rPr>
          <w:rFonts w:ascii="David" w:hAnsi="David" w:cs="David" w:hint="cs"/>
          <w:rtl/>
        </w:rPr>
        <w:t xml:space="preserve"> בחייו של הילד פרקי זמן ניכרים</w:t>
      </w:r>
      <w:r w:rsidR="00A30351">
        <w:rPr>
          <w:rFonts w:ascii="David" w:hAnsi="David" w:cs="David" w:hint="cs"/>
          <w:rtl/>
        </w:rPr>
        <w:t xml:space="preserve"> העולים מהותית על אלה של ההורה</w:t>
      </w:r>
      <w:r w:rsidR="00EC603E">
        <w:rPr>
          <w:rFonts w:ascii="David" w:hAnsi="David" w:cs="David" w:hint="cs"/>
          <w:rtl/>
        </w:rPr>
        <w:t xml:space="preserve"> הלא משמורן</w:t>
      </w:r>
      <w:r w:rsidR="006E4F0E">
        <w:rPr>
          <w:rFonts w:ascii="David" w:hAnsi="David" w:cs="David" w:hint="cs"/>
          <w:rtl/>
        </w:rPr>
        <w:t>. בהינתן נוכחותו זאת וככל שיחסיהם משמעותיים (ובפרט בגיל צעיר) הוא</w:t>
      </w:r>
      <w:r>
        <w:rPr>
          <w:rFonts w:ascii="David" w:hAnsi="David" w:cs="David" w:hint="cs"/>
          <w:rtl/>
        </w:rPr>
        <w:t xml:space="preserve"> </w:t>
      </w:r>
      <w:r w:rsidR="00D47F92">
        <w:rPr>
          <w:rFonts w:ascii="David" w:hAnsi="David" w:cs="David" w:hint="cs"/>
          <w:rtl/>
        </w:rPr>
        <w:t>עשוי ל</w:t>
      </w:r>
      <w:r w:rsidR="00D47F92">
        <w:rPr>
          <w:rFonts w:ascii="David" w:hAnsi="David" w:cs="David"/>
          <w:rtl/>
        </w:rPr>
        <w:t>ה</w:t>
      </w:r>
      <w:r w:rsidR="00CA5CE3" w:rsidRPr="00D069A2">
        <w:rPr>
          <w:rFonts w:ascii="David" w:hAnsi="David" w:cs="David"/>
          <w:rtl/>
        </w:rPr>
        <w:t xml:space="preserve">תאפיין בהשפעה רבה על הילד, על אורחות חייו, התנהגותו ורגשותיו, </w:t>
      </w:r>
      <w:r w:rsidR="00D47F92">
        <w:rPr>
          <w:rFonts w:ascii="David" w:hAnsi="David" w:cs="David" w:hint="cs"/>
          <w:rtl/>
        </w:rPr>
        <w:t xml:space="preserve">ובשל כך </w:t>
      </w:r>
      <w:r w:rsidR="00CA5CE3" w:rsidRPr="00D069A2">
        <w:rPr>
          <w:rFonts w:ascii="David" w:hAnsi="David" w:cs="David"/>
          <w:rtl/>
        </w:rPr>
        <w:t>נמצא בעמדת כוח כלפי ההורה.</w:t>
      </w:r>
      <w:r w:rsidR="00D47F92">
        <w:rPr>
          <w:rFonts w:ascii="David" w:hAnsi="David" w:cs="David" w:hint="cs"/>
          <w:rtl/>
        </w:rPr>
        <w:t xml:space="preserve"> עמדת הכוח עקיפה אמ</w:t>
      </w:r>
      <w:r w:rsidR="001A2E77">
        <w:rPr>
          <w:rFonts w:ascii="David" w:hAnsi="David" w:cs="David" w:hint="cs"/>
          <w:rtl/>
        </w:rPr>
        <w:t xml:space="preserve">נם, אך עשויה להיות משמעותית מאד. </w:t>
      </w:r>
      <w:r w:rsidR="006E4F0E">
        <w:rPr>
          <w:rFonts w:ascii="David" w:hAnsi="David" w:cs="David" w:hint="cs"/>
          <w:rtl/>
        </w:rPr>
        <w:t xml:space="preserve">ואולם, </w:t>
      </w:r>
      <w:r w:rsidR="00CA5CE3" w:rsidRPr="00D069A2">
        <w:rPr>
          <w:rFonts w:ascii="David" w:hAnsi="David" w:cs="David"/>
          <w:rtl/>
        </w:rPr>
        <w:t>חולשתו של ההורה</w:t>
      </w:r>
      <w:r w:rsidR="006E4F0E">
        <w:rPr>
          <w:rFonts w:ascii="David" w:hAnsi="David" w:cs="David" w:hint="cs"/>
          <w:rtl/>
        </w:rPr>
        <w:t xml:space="preserve"> </w:t>
      </w:r>
      <w:r w:rsidR="001A271D">
        <w:rPr>
          <w:rFonts w:ascii="David" w:hAnsi="David" w:cs="David" w:hint="cs"/>
          <w:rtl/>
        </w:rPr>
        <w:t xml:space="preserve">הלא משמורן </w:t>
      </w:r>
      <w:r w:rsidR="006E4F0E">
        <w:rPr>
          <w:rFonts w:ascii="David" w:hAnsi="David" w:cs="David" w:hint="cs"/>
          <w:rtl/>
        </w:rPr>
        <w:t>(לעומת עליונותו של ההורה החורג)</w:t>
      </w:r>
      <w:r w:rsidR="00CA5CE3" w:rsidRPr="00D069A2">
        <w:rPr>
          <w:rFonts w:ascii="David" w:hAnsi="David" w:cs="David"/>
          <w:rtl/>
        </w:rPr>
        <w:t xml:space="preserve">, היא חולשה מצבית ופגיעותו אינה </w:t>
      </w:r>
      <w:r w:rsidR="001A2E77">
        <w:rPr>
          <w:rFonts w:ascii="David" w:hAnsi="David" w:cs="David" w:hint="cs"/>
          <w:rtl/>
        </w:rPr>
        <w:t>קבועה</w:t>
      </w:r>
      <w:r w:rsidR="00CA5CE3" w:rsidRPr="00D069A2">
        <w:rPr>
          <w:rFonts w:ascii="David" w:hAnsi="David" w:cs="David"/>
          <w:rtl/>
        </w:rPr>
        <w:t xml:space="preserve">. </w:t>
      </w:r>
      <w:r w:rsidR="00E84590" w:rsidRPr="00D069A2">
        <w:rPr>
          <w:rFonts w:ascii="David" w:hAnsi="David" w:cs="David"/>
          <w:rtl/>
        </w:rPr>
        <w:t>כושרו המנטאלי והגופני אינם פגומים</w:t>
      </w:r>
      <w:r w:rsidR="006E4F0E">
        <w:rPr>
          <w:rFonts w:ascii="David" w:hAnsi="David" w:cs="David" w:hint="cs"/>
          <w:rtl/>
        </w:rPr>
        <w:t xml:space="preserve"> (בהשוואה לצדדים חלשים בקשרי אמונאות משפחתית אחרים)</w:t>
      </w:r>
      <w:r w:rsidR="00E84590" w:rsidRPr="00D069A2">
        <w:rPr>
          <w:rFonts w:ascii="David" w:hAnsi="David" w:cs="David"/>
          <w:rtl/>
        </w:rPr>
        <w:t xml:space="preserve">. יותר מכך, </w:t>
      </w:r>
      <w:r w:rsidR="00CA5CE3" w:rsidRPr="00D069A2">
        <w:rPr>
          <w:rFonts w:ascii="David" w:hAnsi="David" w:cs="David"/>
          <w:rtl/>
        </w:rPr>
        <w:t xml:space="preserve">דווקא לנוכח ההכרה בו כהורה משפטי (לעיתים תוך דחיית מעמדו </w:t>
      </w:r>
      <w:r w:rsidR="00543FEA">
        <w:rPr>
          <w:rFonts w:ascii="David" w:hAnsi="David" w:cs="David" w:hint="cs"/>
          <w:rtl/>
        </w:rPr>
        <w:t>הפורמאלי</w:t>
      </w:r>
      <w:r w:rsidR="00CA5CE3" w:rsidRPr="00D069A2">
        <w:rPr>
          <w:rFonts w:ascii="David" w:hAnsi="David" w:cs="David"/>
          <w:rtl/>
        </w:rPr>
        <w:t xml:space="preserve"> של ההורה החורג ואי הכרה בזכויותיו כהורה</w:t>
      </w:r>
      <w:r w:rsidR="00E84590" w:rsidRPr="00D069A2">
        <w:rPr>
          <w:rFonts w:ascii="David" w:hAnsi="David" w:cs="David"/>
          <w:rtl/>
        </w:rPr>
        <w:t>) מעמדו, במצ</w:t>
      </w:r>
      <w:r w:rsidR="00D47F92">
        <w:rPr>
          <w:rFonts w:ascii="David" w:hAnsi="David" w:cs="David"/>
          <w:rtl/>
        </w:rPr>
        <w:t>בים מסוי</w:t>
      </w:r>
      <w:r w:rsidR="00E84590" w:rsidRPr="00D069A2">
        <w:rPr>
          <w:rFonts w:ascii="David" w:hAnsi="David" w:cs="David"/>
          <w:rtl/>
        </w:rPr>
        <w:t xml:space="preserve">מים, עדיף. </w:t>
      </w:r>
      <w:r w:rsidR="001B57E3">
        <w:rPr>
          <w:rFonts w:ascii="David" w:hAnsi="David" w:cs="David" w:hint="cs"/>
          <w:rtl/>
        </w:rPr>
        <w:t>גם העובדה כי "הוא היה שם קודם" והוא "ההורה האמיתי" עשויה להעניק לו עדיפות בעיני הילד.</w:t>
      </w:r>
      <w:r w:rsidR="001B57E3">
        <w:rPr>
          <w:rStyle w:val="FootnoteReference"/>
          <w:rFonts w:ascii="David" w:hAnsi="David" w:cs="David"/>
          <w:rtl/>
        </w:rPr>
        <w:footnoteReference w:id="93"/>
      </w:r>
      <w:r w:rsidR="001B57E3">
        <w:rPr>
          <w:rFonts w:ascii="David" w:hAnsi="David" w:cs="David" w:hint="cs"/>
          <w:rtl/>
        </w:rPr>
        <w:t xml:space="preserve"> </w:t>
      </w:r>
      <w:r w:rsidR="006E4F0E">
        <w:rPr>
          <w:rFonts w:ascii="David" w:hAnsi="David" w:cs="David" w:hint="cs"/>
          <w:rtl/>
        </w:rPr>
        <w:t xml:space="preserve">ואולם, העובדה כי אין מדובר בחולשה אינהרנטית </w:t>
      </w:r>
      <w:r w:rsidR="001A2E77">
        <w:rPr>
          <w:rFonts w:ascii="David" w:hAnsi="David" w:cs="David" w:hint="cs"/>
          <w:rtl/>
        </w:rPr>
        <w:t>וקבועה</w:t>
      </w:r>
      <w:r w:rsidR="006E4F0E">
        <w:rPr>
          <w:rFonts w:ascii="David" w:hAnsi="David" w:cs="David" w:hint="cs"/>
          <w:rtl/>
        </w:rPr>
        <w:t xml:space="preserve"> אינה שוללת את האפשרות, או הצורך, </w:t>
      </w:r>
      <w:r w:rsidR="00BF3810">
        <w:rPr>
          <w:rFonts w:ascii="David" w:hAnsi="David" w:cs="David" w:hint="cs"/>
          <w:rtl/>
        </w:rPr>
        <w:t>להגן עליו באמצעות</w:t>
      </w:r>
      <w:r w:rsidR="006E4F0E">
        <w:rPr>
          <w:rFonts w:ascii="David" w:hAnsi="David" w:cs="David" w:hint="cs"/>
          <w:rtl/>
        </w:rPr>
        <w:t xml:space="preserve"> אמונאות. </w:t>
      </w:r>
      <w:r w:rsidR="00E84590" w:rsidRPr="00D069A2">
        <w:rPr>
          <w:rFonts w:ascii="David" w:hAnsi="David" w:cs="David"/>
          <w:rtl/>
        </w:rPr>
        <w:t>בדומה למערכת יחסי החברות, המהווה</w:t>
      </w:r>
      <w:r w:rsidR="00EC1D64">
        <w:rPr>
          <w:rFonts w:ascii="David" w:hAnsi="David" w:cs="David" w:hint="cs"/>
          <w:rtl/>
        </w:rPr>
        <w:t xml:space="preserve"> כאמור</w:t>
      </w:r>
      <w:r w:rsidR="00E84590" w:rsidRPr="00D069A2">
        <w:rPr>
          <w:rFonts w:ascii="David" w:hAnsi="David" w:cs="David"/>
          <w:rtl/>
        </w:rPr>
        <w:t xml:space="preserve">, אצל איתן לייב, </w:t>
      </w:r>
      <w:r w:rsidR="00594906" w:rsidRPr="00D069A2">
        <w:rPr>
          <w:rFonts w:ascii="David" w:hAnsi="David" w:cs="David"/>
          <w:rtl/>
        </w:rPr>
        <w:t>זירה</w:t>
      </w:r>
      <w:r w:rsidR="00E84590" w:rsidRPr="00D069A2">
        <w:rPr>
          <w:rFonts w:ascii="David" w:hAnsi="David" w:cs="David"/>
          <w:rtl/>
        </w:rPr>
        <w:t xml:space="preserve"> להחלת יחסי אמונאות, גם כאן, הצד הפגיע עשוי להתחלף. </w:t>
      </w:r>
      <w:r w:rsidR="00543FEA">
        <w:rPr>
          <w:rFonts w:ascii="David" w:hAnsi="David" w:cs="David" w:hint="cs"/>
          <w:rtl/>
        </w:rPr>
        <w:t>בראייה רחבה יו</w:t>
      </w:r>
      <w:r w:rsidR="00A40B7D">
        <w:rPr>
          <w:rFonts w:ascii="David" w:hAnsi="David" w:cs="David" w:hint="cs"/>
          <w:rtl/>
        </w:rPr>
        <w:t>תר,</w:t>
      </w:r>
      <w:r w:rsidR="00543FEA">
        <w:rPr>
          <w:rFonts w:ascii="David" w:hAnsi="David" w:cs="David" w:hint="cs"/>
          <w:rtl/>
        </w:rPr>
        <w:t xml:space="preserve"> כחלק מהבנת יחסי ההורה החורג וההורה</w:t>
      </w:r>
      <w:r w:rsidR="001A2E77">
        <w:rPr>
          <w:rFonts w:ascii="David" w:hAnsi="David" w:cs="David" w:hint="cs"/>
          <w:rtl/>
        </w:rPr>
        <w:t xml:space="preserve"> הלא משמורן</w:t>
      </w:r>
      <w:r w:rsidR="00543FEA">
        <w:rPr>
          <w:rFonts w:ascii="David" w:hAnsi="David" w:cs="David" w:hint="cs"/>
          <w:rtl/>
        </w:rPr>
        <w:t xml:space="preserve"> כ"הורים במשותף"</w:t>
      </w:r>
      <w:r w:rsidR="00543FEA">
        <w:rPr>
          <w:rStyle w:val="FootnoteReference"/>
          <w:rFonts w:ascii="David" w:hAnsi="David" w:cs="David"/>
          <w:rtl/>
        </w:rPr>
        <w:footnoteReference w:id="94"/>
      </w:r>
      <w:r w:rsidR="00543FEA">
        <w:rPr>
          <w:rFonts w:ascii="David" w:hAnsi="David" w:cs="David" w:hint="cs"/>
          <w:rtl/>
        </w:rPr>
        <w:t>, אפשר לחשוב על חובות אמונאיות הדדיות בין הצדדים, בדומה להבנה של לייב ביחס ליחסי חברות.</w:t>
      </w:r>
      <w:r w:rsidR="00543FEA">
        <w:rPr>
          <w:rStyle w:val="FootnoteReference"/>
          <w:rFonts w:ascii="David" w:hAnsi="David" w:cs="David"/>
          <w:rtl/>
        </w:rPr>
        <w:footnoteReference w:id="95"/>
      </w:r>
    </w:p>
    <w:p w14:paraId="10302300" w14:textId="230E6555" w:rsidR="007E3601" w:rsidRDefault="00114939" w:rsidP="00FB1E3E">
      <w:pPr>
        <w:autoSpaceDE w:val="0"/>
        <w:autoSpaceDN w:val="0"/>
        <w:adjustRightInd w:val="0"/>
        <w:spacing w:afterLines="160" w:after="384" w:line="480" w:lineRule="auto"/>
        <w:jc w:val="both"/>
        <w:rPr>
          <w:rFonts w:ascii="David" w:hAnsi="David" w:cs="David"/>
          <w:sz w:val="24"/>
          <w:szCs w:val="24"/>
          <w:rtl/>
        </w:rPr>
      </w:pPr>
      <w:r w:rsidRPr="00005587">
        <w:rPr>
          <w:rFonts w:ascii="David" w:hAnsi="David" w:cs="David"/>
          <w:sz w:val="24"/>
          <w:szCs w:val="24"/>
          <w:rtl/>
        </w:rPr>
        <w:t>לפני סיום חלק זה ובטרם נפנה לבחינת שני מקרים לדיון</w:t>
      </w:r>
      <w:r w:rsidR="00A40B7D" w:rsidRPr="00005587">
        <w:rPr>
          <w:rFonts w:ascii="David" w:hAnsi="David" w:cs="David"/>
          <w:sz w:val="24"/>
          <w:szCs w:val="24"/>
          <w:rtl/>
        </w:rPr>
        <w:t xml:space="preserve"> אשר יאפשרו לנו לחשוב באופן יישומי על משמעותה של אמונאות בין הורה חורג והורה</w:t>
      </w:r>
      <w:r w:rsidR="005C76AB">
        <w:rPr>
          <w:rFonts w:ascii="David" w:hAnsi="David" w:cs="David" w:hint="cs"/>
          <w:sz w:val="24"/>
          <w:szCs w:val="24"/>
          <w:rtl/>
        </w:rPr>
        <w:t xml:space="preserve"> לא משמורן</w:t>
      </w:r>
      <w:r w:rsidR="00A40B7D" w:rsidRPr="00005587">
        <w:rPr>
          <w:rFonts w:ascii="David" w:hAnsi="David" w:cs="David"/>
          <w:sz w:val="24"/>
          <w:szCs w:val="24"/>
          <w:rtl/>
        </w:rPr>
        <w:t xml:space="preserve">, יש לומר כמה מילים על </w:t>
      </w:r>
      <w:r w:rsidR="005F10F1">
        <w:rPr>
          <w:rFonts w:ascii="David" w:hAnsi="David" w:cs="David" w:hint="cs"/>
          <w:sz w:val="24"/>
          <w:szCs w:val="24"/>
          <w:rtl/>
        </w:rPr>
        <w:t>ה</w:t>
      </w:r>
      <w:r w:rsidR="00A40B7D" w:rsidRPr="00005587">
        <w:rPr>
          <w:rFonts w:ascii="David" w:hAnsi="David" w:cs="David"/>
          <w:sz w:val="24"/>
          <w:szCs w:val="24"/>
          <w:rtl/>
        </w:rPr>
        <w:t>חובות הנגזרות מ</w:t>
      </w:r>
      <w:r w:rsidR="005F10F1">
        <w:rPr>
          <w:rFonts w:ascii="David" w:hAnsi="David" w:cs="David" w:hint="cs"/>
          <w:sz w:val="24"/>
          <w:szCs w:val="24"/>
          <w:rtl/>
        </w:rPr>
        <w:t>אמונאות</w:t>
      </w:r>
      <w:r w:rsidR="00A40B7D" w:rsidRPr="00005587">
        <w:rPr>
          <w:rFonts w:ascii="David" w:hAnsi="David" w:cs="David"/>
          <w:sz w:val="24"/>
          <w:szCs w:val="24"/>
          <w:rtl/>
        </w:rPr>
        <w:t xml:space="preserve">. כפי שמלמדנו ליכט, נהוג </w:t>
      </w:r>
      <w:r w:rsidR="00887B54" w:rsidRPr="00005587">
        <w:rPr>
          <w:rFonts w:ascii="David" w:hAnsi="David" w:cs="David"/>
          <w:sz w:val="24"/>
          <w:szCs w:val="24"/>
          <w:rtl/>
        </w:rPr>
        <w:t>לסווג את החובה הנגזרת מאמונאות בהקשרים התאגידיים "הקלאסיים" כסטנדרט התנהגות מחמיר, במובן "אדם</w:t>
      </w:r>
      <w:r w:rsidR="00092F18">
        <w:rPr>
          <w:rFonts w:ascii="David" w:hAnsi="David" w:cs="David"/>
          <w:sz w:val="24"/>
          <w:szCs w:val="24"/>
          <w:rtl/>
        </w:rPr>
        <w:t xml:space="preserve"> לאדם מלאך"</w:t>
      </w:r>
      <w:r w:rsidR="00092F18">
        <w:rPr>
          <w:rFonts w:ascii="David" w:hAnsi="David" w:cs="David" w:hint="cs"/>
          <w:sz w:val="24"/>
          <w:szCs w:val="24"/>
          <w:rtl/>
        </w:rPr>
        <w:t>.</w:t>
      </w:r>
      <w:r w:rsidR="00887B54" w:rsidRPr="00005587">
        <w:rPr>
          <w:rStyle w:val="FootnoteReference"/>
          <w:rFonts w:ascii="David" w:hAnsi="David" w:cs="David"/>
          <w:sz w:val="24"/>
          <w:szCs w:val="24"/>
          <w:rtl/>
        </w:rPr>
        <w:footnoteReference w:id="96"/>
      </w:r>
      <w:r w:rsidR="00887B54" w:rsidRPr="00005587">
        <w:rPr>
          <w:rFonts w:ascii="David" w:hAnsi="David" w:cs="David"/>
          <w:sz w:val="24"/>
          <w:szCs w:val="24"/>
          <w:rtl/>
        </w:rPr>
        <w:t xml:space="preserve"> </w:t>
      </w:r>
      <w:r w:rsidR="00092F18">
        <w:rPr>
          <w:rFonts w:ascii="David" w:hAnsi="David" w:cs="David" w:hint="cs"/>
          <w:sz w:val="24"/>
          <w:szCs w:val="24"/>
          <w:rtl/>
        </w:rPr>
        <w:t xml:space="preserve">חובות האמון הצומחות </w:t>
      </w:r>
      <w:r w:rsidR="00887B54" w:rsidRPr="00005587">
        <w:rPr>
          <w:rFonts w:ascii="David" w:hAnsi="David" w:cs="David"/>
          <w:sz w:val="24"/>
          <w:szCs w:val="24"/>
          <w:rtl/>
        </w:rPr>
        <w:t xml:space="preserve">ועולות </w:t>
      </w:r>
      <w:r w:rsidR="00092F18">
        <w:rPr>
          <w:rFonts w:ascii="David" w:hAnsi="David" w:cs="David" w:hint="cs"/>
          <w:sz w:val="24"/>
          <w:szCs w:val="24"/>
          <w:rtl/>
        </w:rPr>
        <w:t>ממנה הינן מהסוג</w:t>
      </w:r>
      <w:r w:rsidR="00887B54" w:rsidRPr="00005587">
        <w:rPr>
          <w:rFonts w:ascii="David" w:hAnsi="David" w:cs="David"/>
          <w:sz w:val="24"/>
          <w:szCs w:val="24"/>
          <w:rtl/>
        </w:rPr>
        <w:t xml:space="preserve"> המחמיר ביותר, </w:t>
      </w:r>
      <w:r w:rsidR="00092F18">
        <w:rPr>
          <w:rFonts w:ascii="David" w:hAnsi="David" w:cs="David" w:hint="cs"/>
          <w:sz w:val="24"/>
          <w:szCs w:val="24"/>
          <w:rtl/>
        </w:rPr>
        <w:t>ו</w:t>
      </w:r>
      <w:r w:rsidR="00887B54" w:rsidRPr="00005587">
        <w:rPr>
          <w:rFonts w:ascii="David" w:hAnsi="David" w:cs="David"/>
          <w:sz w:val="24"/>
          <w:szCs w:val="24"/>
          <w:rtl/>
        </w:rPr>
        <w:t>דורשות "התמסרות מוחלטת לעניינו של הנהנה".</w:t>
      </w:r>
      <w:r w:rsidR="005F10F1">
        <w:rPr>
          <w:rStyle w:val="FootnoteReference"/>
          <w:rFonts w:ascii="David" w:hAnsi="David" w:cs="David"/>
          <w:sz w:val="24"/>
          <w:szCs w:val="24"/>
          <w:rtl/>
        </w:rPr>
        <w:footnoteReference w:id="97"/>
      </w:r>
      <w:r w:rsidR="00887B54" w:rsidRPr="00005587">
        <w:rPr>
          <w:rFonts w:ascii="David" w:hAnsi="David" w:cs="David"/>
          <w:sz w:val="24"/>
          <w:szCs w:val="24"/>
          <w:rtl/>
        </w:rPr>
        <w:t xml:space="preserve"> בין היתר כלולים </w:t>
      </w:r>
      <w:r w:rsidR="00BF3810">
        <w:rPr>
          <w:rFonts w:ascii="David" w:hAnsi="David" w:cs="David" w:hint="cs"/>
          <w:sz w:val="24"/>
          <w:szCs w:val="24"/>
          <w:rtl/>
        </w:rPr>
        <w:t>בה</w:t>
      </w:r>
      <w:r w:rsidR="00887B54" w:rsidRPr="00005587">
        <w:rPr>
          <w:rFonts w:ascii="David" w:hAnsi="David" w:cs="David"/>
          <w:sz w:val="24"/>
          <w:szCs w:val="24"/>
          <w:rtl/>
        </w:rPr>
        <w:t xml:space="preserve"> איסור ניגוד עניינים, חובת חשאיות (כלפי צדדים שלישיים) וחובת גילוי (כלפי הצד השני).</w:t>
      </w:r>
      <w:r w:rsidR="00005587" w:rsidRPr="00005587">
        <w:rPr>
          <w:rFonts w:ascii="David" w:hAnsi="David" w:cs="David"/>
          <w:sz w:val="24"/>
          <w:szCs w:val="24"/>
          <w:rtl/>
        </w:rPr>
        <w:t xml:space="preserve"> </w:t>
      </w:r>
      <w:r w:rsidR="00235F88">
        <w:rPr>
          <w:rFonts w:ascii="David" w:hAnsi="David" w:cs="David" w:hint="cs"/>
          <w:sz w:val="24"/>
          <w:szCs w:val="24"/>
          <w:rtl/>
        </w:rPr>
        <w:t xml:space="preserve">סטנדרט מחמיר זה אינו מתאים מטבעו ליחסים בהם עוסק המאמר. </w:t>
      </w:r>
      <w:r w:rsidR="00005587" w:rsidRPr="00005587">
        <w:rPr>
          <w:rFonts w:ascii="David" w:hAnsi="David" w:cs="David"/>
          <w:sz w:val="24"/>
          <w:szCs w:val="24"/>
          <w:rtl/>
        </w:rPr>
        <w:t xml:space="preserve">גם אופי החובות - איסור על ניגוד עניינים וחובת גילוי, </w:t>
      </w:r>
      <w:r w:rsidR="00BF3810">
        <w:rPr>
          <w:rFonts w:ascii="David" w:hAnsi="David" w:cs="David" w:hint="cs"/>
          <w:sz w:val="24"/>
          <w:szCs w:val="24"/>
          <w:rtl/>
        </w:rPr>
        <w:t xml:space="preserve">שניהם </w:t>
      </w:r>
      <w:r w:rsidR="005C76AB">
        <w:rPr>
          <w:rFonts w:ascii="David" w:hAnsi="David" w:cs="David" w:hint="cs"/>
          <w:sz w:val="24"/>
          <w:szCs w:val="24"/>
          <w:rtl/>
        </w:rPr>
        <w:t>פחות</w:t>
      </w:r>
      <w:r w:rsidR="00BF3810">
        <w:rPr>
          <w:rFonts w:ascii="David" w:hAnsi="David" w:cs="David"/>
          <w:sz w:val="24"/>
          <w:szCs w:val="24"/>
          <w:rtl/>
        </w:rPr>
        <w:t xml:space="preserve"> רלוונטי</w:t>
      </w:r>
      <w:r w:rsidR="00BF3810">
        <w:rPr>
          <w:rFonts w:ascii="David" w:hAnsi="David" w:cs="David" w:hint="cs"/>
          <w:sz w:val="24"/>
          <w:szCs w:val="24"/>
          <w:rtl/>
        </w:rPr>
        <w:t>ים</w:t>
      </w:r>
      <w:r w:rsidR="00005587" w:rsidRPr="00005587">
        <w:rPr>
          <w:rFonts w:ascii="David" w:hAnsi="David" w:cs="David"/>
          <w:sz w:val="24"/>
          <w:szCs w:val="24"/>
          <w:rtl/>
        </w:rPr>
        <w:t xml:space="preserve"> לענייננו</w:t>
      </w:r>
      <w:r w:rsidR="00235F88">
        <w:rPr>
          <w:rFonts w:ascii="David" w:hAnsi="David" w:cs="David"/>
          <w:sz w:val="24"/>
          <w:szCs w:val="24"/>
          <w:rtl/>
        </w:rPr>
        <w:t>.</w:t>
      </w:r>
      <w:r w:rsidR="005824DC">
        <w:rPr>
          <w:rFonts w:ascii="David" w:hAnsi="David" w:cs="David" w:hint="cs"/>
          <w:sz w:val="24"/>
          <w:szCs w:val="24"/>
          <w:rtl/>
        </w:rPr>
        <w:t xml:space="preserve"> כמו שראינו בניתוח של סקוט ואחרים את טיב החובות המאפיינות את קשר האמונאות שבין הורה לילד, גם החובות </w:t>
      </w:r>
      <w:r w:rsidR="00536179" w:rsidRPr="00005587">
        <w:rPr>
          <w:rFonts w:ascii="David" w:hAnsi="David" w:cs="David"/>
          <w:sz w:val="24"/>
          <w:szCs w:val="24"/>
          <w:rtl/>
        </w:rPr>
        <w:t xml:space="preserve">שיש לגזור מיחסי האמונאות </w:t>
      </w:r>
      <w:r w:rsidR="005824DC">
        <w:rPr>
          <w:rFonts w:ascii="David" w:hAnsi="David" w:cs="David" w:hint="cs"/>
          <w:sz w:val="24"/>
          <w:szCs w:val="24"/>
          <w:rtl/>
        </w:rPr>
        <w:t>ש</w:t>
      </w:r>
      <w:r w:rsidR="00536179" w:rsidRPr="00005587">
        <w:rPr>
          <w:rFonts w:ascii="David" w:hAnsi="David" w:cs="David"/>
          <w:sz w:val="24"/>
          <w:szCs w:val="24"/>
          <w:rtl/>
        </w:rPr>
        <w:t>בין ההורה החורג להורה</w:t>
      </w:r>
      <w:r w:rsidR="005824DC">
        <w:rPr>
          <w:rFonts w:ascii="David" w:hAnsi="David" w:cs="David" w:hint="cs"/>
          <w:sz w:val="24"/>
          <w:szCs w:val="24"/>
          <w:rtl/>
        </w:rPr>
        <w:t xml:space="preserve"> </w:t>
      </w:r>
      <w:r w:rsidR="005C76AB">
        <w:rPr>
          <w:rFonts w:ascii="David" w:hAnsi="David" w:cs="David" w:hint="cs"/>
          <w:sz w:val="24"/>
          <w:szCs w:val="24"/>
          <w:rtl/>
        </w:rPr>
        <w:t xml:space="preserve">הלא משמורן </w:t>
      </w:r>
      <w:r w:rsidR="005824DC">
        <w:rPr>
          <w:rFonts w:ascii="David" w:hAnsi="David" w:cs="David" w:hint="cs"/>
          <w:sz w:val="24"/>
          <w:szCs w:val="24"/>
          <w:rtl/>
        </w:rPr>
        <w:t xml:space="preserve">הינו שונה. ואולם בשונה מההקשר ההורי, </w:t>
      </w:r>
      <w:r w:rsidR="00BF3810">
        <w:rPr>
          <w:rFonts w:ascii="David" w:hAnsi="David" w:cs="David" w:hint="cs"/>
          <w:sz w:val="24"/>
          <w:szCs w:val="24"/>
          <w:rtl/>
        </w:rPr>
        <w:t xml:space="preserve">בו חב ההורה לילדו חובות בעלות אופי פוזיטיבי, </w:t>
      </w:r>
      <w:r w:rsidR="005824DC">
        <w:rPr>
          <w:rFonts w:ascii="David" w:hAnsi="David" w:cs="David" w:hint="cs"/>
          <w:sz w:val="24"/>
          <w:szCs w:val="24"/>
          <w:rtl/>
        </w:rPr>
        <w:t xml:space="preserve">הרי שהחובות הנגזרות כאן </w:t>
      </w:r>
      <w:r w:rsidR="00536179" w:rsidRPr="00005587">
        <w:rPr>
          <w:rFonts w:ascii="David" w:hAnsi="David" w:cs="David"/>
          <w:sz w:val="24"/>
          <w:szCs w:val="24"/>
          <w:rtl/>
        </w:rPr>
        <w:t>הינן שליליות מטיבן</w:t>
      </w:r>
      <w:r w:rsidR="00CE0873">
        <w:rPr>
          <w:rFonts w:ascii="David" w:hAnsi="David" w:cs="David" w:hint="cs"/>
          <w:sz w:val="24"/>
          <w:szCs w:val="24"/>
          <w:rtl/>
        </w:rPr>
        <w:t xml:space="preserve"> ומכוונות להיבט מסוים של חיי הילד וקשריו עם הורהו</w:t>
      </w:r>
      <w:r w:rsidR="00536179" w:rsidRPr="00005587">
        <w:rPr>
          <w:rFonts w:ascii="David" w:hAnsi="David" w:cs="David"/>
          <w:sz w:val="24"/>
          <w:szCs w:val="24"/>
          <w:rtl/>
        </w:rPr>
        <w:t xml:space="preserve">. </w:t>
      </w:r>
      <w:r w:rsidR="00CE0873">
        <w:rPr>
          <w:rFonts w:ascii="David" w:hAnsi="David" w:cs="David" w:hint="cs"/>
          <w:sz w:val="24"/>
          <w:szCs w:val="24"/>
          <w:rtl/>
        </w:rPr>
        <w:t xml:space="preserve">אספקטים אלה יתבררו בחלק הבא, הלוקח את המתווה התיאורטי המוצע לפן היישומי. </w:t>
      </w:r>
    </w:p>
    <w:p w14:paraId="457C0B98" w14:textId="7451789C" w:rsidR="00B31568" w:rsidRPr="003F5E21" w:rsidRDefault="00B27F9A" w:rsidP="008B0016">
      <w:pPr>
        <w:pStyle w:val="ListParagraph"/>
        <w:numPr>
          <w:ilvl w:val="0"/>
          <w:numId w:val="2"/>
        </w:numPr>
        <w:spacing w:line="480" w:lineRule="auto"/>
        <w:rPr>
          <w:rFonts w:asciiTheme="majorBidi" w:hAnsiTheme="majorBidi" w:cs="David"/>
          <w:b/>
          <w:bCs/>
          <w:sz w:val="24"/>
          <w:szCs w:val="24"/>
          <w:u w:val="single"/>
          <w:rtl/>
        </w:rPr>
      </w:pPr>
      <w:r>
        <w:rPr>
          <w:rFonts w:asciiTheme="majorBidi" w:hAnsiTheme="majorBidi" w:cs="David" w:hint="cs"/>
          <w:b/>
          <w:bCs/>
          <w:sz w:val="24"/>
          <w:szCs w:val="24"/>
          <w:u w:val="single"/>
          <w:rtl/>
        </w:rPr>
        <w:t xml:space="preserve">יחסי אמונאות </w:t>
      </w:r>
      <w:r w:rsidR="008B0016">
        <w:rPr>
          <w:rFonts w:asciiTheme="majorBidi" w:hAnsiTheme="majorBidi" w:cs="David" w:hint="cs"/>
          <w:b/>
          <w:bCs/>
          <w:sz w:val="24"/>
          <w:szCs w:val="24"/>
          <w:u w:val="single"/>
          <w:rtl/>
        </w:rPr>
        <w:t>בין ההורה החורג להורה המשפטי</w:t>
      </w:r>
      <w:r w:rsidR="004D35D5">
        <w:rPr>
          <w:rFonts w:asciiTheme="majorBidi" w:hAnsiTheme="majorBidi" w:cs="David" w:hint="cs"/>
          <w:b/>
          <w:bCs/>
          <w:sz w:val="24"/>
          <w:szCs w:val="24"/>
          <w:u w:val="single"/>
          <w:rtl/>
        </w:rPr>
        <w:t xml:space="preserve"> הלא משמורן</w:t>
      </w:r>
      <w:r w:rsidR="008B0016">
        <w:rPr>
          <w:rFonts w:asciiTheme="majorBidi" w:hAnsiTheme="majorBidi" w:cs="David" w:hint="cs"/>
          <w:b/>
          <w:bCs/>
          <w:sz w:val="24"/>
          <w:szCs w:val="24"/>
          <w:u w:val="single"/>
          <w:rtl/>
        </w:rPr>
        <w:t>: שת</w:t>
      </w:r>
      <w:r>
        <w:rPr>
          <w:rFonts w:asciiTheme="majorBidi" w:hAnsiTheme="majorBidi" w:cs="David" w:hint="cs"/>
          <w:b/>
          <w:bCs/>
          <w:sz w:val="24"/>
          <w:szCs w:val="24"/>
          <w:u w:val="single"/>
          <w:rtl/>
        </w:rPr>
        <w:t xml:space="preserve">י </w:t>
      </w:r>
      <w:r w:rsidR="008B0016">
        <w:rPr>
          <w:rFonts w:asciiTheme="majorBidi" w:hAnsiTheme="majorBidi" w:cs="David" w:hint="cs"/>
          <w:b/>
          <w:bCs/>
          <w:sz w:val="24"/>
          <w:szCs w:val="24"/>
          <w:u w:val="single"/>
          <w:rtl/>
        </w:rPr>
        <w:t xml:space="preserve">סוגיות </w:t>
      </w:r>
      <w:r>
        <w:rPr>
          <w:rFonts w:asciiTheme="majorBidi" w:hAnsiTheme="majorBidi" w:cs="David" w:hint="cs"/>
          <w:b/>
          <w:bCs/>
          <w:sz w:val="24"/>
          <w:szCs w:val="24"/>
          <w:u w:val="single"/>
          <w:rtl/>
        </w:rPr>
        <w:t>לדיון</w:t>
      </w:r>
      <w:r w:rsidR="00B31568" w:rsidRPr="003F5E21">
        <w:rPr>
          <w:rFonts w:asciiTheme="majorBidi" w:hAnsiTheme="majorBidi" w:cs="David"/>
          <w:b/>
          <w:bCs/>
          <w:sz w:val="24"/>
          <w:szCs w:val="24"/>
          <w:u w:val="single"/>
          <w:rtl/>
        </w:rPr>
        <w:t xml:space="preserve"> </w:t>
      </w:r>
    </w:p>
    <w:p w14:paraId="42D58E4D" w14:textId="49D8C391" w:rsidR="00330E2A" w:rsidRPr="00330E2A" w:rsidRDefault="00CD2F74" w:rsidP="00D94AC4">
      <w:pPr>
        <w:spacing w:line="480" w:lineRule="auto"/>
        <w:contextualSpacing/>
        <w:jc w:val="both"/>
        <w:rPr>
          <w:rFonts w:asciiTheme="majorBidi" w:hAnsiTheme="majorBidi" w:cs="David"/>
          <w:sz w:val="24"/>
          <w:szCs w:val="24"/>
          <w:rtl/>
        </w:rPr>
      </w:pPr>
      <w:r>
        <w:rPr>
          <w:rFonts w:asciiTheme="majorBidi" w:hAnsiTheme="majorBidi" w:cs="David" w:hint="cs"/>
          <w:sz w:val="24"/>
          <w:szCs w:val="24"/>
          <w:rtl/>
        </w:rPr>
        <w:t xml:space="preserve">לצורך מאמר זה מתאפיין </w:t>
      </w:r>
      <w:r w:rsidR="003C28F7">
        <w:rPr>
          <w:rFonts w:asciiTheme="majorBidi" w:hAnsiTheme="majorBidi" w:cs="David" w:hint="cs"/>
          <w:sz w:val="24"/>
          <w:szCs w:val="24"/>
          <w:rtl/>
        </w:rPr>
        <w:t xml:space="preserve">הורה חורג במאפיין רלוונטי שחשוב לחזור ולציינו </w:t>
      </w:r>
      <w:r w:rsidR="003C28F7">
        <w:rPr>
          <w:rFonts w:asciiTheme="majorBidi" w:hAnsiTheme="majorBidi" w:cs="David"/>
          <w:sz w:val="24"/>
          <w:szCs w:val="24"/>
          <w:rtl/>
        </w:rPr>
        <w:t>–</w:t>
      </w:r>
      <w:r w:rsidR="003C28F7">
        <w:rPr>
          <w:rFonts w:asciiTheme="majorBidi" w:hAnsiTheme="majorBidi" w:cs="David" w:hint="cs"/>
          <w:sz w:val="24"/>
          <w:szCs w:val="24"/>
          <w:rtl/>
        </w:rPr>
        <w:t xml:space="preserve"> </w:t>
      </w:r>
      <w:r w:rsidR="003E5D6D">
        <w:rPr>
          <w:rFonts w:asciiTheme="majorBidi" w:hAnsiTheme="majorBidi" w:cs="David" w:hint="cs"/>
          <w:sz w:val="24"/>
          <w:szCs w:val="24"/>
          <w:rtl/>
        </w:rPr>
        <w:t>בהיותו</w:t>
      </w:r>
      <w:r w:rsidR="00D46786">
        <w:rPr>
          <w:rFonts w:asciiTheme="majorBidi" w:hAnsiTheme="majorBidi" w:cs="David" w:hint="cs"/>
          <w:sz w:val="24"/>
          <w:szCs w:val="24"/>
          <w:rtl/>
        </w:rPr>
        <w:t xml:space="preserve"> בן הזוג של </w:t>
      </w:r>
      <w:r w:rsidR="00D46786" w:rsidRPr="00330E2A">
        <w:rPr>
          <w:rFonts w:asciiTheme="majorBidi" w:hAnsiTheme="majorBidi" w:cstheme="majorBidi"/>
          <w:sz w:val="24"/>
          <w:szCs w:val="24"/>
          <w:rtl/>
        </w:rPr>
        <w:t xml:space="preserve">ה </w:t>
      </w:r>
      <w:r w:rsidR="00D46786" w:rsidRPr="00330E2A">
        <w:rPr>
          <w:rFonts w:asciiTheme="majorBidi" w:hAnsiTheme="majorBidi" w:cstheme="majorBidi"/>
          <w:sz w:val="24"/>
          <w:szCs w:val="24"/>
        </w:rPr>
        <w:t>Residential parent</w:t>
      </w:r>
      <w:r w:rsidR="003C28F7" w:rsidRPr="00330E2A">
        <w:rPr>
          <w:rFonts w:asciiTheme="majorBidi" w:hAnsiTheme="majorBidi" w:cstheme="majorBidi"/>
          <w:sz w:val="24"/>
          <w:szCs w:val="24"/>
          <w:rtl/>
        </w:rPr>
        <w:t>,</w:t>
      </w:r>
      <w:r w:rsidR="003C28F7">
        <w:rPr>
          <w:rFonts w:asciiTheme="majorBidi" w:hAnsiTheme="majorBidi" w:cs="David" w:hint="cs"/>
          <w:sz w:val="24"/>
          <w:szCs w:val="24"/>
          <w:rtl/>
        </w:rPr>
        <w:t xml:space="preserve"> המתגורר איתו ועם הילד באותו בית</w:t>
      </w:r>
      <w:r w:rsidR="00157F9F">
        <w:rPr>
          <w:rFonts w:asciiTheme="majorBidi" w:hAnsiTheme="majorBidi" w:cs="David" w:hint="cs"/>
          <w:sz w:val="24"/>
          <w:szCs w:val="24"/>
          <w:rtl/>
        </w:rPr>
        <w:t>,</w:t>
      </w:r>
      <w:r w:rsidR="003C28F7">
        <w:rPr>
          <w:rFonts w:asciiTheme="majorBidi" w:hAnsiTheme="majorBidi" w:cs="David" w:hint="cs"/>
          <w:sz w:val="24"/>
          <w:szCs w:val="24"/>
          <w:rtl/>
        </w:rPr>
        <w:t xml:space="preserve"> </w:t>
      </w:r>
      <w:r w:rsidR="003E5D6D">
        <w:rPr>
          <w:rFonts w:asciiTheme="majorBidi" w:hAnsiTheme="majorBidi" w:cs="David" w:hint="cs"/>
          <w:sz w:val="24"/>
          <w:szCs w:val="24"/>
          <w:rtl/>
        </w:rPr>
        <w:t xml:space="preserve">הוא מבלה פרק זמן ניכר עם הילד, </w:t>
      </w:r>
      <w:r w:rsidR="00D94AC4">
        <w:rPr>
          <w:rFonts w:asciiTheme="majorBidi" w:hAnsiTheme="majorBidi" w:cs="David" w:hint="cs"/>
          <w:sz w:val="24"/>
          <w:szCs w:val="24"/>
          <w:rtl/>
        </w:rPr>
        <w:t>אשר יתכן ש</w:t>
      </w:r>
      <w:r w:rsidR="003E5D6D">
        <w:rPr>
          <w:rFonts w:asciiTheme="majorBidi" w:hAnsiTheme="majorBidi" w:cs="David" w:hint="cs"/>
          <w:sz w:val="24"/>
          <w:szCs w:val="24"/>
          <w:rtl/>
        </w:rPr>
        <w:t xml:space="preserve">עולה </w:t>
      </w:r>
      <w:r w:rsidR="00844DA7">
        <w:rPr>
          <w:rFonts w:asciiTheme="majorBidi" w:hAnsiTheme="majorBidi" w:cs="David" w:hint="cs"/>
          <w:sz w:val="24"/>
          <w:szCs w:val="24"/>
          <w:rtl/>
        </w:rPr>
        <w:t>על זה של ההורה</w:t>
      </w:r>
      <w:r w:rsidR="004D35D5">
        <w:rPr>
          <w:rFonts w:asciiTheme="majorBidi" w:hAnsiTheme="majorBidi" w:cs="David" w:hint="cs"/>
          <w:sz w:val="24"/>
          <w:szCs w:val="24"/>
          <w:rtl/>
        </w:rPr>
        <w:t xml:space="preserve"> הלא משמורן</w:t>
      </w:r>
      <w:r w:rsidR="00844DA7">
        <w:rPr>
          <w:rFonts w:asciiTheme="majorBidi" w:hAnsiTheme="majorBidi" w:cs="David" w:hint="cs"/>
          <w:sz w:val="24"/>
          <w:szCs w:val="24"/>
          <w:rtl/>
        </w:rPr>
        <w:t>.</w:t>
      </w:r>
      <w:r w:rsidR="00D46786">
        <w:rPr>
          <w:rStyle w:val="FootnoteReference"/>
          <w:rFonts w:asciiTheme="majorBidi" w:hAnsiTheme="majorBidi" w:cs="David"/>
          <w:sz w:val="24"/>
          <w:szCs w:val="24"/>
          <w:rtl/>
        </w:rPr>
        <w:footnoteReference w:id="98"/>
      </w:r>
      <w:r w:rsidR="003E5D6D">
        <w:rPr>
          <w:rFonts w:asciiTheme="majorBidi" w:hAnsiTheme="majorBidi" w:cs="David" w:hint="cs"/>
          <w:sz w:val="24"/>
          <w:szCs w:val="24"/>
          <w:rtl/>
        </w:rPr>
        <w:t xml:space="preserve"> </w:t>
      </w:r>
      <w:r w:rsidR="00844DA7">
        <w:rPr>
          <w:rFonts w:asciiTheme="majorBidi" w:hAnsiTheme="majorBidi" w:cs="David" w:hint="cs"/>
          <w:sz w:val="24"/>
          <w:szCs w:val="24"/>
          <w:rtl/>
        </w:rPr>
        <w:t>משך הזמן בו הם מבלים יחד</w:t>
      </w:r>
      <w:r w:rsidR="00DE1BB2">
        <w:rPr>
          <w:rFonts w:asciiTheme="majorBidi" w:hAnsiTheme="majorBidi" w:cs="David" w:hint="cs"/>
          <w:sz w:val="24"/>
          <w:szCs w:val="24"/>
          <w:rtl/>
        </w:rPr>
        <w:t>,</w:t>
      </w:r>
      <w:r w:rsidR="00844DA7">
        <w:rPr>
          <w:rFonts w:asciiTheme="majorBidi" w:hAnsiTheme="majorBidi" w:cs="David" w:hint="cs"/>
          <w:sz w:val="24"/>
          <w:szCs w:val="24"/>
          <w:rtl/>
        </w:rPr>
        <w:t xml:space="preserve"> אינטנסיביות הקשר ומאפייניו המשפחתיים, עשויים להוות כר נרחב </w:t>
      </w:r>
      <w:r w:rsidR="00A44433">
        <w:rPr>
          <w:rFonts w:asciiTheme="majorBidi" w:hAnsiTheme="majorBidi" w:cs="David" w:hint="cs"/>
          <w:sz w:val="24"/>
          <w:szCs w:val="24"/>
          <w:rtl/>
        </w:rPr>
        <w:t>לחשיפה של הילד</w:t>
      </w:r>
      <w:r w:rsidR="00844DA7">
        <w:rPr>
          <w:rFonts w:asciiTheme="majorBidi" w:hAnsiTheme="majorBidi" w:cs="David" w:hint="cs"/>
          <w:sz w:val="24"/>
          <w:szCs w:val="24"/>
          <w:rtl/>
        </w:rPr>
        <w:t xml:space="preserve"> לאורחות חיים, מנהגים והתנהגויות של ההורה החורג</w:t>
      </w:r>
      <w:r w:rsidR="00D94AC4">
        <w:rPr>
          <w:rFonts w:asciiTheme="majorBidi" w:hAnsiTheme="majorBidi" w:cs="David" w:hint="cs"/>
          <w:sz w:val="24"/>
          <w:szCs w:val="24"/>
          <w:rtl/>
        </w:rPr>
        <w:t>,</w:t>
      </w:r>
      <w:r w:rsidR="00DE1BB2">
        <w:rPr>
          <w:rFonts w:asciiTheme="majorBidi" w:hAnsiTheme="majorBidi" w:cs="David" w:hint="cs"/>
          <w:sz w:val="24"/>
          <w:szCs w:val="24"/>
          <w:rtl/>
        </w:rPr>
        <w:t xml:space="preserve"> ובהתאם</w:t>
      </w:r>
      <w:r w:rsidR="00D94AC4">
        <w:rPr>
          <w:rFonts w:asciiTheme="majorBidi" w:hAnsiTheme="majorBidi" w:cs="David" w:hint="cs"/>
          <w:sz w:val="24"/>
          <w:szCs w:val="24"/>
          <w:rtl/>
        </w:rPr>
        <w:t>,</w:t>
      </w:r>
      <w:r w:rsidR="00DE1BB2">
        <w:rPr>
          <w:rFonts w:asciiTheme="majorBidi" w:hAnsiTheme="majorBidi" w:cs="David" w:hint="cs"/>
          <w:sz w:val="24"/>
          <w:szCs w:val="24"/>
          <w:rtl/>
        </w:rPr>
        <w:t xml:space="preserve"> לגלם פוטנציאל ל</w:t>
      </w:r>
      <w:r w:rsidR="00A44433">
        <w:rPr>
          <w:rFonts w:asciiTheme="majorBidi" w:hAnsiTheme="majorBidi" w:cs="David" w:hint="cs"/>
          <w:sz w:val="24"/>
          <w:szCs w:val="24"/>
          <w:rtl/>
        </w:rPr>
        <w:t>השפעה רבה על הילד</w:t>
      </w:r>
      <w:r w:rsidR="00844DA7">
        <w:rPr>
          <w:rFonts w:asciiTheme="majorBidi" w:hAnsiTheme="majorBidi" w:cs="David" w:hint="cs"/>
          <w:sz w:val="24"/>
          <w:szCs w:val="24"/>
          <w:rtl/>
        </w:rPr>
        <w:t>.</w:t>
      </w:r>
      <w:r w:rsidR="00D46786">
        <w:rPr>
          <w:rFonts w:asciiTheme="majorBidi" w:hAnsiTheme="majorBidi" w:cs="David" w:hint="cs"/>
          <w:sz w:val="24"/>
          <w:szCs w:val="24"/>
          <w:rtl/>
        </w:rPr>
        <w:t xml:space="preserve"> בנוסף, ולצורך פישוט הדילמה העובדתית</w:t>
      </w:r>
      <w:r w:rsidR="00854F8F">
        <w:rPr>
          <w:rFonts w:asciiTheme="majorBidi" w:hAnsiTheme="majorBidi" w:cs="David" w:hint="cs"/>
          <w:sz w:val="24"/>
          <w:szCs w:val="24"/>
          <w:rtl/>
        </w:rPr>
        <w:t>,</w:t>
      </w:r>
      <w:r w:rsidR="00D46786">
        <w:rPr>
          <w:rFonts w:asciiTheme="majorBidi" w:hAnsiTheme="majorBidi" w:cs="David" w:hint="cs"/>
          <w:sz w:val="24"/>
          <w:szCs w:val="24"/>
          <w:rtl/>
        </w:rPr>
        <w:t xml:space="preserve"> נניח </w:t>
      </w:r>
      <w:r w:rsidR="00330E2A">
        <w:rPr>
          <w:rFonts w:asciiTheme="majorBidi" w:hAnsiTheme="majorBidi" w:cs="David" w:hint="cs"/>
          <w:sz w:val="24"/>
          <w:szCs w:val="24"/>
          <w:rtl/>
        </w:rPr>
        <w:t xml:space="preserve">עוד </w:t>
      </w:r>
      <w:r w:rsidR="00D46786">
        <w:rPr>
          <w:rFonts w:asciiTheme="majorBidi" w:hAnsiTheme="majorBidi" w:cs="David" w:hint="cs"/>
          <w:sz w:val="24"/>
          <w:szCs w:val="24"/>
          <w:rtl/>
        </w:rPr>
        <w:t xml:space="preserve">כי </w:t>
      </w:r>
      <w:r w:rsidR="00330E2A" w:rsidRPr="00330E2A">
        <w:rPr>
          <w:rFonts w:asciiTheme="majorBidi" w:hAnsiTheme="majorBidi" w:cs="David" w:hint="cs"/>
          <w:sz w:val="24"/>
          <w:szCs w:val="24"/>
          <w:rtl/>
        </w:rPr>
        <w:t xml:space="preserve">אין טענה אוטנטית המטילה דופי בתפקודו או מסוגלותו ההורית של ההורה הלא משמורן וכי בעקרון </w:t>
      </w:r>
      <w:r w:rsidR="00355E90">
        <w:rPr>
          <w:rFonts w:asciiTheme="majorBidi" w:hAnsiTheme="majorBidi" w:cs="David" w:hint="cs"/>
          <w:sz w:val="24"/>
          <w:szCs w:val="24"/>
          <w:rtl/>
        </w:rPr>
        <w:t>יחסיו עם הילד</w:t>
      </w:r>
      <w:r w:rsidR="00330E2A" w:rsidRPr="00330E2A">
        <w:rPr>
          <w:rFonts w:asciiTheme="majorBidi" w:hAnsiTheme="majorBidi" w:cs="David" w:hint="cs"/>
          <w:sz w:val="24"/>
          <w:szCs w:val="24"/>
          <w:rtl/>
        </w:rPr>
        <w:t xml:space="preserve"> </w:t>
      </w:r>
      <w:r w:rsidR="00352177">
        <w:rPr>
          <w:rFonts w:asciiTheme="majorBidi" w:hAnsiTheme="majorBidi" w:cs="David" w:hint="cs"/>
          <w:sz w:val="24"/>
          <w:szCs w:val="24"/>
          <w:rtl/>
        </w:rPr>
        <w:t>תקינים ו</w:t>
      </w:r>
      <w:r w:rsidR="00330E2A" w:rsidRPr="00330E2A">
        <w:rPr>
          <w:rFonts w:asciiTheme="majorBidi" w:hAnsiTheme="majorBidi" w:cs="David" w:hint="cs"/>
          <w:sz w:val="24"/>
          <w:szCs w:val="24"/>
          <w:rtl/>
        </w:rPr>
        <w:t>מטיבים.</w:t>
      </w:r>
    </w:p>
    <w:p w14:paraId="1C1BD3D7" w14:textId="5B9A3FC9" w:rsidR="000231DA" w:rsidRPr="00DE01F9" w:rsidRDefault="00844DA7" w:rsidP="00F70E31">
      <w:pPr>
        <w:pStyle w:val="CommentText"/>
        <w:spacing w:line="480" w:lineRule="auto"/>
        <w:jc w:val="both"/>
        <w:rPr>
          <w:rtl/>
        </w:rPr>
      </w:pPr>
      <w:r>
        <w:rPr>
          <w:rFonts w:asciiTheme="majorBidi" w:hAnsiTheme="majorBidi" w:cs="David" w:hint="cs"/>
          <w:sz w:val="24"/>
          <w:szCs w:val="24"/>
          <w:rtl/>
        </w:rPr>
        <w:t xml:space="preserve">על רקע </w:t>
      </w:r>
      <w:r w:rsidR="00330E2A">
        <w:rPr>
          <w:rFonts w:asciiTheme="majorBidi" w:hAnsiTheme="majorBidi" w:cs="David" w:hint="cs"/>
          <w:sz w:val="24"/>
          <w:szCs w:val="24"/>
          <w:rtl/>
        </w:rPr>
        <w:t>הנחות</w:t>
      </w:r>
      <w:r>
        <w:rPr>
          <w:rFonts w:asciiTheme="majorBidi" w:hAnsiTheme="majorBidi" w:cs="David" w:hint="cs"/>
          <w:sz w:val="24"/>
          <w:szCs w:val="24"/>
          <w:rtl/>
        </w:rPr>
        <w:t xml:space="preserve"> עובדתי</w:t>
      </w:r>
      <w:r w:rsidR="00330E2A">
        <w:rPr>
          <w:rFonts w:asciiTheme="majorBidi" w:hAnsiTheme="majorBidi" w:cs="David" w:hint="cs"/>
          <w:sz w:val="24"/>
          <w:szCs w:val="24"/>
          <w:rtl/>
        </w:rPr>
        <w:t xml:space="preserve">ות אלה </w:t>
      </w:r>
      <w:r>
        <w:rPr>
          <w:rFonts w:asciiTheme="majorBidi" w:hAnsiTheme="majorBidi" w:cs="David" w:hint="cs"/>
          <w:sz w:val="24"/>
          <w:szCs w:val="24"/>
          <w:rtl/>
        </w:rPr>
        <w:t xml:space="preserve">נפנה לבחון את </w:t>
      </w:r>
      <w:r w:rsidR="008B0016">
        <w:rPr>
          <w:rFonts w:asciiTheme="majorBidi" w:hAnsiTheme="majorBidi" w:cs="David" w:hint="cs"/>
          <w:sz w:val="24"/>
          <w:szCs w:val="24"/>
          <w:rtl/>
        </w:rPr>
        <w:t xml:space="preserve">שתי </w:t>
      </w:r>
      <w:r w:rsidR="003E6070">
        <w:rPr>
          <w:rFonts w:asciiTheme="majorBidi" w:hAnsiTheme="majorBidi" w:cs="David" w:hint="cs"/>
          <w:sz w:val="24"/>
          <w:szCs w:val="24"/>
          <w:rtl/>
        </w:rPr>
        <w:t>ה</w:t>
      </w:r>
      <w:r w:rsidR="008B0016">
        <w:rPr>
          <w:rFonts w:asciiTheme="majorBidi" w:hAnsiTheme="majorBidi" w:cs="David" w:hint="cs"/>
          <w:sz w:val="24"/>
          <w:szCs w:val="24"/>
          <w:rtl/>
        </w:rPr>
        <w:t xml:space="preserve">סוגיות </w:t>
      </w:r>
      <w:r>
        <w:rPr>
          <w:rFonts w:asciiTheme="majorBidi" w:hAnsiTheme="majorBidi" w:cs="David" w:hint="cs"/>
          <w:sz w:val="24"/>
          <w:szCs w:val="24"/>
          <w:rtl/>
        </w:rPr>
        <w:t>שנבחרו לדיון.</w:t>
      </w:r>
      <w:r w:rsidR="003E5E18">
        <w:rPr>
          <w:rStyle w:val="FootnoteReference"/>
          <w:rFonts w:asciiTheme="majorBidi" w:hAnsiTheme="majorBidi" w:cs="David"/>
          <w:sz w:val="24"/>
          <w:szCs w:val="24"/>
          <w:rtl/>
        </w:rPr>
        <w:footnoteReference w:id="99"/>
      </w:r>
      <w:r>
        <w:rPr>
          <w:rFonts w:asciiTheme="majorBidi" w:hAnsiTheme="majorBidi" w:cs="David" w:hint="cs"/>
          <w:sz w:val="24"/>
          <w:szCs w:val="24"/>
          <w:rtl/>
        </w:rPr>
        <w:t xml:space="preserve"> </w:t>
      </w:r>
      <w:r w:rsidR="00352177">
        <w:rPr>
          <w:rFonts w:asciiTheme="majorBidi" w:hAnsiTheme="majorBidi" w:cs="David" w:hint="cs"/>
          <w:sz w:val="24"/>
          <w:szCs w:val="24"/>
          <w:rtl/>
        </w:rPr>
        <w:t xml:space="preserve">הראשונה, </w:t>
      </w:r>
      <w:r w:rsidR="003E6070" w:rsidRPr="003E6070">
        <w:rPr>
          <w:rFonts w:asciiTheme="majorBidi" w:hAnsiTheme="majorBidi" w:cs="David" w:hint="cs"/>
          <w:sz w:val="24"/>
          <w:szCs w:val="24"/>
          <w:rtl/>
        </w:rPr>
        <w:t>פגיעה אפשרית ביחסי ההורה</w:t>
      </w:r>
      <w:r w:rsidR="00355E90">
        <w:rPr>
          <w:rFonts w:asciiTheme="majorBidi" w:hAnsiTheme="majorBidi" w:cs="David" w:hint="cs"/>
          <w:sz w:val="24"/>
          <w:szCs w:val="24"/>
          <w:rtl/>
        </w:rPr>
        <w:t xml:space="preserve"> הלא משמורן</w:t>
      </w:r>
      <w:r w:rsidR="003E6070" w:rsidRPr="003E6070">
        <w:rPr>
          <w:rFonts w:asciiTheme="majorBidi" w:hAnsiTheme="majorBidi" w:cs="David" w:hint="cs"/>
          <w:sz w:val="24"/>
          <w:szCs w:val="24"/>
          <w:rtl/>
        </w:rPr>
        <w:t xml:space="preserve"> והילד בהשפעת ההורה החורג; השני</w:t>
      </w:r>
      <w:r w:rsidR="009C7048">
        <w:rPr>
          <w:rFonts w:asciiTheme="majorBidi" w:hAnsiTheme="majorBidi" w:cs="David" w:hint="cs"/>
          <w:sz w:val="24"/>
          <w:szCs w:val="24"/>
          <w:rtl/>
        </w:rPr>
        <w:t>י</w:t>
      </w:r>
      <w:r w:rsidR="003E6070" w:rsidRPr="003E6070">
        <w:rPr>
          <w:rFonts w:asciiTheme="majorBidi" w:hAnsiTheme="majorBidi" w:cs="David" w:hint="cs"/>
          <w:sz w:val="24"/>
          <w:szCs w:val="24"/>
          <w:rtl/>
        </w:rPr>
        <w:t xml:space="preserve">ה, </w:t>
      </w:r>
      <w:r w:rsidR="003E6070" w:rsidRPr="003E6070">
        <w:rPr>
          <w:rFonts w:ascii="David" w:hAnsi="David" w:cs="David" w:hint="cs"/>
          <w:color w:val="000000"/>
          <w:sz w:val="24"/>
          <w:szCs w:val="24"/>
          <w:shd w:val="clear" w:color="auto" w:fill="FFFFFF"/>
          <w:rtl/>
        </w:rPr>
        <w:t>פגיעה באמונתו או באורחות חייו של ההורה</w:t>
      </w:r>
      <w:r w:rsidR="00355E90">
        <w:rPr>
          <w:rFonts w:ascii="David" w:hAnsi="David" w:cs="David" w:hint="cs"/>
          <w:color w:val="000000"/>
          <w:sz w:val="24"/>
          <w:szCs w:val="24"/>
          <w:shd w:val="clear" w:color="auto" w:fill="FFFFFF"/>
          <w:rtl/>
        </w:rPr>
        <w:t xml:space="preserve"> הלא משמורן</w:t>
      </w:r>
      <w:r w:rsidR="003E6070" w:rsidRPr="003E6070">
        <w:rPr>
          <w:rFonts w:ascii="David" w:hAnsi="David" w:cs="David" w:hint="cs"/>
          <w:color w:val="000000"/>
          <w:sz w:val="24"/>
          <w:szCs w:val="24"/>
          <w:shd w:val="clear" w:color="auto" w:fill="FFFFFF"/>
          <w:rtl/>
        </w:rPr>
        <w:t xml:space="preserve"> בהשפעת ההורה החורג</w:t>
      </w:r>
      <w:r w:rsidR="003E6070" w:rsidRPr="003E6070">
        <w:rPr>
          <w:rFonts w:asciiTheme="majorBidi" w:hAnsiTheme="majorBidi" w:cs="David" w:hint="cs"/>
          <w:sz w:val="24"/>
          <w:szCs w:val="24"/>
          <w:rtl/>
        </w:rPr>
        <w:t>.</w:t>
      </w:r>
      <w:r w:rsidR="003E6070">
        <w:rPr>
          <w:rFonts w:asciiTheme="majorBidi" w:hAnsiTheme="majorBidi" w:cs="David" w:hint="cs"/>
          <w:sz w:val="24"/>
          <w:szCs w:val="24"/>
          <w:rtl/>
        </w:rPr>
        <w:t xml:space="preserve"> </w:t>
      </w:r>
      <w:r w:rsidR="00A44433">
        <w:rPr>
          <w:rFonts w:asciiTheme="majorBidi" w:hAnsiTheme="majorBidi" w:cs="David" w:hint="cs"/>
          <w:sz w:val="24"/>
          <w:szCs w:val="24"/>
          <w:rtl/>
        </w:rPr>
        <w:t xml:space="preserve">יש לציין כי </w:t>
      </w:r>
      <w:r w:rsidR="008B0016">
        <w:rPr>
          <w:rFonts w:asciiTheme="majorBidi" w:hAnsiTheme="majorBidi" w:cs="David" w:hint="cs"/>
          <w:sz w:val="24"/>
          <w:szCs w:val="24"/>
          <w:rtl/>
        </w:rPr>
        <w:t>סוגיות</w:t>
      </w:r>
      <w:r>
        <w:rPr>
          <w:rFonts w:asciiTheme="majorBidi" w:hAnsiTheme="majorBidi" w:cs="David" w:hint="cs"/>
          <w:sz w:val="24"/>
          <w:szCs w:val="24"/>
          <w:rtl/>
        </w:rPr>
        <w:t xml:space="preserve"> אלה נבחרו לדיון בשל שתי סיבות </w:t>
      </w:r>
      <w:r>
        <w:rPr>
          <w:rFonts w:asciiTheme="majorBidi" w:hAnsiTheme="majorBidi" w:cs="David"/>
          <w:sz w:val="24"/>
          <w:szCs w:val="24"/>
          <w:rtl/>
        </w:rPr>
        <w:t>–</w:t>
      </w:r>
      <w:r>
        <w:rPr>
          <w:rFonts w:asciiTheme="majorBidi" w:hAnsiTheme="majorBidi" w:cs="David" w:hint="cs"/>
          <w:sz w:val="24"/>
          <w:szCs w:val="24"/>
          <w:rtl/>
        </w:rPr>
        <w:t xml:space="preserve"> </w:t>
      </w:r>
      <w:r w:rsidR="00157F9F">
        <w:rPr>
          <w:rFonts w:asciiTheme="majorBidi" w:hAnsiTheme="majorBidi" w:cs="David" w:hint="cs"/>
          <w:sz w:val="24"/>
          <w:szCs w:val="24"/>
          <w:rtl/>
        </w:rPr>
        <w:t xml:space="preserve">האחת, </w:t>
      </w:r>
      <w:r w:rsidR="008B0016">
        <w:rPr>
          <w:rFonts w:asciiTheme="majorBidi" w:hAnsiTheme="majorBidi" w:cs="David" w:hint="cs"/>
          <w:sz w:val="24"/>
          <w:szCs w:val="24"/>
          <w:rtl/>
        </w:rPr>
        <w:t>פוטנציאל המחלוקת הטמון בהן</w:t>
      </w:r>
      <w:r>
        <w:rPr>
          <w:rFonts w:asciiTheme="majorBidi" w:hAnsiTheme="majorBidi" w:cs="David" w:hint="cs"/>
          <w:sz w:val="24"/>
          <w:szCs w:val="24"/>
          <w:rtl/>
        </w:rPr>
        <w:t xml:space="preserve"> הוא</w:t>
      </w:r>
      <w:r w:rsidR="00E609C0">
        <w:rPr>
          <w:rFonts w:asciiTheme="majorBidi" w:hAnsiTheme="majorBidi" w:cs="David" w:hint="cs"/>
          <w:sz w:val="24"/>
          <w:szCs w:val="24"/>
          <w:rtl/>
        </w:rPr>
        <w:t xml:space="preserve"> ככל הנראה</w:t>
      </w:r>
      <w:r>
        <w:rPr>
          <w:rFonts w:asciiTheme="majorBidi" w:hAnsiTheme="majorBidi" w:cs="David" w:hint="cs"/>
          <w:sz w:val="24"/>
          <w:szCs w:val="24"/>
          <w:rtl/>
        </w:rPr>
        <w:t xml:space="preserve"> רב. </w:t>
      </w:r>
      <w:r w:rsidR="00DE1BB2">
        <w:rPr>
          <w:rFonts w:asciiTheme="majorBidi" w:hAnsiTheme="majorBidi" w:cs="David" w:hint="cs"/>
          <w:sz w:val="24"/>
          <w:szCs w:val="24"/>
          <w:rtl/>
        </w:rPr>
        <w:t>סוג</w:t>
      </w:r>
      <w:r>
        <w:rPr>
          <w:rFonts w:asciiTheme="majorBidi" w:hAnsiTheme="majorBidi" w:cs="David" w:hint="cs"/>
          <w:sz w:val="24"/>
          <w:szCs w:val="24"/>
          <w:rtl/>
        </w:rPr>
        <w:t xml:space="preserve"> </w:t>
      </w:r>
      <w:r w:rsidR="00A44433">
        <w:rPr>
          <w:rFonts w:asciiTheme="majorBidi" w:hAnsiTheme="majorBidi" w:cs="David" w:hint="cs"/>
          <w:sz w:val="24"/>
          <w:szCs w:val="24"/>
          <w:rtl/>
        </w:rPr>
        <w:t xml:space="preserve">סכסוכים </w:t>
      </w:r>
      <w:r w:rsidR="00DE1BB2">
        <w:rPr>
          <w:rFonts w:asciiTheme="majorBidi" w:hAnsiTheme="majorBidi" w:cs="David" w:hint="cs"/>
          <w:sz w:val="24"/>
          <w:szCs w:val="24"/>
          <w:rtl/>
        </w:rPr>
        <w:t>זה</w:t>
      </w:r>
      <w:r w:rsidR="00157F9F">
        <w:rPr>
          <w:rFonts w:asciiTheme="majorBidi" w:hAnsiTheme="majorBidi" w:cs="David" w:hint="cs"/>
          <w:sz w:val="24"/>
          <w:szCs w:val="24"/>
          <w:rtl/>
        </w:rPr>
        <w:t xml:space="preserve"> רווח</w:t>
      </w:r>
      <w:r>
        <w:rPr>
          <w:rFonts w:asciiTheme="majorBidi" w:hAnsiTheme="majorBidi" w:cs="David" w:hint="cs"/>
          <w:sz w:val="24"/>
          <w:szCs w:val="24"/>
          <w:rtl/>
        </w:rPr>
        <w:t xml:space="preserve"> בין הורים פרודים (ללא קשר למקום שממלא הורה חורג בהקשר זה) </w:t>
      </w:r>
      <w:r w:rsidR="00A44433">
        <w:rPr>
          <w:rFonts w:asciiTheme="majorBidi" w:hAnsiTheme="majorBidi" w:cs="David" w:hint="cs"/>
          <w:sz w:val="24"/>
          <w:szCs w:val="24"/>
          <w:rtl/>
        </w:rPr>
        <w:t xml:space="preserve">והם מוכרים </w:t>
      </w:r>
      <w:r w:rsidR="00157F9F">
        <w:rPr>
          <w:rFonts w:asciiTheme="majorBidi" w:hAnsiTheme="majorBidi" w:cs="David" w:hint="cs"/>
          <w:sz w:val="24"/>
          <w:szCs w:val="24"/>
          <w:rtl/>
        </w:rPr>
        <w:t xml:space="preserve">מן הפסיקה, מן הספרות ומניסיון החיים. </w:t>
      </w:r>
      <w:r w:rsidR="003E6070">
        <w:rPr>
          <w:rFonts w:asciiTheme="majorBidi" w:hAnsiTheme="majorBidi" w:cs="David" w:hint="cs"/>
          <w:sz w:val="24"/>
          <w:szCs w:val="24"/>
          <w:rtl/>
        </w:rPr>
        <w:t xml:space="preserve">ייחודו של המאמר בכך שהוא </w:t>
      </w:r>
      <w:r w:rsidR="00E609C0">
        <w:rPr>
          <w:rFonts w:asciiTheme="majorBidi" w:hAnsiTheme="majorBidi" w:cs="David" w:hint="cs"/>
          <w:sz w:val="24"/>
          <w:szCs w:val="24"/>
          <w:rtl/>
        </w:rPr>
        <w:t xml:space="preserve">מתמקד </w:t>
      </w:r>
      <w:r w:rsidR="00854F8F">
        <w:rPr>
          <w:rFonts w:asciiTheme="majorBidi" w:hAnsiTheme="majorBidi" w:cs="David" w:hint="cs"/>
          <w:sz w:val="24"/>
          <w:szCs w:val="24"/>
          <w:rtl/>
        </w:rPr>
        <w:t>בחלק</w:t>
      </w:r>
      <w:r w:rsidR="00E609C0">
        <w:rPr>
          <w:rFonts w:asciiTheme="majorBidi" w:hAnsiTheme="majorBidi" w:cs="David" w:hint="cs"/>
          <w:sz w:val="24"/>
          <w:szCs w:val="24"/>
          <w:rtl/>
        </w:rPr>
        <w:t xml:space="preserve"> של ההורה החורג כצד לסכסוכים רווחים אלה. </w:t>
      </w:r>
      <w:r w:rsidR="00355E90">
        <w:rPr>
          <w:rFonts w:asciiTheme="majorBidi" w:hAnsiTheme="majorBidi" w:cs="David" w:hint="cs"/>
          <w:sz w:val="24"/>
          <w:szCs w:val="24"/>
          <w:rtl/>
        </w:rPr>
        <w:t xml:space="preserve">הסיבה </w:t>
      </w:r>
      <w:r w:rsidR="00157F9F">
        <w:rPr>
          <w:rFonts w:asciiTheme="majorBidi" w:hAnsiTheme="majorBidi" w:cs="David" w:hint="cs"/>
          <w:sz w:val="24"/>
          <w:szCs w:val="24"/>
          <w:rtl/>
        </w:rPr>
        <w:t>השני</w:t>
      </w:r>
      <w:r w:rsidR="00E609C0">
        <w:rPr>
          <w:rFonts w:asciiTheme="majorBidi" w:hAnsiTheme="majorBidi" w:cs="David" w:hint="cs"/>
          <w:sz w:val="24"/>
          <w:szCs w:val="24"/>
          <w:rtl/>
        </w:rPr>
        <w:t>יה</w:t>
      </w:r>
      <w:r w:rsidR="00355E90">
        <w:rPr>
          <w:rFonts w:asciiTheme="majorBidi" w:hAnsiTheme="majorBidi" w:cs="David" w:hint="cs"/>
          <w:sz w:val="24"/>
          <w:szCs w:val="24"/>
          <w:rtl/>
        </w:rPr>
        <w:t xml:space="preserve"> נוגעת ל</w:t>
      </w:r>
      <w:r w:rsidR="00157F9F">
        <w:rPr>
          <w:rFonts w:asciiTheme="majorBidi" w:hAnsiTheme="majorBidi" w:cs="David" w:hint="cs"/>
          <w:sz w:val="24"/>
          <w:szCs w:val="24"/>
          <w:rtl/>
        </w:rPr>
        <w:t>השפעה</w:t>
      </w:r>
      <w:r w:rsidR="00355E90">
        <w:rPr>
          <w:rFonts w:asciiTheme="majorBidi" w:hAnsiTheme="majorBidi" w:cs="David" w:hint="cs"/>
          <w:sz w:val="24"/>
          <w:szCs w:val="24"/>
          <w:rtl/>
        </w:rPr>
        <w:t xml:space="preserve"> המוגבלת</w:t>
      </w:r>
      <w:r w:rsidR="00157F9F">
        <w:rPr>
          <w:rFonts w:asciiTheme="majorBidi" w:hAnsiTheme="majorBidi" w:cs="David" w:hint="cs"/>
          <w:sz w:val="24"/>
          <w:szCs w:val="24"/>
          <w:rtl/>
        </w:rPr>
        <w:t xml:space="preserve"> שיש להורה </w:t>
      </w:r>
      <w:r w:rsidR="00355E90">
        <w:rPr>
          <w:rFonts w:asciiTheme="majorBidi" w:hAnsiTheme="majorBidi" w:cs="David" w:hint="cs"/>
          <w:sz w:val="24"/>
          <w:szCs w:val="24"/>
          <w:rtl/>
        </w:rPr>
        <w:t>הלא משמורן</w:t>
      </w:r>
      <w:r w:rsidR="00157F9F">
        <w:rPr>
          <w:rFonts w:asciiTheme="majorBidi" w:hAnsiTheme="majorBidi" w:cs="David" w:hint="cs"/>
          <w:sz w:val="24"/>
          <w:szCs w:val="24"/>
          <w:rtl/>
        </w:rPr>
        <w:t xml:space="preserve"> (גם אם הוא מחזיק ב </w:t>
      </w:r>
      <w:r w:rsidR="00157F9F">
        <w:rPr>
          <w:rFonts w:asciiTheme="majorBidi" w:hAnsiTheme="majorBidi" w:cs="David"/>
          <w:sz w:val="24"/>
          <w:szCs w:val="24"/>
        </w:rPr>
        <w:t xml:space="preserve"> </w:t>
      </w:r>
      <w:r w:rsidR="00F70E31">
        <w:rPr>
          <w:rFonts w:asciiTheme="majorBidi" w:hAnsiTheme="majorBidi" w:cs="David"/>
          <w:sz w:val="24"/>
          <w:szCs w:val="24"/>
        </w:rPr>
        <w:t>(</w:t>
      </w:r>
      <w:r w:rsidR="00157F9F">
        <w:rPr>
          <w:rFonts w:asciiTheme="majorBidi" w:hAnsiTheme="majorBidi" w:cs="David"/>
          <w:sz w:val="24"/>
          <w:szCs w:val="24"/>
        </w:rPr>
        <w:t xml:space="preserve"> </w:t>
      </w:r>
      <w:r w:rsidR="00832F54">
        <w:rPr>
          <w:rFonts w:asciiTheme="majorBidi" w:hAnsiTheme="majorBidi" w:cs="David"/>
          <w:sz w:val="24"/>
          <w:szCs w:val="24"/>
        </w:rPr>
        <w:t xml:space="preserve">joint </w:t>
      </w:r>
      <w:r w:rsidR="00157F9F">
        <w:rPr>
          <w:rFonts w:asciiTheme="majorBidi" w:hAnsiTheme="majorBidi" w:cs="David"/>
          <w:sz w:val="24"/>
          <w:szCs w:val="24"/>
        </w:rPr>
        <w:t>legal custody</w:t>
      </w:r>
      <w:r w:rsidR="00355E90">
        <w:rPr>
          <w:rFonts w:asciiTheme="majorBidi" w:hAnsiTheme="majorBidi" w:cs="David" w:hint="cs"/>
          <w:sz w:val="24"/>
          <w:szCs w:val="24"/>
          <w:rtl/>
        </w:rPr>
        <w:t xml:space="preserve"> </w:t>
      </w:r>
      <w:r w:rsidR="00025CA9">
        <w:rPr>
          <w:rFonts w:asciiTheme="majorBidi" w:hAnsiTheme="majorBidi" w:cs="David" w:hint="cs"/>
          <w:sz w:val="24"/>
          <w:szCs w:val="24"/>
          <w:rtl/>
        </w:rPr>
        <w:t xml:space="preserve">בסוג זה </w:t>
      </w:r>
      <w:r w:rsidR="00355E90">
        <w:rPr>
          <w:rFonts w:asciiTheme="majorBidi" w:hAnsiTheme="majorBidi" w:cs="David" w:hint="cs"/>
          <w:sz w:val="24"/>
          <w:szCs w:val="24"/>
          <w:rtl/>
        </w:rPr>
        <w:t>של עניינים</w:t>
      </w:r>
      <w:r w:rsidR="00157F9F">
        <w:rPr>
          <w:rFonts w:asciiTheme="majorBidi" w:hAnsiTheme="majorBidi" w:cs="David" w:hint="cs"/>
          <w:sz w:val="24"/>
          <w:szCs w:val="24"/>
          <w:rtl/>
        </w:rPr>
        <w:t>. בשונה מהחלטות</w:t>
      </w:r>
      <w:r w:rsidR="00E609C0">
        <w:rPr>
          <w:rFonts w:asciiTheme="majorBidi" w:hAnsiTheme="majorBidi" w:cs="David" w:hint="cs"/>
          <w:sz w:val="24"/>
          <w:szCs w:val="24"/>
          <w:rtl/>
        </w:rPr>
        <w:t xml:space="preserve"> "גדולות"</w:t>
      </w:r>
      <w:r w:rsidR="00157F9F">
        <w:rPr>
          <w:rFonts w:asciiTheme="majorBidi" w:hAnsiTheme="majorBidi" w:cs="David" w:hint="cs"/>
          <w:sz w:val="24"/>
          <w:szCs w:val="24"/>
          <w:rtl/>
        </w:rPr>
        <w:t xml:space="preserve"> הנוגעות</w:t>
      </w:r>
      <w:r w:rsidR="00F4346F">
        <w:rPr>
          <w:rFonts w:asciiTheme="majorBidi" w:hAnsiTheme="majorBidi" w:cs="David" w:hint="cs"/>
          <w:sz w:val="24"/>
          <w:szCs w:val="24"/>
          <w:rtl/>
        </w:rPr>
        <w:t xml:space="preserve">, למשל, </w:t>
      </w:r>
      <w:r w:rsidR="00157F9F">
        <w:rPr>
          <w:rFonts w:asciiTheme="majorBidi" w:hAnsiTheme="majorBidi" w:cs="David" w:hint="cs"/>
          <w:sz w:val="24"/>
          <w:szCs w:val="24"/>
          <w:rtl/>
        </w:rPr>
        <w:t xml:space="preserve"> </w:t>
      </w:r>
      <w:r w:rsidR="00E609C0">
        <w:rPr>
          <w:rFonts w:asciiTheme="majorBidi" w:hAnsiTheme="majorBidi" w:cs="David" w:hint="cs"/>
          <w:sz w:val="24"/>
          <w:szCs w:val="24"/>
          <w:rtl/>
        </w:rPr>
        <w:t>לחינוך ילדים</w:t>
      </w:r>
      <w:r w:rsidR="002572BF">
        <w:rPr>
          <w:rFonts w:asciiTheme="majorBidi" w:hAnsiTheme="majorBidi" w:cs="David" w:hint="cs"/>
          <w:sz w:val="24"/>
          <w:szCs w:val="24"/>
          <w:rtl/>
        </w:rPr>
        <w:t xml:space="preserve">, </w:t>
      </w:r>
      <w:r w:rsidR="00E609C0">
        <w:rPr>
          <w:rFonts w:asciiTheme="majorBidi" w:hAnsiTheme="majorBidi" w:cs="David" w:hint="cs"/>
          <w:sz w:val="24"/>
          <w:szCs w:val="24"/>
          <w:rtl/>
        </w:rPr>
        <w:t>כדוגמת</w:t>
      </w:r>
      <w:r w:rsidR="00780FAE">
        <w:rPr>
          <w:rFonts w:asciiTheme="majorBidi" w:hAnsiTheme="majorBidi" w:cs="David" w:hint="cs"/>
          <w:sz w:val="24"/>
          <w:szCs w:val="24"/>
          <w:rtl/>
        </w:rPr>
        <w:t xml:space="preserve"> קביעה ביחס לזהות</w:t>
      </w:r>
      <w:r w:rsidR="00E609C0">
        <w:rPr>
          <w:rFonts w:asciiTheme="majorBidi" w:hAnsiTheme="majorBidi" w:cs="David" w:hint="cs"/>
          <w:sz w:val="24"/>
          <w:szCs w:val="24"/>
          <w:rtl/>
        </w:rPr>
        <w:t xml:space="preserve"> המוסד החינוכי </w:t>
      </w:r>
      <w:r w:rsidR="00F70E31">
        <w:rPr>
          <w:rFonts w:asciiTheme="majorBidi" w:hAnsiTheme="majorBidi" w:cs="David" w:hint="cs"/>
          <w:sz w:val="24"/>
          <w:szCs w:val="24"/>
          <w:rtl/>
        </w:rPr>
        <w:t>בו ילמד</w:t>
      </w:r>
      <w:r w:rsidR="00E609C0">
        <w:rPr>
          <w:rFonts w:asciiTheme="majorBidi" w:hAnsiTheme="majorBidi" w:cs="David" w:hint="cs"/>
          <w:sz w:val="24"/>
          <w:szCs w:val="24"/>
          <w:rtl/>
        </w:rPr>
        <w:t xml:space="preserve"> הילד</w:t>
      </w:r>
      <w:r w:rsidR="002572BF">
        <w:rPr>
          <w:rFonts w:asciiTheme="majorBidi" w:hAnsiTheme="majorBidi" w:cs="David" w:hint="cs"/>
          <w:sz w:val="24"/>
          <w:szCs w:val="24"/>
          <w:rtl/>
        </w:rPr>
        <w:t xml:space="preserve">, </w:t>
      </w:r>
      <w:r w:rsidR="00157F9F">
        <w:rPr>
          <w:rFonts w:asciiTheme="majorBidi" w:hAnsiTheme="majorBidi" w:cs="David" w:hint="cs"/>
          <w:sz w:val="24"/>
          <w:szCs w:val="24"/>
          <w:rtl/>
        </w:rPr>
        <w:t>או להכרעות בדבר טיפ</w:t>
      </w:r>
      <w:r w:rsidR="002572BF">
        <w:rPr>
          <w:rFonts w:asciiTheme="majorBidi" w:hAnsiTheme="majorBidi" w:cs="David" w:hint="cs"/>
          <w:sz w:val="24"/>
          <w:szCs w:val="24"/>
          <w:rtl/>
        </w:rPr>
        <w:t>ול רפואי, לגביהם יש</w:t>
      </w:r>
      <w:r w:rsidR="009C7048">
        <w:rPr>
          <w:rFonts w:asciiTheme="majorBidi" w:hAnsiTheme="majorBidi" w:cs="David" w:hint="cs"/>
          <w:sz w:val="24"/>
          <w:szCs w:val="24"/>
          <w:rtl/>
        </w:rPr>
        <w:t xml:space="preserve"> </w:t>
      </w:r>
      <w:r w:rsidR="00E609C0">
        <w:rPr>
          <w:rFonts w:asciiTheme="majorBidi" w:hAnsiTheme="majorBidi" w:cs="David" w:hint="cs"/>
          <w:sz w:val="24"/>
          <w:szCs w:val="24"/>
          <w:rtl/>
        </w:rPr>
        <w:t>ל</w:t>
      </w:r>
      <w:r w:rsidR="009C7048">
        <w:rPr>
          <w:rFonts w:asciiTheme="majorBidi" w:hAnsiTheme="majorBidi" w:cs="David" w:hint="cs"/>
          <w:sz w:val="24"/>
          <w:szCs w:val="24"/>
          <w:rtl/>
        </w:rPr>
        <w:t xml:space="preserve">הורים </w:t>
      </w:r>
      <w:r w:rsidR="002572BF">
        <w:rPr>
          <w:rFonts w:asciiTheme="majorBidi" w:hAnsiTheme="majorBidi" w:cs="David" w:hint="cs"/>
          <w:sz w:val="24"/>
          <w:szCs w:val="24"/>
          <w:rtl/>
        </w:rPr>
        <w:t>המשפטיים סמכות הכרעה</w:t>
      </w:r>
      <w:r w:rsidR="00E609C0">
        <w:rPr>
          <w:rFonts w:asciiTheme="majorBidi" w:hAnsiTheme="majorBidi" w:cs="David" w:hint="cs"/>
          <w:sz w:val="24"/>
          <w:szCs w:val="24"/>
          <w:rtl/>
        </w:rPr>
        <w:t xml:space="preserve"> משותפת</w:t>
      </w:r>
      <w:r w:rsidR="002572BF">
        <w:rPr>
          <w:rFonts w:asciiTheme="majorBidi" w:hAnsiTheme="majorBidi" w:cs="David" w:hint="cs"/>
          <w:sz w:val="24"/>
          <w:szCs w:val="24"/>
          <w:rtl/>
        </w:rPr>
        <w:t>,</w:t>
      </w:r>
      <w:r w:rsidR="00355E90">
        <w:rPr>
          <w:rStyle w:val="FootnoteReference"/>
          <w:rFonts w:asciiTheme="majorBidi" w:hAnsiTheme="majorBidi" w:cs="David"/>
          <w:sz w:val="24"/>
          <w:szCs w:val="24"/>
          <w:rtl/>
        </w:rPr>
        <w:footnoteReference w:id="100"/>
      </w:r>
      <w:r w:rsidR="002572BF">
        <w:rPr>
          <w:rFonts w:asciiTheme="majorBidi" w:hAnsiTheme="majorBidi" w:cs="David" w:hint="cs"/>
          <w:sz w:val="24"/>
          <w:szCs w:val="24"/>
          <w:rtl/>
        </w:rPr>
        <w:t xml:space="preserve"> הרי שבעניינים שגרתיים, בחשיפה לאמירות ומעשים של ההורה החורג, מידת ההשפעה הקיימת להורה שאינו מתגורר עם הי</w:t>
      </w:r>
      <w:r w:rsidR="00780FAE">
        <w:rPr>
          <w:rFonts w:asciiTheme="majorBidi" w:hAnsiTheme="majorBidi" w:cs="David" w:hint="cs"/>
          <w:sz w:val="24"/>
          <w:szCs w:val="24"/>
          <w:rtl/>
        </w:rPr>
        <w:t xml:space="preserve">לד, מצומצמת. נפנה כעת לבחון את </w:t>
      </w:r>
      <w:r w:rsidR="00025CA9">
        <w:rPr>
          <w:rFonts w:asciiTheme="majorBidi" w:hAnsiTheme="majorBidi" w:cs="David" w:hint="cs"/>
          <w:sz w:val="24"/>
          <w:szCs w:val="24"/>
          <w:rtl/>
        </w:rPr>
        <w:t>כל אחד ממקרי המבחן האמורים.</w:t>
      </w:r>
    </w:p>
    <w:p w14:paraId="729AA17D" w14:textId="00223243" w:rsidR="00012AEF" w:rsidRPr="00012AEF" w:rsidRDefault="00012AEF" w:rsidP="00012AEF">
      <w:pPr>
        <w:pStyle w:val="ListParagraph"/>
        <w:numPr>
          <w:ilvl w:val="0"/>
          <w:numId w:val="9"/>
        </w:numPr>
        <w:spacing w:line="480" w:lineRule="auto"/>
        <w:jc w:val="both"/>
        <w:rPr>
          <w:rFonts w:asciiTheme="majorBidi" w:hAnsiTheme="majorBidi" w:cs="David"/>
          <w:b/>
          <w:bCs/>
          <w:sz w:val="24"/>
          <w:szCs w:val="24"/>
        </w:rPr>
      </w:pPr>
      <w:r w:rsidRPr="00012AEF">
        <w:rPr>
          <w:rFonts w:asciiTheme="majorBidi" w:hAnsiTheme="majorBidi" w:cs="David" w:hint="cs"/>
          <w:b/>
          <w:bCs/>
          <w:sz w:val="24"/>
          <w:szCs w:val="24"/>
          <w:rtl/>
        </w:rPr>
        <w:t>פגיעה ביחסי ההורה</w:t>
      </w:r>
      <w:r w:rsidR="00832F54">
        <w:rPr>
          <w:rFonts w:asciiTheme="majorBidi" w:hAnsiTheme="majorBidi" w:cs="David" w:hint="cs"/>
          <w:b/>
          <w:bCs/>
          <w:sz w:val="24"/>
          <w:szCs w:val="24"/>
          <w:rtl/>
        </w:rPr>
        <w:t xml:space="preserve"> הלא משמורן</w:t>
      </w:r>
      <w:r w:rsidRPr="00012AEF">
        <w:rPr>
          <w:rFonts w:asciiTheme="majorBidi" w:hAnsiTheme="majorBidi" w:cs="David" w:hint="cs"/>
          <w:b/>
          <w:bCs/>
          <w:sz w:val="24"/>
          <w:szCs w:val="24"/>
          <w:rtl/>
        </w:rPr>
        <w:t xml:space="preserve"> והילד בהשפעת ההורה החורג</w:t>
      </w:r>
    </w:p>
    <w:p w14:paraId="31323611" w14:textId="6E1D0963" w:rsidR="00A802F5" w:rsidRDefault="00F4346F" w:rsidP="00832F54">
      <w:pPr>
        <w:spacing w:line="480" w:lineRule="auto"/>
        <w:jc w:val="both"/>
        <w:rPr>
          <w:rFonts w:asciiTheme="majorBidi" w:hAnsiTheme="majorBidi" w:cs="David"/>
          <w:sz w:val="24"/>
          <w:szCs w:val="24"/>
          <w:rtl/>
        </w:rPr>
      </w:pPr>
      <w:r>
        <w:rPr>
          <w:rFonts w:asciiTheme="majorBidi" w:hAnsiTheme="majorBidi" w:cs="David" w:hint="cs"/>
          <w:sz w:val="24"/>
          <w:szCs w:val="24"/>
          <w:rtl/>
        </w:rPr>
        <w:t>הסוגיה הראשונה</w:t>
      </w:r>
      <w:r w:rsidR="00012AEF" w:rsidRPr="00012AEF">
        <w:rPr>
          <w:rFonts w:asciiTheme="majorBidi" w:hAnsiTheme="majorBidi" w:cs="David" w:hint="cs"/>
          <w:sz w:val="24"/>
          <w:szCs w:val="24"/>
          <w:rtl/>
        </w:rPr>
        <w:t xml:space="preserve"> נוגע</w:t>
      </w:r>
      <w:r>
        <w:rPr>
          <w:rFonts w:asciiTheme="majorBidi" w:hAnsiTheme="majorBidi" w:cs="David" w:hint="cs"/>
          <w:sz w:val="24"/>
          <w:szCs w:val="24"/>
          <w:rtl/>
        </w:rPr>
        <w:t>ת</w:t>
      </w:r>
      <w:r w:rsidR="00012AEF" w:rsidRPr="00012AEF">
        <w:rPr>
          <w:rFonts w:asciiTheme="majorBidi" w:hAnsiTheme="majorBidi" w:cs="David" w:hint="cs"/>
          <w:sz w:val="24"/>
          <w:szCs w:val="24"/>
          <w:rtl/>
        </w:rPr>
        <w:t xml:space="preserve"> להשפעה (השלילית)</w:t>
      </w:r>
      <w:r w:rsidR="00CF2115">
        <w:rPr>
          <w:rFonts w:asciiTheme="majorBidi" w:hAnsiTheme="majorBidi" w:cs="David" w:hint="cs"/>
          <w:sz w:val="24"/>
          <w:szCs w:val="24"/>
          <w:rtl/>
        </w:rPr>
        <w:t xml:space="preserve"> הפוטנציאלית</w:t>
      </w:r>
      <w:r w:rsidR="00012AEF" w:rsidRPr="00012AEF">
        <w:rPr>
          <w:rFonts w:asciiTheme="majorBidi" w:hAnsiTheme="majorBidi" w:cs="David" w:hint="cs"/>
          <w:sz w:val="24"/>
          <w:szCs w:val="24"/>
          <w:rtl/>
        </w:rPr>
        <w:t xml:space="preserve"> הקיימת להורה החורג על יחסי</w:t>
      </w:r>
      <w:r w:rsidR="005B109C">
        <w:rPr>
          <w:rFonts w:asciiTheme="majorBidi" w:hAnsiTheme="majorBidi" w:cs="David" w:hint="cs"/>
          <w:sz w:val="24"/>
          <w:szCs w:val="24"/>
          <w:rtl/>
        </w:rPr>
        <w:t>ו</w:t>
      </w:r>
      <w:r w:rsidR="00012AEF" w:rsidRPr="00012AEF">
        <w:rPr>
          <w:rFonts w:asciiTheme="majorBidi" w:hAnsiTheme="majorBidi" w:cs="David" w:hint="cs"/>
          <w:sz w:val="24"/>
          <w:szCs w:val="24"/>
          <w:rtl/>
        </w:rPr>
        <w:t xml:space="preserve"> של הילד עם ההורה</w:t>
      </w:r>
      <w:r w:rsidR="00832F54">
        <w:rPr>
          <w:rFonts w:asciiTheme="majorBidi" w:hAnsiTheme="majorBidi" w:cs="David" w:hint="cs"/>
          <w:sz w:val="24"/>
          <w:szCs w:val="24"/>
          <w:rtl/>
        </w:rPr>
        <w:t xml:space="preserve"> הלא משמורן</w:t>
      </w:r>
      <w:r w:rsidR="00012AEF" w:rsidRPr="00012AEF">
        <w:rPr>
          <w:rFonts w:asciiTheme="majorBidi" w:hAnsiTheme="majorBidi" w:cs="David" w:hint="cs"/>
          <w:sz w:val="24"/>
          <w:szCs w:val="24"/>
          <w:rtl/>
        </w:rPr>
        <w:t>.</w:t>
      </w:r>
      <w:r w:rsidR="00C63A87">
        <w:rPr>
          <w:rFonts w:asciiTheme="majorBidi" w:hAnsiTheme="majorBidi" w:cs="David" w:hint="cs"/>
          <w:sz w:val="24"/>
          <w:szCs w:val="24"/>
          <w:rtl/>
        </w:rPr>
        <w:t xml:space="preserve"> </w:t>
      </w:r>
      <w:r w:rsidR="00A802F5">
        <w:rPr>
          <w:rFonts w:asciiTheme="majorBidi" w:hAnsiTheme="majorBidi" w:cs="David" w:hint="cs"/>
          <w:sz w:val="24"/>
          <w:szCs w:val="24"/>
          <w:rtl/>
        </w:rPr>
        <w:t>חשוב להקדים ולומר</w:t>
      </w:r>
      <w:r w:rsidR="00780FAE">
        <w:rPr>
          <w:rFonts w:asciiTheme="majorBidi" w:hAnsiTheme="majorBidi" w:cs="David" w:hint="cs"/>
          <w:sz w:val="24"/>
          <w:szCs w:val="24"/>
          <w:rtl/>
        </w:rPr>
        <w:t xml:space="preserve"> (גם אם זה מובן מאליו)</w:t>
      </w:r>
      <w:r w:rsidR="00A802F5">
        <w:rPr>
          <w:rFonts w:asciiTheme="majorBidi" w:hAnsiTheme="majorBidi" w:cs="David" w:hint="cs"/>
          <w:sz w:val="24"/>
          <w:szCs w:val="24"/>
          <w:rtl/>
        </w:rPr>
        <w:t xml:space="preserve"> כי לא בכל מצב בו שולב במשפחה הורה חורג מתעורר קונפליקט בין הילד להורה הלא מ</w:t>
      </w:r>
      <w:r w:rsidR="00832F54">
        <w:rPr>
          <w:rFonts w:asciiTheme="majorBidi" w:hAnsiTheme="majorBidi" w:cs="David" w:hint="cs"/>
          <w:sz w:val="24"/>
          <w:szCs w:val="24"/>
          <w:rtl/>
        </w:rPr>
        <w:t>שמורן</w:t>
      </w:r>
      <w:r w:rsidR="00A802F5">
        <w:rPr>
          <w:rFonts w:asciiTheme="majorBidi" w:hAnsiTheme="majorBidi" w:cs="David" w:hint="cs"/>
          <w:sz w:val="24"/>
          <w:szCs w:val="24"/>
          <w:rtl/>
        </w:rPr>
        <w:t>. ברור עוד כי אם קיים קונפלי</w:t>
      </w:r>
      <w:r w:rsidR="00683572">
        <w:rPr>
          <w:rFonts w:asciiTheme="majorBidi" w:hAnsiTheme="majorBidi" w:cs="David" w:hint="cs"/>
          <w:sz w:val="24"/>
          <w:szCs w:val="24"/>
          <w:rtl/>
        </w:rPr>
        <w:t>ק</w:t>
      </w:r>
      <w:r w:rsidR="00A802F5">
        <w:rPr>
          <w:rFonts w:asciiTheme="majorBidi" w:hAnsiTheme="majorBidi" w:cs="David" w:hint="cs"/>
          <w:sz w:val="24"/>
          <w:szCs w:val="24"/>
          <w:rtl/>
        </w:rPr>
        <w:t xml:space="preserve">ט, הרי שקונפליקט זה אינו בהכרח תוצאה של </w:t>
      </w:r>
      <w:r w:rsidR="00683572">
        <w:rPr>
          <w:rFonts w:asciiTheme="majorBidi" w:hAnsiTheme="majorBidi" w:cs="David" w:hint="cs"/>
          <w:sz w:val="24"/>
          <w:szCs w:val="24"/>
          <w:rtl/>
        </w:rPr>
        <w:t>כניסתו</w:t>
      </w:r>
      <w:r w:rsidR="00A802F5">
        <w:rPr>
          <w:rFonts w:asciiTheme="majorBidi" w:hAnsiTheme="majorBidi" w:cs="David" w:hint="cs"/>
          <w:sz w:val="24"/>
          <w:szCs w:val="24"/>
          <w:rtl/>
        </w:rPr>
        <w:t xml:space="preserve"> של ההורה החורג</w:t>
      </w:r>
      <w:r w:rsidR="00683572">
        <w:rPr>
          <w:rFonts w:asciiTheme="majorBidi" w:hAnsiTheme="majorBidi" w:cs="David" w:hint="cs"/>
          <w:sz w:val="24"/>
          <w:szCs w:val="24"/>
          <w:rtl/>
        </w:rPr>
        <w:t xml:space="preserve"> למשפחה</w:t>
      </w:r>
      <w:r w:rsidR="00A802F5">
        <w:rPr>
          <w:rFonts w:asciiTheme="majorBidi" w:hAnsiTheme="majorBidi" w:cs="David" w:hint="cs"/>
          <w:sz w:val="24"/>
          <w:szCs w:val="24"/>
          <w:rtl/>
        </w:rPr>
        <w:t xml:space="preserve"> או שנוצר ב</w:t>
      </w:r>
      <w:r w:rsidR="00683572">
        <w:rPr>
          <w:rFonts w:asciiTheme="majorBidi" w:hAnsiTheme="majorBidi" w:cs="David" w:hint="cs"/>
          <w:sz w:val="24"/>
          <w:szCs w:val="24"/>
          <w:rtl/>
        </w:rPr>
        <w:t xml:space="preserve">גין התנהגותו או </w:t>
      </w:r>
      <w:r w:rsidR="00A802F5">
        <w:rPr>
          <w:rFonts w:asciiTheme="majorBidi" w:hAnsiTheme="majorBidi" w:cs="David" w:hint="cs"/>
          <w:sz w:val="24"/>
          <w:szCs w:val="24"/>
          <w:rtl/>
        </w:rPr>
        <w:t>ב</w:t>
      </w:r>
      <w:r w:rsidR="00960E89">
        <w:rPr>
          <w:rFonts w:asciiTheme="majorBidi" w:hAnsiTheme="majorBidi" w:cs="David" w:hint="cs"/>
          <w:sz w:val="24"/>
          <w:szCs w:val="24"/>
          <w:rtl/>
        </w:rPr>
        <w:t>"</w:t>
      </w:r>
      <w:r w:rsidR="00A802F5">
        <w:rPr>
          <w:rFonts w:asciiTheme="majorBidi" w:hAnsiTheme="majorBidi" w:cs="David" w:hint="cs"/>
          <w:sz w:val="24"/>
          <w:szCs w:val="24"/>
          <w:rtl/>
        </w:rPr>
        <w:t>אשמתו</w:t>
      </w:r>
      <w:r w:rsidR="00960E89">
        <w:rPr>
          <w:rFonts w:asciiTheme="majorBidi" w:hAnsiTheme="majorBidi" w:cs="David" w:hint="cs"/>
          <w:sz w:val="24"/>
          <w:szCs w:val="24"/>
          <w:rtl/>
        </w:rPr>
        <w:t>"</w:t>
      </w:r>
      <w:r w:rsidR="00A802F5">
        <w:rPr>
          <w:rFonts w:asciiTheme="majorBidi" w:hAnsiTheme="majorBidi" w:cs="David" w:hint="cs"/>
          <w:sz w:val="24"/>
          <w:szCs w:val="24"/>
          <w:rtl/>
        </w:rPr>
        <w:t xml:space="preserve">. </w:t>
      </w:r>
      <w:r w:rsidR="00683572">
        <w:rPr>
          <w:rFonts w:asciiTheme="majorBidi" w:hAnsiTheme="majorBidi" w:cs="David" w:hint="cs"/>
          <w:sz w:val="24"/>
          <w:szCs w:val="24"/>
          <w:rtl/>
        </w:rPr>
        <w:t>חלק זה נוגע לדיון במצבים בהם התנהגותו אכן השפיעה על יחסי ה</w:t>
      </w:r>
      <w:r w:rsidR="00CB0850">
        <w:rPr>
          <w:rFonts w:asciiTheme="majorBidi" w:hAnsiTheme="majorBidi" w:cs="David" w:hint="cs"/>
          <w:sz w:val="24"/>
          <w:szCs w:val="24"/>
          <w:rtl/>
        </w:rPr>
        <w:t>צדדים ופגעה ביחסי הילד וההורה</w:t>
      </w:r>
      <w:r w:rsidR="00832F54">
        <w:rPr>
          <w:rFonts w:asciiTheme="majorBidi" w:hAnsiTheme="majorBidi" w:cs="David" w:hint="cs"/>
          <w:sz w:val="24"/>
          <w:szCs w:val="24"/>
          <w:rtl/>
        </w:rPr>
        <w:t xml:space="preserve"> הלא משמורן</w:t>
      </w:r>
      <w:r w:rsidR="00CB0850">
        <w:rPr>
          <w:rFonts w:asciiTheme="majorBidi" w:hAnsiTheme="majorBidi" w:cs="David" w:hint="cs"/>
          <w:sz w:val="24"/>
          <w:szCs w:val="24"/>
          <w:rtl/>
        </w:rPr>
        <w:t>.</w:t>
      </w:r>
    </w:p>
    <w:p w14:paraId="6E50F52D" w14:textId="244223E7" w:rsidR="003E38A2" w:rsidRDefault="005B109C" w:rsidP="00FE793A">
      <w:pPr>
        <w:spacing w:line="480" w:lineRule="auto"/>
        <w:jc w:val="both"/>
        <w:rPr>
          <w:rFonts w:asciiTheme="majorBidi" w:hAnsiTheme="majorBidi" w:cs="David"/>
          <w:sz w:val="24"/>
          <w:szCs w:val="24"/>
          <w:rtl/>
        </w:rPr>
      </w:pPr>
      <w:r>
        <w:rPr>
          <w:rFonts w:asciiTheme="majorBidi" w:hAnsiTheme="majorBidi" w:cs="David" w:hint="cs"/>
          <w:sz w:val="24"/>
          <w:szCs w:val="24"/>
          <w:rtl/>
        </w:rPr>
        <w:t>כפי שכבר נאמר קודם,</w:t>
      </w:r>
      <w:r w:rsidR="00C63A87">
        <w:rPr>
          <w:rFonts w:asciiTheme="majorBidi" w:hAnsiTheme="majorBidi" w:cs="David" w:hint="cs"/>
          <w:sz w:val="24"/>
          <w:szCs w:val="24"/>
          <w:rtl/>
        </w:rPr>
        <w:t xml:space="preserve"> על אף ש</w:t>
      </w:r>
      <w:r w:rsidR="00FE793A">
        <w:rPr>
          <w:rFonts w:asciiTheme="majorBidi" w:hAnsiTheme="majorBidi" w:cs="David" w:hint="cs"/>
          <w:sz w:val="24"/>
          <w:szCs w:val="24"/>
          <w:rtl/>
        </w:rPr>
        <w:t>סכסוכים אלה</w:t>
      </w:r>
      <w:r w:rsidR="00D655F5">
        <w:rPr>
          <w:rFonts w:asciiTheme="majorBidi" w:hAnsiTheme="majorBidi" w:cs="David" w:hint="cs"/>
          <w:sz w:val="24"/>
          <w:szCs w:val="24"/>
          <w:rtl/>
        </w:rPr>
        <w:t>, ככל שהם מערבים את ההורה החורג עצמו,</w:t>
      </w:r>
      <w:r w:rsidR="00FE793A">
        <w:rPr>
          <w:rFonts w:asciiTheme="majorBidi" w:hAnsiTheme="majorBidi" w:cs="David" w:hint="cs"/>
          <w:sz w:val="24"/>
          <w:szCs w:val="24"/>
          <w:rtl/>
        </w:rPr>
        <w:t xml:space="preserve"> כמעט ולא התבררו </w:t>
      </w:r>
      <w:r w:rsidR="00025CA9">
        <w:rPr>
          <w:rFonts w:asciiTheme="majorBidi" w:hAnsiTheme="majorBidi" w:cs="David" w:hint="cs"/>
          <w:sz w:val="24"/>
          <w:szCs w:val="24"/>
          <w:rtl/>
        </w:rPr>
        <w:t xml:space="preserve">במישרין </w:t>
      </w:r>
      <w:r w:rsidR="00FE793A">
        <w:rPr>
          <w:rFonts w:asciiTheme="majorBidi" w:hAnsiTheme="majorBidi" w:cs="David" w:hint="cs"/>
          <w:sz w:val="24"/>
          <w:szCs w:val="24"/>
          <w:rtl/>
        </w:rPr>
        <w:t>בפסיקה,</w:t>
      </w:r>
      <w:r w:rsidR="006A5C83">
        <w:rPr>
          <w:rStyle w:val="FootnoteReference"/>
          <w:rFonts w:asciiTheme="majorBidi" w:hAnsiTheme="majorBidi" w:cs="David"/>
          <w:sz w:val="24"/>
          <w:szCs w:val="24"/>
          <w:rtl/>
        </w:rPr>
        <w:footnoteReference w:id="101"/>
      </w:r>
      <w:r w:rsidR="00FE793A">
        <w:rPr>
          <w:rFonts w:asciiTheme="majorBidi" w:hAnsiTheme="majorBidi" w:cs="David" w:hint="cs"/>
          <w:sz w:val="24"/>
          <w:szCs w:val="24"/>
          <w:rtl/>
        </w:rPr>
        <w:t xml:space="preserve"> הרי</w:t>
      </w:r>
      <w:r>
        <w:rPr>
          <w:rFonts w:asciiTheme="majorBidi" w:hAnsiTheme="majorBidi" w:cs="David" w:hint="cs"/>
          <w:sz w:val="24"/>
          <w:szCs w:val="24"/>
          <w:rtl/>
        </w:rPr>
        <w:t xml:space="preserve"> </w:t>
      </w:r>
      <w:r w:rsidR="00FE793A">
        <w:rPr>
          <w:rFonts w:asciiTheme="majorBidi" w:hAnsiTheme="majorBidi" w:cs="David" w:hint="cs"/>
          <w:sz w:val="24"/>
          <w:szCs w:val="24"/>
          <w:rtl/>
        </w:rPr>
        <w:t>ש</w:t>
      </w:r>
      <w:r>
        <w:rPr>
          <w:rFonts w:asciiTheme="majorBidi" w:hAnsiTheme="majorBidi" w:cs="David" w:hint="cs"/>
          <w:sz w:val="24"/>
          <w:szCs w:val="24"/>
          <w:rtl/>
        </w:rPr>
        <w:t>אינדיקציות על התופעה נלמדו מתוך שיחות עם חברים וק</w:t>
      </w:r>
      <w:r w:rsidR="003E38A2">
        <w:rPr>
          <w:rFonts w:asciiTheme="majorBidi" w:hAnsiTheme="majorBidi" w:cs="David" w:hint="cs"/>
          <w:sz w:val="24"/>
          <w:szCs w:val="24"/>
          <w:rtl/>
        </w:rPr>
        <w:t>ולגות ובמידה מסוימת גם מן הספרות</w:t>
      </w:r>
      <w:r>
        <w:rPr>
          <w:rFonts w:asciiTheme="majorBidi" w:hAnsiTheme="majorBidi" w:cs="David" w:hint="cs"/>
          <w:sz w:val="24"/>
          <w:szCs w:val="24"/>
          <w:rtl/>
        </w:rPr>
        <w:t>.</w:t>
      </w:r>
      <w:r w:rsidR="003E38A2">
        <w:rPr>
          <w:rFonts w:asciiTheme="majorBidi" w:hAnsiTheme="majorBidi" w:cs="David" w:hint="cs"/>
          <w:sz w:val="24"/>
          <w:szCs w:val="24"/>
          <w:rtl/>
        </w:rPr>
        <w:t xml:space="preserve"> </w:t>
      </w:r>
      <w:r w:rsidR="00FE793A">
        <w:rPr>
          <w:rFonts w:asciiTheme="majorBidi" w:hAnsiTheme="majorBidi" w:cs="David" w:hint="cs"/>
          <w:sz w:val="24"/>
          <w:szCs w:val="24"/>
          <w:rtl/>
        </w:rPr>
        <w:t>באופן מקדמי ניתן להצביע על הנתון העובדתי העולה מ</w:t>
      </w:r>
      <w:r w:rsidR="003E38A2">
        <w:rPr>
          <w:rFonts w:asciiTheme="majorBidi" w:hAnsiTheme="majorBidi" w:cs="David" w:hint="cs"/>
          <w:sz w:val="24"/>
          <w:szCs w:val="24"/>
          <w:rtl/>
        </w:rPr>
        <w:t xml:space="preserve">מחקרה של </w:t>
      </w:r>
      <w:r w:rsidR="00615F07">
        <w:rPr>
          <w:rFonts w:asciiTheme="majorBidi" w:hAnsiTheme="majorBidi" w:cs="David"/>
          <w:sz w:val="24"/>
          <w:szCs w:val="24"/>
        </w:rPr>
        <w:t>Stewart</w:t>
      </w:r>
      <w:r w:rsidR="00615F07">
        <w:rPr>
          <w:rFonts w:asciiTheme="majorBidi" w:hAnsiTheme="majorBidi" w:cs="David" w:hint="cs"/>
          <w:sz w:val="24"/>
          <w:szCs w:val="24"/>
          <w:rtl/>
        </w:rPr>
        <w:t xml:space="preserve"> </w:t>
      </w:r>
      <w:r w:rsidR="00FE793A">
        <w:rPr>
          <w:rFonts w:asciiTheme="majorBidi" w:hAnsiTheme="majorBidi" w:cs="David" w:hint="cs"/>
          <w:sz w:val="24"/>
          <w:szCs w:val="24"/>
          <w:rtl/>
        </w:rPr>
        <w:t>לפיו:</w:t>
      </w:r>
    </w:p>
    <w:p w14:paraId="32DAB8BC" w14:textId="5B7B2745" w:rsidR="00725EF5" w:rsidRDefault="003E38A2" w:rsidP="00725EF5">
      <w:pPr>
        <w:bidi w:val="0"/>
        <w:spacing w:line="480" w:lineRule="auto"/>
        <w:contextualSpacing/>
        <w:jc w:val="both"/>
        <w:rPr>
          <w:rFonts w:asciiTheme="majorBidi" w:hAnsiTheme="majorBidi" w:cs="David"/>
          <w:sz w:val="24"/>
          <w:szCs w:val="24"/>
        </w:rPr>
      </w:pPr>
      <w:r>
        <w:rPr>
          <w:rFonts w:asciiTheme="majorBidi" w:hAnsiTheme="majorBidi" w:cs="David"/>
          <w:sz w:val="24"/>
          <w:szCs w:val="24"/>
        </w:rPr>
        <w:t xml:space="preserve">"For children with resident stepparents, stepparents may act as a substitute parent and take over the parenting role, promoting noresident parents to "back off". A study based on the NSAF indicate </w:t>
      </w:r>
      <w:r w:rsidR="00725EF5">
        <w:rPr>
          <w:rFonts w:asciiTheme="majorBidi" w:hAnsiTheme="majorBidi" w:cs="David"/>
          <w:sz w:val="24"/>
          <w:szCs w:val="24"/>
        </w:rPr>
        <w:t>that the presen</w:t>
      </w:r>
      <w:r>
        <w:rPr>
          <w:rFonts w:asciiTheme="majorBidi" w:hAnsiTheme="majorBidi" w:cs="David"/>
          <w:sz w:val="24"/>
          <w:szCs w:val="24"/>
        </w:rPr>
        <w:t xml:space="preserve">ce </w:t>
      </w:r>
      <w:r w:rsidR="00725EF5">
        <w:rPr>
          <w:rFonts w:asciiTheme="majorBidi" w:hAnsiTheme="majorBidi" w:cs="David"/>
          <w:sz w:val="24"/>
          <w:szCs w:val="24"/>
        </w:rPr>
        <w:t>o</w:t>
      </w:r>
      <w:r>
        <w:rPr>
          <w:rFonts w:asciiTheme="majorBidi" w:hAnsiTheme="majorBidi" w:cs="David"/>
          <w:sz w:val="24"/>
          <w:szCs w:val="24"/>
        </w:rPr>
        <w:t>f married and coha</w:t>
      </w:r>
      <w:r w:rsidR="00725EF5">
        <w:rPr>
          <w:rFonts w:asciiTheme="majorBidi" w:hAnsiTheme="majorBidi" w:cs="David"/>
          <w:sz w:val="24"/>
          <w:szCs w:val="24"/>
        </w:rPr>
        <w:t>biting step-parents is associated with fewer visits from nonresident mot</w:t>
      </w:r>
      <w:r w:rsidR="00DB2300">
        <w:rPr>
          <w:rFonts w:asciiTheme="majorBidi" w:hAnsiTheme="majorBidi" w:cs="David"/>
          <w:sz w:val="24"/>
          <w:szCs w:val="24"/>
        </w:rPr>
        <w:t>hers and fathers</w:t>
      </w:r>
      <w:r w:rsidR="00725EF5">
        <w:rPr>
          <w:rFonts w:asciiTheme="majorBidi" w:hAnsiTheme="majorBidi" w:cs="David"/>
          <w:sz w:val="24"/>
          <w:szCs w:val="24"/>
        </w:rPr>
        <w:t>."</w:t>
      </w:r>
      <w:r w:rsidR="00725EF5">
        <w:rPr>
          <w:rStyle w:val="FootnoteReference"/>
          <w:rFonts w:asciiTheme="majorBidi" w:hAnsiTheme="majorBidi" w:cs="David"/>
          <w:sz w:val="24"/>
          <w:szCs w:val="24"/>
        </w:rPr>
        <w:footnoteReference w:id="102"/>
      </w:r>
      <w:r w:rsidR="00725EF5">
        <w:rPr>
          <w:rFonts w:asciiTheme="majorBidi" w:hAnsiTheme="majorBidi" w:cs="David"/>
          <w:sz w:val="24"/>
          <w:szCs w:val="24"/>
        </w:rPr>
        <w:t xml:space="preserve"> </w:t>
      </w:r>
    </w:p>
    <w:p w14:paraId="0BEDC1AB" w14:textId="77777777" w:rsidR="00C63A87" w:rsidRDefault="00C63A87" w:rsidP="00C63A87">
      <w:pPr>
        <w:spacing w:line="480" w:lineRule="auto"/>
        <w:contextualSpacing/>
        <w:jc w:val="both"/>
        <w:rPr>
          <w:rFonts w:asciiTheme="majorBidi" w:hAnsiTheme="majorBidi" w:cs="David"/>
          <w:sz w:val="24"/>
          <w:szCs w:val="24"/>
          <w:rtl/>
        </w:rPr>
      </w:pPr>
      <w:r>
        <w:rPr>
          <w:rFonts w:asciiTheme="majorBidi" w:hAnsiTheme="majorBidi" w:cs="David" w:hint="cs"/>
          <w:sz w:val="24"/>
          <w:szCs w:val="24"/>
          <w:rtl/>
        </w:rPr>
        <w:t>אף כי אין בדברים אלה כדי להציב את ההורה החורג כמי שמוביל במעשיו המכוונים לתוצאה האמורה,</w:t>
      </w:r>
      <w:r w:rsidR="00FE793A">
        <w:rPr>
          <w:rFonts w:asciiTheme="majorBidi" w:hAnsiTheme="majorBidi" w:cs="David" w:hint="cs"/>
          <w:sz w:val="24"/>
          <w:szCs w:val="24"/>
          <w:rtl/>
        </w:rPr>
        <w:t xml:space="preserve"> ואף כי ניתן להניח כי בחלק מן המקרים התוצאה האמורה אכן אינה תוצר על מעשה מכוון מצד ההורה החורג,</w:t>
      </w:r>
      <w:r>
        <w:rPr>
          <w:rFonts w:asciiTheme="majorBidi" w:hAnsiTheme="majorBidi" w:cs="David" w:hint="cs"/>
          <w:sz w:val="24"/>
          <w:szCs w:val="24"/>
          <w:rtl/>
        </w:rPr>
        <w:t xml:space="preserve"> הרי שהנתון </w:t>
      </w:r>
      <w:r w:rsidR="00FE793A">
        <w:rPr>
          <w:rFonts w:asciiTheme="majorBidi" w:hAnsiTheme="majorBidi" w:cs="David" w:hint="cs"/>
          <w:sz w:val="24"/>
          <w:szCs w:val="24"/>
          <w:rtl/>
        </w:rPr>
        <w:t>האמור מטריד ומעורר מחשבה.</w:t>
      </w:r>
      <w:r w:rsidR="00B31CFA">
        <w:rPr>
          <w:rStyle w:val="FootnoteReference"/>
          <w:rFonts w:asciiTheme="majorBidi" w:hAnsiTheme="majorBidi" w:cs="David"/>
          <w:sz w:val="24"/>
          <w:szCs w:val="24"/>
          <w:rtl/>
        </w:rPr>
        <w:footnoteReference w:id="103"/>
      </w:r>
      <w:r>
        <w:rPr>
          <w:rFonts w:asciiTheme="majorBidi" w:hAnsiTheme="majorBidi" w:cs="David" w:hint="cs"/>
          <w:sz w:val="24"/>
          <w:szCs w:val="24"/>
          <w:rtl/>
        </w:rPr>
        <w:t xml:space="preserve"> </w:t>
      </w:r>
      <w:r w:rsidR="005B109C">
        <w:rPr>
          <w:rFonts w:asciiTheme="majorBidi" w:hAnsiTheme="majorBidi" w:cs="David" w:hint="cs"/>
          <w:sz w:val="24"/>
          <w:szCs w:val="24"/>
          <w:rtl/>
        </w:rPr>
        <w:t xml:space="preserve"> </w:t>
      </w:r>
    </w:p>
    <w:p w14:paraId="0DCBD6CA" w14:textId="554F9D28" w:rsidR="00DB2300" w:rsidRDefault="00FE793A" w:rsidP="00832F54">
      <w:pPr>
        <w:spacing w:line="480" w:lineRule="auto"/>
        <w:contextualSpacing/>
        <w:jc w:val="both"/>
        <w:rPr>
          <w:rFonts w:asciiTheme="majorBidi" w:hAnsiTheme="majorBidi" w:cs="David"/>
          <w:sz w:val="24"/>
          <w:szCs w:val="24"/>
          <w:rtl/>
        </w:rPr>
      </w:pPr>
      <w:r>
        <w:rPr>
          <w:rFonts w:asciiTheme="majorBidi" w:hAnsiTheme="majorBidi" w:cs="David" w:hint="cs"/>
          <w:sz w:val="24"/>
          <w:szCs w:val="24"/>
          <w:rtl/>
        </w:rPr>
        <w:t>בניסיון להבין את שורש התופעה ולנסות לשרטט את מקומו של ההורה החורג בדחיקתו של</w:t>
      </w:r>
      <w:r w:rsidR="0053584E">
        <w:rPr>
          <w:rFonts w:asciiTheme="majorBidi" w:hAnsiTheme="majorBidi" w:cs="David" w:hint="cs"/>
          <w:sz w:val="24"/>
          <w:szCs w:val="24"/>
          <w:rtl/>
        </w:rPr>
        <w:t xml:space="preserve"> ההורה</w:t>
      </w:r>
      <w:r w:rsidR="00832F54">
        <w:rPr>
          <w:rFonts w:asciiTheme="majorBidi" w:hAnsiTheme="majorBidi" w:cs="David" w:hint="cs"/>
          <w:sz w:val="24"/>
          <w:szCs w:val="24"/>
          <w:rtl/>
        </w:rPr>
        <w:t xml:space="preserve"> הלא משמורן</w:t>
      </w:r>
      <w:r w:rsidR="0053584E">
        <w:rPr>
          <w:rFonts w:asciiTheme="majorBidi" w:hAnsiTheme="majorBidi" w:cs="David" w:hint="cs"/>
          <w:sz w:val="24"/>
          <w:szCs w:val="24"/>
          <w:rtl/>
        </w:rPr>
        <w:t>, פניתי למחקר הפסיכולוגי.</w:t>
      </w:r>
      <w:r>
        <w:rPr>
          <w:rFonts w:asciiTheme="majorBidi" w:hAnsiTheme="majorBidi" w:cs="David" w:hint="cs"/>
          <w:sz w:val="24"/>
          <w:szCs w:val="24"/>
          <w:rtl/>
        </w:rPr>
        <w:t xml:space="preserve"> </w:t>
      </w:r>
      <w:r w:rsidR="0053584E">
        <w:rPr>
          <w:rFonts w:asciiTheme="majorBidi" w:hAnsiTheme="majorBidi" w:cs="David" w:hint="cs"/>
          <w:sz w:val="24"/>
          <w:szCs w:val="24"/>
          <w:rtl/>
        </w:rPr>
        <w:t xml:space="preserve">ואולם </w:t>
      </w:r>
      <w:r w:rsidR="005B109C">
        <w:rPr>
          <w:rFonts w:asciiTheme="majorBidi" w:hAnsiTheme="majorBidi" w:cs="David" w:hint="cs"/>
          <w:sz w:val="24"/>
          <w:szCs w:val="24"/>
          <w:rtl/>
        </w:rPr>
        <w:t>הסתמכות על ה</w:t>
      </w:r>
      <w:r w:rsidR="0053584E">
        <w:rPr>
          <w:rFonts w:asciiTheme="majorBidi" w:hAnsiTheme="majorBidi" w:cs="David" w:hint="cs"/>
          <w:sz w:val="24"/>
          <w:szCs w:val="24"/>
          <w:rtl/>
        </w:rPr>
        <w:t xml:space="preserve">מחקרים שמצאתי ושיובאו </w:t>
      </w:r>
      <w:r w:rsidR="005B109C">
        <w:rPr>
          <w:rFonts w:asciiTheme="majorBidi" w:hAnsiTheme="majorBidi" w:cs="David" w:hint="cs"/>
          <w:sz w:val="24"/>
          <w:szCs w:val="24"/>
          <w:rtl/>
        </w:rPr>
        <w:t xml:space="preserve">כאן למטה </w:t>
      </w:r>
      <w:r w:rsidR="00832F54">
        <w:rPr>
          <w:rFonts w:asciiTheme="majorBidi" w:hAnsiTheme="majorBidi" w:cs="David" w:hint="cs"/>
          <w:sz w:val="24"/>
          <w:szCs w:val="24"/>
          <w:rtl/>
        </w:rPr>
        <w:t xml:space="preserve">בקצרה </w:t>
      </w:r>
      <w:r w:rsidR="005B109C">
        <w:rPr>
          <w:rFonts w:asciiTheme="majorBidi" w:hAnsiTheme="majorBidi" w:cs="David" w:hint="cs"/>
          <w:sz w:val="24"/>
          <w:szCs w:val="24"/>
          <w:rtl/>
        </w:rPr>
        <w:t xml:space="preserve">דורשת </w:t>
      </w:r>
      <w:r w:rsidR="00780FAE">
        <w:rPr>
          <w:rFonts w:asciiTheme="majorBidi" w:hAnsiTheme="majorBidi" w:cs="David" w:hint="cs"/>
          <w:sz w:val="24"/>
          <w:szCs w:val="24"/>
          <w:rtl/>
        </w:rPr>
        <w:t>הסתייגות</w:t>
      </w:r>
      <w:r w:rsidR="005B109C">
        <w:rPr>
          <w:rFonts w:asciiTheme="majorBidi" w:hAnsiTheme="majorBidi" w:cs="David" w:hint="cs"/>
          <w:sz w:val="24"/>
          <w:szCs w:val="24"/>
          <w:rtl/>
        </w:rPr>
        <w:t xml:space="preserve"> מקדמית: יש המזהים את השפעתו השלילית של ההורה החורג על הקשר בין הילד להורה במסגרת מה שמכנים </w:t>
      </w:r>
      <w:r w:rsidR="005B109C">
        <w:rPr>
          <w:rFonts w:asciiTheme="majorBidi" w:hAnsiTheme="majorBidi" w:cs="David"/>
          <w:sz w:val="24"/>
          <w:szCs w:val="24"/>
          <w:rtl/>
        </w:rPr>
        <w:t>–</w:t>
      </w:r>
      <w:r w:rsidR="005B109C">
        <w:rPr>
          <w:rFonts w:asciiTheme="majorBidi" w:hAnsiTheme="majorBidi" w:cs="David" w:hint="cs"/>
          <w:sz w:val="24"/>
          <w:szCs w:val="24"/>
          <w:rtl/>
        </w:rPr>
        <w:t xml:space="preserve"> </w:t>
      </w:r>
      <w:r w:rsidR="005B109C">
        <w:rPr>
          <w:rFonts w:asciiTheme="majorBidi" w:hAnsiTheme="majorBidi" w:cs="David"/>
          <w:sz w:val="24"/>
          <w:szCs w:val="24"/>
        </w:rPr>
        <w:t>parental</w:t>
      </w:r>
      <w:r w:rsidR="00832F54">
        <w:rPr>
          <w:rFonts w:asciiTheme="majorBidi" w:hAnsiTheme="majorBidi" w:cs="David"/>
          <w:sz w:val="24"/>
          <w:szCs w:val="24"/>
        </w:rPr>
        <w:t xml:space="preserve"> alienation </w:t>
      </w:r>
      <w:r w:rsidR="005B109C">
        <w:rPr>
          <w:rFonts w:asciiTheme="majorBidi" w:hAnsiTheme="majorBidi" w:cs="David"/>
          <w:sz w:val="24"/>
          <w:szCs w:val="24"/>
        </w:rPr>
        <w:t>syndrome</w:t>
      </w:r>
      <w:r w:rsidR="005B109C">
        <w:rPr>
          <w:rFonts w:asciiTheme="majorBidi" w:hAnsiTheme="majorBidi" w:cs="David" w:hint="cs"/>
          <w:sz w:val="24"/>
          <w:szCs w:val="24"/>
          <w:rtl/>
        </w:rPr>
        <w:t>.</w:t>
      </w:r>
      <w:r w:rsidR="004E288D">
        <w:rPr>
          <w:rStyle w:val="FootnoteReference"/>
          <w:rFonts w:asciiTheme="majorBidi" w:hAnsiTheme="majorBidi" w:cs="David"/>
          <w:sz w:val="24"/>
          <w:szCs w:val="24"/>
          <w:rtl/>
        </w:rPr>
        <w:footnoteReference w:id="104"/>
      </w:r>
      <w:r w:rsidR="005B109C">
        <w:rPr>
          <w:rFonts w:asciiTheme="majorBidi" w:hAnsiTheme="majorBidi" w:cs="David" w:hint="cs"/>
          <w:sz w:val="24"/>
          <w:szCs w:val="24"/>
          <w:rtl/>
        </w:rPr>
        <w:t xml:space="preserve"> על אף שרבים (וביניהם אני) חולקים על עצם קיומו של </w:t>
      </w:r>
      <w:r w:rsidR="00C32669">
        <w:rPr>
          <w:rFonts w:asciiTheme="majorBidi" w:hAnsiTheme="majorBidi" w:cs="David" w:hint="cs"/>
          <w:sz w:val="24"/>
          <w:szCs w:val="24"/>
          <w:rtl/>
        </w:rPr>
        <w:t>ה</w:t>
      </w:r>
      <w:r w:rsidR="005B109C">
        <w:rPr>
          <w:rFonts w:asciiTheme="majorBidi" w:hAnsiTheme="majorBidi" w:cs="David" w:hint="cs"/>
          <w:sz w:val="24"/>
          <w:szCs w:val="24"/>
          <w:rtl/>
        </w:rPr>
        <w:t>סינדרום,</w:t>
      </w:r>
      <w:r w:rsidR="004E288D">
        <w:rPr>
          <w:rStyle w:val="FootnoteReference"/>
          <w:rFonts w:asciiTheme="majorBidi" w:hAnsiTheme="majorBidi" w:cs="David"/>
          <w:sz w:val="24"/>
          <w:szCs w:val="24"/>
          <w:rtl/>
        </w:rPr>
        <w:footnoteReference w:id="105"/>
      </w:r>
      <w:r w:rsidR="005B109C">
        <w:rPr>
          <w:rFonts w:asciiTheme="majorBidi" w:hAnsiTheme="majorBidi" w:cs="David" w:hint="cs"/>
          <w:sz w:val="24"/>
          <w:szCs w:val="24"/>
          <w:rtl/>
        </w:rPr>
        <w:t xml:space="preserve"> כמדומני </w:t>
      </w:r>
      <w:r w:rsidR="00443BA7">
        <w:rPr>
          <w:rFonts w:asciiTheme="majorBidi" w:hAnsiTheme="majorBidi" w:cs="David" w:hint="cs"/>
          <w:sz w:val="24"/>
          <w:szCs w:val="24"/>
          <w:rtl/>
        </w:rPr>
        <w:t>שניתן להסכים</w:t>
      </w:r>
      <w:r w:rsidR="005B109C">
        <w:rPr>
          <w:rFonts w:asciiTheme="majorBidi" w:hAnsiTheme="majorBidi" w:cs="David" w:hint="cs"/>
          <w:sz w:val="24"/>
          <w:szCs w:val="24"/>
          <w:rtl/>
        </w:rPr>
        <w:t xml:space="preserve"> כי </w:t>
      </w:r>
      <w:r w:rsidR="00C32669">
        <w:rPr>
          <w:rFonts w:asciiTheme="majorBidi" w:hAnsiTheme="majorBidi" w:cs="David" w:hint="cs"/>
          <w:sz w:val="24"/>
          <w:szCs w:val="24"/>
          <w:rtl/>
        </w:rPr>
        <w:t>מצב</w:t>
      </w:r>
      <w:r w:rsidR="00443BA7">
        <w:rPr>
          <w:rFonts w:asciiTheme="majorBidi" w:hAnsiTheme="majorBidi" w:cs="David" w:hint="cs"/>
          <w:sz w:val="24"/>
          <w:szCs w:val="24"/>
          <w:rtl/>
        </w:rPr>
        <w:t>ים בהם הילד מסרב לפגוש את ההורה</w:t>
      </w:r>
      <w:r w:rsidR="00C32669">
        <w:rPr>
          <w:rFonts w:asciiTheme="majorBidi" w:hAnsiTheme="majorBidi" w:cs="David" w:hint="cs"/>
          <w:sz w:val="24"/>
          <w:szCs w:val="24"/>
          <w:rtl/>
        </w:rPr>
        <w:t xml:space="preserve"> ומצבים שבהם נוצר ניתוק בגין סרבנות הילד, קיימים.</w:t>
      </w:r>
      <w:r w:rsidR="00615F07">
        <w:rPr>
          <w:rStyle w:val="FootnoteReference"/>
          <w:rFonts w:asciiTheme="majorBidi" w:hAnsiTheme="majorBidi" w:cs="David"/>
          <w:sz w:val="24"/>
          <w:szCs w:val="24"/>
          <w:rtl/>
        </w:rPr>
        <w:footnoteReference w:id="106"/>
      </w:r>
      <w:r w:rsidR="005B109C">
        <w:rPr>
          <w:rFonts w:asciiTheme="majorBidi" w:hAnsiTheme="majorBidi" w:cs="David" w:hint="cs"/>
          <w:sz w:val="24"/>
          <w:szCs w:val="24"/>
          <w:rtl/>
        </w:rPr>
        <w:t xml:space="preserve"> </w:t>
      </w:r>
      <w:r w:rsidR="00396A8C">
        <w:rPr>
          <w:rFonts w:asciiTheme="majorBidi" w:hAnsiTheme="majorBidi" w:cs="David" w:hint="cs"/>
          <w:sz w:val="24"/>
          <w:szCs w:val="24"/>
          <w:rtl/>
        </w:rPr>
        <w:t>בחלק מן המקרים, וגם על כך אפשר</w:t>
      </w:r>
      <w:r w:rsidR="00C32669">
        <w:rPr>
          <w:rFonts w:asciiTheme="majorBidi" w:hAnsiTheme="majorBidi" w:cs="David" w:hint="cs"/>
          <w:sz w:val="24"/>
          <w:szCs w:val="24"/>
          <w:rtl/>
        </w:rPr>
        <w:t>,</w:t>
      </w:r>
      <w:r w:rsidR="00396A8C">
        <w:rPr>
          <w:rFonts w:asciiTheme="majorBidi" w:hAnsiTheme="majorBidi" w:cs="David" w:hint="cs"/>
          <w:sz w:val="24"/>
          <w:szCs w:val="24"/>
          <w:rtl/>
        </w:rPr>
        <w:t xml:space="preserve"> אני מניחה</w:t>
      </w:r>
      <w:r w:rsidR="00C32669">
        <w:rPr>
          <w:rFonts w:asciiTheme="majorBidi" w:hAnsiTheme="majorBidi" w:cs="David" w:hint="cs"/>
          <w:sz w:val="24"/>
          <w:szCs w:val="24"/>
          <w:rtl/>
        </w:rPr>
        <w:t>,</w:t>
      </w:r>
      <w:r w:rsidR="004E288D">
        <w:rPr>
          <w:rFonts w:asciiTheme="majorBidi" w:hAnsiTheme="majorBidi" w:cs="David" w:hint="cs"/>
          <w:sz w:val="24"/>
          <w:szCs w:val="24"/>
          <w:rtl/>
        </w:rPr>
        <w:t xml:space="preserve"> להסכים, נגרמים </w:t>
      </w:r>
      <w:r w:rsidR="00396A8C">
        <w:rPr>
          <w:rFonts w:asciiTheme="majorBidi" w:hAnsiTheme="majorBidi" w:cs="David" w:hint="cs"/>
          <w:sz w:val="24"/>
          <w:szCs w:val="24"/>
          <w:rtl/>
        </w:rPr>
        <w:t xml:space="preserve">הנתק או הפגיעה בקשר, בהשפעת מבוגרים הלוקחים חלק בגידול הילד </w:t>
      </w:r>
      <w:r w:rsidR="00396A8C">
        <w:rPr>
          <w:rFonts w:asciiTheme="majorBidi" w:hAnsiTheme="majorBidi" w:cs="David"/>
          <w:sz w:val="24"/>
          <w:szCs w:val="24"/>
          <w:rtl/>
        </w:rPr>
        <w:t>–</w:t>
      </w:r>
      <w:r w:rsidR="004E288D">
        <w:rPr>
          <w:rFonts w:asciiTheme="majorBidi" w:hAnsiTheme="majorBidi" w:cs="David" w:hint="cs"/>
          <w:sz w:val="24"/>
          <w:szCs w:val="24"/>
          <w:rtl/>
        </w:rPr>
        <w:t xml:space="preserve"> ההורה המשמורן, בני משפחה או </w:t>
      </w:r>
      <w:r w:rsidR="00396A8C">
        <w:rPr>
          <w:rFonts w:asciiTheme="majorBidi" w:hAnsiTheme="majorBidi" w:cs="David" w:hint="cs"/>
          <w:sz w:val="24"/>
          <w:szCs w:val="24"/>
          <w:rtl/>
        </w:rPr>
        <w:t xml:space="preserve">ההורה החורג. </w:t>
      </w:r>
      <w:r w:rsidR="009979E8">
        <w:rPr>
          <w:rFonts w:asciiTheme="majorBidi" w:hAnsiTheme="majorBidi" w:cs="David" w:hint="cs"/>
          <w:sz w:val="24"/>
          <w:szCs w:val="24"/>
          <w:rtl/>
        </w:rPr>
        <w:t>מבוגרים אלה מלבים רגשות של כעס</w:t>
      </w:r>
      <w:r w:rsidR="00DB2300">
        <w:rPr>
          <w:rFonts w:asciiTheme="majorBidi" w:hAnsiTheme="majorBidi" w:cs="David" w:hint="cs"/>
          <w:sz w:val="24"/>
          <w:szCs w:val="24"/>
          <w:rtl/>
        </w:rPr>
        <w:t xml:space="preserve"> וטינה</w:t>
      </w:r>
      <w:r w:rsidR="009979E8">
        <w:rPr>
          <w:rFonts w:asciiTheme="majorBidi" w:hAnsiTheme="majorBidi" w:cs="David" w:hint="cs"/>
          <w:sz w:val="24"/>
          <w:szCs w:val="24"/>
          <w:rtl/>
        </w:rPr>
        <w:t>, מדברים סרה/ משמיצים</w:t>
      </w:r>
      <w:r w:rsidR="00E47B2A">
        <w:rPr>
          <w:rFonts w:asciiTheme="majorBidi" w:hAnsiTheme="majorBidi" w:cs="David" w:hint="cs"/>
          <w:sz w:val="24"/>
          <w:szCs w:val="24"/>
          <w:rtl/>
        </w:rPr>
        <w:t xml:space="preserve"> </w:t>
      </w:r>
      <w:r w:rsidR="00E47B2A">
        <w:rPr>
          <w:rFonts w:ascii="Georgia" w:hAnsi="Georgia"/>
          <w:color w:val="000000"/>
          <w:sz w:val="23"/>
          <w:szCs w:val="23"/>
          <w:shd w:val="clear" w:color="auto" w:fill="FFFFFF"/>
        </w:rPr>
        <w:t>bad-mouthing and bashing</w:t>
      </w:r>
      <w:r w:rsidR="009979E8">
        <w:rPr>
          <w:rFonts w:asciiTheme="majorBidi" w:hAnsiTheme="majorBidi" w:cs="David" w:hint="cs"/>
          <w:sz w:val="24"/>
          <w:szCs w:val="24"/>
          <w:rtl/>
        </w:rPr>
        <w:t xml:space="preserve"> את ההורה</w:t>
      </w:r>
      <w:r w:rsidR="00832F54">
        <w:rPr>
          <w:rFonts w:asciiTheme="majorBidi" w:hAnsiTheme="majorBidi" w:cs="David" w:hint="cs"/>
          <w:sz w:val="24"/>
          <w:szCs w:val="24"/>
          <w:rtl/>
        </w:rPr>
        <w:t xml:space="preserve"> הלא משמורן</w:t>
      </w:r>
      <w:r w:rsidR="009979E8">
        <w:rPr>
          <w:rFonts w:asciiTheme="majorBidi" w:hAnsiTheme="majorBidi" w:cs="David" w:hint="cs"/>
          <w:sz w:val="24"/>
          <w:szCs w:val="24"/>
          <w:rtl/>
        </w:rPr>
        <w:t xml:space="preserve"> וכיוצא באלה פעולות המעמיקות את התחושות הקשות המלוות את הילד ביחס </w:t>
      </w:r>
      <w:r w:rsidR="00832F54">
        <w:rPr>
          <w:rFonts w:asciiTheme="majorBidi" w:hAnsiTheme="majorBidi" w:cs="David" w:hint="cs"/>
          <w:sz w:val="24"/>
          <w:szCs w:val="24"/>
          <w:rtl/>
        </w:rPr>
        <w:t>אליו</w:t>
      </w:r>
      <w:r w:rsidR="009979E8">
        <w:rPr>
          <w:rFonts w:asciiTheme="majorBidi" w:hAnsiTheme="majorBidi" w:cs="David" w:hint="cs"/>
          <w:sz w:val="24"/>
          <w:szCs w:val="24"/>
          <w:rtl/>
        </w:rPr>
        <w:t xml:space="preserve"> ומחבלות ביחסים עימו.</w:t>
      </w:r>
      <w:r w:rsidR="00615F07">
        <w:rPr>
          <w:rFonts w:asciiTheme="majorBidi" w:hAnsiTheme="majorBidi" w:cs="David" w:hint="cs"/>
          <w:sz w:val="24"/>
          <w:szCs w:val="24"/>
          <w:rtl/>
        </w:rPr>
        <w:t xml:space="preserve"> גם על הנזק הנגרם לילד בחלק ממקרים אלה ניתן להסכים.</w:t>
      </w:r>
      <w:r w:rsidR="00615F07">
        <w:rPr>
          <w:rStyle w:val="FootnoteReference"/>
          <w:rFonts w:asciiTheme="majorBidi" w:hAnsiTheme="majorBidi" w:cs="David"/>
          <w:sz w:val="24"/>
          <w:szCs w:val="24"/>
          <w:rtl/>
        </w:rPr>
        <w:footnoteReference w:id="107"/>
      </w:r>
      <w:r w:rsidR="009979E8">
        <w:rPr>
          <w:rFonts w:asciiTheme="majorBidi" w:hAnsiTheme="majorBidi" w:cs="David" w:hint="cs"/>
          <w:sz w:val="24"/>
          <w:szCs w:val="24"/>
          <w:rtl/>
        </w:rPr>
        <w:t xml:space="preserve"> </w:t>
      </w:r>
    </w:p>
    <w:p w14:paraId="3B2B6788" w14:textId="509B73C3" w:rsidR="005B109C" w:rsidRPr="00E47B2A" w:rsidRDefault="00396A8C" w:rsidP="00832F54">
      <w:pPr>
        <w:spacing w:line="480" w:lineRule="auto"/>
        <w:contextualSpacing/>
        <w:jc w:val="both"/>
        <w:rPr>
          <w:rFonts w:asciiTheme="majorBidi" w:hAnsiTheme="majorBidi" w:cs="David"/>
          <w:b/>
          <w:bCs/>
          <w:sz w:val="24"/>
          <w:szCs w:val="24"/>
          <w:highlight w:val="lightGray"/>
          <w:rtl/>
        </w:rPr>
      </w:pPr>
      <w:r>
        <w:rPr>
          <w:rFonts w:asciiTheme="majorBidi" w:hAnsiTheme="majorBidi" w:cs="David" w:hint="cs"/>
          <w:sz w:val="24"/>
          <w:szCs w:val="24"/>
          <w:rtl/>
        </w:rPr>
        <w:t xml:space="preserve">וורשק, חוקר ופסיכולוג קליני, העוסק רבות בתופעה של </w:t>
      </w:r>
      <w:r>
        <w:rPr>
          <w:rFonts w:asciiTheme="majorBidi" w:hAnsiTheme="majorBidi" w:cs="David"/>
          <w:sz w:val="24"/>
          <w:szCs w:val="24"/>
        </w:rPr>
        <w:t xml:space="preserve">parental </w:t>
      </w:r>
      <w:r w:rsidR="00832F54">
        <w:rPr>
          <w:rFonts w:asciiTheme="majorBidi" w:hAnsiTheme="majorBidi" w:cs="David"/>
          <w:sz w:val="24"/>
          <w:szCs w:val="24"/>
        </w:rPr>
        <w:t>alienation</w:t>
      </w:r>
      <w:r w:rsidR="00C32669">
        <w:rPr>
          <w:rFonts w:asciiTheme="majorBidi" w:hAnsiTheme="majorBidi" w:cs="David" w:hint="cs"/>
          <w:sz w:val="24"/>
          <w:szCs w:val="24"/>
          <w:rtl/>
        </w:rPr>
        <w:t>,</w:t>
      </w:r>
      <w:r w:rsidR="005B109C">
        <w:rPr>
          <w:rFonts w:asciiTheme="majorBidi" w:hAnsiTheme="majorBidi" w:cs="David" w:hint="cs"/>
          <w:sz w:val="24"/>
          <w:szCs w:val="24"/>
          <w:rtl/>
        </w:rPr>
        <w:t xml:space="preserve"> </w:t>
      </w:r>
      <w:r w:rsidR="00C32669">
        <w:rPr>
          <w:rFonts w:asciiTheme="majorBidi" w:hAnsiTheme="majorBidi" w:cs="David" w:hint="cs"/>
          <w:sz w:val="24"/>
          <w:szCs w:val="24"/>
          <w:rtl/>
        </w:rPr>
        <w:t xml:space="preserve">הצביע </w:t>
      </w:r>
      <w:r>
        <w:rPr>
          <w:rFonts w:asciiTheme="majorBidi" w:hAnsiTheme="majorBidi" w:cs="David" w:hint="cs"/>
          <w:sz w:val="24"/>
          <w:szCs w:val="24"/>
          <w:rtl/>
        </w:rPr>
        <w:t>על השפעתו של קשר הזוגיות החדש של ההורה המשמורן על יחסיו של הילד עם ההורה השני.</w:t>
      </w:r>
      <w:r w:rsidR="00E351F4">
        <w:rPr>
          <w:rStyle w:val="FootnoteReference"/>
          <w:rFonts w:asciiTheme="majorBidi" w:hAnsiTheme="majorBidi" w:cs="David"/>
          <w:sz w:val="24"/>
          <w:szCs w:val="24"/>
          <w:rtl/>
        </w:rPr>
        <w:footnoteReference w:id="108"/>
      </w:r>
      <w:r>
        <w:rPr>
          <w:rFonts w:asciiTheme="majorBidi" w:hAnsiTheme="majorBidi" w:cs="David" w:hint="cs"/>
          <w:sz w:val="24"/>
          <w:szCs w:val="24"/>
          <w:rtl/>
        </w:rPr>
        <w:t xml:space="preserve"> לשיטתו, </w:t>
      </w:r>
      <w:r w:rsidR="004E288D">
        <w:rPr>
          <w:rFonts w:asciiTheme="majorBidi" w:hAnsiTheme="majorBidi" w:cs="David" w:hint="cs"/>
          <w:sz w:val="24"/>
          <w:szCs w:val="24"/>
          <w:rtl/>
        </w:rPr>
        <w:t>כחלק</w:t>
      </w:r>
      <w:r>
        <w:rPr>
          <w:rFonts w:asciiTheme="majorBidi" w:hAnsiTheme="majorBidi" w:cs="David" w:hint="cs"/>
          <w:sz w:val="24"/>
          <w:szCs w:val="24"/>
          <w:rtl/>
        </w:rPr>
        <w:t xml:space="preserve"> </w:t>
      </w:r>
      <w:r w:rsidR="004E288D">
        <w:rPr>
          <w:rFonts w:asciiTheme="majorBidi" w:hAnsiTheme="majorBidi" w:cs="David" w:hint="cs"/>
          <w:sz w:val="24"/>
          <w:szCs w:val="24"/>
          <w:rtl/>
        </w:rPr>
        <w:t xml:space="preserve">ממגוון </w:t>
      </w:r>
      <w:r>
        <w:rPr>
          <w:rFonts w:asciiTheme="majorBidi" w:hAnsiTheme="majorBidi" w:cs="David" w:hint="cs"/>
          <w:sz w:val="24"/>
          <w:szCs w:val="24"/>
          <w:rtl/>
        </w:rPr>
        <w:t xml:space="preserve">השפעות </w:t>
      </w:r>
      <w:r w:rsidR="004E288D">
        <w:rPr>
          <w:rFonts w:asciiTheme="majorBidi" w:hAnsiTheme="majorBidi" w:cs="David" w:hint="cs"/>
          <w:sz w:val="24"/>
          <w:szCs w:val="24"/>
          <w:rtl/>
        </w:rPr>
        <w:t>שיש</w:t>
      </w:r>
      <w:r>
        <w:rPr>
          <w:rFonts w:asciiTheme="majorBidi" w:hAnsiTheme="majorBidi" w:cs="David" w:hint="cs"/>
          <w:sz w:val="24"/>
          <w:szCs w:val="24"/>
          <w:rtl/>
        </w:rPr>
        <w:t xml:space="preserve"> לקשר הזוגיות החדש על יחסים אלה, יש, פוטנציאלית, להורה החורג </w:t>
      </w:r>
      <w:r w:rsidR="004722C0">
        <w:rPr>
          <w:rFonts w:asciiTheme="majorBidi" w:hAnsiTheme="majorBidi" w:cs="David" w:hint="cs"/>
          <w:sz w:val="24"/>
          <w:szCs w:val="24"/>
          <w:rtl/>
        </w:rPr>
        <w:t>עצמו השפעה</w:t>
      </w:r>
      <w:r>
        <w:rPr>
          <w:rFonts w:asciiTheme="majorBidi" w:hAnsiTheme="majorBidi" w:cs="David" w:hint="cs"/>
          <w:sz w:val="24"/>
          <w:szCs w:val="24"/>
          <w:rtl/>
        </w:rPr>
        <w:t xml:space="preserve"> ישירה</w:t>
      </w:r>
      <w:r w:rsidR="004722C0">
        <w:rPr>
          <w:rFonts w:asciiTheme="majorBidi" w:hAnsiTheme="majorBidi" w:cs="David" w:hint="cs"/>
          <w:sz w:val="24"/>
          <w:szCs w:val="24"/>
          <w:rtl/>
        </w:rPr>
        <w:t xml:space="preserve"> על הקשר</w:t>
      </w:r>
      <w:r>
        <w:rPr>
          <w:rFonts w:asciiTheme="majorBidi" w:hAnsiTheme="majorBidi" w:cs="David" w:hint="cs"/>
          <w:sz w:val="24"/>
          <w:szCs w:val="24"/>
          <w:rtl/>
        </w:rPr>
        <w:t>. במקרים מסוימים</w:t>
      </w:r>
      <w:r w:rsidR="009979E8">
        <w:rPr>
          <w:rFonts w:asciiTheme="majorBidi" w:hAnsiTheme="majorBidi" w:cs="David" w:hint="cs"/>
          <w:sz w:val="24"/>
          <w:szCs w:val="24"/>
          <w:rtl/>
        </w:rPr>
        <w:t xml:space="preserve">, כך </w:t>
      </w:r>
      <w:r w:rsidR="004722C0">
        <w:rPr>
          <w:rFonts w:asciiTheme="majorBidi" w:hAnsiTheme="majorBidi" w:cs="David" w:hint="cs"/>
          <w:sz w:val="24"/>
          <w:szCs w:val="24"/>
          <w:rtl/>
        </w:rPr>
        <w:t>לשיטתו</w:t>
      </w:r>
      <w:r w:rsidR="00AA4378">
        <w:rPr>
          <w:rFonts w:asciiTheme="majorBidi" w:hAnsiTheme="majorBidi" w:cs="David" w:hint="cs"/>
          <w:sz w:val="24"/>
          <w:szCs w:val="24"/>
          <w:rtl/>
        </w:rPr>
        <w:t>,</w:t>
      </w:r>
      <w:r w:rsidR="009979E8">
        <w:rPr>
          <w:rFonts w:asciiTheme="majorBidi" w:hAnsiTheme="majorBidi" w:cs="David" w:hint="cs"/>
          <w:sz w:val="24"/>
          <w:szCs w:val="24"/>
          <w:rtl/>
        </w:rPr>
        <w:t xml:space="preserve"> </w:t>
      </w:r>
      <w:r>
        <w:rPr>
          <w:rFonts w:asciiTheme="majorBidi" w:hAnsiTheme="majorBidi" w:cs="David" w:hint="cs"/>
          <w:sz w:val="24"/>
          <w:szCs w:val="24"/>
          <w:rtl/>
        </w:rPr>
        <w:t xml:space="preserve"> </w:t>
      </w:r>
      <w:r w:rsidR="004722C0">
        <w:rPr>
          <w:rFonts w:asciiTheme="majorBidi" w:hAnsiTheme="majorBidi" w:cs="David" w:hint="cs"/>
          <w:sz w:val="24"/>
          <w:szCs w:val="24"/>
          <w:rtl/>
        </w:rPr>
        <w:t xml:space="preserve">יבקש ההורה החורג לחבל בקשר בין הילד להורה </w:t>
      </w:r>
      <w:r w:rsidR="00832F54">
        <w:rPr>
          <w:rFonts w:asciiTheme="majorBidi" w:hAnsiTheme="majorBidi" w:cs="David" w:hint="cs"/>
          <w:sz w:val="24"/>
          <w:szCs w:val="24"/>
          <w:rtl/>
        </w:rPr>
        <w:t xml:space="preserve">הלא משמורן </w:t>
      </w:r>
      <w:r w:rsidR="004722C0">
        <w:rPr>
          <w:rFonts w:asciiTheme="majorBidi" w:hAnsiTheme="majorBidi" w:cs="David" w:hint="cs"/>
          <w:sz w:val="24"/>
          <w:szCs w:val="24"/>
          <w:rtl/>
        </w:rPr>
        <w:t>על מנת לחזק את מעמדו ומקומו שלו בחיי הילד. הוא עשוי לעשות כן על ידי</w:t>
      </w:r>
    </w:p>
    <w:p w14:paraId="0B2F9EE8" w14:textId="77777777" w:rsidR="004722C0" w:rsidRDefault="004722C0" w:rsidP="0078177B">
      <w:pPr>
        <w:bidi w:val="0"/>
        <w:spacing w:line="480" w:lineRule="auto"/>
        <w:ind w:left="360"/>
        <w:jc w:val="both"/>
        <w:rPr>
          <w:rFonts w:ascii="Georgia" w:hAnsi="Georgia"/>
          <w:color w:val="000000"/>
          <w:sz w:val="23"/>
          <w:szCs w:val="23"/>
          <w:shd w:val="clear" w:color="auto" w:fill="FFFFFF"/>
        </w:rPr>
      </w:pPr>
      <w:r>
        <w:rPr>
          <w:rFonts w:ascii="Georgia" w:hAnsi="Georgia"/>
          <w:color w:val="000000"/>
          <w:sz w:val="23"/>
          <w:szCs w:val="23"/>
          <w:shd w:val="clear" w:color="auto" w:fill="FFFFFF"/>
        </w:rPr>
        <w:t>"instigate, or at least actively support, destructive criticism of the other parent".</w:t>
      </w:r>
      <w:r w:rsidR="0078177B">
        <w:rPr>
          <w:rStyle w:val="FootnoteReference"/>
          <w:rFonts w:ascii="Georgia" w:hAnsi="Georgia"/>
          <w:color w:val="000000"/>
          <w:sz w:val="23"/>
          <w:szCs w:val="23"/>
          <w:shd w:val="clear" w:color="auto" w:fill="FFFFFF"/>
        </w:rPr>
        <w:footnoteReference w:id="109"/>
      </w:r>
    </w:p>
    <w:p w14:paraId="3CEFDD3C" w14:textId="77777777" w:rsidR="0094179D" w:rsidRPr="00AA4378" w:rsidRDefault="0094179D" w:rsidP="00AA4378">
      <w:pPr>
        <w:spacing w:line="480" w:lineRule="auto"/>
        <w:jc w:val="both"/>
        <w:rPr>
          <w:rFonts w:ascii="David" w:hAnsi="David" w:cs="David" w:hint="cs"/>
          <w:color w:val="000000"/>
          <w:sz w:val="24"/>
          <w:szCs w:val="24"/>
          <w:shd w:val="clear" w:color="auto" w:fill="FFFFFF"/>
          <w:rtl/>
        </w:rPr>
      </w:pPr>
      <w:r w:rsidRPr="00AA4378">
        <w:rPr>
          <w:rFonts w:ascii="David" w:hAnsi="David" w:cs="David"/>
          <w:color w:val="000000"/>
          <w:sz w:val="24"/>
          <w:szCs w:val="24"/>
          <w:shd w:val="clear" w:color="auto" w:fill="FFFFFF"/>
          <w:rtl/>
        </w:rPr>
        <w:t xml:space="preserve">במקרים אחרים, </w:t>
      </w:r>
    </w:p>
    <w:p w14:paraId="59070E0D" w14:textId="77777777" w:rsidR="00E47B2A" w:rsidRPr="00AA4378" w:rsidRDefault="0094179D" w:rsidP="00611A60">
      <w:pPr>
        <w:bidi w:val="0"/>
        <w:spacing w:line="480" w:lineRule="auto"/>
        <w:ind w:left="360"/>
        <w:jc w:val="both"/>
        <w:rPr>
          <w:rFonts w:asciiTheme="majorBidi" w:hAnsiTheme="majorBidi" w:cstheme="majorBidi"/>
          <w:color w:val="000000"/>
          <w:sz w:val="24"/>
          <w:szCs w:val="24"/>
          <w:shd w:val="clear" w:color="auto" w:fill="FFFFFF"/>
        </w:rPr>
      </w:pPr>
      <w:r w:rsidRPr="00AA4378">
        <w:rPr>
          <w:rFonts w:asciiTheme="majorBidi" w:hAnsiTheme="majorBidi" w:cstheme="majorBidi"/>
          <w:color w:val="000000"/>
          <w:sz w:val="24"/>
          <w:szCs w:val="24"/>
          <w:shd w:val="clear" w:color="auto" w:fill="FFFFFF"/>
        </w:rPr>
        <w:t>"… the new partner joins in a campaign of denigration as a means of ingratiating himself or herself to the spouse. The basic message is, “Your battles are my battles.”"</w:t>
      </w:r>
      <w:r w:rsidR="008432B6" w:rsidRPr="00AA4378">
        <w:rPr>
          <w:rStyle w:val="FootnoteReference"/>
          <w:rFonts w:asciiTheme="majorBidi" w:hAnsiTheme="majorBidi" w:cstheme="majorBidi"/>
          <w:color w:val="000000"/>
          <w:sz w:val="24"/>
          <w:szCs w:val="24"/>
          <w:shd w:val="clear" w:color="auto" w:fill="FFFFFF"/>
        </w:rPr>
        <w:footnoteReference w:id="110"/>
      </w:r>
    </w:p>
    <w:p w14:paraId="7EB2FEF5" w14:textId="4F1554D2" w:rsidR="00611A60" w:rsidRDefault="00751332" w:rsidP="002D75E8">
      <w:pPr>
        <w:spacing w:line="480" w:lineRule="auto"/>
        <w:jc w:val="both"/>
        <w:rPr>
          <w:rFonts w:ascii="David" w:hAnsi="David" w:cs="David" w:hint="cs"/>
          <w:color w:val="000000"/>
          <w:sz w:val="24"/>
          <w:szCs w:val="24"/>
          <w:shd w:val="clear" w:color="auto" w:fill="FFFFFF"/>
          <w:rtl/>
        </w:rPr>
      </w:pPr>
      <w:r w:rsidRPr="00AA4378">
        <w:rPr>
          <w:rFonts w:ascii="David" w:hAnsi="David" w:cs="David"/>
          <w:color w:val="000000"/>
          <w:sz w:val="24"/>
          <w:szCs w:val="24"/>
          <w:shd w:val="clear" w:color="auto" w:fill="FFFFFF"/>
          <w:rtl/>
        </w:rPr>
        <w:t>חוקרים אחרים</w:t>
      </w:r>
      <w:r w:rsidRPr="00AA4378">
        <w:rPr>
          <w:rStyle w:val="FootnoteReference"/>
          <w:rFonts w:ascii="David" w:hAnsi="David" w:cs="David"/>
          <w:color w:val="000000"/>
          <w:sz w:val="24"/>
          <w:szCs w:val="24"/>
          <w:shd w:val="clear" w:color="auto" w:fill="FFFFFF"/>
          <w:rtl/>
        </w:rPr>
        <w:footnoteReference w:id="111"/>
      </w:r>
      <w:r w:rsidR="00611A60" w:rsidRPr="00AA4378">
        <w:rPr>
          <w:rFonts w:ascii="David" w:hAnsi="David" w:cs="David"/>
          <w:color w:val="000000"/>
          <w:sz w:val="24"/>
          <w:szCs w:val="24"/>
          <w:shd w:val="clear" w:color="auto" w:fill="FFFFFF"/>
          <w:rtl/>
        </w:rPr>
        <w:t xml:space="preserve"> הצביעו על סיבות </w:t>
      </w:r>
      <w:r w:rsidRPr="00AA4378">
        <w:rPr>
          <w:rFonts w:ascii="David" w:hAnsi="David" w:cs="David"/>
          <w:color w:val="000000"/>
          <w:sz w:val="24"/>
          <w:szCs w:val="24"/>
          <w:shd w:val="clear" w:color="auto" w:fill="FFFFFF"/>
          <w:rtl/>
        </w:rPr>
        <w:t xml:space="preserve">נוספות </w:t>
      </w:r>
      <w:r w:rsidR="00611A60" w:rsidRPr="00AA4378">
        <w:rPr>
          <w:rFonts w:ascii="David" w:hAnsi="David" w:cs="David"/>
          <w:color w:val="000000"/>
          <w:sz w:val="24"/>
          <w:szCs w:val="24"/>
          <w:shd w:val="clear" w:color="auto" w:fill="FFFFFF"/>
          <w:rtl/>
        </w:rPr>
        <w:t>העשויות להסביר את המוטיבציה של ההורה החורג לחבל בקשר בין הילד להורה</w:t>
      </w:r>
      <w:r w:rsidR="00832F54">
        <w:rPr>
          <w:rFonts w:ascii="David" w:hAnsi="David" w:cs="David" w:hint="cs"/>
          <w:color w:val="000000"/>
          <w:sz w:val="24"/>
          <w:szCs w:val="24"/>
          <w:shd w:val="clear" w:color="auto" w:fill="FFFFFF"/>
          <w:rtl/>
        </w:rPr>
        <w:t xml:space="preserve"> הלא משמורן</w:t>
      </w:r>
      <w:r w:rsidRPr="00AA4378">
        <w:rPr>
          <w:rFonts w:ascii="David" w:hAnsi="David" w:cs="David"/>
          <w:color w:val="000000"/>
          <w:sz w:val="24"/>
          <w:szCs w:val="24"/>
          <w:shd w:val="clear" w:color="auto" w:fill="FFFFFF"/>
          <w:rtl/>
        </w:rPr>
        <w:t xml:space="preserve"> שמקורם בקשר הזוגי החדש</w:t>
      </w:r>
      <w:r w:rsidR="00611A60" w:rsidRPr="00AA4378">
        <w:rPr>
          <w:rFonts w:ascii="David" w:hAnsi="David" w:cs="David"/>
          <w:color w:val="000000"/>
          <w:sz w:val="24"/>
          <w:szCs w:val="24"/>
          <w:shd w:val="clear" w:color="auto" w:fill="FFFFFF"/>
          <w:rtl/>
        </w:rPr>
        <w:t xml:space="preserve">, בהם הרצון לנתק את בן </w:t>
      </w:r>
      <w:r w:rsidR="002D75E8">
        <w:rPr>
          <w:rFonts w:ascii="David" w:hAnsi="David" w:cs="David" w:hint="cs"/>
          <w:color w:val="000000"/>
          <w:sz w:val="24"/>
          <w:szCs w:val="24"/>
          <w:shd w:val="clear" w:color="auto" w:fill="FFFFFF"/>
          <w:rtl/>
        </w:rPr>
        <w:t>הזוג</w:t>
      </w:r>
      <w:r w:rsidR="00611A60" w:rsidRPr="00AA4378">
        <w:rPr>
          <w:rFonts w:ascii="David" w:hAnsi="David" w:cs="David"/>
          <w:color w:val="000000"/>
          <w:sz w:val="24"/>
          <w:szCs w:val="24"/>
          <w:shd w:val="clear" w:color="auto" w:fill="FFFFFF"/>
          <w:rtl/>
        </w:rPr>
        <w:t xml:space="preserve"> ממי שהוא היה נשוי לו בעבר: </w:t>
      </w:r>
      <w:r w:rsidR="00611A60" w:rsidRPr="00AA4378">
        <w:rPr>
          <w:rFonts w:ascii="David" w:hAnsi="David" w:cs="David"/>
          <w:color w:val="000000"/>
          <w:sz w:val="24"/>
          <w:szCs w:val="24"/>
          <w:shd w:val="clear" w:color="auto" w:fill="FFFFFF"/>
        </w:rPr>
        <w:t>his or her ex-spouse</w:t>
      </w:r>
      <w:r w:rsidRPr="00AA4378">
        <w:rPr>
          <w:rFonts w:ascii="David" w:hAnsi="David" w:cs="David"/>
          <w:color w:val="000000"/>
          <w:sz w:val="24"/>
          <w:szCs w:val="24"/>
          <w:shd w:val="clear" w:color="auto" w:fill="FFFFFF"/>
          <w:rtl/>
        </w:rPr>
        <w:t>.</w:t>
      </w:r>
    </w:p>
    <w:p w14:paraId="7D3B8492" w14:textId="04D0D70F" w:rsidR="00AA4378" w:rsidRDefault="00AA4378" w:rsidP="00832F54">
      <w:pPr>
        <w:spacing w:line="480" w:lineRule="auto"/>
        <w:jc w:val="both"/>
        <w:rPr>
          <w:rFonts w:ascii="David" w:hAnsi="David" w:cs="David" w:hint="cs"/>
          <w:color w:val="000000"/>
          <w:sz w:val="24"/>
          <w:szCs w:val="24"/>
          <w:shd w:val="clear" w:color="auto" w:fill="FFFFFF"/>
          <w:rtl/>
        </w:rPr>
      </w:pPr>
      <w:r>
        <w:rPr>
          <w:rFonts w:ascii="David" w:hAnsi="David" w:cs="David" w:hint="cs"/>
          <w:color w:val="000000"/>
          <w:sz w:val="24"/>
          <w:szCs w:val="24"/>
          <w:shd w:val="clear" w:color="auto" w:fill="FFFFFF"/>
          <w:rtl/>
        </w:rPr>
        <w:t>גם בלוגים העוסקים בהורות לאחר גירושין</w:t>
      </w:r>
      <w:r w:rsidR="009C6B68">
        <w:rPr>
          <w:rFonts w:ascii="David" w:hAnsi="David" w:cs="David" w:hint="cs"/>
          <w:color w:val="000000"/>
          <w:sz w:val="24"/>
          <w:szCs w:val="24"/>
          <w:shd w:val="clear" w:color="auto" w:fill="FFFFFF"/>
          <w:rtl/>
        </w:rPr>
        <w:t xml:space="preserve"> וספרי הדרכה להורים גרושים,</w:t>
      </w:r>
      <w:r w:rsidR="009C6B68">
        <w:rPr>
          <w:rStyle w:val="FootnoteReference"/>
          <w:rFonts w:ascii="David" w:hAnsi="David" w:cs="David"/>
          <w:color w:val="000000"/>
          <w:sz w:val="24"/>
          <w:szCs w:val="24"/>
          <w:shd w:val="clear" w:color="auto" w:fill="FFFFFF"/>
          <w:rtl/>
        </w:rPr>
        <w:footnoteReference w:id="112"/>
      </w:r>
      <w:r>
        <w:rPr>
          <w:rFonts w:ascii="David" w:hAnsi="David" w:cs="David" w:hint="cs"/>
          <w:color w:val="000000"/>
          <w:sz w:val="24"/>
          <w:szCs w:val="24"/>
          <w:shd w:val="clear" w:color="auto" w:fill="FFFFFF"/>
          <w:rtl/>
        </w:rPr>
        <w:t xml:space="preserve"> עומדים על מקומו של ההורה החורג בפגיעה בקשר (לעיתי</w:t>
      </w:r>
      <w:r w:rsidR="00CF5B68">
        <w:rPr>
          <w:rFonts w:ascii="David" w:hAnsi="David" w:cs="David" w:hint="cs"/>
          <w:color w:val="000000"/>
          <w:sz w:val="24"/>
          <w:szCs w:val="24"/>
          <w:shd w:val="clear" w:color="auto" w:fill="FFFFFF"/>
          <w:rtl/>
        </w:rPr>
        <w:t xml:space="preserve">ם, שוב כחלק מהדיון ב- </w:t>
      </w:r>
      <w:r w:rsidR="00CF5B68">
        <w:rPr>
          <w:rFonts w:asciiTheme="majorBidi" w:hAnsiTheme="majorBidi" w:cs="David"/>
          <w:sz w:val="24"/>
          <w:szCs w:val="24"/>
        </w:rPr>
        <w:t xml:space="preserve">parental </w:t>
      </w:r>
      <w:r w:rsidR="00832F54">
        <w:rPr>
          <w:rFonts w:asciiTheme="majorBidi" w:hAnsiTheme="majorBidi" w:cs="David"/>
          <w:sz w:val="24"/>
          <w:szCs w:val="24"/>
        </w:rPr>
        <w:t>alienation</w:t>
      </w:r>
      <w:r w:rsidR="00CF5B68">
        <w:rPr>
          <w:rFonts w:asciiTheme="majorBidi" w:hAnsiTheme="majorBidi" w:cs="David"/>
          <w:sz w:val="24"/>
          <w:szCs w:val="24"/>
        </w:rPr>
        <w:t xml:space="preserve"> </w:t>
      </w:r>
      <w:r w:rsidR="00CF5B68">
        <w:rPr>
          <w:rFonts w:ascii="David" w:hAnsi="David" w:cs="David" w:hint="cs"/>
          <w:color w:val="000000"/>
          <w:sz w:val="24"/>
          <w:szCs w:val="24"/>
          <w:shd w:val="clear" w:color="auto" w:fill="FFFFFF"/>
          <w:rtl/>
        </w:rPr>
        <w:t xml:space="preserve"> או </w:t>
      </w:r>
      <w:r w:rsidR="00CF5B68">
        <w:rPr>
          <w:rFonts w:asciiTheme="majorBidi" w:hAnsiTheme="majorBidi" w:cs="David"/>
          <w:sz w:val="24"/>
          <w:szCs w:val="24"/>
        </w:rPr>
        <w:t xml:space="preserve">parental </w:t>
      </w:r>
      <w:r w:rsidR="00832F54">
        <w:rPr>
          <w:rFonts w:asciiTheme="majorBidi" w:hAnsiTheme="majorBidi" w:cs="David"/>
          <w:sz w:val="24"/>
          <w:szCs w:val="24"/>
        </w:rPr>
        <w:t>alienation</w:t>
      </w:r>
      <w:r w:rsidR="00CF5B68">
        <w:rPr>
          <w:rFonts w:asciiTheme="majorBidi" w:hAnsiTheme="majorBidi" w:cs="David"/>
          <w:sz w:val="24"/>
          <w:szCs w:val="24"/>
        </w:rPr>
        <w:t xml:space="preserve"> syndrome</w:t>
      </w:r>
      <w:r w:rsidR="00CF5B68">
        <w:rPr>
          <w:rFonts w:ascii="David" w:hAnsi="David" w:cs="David" w:hint="cs"/>
          <w:color w:val="000000"/>
          <w:sz w:val="24"/>
          <w:szCs w:val="24"/>
          <w:shd w:val="clear" w:color="auto" w:fill="FFFFFF"/>
          <w:rtl/>
        </w:rPr>
        <w:t>):</w:t>
      </w:r>
    </w:p>
    <w:p w14:paraId="6F59C521" w14:textId="24E48188" w:rsidR="00CF5B68" w:rsidRPr="00CF5B68" w:rsidRDefault="00CF5B68" w:rsidP="00CF5B68">
      <w:pPr>
        <w:bidi w:val="0"/>
        <w:spacing w:line="480" w:lineRule="auto"/>
        <w:jc w:val="both"/>
        <w:rPr>
          <w:rFonts w:ascii="David" w:hAnsi="David" w:cs="David"/>
          <w:color w:val="000000"/>
          <w:sz w:val="24"/>
          <w:szCs w:val="24"/>
          <w:shd w:val="clear" w:color="auto" w:fill="FFFFFF"/>
        </w:rPr>
      </w:pPr>
      <w:r>
        <w:rPr>
          <w:rFonts w:ascii="David" w:hAnsi="David" w:cs="David"/>
          <w:color w:val="000000"/>
          <w:sz w:val="24"/>
          <w:szCs w:val="24"/>
          <w:shd w:val="clear" w:color="auto" w:fill="FFFFFF"/>
        </w:rPr>
        <w:t xml:space="preserve">"At times, the stepparent may join in with their spouse to insult or lie about the other </w:t>
      </w:r>
      <w:r w:rsidR="00DD1783">
        <w:rPr>
          <w:rFonts w:ascii="David" w:hAnsi="David" w:cs="David"/>
          <w:color w:val="000000"/>
          <w:sz w:val="24"/>
          <w:szCs w:val="24"/>
          <w:shd w:val="clear" w:color="auto" w:fill="FFFFFF"/>
        </w:rPr>
        <w:t>parent or</w:t>
      </w:r>
      <w:r>
        <w:rPr>
          <w:rFonts w:ascii="David" w:hAnsi="David" w:cs="David"/>
          <w:color w:val="000000"/>
          <w:sz w:val="24"/>
          <w:szCs w:val="24"/>
          <w:shd w:val="clear" w:color="auto" w:fill="FFFFFF"/>
        </w:rPr>
        <w:t xml:space="preserve"> become involved with blocking contract".</w:t>
      </w:r>
      <w:r>
        <w:rPr>
          <w:rStyle w:val="FootnoteReference"/>
          <w:rFonts w:ascii="David" w:hAnsi="David" w:cs="David"/>
          <w:color w:val="000000"/>
          <w:sz w:val="24"/>
          <w:szCs w:val="24"/>
          <w:shd w:val="clear" w:color="auto" w:fill="FFFFFF"/>
        </w:rPr>
        <w:footnoteReference w:id="113"/>
      </w:r>
    </w:p>
    <w:p w14:paraId="47EAD223" w14:textId="05CC5F07" w:rsidR="00807928" w:rsidRDefault="003664BE" w:rsidP="00DE01F9">
      <w:pPr>
        <w:spacing w:line="480" w:lineRule="auto"/>
        <w:jc w:val="both"/>
        <w:rPr>
          <w:rFonts w:ascii="David" w:hAnsi="David" w:cs="David" w:hint="cs"/>
          <w:color w:val="000000"/>
          <w:sz w:val="24"/>
          <w:szCs w:val="24"/>
          <w:shd w:val="clear" w:color="auto" w:fill="FFFFFF"/>
          <w:rtl/>
        </w:rPr>
      </w:pPr>
      <w:r>
        <w:rPr>
          <w:rFonts w:ascii="David" w:hAnsi="David" w:cs="David"/>
          <w:color w:val="000000"/>
          <w:sz w:val="24"/>
          <w:szCs w:val="24"/>
          <w:shd w:val="clear" w:color="auto" w:fill="FFFFFF"/>
          <w:rtl/>
        </w:rPr>
        <w:t>חלק</w:t>
      </w:r>
      <w:r>
        <w:rPr>
          <w:rFonts w:ascii="David" w:hAnsi="David" w:cs="David" w:hint="cs"/>
          <w:color w:val="000000"/>
          <w:sz w:val="24"/>
          <w:szCs w:val="24"/>
          <w:shd w:val="clear" w:color="auto" w:fill="FFFFFF"/>
          <w:rtl/>
        </w:rPr>
        <w:t xml:space="preserve"> מחוקרים אלה</w:t>
      </w:r>
      <w:r w:rsidR="00A75B5C" w:rsidRPr="00D92375">
        <w:rPr>
          <w:rFonts w:ascii="David" w:hAnsi="David" w:cs="David"/>
          <w:color w:val="000000"/>
          <w:sz w:val="24"/>
          <w:szCs w:val="24"/>
          <w:shd w:val="clear" w:color="auto" w:fill="FFFFFF"/>
          <w:rtl/>
        </w:rPr>
        <w:t xml:space="preserve"> מדגישים כי אפשר שהפגיעה שנוצרת ביחסי ההורה והילד אינה מכוונת והיא תוצר נלווה של הצטרפותו של ההורה החורג למשפחה, ובפרט כאשר הילד צעיר במיוחד</w:t>
      </w:r>
      <w:r w:rsidR="00CB0850">
        <w:rPr>
          <w:rFonts w:ascii="David" w:hAnsi="David" w:cs="David" w:hint="cs"/>
          <w:color w:val="000000"/>
          <w:sz w:val="24"/>
          <w:szCs w:val="24"/>
          <w:shd w:val="clear" w:color="auto" w:fill="FFFFFF"/>
          <w:rtl/>
        </w:rPr>
        <w:t>,</w:t>
      </w:r>
      <w:r w:rsidR="00A75B5C" w:rsidRPr="00D92375">
        <w:rPr>
          <w:rStyle w:val="FootnoteReference"/>
          <w:rFonts w:ascii="David" w:hAnsi="David" w:cs="David"/>
          <w:color w:val="000000"/>
          <w:sz w:val="24"/>
          <w:szCs w:val="24"/>
          <w:shd w:val="clear" w:color="auto" w:fill="FFFFFF"/>
          <w:rtl/>
        </w:rPr>
        <w:footnoteReference w:id="114"/>
      </w:r>
      <w:r w:rsidR="00CB0850">
        <w:rPr>
          <w:rFonts w:ascii="David" w:hAnsi="David" w:cs="David" w:hint="cs"/>
          <w:color w:val="000000"/>
          <w:sz w:val="24"/>
          <w:szCs w:val="24"/>
          <w:shd w:val="clear" w:color="auto" w:fill="FFFFFF"/>
          <w:rtl/>
        </w:rPr>
        <w:t xml:space="preserve"> והקשר שהוא רוקם עם ההורה החורג חיובי ומשמעותי.</w:t>
      </w:r>
      <w:r w:rsidR="00CB0850">
        <w:rPr>
          <w:rStyle w:val="FootnoteReference"/>
          <w:rFonts w:ascii="David" w:hAnsi="David" w:cs="David"/>
          <w:color w:val="000000"/>
          <w:sz w:val="24"/>
          <w:szCs w:val="24"/>
          <w:shd w:val="clear" w:color="auto" w:fill="FFFFFF"/>
          <w:rtl/>
        </w:rPr>
        <w:footnoteReference w:id="115"/>
      </w:r>
      <w:r w:rsidR="00A75B5C" w:rsidRPr="00D92375">
        <w:rPr>
          <w:rFonts w:ascii="David" w:hAnsi="David" w:cs="David"/>
          <w:color w:val="000000"/>
          <w:sz w:val="24"/>
          <w:szCs w:val="24"/>
          <w:shd w:val="clear" w:color="auto" w:fill="FFFFFF"/>
          <w:rtl/>
        </w:rPr>
        <w:t xml:space="preserve"> גם תגובה רגשית מורכבת של ההורה</w:t>
      </w:r>
      <w:r w:rsidR="00832F54">
        <w:rPr>
          <w:rFonts w:ascii="David" w:hAnsi="David" w:cs="David" w:hint="cs"/>
          <w:color w:val="000000"/>
          <w:sz w:val="24"/>
          <w:szCs w:val="24"/>
          <w:shd w:val="clear" w:color="auto" w:fill="FFFFFF"/>
          <w:rtl/>
        </w:rPr>
        <w:t xml:space="preserve"> הלא משמורן</w:t>
      </w:r>
      <w:r w:rsidR="00A75B5C" w:rsidRPr="00D92375">
        <w:rPr>
          <w:rFonts w:ascii="David" w:hAnsi="David" w:cs="David"/>
          <w:color w:val="000000"/>
          <w:sz w:val="24"/>
          <w:szCs w:val="24"/>
          <w:shd w:val="clear" w:color="auto" w:fill="FFFFFF"/>
          <w:rtl/>
        </w:rPr>
        <w:t xml:space="preserve"> לקשר הזוגיות החדש של בן זוגו לשעבר יכולה להוביל להתרחקותו </w:t>
      </w:r>
      <w:r w:rsidR="009B2D0B">
        <w:rPr>
          <w:rFonts w:ascii="David" w:hAnsi="David" w:cs="David" w:hint="cs"/>
          <w:color w:val="000000"/>
          <w:sz w:val="24"/>
          <w:szCs w:val="24"/>
          <w:shd w:val="clear" w:color="auto" w:fill="FFFFFF"/>
          <w:rtl/>
        </w:rPr>
        <w:t xml:space="preserve">שלו עצמו </w:t>
      </w:r>
      <w:r w:rsidR="00A75B5C" w:rsidRPr="00D92375">
        <w:rPr>
          <w:rFonts w:ascii="David" w:hAnsi="David" w:cs="David"/>
          <w:color w:val="000000"/>
          <w:sz w:val="24"/>
          <w:szCs w:val="24"/>
          <w:shd w:val="clear" w:color="auto" w:fill="FFFFFF"/>
          <w:rtl/>
        </w:rPr>
        <w:t>ולהחמיר את תהליך הפגיעה בקשר.</w:t>
      </w:r>
      <w:r w:rsidR="00A75B5C" w:rsidRPr="00D92375">
        <w:rPr>
          <w:rStyle w:val="FootnoteReference"/>
          <w:rFonts w:ascii="David" w:hAnsi="David" w:cs="David"/>
          <w:color w:val="000000"/>
          <w:sz w:val="24"/>
          <w:szCs w:val="24"/>
          <w:shd w:val="clear" w:color="auto" w:fill="FFFFFF"/>
          <w:rtl/>
        </w:rPr>
        <w:footnoteReference w:id="116"/>
      </w:r>
      <w:r w:rsidR="00CD69AE">
        <w:rPr>
          <w:rFonts w:ascii="David" w:hAnsi="David" w:cs="David" w:hint="cs"/>
          <w:color w:val="000000"/>
          <w:sz w:val="24"/>
          <w:szCs w:val="24"/>
          <w:shd w:val="clear" w:color="auto" w:fill="FFFFFF"/>
          <w:rtl/>
        </w:rPr>
        <w:t xml:space="preserve"> כאמור, אנו עוסקים רק בנסיבות בהן מחבל ההורה החורג בקשר באופן פעיל ומכוון.</w:t>
      </w:r>
    </w:p>
    <w:p w14:paraId="2168E1E0" w14:textId="0845DF1E" w:rsidR="00960E89" w:rsidRDefault="00960E89" w:rsidP="00960E89">
      <w:pPr>
        <w:pStyle w:val="ListParagraph"/>
        <w:numPr>
          <w:ilvl w:val="0"/>
          <w:numId w:val="9"/>
        </w:numPr>
        <w:spacing w:line="480" w:lineRule="auto"/>
        <w:jc w:val="both"/>
        <w:rPr>
          <w:rFonts w:ascii="David" w:hAnsi="David" w:cs="David"/>
          <w:b/>
          <w:bCs/>
          <w:color w:val="000000"/>
          <w:sz w:val="24"/>
          <w:szCs w:val="24"/>
          <w:shd w:val="clear" w:color="auto" w:fill="FFFFFF"/>
        </w:rPr>
      </w:pPr>
      <w:r w:rsidRPr="00960E89">
        <w:rPr>
          <w:rFonts w:ascii="David" w:hAnsi="David" w:cs="David" w:hint="cs"/>
          <w:b/>
          <w:bCs/>
          <w:color w:val="000000"/>
          <w:sz w:val="24"/>
          <w:szCs w:val="24"/>
          <w:shd w:val="clear" w:color="auto" w:fill="FFFFFF"/>
          <w:rtl/>
        </w:rPr>
        <w:t>פגיעה באמונתו או באורחות חייו של ההורה</w:t>
      </w:r>
      <w:r w:rsidR="00832F54">
        <w:rPr>
          <w:rFonts w:ascii="David" w:hAnsi="David" w:cs="David" w:hint="cs"/>
          <w:b/>
          <w:bCs/>
          <w:color w:val="000000"/>
          <w:sz w:val="24"/>
          <w:szCs w:val="24"/>
          <w:shd w:val="clear" w:color="auto" w:fill="FFFFFF"/>
          <w:rtl/>
        </w:rPr>
        <w:t xml:space="preserve"> הלא משמורן</w:t>
      </w:r>
      <w:r>
        <w:rPr>
          <w:rFonts w:ascii="David" w:hAnsi="David" w:cs="David" w:hint="cs"/>
          <w:b/>
          <w:bCs/>
          <w:color w:val="000000"/>
          <w:sz w:val="24"/>
          <w:szCs w:val="24"/>
          <w:shd w:val="clear" w:color="auto" w:fill="FFFFFF"/>
          <w:rtl/>
        </w:rPr>
        <w:t xml:space="preserve"> בהשפעת ההורה החורג</w:t>
      </w:r>
      <w:r w:rsidRPr="00960E89">
        <w:rPr>
          <w:rFonts w:ascii="David" w:hAnsi="David" w:cs="David" w:hint="cs"/>
          <w:b/>
          <w:bCs/>
          <w:color w:val="000000"/>
          <w:sz w:val="24"/>
          <w:szCs w:val="24"/>
          <w:shd w:val="clear" w:color="auto" w:fill="FFFFFF"/>
          <w:rtl/>
        </w:rPr>
        <w:t xml:space="preserve"> </w:t>
      </w:r>
    </w:p>
    <w:p w14:paraId="4FAE06B8" w14:textId="7CF20ED3" w:rsidR="0093291D" w:rsidRDefault="0093291D" w:rsidP="00D02663">
      <w:pPr>
        <w:spacing w:line="480" w:lineRule="auto"/>
        <w:contextualSpacing/>
        <w:jc w:val="both"/>
        <w:rPr>
          <w:rFonts w:ascii="David" w:hAnsi="David" w:cs="David"/>
          <w:color w:val="000000"/>
          <w:sz w:val="24"/>
          <w:szCs w:val="24"/>
          <w:shd w:val="clear" w:color="auto" w:fill="FFFFFF"/>
          <w:rtl/>
        </w:rPr>
      </w:pPr>
      <w:r>
        <w:rPr>
          <w:rFonts w:ascii="David" w:hAnsi="David" w:cs="David"/>
          <w:color w:val="000000"/>
          <w:sz w:val="24"/>
          <w:szCs w:val="24"/>
          <w:shd w:val="clear" w:color="auto" w:fill="FFFFFF"/>
          <w:rtl/>
        </w:rPr>
        <w:t xml:space="preserve">החיים של הילד </w:t>
      </w:r>
      <w:r>
        <w:rPr>
          <w:rFonts w:ascii="David" w:hAnsi="David" w:cs="David" w:hint="cs"/>
          <w:color w:val="000000"/>
          <w:sz w:val="24"/>
          <w:szCs w:val="24"/>
          <w:shd w:val="clear" w:color="auto" w:fill="FFFFFF"/>
          <w:rtl/>
        </w:rPr>
        <w:t xml:space="preserve">במחיצת </w:t>
      </w:r>
      <w:r w:rsidR="00960E89" w:rsidRPr="000631EC">
        <w:rPr>
          <w:rFonts w:ascii="David" w:hAnsi="David" w:cs="David"/>
          <w:color w:val="000000"/>
          <w:sz w:val="24"/>
          <w:szCs w:val="24"/>
          <w:shd w:val="clear" w:color="auto" w:fill="FFFFFF"/>
          <w:rtl/>
        </w:rPr>
        <w:t xml:space="preserve">ההורה החורג </w:t>
      </w:r>
      <w:r w:rsidR="00357C95" w:rsidRPr="000631EC">
        <w:rPr>
          <w:rFonts w:ascii="David" w:hAnsi="David" w:cs="David"/>
          <w:color w:val="000000"/>
          <w:sz w:val="24"/>
          <w:szCs w:val="24"/>
          <w:shd w:val="clear" w:color="auto" w:fill="FFFFFF"/>
          <w:rtl/>
        </w:rPr>
        <w:t>עשויים</w:t>
      </w:r>
      <w:r w:rsidR="00960E89" w:rsidRPr="000631EC">
        <w:rPr>
          <w:rFonts w:ascii="David" w:hAnsi="David" w:cs="David"/>
          <w:color w:val="000000"/>
          <w:sz w:val="24"/>
          <w:szCs w:val="24"/>
          <w:shd w:val="clear" w:color="auto" w:fill="FFFFFF"/>
          <w:rtl/>
        </w:rPr>
        <w:t xml:space="preserve"> </w:t>
      </w:r>
      <w:r w:rsidR="00357C95" w:rsidRPr="000631EC">
        <w:rPr>
          <w:rFonts w:ascii="David" w:hAnsi="David" w:cs="David"/>
          <w:color w:val="000000"/>
          <w:sz w:val="24"/>
          <w:szCs w:val="24"/>
          <w:shd w:val="clear" w:color="auto" w:fill="FFFFFF"/>
          <w:rtl/>
        </w:rPr>
        <w:t>לחשוף את הילד להתנהגויות, מעשים או</w:t>
      </w:r>
      <w:r w:rsidR="00960E89" w:rsidRPr="000631EC">
        <w:rPr>
          <w:rFonts w:ascii="David" w:hAnsi="David" w:cs="David"/>
          <w:color w:val="000000"/>
          <w:sz w:val="24"/>
          <w:szCs w:val="24"/>
          <w:shd w:val="clear" w:color="auto" w:fill="FFFFFF"/>
          <w:rtl/>
        </w:rPr>
        <w:t xml:space="preserve"> ריטואלים </w:t>
      </w:r>
      <w:r>
        <w:rPr>
          <w:rFonts w:ascii="David" w:hAnsi="David" w:cs="David" w:hint="cs"/>
          <w:color w:val="000000"/>
          <w:sz w:val="24"/>
          <w:szCs w:val="24"/>
          <w:shd w:val="clear" w:color="auto" w:fill="FFFFFF"/>
          <w:rtl/>
        </w:rPr>
        <w:t xml:space="preserve">שעצם השתתפותו בהם או </w:t>
      </w:r>
      <w:r w:rsidR="00357C95" w:rsidRPr="000631EC">
        <w:rPr>
          <w:rFonts w:ascii="David" w:hAnsi="David" w:cs="David"/>
          <w:color w:val="000000"/>
          <w:sz w:val="24"/>
          <w:szCs w:val="24"/>
          <w:shd w:val="clear" w:color="auto" w:fill="FFFFFF"/>
          <w:rtl/>
        </w:rPr>
        <w:t>השפעתם עליו</w:t>
      </w:r>
      <w:r>
        <w:rPr>
          <w:rFonts w:ascii="David" w:hAnsi="David" w:cs="David" w:hint="cs"/>
          <w:color w:val="000000"/>
          <w:sz w:val="24"/>
          <w:szCs w:val="24"/>
          <w:shd w:val="clear" w:color="auto" w:fill="FFFFFF"/>
          <w:rtl/>
        </w:rPr>
        <w:t>,</w:t>
      </w:r>
      <w:r w:rsidR="00357C95" w:rsidRPr="000631EC">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עשויות לפגוע בהורה</w:t>
      </w:r>
      <w:r w:rsidR="00FC43DD">
        <w:rPr>
          <w:rFonts w:ascii="David" w:hAnsi="David" w:cs="David" w:hint="cs"/>
          <w:color w:val="000000"/>
          <w:sz w:val="24"/>
          <w:szCs w:val="24"/>
          <w:shd w:val="clear" w:color="auto" w:fill="FFFFFF"/>
          <w:rtl/>
        </w:rPr>
        <w:t xml:space="preserve"> הלא משמורן</w:t>
      </w:r>
      <w:r>
        <w:rPr>
          <w:rFonts w:ascii="David" w:hAnsi="David" w:cs="David" w:hint="cs"/>
          <w:color w:val="000000"/>
          <w:sz w:val="24"/>
          <w:szCs w:val="24"/>
          <w:shd w:val="clear" w:color="auto" w:fill="FFFFFF"/>
          <w:rtl/>
        </w:rPr>
        <w:t xml:space="preserve">. </w:t>
      </w:r>
    </w:p>
    <w:p w14:paraId="6244B176" w14:textId="35056424" w:rsidR="0093291D" w:rsidRDefault="00CB1FB3" w:rsidP="006E01C2">
      <w:pPr>
        <w:spacing w:line="480" w:lineRule="auto"/>
        <w:contextualSpacing/>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פגיעה זאת עשויה להיגרם כאשר קיים שוני באמונה הדתית של ההורה</w:t>
      </w:r>
      <w:r w:rsidR="00FB3748">
        <w:rPr>
          <w:rFonts w:ascii="David" w:hAnsi="David" w:cs="David" w:hint="cs"/>
          <w:color w:val="000000"/>
          <w:sz w:val="24"/>
          <w:szCs w:val="24"/>
          <w:shd w:val="clear" w:color="auto" w:fill="FFFFFF"/>
          <w:rtl/>
        </w:rPr>
        <w:t xml:space="preserve"> הלא משמורן</w:t>
      </w:r>
      <w:r>
        <w:rPr>
          <w:rFonts w:ascii="David" w:hAnsi="David" w:cs="David" w:hint="cs"/>
          <w:color w:val="000000"/>
          <w:sz w:val="24"/>
          <w:szCs w:val="24"/>
          <w:shd w:val="clear" w:color="auto" w:fill="FFFFFF"/>
          <w:rtl/>
        </w:rPr>
        <w:t xml:space="preserve"> וההורה החורג,</w:t>
      </w:r>
      <w:r w:rsidR="00147A64">
        <w:rPr>
          <w:rStyle w:val="FootnoteReference"/>
          <w:rFonts w:ascii="David" w:hAnsi="David" w:cs="David"/>
          <w:color w:val="000000"/>
          <w:sz w:val="24"/>
          <w:szCs w:val="24"/>
          <w:shd w:val="clear" w:color="auto" w:fill="FFFFFF"/>
          <w:rtl/>
        </w:rPr>
        <w:footnoteReference w:id="117"/>
      </w:r>
      <w:r>
        <w:rPr>
          <w:rFonts w:ascii="David" w:hAnsi="David" w:cs="David" w:hint="cs"/>
          <w:color w:val="000000"/>
          <w:sz w:val="24"/>
          <w:szCs w:val="24"/>
          <w:shd w:val="clear" w:color="auto" w:fill="FFFFFF"/>
          <w:rtl/>
        </w:rPr>
        <w:t xml:space="preserve"> או כאשר קיים פער במידת </w:t>
      </w:r>
      <w:r w:rsidR="00D02663">
        <w:rPr>
          <w:rFonts w:ascii="David" w:hAnsi="David" w:cs="David" w:hint="cs"/>
          <w:color w:val="000000"/>
          <w:sz w:val="24"/>
          <w:szCs w:val="24"/>
          <w:shd w:val="clear" w:color="auto" w:fill="FFFFFF"/>
          <w:rtl/>
        </w:rPr>
        <w:t>אמונתם או אופן הוצאתה אל הפועל.</w:t>
      </w:r>
      <w:r w:rsidR="00E25656">
        <w:rPr>
          <w:rStyle w:val="FootnoteReference"/>
          <w:rFonts w:ascii="David" w:hAnsi="David" w:cs="David"/>
          <w:color w:val="000000"/>
          <w:sz w:val="24"/>
          <w:szCs w:val="24"/>
          <w:shd w:val="clear" w:color="auto" w:fill="FFFFFF"/>
          <w:rtl/>
        </w:rPr>
        <w:footnoteReference w:id="118"/>
      </w:r>
      <w:r>
        <w:rPr>
          <w:rFonts w:ascii="David" w:hAnsi="David" w:cs="David" w:hint="cs"/>
          <w:color w:val="000000"/>
          <w:sz w:val="24"/>
          <w:szCs w:val="24"/>
          <w:shd w:val="clear" w:color="auto" w:fill="FFFFFF"/>
          <w:rtl/>
        </w:rPr>
        <w:t xml:space="preserve"> ככל שהעניין </w:t>
      </w:r>
      <w:r w:rsidR="006E01C2">
        <w:rPr>
          <w:rFonts w:ascii="David" w:hAnsi="David" w:cs="David" w:hint="cs"/>
          <w:color w:val="000000"/>
          <w:sz w:val="24"/>
          <w:szCs w:val="24"/>
          <w:shd w:val="clear" w:color="auto" w:fill="FFFFFF"/>
          <w:rtl/>
        </w:rPr>
        <w:t>חשוב</w:t>
      </w:r>
      <w:r>
        <w:rPr>
          <w:rFonts w:ascii="David" w:hAnsi="David" w:cs="David" w:hint="cs"/>
          <w:color w:val="000000"/>
          <w:sz w:val="24"/>
          <w:szCs w:val="24"/>
          <w:shd w:val="clear" w:color="auto" w:fill="FFFFFF"/>
          <w:rtl/>
        </w:rPr>
        <w:t xml:space="preserve"> יותר עבור ההורה</w:t>
      </w:r>
      <w:r w:rsidR="00FB3748">
        <w:rPr>
          <w:rFonts w:ascii="David" w:hAnsi="David" w:cs="David" w:hint="cs"/>
          <w:color w:val="000000"/>
          <w:sz w:val="24"/>
          <w:szCs w:val="24"/>
          <w:shd w:val="clear" w:color="auto" w:fill="FFFFFF"/>
          <w:rtl/>
        </w:rPr>
        <w:t xml:space="preserve"> הלא משמורן</w:t>
      </w:r>
      <w:r w:rsidR="006E01C2">
        <w:rPr>
          <w:rFonts w:ascii="David" w:hAnsi="David" w:cs="David" w:hint="cs"/>
          <w:color w:val="000000"/>
          <w:sz w:val="24"/>
          <w:szCs w:val="24"/>
          <w:shd w:val="clear" w:color="auto" w:fill="FFFFFF"/>
          <w:rtl/>
        </w:rPr>
        <w:t>, ובמיוחד אם הוא הצד המאמין המקפיד לפעול על פי ציווי הדת,</w:t>
      </w:r>
      <w:r>
        <w:rPr>
          <w:rFonts w:ascii="David" w:hAnsi="David" w:cs="David" w:hint="cs"/>
          <w:color w:val="000000"/>
          <w:sz w:val="24"/>
          <w:szCs w:val="24"/>
          <w:shd w:val="clear" w:color="auto" w:fill="FFFFFF"/>
          <w:rtl/>
        </w:rPr>
        <w:t xml:space="preserve"> </w:t>
      </w:r>
      <w:r w:rsidR="006E01C2" w:rsidRPr="000631EC">
        <w:rPr>
          <w:rFonts w:ascii="David" w:hAnsi="David" w:cs="David"/>
          <w:color w:val="000000"/>
          <w:sz w:val="24"/>
          <w:szCs w:val="24"/>
          <w:shd w:val="clear" w:color="auto" w:fill="FFFFFF"/>
          <w:rtl/>
        </w:rPr>
        <w:t>הרי שהתנהגות הנגרמת בגינו או בהשפעתו של ההורה החורג יכולה לגרום לפגיעה עמוקה ברגשותיו</w:t>
      </w:r>
      <w:r w:rsidR="00CD69AE">
        <w:rPr>
          <w:rFonts w:ascii="David" w:hAnsi="David" w:cs="David" w:hint="cs"/>
          <w:color w:val="000000"/>
          <w:sz w:val="24"/>
          <w:szCs w:val="24"/>
          <w:shd w:val="clear" w:color="auto" w:fill="FFFFFF"/>
          <w:rtl/>
        </w:rPr>
        <w:t xml:space="preserve"> ולמעשה אף בקשר שלו עם הילד</w:t>
      </w:r>
      <w:r w:rsidR="006E01C2">
        <w:rPr>
          <w:rFonts w:ascii="David" w:hAnsi="David" w:cs="David" w:hint="cs"/>
          <w:color w:val="000000"/>
          <w:sz w:val="24"/>
          <w:szCs w:val="24"/>
          <w:shd w:val="clear" w:color="auto" w:fill="FFFFFF"/>
          <w:rtl/>
        </w:rPr>
        <w:t>.</w:t>
      </w:r>
      <w:r w:rsidR="00BA103C">
        <w:rPr>
          <w:rStyle w:val="FootnoteReference"/>
          <w:rFonts w:ascii="David" w:hAnsi="David" w:cs="David"/>
          <w:color w:val="000000"/>
          <w:sz w:val="24"/>
          <w:szCs w:val="24"/>
          <w:shd w:val="clear" w:color="auto" w:fill="FFFFFF"/>
          <w:rtl/>
        </w:rPr>
        <w:footnoteReference w:id="119"/>
      </w:r>
    </w:p>
    <w:p w14:paraId="0058D5EF" w14:textId="05EB2250" w:rsidR="00B55049" w:rsidRDefault="00357C95" w:rsidP="00FB3748">
      <w:pPr>
        <w:spacing w:line="480" w:lineRule="auto"/>
        <w:contextualSpacing/>
        <w:jc w:val="both"/>
        <w:rPr>
          <w:rFonts w:ascii="David" w:hAnsi="David" w:cs="David"/>
          <w:color w:val="000000"/>
          <w:sz w:val="24"/>
          <w:szCs w:val="24"/>
          <w:shd w:val="clear" w:color="auto" w:fill="FFFFFF"/>
          <w:rtl/>
        </w:rPr>
      </w:pPr>
      <w:r w:rsidRPr="000631EC">
        <w:rPr>
          <w:rFonts w:ascii="David" w:hAnsi="David" w:cs="David"/>
          <w:color w:val="000000"/>
          <w:sz w:val="24"/>
          <w:szCs w:val="24"/>
          <w:shd w:val="clear" w:color="auto" w:fill="FFFFFF"/>
          <w:rtl/>
        </w:rPr>
        <w:t>במחקר שניסה לזקק את מידת ההשפעה הקיימת להורים בהעברת תכונות והתנהגויות לילדים</w:t>
      </w:r>
      <w:r w:rsidR="00B42F2F" w:rsidRPr="000631EC">
        <w:rPr>
          <w:rFonts w:ascii="David" w:hAnsi="David" w:cs="David"/>
          <w:color w:val="000000"/>
          <w:sz w:val="24"/>
          <w:szCs w:val="24"/>
          <w:shd w:val="clear" w:color="auto" w:fill="FFFFFF"/>
          <w:rtl/>
        </w:rPr>
        <w:t xml:space="preserve"> </w:t>
      </w:r>
      <w:r w:rsidR="000631EC" w:rsidRPr="000631EC">
        <w:rPr>
          <w:rFonts w:ascii="David" w:hAnsi="David" w:cs="David"/>
          <w:color w:val="131413"/>
          <w:sz w:val="24"/>
          <w:szCs w:val="24"/>
          <w:rtl/>
        </w:rPr>
        <w:t xml:space="preserve"> </w:t>
      </w:r>
      <w:r w:rsidR="000631EC" w:rsidRPr="000631EC">
        <w:rPr>
          <w:rFonts w:ascii="David" w:hAnsi="David" w:cs="David"/>
          <w:color w:val="131413"/>
          <w:sz w:val="24"/>
          <w:szCs w:val="24"/>
        </w:rPr>
        <w:t>intergenerational transmission of traits.</w:t>
      </w:r>
      <w:r w:rsidR="000631EC" w:rsidRPr="000631EC">
        <w:rPr>
          <w:rFonts w:ascii="David" w:hAnsi="David" w:cs="David"/>
          <w:color w:val="000000"/>
          <w:sz w:val="24"/>
          <w:szCs w:val="24"/>
          <w:shd w:val="clear" w:color="auto" w:fill="FFFFFF"/>
          <w:rtl/>
        </w:rPr>
        <w:t xml:space="preserve"> </w:t>
      </w:r>
      <w:r w:rsidRPr="000631EC">
        <w:rPr>
          <w:rFonts w:ascii="David" w:hAnsi="David" w:cs="David"/>
          <w:color w:val="000000"/>
          <w:sz w:val="24"/>
          <w:szCs w:val="24"/>
          <w:shd w:val="clear" w:color="auto" w:fill="FFFFFF"/>
          <w:rtl/>
        </w:rPr>
        <w:t>נמצא, כי להורה המגדל</w:t>
      </w:r>
      <w:r w:rsidR="00FB3748">
        <w:rPr>
          <w:rFonts w:ascii="David" w:hAnsi="David" w:cs="David" w:hint="cs"/>
          <w:color w:val="000000"/>
          <w:sz w:val="24"/>
          <w:szCs w:val="24"/>
          <w:shd w:val="clear" w:color="auto" w:fill="FFFFFF"/>
          <w:rtl/>
        </w:rPr>
        <w:t xml:space="preserve"> את הילד</w:t>
      </w:r>
      <w:r w:rsidRPr="000631EC">
        <w:rPr>
          <w:rFonts w:ascii="David" w:hAnsi="David" w:cs="David"/>
          <w:color w:val="000000"/>
          <w:sz w:val="24"/>
          <w:szCs w:val="24"/>
          <w:shd w:val="clear" w:color="auto" w:fill="FFFFFF"/>
          <w:rtl/>
        </w:rPr>
        <w:t>, לרבות ההורה החורג, קיימת השפעה ניכרת, למשל, על שיעור ההליכה לכנסייה של הילד.</w:t>
      </w:r>
      <w:r w:rsidRPr="000631EC">
        <w:rPr>
          <w:rStyle w:val="FootnoteReference"/>
          <w:rFonts w:ascii="David" w:hAnsi="David" w:cs="David"/>
          <w:color w:val="000000"/>
          <w:sz w:val="24"/>
          <w:szCs w:val="24"/>
          <w:shd w:val="clear" w:color="auto" w:fill="FFFFFF"/>
          <w:rtl/>
        </w:rPr>
        <w:footnoteReference w:id="120"/>
      </w:r>
      <w:r w:rsidR="00FB3748">
        <w:rPr>
          <w:rFonts w:ascii="David" w:hAnsi="David" w:cs="David"/>
          <w:color w:val="000000"/>
          <w:sz w:val="24"/>
          <w:szCs w:val="24"/>
          <w:shd w:val="clear" w:color="auto" w:fill="FFFFFF"/>
          <w:rtl/>
        </w:rPr>
        <w:t xml:space="preserve"> בשונה מהיבטים חינוכיים, בהם </w:t>
      </w:r>
      <w:r w:rsidR="00FB3748">
        <w:rPr>
          <w:rFonts w:ascii="David" w:hAnsi="David" w:cs="David" w:hint="cs"/>
          <w:color w:val="000000"/>
          <w:sz w:val="24"/>
          <w:szCs w:val="24"/>
          <w:shd w:val="clear" w:color="auto" w:fill="FFFFFF"/>
          <w:rtl/>
        </w:rPr>
        <w:t>לקשר הגנטי</w:t>
      </w:r>
      <w:r w:rsidRPr="000631EC">
        <w:rPr>
          <w:rFonts w:ascii="David" w:hAnsi="David" w:cs="David"/>
          <w:color w:val="000000"/>
          <w:sz w:val="24"/>
          <w:szCs w:val="24"/>
          <w:shd w:val="clear" w:color="auto" w:fill="FFFFFF"/>
          <w:rtl/>
        </w:rPr>
        <w:t xml:space="preserve"> קיימת השפעה</w:t>
      </w:r>
      <w:r w:rsidR="00D02663">
        <w:rPr>
          <w:rFonts w:ascii="David" w:hAnsi="David" w:cs="David" w:hint="cs"/>
          <w:color w:val="000000"/>
          <w:sz w:val="24"/>
          <w:szCs w:val="24"/>
          <w:shd w:val="clear" w:color="auto" w:fill="FFFFFF"/>
          <w:rtl/>
        </w:rPr>
        <w:t xml:space="preserve"> ניכרת,</w:t>
      </w:r>
      <w:r w:rsidR="00D02663">
        <w:rPr>
          <w:rStyle w:val="FootnoteReference"/>
          <w:rFonts w:ascii="David" w:hAnsi="David" w:cs="David"/>
          <w:color w:val="000000"/>
          <w:sz w:val="24"/>
          <w:szCs w:val="24"/>
          <w:shd w:val="clear" w:color="auto" w:fill="FFFFFF"/>
          <w:rtl/>
        </w:rPr>
        <w:footnoteReference w:id="121"/>
      </w:r>
      <w:r w:rsidRPr="000631EC">
        <w:rPr>
          <w:rFonts w:ascii="David" w:hAnsi="David" w:cs="David"/>
          <w:color w:val="000000"/>
          <w:sz w:val="24"/>
          <w:szCs w:val="24"/>
          <w:shd w:val="clear" w:color="auto" w:fill="FFFFFF"/>
          <w:rtl/>
        </w:rPr>
        <w:t xml:space="preserve"> </w:t>
      </w:r>
      <w:r w:rsidR="00D02663" w:rsidRPr="000631EC">
        <w:rPr>
          <w:rFonts w:ascii="David" w:hAnsi="David" w:cs="David"/>
          <w:color w:val="000000"/>
          <w:sz w:val="24"/>
          <w:szCs w:val="24"/>
          <w:shd w:val="clear" w:color="auto" w:fill="FFFFFF"/>
          <w:rtl/>
        </w:rPr>
        <w:t xml:space="preserve">הרי שבנוגע ל- </w:t>
      </w:r>
      <w:r w:rsidR="00D02663" w:rsidRPr="000631EC">
        <w:rPr>
          <w:rFonts w:ascii="David" w:hAnsi="David" w:cs="David"/>
          <w:color w:val="131413"/>
          <w:sz w:val="24"/>
          <w:szCs w:val="24"/>
        </w:rPr>
        <w:t>religious socialization</w:t>
      </w:r>
      <w:r w:rsidR="00D02663" w:rsidRPr="000631EC">
        <w:rPr>
          <w:rFonts w:ascii="David" w:hAnsi="David" w:cs="David"/>
          <w:color w:val="000000"/>
          <w:sz w:val="24"/>
          <w:szCs w:val="24"/>
          <w:shd w:val="clear" w:color="auto" w:fill="FFFFFF"/>
          <w:rtl/>
        </w:rPr>
        <w:t xml:space="preserve"> המצב ככל הנראה שונה</w:t>
      </w:r>
      <w:r w:rsidR="00D02663">
        <w:rPr>
          <w:rFonts w:ascii="David" w:hAnsi="David" w:cs="David" w:hint="cs"/>
          <w:color w:val="000000"/>
          <w:sz w:val="24"/>
          <w:szCs w:val="24"/>
          <w:shd w:val="clear" w:color="auto" w:fill="FFFFFF"/>
          <w:rtl/>
        </w:rPr>
        <w:t xml:space="preserve"> וההשפעה של הגורם המגדל הישיר גדולה יותר</w:t>
      </w:r>
      <w:r w:rsidR="00D02663" w:rsidRPr="000631EC">
        <w:rPr>
          <w:rFonts w:ascii="David" w:hAnsi="David" w:cs="David"/>
          <w:color w:val="000000"/>
          <w:sz w:val="24"/>
          <w:szCs w:val="24"/>
          <w:shd w:val="clear" w:color="auto" w:fill="FFFFFF"/>
          <w:rtl/>
        </w:rPr>
        <w:t>.</w:t>
      </w:r>
      <w:r w:rsidR="00D02663">
        <w:rPr>
          <w:rFonts w:ascii="David" w:hAnsi="David" w:cs="David" w:hint="cs"/>
          <w:color w:val="000000"/>
          <w:sz w:val="24"/>
          <w:szCs w:val="24"/>
          <w:shd w:val="clear" w:color="auto" w:fill="FFFFFF"/>
          <w:rtl/>
        </w:rPr>
        <w:t xml:space="preserve"> </w:t>
      </w:r>
    </w:p>
    <w:p w14:paraId="6B13F209" w14:textId="2FD21340" w:rsidR="00251A4B" w:rsidRDefault="00D02663" w:rsidP="002E1DDC">
      <w:pPr>
        <w:spacing w:line="480" w:lineRule="auto"/>
        <w:contextualSpacing/>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סוגי ההתנהגויות והריטואלים העשויים לעורר מחלוקת רבים והם תלויים</w:t>
      </w:r>
      <w:r w:rsidR="00B75439">
        <w:rPr>
          <w:rFonts w:ascii="David" w:hAnsi="David" w:cs="David" w:hint="cs"/>
          <w:color w:val="000000"/>
          <w:sz w:val="24"/>
          <w:szCs w:val="24"/>
          <w:shd w:val="clear" w:color="auto" w:fill="FFFFFF"/>
          <w:rtl/>
        </w:rPr>
        <w:t>, כאמור,</w:t>
      </w:r>
      <w:r>
        <w:rPr>
          <w:rFonts w:ascii="David" w:hAnsi="David" w:cs="David" w:hint="cs"/>
          <w:color w:val="000000"/>
          <w:sz w:val="24"/>
          <w:szCs w:val="24"/>
          <w:shd w:val="clear" w:color="auto" w:fill="FFFFFF"/>
          <w:rtl/>
        </w:rPr>
        <w:t xml:space="preserve"> בשיוך הדתי של הצדדים והאופן בו הם מגשימים את אמונתם</w:t>
      </w:r>
      <w:r w:rsidR="00251A4B">
        <w:rPr>
          <w:rFonts w:ascii="David" w:hAnsi="David" w:cs="David" w:hint="cs"/>
          <w:color w:val="000000"/>
          <w:sz w:val="24"/>
          <w:szCs w:val="24"/>
          <w:shd w:val="clear" w:color="auto" w:fill="FFFFFF"/>
          <w:rtl/>
        </w:rPr>
        <w:t xml:space="preserve"> ובמידת ההקפדה על מצוותיה</w:t>
      </w:r>
      <w:r>
        <w:rPr>
          <w:rFonts w:ascii="David" w:hAnsi="David" w:cs="David" w:hint="cs"/>
          <w:color w:val="000000"/>
          <w:sz w:val="24"/>
          <w:szCs w:val="24"/>
          <w:shd w:val="clear" w:color="auto" w:fill="FFFFFF"/>
          <w:rtl/>
        </w:rPr>
        <w:t>. בהנחה ש</w:t>
      </w:r>
      <w:r w:rsidR="00914AC7">
        <w:rPr>
          <w:rFonts w:ascii="David" w:hAnsi="David" w:cs="David" w:hint="cs"/>
          <w:color w:val="000000"/>
          <w:sz w:val="24"/>
          <w:szCs w:val="24"/>
          <w:shd w:val="clear" w:color="auto" w:fill="FFFFFF"/>
          <w:rtl/>
        </w:rPr>
        <w:t xml:space="preserve">ההורה החורג </w:t>
      </w:r>
      <w:r>
        <w:rPr>
          <w:rFonts w:ascii="David" w:hAnsi="David" w:cs="David" w:hint="cs"/>
          <w:color w:val="000000"/>
          <w:sz w:val="24"/>
          <w:szCs w:val="24"/>
          <w:shd w:val="clear" w:color="auto" w:fill="FFFFFF"/>
          <w:rtl/>
        </w:rPr>
        <w:t>נוצרי והאחר בן דת אחרת, הקושי יכול להתעורר בעיקר סביב הליכה לכנסייה בימי ראשון או בחג</w:t>
      </w:r>
      <w:r w:rsidR="00914AC7">
        <w:rPr>
          <w:rFonts w:ascii="David" w:hAnsi="David" w:cs="David" w:hint="cs"/>
          <w:color w:val="000000"/>
          <w:sz w:val="24"/>
          <w:szCs w:val="24"/>
          <w:shd w:val="clear" w:color="auto" w:fill="FFFFFF"/>
          <w:rtl/>
        </w:rPr>
        <w:t>, תפילות במסגרת הבית</w:t>
      </w:r>
      <w:r w:rsidR="00750BEE">
        <w:rPr>
          <w:rFonts w:ascii="David" w:hAnsi="David" w:cs="David" w:hint="cs"/>
          <w:color w:val="000000"/>
          <w:sz w:val="24"/>
          <w:szCs w:val="24"/>
          <w:shd w:val="clear" w:color="auto" w:fill="FFFFFF"/>
          <w:rtl/>
        </w:rPr>
        <w:t xml:space="preserve">, </w:t>
      </w:r>
      <w:r>
        <w:rPr>
          <w:rFonts w:ascii="David" w:hAnsi="David" w:cs="David" w:hint="cs"/>
          <w:color w:val="000000"/>
          <w:sz w:val="24"/>
          <w:szCs w:val="24"/>
          <w:shd w:val="clear" w:color="auto" w:fill="FFFFFF"/>
          <w:rtl/>
        </w:rPr>
        <w:t>או לנוכח הצגת</w:t>
      </w:r>
      <w:r w:rsidR="00390DDA">
        <w:rPr>
          <w:rFonts w:ascii="David" w:hAnsi="David" w:cs="David" w:hint="cs"/>
          <w:color w:val="000000"/>
          <w:sz w:val="24"/>
          <w:szCs w:val="24"/>
          <w:shd w:val="clear" w:color="auto" w:fill="FFFFFF"/>
          <w:rtl/>
        </w:rPr>
        <w:t>ם של</w:t>
      </w:r>
      <w:r>
        <w:rPr>
          <w:rFonts w:ascii="David" w:hAnsi="David" w:cs="David" w:hint="cs"/>
          <w:color w:val="000000"/>
          <w:sz w:val="24"/>
          <w:szCs w:val="24"/>
          <w:shd w:val="clear" w:color="auto" w:fill="FFFFFF"/>
          <w:rtl/>
        </w:rPr>
        <w:t xml:space="preserve"> סמלי </w:t>
      </w:r>
      <w:r w:rsidR="00B75439">
        <w:rPr>
          <w:rFonts w:ascii="David" w:hAnsi="David" w:cs="David" w:hint="cs"/>
          <w:color w:val="000000"/>
          <w:sz w:val="24"/>
          <w:szCs w:val="24"/>
          <w:shd w:val="clear" w:color="auto" w:fill="FFFFFF"/>
          <w:rtl/>
        </w:rPr>
        <w:t>חג</w:t>
      </w:r>
      <w:r w:rsidR="00390DDA">
        <w:rPr>
          <w:rFonts w:ascii="David" w:hAnsi="David" w:cs="David" w:hint="cs"/>
          <w:color w:val="000000"/>
          <w:sz w:val="24"/>
          <w:szCs w:val="24"/>
          <w:shd w:val="clear" w:color="auto" w:fill="FFFFFF"/>
          <w:rtl/>
        </w:rPr>
        <w:t xml:space="preserve"> בסביבה הביתית</w:t>
      </w:r>
      <w:r>
        <w:rPr>
          <w:rFonts w:ascii="David" w:hAnsi="David" w:cs="David" w:hint="cs"/>
          <w:color w:val="000000"/>
          <w:sz w:val="24"/>
          <w:szCs w:val="24"/>
          <w:shd w:val="clear" w:color="auto" w:fill="FFFFFF"/>
          <w:rtl/>
        </w:rPr>
        <w:t>.</w:t>
      </w:r>
      <w:r w:rsidR="00251A4B">
        <w:rPr>
          <w:rFonts w:ascii="David" w:hAnsi="David" w:cs="David" w:hint="cs"/>
          <w:color w:val="000000"/>
          <w:sz w:val="24"/>
          <w:szCs w:val="24"/>
          <w:shd w:val="clear" w:color="auto" w:fill="FFFFFF"/>
          <w:rtl/>
        </w:rPr>
        <w:t xml:space="preserve"> אם ההורה החורג הוא מוסלמי, הקושי יכול להתעורר עקב הליכה למסגד, תפילה בבית או בציבור, וחגיגת חגים מוסלמים. אכילה של בשר האסור לאכילה על היהודים או המוסלמים </w:t>
      </w:r>
      <w:r w:rsidR="00251A4B">
        <w:rPr>
          <w:rFonts w:ascii="David" w:hAnsi="David" w:cs="David"/>
          <w:color w:val="000000"/>
          <w:sz w:val="24"/>
          <w:szCs w:val="24"/>
          <w:shd w:val="clear" w:color="auto" w:fill="FFFFFF"/>
          <w:rtl/>
        </w:rPr>
        <w:t>–</w:t>
      </w:r>
      <w:r w:rsidR="00251A4B">
        <w:rPr>
          <w:rFonts w:ascii="David" w:hAnsi="David" w:cs="David" w:hint="cs"/>
          <w:color w:val="000000"/>
          <w:sz w:val="24"/>
          <w:szCs w:val="24"/>
          <w:shd w:val="clear" w:color="auto" w:fill="FFFFFF"/>
          <w:rtl/>
        </w:rPr>
        <w:t xml:space="preserve"> כגון חזיר </w:t>
      </w:r>
      <w:r w:rsidR="00251A4B">
        <w:rPr>
          <w:rFonts w:ascii="David" w:hAnsi="David" w:cs="David"/>
          <w:color w:val="000000"/>
          <w:sz w:val="24"/>
          <w:szCs w:val="24"/>
          <w:shd w:val="clear" w:color="auto" w:fill="FFFFFF"/>
          <w:rtl/>
        </w:rPr>
        <w:t>–</w:t>
      </w:r>
      <w:r w:rsidR="00251A4B">
        <w:rPr>
          <w:rFonts w:ascii="David" w:hAnsi="David" w:cs="David" w:hint="cs"/>
          <w:color w:val="000000"/>
          <w:sz w:val="24"/>
          <w:szCs w:val="24"/>
          <w:shd w:val="clear" w:color="auto" w:fill="FFFFFF"/>
          <w:rtl/>
        </w:rPr>
        <w:t xml:space="preserve"> בבית בו גדל הילד, עשוי</w:t>
      </w:r>
      <w:r w:rsidR="00FB3748">
        <w:rPr>
          <w:rFonts w:ascii="David" w:hAnsi="David" w:cs="David" w:hint="cs"/>
          <w:color w:val="000000"/>
          <w:sz w:val="24"/>
          <w:szCs w:val="24"/>
          <w:shd w:val="clear" w:color="auto" w:fill="FFFFFF"/>
          <w:rtl/>
        </w:rPr>
        <w:t>ה</w:t>
      </w:r>
      <w:r w:rsidR="00251A4B">
        <w:rPr>
          <w:rFonts w:ascii="David" w:hAnsi="David" w:cs="David" w:hint="cs"/>
          <w:color w:val="000000"/>
          <w:sz w:val="24"/>
          <w:szCs w:val="24"/>
          <w:shd w:val="clear" w:color="auto" w:fill="FFFFFF"/>
          <w:rtl/>
        </w:rPr>
        <w:t xml:space="preserve"> לפגוע ברגשותיו של ההורה</w:t>
      </w:r>
      <w:r w:rsidR="00B75439">
        <w:rPr>
          <w:rFonts w:ascii="David" w:hAnsi="David" w:cs="David" w:hint="cs"/>
          <w:color w:val="000000"/>
          <w:sz w:val="24"/>
          <w:szCs w:val="24"/>
          <w:shd w:val="clear" w:color="auto" w:fill="FFFFFF"/>
          <w:rtl/>
        </w:rPr>
        <w:t xml:space="preserve"> הלא משמורן</w:t>
      </w:r>
      <w:r w:rsidR="00251A4B">
        <w:rPr>
          <w:rFonts w:ascii="David" w:hAnsi="David" w:cs="David" w:hint="cs"/>
          <w:color w:val="000000"/>
          <w:sz w:val="24"/>
          <w:szCs w:val="24"/>
          <w:shd w:val="clear" w:color="auto" w:fill="FFFFFF"/>
          <w:rtl/>
        </w:rPr>
        <w:t xml:space="preserve">, בהנחה שהוא מקפיד על מצוות הדת. גם שיחות כפירה </w:t>
      </w:r>
      <w:r w:rsidR="002E1DDC">
        <w:rPr>
          <w:rFonts w:ascii="David" w:hAnsi="David" w:cs="David" w:hint="cs"/>
          <w:color w:val="000000"/>
          <w:sz w:val="24"/>
          <w:szCs w:val="24"/>
          <w:shd w:val="clear" w:color="auto" w:fill="FFFFFF"/>
          <w:rtl/>
        </w:rPr>
        <w:t>(או</w:t>
      </w:r>
      <w:r w:rsidR="00251A4B">
        <w:rPr>
          <w:rFonts w:ascii="David" w:hAnsi="David" w:cs="David" w:hint="cs"/>
          <w:color w:val="000000"/>
          <w:sz w:val="24"/>
          <w:szCs w:val="24"/>
          <w:shd w:val="clear" w:color="auto" w:fill="FFFFFF"/>
          <w:rtl/>
        </w:rPr>
        <w:t xml:space="preserve"> אמונה</w:t>
      </w:r>
      <w:r w:rsidR="002E1DDC">
        <w:rPr>
          <w:rFonts w:ascii="David" w:hAnsi="David" w:cs="David" w:hint="cs"/>
          <w:color w:val="000000"/>
          <w:sz w:val="24"/>
          <w:szCs w:val="24"/>
          <w:shd w:val="clear" w:color="auto" w:fill="FFFFFF"/>
          <w:rtl/>
        </w:rPr>
        <w:t>)</w:t>
      </w:r>
      <w:r w:rsidR="00251A4B">
        <w:rPr>
          <w:rFonts w:ascii="David" w:hAnsi="David" w:cs="David" w:hint="cs"/>
          <w:color w:val="000000"/>
          <w:sz w:val="24"/>
          <w:szCs w:val="24"/>
          <w:shd w:val="clear" w:color="auto" w:fill="FFFFFF"/>
          <w:rtl/>
        </w:rPr>
        <w:t xml:space="preserve">, </w:t>
      </w:r>
      <w:r w:rsidR="00BC0575">
        <w:rPr>
          <w:rFonts w:ascii="David" w:hAnsi="David" w:cs="David" w:hint="cs"/>
          <w:color w:val="000000"/>
          <w:sz w:val="24"/>
          <w:szCs w:val="24"/>
          <w:shd w:val="clear" w:color="auto" w:fill="FFFFFF"/>
          <w:rtl/>
        </w:rPr>
        <w:t>לרבות הקראה מטקסטים דתיים,</w:t>
      </w:r>
      <w:r w:rsidR="00BC0575">
        <w:rPr>
          <w:rStyle w:val="FootnoteReference"/>
          <w:rFonts w:ascii="David" w:hAnsi="David" w:cs="David"/>
          <w:color w:val="000000"/>
          <w:sz w:val="24"/>
          <w:szCs w:val="24"/>
          <w:shd w:val="clear" w:color="auto" w:fill="FFFFFF"/>
          <w:rtl/>
        </w:rPr>
        <w:footnoteReference w:id="122"/>
      </w:r>
      <w:r w:rsidR="00BC0575">
        <w:rPr>
          <w:rFonts w:ascii="David" w:hAnsi="David" w:cs="David" w:hint="cs"/>
          <w:color w:val="000000"/>
          <w:sz w:val="24"/>
          <w:szCs w:val="24"/>
          <w:shd w:val="clear" w:color="auto" w:fill="FFFFFF"/>
          <w:rtl/>
        </w:rPr>
        <w:t xml:space="preserve"> </w:t>
      </w:r>
      <w:r w:rsidR="00251A4B">
        <w:rPr>
          <w:rFonts w:ascii="David" w:hAnsi="David" w:cs="David" w:hint="cs"/>
          <w:color w:val="000000"/>
          <w:sz w:val="24"/>
          <w:szCs w:val="24"/>
          <w:shd w:val="clear" w:color="auto" w:fill="FFFFFF"/>
          <w:rtl/>
        </w:rPr>
        <w:t>בוודאי אם הן עולו</w:t>
      </w:r>
      <w:r w:rsidR="00BD5468">
        <w:rPr>
          <w:rFonts w:ascii="David" w:hAnsi="David" w:cs="David" w:hint="cs"/>
          <w:color w:val="000000"/>
          <w:sz w:val="24"/>
          <w:szCs w:val="24"/>
          <w:shd w:val="clear" w:color="auto" w:fill="FFFFFF"/>
          <w:rtl/>
        </w:rPr>
        <w:t>ת כדי "שטיפת מוח" עשויות להוביל ל</w:t>
      </w:r>
      <w:r w:rsidR="00251A4B">
        <w:rPr>
          <w:rFonts w:ascii="David" w:hAnsi="David" w:cs="David" w:hint="cs"/>
          <w:color w:val="000000"/>
          <w:sz w:val="24"/>
          <w:szCs w:val="24"/>
          <w:shd w:val="clear" w:color="auto" w:fill="FFFFFF"/>
          <w:rtl/>
        </w:rPr>
        <w:t>פגיעה בהורה</w:t>
      </w:r>
      <w:r w:rsidR="00FB3748">
        <w:rPr>
          <w:rFonts w:ascii="David" w:hAnsi="David" w:cs="David" w:hint="cs"/>
          <w:color w:val="000000"/>
          <w:sz w:val="24"/>
          <w:szCs w:val="24"/>
          <w:shd w:val="clear" w:color="auto" w:fill="FFFFFF"/>
          <w:rtl/>
        </w:rPr>
        <w:t xml:space="preserve"> הלא משמורן</w:t>
      </w:r>
      <w:r w:rsidR="00251A4B">
        <w:rPr>
          <w:rFonts w:ascii="David" w:hAnsi="David" w:cs="David" w:hint="cs"/>
          <w:color w:val="000000"/>
          <w:sz w:val="24"/>
          <w:szCs w:val="24"/>
          <w:shd w:val="clear" w:color="auto" w:fill="FFFFFF"/>
          <w:rtl/>
        </w:rPr>
        <w:t>.</w:t>
      </w:r>
      <w:r w:rsidR="00161B02">
        <w:rPr>
          <w:rFonts w:ascii="David" w:hAnsi="David" w:cs="David" w:hint="cs"/>
          <w:color w:val="000000"/>
          <w:sz w:val="24"/>
          <w:szCs w:val="24"/>
          <w:shd w:val="clear" w:color="auto" w:fill="FFFFFF"/>
          <w:rtl/>
        </w:rPr>
        <w:t xml:space="preserve"> הוספת ההורה החורג לתמונה עשויה לסבך את המצב בהוסיפה עוד מבוגר בעל אורח חיים ואמונה ייחודי, או מבוגר משמעותי נוסף החולק את אורח ח</w:t>
      </w:r>
      <w:r w:rsidR="00750BEE">
        <w:rPr>
          <w:rFonts w:ascii="David" w:hAnsi="David" w:cs="David" w:hint="cs"/>
          <w:color w:val="000000"/>
          <w:sz w:val="24"/>
          <w:szCs w:val="24"/>
          <w:shd w:val="clear" w:color="auto" w:fill="FFFFFF"/>
          <w:rtl/>
        </w:rPr>
        <w:t>ייו ואמונתו של ההורה המשמורן, לעיתים ברמת אדיקות גבוהה יותר.</w:t>
      </w:r>
    </w:p>
    <w:p w14:paraId="1256F27A" w14:textId="12E68B0F" w:rsidR="000F67EC" w:rsidRDefault="000F67EC" w:rsidP="002E1DDC">
      <w:pPr>
        <w:spacing w:line="480" w:lineRule="auto"/>
        <w:contextualSpacing/>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 xml:space="preserve">לאחר שהצגתי בקצרה את שני סוגי המצבים בהם עשויה מעורבותו של ההורה החורג </w:t>
      </w:r>
      <w:r w:rsidR="002D722A">
        <w:rPr>
          <w:rFonts w:ascii="David" w:hAnsi="David" w:cs="David" w:hint="cs"/>
          <w:color w:val="000000"/>
          <w:sz w:val="24"/>
          <w:szCs w:val="24"/>
          <w:shd w:val="clear" w:color="auto" w:fill="FFFFFF"/>
          <w:rtl/>
        </w:rPr>
        <w:t>ליצור פגיעה פוטנציאלית</w:t>
      </w:r>
      <w:r>
        <w:rPr>
          <w:rFonts w:ascii="David" w:hAnsi="David" w:cs="David" w:hint="cs"/>
          <w:color w:val="000000"/>
          <w:sz w:val="24"/>
          <w:szCs w:val="24"/>
          <w:shd w:val="clear" w:color="auto" w:fill="FFFFFF"/>
          <w:rtl/>
        </w:rPr>
        <w:t xml:space="preserve"> בהורה הלא משמורן</w:t>
      </w:r>
      <w:r w:rsidR="002D722A">
        <w:rPr>
          <w:rFonts w:ascii="David" w:hAnsi="David" w:cs="David" w:hint="cs"/>
          <w:color w:val="000000"/>
          <w:sz w:val="24"/>
          <w:szCs w:val="24"/>
          <w:shd w:val="clear" w:color="auto" w:fill="FFFFFF"/>
          <w:rtl/>
        </w:rPr>
        <w:t xml:space="preserve"> וביחסיו עם ילדו</w:t>
      </w:r>
      <w:r>
        <w:rPr>
          <w:rFonts w:ascii="David" w:hAnsi="David" w:cs="David" w:hint="cs"/>
          <w:color w:val="000000"/>
          <w:sz w:val="24"/>
          <w:szCs w:val="24"/>
          <w:shd w:val="clear" w:color="auto" w:fill="FFFFFF"/>
          <w:rtl/>
        </w:rPr>
        <w:t xml:space="preserve">, אפנה להציג </w:t>
      </w:r>
      <w:r w:rsidR="002D722A">
        <w:rPr>
          <w:rFonts w:ascii="David" w:hAnsi="David" w:cs="David" w:hint="cs"/>
          <w:color w:val="000000"/>
          <w:sz w:val="24"/>
          <w:szCs w:val="24"/>
          <w:shd w:val="clear" w:color="auto" w:fill="FFFFFF"/>
          <w:rtl/>
        </w:rPr>
        <w:t xml:space="preserve">את המתווה המחשבתי המוצע </w:t>
      </w:r>
      <w:r w:rsidR="00FB3748">
        <w:rPr>
          <w:rFonts w:ascii="David" w:hAnsi="David" w:cs="David" w:hint="cs"/>
          <w:color w:val="000000"/>
          <w:sz w:val="24"/>
          <w:szCs w:val="24"/>
          <w:shd w:val="clear" w:color="auto" w:fill="FFFFFF"/>
          <w:rtl/>
        </w:rPr>
        <w:t>לניתוח</w:t>
      </w:r>
      <w:r w:rsidR="002D722A">
        <w:rPr>
          <w:rFonts w:ascii="David" w:hAnsi="David" w:cs="David" w:hint="cs"/>
          <w:color w:val="000000"/>
          <w:sz w:val="24"/>
          <w:szCs w:val="24"/>
          <w:shd w:val="clear" w:color="auto" w:fill="FFFFFF"/>
          <w:rtl/>
        </w:rPr>
        <w:t xml:space="preserve"> המצבי</w:t>
      </w:r>
      <w:r w:rsidR="00161B02">
        <w:rPr>
          <w:rFonts w:ascii="David" w:hAnsi="David" w:cs="David" w:hint="cs"/>
          <w:color w:val="000000"/>
          <w:sz w:val="24"/>
          <w:szCs w:val="24"/>
          <w:shd w:val="clear" w:color="auto" w:fill="FFFFFF"/>
          <w:rtl/>
        </w:rPr>
        <w:t xml:space="preserve">ם האמורים, לאור </w:t>
      </w:r>
      <w:r w:rsidR="002E1DDC">
        <w:rPr>
          <w:rFonts w:ascii="David" w:hAnsi="David" w:cs="David" w:hint="cs"/>
          <w:color w:val="000000"/>
          <w:sz w:val="24"/>
          <w:szCs w:val="24"/>
          <w:shd w:val="clear" w:color="auto" w:fill="FFFFFF"/>
          <w:rtl/>
        </w:rPr>
        <w:t>מודל</w:t>
      </w:r>
      <w:r w:rsidR="00161B02">
        <w:rPr>
          <w:rFonts w:ascii="David" w:hAnsi="David" w:cs="David" w:hint="cs"/>
          <w:color w:val="000000"/>
          <w:sz w:val="24"/>
          <w:szCs w:val="24"/>
          <w:shd w:val="clear" w:color="auto" w:fill="FFFFFF"/>
          <w:rtl/>
        </w:rPr>
        <w:t xml:space="preserve"> האמונאות. יודגש, כי מטרת מאמר זה הינה להמשיג את יחסיהם של ההורה</w:t>
      </w:r>
      <w:r w:rsidR="00FB3748">
        <w:rPr>
          <w:rFonts w:ascii="David" w:hAnsi="David" w:cs="David" w:hint="cs"/>
          <w:color w:val="000000"/>
          <w:sz w:val="24"/>
          <w:szCs w:val="24"/>
          <w:shd w:val="clear" w:color="auto" w:fill="FFFFFF"/>
          <w:rtl/>
        </w:rPr>
        <w:t xml:space="preserve"> הלא משמורן</w:t>
      </w:r>
      <w:r w:rsidR="00161B02">
        <w:rPr>
          <w:rFonts w:ascii="David" w:hAnsi="David" w:cs="David" w:hint="cs"/>
          <w:color w:val="000000"/>
          <w:sz w:val="24"/>
          <w:szCs w:val="24"/>
          <w:shd w:val="clear" w:color="auto" w:fill="FFFFFF"/>
          <w:rtl/>
        </w:rPr>
        <w:t xml:space="preserve"> וההורה החורג (יחסים שלא הומשגו עד היום משפטית) ולהציע תשתית לחשיבה ראשונית ביחס לחובות החלות ביניהם ובפרט, בהקשר זה, מצדו של ההורה החורג כלפי ההורה הלא משמורן. דיון זה הוא ראשוני ואינו מבקש למצות את הדיון בפתרון הקונפליקט או שרטוט המענה הראוי לו</w:t>
      </w:r>
      <w:r w:rsidR="00390DDA">
        <w:rPr>
          <w:rFonts w:ascii="David" w:hAnsi="David" w:cs="David" w:hint="cs"/>
          <w:color w:val="000000"/>
          <w:sz w:val="24"/>
          <w:szCs w:val="24"/>
          <w:shd w:val="clear" w:color="auto" w:fill="FFFFFF"/>
          <w:rtl/>
        </w:rPr>
        <w:t xml:space="preserve"> אלא רק לשמש מתווה לחשיבה</w:t>
      </w:r>
      <w:r w:rsidR="00750BEE">
        <w:rPr>
          <w:rFonts w:ascii="David" w:hAnsi="David" w:cs="David" w:hint="cs"/>
          <w:color w:val="000000"/>
          <w:sz w:val="24"/>
          <w:szCs w:val="24"/>
          <w:shd w:val="clear" w:color="auto" w:fill="FFFFFF"/>
          <w:rtl/>
        </w:rPr>
        <w:t xml:space="preserve"> שתעשה</w:t>
      </w:r>
      <w:r w:rsidR="00390DDA">
        <w:rPr>
          <w:rFonts w:ascii="David" w:hAnsi="David" w:cs="David" w:hint="cs"/>
          <w:color w:val="000000"/>
          <w:sz w:val="24"/>
          <w:szCs w:val="24"/>
          <w:shd w:val="clear" w:color="auto" w:fill="FFFFFF"/>
          <w:rtl/>
        </w:rPr>
        <w:t xml:space="preserve"> במחקר עתידי</w:t>
      </w:r>
      <w:r w:rsidR="00161B02">
        <w:rPr>
          <w:rFonts w:ascii="David" w:hAnsi="David" w:cs="David" w:hint="cs"/>
          <w:color w:val="000000"/>
          <w:sz w:val="24"/>
          <w:szCs w:val="24"/>
          <w:shd w:val="clear" w:color="auto" w:fill="FFFFFF"/>
          <w:rtl/>
        </w:rPr>
        <w:t>.</w:t>
      </w:r>
    </w:p>
    <w:p w14:paraId="60C1C8EA" w14:textId="77777777" w:rsidR="000F67EC" w:rsidRDefault="000F67EC" w:rsidP="00B75439">
      <w:pPr>
        <w:spacing w:line="480" w:lineRule="auto"/>
        <w:contextualSpacing/>
        <w:jc w:val="both"/>
        <w:rPr>
          <w:rFonts w:ascii="David" w:hAnsi="David" w:cs="David" w:hint="cs"/>
          <w:color w:val="000000"/>
          <w:sz w:val="24"/>
          <w:szCs w:val="24"/>
          <w:shd w:val="clear" w:color="auto" w:fill="FFFFFF"/>
          <w:rtl/>
        </w:rPr>
      </w:pPr>
    </w:p>
    <w:p w14:paraId="5F72EC1E" w14:textId="77777777" w:rsidR="00960E89" w:rsidRPr="006E01C2" w:rsidRDefault="00960E89" w:rsidP="006E01C2">
      <w:pPr>
        <w:pStyle w:val="ListParagraph"/>
        <w:numPr>
          <w:ilvl w:val="0"/>
          <w:numId w:val="9"/>
        </w:numPr>
        <w:spacing w:line="480" w:lineRule="auto"/>
        <w:jc w:val="both"/>
        <w:rPr>
          <w:rFonts w:ascii="David" w:hAnsi="David" w:cs="David"/>
          <w:b/>
          <w:bCs/>
          <w:color w:val="000000"/>
          <w:sz w:val="24"/>
          <w:szCs w:val="24"/>
          <w:shd w:val="clear" w:color="auto" w:fill="FFFFFF"/>
          <w:rtl/>
        </w:rPr>
      </w:pPr>
      <w:r w:rsidRPr="006E01C2">
        <w:rPr>
          <w:rFonts w:ascii="David" w:hAnsi="David" w:cs="David" w:hint="cs"/>
          <w:b/>
          <w:bCs/>
          <w:color w:val="000000"/>
          <w:sz w:val="24"/>
          <w:szCs w:val="24"/>
          <w:shd w:val="clear" w:color="auto" w:fill="FFFFFF"/>
          <w:rtl/>
        </w:rPr>
        <w:t>מקרי המבחן בראי חובת האמונאות</w:t>
      </w:r>
    </w:p>
    <w:p w14:paraId="1BC78B89" w14:textId="5D1DE360" w:rsidR="00493932" w:rsidRDefault="002D722A" w:rsidP="00493932">
      <w:pPr>
        <w:spacing w:line="480" w:lineRule="auto"/>
        <w:jc w:val="both"/>
        <w:rPr>
          <w:rFonts w:ascii="David" w:hAnsi="David" w:cs="David" w:hint="cs"/>
          <w:color w:val="000000"/>
          <w:sz w:val="24"/>
          <w:szCs w:val="24"/>
          <w:shd w:val="clear" w:color="auto" w:fill="FFFFFF"/>
          <w:rtl/>
        </w:rPr>
      </w:pPr>
      <w:r>
        <w:rPr>
          <w:rFonts w:ascii="David" w:hAnsi="David" w:cs="David" w:hint="cs"/>
          <w:color w:val="000000"/>
          <w:sz w:val="24"/>
          <w:szCs w:val="24"/>
          <w:shd w:val="clear" w:color="auto" w:fill="FFFFFF"/>
          <w:rtl/>
        </w:rPr>
        <w:t xml:space="preserve">תיאור </w:t>
      </w:r>
      <w:r w:rsidR="00817124">
        <w:rPr>
          <w:rFonts w:ascii="David" w:hAnsi="David" w:cs="David" w:hint="cs"/>
          <w:color w:val="000000"/>
          <w:sz w:val="24"/>
          <w:szCs w:val="24"/>
          <w:shd w:val="clear" w:color="auto" w:fill="FFFFFF"/>
          <w:rtl/>
        </w:rPr>
        <w:t xml:space="preserve">שני  </w:t>
      </w:r>
      <w:r w:rsidR="00493932">
        <w:rPr>
          <w:rFonts w:ascii="David" w:hAnsi="David" w:cs="David" w:hint="cs"/>
          <w:color w:val="000000"/>
          <w:sz w:val="24"/>
          <w:szCs w:val="24"/>
          <w:shd w:val="clear" w:color="auto" w:fill="FFFFFF"/>
          <w:rtl/>
        </w:rPr>
        <w:t>סוגי הקונפליקטים האמורים, זה העוסק בנסיבות של הסתה כנגד ההורה</w:t>
      </w:r>
      <w:r w:rsidR="002E1DDC">
        <w:rPr>
          <w:rFonts w:ascii="David" w:hAnsi="David" w:cs="David" w:hint="cs"/>
          <w:color w:val="000000"/>
          <w:sz w:val="24"/>
          <w:szCs w:val="24"/>
          <w:shd w:val="clear" w:color="auto" w:fill="FFFFFF"/>
          <w:rtl/>
        </w:rPr>
        <w:t xml:space="preserve"> הלא משמורן</w:t>
      </w:r>
      <w:r w:rsidR="00493932">
        <w:rPr>
          <w:rFonts w:ascii="David" w:hAnsi="David" w:cs="David" w:hint="cs"/>
          <w:color w:val="000000"/>
          <w:sz w:val="24"/>
          <w:szCs w:val="24"/>
          <w:shd w:val="clear" w:color="auto" w:fill="FFFFFF"/>
          <w:rtl/>
        </w:rPr>
        <w:t xml:space="preserve"> וזה העוסק בחשיפה לאורחות חיים שיש בהם משום פגיעה באמונתו הדתית של ההורה</w:t>
      </w:r>
      <w:r w:rsidR="00FB3748">
        <w:rPr>
          <w:rFonts w:ascii="David" w:hAnsi="David" w:cs="David" w:hint="cs"/>
          <w:color w:val="000000"/>
          <w:sz w:val="24"/>
          <w:szCs w:val="24"/>
          <w:shd w:val="clear" w:color="auto" w:fill="FFFFFF"/>
          <w:rtl/>
        </w:rPr>
        <w:t xml:space="preserve"> הלא משמורן</w:t>
      </w:r>
      <w:r w:rsidR="00493932">
        <w:rPr>
          <w:rFonts w:ascii="David" w:hAnsi="David" w:cs="David" w:hint="cs"/>
          <w:color w:val="000000"/>
          <w:sz w:val="24"/>
          <w:szCs w:val="24"/>
          <w:shd w:val="clear" w:color="auto" w:fill="FFFFFF"/>
          <w:rtl/>
        </w:rPr>
        <w:t xml:space="preserve">, מלמד היטב על המורכבות הגלומה בהם ומעיד, כך נראה לי, על התאמתם לקונטקסט של יחסי האמונאות. </w:t>
      </w:r>
    </w:p>
    <w:p w14:paraId="6A626A69" w14:textId="4274DE15" w:rsidR="00493932" w:rsidRDefault="00493932" w:rsidP="00657D81">
      <w:pPr>
        <w:pStyle w:val="ListParagraph"/>
        <w:spacing w:line="480" w:lineRule="auto"/>
        <w:ind w:left="0"/>
        <w:jc w:val="both"/>
        <w:rPr>
          <w:rFonts w:asciiTheme="majorBidi" w:hAnsiTheme="majorBidi" w:cs="David"/>
          <w:sz w:val="24"/>
          <w:szCs w:val="24"/>
          <w:rtl/>
        </w:rPr>
      </w:pPr>
      <w:r w:rsidRPr="00A531E1">
        <w:rPr>
          <w:rFonts w:asciiTheme="majorBidi" w:hAnsiTheme="majorBidi" w:cs="David" w:hint="cs"/>
          <w:sz w:val="24"/>
          <w:szCs w:val="24"/>
          <w:rtl/>
        </w:rPr>
        <w:t>ויוסבר: יחסי</w:t>
      </w:r>
      <w:r>
        <w:rPr>
          <w:rFonts w:asciiTheme="majorBidi" w:hAnsiTheme="majorBidi" w:cs="David" w:hint="cs"/>
          <w:sz w:val="24"/>
          <w:szCs w:val="24"/>
          <w:rtl/>
        </w:rPr>
        <w:t xml:space="preserve"> הורה חורג -  הורה </w:t>
      </w:r>
      <w:r w:rsidR="00FB3748">
        <w:rPr>
          <w:rFonts w:asciiTheme="majorBidi" w:hAnsiTheme="majorBidi" w:cs="David" w:hint="cs"/>
          <w:sz w:val="24"/>
          <w:szCs w:val="24"/>
          <w:rtl/>
        </w:rPr>
        <w:t xml:space="preserve">לא משמורן </w:t>
      </w:r>
      <w:r>
        <w:rPr>
          <w:rFonts w:asciiTheme="majorBidi" w:hAnsiTheme="majorBidi" w:cs="David" w:hint="cs"/>
          <w:sz w:val="24"/>
          <w:szCs w:val="24"/>
          <w:rtl/>
        </w:rPr>
        <w:t xml:space="preserve">כפי שהומשגו כאן, מגלמים כמה מאפיינים הרלוונטיים לקשר האמונאי </w:t>
      </w:r>
      <w:r>
        <w:rPr>
          <w:rFonts w:asciiTheme="majorBidi" w:hAnsiTheme="majorBidi" w:cs="David"/>
          <w:sz w:val="24"/>
          <w:szCs w:val="24"/>
          <w:rtl/>
        </w:rPr>
        <w:t>–</w:t>
      </w:r>
      <w:r>
        <w:rPr>
          <w:rFonts w:asciiTheme="majorBidi" w:hAnsiTheme="majorBidi" w:cs="David" w:hint="cs"/>
          <w:sz w:val="24"/>
          <w:szCs w:val="24"/>
          <w:rtl/>
        </w:rPr>
        <w:t xml:space="preserve"> צד אחד, הוא ההורה החורג, נמצא בעמדת עליונות על האחר,</w:t>
      </w:r>
      <w:r w:rsidRPr="00494986">
        <w:rPr>
          <w:rFonts w:asciiTheme="majorBidi" w:hAnsiTheme="majorBidi" w:cs="David" w:hint="cs"/>
          <w:sz w:val="24"/>
          <w:szCs w:val="24"/>
          <w:rtl/>
        </w:rPr>
        <w:t xml:space="preserve"> </w:t>
      </w:r>
      <w:r>
        <w:rPr>
          <w:rFonts w:asciiTheme="majorBidi" w:hAnsiTheme="majorBidi" w:cs="David" w:hint="cs"/>
          <w:sz w:val="24"/>
          <w:szCs w:val="24"/>
          <w:rtl/>
        </w:rPr>
        <w:t>לפחות בהקשרים בהם מתמקד המאמר; צד זה נמצא בעמדה נוחה להעדיף את האינטרסים שלו על פני האינטרסים של האחר בעוד שהיכולת לפקח על התנהגותו (מצידו של האחר) מוגבלת. הצד האחר, הוא ההורה המשפטי</w:t>
      </w:r>
      <w:r w:rsidR="00390DDA">
        <w:rPr>
          <w:rFonts w:asciiTheme="majorBidi" w:hAnsiTheme="majorBidi" w:cs="David" w:hint="cs"/>
          <w:sz w:val="24"/>
          <w:szCs w:val="24"/>
          <w:rtl/>
        </w:rPr>
        <w:t xml:space="preserve"> הלא משמורן</w:t>
      </w:r>
      <w:r>
        <w:rPr>
          <w:rFonts w:asciiTheme="majorBidi" w:hAnsiTheme="majorBidi" w:cs="David" w:hint="cs"/>
          <w:sz w:val="24"/>
          <w:szCs w:val="24"/>
          <w:rtl/>
        </w:rPr>
        <w:t xml:space="preserve">, מצוי בתמונת ראי לראשון: הוא נמצא בעמדת חולשה הנובעת ממצבו המשפחתי- מנוכחותו המוגבלת בחיי הילד, מיכולתו המצומצמת לשלוט או להתערב בניהול יום יומי של חיי ילדו ואף חסר, במידה רבה, מידע ישיר על אלה; הוא מפקיד את היקר לו ביותר בידי הראשון. יחסיהם של ההורה החורג וההורה מגלמים הסתמכות הדורשת אינהרנטית אמון, אך גם קושי </w:t>
      </w:r>
      <w:r w:rsidR="00657D81">
        <w:rPr>
          <w:rFonts w:asciiTheme="majorBidi" w:hAnsiTheme="majorBidi" w:cs="David" w:hint="cs"/>
          <w:sz w:val="24"/>
          <w:szCs w:val="24"/>
          <w:rtl/>
        </w:rPr>
        <w:t>לה</w:t>
      </w:r>
      <w:r>
        <w:rPr>
          <w:rFonts w:asciiTheme="majorBidi" w:hAnsiTheme="majorBidi" w:cs="David" w:hint="cs"/>
          <w:sz w:val="24"/>
          <w:szCs w:val="24"/>
          <w:rtl/>
        </w:rPr>
        <w:t>בטיח אמון. על כפות המאזניים אינטרס חשוב, עבור הצד הפגיע, הוא הקשר בינו לבין ילדו. אינטרס זה אמנם אינו תואם בהכרח את האינטרס הצר של ההורה החורג, אך במלאו תפקיד משמעותי בחיי הילד, ומן הצפייה כי יקדם את טובתו</w:t>
      </w:r>
      <w:r w:rsidR="00EB074B">
        <w:rPr>
          <w:rFonts w:asciiTheme="majorBidi" w:hAnsiTheme="majorBidi" w:cs="David" w:hint="cs"/>
          <w:sz w:val="24"/>
          <w:szCs w:val="24"/>
          <w:rtl/>
        </w:rPr>
        <w:t xml:space="preserve"> של הילד</w:t>
      </w:r>
      <w:r>
        <w:rPr>
          <w:rFonts w:asciiTheme="majorBidi" w:hAnsiTheme="majorBidi" w:cs="David" w:hint="cs"/>
          <w:sz w:val="24"/>
          <w:szCs w:val="24"/>
          <w:rtl/>
        </w:rPr>
        <w:t xml:space="preserve">, ניתן לצפות כי יפעל להבטיח אותו גם כאשר הוא נוגד את האינטרס האישי הצר שלו. צפייה זאת תואמת גם את התפקיד אותו מאמר זה מבקש להמשיג </w:t>
      </w:r>
      <w:r>
        <w:rPr>
          <w:rFonts w:asciiTheme="majorBidi" w:hAnsiTheme="majorBidi" w:cs="David"/>
          <w:sz w:val="24"/>
          <w:szCs w:val="24"/>
          <w:rtl/>
        </w:rPr>
        <w:t>–</w:t>
      </w:r>
      <w:r w:rsidR="00697F48">
        <w:rPr>
          <w:rFonts w:asciiTheme="majorBidi" w:hAnsiTheme="majorBidi" w:cs="David" w:hint="cs"/>
          <w:sz w:val="24"/>
          <w:szCs w:val="24"/>
          <w:rtl/>
        </w:rPr>
        <w:t xml:space="preserve"> תפקידו למול ההורה הלא משמורן</w:t>
      </w:r>
      <w:r w:rsidR="00657D81">
        <w:rPr>
          <w:rFonts w:asciiTheme="majorBidi" w:hAnsiTheme="majorBidi" w:cs="David" w:hint="cs"/>
          <w:sz w:val="24"/>
          <w:szCs w:val="24"/>
          <w:rtl/>
        </w:rPr>
        <w:t xml:space="preserve">, כמי שממלא חלק מתפקידיו של ההורה הלא משמורן וכמי שמערכת היחסים בינו לבין הילד מופקדת גם בידיו. </w:t>
      </w:r>
    </w:p>
    <w:p w14:paraId="624AD954" w14:textId="123458E8" w:rsidR="007B2592" w:rsidRPr="00D92375" w:rsidRDefault="00B84E44" w:rsidP="008325F7">
      <w:pPr>
        <w:pStyle w:val="ListParagraph"/>
        <w:spacing w:line="480" w:lineRule="auto"/>
        <w:ind w:left="0"/>
        <w:jc w:val="both"/>
        <w:rPr>
          <w:rFonts w:ascii="David" w:hAnsi="David" w:cs="David"/>
          <w:color w:val="000000"/>
          <w:sz w:val="24"/>
          <w:szCs w:val="24"/>
          <w:shd w:val="clear" w:color="auto" w:fill="FFFFFF"/>
          <w:rtl/>
        </w:rPr>
      </w:pPr>
      <w:r>
        <w:rPr>
          <w:rFonts w:asciiTheme="majorBidi" w:hAnsiTheme="majorBidi" w:cs="David" w:hint="cs"/>
          <w:sz w:val="24"/>
          <w:szCs w:val="24"/>
          <w:rtl/>
        </w:rPr>
        <w:t>המסגרת הקונספטואלית של האמונ</w:t>
      </w:r>
      <w:r w:rsidR="00657D81">
        <w:rPr>
          <w:rFonts w:asciiTheme="majorBidi" w:hAnsiTheme="majorBidi" w:cs="David" w:hint="cs"/>
          <w:sz w:val="24"/>
          <w:szCs w:val="24"/>
          <w:rtl/>
        </w:rPr>
        <w:t>א</w:t>
      </w:r>
      <w:r>
        <w:rPr>
          <w:rFonts w:asciiTheme="majorBidi" w:hAnsiTheme="majorBidi" w:cs="David" w:hint="cs"/>
          <w:sz w:val="24"/>
          <w:szCs w:val="24"/>
          <w:rtl/>
        </w:rPr>
        <w:t xml:space="preserve">ות מאפשרת לנו להכיר במערכת היחסים שבין ההורה החורג להורה הלא משמורן מבחינה </w:t>
      </w:r>
      <w:r w:rsidR="007F77AC">
        <w:rPr>
          <w:rFonts w:asciiTheme="majorBidi" w:hAnsiTheme="majorBidi" w:cs="David" w:hint="cs"/>
          <w:sz w:val="24"/>
          <w:szCs w:val="24"/>
          <w:rtl/>
        </w:rPr>
        <w:t>חברתית ו</w:t>
      </w:r>
      <w:r>
        <w:rPr>
          <w:rFonts w:asciiTheme="majorBidi" w:hAnsiTheme="majorBidi" w:cs="David" w:hint="cs"/>
          <w:sz w:val="24"/>
          <w:szCs w:val="24"/>
          <w:rtl/>
        </w:rPr>
        <w:t>משפטית; ליצוק אליה תוכן בדמותן של ח</w:t>
      </w:r>
      <w:r w:rsidR="008325F7">
        <w:rPr>
          <w:rFonts w:asciiTheme="majorBidi" w:hAnsiTheme="majorBidi" w:cs="David" w:hint="cs"/>
          <w:sz w:val="24"/>
          <w:szCs w:val="24"/>
          <w:rtl/>
        </w:rPr>
        <w:t>ובות</w:t>
      </w:r>
      <w:r w:rsidR="008325F7">
        <w:rPr>
          <w:rFonts w:asciiTheme="majorBidi" w:hAnsiTheme="majorBidi" w:cs="David"/>
          <w:sz w:val="24"/>
          <w:szCs w:val="24"/>
        </w:rPr>
        <w:t xml:space="preserve"> </w:t>
      </w:r>
      <w:r w:rsidR="008325F7">
        <w:rPr>
          <w:rFonts w:asciiTheme="majorBidi" w:hAnsiTheme="majorBidi" w:cs="David" w:hint="cs"/>
          <w:sz w:val="24"/>
          <w:szCs w:val="24"/>
          <w:rtl/>
        </w:rPr>
        <w:t xml:space="preserve"> התנהגות</w:t>
      </w:r>
      <w:r w:rsidR="008325F7">
        <w:rPr>
          <w:rStyle w:val="FootnoteReference"/>
          <w:rFonts w:asciiTheme="majorBidi" w:hAnsiTheme="majorBidi" w:cs="David"/>
          <w:sz w:val="24"/>
          <w:szCs w:val="24"/>
          <w:rtl/>
        </w:rPr>
        <w:footnoteReference w:id="123"/>
      </w:r>
      <w:r>
        <w:rPr>
          <w:rFonts w:asciiTheme="majorBidi" w:hAnsiTheme="majorBidi" w:cs="David" w:hint="cs"/>
          <w:sz w:val="24"/>
          <w:szCs w:val="24"/>
          <w:rtl/>
        </w:rPr>
        <w:t>; להגן על הצד החלש (בנסיבות אלה) מפני כוחו של הצד החזק</w:t>
      </w:r>
      <w:r w:rsidR="008325F7">
        <w:rPr>
          <w:rFonts w:asciiTheme="majorBidi" w:hAnsiTheme="majorBidi" w:cs="David" w:hint="cs"/>
          <w:sz w:val="24"/>
          <w:szCs w:val="24"/>
          <w:rtl/>
        </w:rPr>
        <w:t xml:space="preserve">; </w:t>
      </w:r>
      <w:r>
        <w:rPr>
          <w:rFonts w:asciiTheme="majorBidi" w:hAnsiTheme="majorBidi" w:cs="David" w:hint="cs"/>
          <w:sz w:val="24"/>
          <w:szCs w:val="24"/>
          <w:rtl/>
        </w:rPr>
        <w:t xml:space="preserve">ולהגן על אינטרסים משפחתיים וחברתיים חשובים, </w:t>
      </w:r>
      <w:r w:rsidR="00EA74F8">
        <w:rPr>
          <w:rFonts w:asciiTheme="majorBidi" w:hAnsiTheme="majorBidi" w:cs="David" w:hint="cs"/>
          <w:sz w:val="24"/>
          <w:szCs w:val="24"/>
          <w:rtl/>
        </w:rPr>
        <w:t xml:space="preserve">שיתוף פעולה וכבוד הדדי בין חברי המשפחה </w:t>
      </w:r>
      <w:r w:rsidR="008325F7">
        <w:rPr>
          <w:rFonts w:asciiTheme="majorBidi" w:hAnsiTheme="majorBidi" w:cs="David" w:hint="cs"/>
          <w:sz w:val="24"/>
          <w:szCs w:val="24"/>
          <w:rtl/>
        </w:rPr>
        <w:t>ובראש ובראשונה</w:t>
      </w:r>
      <w:r>
        <w:rPr>
          <w:rFonts w:asciiTheme="majorBidi" w:hAnsiTheme="majorBidi" w:cs="David" w:hint="cs"/>
          <w:sz w:val="24"/>
          <w:szCs w:val="24"/>
          <w:rtl/>
        </w:rPr>
        <w:t xml:space="preserve"> הגנה על יחסי הורה-ילד.</w:t>
      </w:r>
    </w:p>
    <w:p w14:paraId="4AE63620" w14:textId="423AAAA2" w:rsidR="00F914D2" w:rsidRDefault="00B84E44" w:rsidP="00EA74F8">
      <w:pPr>
        <w:spacing w:line="480" w:lineRule="auto"/>
        <w:jc w:val="both"/>
        <w:rPr>
          <w:rFonts w:ascii="David" w:hAnsi="David" w:cs="David"/>
          <w:sz w:val="24"/>
          <w:szCs w:val="24"/>
          <w:rtl/>
        </w:rPr>
      </w:pPr>
      <w:r>
        <w:rPr>
          <w:rFonts w:asciiTheme="majorBidi" w:hAnsiTheme="majorBidi" w:cs="David" w:hint="cs"/>
          <w:sz w:val="24"/>
          <w:szCs w:val="24"/>
          <w:rtl/>
        </w:rPr>
        <w:t xml:space="preserve">חשוב לציין כי </w:t>
      </w:r>
      <w:r w:rsidR="00CD2F74">
        <w:rPr>
          <w:rFonts w:asciiTheme="majorBidi" w:hAnsiTheme="majorBidi" w:cs="David" w:hint="cs"/>
          <w:sz w:val="24"/>
          <w:szCs w:val="24"/>
          <w:rtl/>
        </w:rPr>
        <w:t xml:space="preserve">אין הכוונה כי ההורה החורג יכפיף את מכלול התנהלותו ביחס לילד לאינטרסים של ההורה </w:t>
      </w:r>
      <w:r w:rsidR="00EA74F8">
        <w:rPr>
          <w:rFonts w:asciiTheme="majorBidi" w:hAnsiTheme="majorBidi" w:cs="David" w:hint="cs"/>
          <w:sz w:val="24"/>
          <w:szCs w:val="24"/>
          <w:rtl/>
        </w:rPr>
        <w:t>הלא משמורן</w:t>
      </w:r>
      <w:r w:rsidR="00CD2F74">
        <w:rPr>
          <w:rFonts w:asciiTheme="majorBidi" w:hAnsiTheme="majorBidi" w:cs="David" w:hint="cs"/>
          <w:sz w:val="24"/>
          <w:szCs w:val="24"/>
          <w:rtl/>
        </w:rPr>
        <w:t xml:space="preserve">. </w:t>
      </w:r>
      <w:r>
        <w:rPr>
          <w:rFonts w:asciiTheme="majorBidi" w:hAnsiTheme="majorBidi" w:cs="David" w:hint="cs"/>
          <w:sz w:val="24"/>
          <w:szCs w:val="24"/>
          <w:rtl/>
        </w:rPr>
        <w:t xml:space="preserve">ביחס לסוגיה הראשונה, </w:t>
      </w:r>
      <w:r w:rsidR="00CD2F74">
        <w:rPr>
          <w:rFonts w:asciiTheme="majorBidi" w:hAnsiTheme="majorBidi" w:cs="David" w:hint="cs"/>
          <w:sz w:val="24"/>
          <w:szCs w:val="24"/>
          <w:rtl/>
        </w:rPr>
        <w:t xml:space="preserve">הנגזרת בה מצמיחה האמונאות חובות, הינה הנגזרת המתוחמת של שמירת האינטרס של ההורה </w:t>
      </w:r>
      <w:r w:rsidR="00EA74F8">
        <w:rPr>
          <w:rFonts w:asciiTheme="majorBidi" w:hAnsiTheme="majorBidi" w:cs="David" w:hint="cs"/>
          <w:sz w:val="24"/>
          <w:szCs w:val="24"/>
          <w:rtl/>
        </w:rPr>
        <w:t>הלא משמורן</w:t>
      </w:r>
      <w:r w:rsidR="00CD2F74">
        <w:rPr>
          <w:rFonts w:asciiTheme="majorBidi" w:hAnsiTheme="majorBidi" w:cs="David" w:hint="cs"/>
          <w:sz w:val="24"/>
          <w:szCs w:val="24"/>
          <w:rtl/>
        </w:rPr>
        <w:t xml:space="preserve"> (והילד) לשמירת יחסים תקינים.</w:t>
      </w:r>
      <w:r>
        <w:rPr>
          <w:rFonts w:asciiTheme="majorBidi" w:hAnsiTheme="majorBidi" w:cs="David" w:hint="cs"/>
          <w:sz w:val="24"/>
          <w:szCs w:val="24"/>
          <w:rtl/>
        </w:rPr>
        <w:t xml:space="preserve"> ביחס לסוגיה השנייה, </w:t>
      </w:r>
      <w:r w:rsidR="008325F7">
        <w:rPr>
          <w:rFonts w:asciiTheme="majorBidi" w:hAnsiTheme="majorBidi" w:cs="David" w:hint="cs"/>
          <w:sz w:val="24"/>
          <w:szCs w:val="24"/>
          <w:rtl/>
        </w:rPr>
        <w:t xml:space="preserve">מצמיחה האמונאות חובות שמטרתן לשמור </w:t>
      </w:r>
      <w:r>
        <w:rPr>
          <w:rFonts w:asciiTheme="majorBidi" w:hAnsiTheme="majorBidi" w:cs="David" w:hint="cs"/>
          <w:sz w:val="24"/>
          <w:szCs w:val="24"/>
          <w:rtl/>
        </w:rPr>
        <w:t xml:space="preserve">על </w:t>
      </w:r>
      <w:r w:rsidR="00DE4D9D">
        <w:rPr>
          <w:rFonts w:asciiTheme="majorBidi" w:hAnsiTheme="majorBidi" w:cs="David" w:hint="cs"/>
          <w:sz w:val="24"/>
          <w:szCs w:val="24"/>
          <w:rtl/>
        </w:rPr>
        <w:t xml:space="preserve">רגשות דתיים עמוקים של ההורה </w:t>
      </w:r>
      <w:r w:rsidR="00EA74F8">
        <w:rPr>
          <w:rFonts w:asciiTheme="majorBidi" w:hAnsiTheme="majorBidi" w:cs="David" w:hint="cs"/>
          <w:sz w:val="24"/>
          <w:szCs w:val="24"/>
          <w:rtl/>
        </w:rPr>
        <w:t>הלא משמורן</w:t>
      </w:r>
      <w:r w:rsidR="009E4AA7">
        <w:rPr>
          <w:rFonts w:asciiTheme="majorBidi" w:hAnsiTheme="majorBidi" w:cs="David" w:hint="cs"/>
          <w:sz w:val="24"/>
          <w:szCs w:val="24"/>
          <w:rtl/>
        </w:rPr>
        <w:t xml:space="preserve">, אשר גם להם השפעה, כפי שיוסבר להלן, על </w:t>
      </w:r>
      <w:r w:rsidR="00EA74F8">
        <w:rPr>
          <w:rFonts w:asciiTheme="majorBidi" w:hAnsiTheme="majorBidi" w:cs="David" w:hint="cs"/>
          <w:sz w:val="24"/>
          <w:szCs w:val="24"/>
          <w:rtl/>
        </w:rPr>
        <w:t>יחסיו עם ה</w:t>
      </w:r>
      <w:r w:rsidR="007F77AC">
        <w:rPr>
          <w:rFonts w:asciiTheme="majorBidi" w:hAnsiTheme="majorBidi" w:cs="David" w:hint="cs"/>
          <w:sz w:val="24"/>
          <w:szCs w:val="24"/>
          <w:rtl/>
        </w:rPr>
        <w:t>ילד</w:t>
      </w:r>
      <w:r w:rsidR="00DE4D9D">
        <w:rPr>
          <w:rFonts w:asciiTheme="majorBidi" w:hAnsiTheme="majorBidi" w:cs="David" w:hint="cs"/>
          <w:sz w:val="24"/>
          <w:szCs w:val="24"/>
          <w:rtl/>
        </w:rPr>
        <w:t>.</w:t>
      </w:r>
      <w:r>
        <w:rPr>
          <w:rFonts w:asciiTheme="majorBidi" w:hAnsiTheme="majorBidi" w:cs="David" w:hint="cs"/>
          <w:sz w:val="24"/>
          <w:szCs w:val="24"/>
          <w:rtl/>
        </w:rPr>
        <w:t xml:space="preserve"> בדומה,</w:t>
      </w:r>
      <w:r w:rsidR="00CD2F74">
        <w:rPr>
          <w:rFonts w:asciiTheme="majorBidi" w:hAnsiTheme="majorBidi" w:cs="David" w:hint="cs"/>
          <w:sz w:val="24"/>
          <w:szCs w:val="24"/>
          <w:rtl/>
        </w:rPr>
        <w:t xml:space="preserve"> גם הסעדים שמתבקשים בהתאם </w:t>
      </w:r>
      <w:r w:rsidR="00CD6684">
        <w:rPr>
          <w:rFonts w:asciiTheme="majorBidi" w:hAnsiTheme="majorBidi" w:cs="David" w:hint="cs"/>
          <w:sz w:val="24"/>
          <w:szCs w:val="24"/>
          <w:rtl/>
        </w:rPr>
        <w:t xml:space="preserve">צריכים להיגזר </w:t>
      </w:r>
      <w:r w:rsidR="00CD2F74">
        <w:rPr>
          <w:rFonts w:asciiTheme="majorBidi" w:hAnsiTheme="majorBidi" w:cs="David" w:hint="cs"/>
          <w:sz w:val="24"/>
          <w:szCs w:val="24"/>
          <w:rtl/>
        </w:rPr>
        <w:t>בצמצום ובזהירות.</w:t>
      </w:r>
      <w:r w:rsidR="00DE4D9D">
        <w:rPr>
          <w:rFonts w:asciiTheme="majorBidi" w:hAnsiTheme="majorBidi" w:cs="David" w:hint="cs"/>
          <w:sz w:val="24"/>
          <w:szCs w:val="24"/>
          <w:rtl/>
        </w:rPr>
        <w:t xml:space="preserve"> </w:t>
      </w:r>
      <w:r w:rsidR="005D75C4">
        <w:rPr>
          <w:rFonts w:asciiTheme="majorBidi" w:hAnsiTheme="majorBidi" w:cs="David" w:hint="cs"/>
          <w:sz w:val="24"/>
          <w:szCs w:val="24"/>
          <w:rtl/>
        </w:rPr>
        <w:t xml:space="preserve">סעדים </w:t>
      </w:r>
      <w:r w:rsidR="00DE4D9D">
        <w:rPr>
          <w:rFonts w:asciiTheme="majorBidi" w:hAnsiTheme="majorBidi" w:cs="David" w:hint="cs"/>
          <w:sz w:val="24"/>
          <w:szCs w:val="24"/>
          <w:rtl/>
        </w:rPr>
        <w:t xml:space="preserve">אלה </w:t>
      </w:r>
      <w:r w:rsidR="005D75C4">
        <w:rPr>
          <w:rFonts w:asciiTheme="majorBidi" w:hAnsiTheme="majorBidi" w:cs="David" w:hint="cs"/>
          <w:sz w:val="24"/>
          <w:szCs w:val="24"/>
          <w:rtl/>
        </w:rPr>
        <w:t xml:space="preserve">מנביעים </w:t>
      </w:r>
      <w:r w:rsidR="00DE4D9D">
        <w:rPr>
          <w:rFonts w:asciiTheme="majorBidi" w:hAnsiTheme="majorBidi" w:cs="David" w:hint="cs"/>
          <w:sz w:val="24"/>
          <w:szCs w:val="24"/>
          <w:rtl/>
        </w:rPr>
        <w:t xml:space="preserve">חובות נגטיביות בעיקרן: </w:t>
      </w:r>
      <w:r w:rsidR="00CE0873" w:rsidRPr="00DE4D9D">
        <w:rPr>
          <w:rFonts w:ascii="David" w:hAnsi="David" w:cs="David"/>
          <w:sz w:val="24"/>
          <w:szCs w:val="24"/>
          <w:rtl/>
        </w:rPr>
        <w:t>החובה להימנע מלהסית כנגד ההורה,</w:t>
      </w:r>
      <w:r w:rsidR="005D75C4">
        <w:rPr>
          <w:rFonts w:ascii="David" w:hAnsi="David" w:cs="David"/>
          <w:sz w:val="24"/>
          <w:szCs w:val="24"/>
          <w:rtl/>
        </w:rPr>
        <w:t xml:space="preserve"> החובה שלא לפגוע בעיקרי אמונתו</w:t>
      </w:r>
      <w:r w:rsidR="005D75C4">
        <w:rPr>
          <w:rFonts w:ascii="David" w:hAnsi="David" w:cs="David" w:hint="cs"/>
          <w:sz w:val="24"/>
          <w:szCs w:val="24"/>
          <w:rtl/>
        </w:rPr>
        <w:t xml:space="preserve">. </w:t>
      </w:r>
      <w:r w:rsidR="00CE0873" w:rsidRPr="00DE4D9D">
        <w:rPr>
          <w:rFonts w:ascii="David" w:hAnsi="David" w:cs="David"/>
          <w:sz w:val="24"/>
          <w:szCs w:val="24"/>
          <w:rtl/>
        </w:rPr>
        <w:t xml:space="preserve">חובות </w:t>
      </w:r>
      <w:r w:rsidR="005D75C4">
        <w:rPr>
          <w:rFonts w:ascii="David" w:hAnsi="David" w:cs="David" w:hint="cs"/>
          <w:sz w:val="24"/>
          <w:szCs w:val="24"/>
          <w:rtl/>
        </w:rPr>
        <w:t xml:space="preserve">אלה </w:t>
      </w:r>
      <w:r w:rsidR="00CE0873" w:rsidRPr="00DE4D9D">
        <w:rPr>
          <w:rFonts w:ascii="David" w:hAnsi="David" w:cs="David"/>
          <w:sz w:val="24"/>
          <w:szCs w:val="24"/>
          <w:rtl/>
        </w:rPr>
        <w:t>אינן מבוטלות</w:t>
      </w:r>
      <w:r w:rsidR="005D75C4">
        <w:rPr>
          <w:rFonts w:ascii="David" w:hAnsi="David" w:cs="David" w:hint="cs"/>
          <w:sz w:val="24"/>
          <w:szCs w:val="24"/>
          <w:rtl/>
        </w:rPr>
        <w:t xml:space="preserve"> אמנם</w:t>
      </w:r>
      <w:r w:rsidR="00CE0873" w:rsidRPr="00DE4D9D">
        <w:rPr>
          <w:rFonts w:ascii="David" w:hAnsi="David" w:cs="David"/>
          <w:sz w:val="24"/>
          <w:szCs w:val="24"/>
          <w:rtl/>
        </w:rPr>
        <w:t xml:space="preserve">, </w:t>
      </w:r>
      <w:r w:rsidR="005D75C4">
        <w:rPr>
          <w:rFonts w:ascii="David" w:hAnsi="David" w:cs="David" w:hint="cs"/>
          <w:sz w:val="24"/>
          <w:szCs w:val="24"/>
          <w:rtl/>
        </w:rPr>
        <w:t xml:space="preserve">אך </w:t>
      </w:r>
      <w:r w:rsidR="00CE0873" w:rsidRPr="00DE4D9D">
        <w:rPr>
          <w:rFonts w:ascii="David" w:hAnsi="David" w:cs="David"/>
          <w:sz w:val="24"/>
          <w:szCs w:val="24"/>
          <w:rtl/>
        </w:rPr>
        <w:t>מידת הפגיעה</w:t>
      </w:r>
      <w:r w:rsidR="00CE0873" w:rsidRPr="00DE4D9D">
        <w:rPr>
          <w:rFonts w:ascii="David" w:hAnsi="David" w:cs="David" w:hint="cs"/>
          <w:sz w:val="24"/>
          <w:szCs w:val="24"/>
          <w:rtl/>
        </w:rPr>
        <w:t xml:space="preserve"> בחירות הנוצרת </w:t>
      </w:r>
      <w:r w:rsidR="007B2592" w:rsidRPr="00DE4D9D">
        <w:rPr>
          <w:rFonts w:ascii="David" w:hAnsi="David" w:cs="David"/>
          <w:sz w:val="24"/>
          <w:szCs w:val="24"/>
          <w:rtl/>
        </w:rPr>
        <w:t>מהן מצומצמת יחסית</w:t>
      </w:r>
      <w:r w:rsidR="00CE0873" w:rsidRPr="00DE4D9D">
        <w:rPr>
          <w:rFonts w:ascii="David" w:hAnsi="David" w:cs="David" w:hint="cs"/>
          <w:sz w:val="24"/>
          <w:szCs w:val="24"/>
          <w:rtl/>
        </w:rPr>
        <w:t>.</w:t>
      </w:r>
      <w:r w:rsidR="005D75C4">
        <w:rPr>
          <w:rFonts w:ascii="David" w:hAnsi="David" w:cs="David" w:hint="cs"/>
          <w:sz w:val="24"/>
          <w:szCs w:val="24"/>
          <w:rtl/>
        </w:rPr>
        <w:t xml:space="preserve"> </w:t>
      </w:r>
      <w:r w:rsidR="00BB35EA">
        <w:rPr>
          <w:rFonts w:ascii="David" w:hAnsi="David" w:cs="David" w:hint="cs"/>
          <w:sz w:val="24"/>
          <w:szCs w:val="24"/>
          <w:rtl/>
        </w:rPr>
        <w:t>ניתן לומר</w:t>
      </w:r>
      <w:r w:rsidR="005D75C4">
        <w:rPr>
          <w:rFonts w:ascii="David" w:hAnsi="David" w:cs="David" w:hint="cs"/>
          <w:sz w:val="24"/>
          <w:szCs w:val="24"/>
          <w:rtl/>
        </w:rPr>
        <w:t xml:space="preserve"> שממילא חירות ההורה החורג אינה כוללת ביטויי הסתה כנגד ההורה הלא משמורן</w:t>
      </w:r>
      <w:r w:rsidR="003713FB">
        <w:rPr>
          <w:rFonts w:ascii="David" w:hAnsi="David" w:cs="David" w:hint="cs"/>
          <w:sz w:val="24"/>
          <w:szCs w:val="24"/>
          <w:rtl/>
        </w:rPr>
        <w:t>.</w:t>
      </w:r>
      <w:r w:rsidR="009E4AA7">
        <w:rPr>
          <w:rFonts w:ascii="David" w:hAnsi="David" w:cs="David" w:hint="cs"/>
          <w:sz w:val="24"/>
          <w:szCs w:val="24"/>
          <w:rtl/>
        </w:rPr>
        <w:t xml:space="preserve"> </w:t>
      </w:r>
    </w:p>
    <w:p w14:paraId="086A8FFB" w14:textId="278D702D" w:rsidR="00785572" w:rsidRDefault="00785572" w:rsidP="00EA74F8">
      <w:pPr>
        <w:spacing w:line="480" w:lineRule="auto"/>
        <w:jc w:val="both"/>
        <w:rPr>
          <w:rFonts w:ascii="David" w:hAnsi="David" w:cs="David"/>
          <w:sz w:val="24"/>
          <w:szCs w:val="24"/>
          <w:rtl/>
        </w:rPr>
      </w:pPr>
      <w:r>
        <w:rPr>
          <w:rFonts w:ascii="David" w:hAnsi="David" w:cs="David" w:hint="cs"/>
          <w:sz w:val="24"/>
          <w:szCs w:val="24"/>
          <w:rtl/>
        </w:rPr>
        <w:t xml:space="preserve">חשוב להדגיש כי חובות אלה אינן רק משפטיות. המשגת היחסים שבין </w:t>
      </w:r>
      <w:r w:rsidR="00EA74F8">
        <w:rPr>
          <w:rFonts w:ascii="David" w:hAnsi="David" w:cs="David" w:hint="cs"/>
          <w:sz w:val="24"/>
          <w:szCs w:val="24"/>
          <w:rtl/>
        </w:rPr>
        <w:t>ההורה החורג ו</w:t>
      </w:r>
      <w:r>
        <w:rPr>
          <w:rFonts w:ascii="David" w:hAnsi="David" w:cs="David" w:hint="cs"/>
          <w:sz w:val="24"/>
          <w:szCs w:val="24"/>
          <w:rtl/>
        </w:rPr>
        <w:t xml:space="preserve">ההורה הלא משמורן לראשונה כאן ולאור מודל האמונאות, יוצרת תשתית פרלימינרית לעיצוב </w:t>
      </w:r>
      <w:r w:rsidRPr="00BB35EA">
        <w:rPr>
          <w:rFonts w:ascii="David" w:hAnsi="David" w:cs="David" w:hint="cs"/>
          <w:b/>
          <w:bCs/>
          <w:sz w:val="24"/>
          <w:szCs w:val="24"/>
          <w:rtl/>
        </w:rPr>
        <w:t xml:space="preserve">צפייה חברתית </w:t>
      </w:r>
      <w:r>
        <w:rPr>
          <w:rFonts w:ascii="David" w:hAnsi="David" w:cs="David" w:hint="cs"/>
          <w:sz w:val="24"/>
          <w:szCs w:val="24"/>
          <w:rtl/>
        </w:rPr>
        <w:t>ביחס למשמעותם של יחסים אלה. צפייה זאת עשויה להבנות נורמות שלהפרתן תתלווה סנקציה חברתית.</w:t>
      </w:r>
      <w:r w:rsidR="00BB35EA">
        <w:rPr>
          <w:rFonts w:ascii="David" w:hAnsi="David" w:cs="David" w:hint="cs"/>
          <w:sz w:val="24"/>
          <w:szCs w:val="24"/>
          <w:rtl/>
        </w:rPr>
        <w:t xml:space="preserve"> </w:t>
      </w:r>
      <w:r w:rsidR="00EA74F8">
        <w:rPr>
          <w:rFonts w:ascii="David" w:hAnsi="David" w:cs="David" w:hint="cs"/>
          <w:sz w:val="24"/>
          <w:szCs w:val="24"/>
          <w:rtl/>
        </w:rPr>
        <w:t>נורמות חברתיות אינן זרות להקשרים משפחתיים אחרים, בהם זוהתה האמונאות, בהקשרם מוכרת האמו</w:t>
      </w:r>
      <w:r>
        <w:rPr>
          <w:rFonts w:ascii="David" w:hAnsi="David" w:cs="David" w:hint="cs"/>
          <w:sz w:val="24"/>
          <w:szCs w:val="24"/>
          <w:rtl/>
        </w:rPr>
        <w:t xml:space="preserve">נאות גם </w:t>
      </w:r>
      <w:r w:rsidR="00BB35EA">
        <w:rPr>
          <w:rFonts w:ascii="David" w:hAnsi="David" w:cs="David" w:hint="cs"/>
          <w:sz w:val="24"/>
          <w:szCs w:val="24"/>
          <w:rtl/>
        </w:rPr>
        <w:t xml:space="preserve">(ואולי בעיקר) </w:t>
      </w:r>
      <w:r>
        <w:rPr>
          <w:rFonts w:ascii="David" w:hAnsi="David" w:cs="David" w:hint="cs"/>
          <w:sz w:val="24"/>
          <w:szCs w:val="24"/>
          <w:rtl/>
        </w:rPr>
        <w:t>ממארג ציפיות חברתי ומסעדים לא משפטי</w:t>
      </w:r>
      <w:r w:rsidR="00BB35EA">
        <w:rPr>
          <w:rFonts w:ascii="David" w:hAnsi="David" w:cs="David" w:hint="cs"/>
          <w:sz w:val="24"/>
          <w:szCs w:val="24"/>
          <w:rtl/>
        </w:rPr>
        <w:t>ים.</w:t>
      </w:r>
      <w:r>
        <w:rPr>
          <w:rFonts w:ascii="David" w:hAnsi="David" w:cs="David" w:hint="cs"/>
          <w:sz w:val="24"/>
          <w:szCs w:val="24"/>
          <w:rtl/>
        </w:rPr>
        <w:t xml:space="preserve"> כפי שאומרים סקוט אנד סקוט בהקשר של יחסי הורים-ילדים: </w:t>
      </w:r>
    </w:p>
    <w:p w14:paraId="7B224CDF" w14:textId="77777777" w:rsidR="00785572" w:rsidRPr="00D26CE6" w:rsidRDefault="00785572" w:rsidP="00785572">
      <w:pPr>
        <w:bidi w:val="0"/>
        <w:spacing w:line="480" w:lineRule="auto"/>
        <w:jc w:val="both"/>
        <w:rPr>
          <w:rFonts w:asciiTheme="majorBidi" w:hAnsiTheme="majorBidi" w:cstheme="majorBidi"/>
          <w:b/>
          <w:bCs/>
          <w:sz w:val="24"/>
          <w:szCs w:val="24"/>
        </w:rPr>
      </w:pPr>
      <w:r w:rsidRPr="00EC2BB6">
        <w:rPr>
          <w:rFonts w:asciiTheme="majorBidi" w:hAnsiTheme="majorBidi" w:cstheme="majorBidi"/>
          <w:sz w:val="24"/>
          <w:szCs w:val="24"/>
        </w:rPr>
        <w:t>"The utility of parents' affective bonds and informal social norms in promoting desirable behavior reduces substantially the role for formal legal incentives in mitigating conflicts of interest. Moreover, extralegal norms impose much lower costs on both the state's and parents' interests in procreation and</w:t>
      </w:r>
      <w:r w:rsidRPr="00EC2BB6">
        <w:rPr>
          <w:rFonts w:asciiTheme="majorBidi" w:hAnsiTheme="majorBidi" w:cstheme="majorBidi"/>
          <w:b/>
          <w:bCs/>
          <w:sz w:val="24"/>
          <w:szCs w:val="24"/>
        </w:rPr>
        <w:t xml:space="preserve"> </w:t>
      </w:r>
      <w:r w:rsidRPr="00EC2BB6">
        <w:rPr>
          <w:rFonts w:asciiTheme="majorBidi" w:hAnsiTheme="majorBidi" w:cstheme="majorBidi"/>
          <w:sz w:val="24"/>
          <w:szCs w:val="24"/>
        </w:rPr>
        <w:t>child-rearing. These norms are low-cost/high-benefit instruments for reducing the incidence of self-interested behavior by parents and thus function as substitutes for more intrusive and costly legal constraints."</w:t>
      </w:r>
      <w:r>
        <w:rPr>
          <w:rStyle w:val="FootnoteReference"/>
          <w:rFonts w:asciiTheme="majorBidi" w:hAnsiTheme="majorBidi" w:cstheme="majorBidi"/>
          <w:b/>
          <w:bCs/>
          <w:sz w:val="24"/>
          <w:szCs w:val="24"/>
        </w:rPr>
        <w:footnoteReference w:id="124"/>
      </w:r>
    </w:p>
    <w:p w14:paraId="6DEC0C28" w14:textId="2CD4BAF7" w:rsidR="00785572" w:rsidRDefault="00785572" w:rsidP="00C40CBA">
      <w:pPr>
        <w:spacing w:line="480" w:lineRule="auto"/>
        <w:jc w:val="both"/>
        <w:rPr>
          <w:rFonts w:ascii="David" w:hAnsi="David" w:cs="David"/>
          <w:sz w:val="24"/>
          <w:szCs w:val="24"/>
        </w:rPr>
      </w:pPr>
      <w:r>
        <w:rPr>
          <w:rFonts w:ascii="David" w:hAnsi="David" w:cs="David" w:hint="cs"/>
          <w:sz w:val="24"/>
          <w:szCs w:val="24"/>
          <w:rtl/>
        </w:rPr>
        <w:t>ברי כי בשונה מביח</w:t>
      </w:r>
      <w:r w:rsidR="00C40CBA">
        <w:rPr>
          <w:rFonts w:ascii="David" w:hAnsi="David" w:cs="David" w:hint="cs"/>
          <w:sz w:val="24"/>
          <w:szCs w:val="24"/>
          <w:rtl/>
        </w:rPr>
        <w:t>סי הורים-ילדים, הרי שביחסי הורה</w:t>
      </w:r>
      <w:r>
        <w:rPr>
          <w:rFonts w:ascii="David" w:hAnsi="David" w:cs="David" w:hint="cs"/>
          <w:sz w:val="24"/>
          <w:szCs w:val="24"/>
          <w:rtl/>
        </w:rPr>
        <w:t xml:space="preserve"> חורג</w:t>
      </w:r>
      <w:r w:rsidR="00C40CBA">
        <w:rPr>
          <w:rFonts w:ascii="David" w:hAnsi="David" w:cs="David" w:hint="cs"/>
          <w:sz w:val="24"/>
          <w:szCs w:val="24"/>
          <w:rtl/>
        </w:rPr>
        <w:t>-הורה לא משמורן</w:t>
      </w:r>
      <w:r>
        <w:rPr>
          <w:rFonts w:ascii="David" w:hAnsi="David" w:cs="David" w:hint="cs"/>
          <w:sz w:val="24"/>
          <w:szCs w:val="24"/>
          <w:rtl/>
        </w:rPr>
        <w:t xml:space="preserve">, אין בנמצא בשלב זה נורמות חברתיות המנחות אותנו ביחס לשאלה כיצד על האמונאי לפעול, ומטרת הפניה לאמונאות ליצוק תוכן ביחסים אלה, יש מאין. </w:t>
      </w:r>
    </w:p>
    <w:p w14:paraId="1542DCF3" w14:textId="05AA11F6" w:rsidR="001448D8" w:rsidRDefault="00785572" w:rsidP="00EA74F8">
      <w:pPr>
        <w:spacing w:line="480" w:lineRule="auto"/>
        <w:contextualSpacing/>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 xml:space="preserve">יש לציין כי </w:t>
      </w:r>
      <w:r w:rsidR="005D75C4">
        <w:rPr>
          <w:rFonts w:ascii="David" w:hAnsi="David" w:cs="David" w:hint="cs"/>
          <w:color w:val="000000"/>
          <w:sz w:val="24"/>
          <w:szCs w:val="24"/>
          <w:shd w:val="clear" w:color="auto" w:fill="FFFFFF"/>
          <w:rtl/>
        </w:rPr>
        <w:t>מקרה המבחן השני, העוסק בפגיעה ברגשות דתיים, מ</w:t>
      </w:r>
      <w:r>
        <w:rPr>
          <w:rFonts w:ascii="David" w:hAnsi="David" w:cs="David" w:hint="cs"/>
          <w:color w:val="000000"/>
          <w:sz w:val="24"/>
          <w:szCs w:val="24"/>
          <w:shd w:val="clear" w:color="auto" w:fill="FFFFFF"/>
          <w:rtl/>
        </w:rPr>
        <w:t>עלה דילמה מורכבת יותר</w:t>
      </w:r>
      <w:r w:rsidR="00EA74F8">
        <w:rPr>
          <w:rFonts w:ascii="David" w:hAnsi="David" w:cs="David" w:hint="cs"/>
          <w:color w:val="000000"/>
          <w:sz w:val="24"/>
          <w:szCs w:val="24"/>
          <w:shd w:val="clear" w:color="auto" w:fill="FFFFFF"/>
          <w:rtl/>
        </w:rPr>
        <w:t xml:space="preserve"> ממקרה המבחן הראשון:</w:t>
      </w:r>
      <w:r w:rsidR="005D75C4">
        <w:rPr>
          <w:rFonts w:ascii="David" w:hAnsi="David" w:cs="David" w:hint="cs"/>
          <w:color w:val="000000"/>
          <w:sz w:val="24"/>
          <w:szCs w:val="24"/>
          <w:shd w:val="clear" w:color="auto" w:fill="FFFFFF"/>
          <w:rtl/>
        </w:rPr>
        <w:t xml:space="preserve"> ראשית, בשונה מהתנהגות מסיתה ופוגענית</w:t>
      </w:r>
      <w:r w:rsidR="001F01D2">
        <w:rPr>
          <w:rFonts w:ascii="David" w:hAnsi="David" w:cs="David" w:hint="cs"/>
          <w:color w:val="000000"/>
          <w:sz w:val="24"/>
          <w:szCs w:val="24"/>
          <w:shd w:val="clear" w:color="auto" w:fill="FFFFFF"/>
          <w:rtl/>
        </w:rPr>
        <w:t xml:space="preserve"> (כבמקרה הראשון)</w:t>
      </w:r>
      <w:r w:rsidR="005D75C4">
        <w:rPr>
          <w:rFonts w:ascii="David" w:hAnsi="David" w:cs="David" w:hint="cs"/>
          <w:color w:val="000000"/>
          <w:sz w:val="24"/>
          <w:szCs w:val="24"/>
          <w:shd w:val="clear" w:color="auto" w:fill="FFFFFF"/>
          <w:rtl/>
        </w:rPr>
        <w:t xml:space="preserve"> הפסולה כשלעצמה, הרי שביטויים של אמונה</w:t>
      </w:r>
      <w:r w:rsidR="001F01D2">
        <w:rPr>
          <w:rFonts w:ascii="David" w:hAnsi="David" w:cs="David" w:hint="cs"/>
          <w:color w:val="000000"/>
          <w:sz w:val="24"/>
          <w:szCs w:val="24"/>
          <w:shd w:val="clear" w:color="auto" w:fill="FFFFFF"/>
          <w:rtl/>
        </w:rPr>
        <w:t xml:space="preserve"> דתית (או </w:t>
      </w:r>
      <w:r>
        <w:rPr>
          <w:rFonts w:ascii="David" w:hAnsi="David" w:cs="David" w:hint="cs"/>
          <w:color w:val="000000"/>
          <w:sz w:val="24"/>
          <w:szCs w:val="24"/>
          <w:shd w:val="clear" w:color="auto" w:fill="FFFFFF"/>
          <w:rtl/>
        </w:rPr>
        <w:t>התנהגות הסותרת ציווי דתי של אחר</w:t>
      </w:r>
      <w:r w:rsidR="001A12AB">
        <w:rPr>
          <w:rFonts w:ascii="David" w:hAnsi="David" w:cs="David" w:hint="cs"/>
          <w:color w:val="000000"/>
          <w:sz w:val="24"/>
          <w:szCs w:val="24"/>
          <w:shd w:val="clear" w:color="auto" w:fill="FFFFFF"/>
          <w:rtl/>
        </w:rPr>
        <w:t>)</w:t>
      </w:r>
      <w:r w:rsidR="005D75C4">
        <w:rPr>
          <w:rFonts w:ascii="David" w:hAnsi="David" w:cs="David" w:hint="cs"/>
          <w:color w:val="000000"/>
          <w:sz w:val="24"/>
          <w:szCs w:val="24"/>
          <w:shd w:val="clear" w:color="auto" w:fill="FFFFFF"/>
          <w:rtl/>
        </w:rPr>
        <w:t xml:space="preserve"> אינם </w:t>
      </w:r>
      <w:r>
        <w:rPr>
          <w:rFonts w:ascii="David" w:hAnsi="David" w:cs="David" w:hint="cs"/>
          <w:color w:val="000000"/>
          <w:sz w:val="24"/>
          <w:szCs w:val="24"/>
          <w:shd w:val="clear" w:color="auto" w:fill="FFFFFF"/>
          <w:rtl/>
        </w:rPr>
        <w:t>פגומים כשלעצמם</w:t>
      </w:r>
      <w:r w:rsidR="005D75C4">
        <w:rPr>
          <w:rFonts w:ascii="David" w:hAnsi="David" w:cs="David" w:hint="cs"/>
          <w:color w:val="000000"/>
          <w:sz w:val="24"/>
          <w:szCs w:val="24"/>
          <w:shd w:val="clear" w:color="auto" w:fill="FFFFFF"/>
          <w:rtl/>
        </w:rPr>
        <w:t xml:space="preserve">. </w:t>
      </w:r>
      <w:r w:rsidR="001F01D2">
        <w:rPr>
          <w:rFonts w:ascii="David" w:hAnsi="David" w:cs="David" w:hint="cs"/>
          <w:color w:val="000000"/>
          <w:sz w:val="24"/>
          <w:szCs w:val="24"/>
          <w:shd w:val="clear" w:color="auto" w:fill="FFFFFF"/>
          <w:rtl/>
        </w:rPr>
        <w:t xml:space="preserve">למשל, הליכה לכנסיה בימי ראשון, קיום מנהגים דתיים בימי חג, או אכילת חזיר, אינם כשלעצמם </w:t>
      </w:r>
      <w:r w:rsidR="001448D8">
        <w:rPr>
          <w:rFonts w:ascii="David" w:hAnsi="David" w:cs="David" w:hint="cs"/>
          <w:color w:val="000000"/>
          <w:sz w:val="24"/>
          <w:szCs w:val="24"/>
          <w:shd w:val="clear" w:color="auto" w:fill="FFFFFF"/>
          <w:rtl/>
        </w:rPr>
        <w:t xml:space="preserve">אסורים או </w:t>
      </w:r>
      <w:r w:rsidR="00D00E13">
        <w:rPr>
          <w:rFonts w:ascii="David" w:hAnsi="David" w:cs="David" w:hint="cs"/>
          <w:color w:val="000000"/>
          <w:sz w:val="24"/>
          <w:szCs w:val="24"/>
          <w:shd w:val="clear" w:color="auto" w:fill="FFFFFF"/>
          <w:rtl/>
        </w:rPr>
        <w:t>בעיתיים</w:t>
      </w:r>
      <w:r w:rsidR="001F01D2">
        <w:rPr>
          <w:rFonts w:ascii="David" w:hAnsi="David" w:cs="David" w:hint="cs"/>
          <w:color w:val="000000"/>
          <w:sz w:val="24"/>
          <w:szCs w:val="24"/>
          <w:shd w:val="clear" w:color="auto" w:fill="FFFFFF"/>
          <w:rtl/>
        </w:rPr>
        <w:t xml:space="preserve">. </w:t>
      </w:r>
    </w:p>
    <w:p w14:paraId="4FD94E00" w14:textId="5F63DDDA" w:rsidR="00785572" w:rsidRDefault="001F01D2" w:rsidP="001448D8">
      <w:pPr>
        <w:spacing w:line="480" w:lineRule="auto"/>
        <w:contextualSpacing/>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שנית, קיומם</w:t>
      </w:r>
      <w:r w:rsidR="001448D8">
        <w:rPr>
          <w:rFonts w:ascii="David" w:hAnsi="David" w:cs="David" w:hint="cs"/>
          <w:color w:val="000000"/>
          <w:sz w:val="24"/>
          <w:szCs w:val="24"/>
          <w:shd w:val="clear" w:color="auto" w:fill="FFFFFF"/>
          <w:rtl/>
        </w:rPr>
        <w:t xml:space="preserve">, ניתן לטעון, עשוי אפילו להיות מוגן חוקתית במסגרת ה- </w:t>
      </w:r>
      <w:r w:rsidR="00785572">
        <w:rPr>
          <w:rFonts w:ascii="David" w:hAnsi="David" w:cs="David"/>
          <w:color w:val="000000"/>
          <w:sz w:val="24"/>
          <w:szCs w:val="24"/>
          <w:shd w:val="clear" w:color="auto" w:fill="FFFFFF"/>
        </w:rPr>
        <w:t>first amendment</w:t>
      </w:r>
      <w:r w:rsidR="00785572">
        <w:rPr>
          <w:rFonts w:ascii="David" w:hAnsi="David" w:cs="David" w:hint="cs"/>
          <w:color w:val="000000"/>
          <w:sz w:val="24"/>
          <w:szCs w:val="24"/>
          <w:shd w:val="clear" w:color="auto" w:fill="FFFFFF"/>
          <w:rtl/>
        </w:rPr>
        <w:t xml:space="preserve">. עם זאת הפסיקה הבהירה כי מגבלות </w:t>
      </w:r>
      <w:r w:rsidR="001448D8">
        <w:rPr>
          <w:rFonts w:ascii="David" w:hAnsi="David" w:cs="David" w:hint="cs"/>
          <w:color w:val="000000"/>
          <w:sz w:val="24"/>
          <w:szCs w:val="24"/>
          <w:shd w:val="clear" w:color="auto" w:fill="FFFFFF"/>
          <w:rtl/>
        </w:rPr>
        <w:t xml:space="preserve">מעין </w:t>
      </w:r>
      <w:r w:rsidR="00785572">
        <w:rPr>
          <w:rFonts w:ascii="David" w:hAnsi="David" w:cs="David" w:hint="cs"/>
          <w:color w:val="000000"/>
          <w:sz w:val="24"/>
          <w:szCs w:val="24"/>
          <w:shd w:val="clear" w:color="auto" w:fill="FFFFFF"/>
          <w:rtl/>
        </w:rPr>
        <w:t xml:space="preserve">אלה על הביטוי הדתי </w:t>
      </w:r>
      <w:r w:rsidR="001448D8">
        <w:rPr>
          <w:rFonts w:ascii="David" w:hAnsi="David" w:cs="David" w:hint="cs"/>
          <w:color w:val="000000"/>
          <w:sz w:val="24"/>
          <w:szCs w:val="24"/>
          <w:shd w:val="clear" w:color="auto" w:fill="FFFFFF"/>
          <w:rtl/>
        </w:rPr>
        <w:t xml:space="preserve">בהקשר המשפחתי </w:t>
      </w:r>
      <w:r w:rsidR="00785572">
        <w:rPr>
          <w:rFonts w:ascii="David" w:hAnsi="David" w:cs="David" w:hint="cs"/>
          <w:color w:val="000000"/>
          <w:sz w:val="24"/>
          <w:szCs w:val="24"/>
          <w:shd w:val="clear" w:color="auto" w:fill="FFFFFF"/>
          <w:rtl/>
        </w:rPr>
        <w:t>אינן מהוות הפרה של חירות הביטוי:</w:t>
      </w:r>
    </w:p>
    <w:p w14:paraId="5E9236CE" w14:textId="77777777" w:rsidR="00785572" w:rsidRDefault="00785572" w:rsidP="00785572">
      <w:pPr>
        <w:bidi w:val="0"/>
        <w:spacing w:line="480" w:lineRule="auto"/>
        <w:contextualSpacing/>
        <w:jc w:val="both"/>
        <w:rPr>
          <w:rFonts w:asciiTheme="majorBidi" w:hAnsiTheme="majorBidi" w:cstheme="majorBidi"/>
          <w:color w:val="000000"/>
          <w:sz w:val="24"/>
          <w:szCs w:val="24"/>
          <w:shd w:val="clear" w:color="auto" w:fill="FFFFFF"/>
        </w:rPr>
      </w:pPr>
      <w:r>
        <w:rPr>
          <w:rFonts w:ascii="David" w:hAnsi="David" w:cs="David" w:hint="cs"/>
          <w:color w:val="000000"/>
          <w:sz w:val="24"/>
          <w:szCs w:val="24"/>
          <w:shd w:val="clear" w:color="auto" w:fill="FFFFFF"/>
          <w:rtl/>
        </w:rPr>
        <w:t>...</w:t>
      </w:r>
      <w:r>
        <w:rPr>
          <w:rFonts w:asciiTheme="majorBidi" w:hAnsiTheme="majorBidi" w:cstheme="majorBidi"/>
          <w:sz w:val="24"/>
          <w:szCs w:val="24"/>
        </w:rPr>
        <w:t>"</w:t>
      </w:r>
      <w:r w:rsidRPr="00766E83">
        <w:rPr>
          <w:rFonts w:asciiTheme="majorBidi" w:hAnsiTheme="majorBidi" w:cstheme="majorBidi"/>
          <w:sz w:val="24"/>
          <w:szCs w:val="24"/>
        </w:rPr>
        <w:t>Court orders prohibiting a parent from reading the Bible to his children or</w:t>
      </w:r>
      <w:r>
        <w:rPr>
          <w:rFonts w:asciiTheme="majorBidi" w:hAnsiTheme="majorBidi" w:cstheme="majorBidi"/>
          <w:sz w:val="24"/>
          <w:szCs w:val="24"/>
        </w:rPr>
        <w:t xml:space="preserve"> </w:t>
      </w:r>
      <w:r w:rsidRPr="00766E83">
        <w:rPr>
          <w:rFonts w:asciiTheme="majorBidi" w:hAnsiTheme="majorBidi" w:cstheme="majorBidi"/>
          <w:sz w:val="24"/>
          <w:szCs w:val="24"/>
        </w:rPr>
        <w:t>infringing on a parent's choice of religious education for her children appear</w:t>
      </w:r>
      <w:r>
        <w:rPr>
          <w:rFonts w:asciiTheme="majorBidi" w:hAnsiTheme="majorBidi" w:cstheme="majorBidi"/>
          <w:sz w:val="24"/>
          <w:szCs w:val="24"/>
        </w:rPr>
        <w:t xml:space="preserve"> </w:t>
      </w:r>
      <w:r w:rsidRPr="00766E83">
        <w:rPr>
          <w:rFonts w:asciiTheme="majorBidi" w:hAnsiTheme="majorBidi" w:cstheme="majorBidi"/>
          <w:sz w:val="24"/>
          <w:szCs w:val="24"/>
        </w:rPr>
        <w:t>repugnant to the first amendment and to the traditional freedom from state intervention</w:t>
      </w:r>
      <w:r>
        <w:rPr>
          <w:rFonts w:asciiTheme="majorBidi" w:hAnsiTheme="majorBidi" w:cstheme="majorBidi"/>
          <w:sz w:val="24"/>
          <w:szCs w:val="24"/>
        </w:rPr>
        <w:t xml:space="preserve"> </w:t>
      </w:r>
      <w:r w:rsidRPr="00766E83">
        <w:rPr>
          <w:rFonts w:asciiTheme="majorBidi" w:hAnsiTheme="majorBidi" w:cstheme="majorBidi"/>
          <w:sz w:val="24"/>
          <w:szCs w:val="24"/>
        </w:rPr>
        <w:t>enjoyed by the parent-child relationship. Nevertheless, courts find</w:t>
      </w:r>
      <w:r>
        <w:rPr>
          <w:rFonts w:asciiTheme="majorBidi" w:hAnsiTheme="majorBidi" w:cstheme="majorBidi"/>
          <w:sz w:val="24"/>
          <w:szCs w:val="24"/>
        </w:rPr>
        <w:t xml:space="preserve"> </w:t>
      </w:r>
      <w:r w:rsidRPr="00766E83">
        <w:rPr>
          <w:rFonts w:asciiTheme="majorBidi" w:hAnsiTheme="majorBidi" w:cstheme="majorBidi"/>
          <w:sz w:val="24"/>
          <w:szCs w:val="24"/>
        </w:rPr>
        <w:t>such intervention permissible where the family unit is dissolved and where the</w:t>
      </w:r>
      <w:r>
        <w:rPr>
          <w:rFonts w:asciiTheme="majorBidi" w:hAnsiTheme="majorBidi" w:cstheme="majorBidi"/>
          <w:sz w:val="24"/>
          <w:szCs w:val="24"/>
        </w:rPr>
        <w:t xml:space="preserve"> </w:t>
      </w:r>
      <w:r w:rsidRPr="00766E83">
        <w:rPr>
          <w:rFonts w:asciiTheme="majorBidi" w:hAnsiTheme="majorBidi" w:cstheme="majorBidi"/>
          <w:sz w:val="24"/>
          <w:szCs w:val="24"/>
        </w:rPr>
        <w:t>irreconcilable religious dispute is of such magnitude as to be harmful to the</w:t>
      </w:r>
      <w:r>
        <w:rPr>
          <w:rFonts w:asciiTheme="majorBidi" w:hAnsiTheme="majorBidi" w:cstheme="majorBidi"/>
          <w:sz w:val="24"/>
          <w:szCs w:val="24"/>
        </w:rPr>
        <w:t xml:space="preserve"> </w:t>
      </w:r>
      <w:r w:rsidRPr="00766E83">
        <w:rPr>
          <w:rFonts w:asciiTheme="majorBidi" w:hAnsiTheme="majorBidi" w:cstheme="majorBidi"/>
          <w:sz w:val="24"/>
          <w:szCs w:val="24"/>
        </w:rPr>
        <w:t>children's welfare.</w:t>
      </w:r>
      <w:r>
        <w:rPr>
          <w:rFonts w:asciiTheme="majorBidi" w:hAnsiTheme="majorBidi" w:cstheme="majorBidi"/>
          <w:sz w:val="24"/>
          <w:szCs w:val="24"/>
        </w:rPr>
        <w:t>"</w:t>
      </w:r>
      <w:r>
        <w:rPr>
          <w:rStyle w:val="FootnoteReference"/>
          <w:rFonts w:asciiTheme="majorBidi" w:hAnsiTheme="majorBidi" w:cstheme="majorBidi"/>
          <w:color w:val="000000"/>
          <w:sz w:val="24"/>
          <w:szCs w:val="24"/>
          <w:shd w:val="clear" w:color="auto" w:fill="FFFFFF"/>
        </w:rPr>
        <w:footnoteReference w:id="125"/>
      </w:r>
      <w:r>
        <w:rPr>
          <w:rFonts w:asciiTheme="majorBidi" w:hAnsiTheme="majorBidi" w:cstheme="majorBidi"/>
          <w:color w:val="000000"/>
          <w:sz w:val="24"/>
          <w:szCs w:val="24"/>
          <w:shd w:val="clear" w:color="auto" w:fill="FFFFFF"/>
        </w:rPr>
        <w:t xml:space="preserve"> </w:t>
      </w:r>
    </w:p>
    <w:p w14:paraId="02A948C7" w14:textId="2E367F55" w:rsidR="00472483" w:rsidRDefault="001448D8" w:rsidP="00EA74F8">
      <w:pPr>
        <w:spacing w:line="480" w:lineRule="auto"/>
        <w:contextualSpacing/>
        <w:jc w:val="both"/>
        <w:rPr>
          <w:rFonts w:asciiTheme="majorBidi" w:hAnsiTheme="majorBidi" w:cstheme="majorBidi"/>
          <w:color w:val="000000"/>
          <w:sz w:val="24"/>
          <w:szCs w:val="24"/>
          <w:shd w:val="clear" w:color="auto" w:fill="FFFFFF"/>
        </w:rPr>
      </w:pPr>
      <w:r>
        <w:rPr>
          <w:rFonts w:ascii="David" w:hAnsi="David" w:cs="David" w:hint="cs"/>
          <w:color w:val="000000"/>
          <w:sz w:val="24"/>
          <w:szCs w:val="24"/>
          <w:shd w:val="clear" w:color="auto" w:fill="FFFFFF"/>
          <w:rtl/>
        </w:rPr>
        <w:t xml:space="preserve">שלישית, עיון בפסיקה ובספרות </w:t>
      </w:r>
      <w:r w:rsidR="000F67EC" w:rsidRPr="00DE4D9D">
        <w:rPr>
          <w:rFonts w:ascii="David" w:hAnsi="David" w:cs="David" w:hint="cs"/>
          <w:color w:val="000000"/>
          <w:sz w:val="24"/>
          <w:szCs w:val="24"/>
          <w:shd w:val="clear" w:color="auto" w:fill="FFFFFF"/>
          <w:rtl/>
        </w:rPr>
        <w:t xml:space="preserve">מעלה כי שיקולים הנוגעים לדת ולאמונה </w:t>
      </w:r>
      <w:r w:rsidR="00472483">
        <w:rPr>
          <w:rFonts w:ascii="David" w:hAnsi="David" w:cs="David" w:hint="cs"/>
          <w:color w:val="000000"/>
          <w:sz w:val="24"/>
          <w:szCs w:val="24"/>
          <w:shd w:val="clear" w:color="auto" w:fill="FFFFFF"/>
          <w:rtl/>
        </w:rPr>
        <w:t>היוו</w:t>
      </w:r>
      <w:r w:rsidR="00D00E13">
        <w:rPr>
          <w:rFonts w:ascii="David" w:hAnsi="David" w:cs="David" w:hint="cs"/>
          <w:color w:val="000000"/>
          <w:sz w:val="24"/>
          <w:szCs w:val="24"/>
          <w:shd w:val="clear" w:color="auto" w:fill="FFFFFF"/>
          <w:rtl/>
        </w:rPr>
        <w:t xml:space="preserve"> לאורך השנים</w:t>
      </w:r>
      <w:r w:rsidR="000F67EC" w:rsidRPr="00DE4D9D">
        <w:rPr>
          <w:rFonts w:ascii="David" w:hAnsi="David" w:cs="David" w:hint="cs"/>
          <w:color w:val="000000"/>
          <w:sz w:val="24"/>
          <w:szCs w:val="24"/>
          <w:shd w:val="clear" w:color="auto" w:fill="FFFFFF"/>
          <w:rtl/>
        </w:rPr>
        <w:t xml:space="preserve"> פקטור בהכרעות הקשורות לשאלות של משמורת והסדרי קשר וביקור</w:t>
      </w:r>
      <w:r>
        <w:rPr>
          <w:rFonts w:ascii="David" w:hAnsi="David" w:cs="David" w:hint="cs"/>
          <w:color w:val="000000"/>
          <w:sz w:val="24"/>
          <w:szCs w:val="24"/>
          <w:shd w:val="clear" w:color="auto" w:fill="FFFFFF"/>
          <w:rtl/>
        </w:rPr>
        <w:t xml:space="preserve"> ואולם מאספקט אחר לחלוטין</w:t>
      </w:r>
      <w:r w:rsidR="000F67EC" w:rsidRPr="00DE4D9D">
        <w:rPr>
          <w:rFonts w:ascii="David" w:hAnsi="David" w:cs="David" w:hint="cs"/>
          <w:color w:val="000000"/>
          <w:sz w:val="24"/>
          <w:szCs w:val="24"/>
          <w:shd w:val="clear" w:color="auto" w:fill="FFFFFF"/>
          <w:rtl/>
        </w:rPr>
        <w:t>.</w:t>
      </w:r>
      <w:r w:rsidR="00B6452B">
        <w:rPr>
          <w:rStyle w:val="FootnoteReference"/>
          <w:rFonts w:ascii="David" w:hAnsi="David" w:cs="David"/>
          <w:color w:val="000000"/>
          <w:sz w:val="24"/>
          <w:szCs w:val="24"/>
          <w:shd w:val="clear" w:color="auto" w:fill="FFFFFF"/>
          <w:rtl/>
        </w:rPr>
        <w:footnoteReference w:id="126"/>
      </w:r>
      <w:r w:rsidR="000F67EC" w:rsidRPr="00DE4D9D">
        <w:rPr>
          <w:rFonts w:ascii="David" w:hAnsi="David" w:cs="David" w:hint="cs"/>
          <w:color w:val="000000"/>
          <w:sz w:val="24"/>
          <w:szCs w:val="24"/>
          <w:shd w:val="clear" w:color="auto" w:fill="FFFFFF"/>
          <w:rtl/>
        </w:rPr>
        <w:t xml:space="preserve"> בנסיבות מסוימות לקחו שיקולים אלה מקום בקביעה מי יהיה ההורה המשמורן המרכזי.</w:t>
      </w:r>
      <w:r w:rsidR="000F67EC" w:rsidRPr="00DE4D9D">
        <w:rPr>
          <w:rStyle w:val="FootnoteReference"/>
          <w:rFonts w:ascii="David" w:hAnsi="David" w:cs="David"/>
          <w:color w:val="000000"/>
          <w:sz w:val="24"/>
          <w:szCs w:val="24"/>
          <w:shd w:val="clear" w:color="auto" w:fill="FFFFFF"/>
          <w:rtl/>
        </w:rPr>
        <w:footnoteReference w:id="127"/>
      </w:r>
      <w:r w:rsidR="000F67EC" w:rsidRPr="00DE4D9D">
        <w:rPr>
          <w:rFonts w:ascii="David" w:hAnsi="David" w:cs="David" w:hint="cs"/>
          <w:color w:val="000000"/>
          <w:sz w:val="24"/>
          <w:szCs w:val="24"/>
          <w:shd w:val="clear" w:color="auto" w:fill="FFFFFF"/>
          <w:rtl/>
        </w:rPr>
        <w:t xml:space="preserve"> במקרים אחרים הם היוו</w:t>
      </w:r>
      <w:r w:rsidR="000F67EC">
        <w:rPr>
          <w:rFonts w:ascii="David" w:hAnsi="David" w:cs="David" w:hint="cs"/>
          <w:color w:val="000000"/>
          <w:sz w:val="24"/>
          <w:szCs w:val="24"/>
          <w:shd w:val="clear" w:color="auto" w:fill="FFFFFF"/>
          <w:rtl/>
        </w:rPr>
        <w:t xml:space="preserve"> משקל לקביעה כיצד יעוצבו הסדרי </w:t>
      </w:r>
      <w:r w:rsidR="00EA74F8">
        <w:rPr>
          <w:rFonts w:ascii="David" w:hAnsi="David" w:cs="David" w:hint="cs"/>
          <w:color w:val="000000"/>
          <w:sz w:val="24"/>
          <w:szCs w:val="24"/>
          <w:shd w:val="clear" w:color="auto" w:fill="FFFFFF"/>
          <w:rtl/>
        </w:rPr>
        <w:t>ה</w:t>
      </w:r>
      <w:r w:rsidR="000F67EC">
        <w:rPr>
          <w:rFonts w:ascii="David" w:hAnsi="David" w:cs="David" w:hint="cs"/>
          <w:color w:val="000000"/>
          <w:sz w:val="24"/>
          <w:szCs w:val="24"/>
          <w:shd w:val="clear" w:color="auto" w:fill="FFFFFF"/>
          <w:rtl/>
        </w:rPr>
        <w:t>קשר</w:t>
      </w:r>
      <w:r w:rsidR="001875E5">
        <w:rPr>
          <w:rFonts w:ascii="David" w:hAnsi="David" w:cs="David" w:hint="cs"/>
          <w:color w:val="000000"/>
          <w:sz w:val="24"/>
          <w:szCs w:val="24"/>
          <w:shd w:val="clear" w:color="auto" w:fill="FFFFFF"/>
          <w:rtl/>
        </w:rPr>
        <w:t>,</w:t>
      </w:r>
      <w:r w:rsidR="00472483">
        <w:rPr>
          <w:rFonts w:ascii="David" w:hAnsi="David" w:cs="David" w:hint="cs"/>
          <w:color w:val="000000"/>
          <w:sz w:val="24"/>
          <w:szCs w:val="24"/>
          <w:shd w:val="clear" w:color="auto" w:fill="FFFFFF"/>
          <w:rtl/>
        </w:rPr>
        <w:t xml:space="preserve"> </w:t>
      </w:r>
      <w:r w:rsidR="001875E5">
        <w:rPr>
          <w:rFonts w:ascii="David" w:hAnsi="David" w:cs="David" w:hint="cs"/>
          <w:color w:val="000000"/>
          <w:sz w:val="24"/>
          <w:szCs w:val="24"/>
          <w:shd w:val="clear" w:color="auto" w:fill="FFFFFF"/>
          <w:rtl/>
        </w:rPr>
        <w:t xml:space="preserve">הובילו להטלת </w:t>
      </w:r>
      <w:r w:rsidR="000F67EC">
        <w:rPr>
          <w:rFonts w:ascii="David" w:hAnsi="David" w:cs="David" w:hint="cs"/>
          <w:color w:val="000000"/>
          <w:sz w:val="24"/>
          <w:szCs w:val="24"/>
          <w:shd w:val="clear" w:color="auto" w:fill="FFFFFF"/>
          <w:rtl/>
        </w:rPr>
        <w:t>תנאים למפגשים</w:t>
      </w:r>
      <w:r>
        <w:rPr>
          <w:rFonts w:ascii="David" w:hAnsi="David" w:cs="David" w:hint="cs"/>
          <w:color w:val="000000"/>
          <w:sz w:val="24"/>
          <w:szCs w:val="24"/>
          <w:shd w:val="clear" w:color="auto" w:fill="FFFFFF"/>
          <w:rtl/>
        </w:rPr>
        <w:t xml:space="preserve"> </w:t>
      </w:r>
      <w:r w:rsidR="001875E5">
        <w:rPr>
          <w:rFonts w:ascii="David" w:hAnsi="David" w:cs="David" w:hint="cs"/>
          <w:color w:val="000000"/>
          <w:sz w:val="24"/>
          <w:szCs w:val="24"/>
          <w:shd w:val="clear" w:color="auto" w:fill="FFFFFF"/>
          <w:rtl/>
        </w:rPr>
        <w:t xml:space="preserve">ואיסורים על </w:t>
      </w:r>
      <w:r w:rsidR="001875E5" w:rsidRPr="00EA74F8">
        <w:rPr>
          <w:rFonts w:ascii="David" w:hAnsi="David" w:cs="David" w:hint="cs"/>
          <w:i/>
          <w:iCs/>
          <w:color w:val="000000"/>
          <w:sz w:val="24"/>
          <w:szCs w:val="24"/>
          <w:shd w:val="clear" w:color="auto" w:fill="FFFFFF"/>
          <w:rtl/>
        </w:rPr>
        <w:t>ההורה הלא משמורן</w:t>
      </w:r>
      <w:r w:rsidR="001875E5">
        <w:rPr>
          <w:rFonts w:ascii="David" w:hAnsi="David" w:cs="David" w:hint="cs"/>
          <w:color w:val="000000"/>
          <w:sz w:val="24"/>
          <w:szCs w:val="24"/>
          <w:shd w:val="clear" w:color="auto" w:fill="FFFFFF"/>
          <w:rtl/>
        </w:rPr>
        <w:t>, איסורים</w:t>
      </w:r>
      <w:r>
        <w:rPr>
          <w:rFonts w:ascii="David" w:hAnsi="David" w:cs="David" w:hint="cs"/>
          <w:color w:val="000000"/>
          <w:sz w:val="24"/>
          <w:szCs w:val="24"/>
          <w:shd w:val="clear" w:color="auto" w:fill="FFFFFF"/>
          <w:rtl/>
        </w:rPr>
        <w:t xml:space="preserve"> הקשורים לאורח חייו הדתי</w:t>
      </w:r>
      <w:r w:rsidR="000F67EC">
        <w:rPr>
          <w:rFonts w:ascii="David" w:hAnsi="David" w:cs="David" w:hint="cs"/>
          <w:color w:val="000000"/>
          <w:sz w:val="24"/>
          <w:szCs w:val="24"/>
          <w:shd w:val="clear" w:color="auto" w:fill="FFFFFF"/>
          <w:rtl/>
        </w:rPr>
        <w:t xml:space="preserve">, שמטרתם היתה שלא לפגוע באורח חיו ואמונתו של </w:t>
      </w:r>
      <w:r w:rsidR="000F67EC" w:rsidRPr="00EA74F8">
        <w:rPr>
          <w:rFonts w:ascii="David" w:hAnsi="David" w:cs="David" w:hint="cs"/>
          <w:i/>
          <w:iCs/>
          <w:color w:val="000000"/>
          <w:sz w:val="24"/>
          <w:szCs w:val="24"/>
          <w:shd w:val="clear" w:color="auto" w:fill="FFFFFF"/>
          <w:rtl/>
        </w:rPr>
        <w:t>ההורה המשמורן</w:t>
      </w:r>
      <w:r w:rsidR="000F67EC">
        <w:rPr>
          <w:rFonts w:ascii="David" w:hAnsi="David" w:cs="David" w:hint="cs"/>
          <w:color w:val="000000"/>
          <w:sz w:val="24"/>
          <w:szCs w:val="24"/>
          <w:shd w:val="clear" w:color="auto" w:fill="FFFFFF"/>
          <w:rtl/>
        </w:rPr>
        <w:t xml:space="preserve"> ושל הילד המצוי במשמרתו.</w:t>
      </w:r>
      <w:r w:rsidR="001875E5">
        <w:rPr>
          <w:rFonts w:ascii="David" w:hAnsi="David" w:cs="David" w:hint="cs"/>
          <w:color w:val="000000"/>
          <w:sz w:val="24"/>
          <w:szCs w:val="24"/>
          <w:shd w:val="clear" w:color="auto" w:fill="FFFFFF"/>
          <w:rtl/>
        </w:rPr>
        <w:t xml:space="preserve"> במקרים קיצוניים הובילו שיקולים דתיים אף לניתוק הילד מההורה הלא משמורן. </w:t>
      </w:r>
      <w:r w:rsidR="00D42771">
        <w:rPr>
          <w:rFonts w:ascii="David" w:hAnsi="David" w:cs="David" w:hint="cs"/>
          <w:color w:val="000000"/>
          <w:sz w:val="24"/>
          <w:szCs w:val="24"/>
          <w:shd w:val="clear" w:color="auto" w:fill="FFFFFF"/>
          <w:rtl/>
        </w:rPr>
        <w:t>ואולם,</w:t>
      </w:r>
      <w:r w:rsidR="000F67EC">
        <w:rPr>
          <w:rFonts w:ascii="David" w:hAnsi="David" w:cs="David" w:hint="cs"/>
          <w:color w:val="000000"/>
          <w:sz w:val="24"/>
          <w:szCs w:val="24"/>
          <w:shd w:val="clear" w:color="auto" w:fill="FFFFFF"/>
          <w:rtl/>
        </w:rPr>
        <w:t xml:space="preserve"> </w:t>
      </w:r>
      <w:r w:rsidR="00472483">
        <w:rPr>
          <w:rFonts w:ascii="David" w:hAnsi="David" w:cs="David" w:hint="cs"/>
          <w:color w:val="000000"/>
          <w:sz w:val="24"/>
          <w:szCs w:val="24"/>
          <w:shd w:val="clear" w:color="auto" w:fill="FFFFFF"/>
          <w:rtl/>
        </w:rPr>
        <w:t>בשונה מהנהוג בשנים עברו, בהם ניתנה עדיפות מובהקת להורה המשמורן</w:t>
      </w:r>
      <w:r w:rsidR="001875E5">
        <w:rPr>
          <w:rFonts w:ascii="David" w:hAnsi="David" w:cs="David" w:hint="cs"/>
          <w:color w:val="000000"/>
          <w:sz w:val="24"/>
          <w:szCs w:val="24"/>
          <w:shd w:val="clear" w:color="auto" w:fill="FFFFFF"/>
          <w:rtl/>
        </w:rPr>
        <w:t xml:space="preserve">, לאמונתו ואורח חייו הדתי, </w:t>
      </w:r>
      <w:r w:rsidR="00472483">
        <w:rPr>
          <w:rFonts w:ascii="David" w:hAnsi="David" w:cs="David" w:hint="cs"/>
          <w:color w:val="000000"/>
          <w:sz w:val="24"/>
          <w:szCs w:val="24"/>
          <w:shd w:val="clear" w:color="auto" w:fill="FFFFFF"/>
          <w:rtl/>
        </w:rPr>
        <w:t xml:space="preserve">העידן הנוכחי והכלי המוצע כאן בדמות יחסי האמונאות מובילים לנקודת מבט </w:t>
      </w:r>
      <w:r w:rsidR="00EA74F8">
        <w:rPr>
          <w:rFonts w:ascii="David" w:hAnsi="David" w:cs="David" w:hint="cs"/>
          <w:color w:val="000000"/>
          <w:sz w:val="24"/>
          <w:szCs w:val="24"/>
          <w:shd w:val="clear" w:color="auto" w:fill="FFFFFF"/>
          <w:rtl/>
        </w:rPr>
        <w:t>שונה</w:t>
      </w:r>
      <w:r w:rsidR="00472483">
        <w:rPr>
          <w:rFonts w:ascii="David" w:hAnsi="David" w:cs="David" w:hint="cs"/>
          <w:color w:val="000000"/>
          <w:sz w:val="24"/>
          <w:szCs w:val="24"/>
          <w:shd w:val="clear" w:color="auto" w:fill="FFFFFF"/>
          <w:rtl/>
        </w:rPr>
        <w:t>. כבוד לאורח חייו של ההורה הלא משמורן ולאמונתו, והגנה על הקשר הנ</w:t>
      </w:r>
      <w:r w:rsidR="001875E5">
        <w:rPr>
          <w:rFonts w:ascii="David" w:hAnsi="David" w:cs="David" w:hint="cs"/>
          <w:color w:val="000000"/>
          <w:sz w:val="24"/>
          <w:szCs w:val="24"/>
          <w:shd w:val="clear" w:color="auto" w:fill="FFFFFF"/>
          <w:rtl/>
        </w:rPr>
        <w:t>פרד והעצמאי בינו ובין הילד עשויים</w:t>
      </w:r>
      <w:r w:rsidR="00472483">
        <w:rPr>
          <w:rFonts w:ascii="David" w:hAnsi="David" w:cs="David" w:hint="cs"/>
          <w:color w:val="000000"/>
          <w:sz w:val="24"/>
          <w:szCs w:val="24"/>
          <w:shd w:val="clear" w:color="auto" w:fill="FFFFFF"/>
          <w:rtl/>
        </w:rPr>
        <w:t xml:space="preserve"> להכתיב דווקא הטלת חיובים על ההורה החורג (יחד ובנפרד מן ההורה המשמורן)</w:t>
      </w:r>
      <w:r w:rsidR="00EA74F8">
        <w:rPr>
          <w:rStyle w:val="FootnoteReference"/>
          <w:rFonts w:ascii="David" w:hAnsi="David" w:cs="David"/>
          <w:color w:val="000000"/>
          <w:sz w:val="24"/>
          <w:szCs w:val="24"/>
          <w:shd w:val="clear" w:color="auto" w:fill="FFFFFF"/>
          <w:rtl/>
        </w:rPr>
        <w:footnoteReference w:id="128"/>
      </w:r>
      <w:r w:rsidR="00472483">
        <w:rPr>
          <w:rFonts w:ascii="David" w:hAnsi="David" w:cs="David" w:hint="cs"/>
          <w:color w:val="000000"/>
          <w:sz w:val="24"/>
          <w:szCs w:val="24"/>
          <w:shd w:val="clear" w:color="auto" w:fill="FFFFFF"/>
          <w:rtl/>
        </w:rPr>
        <w:t xml:space="preserve"> להגן ולכבד את עיקרי אמונתו של ההורה הלא משמורן. </w:t>
      </w:r>
    </w:p>
    <w:p w14:paraId="0B70D272" w14:textId="33FC3472" w:rsidR="00942576" w:rsidRDefault="001875E5" w:rsidP="00C464E0">
      <w:pPr>
        <w:spacing w:line="480" w:lineRule="auto"/>
        <w:contextualSpacing/>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מהלך זה הנראה לכאורה יוצא דופן</w:t>
      </w:r>
      <w:r w:rsidR="00C464E0">
        <w:rPr>
          <w:rFonts w:ascii="David" w:hAnsi="David" w:cs="David" w:hint="cs"/>
          <w:color w:val="000000"/>
          <w:sz w:val="24"/>
          <w:szCs w:val="24"/>
          <w:shd w:val="clear" w:color="auto" w:fill="FFFFFF"/>
          <w:rtl/>
        </w:rPr>
        <w:t>,</w:t>
      </w:r>
      <w:r>
        <w:rPr>
          <w:rFonts w:ascii="David" w:hAnsi="David" w:cs="David" w:hint="cs"/>
          <w:color w:val="000000"/>
          <w:sz w:val="24"/>
          <w:szCs w:val="24"/>
          <w:shd w:val="clear" w:color="auto" w:fill="FFFFFF"/>
          <w:rtl/>
        </w:rPr>
        <w:t xml:space="preserve"> הוא </w:t>
      </w:r>
      <w:r w:rsidR="001448D8">
        <w:rPr>
          <w:rFonts w:ascii="David" w:hAnsi="David" w:cs="David" w:hint="cs"/>
          <w:color w:val="000000"/>
          <w:sz w:val="24"/>
          <w:szCs w:val="24"/>
          <w:shd w:val="clear" w:color="auto" w:fill="FFFFFF"/>
          <w:rtl/>
        </w:rPr>
        <w:t>פרי התפתחות קודמת ואינו נעוץ רק בהסתמכות על מודל/סכמת האמונאות. ה</w:t>
      </w:r>
      <w:r w:rsidR="000F67EC">
        <w:rPr>
          <w:rFonts w:ascii="David" w:hAnsi="David" w:cs="David" w:hint="cs"/>
          <w:color w:val="000000"/>
          <w:sz w:val="24"/>
          <w:szCs w:val="24"/>
          <w:shd w:val="clear" w:color="auto" w:fill="FFFFFF"/>
          <w:rtl/>
        </w:rPr>
        <w:t xml:space="preserve">קו </w:t>
      </w:r>
      <w:r w:rsidR="001448D8">
        <w:rPr>
          <w:rFonts w:ascii="David" w:hAnsi="David" w:cs="David" w:hint="cs"/>
          <w:color w:val="000000"/>
          <w:sz w:val="24"/>
          <w:szCs w:val="24"/>
          <w:shd w:val="clear" w:color="auto" w:fill="FFFFFF"/>
          <w:rtl/>
        </w:rPr>
        <w:t>ה</w:t>
      </w:r>
      <w:r w:rsidR="000F67EC">
        <w:rPr>
          <w:rFonts w:ascii="David" w:hAnsi="David" w:cs="David" w:hint="cs"/>
          <w:color w:val="000000"/>
          <w:sz w:val="24"/>
          <w:szCs w:val="24"/>
          <w:shd w:val="clear" w:color="auto" w:fill="FFFFFF"/>
          <w:rtl/>
        </w:rPr>
        <w:t>משפטי</w:t>
      </w:r>
      <w:r>
        <w:rPr>
          <w:rFonts w:ascii="David" w:hAnsi="David" w:cs="David" w:hint="cs"/>
          <w:color w:val="000000"/>
          <w:sz w:val="24"/>
          <w:szCs w:val="24"/>
          <w:shd w:val="clear" w:color="auto" w:fill="FFFFFF"/>
          <w:rtl/>
        </w:rPr>
        <w:t>,</w:t>
      </w:r>
      <w:r w:rsidR="000F67EC">
        <w:rPr>
          <w:rFonts w:ascii="David" w:hAnsi="David" w:cs="David" w:hint="cs"/>
          <w:color w:val="000000"/>
          <w:sz w:val="24"/>
          <w:szCs w:val="24"/>
          <w:shd w:val="clear" w:color="auto" w:fill="FFFFFF"/>
          <w:rtl/>
        </w:rPr>
        <w:t xml:space="preserve"> </w:t>
      </w:r>
      <w:r w:rsidR="001448D8">
        <w:rPr>
          <w:rFonts w:ascii="David" w:hAnsi="David" w:cs="David" w:hint="cs"/>
          <w:color w:val="000000"/>
          <w:sz w:val="24"/>
          <w:szCs w:val="24"/>
          <w:shd w:val="clear" w:color="auto" w:fill="FFFFFF"/>
          <w:rtl/>
        </w:rPr>
        <w:t>שהגביל את ההורה הלא משמורן</w:t>
      </w:r>
      <w:r>
        <w:rPr>
          <w:rFonts w:ascii="David" w:hAnsi="David" w:cs="David" w:hint="cs"/>
          <w:color w:val="000000"/>
          <w:sz w:val="24"/>
          <w:szCs w:val="24"/>
          <w:shd w:val="clear" w:color="auto" w:fill="FFFFFF"/>
          <w:rtl/>
        </w:rPr>
        <w:t>,</w:t>
      </w:r>
      <w:r w:rsidR="001448D8">
        <w:rPr>
          <w:rFonts w:ascii="David" w:hAnsi="David" w:cs="David" w:hint="cs"/>
          <w:color w:val="000000"/>
          <w:sz w:val="24"/>
          <w:szCs w:val="24"/>
          <w:shd w:val="clear" w:color="auto" w:fill="FFFFFF"/>
          <w:rtl/>
        </w:rPr>
        <w:t xml:space="preserve"> </w:t>
      </w:r>
      <w:r w:rsidR="000F67EC">
        <w:rPr>
          <w:rFonts w:ascii="David" w:hAnsi="David" w:cs="David" w:hint="cs"/>
          <w:color w:val="000000"/>
          <w:sz w:val="24"/>
          <w:szCs w:val="24"/>
          <w:shd w:val="clear" w:color="auto" w:fill="FFFFFF"/>
          <w:rtl/>
        </w:rPr>
        <w:t xml:space="preserve">אפיין את העידן </w:t>
      </w:r>
      <w:r w:rsidR="001F01D2">
        <w:rPr>
          <w:rFonts w:ascii="David" w:hAnsi="David" w:cs="David" w:hint="cs"/>
          <w:color w:val="000000"/>
          <w:sz w:val="24"/>
          <w:szCs w:val="24"/>
          <w:shd w:val="clear" w:color="auto" w:fill="FFFFFF"/>
          <w:rtl/>
        </w:rPr>
        <w:t>הקודם בו</w:t>
      </w:r>
      <w:r w:rsidR="000F67EC">
        <w:rPr>
          <w:rFonts w:ascii="David" w:hAnsi="David" w:cs="David" w:hint="cs"/>
          <w:color w:val="000000"/>
          <w:sz w:val="24"/>
          <w:szCs w:val="24"/>
          <w:shd w:val="clear" w:color="auto" w:fill="FFFFFF"/>
          <w:rtl/>
        </w:rPr>
        <w:t xml:space="preserve"> ה- </w:t>
      </w:r>
      <w:r w:rsidR="000F67EC">
        <w:rPr>
          <w:rFonts w:ascii="David" w:hAnsi="David" w:cs="David"/>
          <w:color w:val="000000"/>
          <w:sz w:val="24"/>
          <w:szCs w:val="24"/>
          <w:shd w:val="clear" w:color="auto" w:fill="FFFFFF"/>
        </w:rPr>
        <w:t>residential parent</w:t>
      </w:r>
      <w:r w:rsidR="000F67EC" w:rsidRPr="00500641">
        <w:rPr>
          <w:rFonts w:ascii="David" w:hAnsi="David" w:cs="David" w:hint="cs"/>
          <w:color w:val="000000"/>
          <w:sz w:val="24"/>
          <w:szCs w:val="24"/>
          <w:shd w:val="clear" w:color="auto" w:fill="FFFFFF"/>
          <w:rtl/>
        </w:rPr>
        <w:t xml:space="preserve"> </w:t>
      </w:r>
      <w:r w:rsidR="001448D8">
        <w:rPr>
          <w:rFonts w:ascii="David" w:hAnsi="David" w:cs="David" w:hint="cs"/>
          <w:color w:val="000000"/>
          <w:sz w:val="24"/>
          <w:szCs w:val="24"/>
          <w:shd w:val="clear" w:color="auto" w:fill="FFFFFF"/>
          <w:rtl/>
        </w:rPr>
        <w:t>ה</w:t>
      </w:r>
      <w:r w:rsidR="000F67EC">
        <w:rPr>
          <w:rFonts w:ascii="David" w:hAnsi="David" w:cs="David" w:hint="cs"/>
          <w:color w:val="000000"/>
          <w:sz w:val="24"/>
          <w:szCs w:val="24"/>
          <w:shd w:val="clear" w:color="auto" w:fill="FFFFFF"/>
          <w:rtl/>
        </w:rPr>
        <w:t xml:space="preserve">חזיק בלעדית את </w:t>
      </w:r>
      <w:r w:rsidR="00C464E0">
        <w:rPr>
          <w:rFonts w:ascii="David" w:hAnsi="David" w:cs="David" w:hint="cs"/>
          <w:color w:val="000000"/>
          <w:sz w:val="24"/>
          <w:szCs w:val="24"/>
          <w:shd w:val="clear" w:color="auto" w:fill="FFFFFF"/>
          <w:rtl/>
        </w:rPr>
        <w:t>ה-</w:t>
      </w:r>
      <w:r w:rsidR="001448D8">
        <w:rPr>
          <w:rFonts w:ascii="David" w:hAnsi="David" w:cs="David" w:hint="cs"/>
          <w:color w:val="000000"/>
          <w:sz w:val="24"/>
          <w:szCs w:val="24"/>
          <w:shd w:val="clear" w:color="auto" w:fill="FFFFFF"/>
          <w:rtl/>
        </w:rPr>
        <w:t xml:space="preserve"> </w:t>
      </w:r>
      <w:r w:rsidR="001448D8">
        <w:rPr>
          <w:rFonts w:ascii="David" w:hAnsi="David" w:cs="David"/>
          <w:color w:val="000000"/>
          <w:sz w:val="24"/>
          <w:szCs w:val="24"/>
          <w:shd w:val="clear" w:color="auto" w:fill="FFFFFF"/>
        </w:rPr>
        <w:t>legal custody</w:t>
      </w:r>
      <w:r w:rsidR="000F67EC">
        <w:rPr>
          <w:rFonts w:ascii="David" w:hAnsi="David" w:cs="David" w:hint="cs"/>
          <w:color w:val="000000"/>
          <w:sz w:val="24"/>
          <w:szCs w:val="24"/>
          <w:shd w:val="clear" w:color="auto" w:fill="FFFFFF"/>
          <w:rtl/>
        </w:rPr>
        <w:t xml:space="preserve"> בילד. ברירת המחדל היום שונה ומשמורת פיזית של אחד ההורים </w:t>
      </w:r>
      <w:r w:rsidR="001A12AB">
        <w:rPr>
          <w:rFonts w:ascii="David" w:hAnsi="David" w:cs="David" w:hint="cs"/>
          <w:color w:val="000000"/>
          <w:sz w:val="24"/>
          <w:szCs w:val="24"/>
          <w:shd w:val="clear" w:color="auto" w:fill="FFFFFF"/>
          <w:rtl/>
        </w:rPr>
        <w:t>כרוכה</w:t>
      </w:r>
      <w:r w:rsidR="001F01D2">
        <w:rPr>
          <w:rFonts w:ascii="David" w:hAnsi="David" w:cs="David" w:hint="cs"/>
          <w:color w:val="000000"/>
          <w:sz w:val="24"/>
          <w:szCs w:val="24"/>
          <w:shd w:val="clear" w:color="auto" w:fill="FFFFFF"/>
          <w:rtl/>
        </w:rPr>
        <w:t xml:space="preserve"> לרוב </w:t>
      </w:r>
      <w:r w:rsidR="001A12AB">
        <w:rPr>
          <w:rFonts w:ascii="David" w:hAnsi="David" w:cs="David" w:hint="cs"/>
          <w:color w:val="000000"/>
          <w:sz w:val="24"/>
          <w:szCs w:val="24"/>
          <w:shd w:val="clear" w:color="auto" w:fill="FFFFFF"/>
          <w:rtl/>
        </w:rPr>
        <w:t>ב</w:t>
      </w:r>
      <w:r w:rsidR="00DE4D9D">
        <w:rPr>
          <w:rFonts w:ascii="David" w:hAnsi="David" w:cs="David" w:hint="cs"/>
          <w:color w:val="000000"/>
          <w:sz w:val="24"/>
          <w:szCs w:val="24"/>
          <w:shd w:val="clear" w:color="auto" w:fill="FFFFFF"/>
          <w:rtl/>
        </w:rPr>
        <w:t xml:space="preserve">משמורת משפטית </w:t>
      </w:r>
      <w:r w:rsidR="00DE4D9D" w:rsidRPr="00A903AA">
        <w:rPr>
          <w:rFonts w:ascii="David" w:hAnsi="David" w:cs="David" w:hint="cs"/>
          <w:b/>
          <w:bCs/>
          <w:color w:val="000000"/>
          <w:sz w:val="24"/>
          <w:szCs w:val="24"/>
          <w:shd w:val="clear" w:color="auto" w:fill="FFFFFF"/>
          <w:rtl/>
        </w:rPr>
        <w:t>משותפת</w:t>
      </w:r>
      <w:r w:rsidR="00A903AA">
        <w:rPr>
          <w:rFonts w:ascii="David" w:hAnsi="David" w:cs="David" w:hint="cs"/>
          <w:color w:val="000000"/>
          <w:sz w:val="24"/>
          <w:szCs w:val="24"/>
          <w:shd w:val="clear" w:color="auto" w:fill="FFFFFF"/>
          <w:rtl/>
        </w:rPr>
        <w:t xml:space="preserve"> של שני ההורים</w:t>
      </w:r>
      <w:r w:rsidR="000F67EC">
        <w:rPr>
          <w:rFonts w:ascii="David" w:hAnsi="David" w:cs="David" w:hint="cs"/>
          <w:color w:val="000000"/>
          <w:sz w:val="24"/>
          <w:szCs w:val="24"/>
          <w:shd w:val="clear" w:color="auto" w:fill="FFFFFF"/>
          <w:rtl/>
        </w:rPr>
        <w:t>.</w:t>
      </w:r>
      <w:r w:rsidR="001F01D2">
        <w:rPr>
          <w:rStyle w:val="FootnoteReference"/>
          <w:rFonts w:ascii="David" w:hAnsi="David" w:cs="David"/>
          <w:color w:val="000000"/>
          <w:sz w:val="24"/>
          <w:szCs w:val="24"/>
          <w:shd w:val="clear" w:color="auto" w:fill="FFFFFF"/>
          <w:rtl/>
        </w:rPr>
        <w:footnoteReference w:id="129"/>
      </w:r>
      <w:r w:rsidR="000F67EC">
        <w:rPr>
          <w:rFonts w:ascii="David" w:hAnsi="David" w:cs="David" w:hint="cs"/>
          <w:color w:val="000000"/>
          <w:sz w:val="24"/>
          <w:szCs w:val="24"/>
          <w:shd w:val="clear" w:color="auto" w:fill="FFFFFF"/>
          <w:rtl/>
        </w:rPr>
        <w:t xml:space="preserve"> </w:t>
      </w:r>
      <w:r w:rsidR="007E3465">
        <w:rPr>
          <w:rFonts w:ascii="David" w:hAnsi="David" w:cs="David" w:hint="cs"/>
          <w:color w:val="000000"/>
          <w:sz w:val="24"/>
          <w:szCs w:val="24"/>
          <w:shd w:val="clear" w:color="auto" w:fill="FFFFFF"/>
          <w:rtl/>
        </w:rPr>
        <w:t>גם העמדה היסודית בדיני המשפחה, שעוצבה בעשורים האחרונים בעקבות השינויים במחקר הפסיכולוגי</w:t>
      </w:r>
      <w:r w:rsidR="00A903AA">
        <w:rPr>
          <w:rFonts w:ascii="David" w:hAnsi="David" w:cs="David" w:hint="cs"/>
          <w:color w:val="000000"/>
          <w:sz w:val="24"/>
          <w:szCs w:val="24"/>
          <w:shd w:val="clear" w:color="auto" w:fill="FFFFFF"/>
          <w:rtl/>
        </w:rPr>
        <w:t xml:space="preserve"> ולנוכח ההכרה בזכויות הילד</w:t>
      </w:r>
      <w:r w:rsidR="007E3465">
        <w:rPr>
          <w:rFonts w:ascii="David" w:hAnsi="David" w:cs="David" w:hint="cs"/>
          <w:color w:val="000000"/>
          <w:sz w:val="24"/>
          <w:szCs w:val="24"/>
          <w:shd w:val="clear" w:color="auto" w:fill="FFFFFF"/>
          <w:rtl/>
        </w:rPr>
        <w:t>, מצדדת בשמירת קשר עם שני ההורים</w:t>
      </w:r>
      <w:r w:rsidR="00A903AA">
        <w:rPr>
          <w:rFonts w:ascii="David" w:hAnsi="David" w:cs="David" w:hint="cs"/>
          <w:color w:val="000000"/>
          <w:sz w:val="24"/>
          <w:szCs w:val="24"/>
          <w:shd w:val="clear" w:color="auto" w:fill="FFFFFF"/>
          <w:rtl/>
        </w:rPr>
        <w:t>.</w:t>
      </w:r>
      <w:r w:rsidR="0093197B">
        <w:rPr>
          <w:rStyle w:val="FootnoteReference"/>
          <w:rFonts w:ascii="David" w:hAnsi="David" w:cs="David"/>
          <w:color w:val="000000"/>
          <w:sz w:val="24"/>
          <w:szCs w:val="24"/>
          <w:shd w:val="clear" w:color="auto" w:fill="FFFFFF"/>
          <w:rtl/>
        </w:rPr>
        <w:footnoteReference w:id="130"/>
      </w:r>
      <w:r w:rsidR="00A903AA">
        <w:rPr>
          <w:rFonts w:ascii="David" w:hAnsi="David" w:cs="David" w:hint="cs"/>
          <w:color w:val="000000"/>
          <w:sz w:val="24"/>
          <w:szCs w:val="24"/>
          <w:shd w:val="clear" w:color="auto" w:fill="FFFFFF"/>
          <w:rtl/>
        </w:rPr>
        <w:t xml:space="preserve"> </w:t>
      </w:r>
      <w:r>
        <w:rPr>
          <w:rFonts w:ascii="David" w:hAnsi="David" w:cs="David" w:hint="cs"/>
          <w:color w:val="000000"/>
          <w:sz w:val="24"/>
          <w:szCs w:val="24"/>
          <w:shd w:val="clear" w:color="auto" w:fill="FFFFFF"/>
          <w:rtl/>
        </w:rPr>
        <w:t xml:space="preserve">גם </w:t>
      </w:r>
      <w:r w:rsidR="007E3465">
        <w:rPr>
          <w:rFonts w:ascii="David" w:hAnsi="David" w:cs="David" w:hint="cs"/>
          <w:color w:val="000000"/>
          <w:sz w:val="24"/>
          <w:szCs w:val="24"/>
          <w:shd w:val="clear" w:color="auto" w:fill="FFFFFF"/>
          <w:rtl/>
        </w:rPr>
        <w:t>מקום שה</w:t>
      </w:r>
      <w:r w:rsidR="00A903AA">
        <w:rPr>
          <w:rFonts w:ascii="David" w:hAnsi="David" w:cs="David" w:hint="cs"/>
          <w:color w:val="000000"/>
          <w:sz w:val="24"/>
          <w:szCs w:val="24"/>
          <w:shd w:val="clear" w:color="auto" w:fill="FFFFFF"/>
          <w:rtl/>
        </w:rPr>
        <w:t>הורים</w:t>
      </w:r>
      <w:r w:rsidR="007E3465">
        <w:rPr>
          <w:rFonts w:ascii="David" w:hAnsi="David" w:cs="David" w:hint="cs"/>
          <w:color w:val="000000"/>
          <w:sz w:val="24"/>
          <w:szCs w:val="24"/>
          <w:shd w:val="clear" w:color="auto" w:fill="FFFFFF"/>
          <w:rtl/>
        </w:rPr>
        <w:t xml:space="preserve"> אינם חולקים את הטיפול בילד</w:t>
      </w:r>
      <w:r w:rsidR="00942576">
        <w:rPr>
          <w:rFonts w:ascii="David" w:hAnsi="David" w:cs="David" w:hint="cs"/>
          <w:color w:val="000000"/>
          <w:sz w:val="24"/>
          <w:szCs w:val="24"/>
          <w:shd w:val="clear" w:color="auto" w:fill="FFFFFF"/>
          <w:rtl/>
        </w:rPr>
        <w:t xml:space="preserve"> בשוויון</w:t>
      </w:r>
      <w:r w:rsidR="007E3465">
        <w:rPr>
          <w:rFonts w:ascii="David" w:hAnsi="David" w:cs="David" w:hint="cs"/>
          <w:color w:val="000000"/>
          <w:sz w:val="24"/>
          <w:szCs w:val="24"/>
          <w:shd w:val="clear" w:color="auto" w:fill="FFFFFF"/>
          <w:rtl/>
        </w:rPr>
        <w:t xml:space="preserve">, </w:t>
      </w:r>
      <w:r w:rsidR="00A903AA">
        <w:rPr>
          <w:rFonts w:ascii="David" w:hAnsi="David" w:cs="David" w:hint="cs"/>
          <w:color w:val="000000"/>
          <w:sz w:val="24"/>
          <w:szCs w:val="24"/>
          <w:shd w:val="clear" w:color="auto" w:fill="FFFFFF"/>
          <w:rtl/>
        </w:rPr>
        <w:t>הנטייה היא לחתור ל</w:t>
      </w:r>
      <w:r w:rsidR="007E3465">
        <w:rPr>
          <w:rFonts w:ascii="David" w:hAnsi="David" w:cs="David" w:hint="cs"/>
          <w:color w:val="000000"/>
          <w:sz w:val="24"/>
          <w:szCs w:val="24"/>
          <w:shd w:val="clear" w:color="auto" w:fill="FFFFFF"/>
          <w:rtl/>
        </w:rPr>
        <w:t>שמירה על קשר</w:t>
      </w:r>
      <w:r w:rsidR="00A903AA">
        <w:rPr>
          <w:rFonts w:ascii="David" w:hAnsi="David" w:cs="David" w:hint="cs"/>
          <w:color w:val="000000"/>
          <w:sz w:val="24"/>
          <w:szCs w:val="24"/>
          <w:shd w:val="clear" w:color="auto" w:fill="FFFFFF"/>
          <w:rtl/>
        </w:rPr>
        <w:t xml:space="preserve"> משמעותי</w:t>
      </w:r>
      <w:r w:rsidR="007E3465">
        <w:rPr>
          <w:rFonts w:ascii="David" w:hAnsi="David" w:cs="David" w:hint="cs"/>
          <w:color w:val="000000"/>
          <w:sz w:val="24"/>
          <w:szCs w:val="24"/>
          <w:shd w:val="clear" w:color="auto" w:fill="FFFFFF"/>
          <w:rtl/>
        </w:rPr>
        <w:t xml:space="preserve"> עם ההורה הלא מ</w:t>
      </w:r>
      <w:r w:rsidR="00A903AA">
        <w:rPr>
          <w:rFonts w:ascii="David" w:hAnsi="David" w:cs="David" w:hint="cs"/>
          <w:color w:val="000000"/>
          <w:sz w:val="24"/>
          <w:szCs w:val="24"/>
          <w:shd w:val="clear" w:color="auto" w:fill="FFFFFF"/>
          <w:rtl/>
        </w:rPr>
        <w:t>שמורן</w:t>
      </w:r>
      <w:r w:rsidR="007E3465">
        <w:rPr>
          <w:rFonts w:ascii="David" w:hAnsi="David" w:cs="David" w:hint="cs"/>
          <w:color w:val="000000"/>
          <w:sz w:val="24"/>
          <w:szCs w:val="24"/>
          <w:shd w:val="clear" w:color="auto" w:fill="FFFFFF"/>
          <w:rtl/>
        </w:rPr>
        <w:t>. עמדה זאת עשויה להכתיב לא רק מניעת הסתה</w:t>
      </w:r>
      <w:r w:rsidR="00A903AA">
        <w:rPr>
          <w:rFonts w:ascii="David" w:hAnsi="David" w:cs="David" w:hint="cs"/>
          <w:color w:val="000000"/>
          <w:sz w:val="24"/>
          <w:szCs w:val="24"/>
          <w:shd w:val="clear" w:color="auto" w:fill="FFFFFF"/>
          <w:rtl/>
        </w:rPr>
        <w:t xml:space="preserve"> נגד ההורה הלא משמורן</w:t>
      </w:r>
      <w:r w:rsidR="00C464E0">
        <w:rPr>
          <w:rFonts w:ascii="David" w:hAnsi="David" w:cs="David" w:hint="cs"/>
          <w:color w:val="000000"/>
          <w:sz w:val="24"/>
          <w:szCs w:val="24"/>
          <w:shd w:val="clear" w:color="auto" w:fill="FFFFFF"/>
          <w:rtl/>
        </w:rPr>
        <w:t xml:space="preserve"> אלא גם</w:t>
      </w:r>
      <w:r w:rsidR="007E3465">
        <w:rPr>
          <w:rFonts w:ascii="David" w:hAnsi="David" w:cs="David" w:hint="cs"/>
          <w:color w:val="000000"/>
          <w:sz w:val="24"/>
          <w:szCs w:val="24"/>
          <w:shd w:val="clear" w:color="auto" w:fill="FFFFFF"/>
          <w:rtl/>
        </w:rPr>
        <w:t xml:space="preserve"> מניעת פגיעה בעיקרי אמונתו, באופן שיאפשר לו לקיים קשר מכבד, מכיל וחיובי עם ילדו.</w:t>
      </w:r>
      <w:r w:rsidR="0072036B">
        <w:rPr>
          <w:rStyle w:val="FootnoteReference"/>
          <w:rFonts w:ascii="David" w:hAnsi="David" w:cs="David"/>
          <w:color w:val="000000"/>
          <w:sz w:val="24"/>
          <w:szCs w:val="24"/>
          <w:shd w:val="clear" w:color="auto" w:fill="FFFFFF"/>
          <w:rtl/>
        </w:rPr>
        <w:footnoteReference w:id="131"/>
      </w:r>
      <w:r w:rsidR="007E3465">
        <w:rPr>
          <w:rFonts w:ascii="David" w:hAnsi="David" w:cs="David" w:hint="cs"/>
          <w:color w:val="000000"/>
          <w:sz w:val="24"/>
          <w:szCs w:val="24"/>
          <w:shd w:val="clear" w:color="auto" w:fill="FFFFFF"/>
          <w:rtl/>
        </w:rPr>
        <w:t xml:space="preserve"> </w:t>
      </w:r>
    </w:p>
    <w:p w14:paraId="7E2CD3A2" w14:textId="307082F2" w:rsidR="00F914D2" w:rsidRPr="00A03662" w:rsidRDefault="007E3465" w:rsidP="00A03662">
      <w:pPr>
        <w:spacing w:line="480" w:lineRule="auto"/>
        <w:contextualSpacing/>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במובן זה, נקודת ממשק משמעותית קיימת בין שני סוגי הקונפליקטים האמורים</w:t>
      </w:r>
      <w:r w:rsidR="0093197B">
        <w:rPr>
          <w:rFonts w:ascii="David" w:hAnsi="David" w:cs="David" w:hint="cs"/>
          <w:color w:val="000000"/>
          <w:sz w:val="24"/>
          <w:szCs w:val="24"/>
          <w:shd w:val="clear" w:color="auto" w:fill="FFFFFF"/>
          <w:rtl/>
        </w:rPr>
        <w:t xml:space="preserve"> (הסתה נגד ההורה הלא משמורן ופגיעה ברגשותיו הדתיים)</w:t>
      </w:r>
      <w:r>
        <w:rPr>
          <w:rFonts w:ascii="David" w:hAnsi="David" w:cs="David" w:hint="cs"/>
          <w:color w:val="000000"/>
          <w:sz w:val="24"/>
          <w:szCs w:val="24"/>
          <w:shd w:val="clear" w:color="auto" w:fill="FFFFFF"/>
          <w:rtl/>
        </w:rPr>
        <w:t xml:space="preserve"> והמסקנה המהותית אליה הם מובילים</w:t>
      </w:r>
      <w:r w:rsidR="00942576">
        <w:rPr>
          <w:rFonts w:ascii="David" w:hAnsi="David" w:cs="David" w:hint="cs"/>
          <w:color w:val="000000"/>
          <w:sz w:val="24"/>
          <w:szCs w:val="24"/>
          <w:shd w:val="clear" w:color="auto" w:fill="FFFFFF"/>
          <w:rtl/>
        </w:rPr>
        <w:t xml:space="preserve"> משותפת</w:t>
      </w:r>
      <w:r>
        <w:rPr>
          <w:rFonts w:ascii="David" w:hAnsi="David" w:cs="David" w:hint="cs"/>
          <w:color w:val="000000"/>
          <w:sz w:val="24"/>
          <w:szCs w:val="24"/>
          <w:shd w:val="clear" w:color="auto" w:fill="FFFFFF"/>
          <w:rtl/>
        </w:rPr>
        <w:t xml:space="preserve">. </w:t>
      </w:r>
      <w:r w:rsidR="00DD3E55">
        <w:rPr>
          <w:rFonts w:ascii="David" w:hAnsi="David" w:cs="David" w:hint="cs"/>
          <w:color w:val="000000"/>
          <w:sz w:val="24"/>
          <w:szCs w:val="24"/>
          <w:shd w:val="clear" w:color="auto" w:fill="FFFFFF"/>
          <w:rtl/>
        </w:rPr>
        <w:t>במילים אחרות, ההגנה על רגשותיו הד</w:t>
      </w:r>
      <w:r w:rsidR="00472483">
        <w:rPr>
          <w:rFonts w:ascii="David" w:hAnsi="David" w:cs="David" w:hint="cs"/>
          <w:color w:val="000000"/>
          <w:sz w:val="24"/>
          <w:szCs w:val="24"/>
          <w:shd w:val="clear" w:color="auto" w:fill="FFFFFF"/>
          <w:rtl/>
        </w:rPr>
        <w:t>תיים נגזרת הן מחופש הדת אבל גם</w:t>
      </w:r>
      <w:r w:rsidR="00DD3E55">
        <w:rPr>
          <w:rFonts w:ascii="David" w:hAnsi="David" w:cs="David" w:hint="cs"/>
          <w:color w:val="000000"/>
          <w:sz w:val="24"/>
          <w:szCs w:val="24"/>
          <w:shd w:val="clear" w:color="auto" w:fill="FFFFFF"/>
          <w:rtl/>
        </w:rPr>
        <w:t xml:space="preserve"> מהגנה על הקשר בינו לבין ילדו</w:t>
      </w:r>
      <w:r w:rsidR="00942576">
        <w:rPr>
          <w:rFonts w:ascii="David" w:hAnsi="David" w:cs="David" w:hint="cs"/>
          <w:color w:val="000000"/>
          <w:sz w:val="24"/>
          <w:szCs w:val="24"/>
          <w:shd w:val="clear" w:color="auto" w:fill="FFFFFF"/>
          <w:rtl/>
        </w:rPr>
        <w:t xml:space="preserve"> ושניהם גם יחד עשויים להוליד חיוב</w:t>
      </w:r>
      <w:r w:rsidR="00A03662">
        <w:rPr>
          <w:rFonts w:ascii="David" w:hAnsi="David" w:cs="David" w:hint="cs"/>
          <w:color w:val="000000"/>
          <w:sz w:val="24"/>
          <w:szCs w:val="24"/>
          <w:shd w:val="clear" w:color="auto" w:fill="FFFFFF"/>
          <w:rtl/>
        </w:rPr>
        <w:t xml:space="preserve">ים על </w:t>
      </w:r>
      <w:r w:rsidR="00942576">
        <w:rPr>
          <w:rFonts w:ascii="David" w:hAnsi="David" w:cs="David" w:hint="cs"/>
          <w:color w:val="000000"/>
          <w:sz w:val="24"/>
          <w:szCs w:val="24"/>
          <w:shd w:val="clear" w:color="auto" w:fill="FFFFFF"/>
          <w:rtl/>
        </w:rPr>
        <w:t>ההורה החורג</w:t>
      </w:r>
      <w:r w:rsidR="00DD3E55">
        <w:rPr>
          <w:rFonts w:ascii="David" w:hAnsi="David" w:cs="David" w:hint="cs"/>
          <w:color w:val="000000"/>
          <w:sz w:val="24"/>
          <w:szCs w:val="24"/>
          <w:shd w:val="clear" w:color="auto" w:fill="FFFFFF"/>
          <w:rtl/>
        </w:rPr>
        <w:t>.</w:t>
      </w:r>
    </w:p>
    <w:p w14:paraId="2F77B09F" w14:textId="578E3173" w:rsidR="00F249F4" w:rsidRPr="00A371D8" w:rsidRDefault="00B27F9A" w:rsidP="00A90B2A">
      <w:pPr>
        <w:pStyle w:val="ListParagraph"/>
        <w:numPr>
          <w:ilvl w:val="0"/>
          <w:numId w:val="2"/>
        </w:numPr>
        <w:spacing w:line="480" w:lineRule="auto"/>
        <w:rPr>
          <w:rFonts w:asciiTheme="majorBidi" w:hAnsiTheme="majorBidi" w:cs="David"/>
          <w:b/>
          <w:bCs/>
          <w:sz w:val="24"/>
          <w:szCs w:val="24"/>
          <w:u w:val="single"/>
          <w:rtl/>
        </w:rPr>
      </w:pPr>
      <w:r>
        <w:rPr>
          <w:rFonts w:asciiTheme="majorBidi" w:hAnsiTheme="majorBidi" w:cs="David" w:hint="cs"/>
          <w:b/>
          <w:bCs/>
          <w:sz w:val="24"/>
          <w:szCs w:val="24"/>
          <w:u w:val="single"/>
          <w:rtl/>
        </w:rPr>
        <w:t xml:space="preserve">במקום סיכום: </w:t>
      </w:r>
      <w:r w:rsidR="00A90B2A">
        <w:rPr>
          <w:rFonts w:asciiTheme="majorBidi" w:hAnsiTheme="majorBidi" w:cs="David" w:hint="cs"/>
          <w:b/>
          <w:bCs/>
          <w:sz w:val="24"/>
          <w:szCs w:val="24"/>
          <w:u w:val="single"/>
          <w:rtl/>
        </w:rPr>
        <w:t>שתי</w:t>
      </w:r>
      <w:r w:rsidR="00857171">
        <w:rPr>
          <w:rFonts w:asciiTheme="majorBidi" w:hAnsiTheme="majorBidi" w:cs="David" w:hint="cs"/>
          <w:b/>
          <w:bCs/>
          <w:sz w:val="24"/>
          <w:szCs w:val="24"/>
          <w:u w:val="single"/>
          <w:rtl/>
        </w:rPr>
        <w:t xml:space="preserve"> הערות לקראת סיום</w:t>
      </w:r>
    </w:p>
    <w:p w14:paraId="1DBF8EFE" w14:textId="77777777" w:rsidR="00857171" w:rsidRPr="00B545C6" w:rsidRDefault="00857171" w:rsidP="00615E4D">
      <w:pPr>
        <w:pStyle w:val="ListParagraph"/>
        <w:numPr>
          <w:ilvl w:val="0"/>
          <w:numId w:val="7"/>
        </w:numPr>
        <w:spacing w:line="480" w:lineRule="auto"/>
        <w:jc w:val="both"/>
        <w:rPr>
          <w:rFonts w:asciiTheme="majorBidi" w:hAnsiTheme="majorBidi" w:cs="David"/>
          <w:b/>
          <w:bCs/>
          <w:sz w:val="24"/>
          <w:szCs w:val="24"/>
          <w:shd w:val="clear" w:color="auto" w:fill="FFFFFF"/>
          <w:rtl/>
        </w:rPr>
      </w:pPr>
      <w:r w:rsidRPr="00B545C6">
        <w:rPr>
          <w:rFonts w:asciiTheme="majorBidi" w:hAnsiTheme="majorBidi" w:cs="David" w:hint="cs"/>
          <w:b/>
          <w:bCs/>
          <w:sz w:val="24"/>
          <w:szCs w:val="24"/>
          <w:shd w:val="clear" w:color="auto" w:fill="FFFFFF"/>
          <w:rtl/>
        </w:rPr>
        <w:t>אמונאות כתרגיל מחשבתי</w:t>
      </w:r>
      <w:r w:rsidR="002469B8" w:rsidRPr="00B545C6">
        <w:rPr>
          <w:rFonts w:asciiTheme="majorBidi" w:hAnsiTheme="majorBidi" w:cs="David" w:hint="cs"/>
          <w:b/>
          <w:bCs/>
          <w:sz w:val="24"/>
          <w:szCs w:val="24"/>
          <w:shd w:val="clear" w:color="auto" w:fill="FFFFFF"/>
          <w:rtl/>
        </w:rPr>
        <w:t xml:space="preserve"> </w:t>
      </w:r>
      <w:r w:rsidR="00B545C6" w:rsidRPr="00B545C6">
        <w:rPr>
          <w:rFonts w:asciiTheme="majorBidi" w:hAnsiTheme="majorBidi" w:cs="David" w:hint="cs"/>
          <w:b/>
          <w:bCs/>
          <w:sz w:val="24"/>
          <w:szCs w:val="24"/>
          <w:shd w:val="clear" w:color="auto" w:fill="FFFFFF"/>
          <w:rtl/>
        </w:rPr>
        <w:t xml:space="preserve">להסדרה משפטית של </w:t>
      </w:r>
      <w:r w:rsidR="002469B8" w:rsidRPr="00B545C6">
        <w:rPr>
          <w:rFonts w:asciiTheme="majorBidi" w:hAnsiTheme="majorBidi" w:cs="David" w:hint="cs"/>
          <w:b/>
          <w:bCs/>
          <w:sz w:val="24"/>
          <w:szCs w:val="24"/>
          <w:shd w:val="clear" w:color="auto" w:fill="FFFFFF"/>
          <w:rtl/>
        </w:rPr>
        <w:t>יחסי</w:t>
      </w:r>
      <w:r w:rsidR="00162B1D" w:rsidRPr="00B545C6">
        <w:rPr>
          <w:rFonts w:asciiTheme="majorBidi" w:hAnsiTheme="majorBidi" w:cs="David" w:hint="cs"/>
          <w:b/>
          <w:bCs/>
          <w:sz w:val="24"/>
          <w:szCs w:val="24"/>
          <w:shd w:val="clear" w:color="auto" w:fill="FFFFFF"/>
          <w:rtl/>
        </w:rPr>
        <w:t xml:space="preserve"> משפח</w:t>
      </w:r>
      <w:r w:rsidR="00615E4D">
        <w:rPr>
          <w:rFonts w:asciiTheme="majorBidi" w:hAnsiTheme="majorBidi" w:cs="David" w:hint="cs"/>
          <w:b/>
          <w:bCs/>
          <w:sz w:val="24"/>
          <w:szCs w:val="24"/>
          <w:shd w:val="clear" w:color="auto" w:fill="FFFFFF"/>
          <w:rtl/>
        </w:rPr>
        <w:t>ה שטרם הוכרו</w:t>
      </w:r>
    </w:p>
    <w:p w14:paraId="40E5541C" w14:textId="2EF2B359" w:rsidR="00D65E96" w:rsidRDefault="001179A4" w:rsidP="00656507">
      <w:pPr>
        <w:spacing w:line="48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ניתן להעריך כי ההצעה להרחיב את גבולות האמונאות </w:t>
      </w:r>
      <w:r w:rsidR="00857171">
        <w:rPr>
          <w:rFonts w:asciiTheme="majorBidi" w:hAnsiTheme="majorBidi" w:cs="David" w:hint="cs"/>
          <w:color w:val="000000"/>
          <w:sz w:val="24"/>
          <w:szCs w:val="24"/>
          <w:shd w:val="clear" w:color="auto" w:fill="FFFFFF"/>
          <w:rtl/>
        </w:rPr>
        <w:t xml:space="preserve">ולהחילה </w:t>
      </w:r>
      <w:r>
        <w:rPr>
          <w:rFonts w:asciiTheme="majorBidi" w:hAnsiTheme="majorBidi" w:cs="David" w:hint="cs"/>
          <w:color w:val="000000"/>
          <w:sz w:val="24"/>
          <w:szCs w:val="24"/>
          <w:shd w:val="clear" w:color="auto" w:fill="FFFFFF"/>
          <w:rtl/>
        </w:rPr>
        <w:t>על יחסי הורה חורג-הורה</w:t>
      </w:r>
      <w:r w:rsidR="00B216E6">
        <w:rPr>
          <w:rFonts w:asciiTheme="majorBidi" w:hAnsiTheme="majorBidi" w:cs="David" w:hint="cs"/>
          <w:color w:val="000000"/>
          <w:sz w:val="24"/>
          <w:szCs w:val="24"/>
          <w:shd w:val="clear" w:color="auto" w:fill="FFFFFF"/>
          <w:rtl/>
        </w:rPr>
        <w:t xml:space="preserve"> לא משמורן</w:t>
      </w:r>
      <w:r>
        <w:rPr>
          <w:rFonts w:asciiTheme="majorBidi" w:hAnsiTheme="majorBidi" w:cs="David" w:hint="cs"/>
          <w:color w:val="000000"/>
          <w:sz w:val="24"/>
          <w:szCs w:val="24"/>
          <w:shd w:val="clear" w:color="auto" w:fill="FFFFFF"/>
          <w:rtl/>
        </w:rPr>
        <w:t xml:space="preserve"> תתקל בהתנגדות. </w:t>
      </w:r>
      <w:r w:rsidR="00857171">
        <w:rPr>
          <w:rFonts w:asciiTheme="majorBidi" w:hAnsiTheme="majorBidi" w:cs="David" w:hint="cs"/>
          <w:sz w:val="24"/>
          <w:szCs w:val="24"/>
          <w:rtl/>
        </w:rPr>
        <w:t>הרחבה של דיני האמונאות לזירה האמורה אינה טריוויאלית ואינה נקייה מביקורת. היא סותרת את העמדה הבסיסית שאינה רואה בדיני הא</w:t>
      </w:r>
      <w:r w:rsidR="00ED7985">
        <w:rPr>
          <w:rFonts w:asciiTheme="majorBidi" w:hAnsiTheme="majorBidi" w:cs="David" w:hint="cs"/>
          <w:sz w:val="24"/>
          <w:szCs w:val="24"/>
          <w:rtl/>
        </w:rPr>
        <w:t>מונאות כבסיס משפטי איתן</w:t>
      </w:r>
      <w:r w:rsidR="002469B8">
        <w:rPr>
          <w:rFonts w:asciiTheme="majorBidi" w:hAnsiTheme="majorBidi" w:cs="David" w:hint="cs"/>
          <w:sz w:val="24"/>
          <w:szCs w:val="24"/>
          <w:rtl/>
        </w:rPr>
        <w:t>.</w:t>
      </w:r>
      <w:r w:rsidR="002469B8">
        <w:rPr>
          <w:rStyle w:val="FootnoteReference"/>
          <w:rFonts w:asciiTheme="majorBidi" w:hAnsiTheme="majorBidi" w:cs="David"/>
          <w:sz w:val="24"/>
          <w:szCs w:val="24"/>
          <w:rtl/>
        </w:rPr>
        <w:footnoteReference w:id="132"/>
      </w:r>
      <w:r w:rsidR="00D65E96">
        <w:rPr>
          <w:rFonts w:asciiTheme="majorBidi" w:hAnsiTheme="majorBidi" w:cs="David" w:hint="cs"/>
          <w:sz w:val="24"/>
          <w:szCs w:val="24"/>
          <w:rtl/>
        </w:rPr>
        <w:t xml:space="preserve"> </w:t>
      </w:r>
      <w:r w:rsidR="00857171">
        <w:rPr>
          <w:rFonts w:asciiTheme="majorBidi" w:hAnsiTheme="majorBidi" w:cs="David" w:hint="cs"/>
          <w:sz w:val="24"/>
          <w:szCs w:val="24"/>
          <w:rtl/>
        </w:rPr>
        <w:t xml:space="preserve">היא בוודאי אינה הרחבה "טבעית" לתחומים בהם התבססה עד כה האמונאות מבחינה משפטית. </w:t>
      </w:r>
      <w:r w:rsidR="00D65E96">
        <w:rPr>
          <w:rFonts w:asciiTheme="majorBidi" w:hAnsiTheme="majorBidi" w:cs="David" w:hint="cs"/>
          <w:color w:val="000000"/>
          <w:sz w:val="24"/>
          <w:szCs w:val="24"/>
          <w:shd w:val="clear" w:color="auto" w:fill="FFFFFF"/>
          <w:rtl/>
        </w:rPr>
        <w:t>כפי שלמדנו מהביקורת שנמתחה על המהלך המהפכני שהציעו אליזבט ורוברט סקוט בשנות התשעים, הביקורת עשויה להישמע מבית ומבחוץ. אנשי דיני המשפחה עשויים לטעון כי החדרת אמונאות למשפחה עשויה לפגום במרקם העדין של יחסי המשפחה</w:t>
      </w:r>
      <w:r w:rsidR="00656507">
        <w:rPr>
          <w:rStyle w:val="FootnoteReference"/>
          <w:rFonts w:asciiTheme="majorBidi" w:hAnsiTheme="majorBidi" w:cs="David"/>
          <w:color w:val="000000"/>
          <w:sz w:val="24"/>
          <w:szCs w:val="24"/>
          <w:shd w:val="clear" w:color="auto" w:fill="FFFFFF"/>
          <w:rtl/>
        </w:rPr>
        <w:footnoteReference w:id="133"/>
      </w:r>
      <w:r w:rsidR="00D65E96">
        <w:rPr>
          <w:rFonts w:asciiTheme="majorBidi" w:hAnsiTheme="majorBidi" w:cs="David" w:hint="cs"/>
          <w:color w:val="000000"/>
          <w:sz w:val="24"/>
          <w:szCs w:val="24"/>
          <w:shd w:val="clear" w:color="auto" w:fill="FFFFFF"/>
          <w:rtl/>
        </w:rPr>
        <w:t xml:space="preserve">; ואנשי האמונאות, מצידם, יסברו כי יש בכך כדי להפוך את האמונאות למושג גורף, מעין </w:t>
      </w:r>
      <w:r w:rsidR="00162B1D">
        <w:rPr>
          <w:rFonts w:asciiTheme="majorBidi" w:hAnsiTheme="majorBidi" w:cs="David" w:hint="cs"/>
          <w:color w:val="000000"/>
          <w:sz w:val="24"/>
          <w:szCs w:val="24"/>
          <w:shd w:val="clear" w:color="auto" w:fill="FFFFFF"/>
          <w:rtl/>
        </w:rPr>
        <w:t>"</w:t>
      </w:r>
      <w:r w:rsidR="00D65E96">
        <w:rPr>
          <w:rFonts w:asciiTheme="majorBidi" w:hAnsiTheme="majorBidi" w:cs="David" w:hint="cs"/>
          <w:color w:val="000000"/>
          <w:sz w:val="24"/>
          <w:szCs w:val="24"/>
          <w:shd w:val="clear" w:color="auto" w:fill="FFFFFF"/>
          <w:rtl/>
        </w:rPr>
        <w:t>סוס פרא</w:t>
      </w:r>
      <w:r w:rsidR="00162B1D">
        <w:rPr>
          <w:rFonts w:asciiTheme="majorBidi" w:hAnsiTheme="majorBidi" w:cs="David" w:hint="cs"/>
          <w:color w:val="000000"/>
          <w:sz w:val="24"/>
          <w:szCs w:val="24"/>
          <w:shd w:val="clear" w:color="auto" w:fill="FFFFFF"/>
          <w:rtl/>
        </w:rPr>
        <w:t>"</w:t>
      </w:r>
      <w:r w:rsidR="00D65E96">
        <w:rPr>
          <w:rFonts w:asciiTheme="majorBidi" w:hAnsiTheme="majorBidi" w:cs="David" w:hint="cs"/>
          <w:color w:val="000000"/>
          <w:sz w:val="24"/>
          <w:szCs w:val="24"/>
          <w:shd w:val="clear" w:color="auto" w:fill="FFFFFF"/>
          <w:rtl/>
        </w:rPr>
        <w:t xml:space="preserve"> שאת נתיב המרוץ</w:t>
      </w:r>
      <w:r w:rsidR="00162B1D">
        <w:rPr>
          <w:rFonts w:asciiTheme="majorBidi" w:hAnsiTheme="majorBidi" w:cs="David" w:hint="cs"/>
          <w:color w:val="000000"/>
          <w:sz w:val="24"/>
          <w:szCs w:val="24"/>
          <w:shd w:val="clear" w:color="auto" w:fill="FFFFFF"/>
          <w:rtl/>
        </w:rPr>
        <w:t xml:space="preserve"> שלו</w:t>
      </w:r>
      <w:r w:rsidR="00D65E96">
        <w:rPr>
          <w:rFonts w:asciiTheme="majorBidi" w:hAnsiTheme="majorBidi" w:cs="David" w:hint="cs"/>
          <w:color w:val="000000"/>
          <w:sz w:val="24"/>
          <w:szCs w:val="24"/>
          <w:shd w:val="clear" w:color="auto" w:fill="FFFFFF"/>
          <w:rtl/>
        </w:rPr>
        <w:t xml:space="preserve"> ו</w:t>
      </w:r>
      <w:r w:rsidR="00162B1D">
        <w:rPr>
          <w:rFonts w:asciiTheme="majorBidi" w:hAnsiTheme="majorBidi" w:cs="David" w:hint="cs"/>
          <w:color w:val="000000"/>
          <w:sz w:val="24"/>
          <w:szCs w:val="24"/>
          <w:shd w:val="clear" w:color="auto" w:fill="FFFFFF"/>
          <w:rtl/>
        </w:rPr>
        <w:t xml:space="preserve">את </w:t>
      </w:r>
      <w:r w:rsidR="006055B7">
        <w:rPr>
          <w:rFonts w:asciiTheme="majorBidi" w:hAnsiTheme="majorBidi" w:cs="David" w:hint="cs"/>
          <w:color w:val="000000"/>
          <w:sz w:val="24"/>
          <w:szCs w:val="24"/>
          <w:shd w:val="clear" w:color="auto" w:fill="FFFFFF"/>
          <w:rtl/>
        </w:rPr>
        <w:t>תוצאותיו לא ניתן לצפות</w:t>
      </w:r>
      <w:r w:rsidR="00656507">
        <w:rPr>
          <w:rStyle w:val="FootnoteReference"/>
          <w:rFonts w:asciiTheme="majorBidi" w:hAnsiTheme="majorBidi" w:cs="David"/>
          <w:color w:val="000000"/>
          <w:sz w:val="24"/>
          <w:szCs w:val="24"/>
          <w:shd w:val="clear" w:color="auto" w:fill="FFFFFF"/>
          <w:rtl/>
        </w:rPr>
        <w:footnoteReference w:id="134"/>
      </w:r>
      <w:r w:rsidR="006055B7">
        <w:rPr>
          <w:rFonts w:asciiTheme="majorBidi" w:hAnsiTheme="majorBidi" w:cs="David" w:hint="cs"/>
          <w:color w:val="000000"/>
          <w:sz w:val="24"/>
          <w:szCs w:val="24"/>
          <w:shd w:val="clear" w:color="auto" w:fill="FFFFFF"/>
          <w:rtl/>
        </w:rPr>
        <w:t>. לחלופין,</w:t>
      </w:r>
      <w:r w:rsidR="00D65E96">
        <w:rPr>
          <w:rFonts w:asciiTheme="majorBidi" w:hAnsiTheme="majorBidi" w:cs="David" w:hint="cs"/>
          <w:color w:val="000000"/>
          <w:sz w:val="24"/>
          <w:szCs w:val="24"/>
          <w:shd w:val="clear" w:color="auto" w:fill="FFFFFF"/>
          <w:rtl/>
        </w:rPr>
        <w:t xml:space="preserve"> הם עשויים לטעון לזילות המוסד</w:t>
      </w:r>
      <w:r w:rsidR="006055B7">
        <w:rPr>
          <w:rFonts w:asciiTheme="majorBidi" w:hAnsiTheme="majorBidi" w:cs="David" w:hint="cs"/>
          <w:color w:val="000000"/>
          <w:sz w:val="24"/>
          <w:szCs w:val="24"/>
          <w:shd w:val="clear" w:color="auto" w:fill="FFFFFF"/>
          <w:rtl/>
        </w:rPr>
        <w:t xml:space="preserve"> או להפיכתו לריק מתוכן של ממש, ובכך לטעון כי נפגעת </w:t>
      </w:r>
      <w:r w:rsidR="00D65E96">
        <w:rPr>
          <w:rFonts w:asciiTheme="majorBidi" w:hAnsiTheme="majorBidi" w:cs="David" w:hint="cs"/>
          <w:color w:val="000000"/>
          <w:sz w:val="24"/>
          <w:szCs w:val="24"/>
          <w:shd w:val="clear" w:color="auto" w:fill="FFFFFF"/>
          <w:rtl/>
        </w:rPr>
        <w:t>תחולתו בזירות הייחודיות שעבורן עוצב.</w:t>
      </w:r>
      <w:r w:rsidR="00656507">
        <w:rPr>
          <w:rStyle w:val="FootnoteReference"/>
          <w:rFonts w:asciiTheme="majorBidi" w:hAnsiTheme="majorBidi" w:cs="David"/>
          <w:color w:val="000000"/>
          <w:sz w:val="24"/>
          <w:szCs w:val="24"/>
          <w:shd w:val="clear" w:color="auto" w:fill="FFFFFF"/>
          <w:rtl/>
        </w:rPr>
        <w:footnoteReference w:id="135"/>
      </w:r>
      <w:r w:rsidR="00CB629F">
        <w:rPr>
          <w:rFonts w:asciiTheme="majorBidi" w:hAnsiTheme="majorBidi" w:cs="David" w:hint="cs"/>
          <w:color w:val="000000"/>
          <w:sz w:val="24"/>
          <w:szCs w:val="24"/>
          <w:shd w:val="clear" w:color="auto" w:fill="FFFFFF"/>
          <w:rtl/>
        </w:rPr>
        <w:t xml:space="preserve"> </w:t>
      </w:r>
    </w:p>
    <w:p w14:paraId="38D88812" w14:textId="4D12333B" w:rsidR="00857171" w:rsidRPr="00D65E96" w:rsidRDefault="00D65E96" w:rsidP="00B9583F">
      <w:pPr>
        <w:spacing w:line="480" w:lineRule="auto"/>
        <w:jc w:val="both"/>
        <w:rPr>
          <w:rFonts w:asciiTheme="majorBidi" w:hAnsiTheme="majorBidi" w:cs="David"/>
          <w:sz w:val="24"/>
          <w:szCs w:val="24"/>
          <w:rtl/>
        </w:rPr>
      </w:pPr>
      <w:r>
        <w:rPr>
          <w:rFonts w:asciiTheme="majorBidi" w:hAnsiTheme="majorBidi" w:cs="David" w:hint="cs"/>
          <w:color w:val="000000"/>
          <w:sz w:val="24"/>
          <w:szCs w:val="24"/>
          <w:shd w:val="clear" w:color="auto" w:fill="FFFFFF"/>
          <w:rtl/>
        </w:rPr>
        <w:t>גם אם הביקורת הא</w:t>
      </w:r>
      <w:r w:rsidR="006055B7">
        <w:rPr>
          <w:rFonts w:asciiTheme="majorBidi" w:hAnsiTheme="majorBidi" w:cs="David" w:hint="cs"/>
          <w:color w:val="000000"/>
          <w:sz w:val="24"/>
          <w:szCs w:val="24"/>
          <w:shd w:val="clear" w:color="auto" w:fill="FFFFFF"/>
          <w:rtl/>
        </w:rPr>
        <w:t>מורה על שלל גווניה הצפויים</w:t>
      </w:r>
      <w:r w:rsidR="00B8074C">
        <w:rPr>
          <w:rFonts w:asciiTheme="majorBidi" w:hAnsiTheme="majorBidi" w:cs="David" w:hint="cs"/>
          <w:color w:val="000000"/>
          <w:sz w:val="24"/>
          <w:szCs w:val="24"/>
          <w:shd w:val="clear" w:color="auto" w:fill="FFFFFF"/>
          <w:rtl/>
        </w:rPr>
        <w:t>,</w:t>
      </w:r>
      <w:r w:rsidR="006055B7">
        <w:rPr>
          <w:rFonts w:asciiTheme="majorBidi" w:hAnsiTheme="majorBidi" w:cs="David" w:hint="cs"/>
          <w:color w:val="000000"/>
          <w:sz w:val="24"/>
          <w:szCs w:val="24"/>
          <w:shd w:val="clear" w:color="auto" w:fill="FFFFFF"/>
          <w:rtl/>
        </w:rPr>
        <w:t xml:space="preserve"> מוצדקת (וזאת איננה עמדתי</w:t>
      </w:r>
      <w:r w:rsidR="00B9583F">
        <w:rPr>
          <w:rFonts w:asciiTheme="majorBidi" w:hAnsiTheme="majorBidi" w:cs="David" w:hint="cs"/>
          <w:color w:val="000000"/>
          <w:sz w:val="24"/>
          <w:szCs w:val="24"/>
          <w:shd w:val="clear" w:color="auto" w:fill="FFFFFF"/>
          <w:rtl/>
        </w:rPr>
        <w:t xml:space="preserve"> כמובן</w:t>
      </w:r>
      <w:r w:rsidR="006055B7">
        <w:rPr>
          <w:rFonts w:asciiTheme="majorBidi" w:hAnsiTheme="majorBidi" w:cs="David" w:hint="cs"/>
          <w:color w:val="000000"/>
          <w:sz w:val="24"/>
          <w:szCs w:val="24"/>
          <w:shd w:val="clear" w:color="auto" w:fill="FFFFFF"/>
          <w:rtl/>
        </w:rPr>
        <w:t>)</w:t>
      </w:r>
      <w:r>
        <w:rPr>
          <w:rFonts w:asciiTheme="majorBidi" w:hAnsiTheme="majorBidi" w:cs="David" w:hint="cs"/>
          <w:color w:val="000000"/>
          <w:sz w:val="24"/>
          <w:szCs w:val="24"/>
          <w:shd w:val="clear" w:color="auto" w:fill="FFFFFF"/>
          <w:rtl/>
        </w:rPr>
        <w:t>, הרי שאין בכך כ</w:t>
      </w:r>
      <w:r w:rsidR="006055B7">
        <w:rPr>
          <w:rFonts w:asciiTheme="majorBidi" w:hAnsiTheme="majorBidi" w:cs="David" w:hint="cs"/>
          <w:color w:val="000000"/>
          <w:sz w:val="24"/>
          <w:szCs w:val="24"/>
          <w:shd w:val="clear" w:color="auto" w:fill="FFFFFF"/>
          <w:rtl/>
        </w:rPr>
        <w:t>די לאיין</w:t>
      </w:r>
      <w:r>
        <w:rPr>
          <w:rFonts w:asciiTheme="majorBidi" w:hAnsiTheme="majorBidi" w:cs="David" w:hint="cs"/>
          <w:color w:val="000000"/>
          <w:sz w:val="24"/>
          <w:szCs w:val="24"/>
          <w:shd w:val="clear" w:color="auto" w:fill="FFFFFF"/>
          <w:rtl/>
        </w:rPr>
        <w:t xml:space="preserve"> את</w:t>
      </w:r>
      <w:bookmarkStart w:id="0" w:name="_GoBack"/>
      <w:bookmarkEnd w:id="0"/>
      <w:r>
        <w:rPr>
          <w:rFonts w:asciiTheme="majorBidi" w:hAnsiTheme="majorBidi" w:cs="David" w:hint="cs"/>
          <w:color w:val="000000"/>
          <w:sz w:val="24"/>
          <w:szCs w:val="24"/>
          <w:shd w:val="clear" w:color="auto" w:fill="FFFFFF"/>
          <w:rtl/>
        </w:rPr>
        <w:t xml:space="preserve"> מהלך</w:t>
      </w:r>
      <w:r w:rsidR="006055B7">
        <w:rPr>
          <w:rFonts w:asciiTheme="majorBidi" w:hAnsiTheme="majorBidi" w:cs="David" w:hint="cs"/>
          <w:color w:val="000000"/>
          <w:sz w:val="24"/>
          <w:szCs w:val="24"/>
          <w:shd w:val="clear" w:color="auto" w:fill="FFFFFF"/>
          <w:rtl/>
        </w:rPr>
        <w:t xml:space="preserve"> הטיעון שהובא כאן. הקורא מתבקש</w:t>
      </w:r>
      <w:r>
        <w:rPr>
          <w:rFonts w:asciiTheme="majorBidi" w:hAnsiTheme="majorBidi" w:cs="David" w:hint="cs"/>
          <w:color w:val="000000"/>
          <w:sz w:val="24"/>
          <w:szCs w:val="24"/>
          <w:shd w:val="clear" w:color="auto" w:fill="FFFFFF"/>
          <w:rtl/>
        </w:rPr>
        <w:t xml:space="preserve"> לראות </w:t>
      </w:r>
      <w:r w:rsidR="00162B1D">
        <w:rPr>
          <w:rFonts w:asciiTheme="majorBidi" w:hAnsiTheme="majorBidi" w:cs="David" w:hint="cs"/>
          <w:color w:val="000000"/>
          <w:sz w:val="24"/>
          <w:szCs w:val="24"/>
          <w:shd w:val="clear" w:color="auto" w:fill="FFFFFF"/>
          <w:rtl/>
        </w:rPr>
        <w:t>בדברים שהובאו כאן</w:t>
      </w:r>
      <w:r>
        <w:rPr>
          <w:rFonts w:asciiTheme="majorBidi" w:hAnsiTheme="majorBidi" w:cs="David" w:hint="cs"/>
          <w:color w:val="000000"/>
          <w:sz w:val="24"/>
          <w:szCs w:val="24"/>
          <w:shd w:val="clear" w:color="auto" w:fill="FFFFFF"/>
          <w:rtl/>
        </w:rPr>
        <w:t xml:space="preserve"> "תרגיל מחשבתי", ראשון אי פעם, לבחינת יחסי</w:t>
      </w:r>
      <w:r w:rsidR="00B9583F">
        <w:rPr>
          <w:rFonts w:asciiTheme="majorBidi" w:hAnsiTheme="majorBidi" w:cs="David" w:hint="cs"/>
          <w:color w:val="000000"/>
          <w:sz w:val="24"/>
          <w:szCs w:val="24"/>
          <w:shd w:val="clear" w:color="auto" w:fill="FFFFFF"/>
          <w:rtl/>
        </w:rPr>
        <w:t>ם בין בני המשפחה המורכבת, יחסים שטרם זכו להכרה ולרגולציה. במקרה זה נבחרו לדיון</w:t>
      </w:r>
      <w:r>
        <w:rPr>
          <w:rFonts w:asciiTheme="majorBidi" w:hAnsiTheme="majorBidi" w:cs="David" w:hint="cs"/>
          <w:color w:val="000000"/>
          <w:sz w:val="24"/>
          <w:szCs w:val="24"/>
          <w:shd w:val="clear" w:color="auto" w:fill="FFFFFF"/>
          <w:rtl/>
        </w:rPr>
        <w:t xml:space="preserve"> </w:t>
      </w:r>
      <w:r w:rsidR="00B9583F">
        <w:rPr>
          <w:rFonts w:asciiTheme="majorBidi" w:hAnsiTheme="majorBidi" w:cs="David" w:hint="cs"/>
          <w:color w:val="000000"/>
          <w:sz w:val="24"/>
          <w:szCs w:val="24"/>
          <w:shd w:val="clear" w:color="auto" w:fill="FFFFFF"/>
          <w:rtl/>
        </w:rPr>
        <w:t xml:space="preserve">יחסי </w:t>
      </w:r>
      <w:r>
        <w:rPr>
          <w:rFonts w:asciiTheme="majorBidi" w:hAnsiTheme="majorBidi" w:cs="David" w:hint="cs"/>
          <w:color w:val="000000"/>
          <w:sz w:val="24"/>
          <w:szCs w:val="24"/>
          <w:shd w:val="clear" w:color="auto" w:fill="FFFFFF"/>
          <w:rtl/>
        </w:rPr>
        <w:t>הורה חורג-הורה</w:t>
      </w:r>
      <w:r w:rsidR="004409BB">
        <w:rPr>
          <w:rFonts w:asciiTheme="majorBidi" w:hAnsiTheme="majorBidi" w:cs="David" w:hint="cs"/>
          <w:color w:val="000000"/>
          <w:sz w:val="24"/>
          <w:szCs w:val="24"/>
          <w:shd w:val="clear" w:color="auto" w:fill="FFFFFF"/>
          <w:rtl/>
        </w:rPr>
        <w:t xml:space="preserve"> לא משמורן</w:t>
      </w:r>
      <w:r w:rsidR="00B9583F">
        <w:rPr>
          <w:rFonts w:asciiTheme="majorBidi" w:hAnsiTheme="majorBidi" w:cs="David" w:hint="cs"/>
          <w:color w:val="000000"/>
          <w:sz w:val="24"/>
          <w:szCs w:val="24"/>
          <w:shd w:val="clear" w:color="auto" w:fill="FFFFFF"/>
          <w:rtl/>
        </w:rPr>
        <w:t xml:space="preserve">, </w:t>
      </w:r>
      <w:r w:rsidR="00B9583F">
        <w:rPr>
          <w:rFonts w:asciiTheme="majorBidi" w:hAnsiTheme="majorBidi" w:cs="David" w:hint="cs"/>
          <w:sz w:val="24"/>
          <w:szCs w:val="24"/>
          <w:rtl/>
        </w:rPr>
        <w:t>אשר</w:t>
      </w:r>
      <w:r w:rsidR="00857171" w:rsidRPr="00D65E96">
        <w:rPr>
          <w:rFonts w:asciiTheme="majorBidi" w:hAnsiTheme="majorBidi" w:cs="David" w:hint="cs"/>
          <w:sz w:val="24"/>
          <w:szCs w:val="24"/>
          <w:rtl/>
        </w:rPr>
        <w:t xml:space="preserve"> </w:t>
      </w:r>
      <w:r w:rsidR="00B9583F">
        <w:rPr>
          <w:rFonts w:asciiTheme="majorBidi" w:hAnsiTheme="majorBidi" w:cs="David" w:hint="cs"/>
          <w:sz w:val="24"/>
          <w:szCs w:val="24"/>
          <w:rtl/>
        </w:rPr>
        <w:t>לא</w:t>
      </w:r>
      <w:r w:rsidR="00857171" w:rsidRPr="00D65E96">
        <w:rPr>
          <w:rFonts w:asciiTheme="majorBidi" w:hAnsiTheme="majorBidi" w:cs="David" w:hint="cs"/>
          <w:sz w:val="24"/>
          <w:szCs w:val="24"/>
          <w:rtl/>
        </w:rPr>
        <w:t xml:space="preserve"> הוכרו פורמלית במשפט, על אף שהיקפם במציאות הולך וגדל. גם אם תדחה האפשרות להחלת דיני האמונאות</w:t>
      </w:r>
      <w:r w:rsidR="00B20A07">
        <w:rPr>
          <w:rFonts w:asciiTheme="majorBidi" w:hAnsiTheme="majorBidi" w:cs="David" w:hint="cs"/>
          <w:sz w:val="24"/>
          <w:szCs w:val="24"/>
          <w:rtl/>
        </w:rPr>
        <w:t xml:space="preserve"> בהקשר זה</w:t>
      </w:r>
      <w:r w:rsidR="00857171" w:rsidRPr="00D65E96">
        <w:rPr>
          <w:rFonts w:asciiTheme="majorBidi" w:hAnsiTheme="majorBidi" w:cs="David" w:hint="cs"/>
          <w:sz w:val="24"/>
          <w:szCs w:val="24"/>
          <w:rtl/>
        </w:rPr>
        <w:t xml:space="preserve">, הרי שהמסר הנורמטיבי שאבקש להותיר אצל הקורא הינו המסר הבא: הצבת יחסי </w:t>
      </w:r>
      <w:r>
        <w:rPr>
          <w:rFonts w:asciiTheme="majorBidi" w:hAnsiTheme="majorBidi" w:cs="David" w:hint="cs"/>
          <w:sz w:val="24"/>
          <w:szCs w:val="24"/>
          <w:rtl/>
        </w:rPr>
        <w:t>הורה חורג-הורה</w:t>
      </w:r>
      <w:r w:rsidR="00857171" w:rsidRPr="00D65E96">
        <w:rPr>
          <w:rFonts w:asciiTheme="majorBidi" w:hAnsiTheme="majorBidi" w:cs="David" w:hint="cs"/>
          <w:sz w:val="24"/>
          <w:szCs w:val="24"/>
          <w:rtl/>
        </w:rPr>
        <w:t xml:space="preserve"> </w:t>
      </w:r>
      <w:r w:rsidR="004409BB">
        <w:rPr>
          <w:rFonts w:asciiTheme="majorBidi" w:hAnsiTheme="majorBidi" w:cs="David" w:hint="cs"/>
          <w:sz w:val="24"/>
          <w:szCs w:val="24"/>
          <w:rtl/>
        </w:rPr>
        <w:t xml:space="preserve">לא משמורן </w:t>
      </w:r>
      <w:r w:rsidR="00857171" w:rsidRPr="00D65E96">
        <w:rPr>
          <w:rFonts w:asciiTheme="majorBidi" w:hAnsiTheme="majorBidi" w:cs="David" w:hint="cs"/>
          <w:sz w:val="24"/>
          <w:szCs w:val="24"/>
          <w:rtl/>
        </w:rPr>
        <w:t xml:space="preserve">לצד דיני אמונאות נועדה </w:t>
      </w:r>
      <w:r w:rsidR="00771437">
        <w:rPr>
          <w:rFonts w:asciiTheme="majorBidi" w:hAnsiTheme="majorBidi" w:cs="David" w:hint="cs"/>
          <w:sz w:val="24"/>
          <w:szCs w:val="24"/>
          <w:rtl/>
        </w:rPr>
        <w:t>לסמל</w:t>
      </w:r>
      <w:r w:rsidR="00602AC9">
        <w:rPr>
          <w:rFonts w:asciiTheme="majorBidi" w:hAnsiTheme="majorBidi" w:cs="David" w:hint="cs"/>
          <w:sz w:val="24"/>
          <w:szCs w:val="24"/>
          <w:rtl/>
        </w:rPr>
        <w:t xml:space="preserve"> כי יחסי</w:t>
      </w:r>
      <w:r w:rsidR="00857171" w:rsidRPr="00D65E96">
        <w:rPr>
          <w:rFonts w:asciiTheme="majorBidi" w:hAnsiTheme="majorBidi" w:cs="David" w:hint="cs"/>
          <w:sz w:val="24"/>
          <w:szCs w:val="24"/>
          <w:rtl/>
        </w:rPr>
        <w:t xml:space="preserve">ם </w:t>
      </w:r>
      <w:r w:rsidR="00602AC9">
        <w:rPr>
          <w:rFonts w:asciiTheme="majorBidi" w:hAnsiTheme="majorBidi" w:cs="David" w:hint="cs"/>
          <w:sz w:val="24"/>
          <w:szCs w:val="24"/>
          <w:rtl/>
        </w:rPr>
        <w:t xml:space="preserve">אלה הם </w:t>
      </w:r>
      <w:r w:rsidR="00857171" w:rsidRPr="00D65E96">
        <w:rPr>
          <w:rFonts w:asciiTheme="majorBidi" w:hAnsiTheme="majorBidi" w:cs="David" w:hint="cs"/>
          <w:sz w:val="24"/>
          <w:szCs w:val="24"/>
          <w:rtl/>
        </w:rPr>
        <w:t xml:space="preserve">בעלי חשיבות גבוהה. כיחסים שחשיבותם להורים, לילדים ולחברה בכללותה, רבה, הם נדרשים </w:t>
      </w:r>
      <w:r w:rsidR="00615E4D">
        <w:rPr>
          <w:rFonts w:asciiTheme="majorBidi" w:hAnsiTheme="majorBidi" w:cs="David" w:hint="cs"/>
          <w:sz w:val="24"/>
          <w:szCs w:val="24"/>
          <w:rtl/>
        </w:rPr>
        <w:t>לטיפול</w:t>
      </w:r>
      <w:r w:rsidR="00857171" w:rsidRPr="00D65E96">
        <w:rPr>
          <w:rFonts w:asciiTheme="majorBidi" w:hAnsiTheme="majorBidi" w:cs="David" w:hint="cs"/>
          <w:sz w:val="24"/>
          <w:szCs w:val="24"/>
          <w:rtl/>
        </w:rPr>
        <w:t xml:space="preserve"> משפטי, לטיפוח ולהגנה. </w:t>
      </w:r>
      <w:r w:rsidR="00543F9F">
        <w:rPr>
          <w:rFonts w:asciiTheme="majorBidi" w:hAnsiTheme="majorBidi" w:cs="David" w:hint="cs"/>
          <w:sz w:val="24"/>
          <w:szCs w:val="24"/>
          <w:rtl/>
        </w:rPr>
        <w:t>האמונאות הינה צורה אחת לחתור לתוצאה האמורה.</w:t>
      </w:r>
      <w:r w:rsidR="00857171" w:rsidRPr="00D65E96">
        <w:rPr>
          <w:rFonts w:asciiTheme="majorBidi" w:hAnsiTheme="majorBidi" w:cs="David" w:hint="cs"/>
          <w:sz w:val="24"/>
          <w:szCs w:val="24"/>
          <w:rtl/>
        </w:rPr>
        <w:t xml:space="preserve"> </w:t>
      </w:r>
    </w:p>
    <w:p w14:paraId="65E8E278" w14:textId="5CA8E999" w:rsidR="002202AF" w:rsidRDefault="00B20A07" w:rsidP="002202AF">
      <w:pPr>
        <w:spacing w:line="480" w:lineRule="auto"/>
        <w:jc w:val="both"/>
        <w:rPr>
          <w:rFonts w:asciiTheme="majorBidi" w:hAnsiTheme="majorBidi" w:cs="David" w:hint="cs"/>
          <w:color w:val="000000"/>
          <w:sz w:val="24"/>
          <w:szCs w:val="24"/>
          <w:shd w:val="clear" w:color="auto" w:fill="FFFFFF"/>
          <w:rtl/>
        </w:rPr>
      </w:pPr>
      <w:r>
        <w:rPr>
          <w:rFonts w:asciiTheme="majorBidi" w:hAnsiTheme="majorBidi" w:cs="David" w:hint="cs"/>
          <w:color w:val="000000"/>
          <w:sz w:val="24"/>
          <w:szCs w:val="24"/>
          <w:shd w:val="clear" w:color="auto" w:fill="FFFFFF"/>
          <w:rtl/>
        </w:rPr>
        <w:t xml:space="preserve">במובן זה, </w:t>
      </w:r>
      <w:r w:rsidR="001179A4">
        <w:rPr>
          <w:rFonts w:asciiTheme="majorBidi" w:hAnsiTheme="majorBidi" w:cs="David" w:hint="cs"/>
          <w:color w:val="000000"/>
          <w:sz w:val="24"/>
          <w:szCs w:val="24"/>
          <w:shd w:val="clear" w:color="auto" w:fill="FFFFFF"/>
          <w:rtl/>
        </w:rPr>
        <w:t>גם אם ידחה הקורא את ההליכה בנתיב האמונאות, ישמש ה</w:t>
      </w:r>
      <w:r w:rsidR="00857171">
        <w:rPr>
          <w:rFonts w:asciiTheme="majorBidi" w:hAnsiTheme="majorBidi" w:cs="David" w:hint="cs"/>
          <w:color w:val="000000"/>
          <w:sz w:val="24"/>
          <w:szCs w:val="24"/>
          <w:shd w:val="clear" w:color="auto" w:fill="FFFFFF"/>
          <w:rtl/>
        </w:rPr>
        <w:t>מ</w:t>
      </w:r>
      <w:r w:rsidR="001179A4">
        <w:rPr>
          <w:rFonts w:asciiTheme="majorBidi" w:hAnsiTheme="majorBidi" w:cs="David" w:hint="cs"/>
          <w:color w:val="000000"/>
          <w:sz w:val="24"/>
          <w:szCs w:val="24"/>
          <w:shd w:val="clear" w:color="auto" w:fill="FFFFFF"/>
          <w:rtl/>
        </w:rPr>
        <w:t>אמר כתשתית</w:t>
      </w:r>
      <w:r w:rsidR="00857171">
        <w:rPr>
          <w:rFonts w:asciiTheme="majorBidi" w:hAnsiTheme="majorBidi" w:cs="David" w:hint="cs"/>
          <w:color w:val="000000"/>
          <w:sz w:val="24"/>
          <w:szCs w:val="24"/>
          <w:shd w:val="clear" w:color="auto" w:fill="FFFFFF"/>
          <w:rtl/>
        </w:rPr>
        <w:t xml:space="preserve"> ראשונה</w:t>
      </w:r>
      <w:r w:rsidR="001179A4">
        <w:rPr>
          <w:rFonts w:asciiTheme="majorBidi" w:hAnsiTheme="majorBidi" w:cs="David" w:hint="cs"/>
          <w:color w:val="000000"/>
          <w:sz w:val="24"/>
          <w:szCs w:val="24"/>
          <w:shd w:val="clear" w:color="auto" w:fill="FFFFFF"/>
          <w:rtl/>
        </w:rPr>
        <w:t xml:space="preserve"> לחשיבה על מהות היחסים</w:t>
      </w:r>
      <w:r w:rsidR="00857171">
        <w:rPr>
          <w:rFonts w:asciiTheme="majorBidi" w:hAnsiTheme="majorBidi" w:cs="David" w:hint="cs"/>
          <w:color w:val="000000"/>
          <w:sz w:val="24"/>
          <w:szCs w:val="24"/>
          <w:shd w:val="clear" w:color="auto" w:fill="FFFFFF"/>
          <w:rtl/>
        </w:rPr>
        <w:t xml:space="preserve"> שבין הורה חורג להורה: על מורכבותם, חשיבותם להורים</w:t>
      </w:r>
      <w:r w:rsidR="001179A4">
        <w:rPr>
          <w:rFonts w:asciiTheme="majorBidi" w:hAnsiTheme="majorBidi" w:cs="David" w:hint="cs"/>
          <w:color w:val="000000"/>
          <w:sz w:val="24"/>
          <w:szCs w:val="24"/>
          <w:shd w:val="clear" w:color="auto" w:fill="FFFFFF"/>
          <w:rtl/>
        </w:rPr>
        <w:t>, לילד אשר מצוי</w:t>
      </w:r>
      <w:r w:rsidR="00B70868">
        <w:rPr>
          <w:rFonts w:asciiTheme="majorBidi" w:hAnsiTheme="majorBidi" w:cs="David" w:hint="cs"/>
          <w:color w:val="000000"/>
          <w:sz w:val="24"/>
          <w:szCs w:val="24"/>
          <w:shd w:val="clear" w:color="auto" w:fill="FFFFFF"/>
          <w:rtl/>
        </w:rPr>
        <w:t xml:space="preserve"> בתווך ולזירה המשפחתית בכללותה; כתשתית להכרה ב"תפקיד" של ההורה החורג כלפי ההורה</w:t>
      </w:r>
      <w:r w:rsidR="00D42771">
        <w:rPr>
          <w:rFonts w:asciiTheme="majorBidi" w:hAnsiTheme="majorBidi" w:cs="David" w:hint="cs"/>
          <w:color w:val="000000"/>
          <w:sz w:val="24"/>
          <w:szCs w:val="24"/>
          <w:shd w:val="clear" w:color="auto" w:fill="FFFFFF"/>
          <w:rtl/>
        </w:rPr>
        <w:t xml:space="preserve"> הלא משמורן</w:t>
      </w:r>
      <w:r w:rsidR="00B70868">
        <w:rPr>
          <w:rFonts w:asciiTheme="majorBidi" w:hAnsiTheme="majorBidi" w:cs="David" w:hint="cs"/>
          <w:color w:val="000000"/>
          <w:sz w:val="24"/>
          <w:szCs w:val="24"/>
          <w:shd w:val="clear" w:color="auto" w:fill="FFFFFF"/>
          <w:rtl/>
        </w:rPr>
        <w:t>; ו</w:t>
      </w:r>
      <w:r w:rsidR="00D65E96">
        <w:rPr>
          <w:rFonts w:asciiTheme="majorBidi" w:hAnsiTheme="majorBidi" w:cs="David" w:hint="cs"/>
          <w:color w:val="000000"/>
          <w:sz w:val="24"/>
          <w:szCs w:val="24"/>
          <w:shd w:val="clear" w:color="auto" w:fill="FFFFFF"/>
          <w:rtl/>
        </w:rPr>
        <w:t xml:space="preserve">כבסיס להכרה במשפטיות הקשר </w:t>
      </w:r>
      <w:r w:rsidR="00162B1D">
        <w:rPr>
          <w:rFonts w:asciiTheme="majorBidi" w:hAnsiTheme="majorBidi" w:cs="David" w:hint="cs"/>
          <w:color w:val="000000"/>
          <w:sz w:val="24"/>
          <w:szCs w:val="24"/>
          <w:shd w:val="clear" w:color="auto" w:fill="FFFFFF"/>
          <w:rtl/>
        </w:rPr>
        <w:t>כקשר משפחתי</w:t>
      </w:r>
      <w:r w:rsidR="00B70868">
        <w:rPr>
          <w:rFonts w:asciiTheme="majorBidi" w:hAnsiTheme="majorBidi" w:cs="David" w:hint="cs"/>
          <w:color w:val="000000"/>
          <w:sz w:val="24"/>
          <w:szCs w:val="24"/>
          <w:shd w:val="clear" w:color="auto" w:fill="FFFFFF"/>
          <w:rtl/>
        </w:rPr>
        <w:t xml:space="preserve"> (או </w:t>
      </w:r>
      <w:r w:rsidR="00656507">
        <w:rPr>
          <w:rFonts w:asciiTheme="majorBidi" w:hAnsiTheme="majorBidi" w:cs="David" w:hint="cs"/>
          <w:color w:val="000000"/>
          <w:sz w:val="24"/>
          <w:szCs w:val="24"/>
          <w:shd w:val="clear" w:color="auto" w:fill="FFFFFF"/>
          <w:rtl/>
        </w:rPr>
        <w:t>"</w:t>
      </w:r>
      <w:r w:rsidR="00B70868">
        <w:rPr>
          <w:rFonts w:asciiTheme="majorBidi" w:hAnsiTheme="majorBidi" w:cs="David" w:hint="cs"/>
          <w:color w:val="000000"/>
          <w:sz w:val="24"/>
          <w:szCs w:val="24"/>
          <w:shd w:val="clear" w:color="auto" w:fill="FFFFFF"/>
          <w:rtl/>
        </w:rPr>
        <w:t>תפקיד</w:t>
      </w:r>
      <w:r w:rsidR="00656507">
        <w:rPr>
          <w:rFonts w:asciiTheme="majorBidi" w:hAnsiTheme="majorBidi" w:cs="David" w:hint="cs"/>
          <w:color w:val="000000"/>
          <w:sz w:val="24"/>
          <w:szCs w:val="24"/>
          <w:shd w:val="clear" w:color="auto" w:fill="FFFFFF"/>
          <w:rtl/>
        </w:rPr>
        <w:t>"</w:t>
      </w:r>
      <w:r w:rsidR="00B70868">
        <w:rPr>
          <w:rFonts w:asciiTheme="majorBidi" w:hAnsiTheme="majorBidi" w:cs="David" w:hint="cs"/>
          <w:color w:val="000000"/>
          <w:sz w:val="24"/>
          <w:szCs w:val="24"/>
          <w:shd w:val="clear" w:color="auto" w:fill="FFFFFF"/>
          <w:rtl/>
        </w:rPr>
        <w:t xml:space="preserve"> משפחתי)</w:t>
      </w:r>
      <w:r w:rsidR="00162B1D">
        <w:rPr>
          <w:rFonts w:asciiTheme="majorBidi" w:hAnsiTheme="majorBidi" w:cs="David" w:hint="cs"/>
          <w:color w:val="000000"/>
          <w:sz w:val="24"/>
          <w:szCs w:val="24"/>
          <w:shd w:val="clear" w:color="auto" w:fill="FFFFFF"/>
          <w:rtl/>
        </w:rPr>
        <w:t xml:space="preserve"> </w:t>
      </w:r>
      <w:r w:rsidR="00D65E96">
        <w:rPr>
          <w:rFonts w:asciiTheme="majorBidi" w:hAnsiTheme="majorBidi" w:cs="David" w:hint="cs"/>
          <w:color w:val="000000"/>
          <w:sz w:val="24"/>
          <w:szCs w:val="24"/>
          <w:shd w:val="clear" w:color="auto" w:fill="FFFFFF"/>
          <w:rtl/>
        </w:rPr>
        <w:t>וכניסיון ראשון לאסדרה שלו.</w:t>
      </w:r>
      <w:r w:rsidR="00543F9F">
        <w:rPr>
          <w:rFonts w:asciiTheme="majorBidi" w:hAnsiTheme="majorBidi" w:cs="David" w:hint="cs"/>
          <w:color w:val="000000"/>
          <w:sz w:val="24"/>
          <w:szCs w:val="24"/>
          <w:shd w:val="clear" w:color="auto" w:fill="FFFFFF"/>
          <w:rtl/>
        </w:rPr>
        <w:t xml:space="preserve"> </w:t>
      </w:r>
      <w:r w:rsidR="00162B1D">
        <w:rPr>
          <w:rFonts w:asciiTheme="majorBidi" w:hAnsiTheme="majorBidi" w:cs="David" w:hint="cs"/>
          <w:color w:val="000000"/>
          <w:sz w:val="24"/>
          <w:szCs w:val="24"/>
          <w:shd w:val="clear" w:color="auto" w:fill="FFFFFF"/>
          <w:rtl/>
        </w:rPr>
        <w:t xml:space="preserve">להמשגה שלו כקשר משפחתי הראוי להכרה משפטית, יש ערך סימבולי חשוב. מעבר להסדר כזה או אחר שיקבע לו בדין, הרי שהכרה זאת מאותת </w:t>
      </w:r>
      <w:r w:rsidR="00543F9F">
        <w:rPr>
          <w:rFonts w:asciiTheme="majorBidi" w:hAnsiTheme="majorBidi" w:cs="David" w:hint="cs"/>
          <w:color w:val="000000"/>
          <w:sz w:val="24"/>
          <w:szCs w:val="24"/>
          <w:shd w:val="clear" w:color="auto" w:fill="FFFFFF"/>
          <w:rtl/>
        </w:rPr>
        <w:t>מהי</w:t>
      </w:r>
      <w:r w:rsidR="00162B1D">
        <w:rPr>
          <w:rFonts w:asciiTheme="majorBidi" w:hAnsiTheme="majorBidi" w:cs="David" w:hint="cs"/>
          <w:color w:val="000000"/>
          <w:sz w:val="24"/>
          <w:szCs w:val="24"/>
          <w:shd w:val="clear" w:color="auto" w:fill="FFFFFF"/>
          <w:rtl/>
        </w:rPr>
        <w:t xml:space="preserve"> הצפייה החברתית מקשר זה.</w:t>
      </w:r>
      <w:r w:rsidR="00B70868">
        <w:rPr>
          <w:rFonts w:asciiTheme="majorBidi" w:hAnsiTheme="majorBidi" w:cs="David" w:hint="cs"/>
          <w:color w:val="000000"/>
          <w:sz w:val="24"/>
          <w:szCs w:val="24"/>
          <w:shd w:val="clear" w:color="auto" w:fill="FFFFFF"/>
          <w:rtl/>
        </w:rPr>
        <w:t xml:space="preserve"> כפי שכותבת</w:t>
      </w:r>
      <w:r w:rsidR="00B70868">
        <w:t xml:space="preserve">Merle Weiner </w:t>
      </w:r>
      <w:r w:rsidR="002202AF">
        <w:rPr>
          <w:rFonts w:asciiTheme="majorBidi" w:hAnsiTheme="majorBidi" w:cs="David" w:hint="cs"/>
          <w:color w:val="000000"/>
          <w:sz w:val="24"/>
          <w:szCs w:val="24"/>
          <w:shd w:val="clear" w:color="auto" w:fill="FFFFFF"/>
          <w:rtl/>
        </w:rPr>
        <w:t xml:space="preserve"> בהשראת הרעיונות של הסוציולוג </w:t>
      </w:r>
      <w:r w:rsidR="002202AF">
        <w:rPr>
          <w:rFonts w:asciiTheme="majorBidi" w:hAnsiTheme="majorBidi" w:cs="David"/>
          <w:color w:val="000000"/>
          <w:sz w:val="24"/>
          <w:szCs w:val="24"/>
          <w:shd w:val="clear" w:color="auto" w:fill="FFFFFF"/>
        </w:rPr>
        <w:t xml:space="preserve">Sheldon Stryker  </w:t>
      </w:r>
      <w:r w:rsidR="00EE6FB5">
        <w:rPr>
          <w:rFonts w:asciiTheme="majorBidi" w:hAnsiTheme="majorBidi" w:cs="David" w:hint="cs"/>
          <w:color w:val="000000"/>
          <w:sz w:val="24"/>
          <w:szCs w:val="24"/>
          <w:shd w:val="clear" w:color="auto" w:fill="FFFFFF"/>
          <w:rtl/>
        </w:rPr>
        <w:t>:</w:t>
      </w:r>
    </w:p>
    <w:p w14:paraId="3244FDD2" w14:textId="77777777" w:rsidR="00D65E96" w:rsidRPr="002202AF" w:rsidRDefault="002202AF" w:rsidP="002202AF">
      <w:pPr>
        <w:bidi w:val="0"/>
        <w:spacing w:line="480" w:lineRule="auto"/>
        <w:jc w:val="both"/>
        <w:rPr>
          <w:rFonts w:asciiTheme="majorBidi" w:hAnsiTheme="majorBidi" w:cstheme="majorBidi"/>
          <w:color w:val="000000"/>
          <w:sz w:val="24"/>
          <w:szCs w:val="24"/>
          <w:shd w:val="clear" w:color="auto" w:fill="FFFFFF"/>
        </w:rPr>
      </w:pPr>
      <w:r w:rsidRPr="002202AF">
        <w:rPr>
          <w:rStyle w:val="A6"/>
          <w:rFonts w:asciiTheme="majorBidi" w:hAnsiTheme="majorBidi" w:cstheme="majorBidi"/>
          <w:sz w:val="24"/>
          <w:szCs w:val="24"/>
        </w:rPr>
        <w:t>"The law has an important part to play in creating, defining, and reinforcing the social role, although adjudication would not be the primary method for conveying the normative framework. “Identity theory,” a sociological concept, explains how the new legal status could affect behavior on a grand scale. People define, perform, and prioritize a social role in large part based on their interactions with others and how others see that role</w:t>
      </w:r>
      <w:r w:rsidRPr="002202AF">
        <w:rPr>
          <w:rFonts w:asciiTheme="majorBidi" w:hAnsiTheme="majorBidi" w:cstheme="majorBidi"/>
          <w:color w:val="000000"/>
          <w:sz w:val="24"/>
          <w:szCs w:val="24"/>
          <w:shd w:val="clear" w:color="auto" w:fill="FFFFFF"/>
        </w:rPr>
        <w:t>."</w:t>
      </w:r>
      <w:r w:rsidRPr="002202AF">
        <w:rPr>
          <w:rStyle w:val="FootnoteReference"/>
          <w:rFonts w:asciiTheme="majorBidi" w:hAnsiTheme="majorBidi" w:cstheme="majorBidi"/>
          <w:color w:val="000000"/>
          <w:sz w:val="24"/>
          <w:szCs w:val="24"/>
          <w:shd w:val="clear" w:color="auto" w:fill="FFFFFF"/>
          <w:rtl/>
        </w:rPr>
        <w:t xml:space="preserve"> </w:t>
      </w:r>
      <w:r w:rsidRPr="002202AF">
        <w:rPr>
          <w:rStyle w:val="FootnoteReference"/>
          <w:rFonts w:asciiTheme="majorBidi" w:hAnsiTheme="majorBidi" w:cstheme="majorBidi"/>
          <w:color w:val="000000"/>
          <w:sz w:val="24"/>
          <w:szCs w:val="24"/>
          <w:shd w:val="clear" w:color="auto" w:fill="FFFFFF"/>
          <w:rtl/>
        </w:rPr>
        <w:footnoteReference w:id="136"/>
      </w:r>
    </w:p>
    <w:p w14:paraId="3659E909" w14:textId="77777777" w:rsidR="00000331" w:rsidRDefault="00000331" w:rsidP="00656507">
      <w:pPr>
        <w:spacing w:line="480" w:lineRule="auto"/>
        <w:jc w:val="both"/>
        <w:rPr>
          <w:rFonts w:asciiTheme="majorBidi" w:hAnsiTheme="majorBidi" w:cs="David"/>
          <w:color w:val="000000"/>
          <w:sz w:val="24"/>
          <w:szCs w:val="24"/>
          <w:shd w:val="clear" w:color="auto" w:fill="FFFFFF"/>
          <w:rtl/>
        </w:rPr>
      </w:pPr>
      <w:r w:rsidRPr="00656507">
        <w:rPr>
          <w:rFonts w:asciiTheme="majorBidi" w:hAnsiTheme="majorBidi" w:cs="David" w:hint="cs"/>
          <w:sz w:val="24"/>
          <w:szCs w:val="24"/>
          <w:rtl/>
        </w:rPr>
        <w:t>במובן זה תרומה אפשרית נוספת של המאמר הינה בעיצוב נורמות התנהגות מצופות מבני המשפחה המורכבת, נורמות שעד היום לא דובר בהן</w:t>
      </w:r>
      <w:r w:rsidR="00840532" w:rsidRPr="00656507">
        <w:rPr>
          <w:rFonts w:asciiTheme="majorBidi" w:hAnsiTheme="majorBidi" w:cs="David" w:hint="cs"/>
          <w:sz w:val="24"/>
          <w:szCs w:val="24"/>
          <w:rtl/>
        </w:rPr>
        <w:t xml:space="preserve"> מספיק</w:t>
      </w:r>
      <w:r w:rsidRPr="00656507">
        <w:rPr>
          <w:rFonts w:asciiTheme="majorBidi" w:hAnsiTheme="majorBidi" w:cs="David" w:hint="cs"/>
          <w:sz w:val="24"/>
          <w:szCs w:val="24"/>
          <w:rtl/>
        </w:rPr>
        <w:t>.</w:t>
      </w:r>
      <w:r w:rsidRPr="00656507">
        <w:rPr>
          <w:rStyle w:val="FootnoteReference"/>
          <w:rFonts w:asciiTheme="majorBidi" w:hAnsiTheme="majorBidi" w:cs="David"/>
          <w:sz w:val="24"/>
          <w:szCs w:val="24"/>
          <w:rtl/>
        </w:rPr>
        <w:footnoteReference w:id="137"/>
      </w:r>
    </w:p>
    <w:p w14:paraId="324DC7B3" w14:textId="0BC843C9" w:rsidR="00B9583F" w:rsidRPr="002202AF" w:rsidRDefault="00B9583F" w:rsidP="00E108CA">
      <w:pPr>
        <w:spacing w:line="480" w:lineRule="auto"/>
        <w:jc w:val="both"/>
        <w:rPr>
          <w:rFonts w:asciiTheme="majorBidi" w:hAnsiTheme="majorBidi" w:cs="David"/>
          <w:color w:val="000000"/>
          <w:sz w:val="24"/>
          <w:szCs w:val="24"/>
          <w:shd w:val="clear" w:color="auto" w:fill="FFFFFF"/>
          <w:rtl/>
        </w:rPr>
      </w:pPr>
      <w:r>
        <w:rPr>
          <w:rFonts w:asciiTheme="majorBidi" w:hAnsiTheme="majorBidi" w:cs="David" w:hint="cs"/>
          <w:color w:val="000000"/>
          <w:sz w:val="24"/>
          <w:szCs w:val="24"/>
          <w:shd w:val="clear" w:color="auto" w:fill="FFFFFF"/>
          <w:rtl/>
        </w:rPr>
        <w:t>מצד שני, וככל שהקורא השתכנע ממהלך הטיעון ומן הניתוח</w:t>
      </w:r>
      <w:r w:rsidR="002345C9">
        <w:rPr>
          <w:rFonts w:asciiTheme="majorBidi" w:hAnsiTheme="majorBidi" w:cs="David" w:hint="cs"/>
          <w:color w:val="000000"/>
          <w:sz w:val="24"/>
          <w:szCs w:val="24"/>
          <w:shd w:val="clear" w:color="auto" w:fill="FFFFFF"/>
          <w:rtl/>
        </w:rPr>
        <w:t xml:space="preserve"> שהוצע ל</w:t>
      </w:r>
      <w:r>
        <w:rPr>
          <w:rFonts w:asciiTheme="majorBidi" w:hAnsiTheme="majorBidi" w:cs="David" w:hint="cs"/>
          <w:color w:val="000000"/>
          <w:sz w:val="24"/>
          <w:szCs w:val="24"/>
          <w:shd w:val="clear" w:color="auto" w:fill="FFFFFF"/>
          <w:rtl/>
        </w:rPr>
        <w:t xml:space="preserve">דיני </w:t>
      </w:r>
      <w:r w:rsidR="00E108CA">
        <w:rPr>
          <w:rFonts w:asciiTheme="majorBidi" w:hAnsiTheme="majorBidi" w:cs="David" w:hint="cs"/>
          <w:color w:val="000000"/>
          <w:sz w:val="24"/>
          <w:szCs w:val="24"/>
          <w:shd w:val="clear" w:color="auto" w:fill="FFFFFF"/>
          <w:rtl/>
        </w:rPr>
        <w:t>האמונאות, הרי שההצצה ליחסי הורה</w:t>
      </w:r>
      <w:r>
        <w:rPr>
          <w:rFonts w:asciiTheme="majorBidi" w:hAnsiTheme="majorBidi" w:cs="David" w:hint="cs"/>
          <w:color w:val="000000"/>
          <w:sz w:val="24"/>
          <w:szCs w:val="24"/>
          <w:shd w:val="clear" w:color="auto" w:fill="FFFFFF"/>
          <w:rtl/>
        </w:rPr>
        <w:t xml:space="preserve"> חורג</w:t>
      </w:r>
      <w:r w:rsidR="00E108CA">
        <w:rPr>
          <w:rFonts w:asciiTheme="majorBidi" w:hAnsiTheme="majorBidi" w:cs="David" w:hint="cs"/>
          <w:color w:val="000000"/>
          <w:sz w:val="24"/>
          <w:szCs w:val="24"/>
          <w:shd w:val="clear" w:color="auto" w:fill="FFFFFF"/>
          <w:rtl/>
        </w:rPr>
        <w:t>-הורה לא משמורן</w:t>
      </w:r>
      <w:r>
        <w:rPr>
          <w:rFonts w:asciiTheme="majorBidi" w:hAnsiTheme="majorBidi" w:cs="David" w:hint="cs"/>
          <w:color w:val="000000"/>
          <w:sz w:val="24"/>
          <w:szCs w:val="24"/>
          <w:shd w:val="clear" w:color="auto" w:fill="FFFFFF"/>
          <w:rtl/>
        </w:rPr>
        <w:t xml:space="preserve"> שמאמר זה מספק, הינה רק </w:t>
      </w:r>
      <w:r w:rsidR="00F36343">
        <w:rPr>
          <w:rFonts w:asciiTheme="majorBidi" w:hAnsiTheme="majorBidi" w:cs="David" w:hint="cs"/>
          <w:color w:val="000000"/>
          <w:sz w:val="24"/>
          <w:szCs w:val="24"/>
          <w:shd w:val="clear" w:color="auto" w:fill="FFFFFF"/>
          <w:rtl/>
        </w:rPr>
        <w:t>דוגמה אחת לשימוש אפשרי בתשתית</w:t>
      </w:r>
      <w:r w:rsidR="00096597">
        <w:rPr>
          <w:rFonts w:asciiTheme="majorBidi" w:hAnsiTheme="majorBidi" w:cs="David" w:hint="cs"/>
          <w:color w:val="000000"/>
          <w:sz w:val="24"/>
          <w:szCs w:val="24"/>
          <w:shd w:val="clear" w:color="auto" w:fill="FFFFFF"/>
          <w:rtl/>
        </w:rPr>
        <w:t xml:space="preserve"> התיאורטית</w:t>
      </w:r>
      <w:r w:rsidR="00F36343">
        <w:rPr>
          <w:rFonts w:asciiTheme="majorBidi" w:hAnsiTheme="majorBidi" w:cs="David" w:hint="cs"/>
          <w:color w:val="000000"/>
          <w:sz w:val="24"/>
          <w:szCs w:val="24"/>
          <w:shd w:val="clear" w:color="auto" w:fill="FFFFFF"/>
          <w:rtl/>
        </w:rPr>
        <w:t xml:space="preserve"> שדיני האמונאות מציעים ל</w:t>
      </w:r>
      <w:r w:rsidR="00096597">
        <w:rPr>
          <w:rFonts w:asciiTheme="majorBidi" w:hAnsiTheme="majorBidi" w:cs="David" w:hint="cs"/>
          <w:color w:val="000000"/>
          <w:sz w:val="24"/>
          <w:szCs w:val="24"/>
          <w:shd w:val="clear" w:color="auto" w:fill="FFFFFF"/>
          <w:rtl/>
        </w:rPr>
        <w:t xml:space="preserve">פיתוח </w:t>
      </w:r>
      <w:r w:rsidR="00F36343">
        <w:rPr>
          <w:rFonts w:asciiTheme="majorBidi" w:hAnsiTheme="majorBidi" w:cs="David" w:hint="cs"/>
          <w:color w:val="000000"/>
          <w:sz w:val="24"/>
          <w:szCs w:val="24"/>
          <w:shd w:val="clear" w:color="auto" w:fill="FFFFFF"/>
          <w:rtl/>
        </w:rPr>
        <w:t>דיני המשפחה. זיקות אחרות</w:t>
      </w:r>
      <w:r w:rsidR="00096597">
        <w:rPr>
          <w:rFonts w:asciiTheme="majorBidi" w:hAnsiTheme="majorBidi" w:cs="David" w:hint="cs"/>
          <w:color w:val="000000"/>
          <w:sz w:val="24"/>
          <w:szCs w:val="24"/>
          <w:shd w:val="clear" w:color="auto" w:fill="FFFFFF"/>
          <w:rtl/>
        </w:rPr>
        <w:t xml:space="preserve">, חלקן מוכרות במידה זו או אחרת בדיני המשפחה הקלאסיים, לדוגמה יחסי בני זוג לשעבר, וזיקות שטרם הוכרו, למשל בין </w:t>
      </w:r>
      <w:r w:rsidR="00096597">
        <w:rPr>
          <w:rFonts w:asciiTheme="majorBidi" w:hAnsiTheme="majorBidi" w:cs="David"/>
          <w:color w:val="000000"/>
          <w:sz w:val="24"/>
          <w:szCs w:val="24"/>
          <w:shd w:val="clear" w:color="auto" w:fill="FFFFFF"/>
        </w:rPr>
        <w:t>donor siblings or donor offspring and donor parents</w:t>
      </w:r>
      <w:r w:rsidR="00656507">
        <w:rPr>
          <w:rStyle w:val="FootnoteReference"/>
          <w:rFonts w:asciiTheme="majorBidi" w:hAnsiTheme="majorBidi" w:cs="David"/>
          <w:color w:val="000000"/>
          <w:sz w:val="24"/>
          <w:szCs w:val="24"/>
          <w:shd w:val="clear" w:color="auto" w:fill="FFFFFF"/>
          <w:rtl/>
        </w:rPr>
        <w:footnoteReference w:id="138"/>
      </w:r>
      <w:r w:rsidR="00F36343">
        <w:rPr>
          <w:rFonts w:asciiTheme="majorBidi" w:hAnsiTheme="majorBidi" w:cs="David" w:hint="cs"/>
          <w:color w:val="000000"/>
          <w:sz w:val="24"/>
          <w:szCs w:val="24"/>
          <w:shd w:val="clear" w:color="auto" w:fill="FFFFFF"/>
          <w:rtl/>
        </w:rPr>
        <w:t xml:space="preserve"> </w:t>
      </w:r>
      <w:r w:rsidR="00096597">
        <w:rPr>
          <w:rFonts w:asciiTheme="majorBidi" w:hAnsiTheme="majorBidi" w:cs="David" w:hint="cs"/>
          <w:color w:val="000000"/>
          <w:sz w:val="24"/>
          <w:szCs w:val="24"/>
          <w:shd w:val="clear" w:color="auto" w:fill="FFFFFF"/>
          <w:rtl/>
        </w:rPr>
        <w:t>יוכלו, להבנתי, להיתרם</w:t>
      </w:r>
      <w:r w:rsidR="00656507">
        <w:rPr>
          <w:rFonts w:asciiTheme="majorBidi" w:hAnsiTheme="majorBidi" w:cs="David" w:hint="cs"/>
          <w:color w:val="000000"/>
          <w:sz w:val="24"/>
          <w:szCs w:val="24"/>
          <w:shd w:val="clear" w:color="auto" w:fill="FFFFFF"/>
          <w:rtl/>
        </w:rPr>
        <w:t xml:space="preserve"> אף הם</w:t>
      </w:r>
      <w:r w:rsidR="00096597">
        <w:rPr>
          <w:rFonts w:asciiTheme="majorBidi" w:hAnsiTheme="majorBidi" w:cs="David" w:hint="cs"/>
          <w:color w:val="000000"/>
          <w:sz w:val="24"/>
          <w:szCs w:val="24"/>
          <w:shd w:val="clear" w:color="auto" w:fill="FFFFFF"/>
          <w:rtl/>
        </w:rPr>
        <w:t xml:space="preserve"> מהבסיס התיאורט</w:t>
      </w:r>
      <w:r w:rsidR="002345C9">
        <w:rPr>
          <w:rFonts w:asciiTheme="majorBidi" w:hAnsiTheme="majorBidi" w:cs="David" w:hint="cs"/>
          <w:color w:val="000000"/>
          <w:sz w:val="24"/>
          <w:szCs w:val="24"/>
          <w:shd w:val="clear" w:color="auto" w:fill="FFFFFF"/>
          <w:rtl/>
        </w:rPr>
        <w:t>י המגולם בדיני האמונאות</w:t>
      </w:r>
      <w:r w:rsidR="002345C9" w:rsidRPr="00656507">
        <w:rPr>
          <w:rFonts w:asciiTheme="majorBidi" w:hAnsiTheme="majorBidi" w:cs="David" w:hint="cs"/>
          <w:color w:val="000000"/>
          <w:sz w:val="24"/>
          <w:szCs w:val="24"/>
          <w:shd w:val="clear" w:color="auto" w:fill="FFFFFF"/>
          <w:rtl/>
        </w:rPr>
        <w:t>.</w:t>
      </w:r>
      <w:r w:rsidR="00B20A07" w:rsidRPr="00656507">
        <w:rPr>
          <w:rFonts w:asciiTheme="majorBidi" w:hAnsiTheme="majorBidi" w:cs="David" w:hint="cs"/>
          <w:color w:val="000000"/>
          <w:sz w:val="24"/>
          <w:szCs w:val="24"/>
          <w:shd w:val="clear" w:color="auto" w:fill="FFFFFF"/>
          <w:rtl/>
        </w:rPr>
        <w:t xml:space="preserve"> ההערה השנייה,</w:t>
      </w:r>
      <w:r w:rsidR="00656507" w:rsidRPr="00656507">
        <w:rPr>
          <w:rFonts w:asciiTheme="majorBidi" w:hAnsiTheme="majorBidi" w:cs="David" w:hint="cs"/>
          <w:color w:val="000000"/>
          <w:sz w:val="24"/>
          <w:szCs w:val="24"/>
          <w:shd w:val="clear" w:color="auto" w:fill="FFFFFF"/>
          <w:rtl/>
        </w:rPr>
        <w:t xml:space="preserve"> המובאת בזאת,</w:t>
      </w:r>
      <w:r w:rsidR="00B20A07" w:rsidRPr="00656507">
        <w:rPr>
          <w:rFonts w:asciiTheme="majorBidi" w:hAnsiTheme="majorBidi" w:cs="David" w:hint="cs"/>
          <w:color w:val="000000"/>
          <w:sz w:val="24"/>
          <w:szCs w:val="24"/>
          <w:shd w:val="clear" w:color="auto" w:fill="FFFFFF"/>
          <w:rtl/>
        </w:rPr>
        <w:t xml:space="preserve"> מהווה קריאת כיוון בהקשר זה.</w:t>
      </w:r>
    </w:p>
    <w:p w14:paraId="6CF2F82A" w14:textId="3257B972" w:rsidR="00857171" w:rsidRPr="00D65E96" w:rsidRDefault="00857171" w:rsidP="004668A5">
      <w:pPr>
        <w:pStyle w:val="ListParagraph"/>
        <w:numPr>
          <w:ilvl w:val="0"/>
          <w:numId w:val="7"/>
        </w:numPr>
        <w:spacing w:line="480" w:lineRule="auto"/>
        <w:jc w:val="both"/>
        <w:rPr>
          <w:rFonts w:asciiTheme="majorBidi" w:hAnsiTheme="majorBidi" w:cs="David"/>
          <w:b/>
          <w:bCs/>
          <w:color w:val="000000"/>
          <w:sz w:val="24"/>
          <w:szCs w:val="24"/>
          <w:shd w:val="clear" w:color="auto" w:fill="FFFFFF"/>
        </w:rPr>
      </w:pPr>
      <w:r w:rsidRPr="00D65E96">
        <w:rPr>
          <w:rFonts w:asciiTheme="majorBidi" w:hAnsiTheme="majorBidi" w:cs="David" w:hint="cs"/>
          <w:b/>
          <w:bCs/>
          <w:color w:val="000000"/>
          <w:sz w:val="24"/>
          <w:szCs w:val="24"/>
          <w:shd w:val="clear" w:color="auto" w:fill="FFFFFF"/>
          <w:rtl/>
        </w:rPr>
        <w:t xml:space="preserve">הורה חורג-הורה </w:t>
      </w:r>
      <w:r w:rsidR="004409BB">
        <w:rPr>
          <w:rFonts w:asciiTheme="majorBidi" w:hAnsiTheme="majorBidi" w:cs="David" w:hint="cs"/>
          <w:b/>
          <w:bCs/>
          <w:color w:val="000000"/>
          <w:sz w:val="24"/>
          <w:szCs w:val="24"/>
          <w:shd w:val="clear" w:color="auto" w:fill="FFFFFF"/>
          <w:rtl/>
        </w:rPr>
        <w:t>משמורן-הורה לא משמורן</w:t>
      </w:r>
      <w:r w:rsidR="004668A5">
        <w:rPr>
          <w:rFonts w:asciiTheme="majorBidi" w:hAnsiTheme="majorBidi" w:cs="David"/>
          <w:b/>
          <w:bCs/>
          <w:color w:val="000000"/>
          <w:sz w:val="24"/>
          <w:szCs w:val="24"/>
          <w:shd w:val="clear" w:color="auto" w:fill="FFFFFF"/>
          <w:rtl/>
        </w:rPr>
        <w:t>–</w:t>
      </w:r>
      <w:r w:rsidR="004668A5">
        <w:rPr>
          <w:rFonts w:asciiTheme="majorBidi" w:hAnsiTheme="majorBidi" w:cs="David" w:hint="cs"/>
          <w:b/>
          <w:bCs/>
          <w:color w:val="000000"/>
          <w:sz w:val="24"/>
          <w:szCs w:val="24"/>
          <w:shd w:val="clear" w:color="auto" w:fill="FFFFFF"/>
          <w:rtl/>
        </w:rPr>
        <w:t xml:space="preserve"> </w:t>
      </w:r>
      <w:r w:rsidRPr="00D65E96">
        <w:rPr>
          <w:rFonts w:asciiTheme="majorBidi" w:hAnsiTheme="majorBidi" w:cs="David" w:hint="cs"/>
          <w:b/>
          <w:bCs/>
          <w:color w:val="000000"/>
          <w:sz w:val="24"/>
          <w:szCs w:val="24"/>
          <w:shd w:val="clear" w:color="auto" w:fill="FFFFFF"/>
          <w:rtl/>
        </w:rPr>
        <w:t xml:space="preserve"> הורים במשותף</w:t>
      </w:r>
    </w:p>
    <w:p w14:paraId="402750CE" w14:textId="5C3D5E8A" w:rsidR="00007683" w:rsidRDefault="00D65E96" w:rsidP="00602AC9">
      <w:pPr>
        <w:spacing w:line="480" w:lineRule="auto"/>
        <w:jc w:val="both"/>
        <w:rPr>
          <w:rFonts w:ascii="David" w:hAnsi="David" w:cs="David"/>
          <w:sz w:val="24"/>
          <w:szCs w:val="24"/>
          <w:rtl/>
        </w:rPr>
      </w:pPr>
      <w:r>
        <w:rPr>
          <w:rFonts w:asciiTheme="majorBidi" w:hAnsiTheme="majorBidi" w:cs="David" w:hint="cs"/>
          <w:color w:val="000000"/>
          <w:sz w:val="24"/>
          <w:szCs w:val="24"/>
          <w:shd w:val="clear" w:color="auto" w:fill="FFFFFF"/>
          <w:rtl/>
        </w:rPr>
        <w:t xml:space="preserve">לפני סיום </w:t>
      </w:r>
      <w:r w:rsidR="00A371D8">
        <w:rPr>
          <w:rFonts w:asciiTheme="majorBidi" w:hAnsiTheme="majorBidi" w:cs="David" w:hint="cs"/>
          <w:color w:val="000000"/>
          <w:sz w:val="24"/>
          <w:szCs w:val="24"/>
          <w:shd w:val="clear" w:color="auto" w:fill="FFFFFF"/>
          <w:rtl/>
        </w:rPr>
        <w:t xml:space="preserve"> אציע לחשוב על </w:t>
      </w:r>
      <w:r w:rsidR="00A371D8">
        <w:rPr>
          <w:rFonts w:asciiTheme="majorBidi" w:hAnsiTheme="majorBidi" w:cs="David" w:hint="cs"/>
          <w:sz w:val="24"/>
          <w:szCs w:val="24"/>
          <w:rtl/>
        </w:rPr>
        <w:t>יחסי הורה חורג-הורה בהקשר רחב מעט יותר. כפי שמציעות איילת בלכר-פריגת</w:t>
      </w:r>
      <w:r w:rsidR="00A371D8">
        <w:rPr>
          <w:rStyle w:val="FootnoteReference"/>
          <w:rFonts w:asciiTheme="majorBidi" w:hAnsiTheme="majorBidi" w:cs="David"/>
          <w:sz w:val="24"/>
          <w:szCs w:val="24"/>
          <w:rtl/>
        </w:rPr>
        <w:footnoteReference w:id="139"/>
      </w:r>
      <w:r w:rsidR="00A371D8">
        <w:rPr>
          <w:rFonts w:asciiTheme="majorBidi" w:hAnsiTheme="majorBidi" w:cs="David" w:hint="cs"/>
          <w:sz w:val="24"/>
          <w:szCs w:val="24"/>
          <w:rtl/>
        </w:rPr>
        <w:t xml:space="preserve"> ומרל ווינר</w:t>
      </w:r>
      <w:r w:rsidR="00A371D8">
        <w:rPr>
          <w:rStyle w:val="FootnoteReference"/>
          <w:rFonts w:asciiTheme="majorBidi" w:hAnsiTheme="majorBidi" w:cs="David"/>
          <w:sz w:val="24"/>
          <w:szCs w:val="24"/>
          <w:rtl/>
        </w:rPr>
        <w:footnoteReference w:id="140"/>
      </w:r>
      <w:r w:rsidR="00A371D8">
        <w:rPr>
          <w:rFonts w:asciiTheme="majorBidi" w:hAnsiTheme="majorBidi" w:cs="David" w:hint="cs"/>
          <w:sz w:val="24"/>
          <w:szCs w:val="24"/>
          <w:rtl/>
        </w:rPr>
        <w:t xml:space="preserve"> </w:t>
      </w:r>
      <w:r w:rsidR="00656507">
        <w:rPr>
          <w:rFonts w:asciiTheme="majorBidi" w:hAnsiTheme="majorBidi" w:cs="David"/>
          <w:sz w:val="24"/>
          <w:szCs w:val="24"/>
        </w:rPr>
        <w:t>Merle Weiner</w:t>
      </w:r>
      <w:r w:rsidR="00A371D8">
        <w:rPr>
          <w:rFonts w:asciiTheme="majorBidi" w:hAnsiTheme="majorBidi" w:cs="David"/>
          <w:sz w:val="24"/>
          <w:szCs w:val="24"/>
        </w:rPr>
        <w:t xml:space="preserve"> </w:t>
      </w:r>
      <w:r w:rsidR="00A371D8">
        <w:rPr>
          <w:rFonts w:asciiTheme="majorBidi" w:hAnsiTheme="majorBidi" w:cs="David" w:hint="cs"/>
          <w:sz w:val="24"/>
          <w:szCs w:val="24"/>
          <w:rtl/>
        </w:rPr>
        <w:t xml:space="preserve"> בחיבורים נפרדים, יש להעביר את הדגש בדיני משפחה מזוגיות רומ</w:t>
      </w:r>
      <w:r w:rsidR="00B15837">
        <w:rPr>
          <w:rFonts w:asciiTheme="majorBidi" w:hAnsiTheme="majorBidi" w:cs="David" w:hint="cs"/>
          <w:sz w:val="24"/>
          <w:szCs w:val="24"/>
          <w:rtl/>
        </w:rPr>
        <w:t xml:space="preserve">נטית להורות משותפת ולהציבה כ - </w:t>
      </w:r>
      <w:r w:rsidR="00A371D8">
        <w:rPr>
          <w:rFonts w:asciiTheme="majorBidi" w:hAnsiTheme="majorBidi" w:cs="David" w:hint="cs"/>
          <w:sz w:val="24"/>
          <w:szCs w:val="24"/>
          <w:rtl/>
        </w:rPr>
        <w:t>"כקשר המשפחתי המרכזי בין מבוגרים"</w:t>
      </w:r>
      <w:r w:rsidR="00A371D8">
        <w:rPr>
          <w:rStyle w:val="FootnoteReference"/>
          <w:rFonts w:asciiTheme="majorBidi" w:hAnsiTheme="majorBidi" w:cs="David"/>
          <w:sz w:val="24"/>
          <w:szCs w:val="24"/>
          <w:rtl/>
        </w:rPr>
        <w:footnoteReference w:id="141"/>
      </w:r>
      <w:r w:rsidR="00A371D8">
        <w:rPr>
          <w:rFonts w:asciiTheme="majorBidi" w:hAnsiTheme="majorBidi" w:cs="David" w:hint="cs"/>
          <w:sz w:val="24"/>
          <w:szCs w:val="24"/>
          <w:rtl/>
        </w:rPr>
        <w:t xml:space="preserve">. אמנם הדגש אצל בלכר-פריגת וויינר הינו על השגת צדק כלכלי בין הורים במשותף, אך קריאה הוליסטית ורחבה של הטקסים </w:t>
      </w:r>
      <w:r w:rsidR="00AA30BC">
        <w:rPr>
          <w:rFonts w:asciiTheme="majorBidi" w:hAnsiTheme="majorBidi" w:cs="David" w:hint="cs"/>
          <w:sz w:val="24"/>
          <w:szCs w:val="24"/>
          <w:rtl/>
        </w:rPr>
        <w:t xml:space="preserve">שלהן </w:t>
      </w:r>
      <w:r w:rsidR="00A371D8">
        <w:rPr>
          <w:rFonts w:asciiTheme="majorBidi" w:hAnsiTheme="majorBidi" w:cs="David" w:hint="cs"/>
          <w:sz w:val="24"/>
          <w:szCs w:val="24"/>
          <w:rtl/>
        </w:rPr>
        <w:t xml:space="preserve">יכולה להצביע על מהלך רחב יותר המשיק לפרויקט הנוכחי </w:t>
      </w:r>
      <w:r w:rsidR="00A371D8">
        <w:rPr>
          <w:rFonts w:asciiTheme="majorBidi" w:hAnsiTheme="majorBidi" w:cs="David"/>
          <w:sz w:val="24"/>
          <w:szCs w:val="24"/>
          <w:rtl/>
        </w:rPr>
        <w:t>–</w:t>
      </w:r>
      <w:r w:rsidR="00A371D8">
        <w:rPr>
          <w:rFonts w:asciiTheme="majorBidi" w:hAnsiTheme="majorBidi" w:cs="David" w:hint="cs"/>
          <w:sz w:val="24"/>
          <w:szCs w:val="24"/>
          <w:rtl/>
        </w:rPr>
        <w:t xml:space="preserve"> דיני המשפחה צריכים להתבונן על מערכת היחסים האופקית בין הורים במשותף, לרבות הורים שהיו בני זוג ונפרדו, הורים שהביאו לעולם ילד ללא זוגיות, ומבוגרים נוספים הממלאים תפקיד הורי ומגדלים במשותף ילד</w:t>
      </w:r>
      <w:r w:rsidR="00B15837">
        <w:rPr>
          <w:rFonts w:asciiTheme="majorBidi" w:hAnsiTheme="majorBidi" w:cs="David" w:hint="cs"/>
          <w:sz w:val="24"/>
          <w:szCs w:val="24"/>
          <w:rtl/>
        </w:rPr>
        <w:t xml:space="preserve"> (לרבות הורים חורגים)</w:t>
      </w:r>
      <w:r w:rsidR="00A371D8">
        <w:rPr>
          <w:rFonts w:asciiTheme="majorBidi" w:hAnsiTheme="majorBidi" w:cs="David" w:hint="cs"/>
          <w:sz w:val="24"/>
          <w:szCs w:val="24"/>
          <w:rtl/>
        </w:rPr>
        <w:t>, גם אם מי מהם אינו הורה המוכר מבחינה פורמלית כהורה לכל דבר ועניין. ככל שבלכר-פריגת וויינר צודקות, הרי שיצירת מערכת יחסים משפטית מתמשכת שאינה קשורה בקשר הזוגי בין המבוגרים המושתתת על עובדת הורותם המשותפת, צריכה לחול לא רק בנגזרת הכלכלית של הקשר, קרי, לא רק ביחס לביסוס חיובים כספיים זה כלפי זה</w:t>
      </w:r>
      <w:r w:rsidR="00EA7B9A">
        <w:rPr>
          <w:rFonts w:asciiTheme="majorBidi" w:hAnsiTheme="majorBidi" w:cs="David" w:hint="cs"/>
          <w:sz w:val="24"/>
          <w:szCs w:val="24"/>
          <w:rtl/>
        </w:rPr>
        <w:t>,</w:t>
      </w:r>
      <w:r w:rsidR="00A371D8">
        <w:rPr>
          <w:rFonts w:asciiTheme="majorBidi" w:hAnsiTheme="majorBidi" w:cs="David" w:hint="cs"/>
          <w:sz w:val="24"/>
          <w:szCs w:val="24"/>
          <w:rtl/>
        </w:rPr>
        <w:t xml:space="preserve"> הכרוכים בעובדת הורותם המשותפת</w:t>
      </w:r>
      <w:r w:rsidR="00EA7B9A">
        <w:rPr>
          <w:rFonts w:asciiTheme="majorBidi" w:hAnsiTheme="majorBidi" w:cs="David" w:hint="cs"/>
          <w:sz w:val="24"/>
          <w:szCs w:val="24"/>
          <w:rtl/>
        </w:rPr>
        <w:t>,</w:t>
      </w:r>
      <w:r w:rsidR="00A371D8">
        <w:rPr>
          <w:rFonts w:asciiTheme="majorBidi" w:hAnsiTheme="majorBidi" w:cs="David" w:hint="cs"/>
          <w:sz w:val="24"/>
          <w:szCs w:val="24"/>
          <w:rtl/>
        </w:rPr>
        <w:t xml:space="preserve"> אלא גם ביחס לחיובים אחרים, אשר בעיקרם הגנה על הקשר </w:t>
      </w:r>
      <w:r w:rsidR="00B15837">
        <w:rPr>
          <w:rFonts w:asciiTheme="majorBidi" w:hAnsiTheme="majorBidi" w:cs="David" w:hint="cs"/>
          <w:sz w:val="24"/>
          <w:szCs w:val="24"/>
          <w:rtl/>
        </w:rPr>
        <w:t xml:space="preserve">הרגשי </w:t>
      </w:r>
      <w:r w:rsidR="00A371D8">
        <w:rPr>
          <w:rFonts w:asciiTheme="majorBidi" w:hAnsiTheme="majorBidi" w:cs="David" w:hint="cs"/>
          <w:sz w:val="24"/>
          <w:szCs w:val="24"/>
          <w:rtl/>
        </w:rPr>
        <w:t xml:space="preserve">של כל אחד </w:t>
      </w:r>
      <w:r w:rsidR="00A371D8" w:rsidRPr="00A301CB">
        <w:rPr>
          <w:rFonts w:ascii="David" w:hAnsi="David" w:cs="David"/>
          <w:sz w:val="24"/>
          <w:szCs w:val="24"/>
          <w:rtl/>
        </w:rPr>
        <w:t>מהם עם ילדם המשותף. ובלשונה של בלכר-פריגת: "המשפט צריך להכיר בכך שהורות משותפת מהווה בסיס להטלת חובות הדדיות בין מבוגרים החולקים הורות, ובכלל זה חובות בעלות אופי כלכלי</w:t>
      </w:r>
      <w:r w:rsidR="00A371D8" w:rsidRPr="00A301CB">
        <w:rPr>
          <w:rFonts w:ascii="David" w:hAnsi="David" w:cs="David"/>
          <w:sz w:val="24"/>
          <w:szCs w:val="24"/>
        </w:rPr>
        <w:t>.</w:t>
      </w:r>
      <w:r w:rsidR="00A371D8" w:rsidRPr="00A301CB">
        <w:rPr>
          <w:rFonts w:ascii="David" w:hAnsi="David" w:cs="David"/>
          <w:sz w:val="24"/>
          <w:szCs w:val="24"/>
          <w:rtl/>
        </w:rPr>
        <w:t>"</w:t>
      </w:r>
      <w:r w:rsidR="00A371D8" w:rsidRPr="00A301CB">
        <w:rPr>
          <w:rStyle w:val="FootnoteReference"/>
          <w:rFonts w:ascii="David" w:hAnsi="David" w:cs="David"/>
          <w:sz w:val="24"/>
          <w:szCs w:val="24"/>
          <w:rtl/>
        </w:rPr>
        <w:footnoteReference w:id="142"/>
      </w:r>
      <w:r w:rsidR="00A371D8" w:rsidRPr="00A301CB">
        <w:rPr>
          <w:rFonts w:ascii="David" w:hAnsi="David" w:cs="David"/>
          <w:sz w:val="24"/>
          <w:szCs w:val="24"/>
          <w:rtl/>
        </w:rPr>
        <w:t xml:space="preserve"> להבנתי, </w:t>
      </w:r>
      <w:r w:rsidR="005E4546">
        <w:rPr>
          <w:rFonts w:ascii="David" w:hAnsi="David" w:cs="David" w:hint="cs"/>
          <w:sz w:val="24"/>
          <w:szCs w:val="24"/>
          <w:rtl/>
        </w:rPr>
        <w:t xml:space="preserve">העומדת בניגוד לעמדת </w:t>
      </w:r>
      <w:r w:rsidR="005E4546">
        <w:rPr>
          <w:rFonts w:ascii="David" w:hAnsi="David" w:cs="David"/>
          <w:sz w:val="24"/>
          <w:szCs w:val="24"/>
        </w:rPr>
        <w:t xml:space="preserve">Weiner </w:t>
      </w:r>
      <w:r w:rsidR="005E4546">
        <w:rPr>
          <w:rFonts w:ascii="David" w:hAnsi="David" w:cs="David" w:hint="cs"/>
          <w:sz w:val="24"/>
          <w:szCs w:val="24"/>
          <w:rtl/>
        </w:rPr>
        <w:t xml:space="preserve">, </w:t>
      </w:r>
      <w:r w:rsidR="00A371D8" w:rsidRPr="00A301CB">
        <w:rPr>
          <w:rFonts w:ascii="David" w:hAnsi="David" w:cs="David"/>
          <w:sz w:val="24"/>
          <w:szCs w:val="24"/>
          <w:rtl/>
        </w:rPr>
        <w:t>"מבוגרים החולקים הורות" עשו</w:t>
      </w:r>
      <w:r w:rsidR="00602AC9">
        <w:rPr>
          <w:rFonts w:ascii="David" w:hAnsi="David" w:cs="David"/>
          <w:sz w:val="24"/>
          <w:szCs w:val="24"/>
          <w:rtl/>
        </w:rPr>
        <w:t>יים לכלול גם הורים חורגים, במוב</w:t>
      </w:r>
      <w:r w:rsidR="00602AC9">
        <w:rPr>
          <w:rFonts w:ascii="David" w:hAnsi="David" w:cs="David" w:hint="cs"/>
          <w:sz w:val="24"/>
          <w:szCs w:val="24"/>
          <w:rtl/>
        </w:rPr>
        <w:t>ן המרחיב שניתן לה</w:t>
      </w:r>
      <w:r w:rsidR="00A371D8" w:rsidRPr="00A301CB">
        <w:rPr>
          <w:rFonts w:ascii="David" w:hAnsi="David" w:cs="David"/>
          <w:sz w:val="24"/>
          <w:szCs w:val="24"/>
          <w:rtl/>
        </w:rPr>
        <w:t>ם במאמר זה.</w:t>
      </w:r>
      <w:r w:rsidR="00A371D8">
        <w:rPr>
          <w:rStyle w:val="FootnoteReference"/>
          <w:rFonts w:ascii="David" w:hAnsi="David" w:cs="David"/>
          <w:sz w:val="24"/>
          <w:szCs w:val="24"/>
        </w:rPr>
        <w:footnoteReference w:id="143"/>
      </w:r>
    </w:p>
    <w:p w14:paraId="3F53B7E4" w14:textId="28AD821B" w:rsidR="007F437C" w:rsidRDefault="00295C8D" w:rsidP="00F93090">
      <w:pPr>
        <w:spacing w:line="480" w:lineRule="auto"/>
        <w:jc w:val="both"/>
        <w:rPr>
          <w:rFonts w:asciiTheme="majorBidi" w:hAnsiTheme="majorBidi" w:cs="David"/>
          <w:sz w:val="24"/>
          <w:szCs w:val="24"/>
          <w:rtl/>
        </w:rPr>
      </w:pPr>
      <w:r>
        <w:rPr>
          <w:rFonts w:ascii="David" w:hAnsi="David" w:cs="David" w:hint="cs"/>
          <w:sz w:val="24"/>
          <w:szCs w:val="24"/>
          <w:rtl/>
        </w:rPr>
        <w:t xml:space="preserve">לנוכח השיעור הגדול של הגירושים בעשורים האחרונים ובמציאות בה שיעור ניכר מבין הילדים נולדים מלכתחילה להורים שאינם מקיימים מערכת זוגית קבועה, הרי האפשרות כי ילד יגדל במחיצתו של הורה חורג (במובן של דמות טיפולית שאינה הורה משפטי פורמלי) הינה גבוהה. </w:t>
      </w:r>
      <w:r w:rsidRPr="00F93090">
        <w:rPr>
          <w:rFonts w:ascii="David" w:hAnsi="David" w:cs="David" w:hint="cs"/>
          <w:sz w:val="24"/>
          <w:szCs w:val="24"/>
          <w:rtl/>
        </w:rPr>
        <w:t>מציאו</w:t>
      </w:r>
      <w:r w:rsidR="00F93090" w:rsidRPr="00F93090">
        <w:rPr>
          <w:rFonts w:ascii="David" w:hAnsi="David" w:cs="David" w:hint="cs"/>
          <w:sz w:val="24"/>
          <w:szCs w:val="24"/>
          <w:rtl/>
        </w:rPr>
        <w:t>ת זאת מחייבת שינוי בדיני משפחה, באופן שיכילו את מגו</w:t>
      </w:r>
      <w:r w:rsidR="00007683" w:rsidRPr="00F93090">
        <w:rPr>
          <w:rFonts w:asciiTheme="majorBidi" w:hAnsiTheme="majorBidi" w:cs="David" w:hint="cs"/>
          <w:sz w:val="24"/>
          <w:szCs w:val="24"/>
          <w:rtl/>
        </w:rPr>
        <w:t>ון</w:t>
      </w:r>
      <w:r w:rsidR="00D65E96" w:rsidRPr="00F93090">
        <w:rPr>
          <w:rFonts w:asciiTheme="majorBidi" w:hAnsiTheme="majorBidi" w:cs="David" w:hint="cs"/>
          <w:sz w:val="24"/>
          <w:szCs w:val="24"/>
          <w:rtl/>
        </w:rPr>
        <w:t xml:space="preserve"> יחסי משפחה</w:t>
      </w:r>
      <w:r w:rsidR="00007683" w:rsidRPr="00F93090">
        <w:rPr>
          <w:rFonts w:asciiTheme="majorBidi" w:hAnsiTheme="majorBidi" w:cs="David" w:hint="cs"/>
          <w:sz w:val="24"/>
          <w:szCs w:val="24"/>
          <w:rtl/>
        </w:rPr>
        <w:t xml:space="preserve"> הקיימים בפועל, </w:t>
      </w:r>
      <w:r w:rsidR="00F93090" w:rsidRPr="00F93090">
        <w:rPr>
          <w:rFonts w:asciiTheme="majorBidi" w:hAnsiTheme="majorBidi" w:cs="David" w:hint="cs"/>
          <w:sz w:val="24"/>
          <w:szCs w:val="24"/>
          <w:rtl/>
        </w:rPr>
        <w:t>ויאפשרו</w:t>
      </w:r>
      <w:r w:rsidR="00007683" w:rsidRPr="00F93090">
        <w:rPr>
          <w:rFonts w:asciiTheme="majorBidi" w:hAnsiTheme="majorBidi" w:cs="David" w:hint="cs"/>
          <w:sz w:val="24"/>
          <w:szCs w:val="24"/>
          <w:rtl/>
        </w:rPr>
        <w:t xml:space="preserve"> את שגשוגם באו</w:t>
      </w:r>
      <w:r w:rsidR="00D65E96" w:rsidRPr="00F93090">
        <w:rPr>
          <w:rFonts w:asciiTheme="majorBidi" w:hAnsiTheme="majorBidi" w:cs="David" w:hint="cs"/>
          <w:sz w:val="24"/>
          <w:szCs w:val="24"/>
          <w:rtl/>
        </w:rPr>
        <w:t>פן מיטבי.</w:t>
      </w:r>
      <w:r w:rsidR="00DE28DE" w:rsidRPr="00F93090">
        <w:rPr>
          <w:rStyle w:val="FootnoteReference"/>
          <w:rFonts w:asciiTheme="majorBidi" w:hAnsiTheme="majorBidi" w:cs="David"/>
          <w:sz w:val="24"/>
          <w:szCs w:val="24"/>
          <w:rtl/>
        </w:rPr>
        <w:footnoteReference w:id="144"/>
      </w:r>
      <w:r w:rsidR="00D65E96" w:rsidRPr="00F93090">
        <w:rPr>
          <w:rFonts w:asciiTheme="majorBidi" w:hAnsiTheme="majorBidi" w:cs="David" w:hint="cs"/>
          <w:sz w:val="24"/>
          <w:szCs w:val="24"/>
          <w:rtl/>
        </w:rPr>
        <w:t xml:space="preserve"> לדעתי</w:t>
      </w:r>
      <w:r w:rsidR="00DE28DE">
        <w:rPr>
          <w:rFonts w:asciiTheme="majorBidi" w:hAnsiTheme="majorBidi" w:cs="David" w:hint="cs"/>
          <w:sz w:val="24"/>
          <w:szCs w:val="24"/>
          <w:rtl/>
        </w:rPr>
        <w:t>,</w:t>
      </w:r>
      <w:r w:rsidR="00D65E96" w:rsidRPr="00F75BBA">
        <w:rPr>
          <w:rFonts w:asciiTheme="majorBidi" w:hAnsiTheme="majorBidi" w:cs="David" w:hint="cs"/>
          <w:sz w:val="24"/>
          <w:szCs w:val="24"/>
          <w:rtl/>
        </w:rPr>
        <w:t xml:space="preserve"> </w:t>
      </w:r>
      <w:r w:rsidR="00F75BBA">
        <w:rPr>
          <w:rFonts w:asciiTheme="majorBidi" w:hAnsiTheme="majorBidi" w:cs="David" w:hint="cs"/>
          <w:sz w:val="24"/>
          <w:szCs w:val="24"/>
          <w:rtl/>
        </w:rPr>
        <w:t xml:space="preserve">יבוא </w:t>
      </w:r>
      <w:r w:rsidR="00EA7B9A">
        <w:rPr>
          <w:rFonts w:asciiTheme="majorBidi" w:hAnsiTheme="majorBidi" w:cs="David" w:hint="cs"/>
          <w:sz w:val="24"/>
          <w:szCs w:val="24"/>
          <w:rtl/>
        </w:rPr>
        <w:t xml:space="preserve"> </w:t>
      </w:r>
      <w:r w:rsidR="00EA7B9A">
        <w:rPr>
          <w:rFonts w:asciiTheme="majorBidi" w:hAnsiTheme="majorBidi" w:cs="David"/>
          <w:sz w:val="24"/>
          <w:szCs w:val="24"/>
        </w:rPr>
        <w:t xml:space="preserve">  introduction</w:t>
      </w:r>
      <w:r w:rsidR="00F93090">
        <w:rPr>
          <w:rFonts w:asciiTheme="majorBidi" w:hAnsiTheme="majorBidi" w:cs="David"/>
          <w:sz w:val="24"/>
          <w:szCs w:val="24"/>
        </w:rPr>
        <w:t>/import</w:t>
      </w:r>
      <w:r w:rsidR="00EA7B9A">
        <w:rPr>
          <w:rFonts w:asciiTheme="majorBidi" w:hAnsiTheme="majorBidi" w:cs="David"/>
          <w:sz w:val="24"/>
          <w:szCs w:val="24"/>
        </w:rPr>
        <w:t xml:space="preserve"> </w:t>
      </w:r>
      <w:r w:rsidR="00EA7B9A">
        <w:rPr>
          <w:rFonts w:asciiTheme="majorBidi" w:hAnsiTheme="majorBidi" w:cs="David" w:hint="cs"/>
          <w:sz w:val="24"/>
          <w:szCs w:val="24"/>
          <w:rtl/>
        </w:rPr>
        <w:t xml:space="preserve">של </w:t>
      </w:r>
      <w:r w:rsidR="00F75BBA">
        <w:rPr>
          <w:rFonts w:asciiTheme="majorBidi" w:hAnsiTheme="majorBidi" w:cs="David" w:hint="cs"/>
          <w:sz w:val="24"/>
          <w:szCs w:val="24"/>
          <w:rtl/>
        </w:rPr>
        <w:t>קונספט האמונאות אל ה</w:t>
      </w:r>
      <w:r w:rsidR="00D65E96" w:rsidRPr="00F75BBA">
        <w:rPr>
          <w:rFonts w:asciiTheme="majorBidi" w:hAnsiTheme="majorBidi" w:cs="David" w:hint="cs"/>
          <w:sz w:val="24"/>
          <w:szCs w:val="24"/>
          <w:rtl/>
        </w:rPr>
        <w:t>משפחה</w:t>
      </w:r>
      <w:r w:rsidR="00D65E96" w:rsidRPr="00295C8D">
        <w:rPr>
          <w:rFonts w:asciiTheme="majorBidi" w:hAnsiTheme="majorBidi" w:cs="David" w:hint="cs"/>
          <w:sz w:val="24"/>
          <w:szCs w:val="24"/>
          <w:rtl/>
        </w:rPr>
        <w:t xml:space="preserve"> בכלל ו</w:t>
      </w:r>
      <w:r w:rsidR="00F75BBA">
        <w:rPr>
          <w:rFonts w:asciiTheme="majorBidi" w:hAnsiTheme="majorBidi" w:cs="David" w:hint="cs"/>
          <w:sz w:val="24"/>
          <w:szCs w:val="24"/>
          <w:rtl/>
        </w:rPr>
        <w:t>אל היחסים ש</w:t>
      </w:r>
      <w:r w:rsidR="00D65E96" w:rsidRPr="00295C8D">
        <w:rPr>
          <w:rFonts w:asciiTheme="majorBidi" w:hAnsiTheme="majorBidi" w:cs="David" w:hint="cs"/>
          <w:sz w:val="24"/>
          <w:szCs w:val="24"/>
          <w:rtl/>
        </w:rPr>
        <w:t>בין הורים חורגים והורים</w:t>
      </w:r>
      <w:r w:rsidR="00EA7B9A">
        <w:rPr>
          <w:rFonts w:asciiTheme="majorBidi" w:hAnsiTheme="majorBidi" w:cs="David" w:hint="cs"/>
          <w:sz w:val="24"/>
          <w:szCs w:val="24"/>
          <w:rtl/>
        </w:rPr>
        <w:t xml:space="preserve"> לא משמורנים</w:t>
      </w:r>
      <w:r w:rsidR="00D65E96" w:rsidRPr="00295C8D">
        <w:rPr>
          <w:rFonts w:asciiTheme="majorBidi" w:hAnsiTheme="majorBidi" w:cs="David" w:hint="cs"/>
          <w:sz w:val="24"/>
          <w:szCs w:val="24"/>
          <w:rtl/>
        </w:rPr>
        <w:t xml:space="preserve"> כדוגמה</w:t>
      </w:r>
      <w:r w:rsidR="00EA7B9A">
        <w:rPr>
          <w:rFonts w:asciiTheme="majorBidi" w:hAnsiTheme="majorBidi" w:cs="David" w:hint="cs"/>
          <w:sz w:val="24"/>
          <w:szCs w:val="24"/>
          <w:rtl/>
        </w:rPr>
        <w:t>,</w:t>
      </w:r>
      <w:r w:rsidR="00D65E96" w:rsidRPr="00295C8D">
        <w:rPr>
          <w:rFonts w:asciiTheme="majorBidi" w:hAnsiTheme="majorBidi" w:cs="David" w:hint="cs"/>
          <w:sz w:val="24"/>
          <w:szCs w:val="24"/>
          <w:rtl/>
        </w:rPr>
        <w:t xml:space="preserve"> הינה מהלך חשוב בהקשר זה</w:t>
      </w:r>
      <w:r w:rsidR="00EA7B9A">
        <w:rPr>
          <w:rFonts w:asciiTheme="majorBidi" w:hAnsiTheme="majorBidi" w:cs="David" w:hint="cs"/>
          <w:sz w:val="24"/>
          <w:szCs w:val="24"/>
          <w:rtl/>
        </w:rPr>
        <w:t>.</w:t>
      </w:r>
    </w:p>
    <w:sectPr w:rsidR="007F437C" w:rsidSect="00B8269A">
      <w:footerReference w:type="default" r:id="rId8"/>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9D80CF" w16cid:durableId="200B3C79"/>
  <w16cid:commentId w16cid:paraId="649F1B8E" w16cid:durableId="200B2477"/>
  <w16cid:commentId w16cid:paraId="59B76247" w16cid:durableId="1FD7CA93"/>
  <w16cid:commentId w16cid:paraId="3F715F61" w16cid:durableId="200B2504"/>
  <w16cid:commentId w16cid:paraId="472AE752" w16cid:durableId="200B240A"/>
  <w16cid:commentId w16cid:paraId="13913131" w16cid:durableId="200B22F3"/>
  <w16cid:commentId w16cid:paraId="6E8968D6" w16cid:durableId="200B27E2"/>
  <w16cid:commentId w16cid:paraId="5DE33206" w16cid:durableId="200B32FF"/>
  <w16cid:commentId w16cid:paraId="15E871FD" w16cid:durableId="200B335E"/>
  <w16cid:commentId w16cid:paraId="002EF31E" w16cid:durableId="200B34B1"/>
  <w16cid:commentId w16cid:paraId="2C1B7E09" w16cid:durableId="200B34F5"/>
  <w16cid:commentId w16cid:paraId="16E3A3A7" w16cid:durableId="200B351E"/>
  <w16cid:commentId w16cid:paraId="0B4A9E7C" w16cid:durableId="200B3559"/>
  <w16cid:commentId w16cid:paraId="2352955E" w16cid:durableId="200B35E8"/>
  <w16cid:commentId w16cid:paraId="3AADDBCB" w16cid:durableId="200B36F6"/>
  <w16cid:commentId w16cid:paraId="035FF682" w16cid:durableId="200B3888"/>
  <w16cid:commentId w16cid:paraId="34F1A7BC" w16cid:durableId="1FF5C2C6"/>
  <w16cid:commentId w16cid:paraId="6FC67EF6" w16cid:durableId="1FF5C3FF"/>
  <w16cid:commentId w16cid:paraId="6B421575" w16cid:durableId="1FD7CA94"/>
  <w16cid:commentId w16cid:paraId="67C04ECC" w16cid:durableId="1FF8A2F4"/>
  <w16cid:commentId w16cid:paraId="32E27B2F" w16cid:durableId="1FF8AE4B"/>
  <w16cid:commentId w16cid:paraId="38FE5AF5" w16cid:durableId="1FF8BC0D"/>
  <w16cid:commentId w16cid:paraId="613E1746" w16cid:durableId="1FD7CA95"/>
  <w16cid:commentId w16cid:paraId="44BB85E1" w16cid:durableId="1FF8B8D4"/>
  <w16cid:commentId w16cid:paraId="260FB651" w16cid:durableId="1FD7CA96"/>
  <w16cid:commentId w16cid:paraId="76AD6D64" w16cid:durableId="1FF9FCE2"/>
  <w16cid:commentId w16cid:paraId="55A8C1DE" w16cid:durableId="1FF9FFDB"/>
  <w16cid:commentId w16cid:paraId="606D6B32" w16cid:durableId="1FFEF641"/>
  <w16cid:commentId w16cid:paraId="3E91E253" w16cid:durableId="1FFA03E5"/>
  <w16cid:commentId w16cid:paraId="72C4ED49" w16cid:durableId="1FFA07C1"/>
  <w16cid:commentId w16cid:paraId="43D20BC1" w16cid:durableId="1FD7CA97"/>
  <w16cid:commentId w16cid:paraId="0F5FE7F9" w16cid:durableId="1FFEFED5"/>
  <w16cid:commentId w16cid:paraId="1D83C88D" w16cid:durableId="1FFF0016"/>
  <w16cid:commentId w16cid:paraId="3BA13AAF" w16cid:durableId="1FFFF514"/>
  <w16cid:commentId w16cid:paraId="1DEC366A" w16cid:durableId="200550AD"/>
  <w16cid:commentId w16cid:paraId="6CB584D7" w16cid:durableId="200553D1"/>
  <w16cid:commentId w16cid:paraId="5F7ED376" w16cid:durableId="20055CC0"/>
  <w16cid:commentId w16cid:paraId="7C582104" w16cid:durableId="2005677F"/>
  <w16cid:commentId w16cid:paraId="2DAFA9A9" w16cid:durableId="20056D9B"/>
  <w16cid:commentId w16cid:paraId="2DB26810" w16cid:durableId="200586E2"/>
  <w16cid:commentId w16cid:paraId="6C19CC25" w16cid:durableId="1FD7CA98"/>
  <w16cid:commentId w16cid:paraId="2FC87549" w16cid:durableId="2005A3C6"/>
  <w16cid:commentId w16cid:paraId="06D386BE" w16cid:durableId="2005A6A3"/>
  <w16cid:commentId w16cid:paraId="2BB99826" w16cid:durableId="200A68C1"/>
  <w16cid:commentId w16cid:paraId="25793335" w16cid:durableId="20066CBC"/>
  <w16cid:commentId w16cid:paraId="373430FF" w16cid:durableId="200B19F4"/>
  <w16cid:commentId w16cid:paraId="1D0CE8A5" w16cid:durableId="2009C902"/>
  <w16cid:commentId w16cid:paraId="4CEC0A1B" w16cid:durableId="1FD7CA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82B81" w14:textId="77777777" w:rsidR="00666BF4" w:rsidRDefault="00666BF4" w:rsidP="00372A29">
      <w:pPr>
        <w:spacing w:after="0" w:line="240" w:lineRule="auto"/>
      </w:pPr>
      <w:r>
        <w:separator/>
      </w:r>
    </w:p>
  </w:endnote>
  <w:endnote w:type="continuationSeparator" w:id="0">
    <w:p w14:paraId="5DB1A77F" w14:textId="77777777" w:rsidR="00666BF4" w:rsidRDefault="00666BF4" w:rsidP="0037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noPro">
    <w:altName w:val="Times New Roman"/>
    <w:panose1 w:val="00000000000000000000"/>
    <w:charset w:val="B1"/>
    <w:family w:val="auto"/>
    <w:notTrueType/>
    <w:pitch w:val="default"/>
    <w:sig w:usb0="00000801" w:usb1="00000000" w:usb2="00000000" w:usb3="00000000" w:csb0="0000002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tsfdqAdvTT3713a231+20">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29254910"/>
      <w:docPartObj>
        <w:docPartGallery w:val="Page Numbers (Bottom of Page)"/>
        <w:docPartUnique/>
      </w:docPartObj>
    </w:sdtPr>
    <w:sdtEndPr>
      <w:rPr>
        <w:noProof/>
      </w:rPr>
    </w:sdtEndPr>
    <w:sdtContent>
      <w:p w14:paraId="6819A475" w14:textId="2826EBD0" w:rsidR="00354596" w:rsidRDefault="00354596">
        <w:pPr>
          <w:pStyle w:val="Footer"/>
          <w:jc w:val="center"/>
        </w:pPr>
        <w:r>
          <w:fldChar w:fldCharType="begin"/>
        </w:r>
        <w:r>
          <w:instrText xml:space="preserve"> PAGE   \* MERGEFORMAT </w:instrText>
        </w:r>
        <w:r>
          <w:fldChar w:fldCharType="separate"/>
        </w:r>
        <w:r w:rsidR="00666BF4">
          <w:rPr>
            <w:noProof/>
            <w:rtl/>
          </w:rPr>
          <w:t>1</w:t>
        </w:r>
        <w:r>
          <w:rPr>
            <w:noProof/>
          </w:rPr>
          <w:fldChar w:fldCharType="end"/>
        </w:r>
      </w:p>
    </w:sdtContent>
  </w:sdt>
  <w:p w14:paraId="3AC6FE49" w14:textId="77777777" w:rsidR="00354596" w:rsidRDefault="003545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75DD1" w14:textId="77777777" w:rsidR="00666BF4" w:rsidRDefault="00666BF4" w:rsidP="00372A29">
      <w:pPr>
        <w:spacing w:after="0" w:line="240" w:lineRule="auto"/>
      </w:pPr>
      <w:r>
        <w:separator/>
      </w:r>
    </w:p>
  </w:footnote>
  <w:footnote w:type="continuationSeparator" w:id="0">
    <w:p w14:paraId="13A5A423" w14:textId="77777777" w:rsidR="00666BF4" w:rsidRDefault="00666BF4" w:rsidP="00372A29">
      <w:pPr>
        <w:spacing w:after="0" w:line="240" w:lineRule="auto"/>
      </w:pPr>
      <w:r>
        <w:continuationSeparator/>
      </w:r>
    </w:p>
  </w:footnote>
  <w:footnote w:id="1">
    <w:p w14:paraId="74A600E2" w14:textId="12F76627" w:rsidR="00354596" w:rsidRPr="0053374E" w:rsidRDefault="00354596">
      <w:pPr>
        <w:pStyle w:val="FootnoteText"/>
        <w:rPr>
          <w:rFonts w:hint="cs"/>
          <w:sz w:val="22"/>
          <w:szCs w:val="22"/>
          <w:rtl/>
        </w:rPr>
      </w:pPr>
      <w:r w:rsidRPr="0053374E">
        <w:rPr>
          <w:rStyle w:val="FootnoteReference"/>
          <w:sz w:val="22"/>
          <w:szCs w:val="22"/>
        </w:rPr>
        <w:footnoteRef/>
      </w:r>
    </w:p>
    <w:p w14:paraId="20874BF8" w14:textId="77777777" w:rsidR="00354596" w:rsidRPr="0053374E" w:rsidRDefault="00354596" w:rsidP="00661C8B">
      <w:pPr>
        <w:pBdr>
          <w:top w:val="nil"/>
          <w:left w:val="nil"/>
          <w:bottom w:val="nil"/>
          <w:right w:val="nil"/>
          <w:between w:val="nil"/>
        </w:pBdr>
        <w:bidi w:val="0"/>
        <w:spacing w:after="0" w:line="240" w:lineRule="auto"/>
        <w:jc w:val="both"/>
        <w:rPr>
          <w:rFonts w:asciiTheme="majorBidi" w:eastAsia="Times New Roman" w:hAnsiTheme="majorBidi" w:cstheme="majorBidi"/>
          <w:color w:val="000000"/>
          <w:rtl/>
        </w:rPr>
      </w:pPr>
      <w:r w:rsidRPr="0053374E">
        <w:rPr>
          <w:rFonts w:asciiTheme="majorBidi" w:eastAsia="Times New Roman" w:hAnsiTheme="majorBidi" w:cstheme="majorBidi"/>
          <w:color w:val="000000"/>
        </w:rPr>
        <w:t>Ruth Zafran is a Visiting Scholar at the UC Berkeley Center for the Study of Law &amp; Society and a Visiting Scholar at the Berkeley Institute for Jewish Law and Israel Studies for 2017–19. She is an Associate Professor at the Harry Radzyner Law School, Interdisciplinary Center Herzliya, Israel.</w:t>
      </w:r>
    </w:p>
    <w:p w14:paraId="3AB81881" w14:textId="442FE376" w:rsidR="00354596" w:rsidRPr="0053374E" w:rsidRDefault="00354596" w:rsidP="00FB1E3E">
      <w:pPr>
        <w:pStyle w:val="FootnoteText"/>
        <w:bidi w:val="0"/>
        <w:rPr>
          <w:sz w:val="22"/>
          <w:szCs w:val="22"/>
        </w:rPr>
      </w:pPr>
      <w:r w:rsidRPr="0053374E">
        <w:rPr>
          <w:rFonts w:asciiTheme="majorBidi" w:eastAsia="Times New Roman" w:hAnsiTheme="majorBidi" w:cstheme="majorBidi"/>
          <w:color w:val="000000"/>
          <w:sz w:val="22"/>
          <w:szCs w:val="22"/>
        </w:rPr>
        <w:t>I would like to thank…  for their</w:t>
      </w:r>
      <w:r w:rsidRPr="0053374E">
        <w:rPr>
          <w:rFonts w:asciiTheme="majorBidi" w:hAnsiTheme="majorBidi" w:cstheme="majorBidi"/>
          <w:sz w:val="22"/>
          <w:szCs w:val="22"/>
        </w:rPr>
        <w:t xml:space="preserve"> useful insights</w:t>
      </w:r>
      <w:r w:rsidRPr="0053374E">
        <w:rPr>
          <w:rFonts w:asciiTheme="majorBidi" w:eastAsia="Times New Roman" w:hAnsiTheme="majorBidi" w:cstheme="majorBidi"/>
          <w:color w:val="000000"/>
          <w:sz w:val="22"/>
          <w:szCs w:val="22"/>
        </w:rPr>
        <w:t xml:space="preserve">, and to …for </w:t>
      </w:r>
      <w:r w:rsidRPr="0053374E">
        <w:rPr>
          <w:rFonts w:asciiTheme="majorBidi" w:hAnsiTheme="majorBidi" w:cstheme="majorBidi"/>
          <w:sz w:val="22"/>
          <w:szCs w:val="22"/>
        </w:rPr>
        <w:t>their research assistance.</w:t>
      </w:r>
    </w:p>
  </w:footnote>
  <w:footnote w:id="2">
    <w:p w14:paraId="1F7CE187" w14:textId="5AF3DA0B" w:rsidR="00354596" w:rsidRPr="0053374E" w:rsidRDefault="00354596" w:rsidP="004F5712">
      <w:pPr>
        <w:pStyle w:val="FootnoteText"/>
        <w:rPr>
          <w:rFonts w:hint="cs"/>
          <w:sz w:val="22"/>
          <w:szCs w:val="22"/>
          <w:rtl/>
        </w:rPr>
      </w:pPr>
      <w:r w:rsidRPr="0053374E">
        <w:rPr>
          <w:rStyle w:val="FootnoteReference"/>
          <w:sz w:val="22"/>
          <w:szCs w:val="22"/>
        </w:rPr>
        <w:footnoteRef/>
      </w:r>
      <w:r w:rsidRPr="0053374E">
        <w:rPr>
          <w:sz w:val="22"/>
          <w:szCs w:val="22"/>
          <w:rtl/>
        </w:rPr>
        <w:t xml:space="preserve"> </w:t>
      </w:r>
      <w:r w:rsidRPr="0053374E">
        <w:rPr>
          <w:rFonts w:asciiTheme="majorBidi" w:hAnsiTheme="majorBidi" w:cs="David" w:hint="cs"/>
          <w:sz w:val="22"/>
          <w:szCs w:val="22"/>
          <w:rtl/>
        </w:rPr>
        <w:t xml:space="preserve">בהתייחס להקשר הפרופסיונאלי כוונתי למקום של אמונאות בהסדרה של יחסים בין לקוח לבין איש מקצוע-מומחה, לדוגמה בין עורך דין, רופא, יועץ כספים וכיוצא באלה לבין הנהנים משירותיהם. </w:t>
      </w:r>
      <w:r w:rsidRPr="0053374E">
        <w:rPr>
          <w:rFonts w:hint="cs"/>
          <w:sz w:val="22"/>
          <w:szCs w:val="22"/>
          <w:rtl/>
        </w:rPr>
        <w:t xml:space="preserve">בהקשר התאגידי הכוונה, למשל, ליחסים שבין </w:t>
      </w:r>
      <w:r w:rsidRPr="0053374E">
        <w:rPr>
          <w:rFonts w:ascii="Times" w:hAnsi="Times"/>
          <w:sz w:val="22"/>
          <w:szCs w:val="22"/>
        </w:rPr>
        <w:t>trustee-beneficiary, agent-principal, corporate director/officer-corporation, and partner- partnership</w:t>
      </w:r>
      <w:r w:rsidR="00474B23" w:rsidRPr="0053374E">
        <w:rPr>
          <w:rFonts w:hint="cs"/>
          <w:sz w:val="22"/>
          <w:szCs w:val="22"/>
          <w:rtl/>
        </w:rPr>
        <w:t xml:space="preserve">. למגוון יחסי </w:t>
      </w:r>
      <w:r w:rsidRPr="0053374E">
        <w:rPr>
          <w:rFonts w:hint="cs"/>
          <w:sz w:val="22"/>
          <w:szCs w:val="22"/>
          <w:rtl/>
        </w:rPr>
        <w:t xml:space="preserve">אמונאות המוכרים ראו </w:t>
      </w:r>
    </w:p>
    <w:p w14:paraId="19C0EB4D" w14:textId="3C7DE2CC" w:rsidR="00354596" w:rsidRPr="0053374E" w:rsidRDefault="00354596" w:rsidP="004F5712">
      <w:pPr>
        <w:bidi w:val="0"/>
        <w:jc w:val="both"/>
        <w:rPr>
          <w:rFonts w:asciiTheme="majorBidi" w:hAnsiTheme="majorBidi" w:cstheme="majorBidi"/>
          <w:color w:val="000000" w:themeColor="text1"/>
          <w:shd w:val="clear" w:color="auto" w:fill="FFFFFF"/>
          <w:rtl/>
        </w:rPr>
      </w:pPr>
      <w:r w:rsidRPr="0053374E">
        <w:rPr>
          <w:rFonts w:asciiTheme="majorBidi" w:hAnsiTheme="majorBidi" w:cstheme="majorBidi"/>
          <w:color w:val="000000"/>
        </w:rPr>
        <w:t>Susan Dorr Goold &amp; Mack Lipkin, </w:t>
      </w:r>
      <w:r w:rsidRPr="0053374E">
        <w:rPr>
          <w:rFonts w:asciiTheme="majorBidi" w:hAnsiTheme="majorBidi" w:cstheme="majorBidi"/>
          <w:i/>
          <w:iCs/>
          <w:color w:val="000000"/>
        </w:rPr>
        <w:t>The Doctor–Patient Relationship: Challenges, Opportunities, and Strategies</w:t>
      </w:r>
      <w:r w:rsidRPr="0053374E">
        <w:rPr>
          <w:rFonts w:asciiTheme="majorBidi" w:hAnsiTheme="majorBidi" w:cstheme="majorBidi"/>
          <w:color w:val="000000"/>
        </w:rPr>
        <w:t xml:space="preserve">, 14 J. Gen. Intern. Med. 26 (1999); </w:t>
      </w:r>
      <w:r w:rsidRPr="0053374E">
        <w:rPr>
          <w:rFonts w:asciiTheme="majorBidi" w:hAnsiTheme="majorBidi" w:cstheme="majorBidi"/>
        </w:rPr>
        <w:t xml:space="preserve">Michele Goodwin, A Few Thoughts on Assisted Reproductive Technology, 27 Law &amp; Ineq. 465, 475 (2009); Robert Cooter; Bradley J. Freedman, </w:t>
      </w:r>
      <w:r w:rsidRPr="0053374E">
        <w:rPr>
          <w:rFonts w:asciiTheme="majorBidi" w:hAnsiTheme="majorBidi" w:cstheme="majorBidi"/>
          <w:i/>
          <w:iCs/>
        </w:rPr>
        <w:t>The Fiduciary Relationship: Its Economic Character and Legal Consequences</w:t>
      </w:r>
      <w:r w:rsidRPr="0053374E">
        <w:rPr>
          <w:rFonts w:asciiTheme="majorBidi" w:hAnsiTheme="majorBidi" w:cstheme="majorBidi"/>
        </w:rPr>
        <w:t xml:space="preserve">, 66 N.Y.U. L. Rev. 1045, 1046 (1991); </w:t>
      </w:r>
      <w:r w:rsidRPr="0053374E">
        <w:rPr>
          <w:rFonts w:asciiTheme="majorBidi" w:hAnsiTheme="majorBidi" w:cstheme="majorBidi"/>
          <w:color w:val="000000" w:themeColor="text1"/>
          <w:shd w:val="clear" w:color="auto" w:fill="FFFFFF"/>
        </w:rPr>
        <w:t>Alice Woolley, </w:t>
      </w:r>
      <w:r w:rsidRPr="0053374E">
        <w:rPr>
          <w:rFonts w:asciiTheme="majorBidi" w:hAnsiTheme="majorBidi" w:cstheme="majorBidi"/>
          <w:i/>
          <w:iCs/>
          <w:color w:val="000000" w:themeColor="text1"/>
          <w:shd w:val="clear" w:color="auto" w:fill="FFFFFF"/>
        </w:rPr>
        <w:t>The Lawyer as Fiduciary – Defining Private Law Duties in Public Law Relations</w:t>
      </w:r>
      <w:r w:rsidRPr="0053374E">
        <w:rPr>
          <w:rFonts w:asciiTheme="majorBidi" w:hAnsiTheme="majorBidi" w:cstheme="majorBidi"/>
          <w:color w:val="000000" w:themeColor="text1"/>
          <w:shd w:val="clear" w:color="auto" w:fill="FFFFFF"/>
        </w:rPr>
        <w:t xml:space="preserve">, </w:t>
      </w:r>
      <w:r w:rsidRPr="0053374E">
        <w:rPr>
          <w:rFonts w:asciiTheme="majorBidi" w:hAnsiTheme="majorBidi" w:cstheme="majorBidi"/>
          <w:smallCaps/>
          <w:color w:val="000000" w:themeColor="text1"/>
          <w:shd w:val="clear" w:color="auto" w:fill="FFFFFF"/>
        </w:rPr>
        <w:t>65 U. Toronto L.J. 285</w:t>
      </w:r>
      <w:r w:rsidRPr="0053374E">
        <w:rPr>
          <w:rFonts w:asciiTheme="majorBidi" w:hAnsiTheme="majorBidi" w:cstheme="majorBidi"/>
          <w:color w:val="000000" w:themeColor="text1"/>
          <w:shd w:val="clear" w:color="auto" w:fill="FFFFFF"/>
        </w:rPr>
        <w:t xml:space="preserve"> (2015)</w:t>
      </w:r>
      <w:r w:rsidRPr="0053374E">
        <w:rPr>
          <w:rFonts w:asciiTheme="majorBidi" w:hAnsiTheme="majorBidi" w:cstheme="majorBidi"/>
          <w:color w:val="000000" w:themeColor="text1"/>
        </w:rPr>
        <w:t>;</w:t>
      </w:r>
      <w:r w:rsidRPr="0053374E">
        <w:rPr>
          <w:rFonts w:asciiTheme="majorBidi" w:hAnsiTheme="majorBidi" w:cstheme="majorBidi"/>
          <w:color w:val="000000" w:themeColor="text1"/>
          <w:shd w:val="clear" w:color="auto" w:fill="FFFFFF"/>
        </w:rPr>
        <w:t xml:space="preserve"> Sande Buhai, </w:t>
      </w:r>
      <w:r w:rsidRPr="0053374E">
        <w:rPr>
          <w:rFonts w:asciiTheme="majorBidi" w:hAnsiTheme="majorBidi" w:cstheme="majorBidi"/>
          <w:i/>
          <w:iCs/>
          <w:color w:val="000000" w:themeColor="text1"/>
          <w:shd w:val="clear" w:color="auto" w:fill="FFFFFF"/>
        </w:rPr>
        <w:t>Lawyers as Fiduciaries</w:t>
      </w:r>
      <w:r w:rsidRPr="0053374E">
        <w:rPr>
          <w:rFonts w:asciiTheme="majorBidi" w:hAnsiTheme="majorBidi" w:cstheme="majorBidi"/>
          <w:color w:val="000000" w:themeColor="text1"/>
          <w:shd w:val="clear" w:color="auto" w:fill="FFFFFF"/>
        </w:rPr>
        <w:t xml:space="preserve">, </w:t>
      </w:r>
      <w:r w:rsidRPr="0053374E">
        <w:rPr>
          <w:rFonts w:asciiTheme="majorBidi" w:hAnsiTheme="majorBidi" w:cstheme="majorBidi"/>
          <w:smallCaps/>
          <w:color w:val="000000" w:themeColor="text1"/>
          <w:shd w:val="clear" w:color="auto" w:fill="FFFFFF"/>
        </w:rPr>
        <w:t>53 St. Louis U. L.J. 553</w:t>
      </w:r>
      <w:r w:rsidRPr="0053374E">
        <w:rPr>
          <w:rFonts w:asciiTheme="majorBidi" w:hAnsiTheme="majorBidi" w:cstheme="majorBidi"/>
          <w:color w:val="000000" w:themeColor="text1"/>
          <w:shd w:val="clear" w:color="auto" w:fill="FFFFFF"/>
        </w:rPr>
        <w:t xml:space="preserve"> (2009).</w:t>
      </w:r>
      <w:r w:rsidRPr="0053374E">
        <w:rPr>
          <w:rFonts w:asciiTheme="majorBidi" w:hAnsiTheme="majorBidi" w:cstheme="majorBidi"/>
          <w:color w:val="000000" w:themeColor="text1"/>
        </w:rPr>
        <w:t xml:space="preserve"> </w:t>
      </w:r>
    </w:p>
  </w:footnote>
  <w:footnote w:id="3">
    <w:p w14:paraId="270A3728" w14:textId="738D5488" w:rsidR="00354596" w:rsidRPr="0053374E" w:rsidRDefault="00354596" w:rsidP="009D211B">
      <w:pPr>
        <w:pStyle w:val="FootnoteText"/>
        <w:bidi w:val="0"/>
        <w:rPr>
          <w:rFonts w:ascii="David" w:hAnsi="David" w:cs="David"/>
          <w:sz w:val="22"/>
          <w:szCs w:val="22"/>
        </w:rPr>
      </w:pPr>
      <w:r w:rsidRPr="0053374E">
        <w:rPr>
          <w:rStyle w:val="FootnoteReference"/>
          <w:rFonts w:ascii="David" w:hAnsi="David" w:cs="David"/>
          <w:sz w:val="22"/>
          <w:szCs w:val="22"/>
        </w:rPr>
        <w:footnoteRef/>
      </w:r>
      <w:r w:rsidRPr="0053374E">
        <w:rPr>
          <w:rFonts w:ascii="David" w:hAnsi="David" w:cs="David"/>
          <w:sz w:val="22"/>
          <w:szCs w:val="22"/>
          <w:rtl/>
        </w:rPr>
        <w:t xml:space="preserve"> </w:t>
      </w:r>
      <w:hyperlink r:id="rId1" w:history="1">
        <w:r w:rsidRPr="0053374E">
          <w:rPr>
            <w:rStyle w:val="Hyperlink"/>
            <w:rFonts w:ascii="David" w:hAnsi="David" w:cs="David"/>
            <w:sz w:val="22"/>
            <w:szCs w:val="22"/>
          </w:rPr>
          <w:t>https://www.census.gov/data/tables/2017/demo/families/cps-2017.html?#</w:t>
        </w:r>
      </w:hyperlink>
      <w:r w:rsidRPr="0053374E">
        <w:rPr>
          <w:rFonts w:ascii="David" w:hAnsi="David" w:cs="David"/>
          <w:sz w:val="22"/>
          <w:szCs w:val="22"/>
        </w:rPr>
        <w:t xml:space="preserve"> table c-2.</w:t>
      </w:r>
    </w:p>
    <w:p w14:paraId="03470B02" w14:textId="2C61CF43" w:rsidR="00354596" w:rsidRPr="0053374E" w:rsidRDefault="00354596" w:rsidP="00095944">
      <w:pPr>
        <w:bidi w:val="0"/>
        <w:rPr>
          <w:rFonts w:ascii="Times New Roman" w:eastAsia="Times New Roman" w:hAnsi="Times New Roman" w:cs="Times New Roman"/>
        </w:rPr>
      </w:pPr>
      <w:hyperlink r:id="rId2" w:history="1">
        <w:r w:rsidRPr="0053374E">
          <w:rPr>
            <w:rStyle w:val="Hyperlink"/>
            <w:rFonts w:ascii="Times New Roman" w:eastAsia="Times New Roman" w:hAnsi="Times New Roman" w:cs="Times New Roman"/>
          </w:rPr>
          <w:t>https://ifstudies.org/blog/more-than-60-of-u-s-kids-live-with-two-biological-parents/</w:t>
        </w:r>
      </w:hyperlink>
    </w:p>
    <w:p w14:paraId="0FF0D4FA" w14:textId="6778039D" w:rsidR="00354596" w:rsidRPr="0053374E" w:rsidRDefault="00354596" w:rsidP="00095944">
      <w:pPr>
        <w:bidi w:val="0"/>
        <w:jc w:val="both"/>
        <w:rPr>
          <w:rFonts w:ascii="David" w:eastAsia="Times New Roman" w:hAnsi="David" w:cs="David"/>
          <w:color w:val="222222"/>
          <w:shd w:val="clear" w:color="auto" w:fill="FFFFFF"/>
        </w:rPr>
      </w:pPr>
      <w:r w:rsidRPr="0053374E">
        <w:rPr>
          <w:rFonts w:ascii="David" w:hAnsi="David" w:cs="David"/>
        </w:rPr>
        <w:t>“</w:t>
      </w:r>
      <w:r w:rsidRPr="0053374E">
        <w:rPr>
          <w:rFonts w:ascii="David" w:eastAsia="Times New Roman" w:hAnsi="David" w:cs="David"/>
          <w:color w:val="222222"/>
          <w:shd w:val="clear" w:color="auto" w:fill="FFFFFF"/>
        </w:rPr>
        <w:t>Twenty million of today’s children—more than a quarter—live in single-parent families, and six times as many of them reside with their birth mothers (23 percent) as with their birth fathers (4 percent). Four million children—about 5 percent—reside with one biological parent and a stepparent, following a divorce or nonmarital birth. Three times as many live with a birth mother and stepfather (3 percent) as with a biological father and stepmother (1 percent).”</w:t>
      </w:r>
    </w:p>
  </w:footnote>
  <w:footnote w:id="4">
    <w:p w14:paraId="25BDDE49" w14:textId="702778A8" w:rsidR="00354596" w:rsidRPr="0053374E" w:rsidRDefault="00354596">
      <w:pPr>
        <w:pStyle w:val="FootnoteText"/>
        <w:rPr>
          <w:rFonts w:hint="cs"/>
          <w:sz w:val="22"/>
          <w:szCs w:val="22"/>
          <w:rtl/>
        </w:rPr>
      </w:pPr>
      <w:r w:rsidRPr="0053374E">
        <w:rPr>
          <w:rStyle w:val="FootnoteReference"/>
          <w:sz w:val="22"/>
          <w:szCs w:val="22"/>
        </w:rPr>
        <w:footnoteRef/>
      </w:r>
      <w:r w:rsidRPr="0053374E">
        <w:rPr>
          <w:sz w:val="22"/>
          <w:szCs w:val="22"/>
          <w:rtl/>
        </w:rPr>
        <w:t xml:space="preserve"> </w:t>
      </w:r>
      <w:r w:rsidRPr="0053374E">
        <w:rPr>
          <w:rFonts w:hint="cs"/>
          <w:sz w:val="22"/>
          <w:szCs w:val="22"/>
          <w:rtl/>
        </w:rPr>
        <w:t>רא</w:t>
      </w:r>
      <w:r w:rsidR="00474B23" w:rsidRPr="0053374E">
        <w:rPr>
          <w:rFonts w:hint="cs"/>
          <w:sz w:val="22"/>
          <w:szCs w:val="22"/>
          <w:rtl/>
        </w:rPr>
        <w:t>ו להלן התייחסות בהערת שוליים</w:t>
      </w:r>
      <w:r w:rsidRPr="0053374E">
        <w:rPr>
          <w:rFonts w:hint="cs"/>
          <w:sz w:val="22"/>
          <w:szCs w:val="22"/>
          <w:rtl/>
        </w:rPr>
        <w:t xml:space="preserve"> </w:t>
      </w:r>
    </w:p>
  </w:footnote>
  <w:footnote w:id="5">
    <w:p w14:paraId="04E8BF67" w14:textId="5577EA8B" w:rsidR="00354596" w:rsidRPr="0053374E" w:rsidRDefault="00354596" w:rsidP="004F6152">
      <w:pPr>
        <w:pStyle w:val="FootnoteText"/>
        <w:rPr>
          <w:rFonts w:ascii="David" w:hAnsi="David" w:cs="David"/>
          <w:sz w:val="22"/>
          <w:szCs w:val="22"/>
          <w:rtl/>
        </w:rPr>
      </w:pPr>
      <w:r w:rsidRPr="0053374E">
        <w:rPr>
          <w:rStyle w:val="FootnoteReference"/>
          <w:sz w:val="22"/>
          <w:szCs w:val="22"/>
        </w:rPr>
        <w:footnoteRef/>
      </w:r>
      <w:r w:rsidRPr="0053374E">
        <w:rPr>
          <w:sz w:val="22"/>
          <w:szCs w:val="22"/>
          <w:rtl/>
        </w:rPr>
        <w:t xml:space="preserve"> </w:t>
      </w:r>
      <w:r w:rsidRPr="0053374E">
        <w:rPr>
          <w:rFonts w:ascii="David" w:hAnsi="David" w:cs="David" w:hint="cs"/>
          <w:sz w:val="22"/>
          <w:szCs w:val="22"/>
          <w:rtl/>
        </w:rPr>
        <w:t>על הבחירה להשתמש במונח "הורה חורג" ומשמעותו של "הורה חורג</w:t>
      </w:r>
      <w:r w:rsidR="00474B23" w:rsidRPr="0053374E">
        <w:rPr>
          <w:rFonts w:ascii="David" w:hAnsi="David" w:cs="David" w:hint="cs"/>
          <w:sz w:val="22"/>
          <w:szCs w:val="22"/>
          <w:rtl/>
        </w:rPr>
        <w:t>" בהקשר של מאמר זה, ראו להלן</w:t>
      </w:r>
    </w:p>
  </w:footnote>
  <w:footnote w:id="6">
    <w:p w14:paraId="7713FBA6" w14:textId="6C0CBD76" w:rsidR="00354596" w:rsidRPr="0053374E" w:rsidRDefault="00354596" w:rsidP="00715F95">
      <w:pPr>
        <w:pStyle w:val="FootnoteText"/>
        <w:rPr>
          <w:rFonts w:ascii="David" w:hAnsi="David" w:cs="David"/>
          <w:sz w:val="22"/>
          <w:szCs w:val="22"/>
          <w:rtl/>
        </w:rPr>
      </w:pPr>
      <w:r w:rsidRPr="0053374E">
        <w:rPr>
          <w:rStyle w:val="FootnoteReference"/>
          <w:rFonts w:ascii="David" w:hAnsi="David" w:cs="David"/>
          <w:sz w:val="22"/>
          <w:szCs w:val="22"/>
        </w:rPr>
        <w:footnoteRef/>
      </w:r>
      <w:r w:rsidR="00474B23" w:rsidRPr="0053374E">
        <w:rPr>
          <w:rFonts w:ascii="David" w:hAnsi="David" w:cs="David"/>
          <w:sz w:val="22"/>
          <w:szCs w:val="22"/>
          <w:rtl/>
        </w:rPr>
        <w:t xml:space="preserve"> להלן חלק</w:t>
      </w:r>
    </w:p>
  </w:footnote>
  <w:footnote w:id="7">
    <w:p w14:paraId="54A9F6EE" w14:textId="28C3049C" w:rsidR="00354596" w:rsidRPr="0053374E" w:rsidRDefault="00354596" w:rsidP="00C25BDA">
      <w:pPr>
        <w:pStyle w:val="FootnoteText"/>
        <w:rPr>
          <w:rFonts w:ascii="David" w:hAnsi="David" w:cs="David"/>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David" w:hAnsi="David" w:cs="David" w:hint="cs"/>
          <w:sz w:val="22"/>
          <w:szCs w:val="22"/>
          <w:rtl/>
        </w:rPr>
        <w:t xml:space="preserve">על אף ש </w:t>
      </w:r>
      <w:r w:rsidRPr="0053374E">
        <w:rPr>
          <w:rFonts w:ascii="David" w:hAnsi="David" w:cs="David"/>
          <w:sz w:val="22"/>
          <w:szCs w:val="22"/>
        </w:rPr>
        <w:t>Huntington</w:t>
      </w:r>
      <w:r w:rsidRPr="0053374E">
        <w:rPr>
          <w:rFonts w:ascii="David" w:hAnsi="David" w:cs="David" w:hint="cs"/>
          <w:sz w:val="22"/>
          <w:szCs w:val="22"/>
          <w:rtl/>
        </w:rPr>
        <w:t xml:space="preserve"> איננה מדברת על רגולציה של יחסי הורה לא משמורן והורה חורג, הרי שעמדתה הבסיסית תואמת את מהלך הטיעון, לשיטתה:</w:t>
      </w:r>
    </w:p>
    <w:p w14:paraId="2E96E7AE" w14:textId="2C0BFA1C" w:rsidR="00354596" w:rsidRPr="0053374E" w:rsidRDefault="00354596" w:rsidP="00474B23">
      <w:pPr>
        <w:pStyle w:val="FootnoteText"/>
        <w:bidi w:val="0"/>
        <w:rPr>
          <w:rFonts w:ascii="David" w:hAnsi="David" w:cs="David"/>
          <w:sz w:val="22"/>
          <w:szCs w:val="22"/>
        </w:rPr>
      </w:pPr>
      <w:r w:rsidRPr="0053374E">
        <w:rPr>
          <w:rFonts w:ascii="David" w:hAnsi="David" w:cs="David"/>
          <w:sz w:val="22"/>
          <w:szCs w:val="22"/>
        </w:rPr>
        <w:t>"To foster strong, stable, positive relationships… requires a reorientation of the ubiquitous role that the legal system already plays in relationships. To foster strong relationships, structural family law should grant legal recognition to a broader range of families, rather than recognizing only traditional nuclear families. To foster stable relationships, structural family law should encourage long-term commitment between parents – commitment to each other or at least commitment to the shar</w:t>
      </w:r>
      <w:r w:rsidR="00474B23" w:rsidRPr="0053374E">
        <w:rPr>
          <w:rFonts w:ascii="David" w:hAnsi="David" w:cs="David"/>
          <w:sz w:val="22"/>
          <w:szCs w:val="22"/>
        </w:rPr>
        <w:t xml:space="preserve">ed work of raising children." </w:t>
      </w:r>
      <w:r w:rsidRPr="0053374E">
        <w:rPr>
          <w:rFonts w:ascii="David" w:hAnsi="David" w:cs="David"/>
          <w:smallCaps/>
          <w:sz w:val="22"/>
          <w:szCs w:val="22"/>
        </w:rPr>
        <w:t>Clare Huntington</w:t>
      </w:r>
      <w:r w:rsidRPr="0053374E">
        <w:rPr>
          <w:rFonts w:ascii="David" w:hAnsi="David" w:cs="David"/>
          <w:sz w:val="22"/>
          <w:szCs w:val="22"/>
        </w:rPr>
        <w:t xml:space="preserve">, </w:t>
      </w:r>
      <w:r w:rsidRPr="0053374E">
        <w:rPr>
          <w:rFonts w:ascii="David" w:hAnsi="David" w:cs="David"/>
          <w:smallCaps/>
          <w:sz w:val="22"/>
          <w:szCs w:val="22"/>
        </w:rPr>
        <w:t>Failure to Flourish: How Law Undermines Family Relationships</w:t>
      </w:r>
      <w:r w:rsidRPr="0053374E">
        <w:rPr>
          <w:rFonts w:ascii="David" w:hAnsi="David" w:cs="David"/>
          <w:sz w:val="22"/>
          <w:szCs w:val="22"/>
        </w:rPr>
        <w:t xml:space="preserve"> xv (2014). </w:t>
      </w:r>
    </w:p>
  </w:footnote>
  <w:footnote w:id="8">
    <w:p w14:paraId="6E42C085" w14:textId="24E04C84" w:rsidR="00354596" w:rsidRPr="0053374E" w:rsidRDefault="00354596" w:rsidP="00474B23">
      <w:pPr>
        <w:pStyle w:val="FootnoteText"/>
        <w:jc w:val="both"/>
        <w:rPr>
          <w:rFonts w:ascii="David" w:hAnsi="David" w:cs="David"/>
          <w:sz w:val="22"/>
          <w:szCs w:val="22"/>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David" w:hAnsi="David" w:cs="David" w:hint="cs"/>
          <w:sz w:val="22"/>
          <w:szCs w:val="22"/>
          <w:rtl/>
        </w:rPr>
        <w:t xml:space="preserve">כפי שיוסבר בפרק הבא, לצורך זיהוי ההורה החורג לא נדרשים בהכרח נישואים שניים אלא רק זוגיות במסגרת מגורים משותפים. בנוסף, יתייחס מאמר זה גם לילדים שנולדו מלכתחילה </w:t>
      </w:r>
      <w:r w:rsidRPr="0053374E">
        <w:rPr>
          <w:rFonts w:ascii="David" w:hAnsi="David" w:cs="David"/>
          <w:sz w:val="22"/>
          <w:szCs w:val="22"/>
          <w:rtl/>
        </w:rPr>
        <w:t xml:space="preserve">בהעדר </w:t>
      </w:r>
      <w:r w:rsidRPr="0053374E">
        <w:rPr>
          <w:rFonts w:ascii="David" w:hAnsi="David" w:cs="David" w:hint="cs"/>
          <w:sz w:val="22"/>
          <w:szCs w:val="22"/>
          <w:rtl/>
        </w:rPr>
        <w:t>קשר זוגי מוכר</w:t>
      </w:r>
      <w:r w:rsidRPr="0053374E">
        <w:rPr>
          <w:rFonts w:ascii="David" w:hAnsi="David" w:cs="David"/>
          <w:sz w:val="22"/>
          <w:szCs w:val="22"/>
          <w:rtl/>
        </w:rPr>
        <w:t>, אך האב הביולוגי מוכר משפטית ומתפקד כאב מחוץ ליחידה המשפחתית. על הסיטואציות העובדתיות</w:t>
      </w:r>
      <w:r w:rsidR="00474B23" w:rsidRPr="0053374E">
        <w:rPr>
          <w:rFonts w:ascii="David" w:hAnsi="David" w:cs="David" w:hint="cs"/>
          <w:sz w:val="22"/>
          <w:szCs w:val="22"/>
          <w:rtl/>
        </w:rPr>
        <w:t xml:space="preserve"> ראו להלן</w:t>
      </w:r>
      <w:r w:rsidRPr="0053374E">
        <w:rPr>
          <w:rFonts w:ascii="David" w:hAnsi="David" w:cs="David" w:hint="cs"/>
          <w:sz w:val="22"/>
          <w:szCs w:val="22"/>
          <w:rtl/>
        </w:rPr>
        <w:t>.</w:t>
      </w:r>
    </w:p>
  </w:footnote>
  <w:footnote w:id="9">
    <w:p w14:paraId="10198E1C" w14:textId="3B85EAD0" w:rsidR="00354596" w:rsidRPr="0053374E" w:rsidRDefault="00354596" w:rsidP="00F83B3E">
      <w:pPr>
        <w:pStyle w:val="FootnoteText"/>
        <w:jc w:val="both"/>
        <w:rPr>
          <w:rFonts w:ascii="David" w:hAnsi="David" w:cs="David"/>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אפשר לטעון, ואולם נדמה שזאת טענה שאיננה חזקה דיו, כי כאשר בני זוג נפרדים, בין אם מרצון או בלית ברירה, הרי שהם לוקחים בחשבון שבן הזוג הקודם שלהם, שהוא ההורה המשמורן, עשוי בסבירות גבוהה להימצא במערכת יחסים זוגית חדשה. ניתן לטעון כי הפרידה (וחלוקת הטיפול בילד) כשלעצמן מהוות הסכמה משתמעת לסיטואציה כזו. בדומה (וכאן הטענה חזקה יותר) כי כניסה של אדם למערכת יחסים עם אדם שהוא יודע שמתפקד כהורה משמורן מהווה הסכמה משתמעת לסיטואציה האמורה, לרבות התפקידים שהיא מגלמת.</w:t>
      </w:r>
    </w:p>
  </w:footnote>
  <w:footnote w:id="10">
    <w:p w14:paraId="33BB5638" w14:textId="77777777" w:rsidR="00354596" w:rsidRPr="0053374E" w:rsidRDefault="00354596" w:rsidP="004F5712">
      <w:pPr>
        <w:rPr>
          <w:rFonts w:ascii="David" w:hAnsi="David" w:cs="David"/>
          <w:rtl/>
        </w:rPr>
      </w:pPr>
      <w:r w:rsidRPr="0053374E">
        <w:rPr>
          <w:rStyle w:val="FootnoteReference"/>
          <w:rFonts w:ascii="David" w:hAnsi="David" w:cs="David"/>
        </w:rPr>
        <w:footnoteRef/>
      </w:r>
      <w:r w:rsidRPr="0053374E">
        <w:rPr>
          <w:rFonts w:ascii="David" w:hAnsi="David" w:cs="David"/>
          <w:rtl/>
        </w:rPr>
        <w:t xml:space="preserve"> להגדרה הקלאסית של סטטוס משפטי ראו:</w:t>
      </w:r>
    </w:p>
    <w:p w14:paraId="197BAC37" w14:textId="40552A94" w:rsidR="00354596" w:rsidRPr="0053374E" w:rsidRDefault="00354596" w:rsidP="004F5712">
      <w:pPr>
        <w:bidi w:val="0"/>
        <w:rPr>
          <w:rFonts w:ascii="David" w:hAnsi="David" w:cs="David"/>
          <w:color w:val="000000" w:themeColor="text1"/>
        </w:rPr>
      </w:pPr>
      <w:r w:rsidRPr="0053374E">
        <w:rPr>
          <w:rFonts w:hint="cs"/>
          <w:rtl/>
        </w:rPr>
        <w:t xml:space="preserve"> </w:t>
      </w:r>
      <w:hyperlink r:id="rId3" w:history="1">
        <w:r w:rsidRPr="0053374E">
          <w:rPr>
            <w:rStyle w:val="Hyperlink"/>
            <w:rFonts w:ascii="David" w:hAnsi="David" w:cs="David"/>
            <w:color w:val="000000" w:themeColor="text1"/>
            <w:u w:val="none"/>
            <w:bdr w:val="none" w:sz="0" w:space="0" w:color="auto" w:frame="1"/>
            <w:shd w:val="clear" w:color="auto" w:fill="FFFFFF"/>
          </w:rPr>
          <w:t>Dunham v. Dunham, 57 Ill. App. 475, 1894 Ill. App. LEXIS 323</w:t>
        </w:r>
      </w:hyperlink>
      <w:r w:rsidRPr="0053374E">
        <w:rPr>
          <w:rStyle w:val="Hyperlink"/>
          <w:rFonts w:ascii="David" w:hAnsi="David" w:cs="David"/>
          <w:color w:val="000000" w:themeColor="text1"/>
          <w:u w:val="none"/>
          <w:bdr w:val="none" w:sz="0" w:space="0" w:color="auto" w:frame="1"/>
          <w:shd w:val="clear" w:color="auto" w:fill="FFFFFF"/>
        </w:rPr>
        <w:t xml:space="preserve">; </w:t>
      </w:r>
      <w:r w:rsidRPr="0053374E">
        <w:rPr>
          <w:rFonts w:asciiTheme="majorBidi" w:hAnsiTheme="majorBidi" w:cstheme="majorBidi"/>
          <w:smallCaps/>
          <w:color w:val="000000" w:themeColor="text1"/>
        </w:rPr>
        <w:t>R. H. Graveson, Status in the Common Law</w:t>
      </w:r>
      <w:r w:rsidRPr="0053374E">
        <w:rPr>
          <w:rFonts w:asciiTheme="majorBidi" w:hAnsiTheme="majorBidi" w:cstheme="majorBidi"/>
          <w:b/>
          <w:bCs/>
          <w:color w:val="000000" w:themeColor="text1"/>
        </w:rPr>
        <w:t xml:space="preserve"> </w:t>
      </w:r>
      <w:r w:rsidRPr="0053374E">
        <w:rPr>
          <w:rFonts w:asciiTheme="majorBidi" w:hAnsiTheme="majorBidi" w:cstheme="majorBidi"/>
          <w:color w:val="000000" w:themeColor="text1"/>
        </w:rPr>
        <w:t>2 (1953)</w:t>
      </w:r>
      <w:r w:rsidRPr="0053374E">
        <w:rPr>
          <w:rFonts w:ascii="David" w:hAnsi="David" w:cs="David"/>
          <w:color w:val="000000" w:themeColor="text1"/>
        </w:rPr>
        <w:t>.</w:t>
      </w:r>
    </w:p>
    <w:p w14:paraId="1E4F3BE5" w14:textId="12376613" w:rsidR="00354596" w:rsidRPr="0053374E" w:rsidRDefault="00354596" w:rsidP="004F5712">
      <w:pPr>
        <w:rPr>
          <w:rFonts w:ascii="David" w:hAnsi="David" w:cs="David" w:hint="cs"/>
          <w:color w:val="000000" w:themeColor="text1"/>
          <w:rtl/>
        </w:rPr>
      </w:pPr>
      <w:r w:rsidRPr="0053374E">
        <w:rPr>
          <w:rFonts w:ascii="David" w:hAnsi="David" w:cs="David" w:hint="cs"/>
          <w:color w:val="000000" w:themeColor="text1"/>
          <w:rtl/>
        </w:rPr>
        <w:t>להגדרה עדכנית יותר, ראו:</w:t>
      </w:r>
    </w:p>
    <w:p w14:paraId="72CC4A59" w14:textId="7CCEC330" w:rsidR="00354596" w:rsidRPr="0053374E" w:rsidRDefault="00354596" w:rsidP="00FB1E3E">
      <w:pPr>
        <w:bidi w:val="0"/>
        <w:rPr>
          <w:rFonts w:ascii="David" w:hAnsi="David" w:cs="David"/>
          <w:color w:val="000000" w:themeColor="text1"/>
          <w:rtl/>
        </w:rPr>
      </w:pPr>
      <w:r w:rsidRPr="0053374E">
        <w:rPr>
          <w:rFonts w:asciiTheme="majorBidi" w:hAnsiTheme="majorBidi" w:cstheme="majorBidi"/>
          <w:color w:val="000000" w:themeColor="text1"/>
          <w:shd w:val="clear" w:color="auto" w:fill="FFFFFF"/>
        </w:rPr>
        <w:t>Geoffrey MacCormack, </w:t>
      </w:r>
      <w:r w:rsidRPr="0053374E">
        <w:rPr>
          <w:rFonts w:asciiTheme="majorBidi" w:hAnsiTheme="majorBidi" w:cstheme="majorBidi"/>
          <w:i/>
          <w:iCs/>
          <w:color w:val="000000" w:themeColor="text1"/>
          <w:shd w:val="clear" w:color="auto" w:fill="FFFFFF"/>
        </w:rPr>
        <w:t>Status: Problems of Definition and Use</w:t>
      </w:r>
      <w:r w:rsidRPr="0053374E">
        <w:rPr>
          <w:rFonts w:asciiTheme="majorBidi" w:hAnsiTheme="majorBidi" w:cstheme="majorBidi"/>
          <w:color w:val="000000" w:themeColor="text1"/>
          <w:shd w:val="clear" w:color="auto" w:fill="FFFFFF"/>
        </w:rPr>
        <w:t xml:space="preserve">, </w:t>
      </w:r>
      <w:r w:rsidRPr="0053374E">
        <w:rPr>
          <w:rFonts w:asciiTheme="majorBidi" w:hAnsiTheme="majorBidi" w:cstheme="majorBidi"/>
          <w:smallCaps/>
          <w:color w:val="000000" w:themeColor="text1"/>
          <w:shd w:val="clear" w:color="auto" w:fill="FFFFFF"/>
        </w:rPr>
        <w:t xml:space="preserve">43 Cambridge L.J. 361 </w:t>
      </w:r>
      <w:r w:rsidRPr="0053374E">
        <w:rPr>
          <w:rFonts w:asciiTheme="majorBidi" w:hAnsiTheme="majorBidi" w:cstheme="majorBidi"/>
          <w:color w:val="000000" w:themeColor="text1"/>
          <w:shd w:val="clear" w:color="auto" w:fill="FFFFFF"/>
        </w:rPr>
        <w:t>(1984)</w:t>
      </w:r>
      <w:r w:rsidRPr="0053374E">
        <w:rPr>
          <w:rFonts w:asciiTheme="majorBidi" w:hAnsiTheme="majorBidi" w:cstheme="majorBidi"/>
          <w:color w:val="000000" w:themeColor="text1"/>
        </w:rPr>
        <w:t>.</w:t>
      </w:r>
    </w:p>
  </w:footnote>
  <w:footnote w:id="11">
    <w:p w14:paraId="7226E669" w14:textId="77777777" w:rsidR="00354596" w:rsidRPr="0053374E" w:rsidRDefault="00354596" w:rsidP="00E45443">
      <w:pPr>
        <w:pStyle w:val="FootnoteText"/>
        <w:rPr>
          <w:rFonts w:ascii="David" w:hAnsi="David" w:cs="David" w:hint="cs"/>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על משפחות חורגות ראו בהרח</w:t>
      </w:r>
      <w:r w:rsidRPr="0053374E">
        <w:rPr>
          <w:rFonts w:ascii="David" w:hAnsi="David" w:cs="David" w:hint="cs"/>
          <w:sz w:val="22"/>
          <w:szCs w:val="22"/>
          <w:rtl/>
        </w:rPr>
        <w:t>בה</w:t>
      </w:r>
      <w:r w:rsidRPr="0053374E">
        <w:rPr>
          <w:rFonts w:ascii="David" w:hAnsi="David" w:cs="David"/>
          <w:sz w:val="22"/>
          <w:szCs w:val="22"/>
        </w:rPr>
        <w:t>:</w:t>
      </w:r>
    </w:p>
    <w:p w14:paraId="59623C2F" w14:textId="1738FE94" w:rsidR="00354596" w:rsidRPr="0053374E" w:rsidRDefault="00354596">
      <w:pPr>
        <w:pStyle w:val="FootnoteText"/>
        <w:bidi w:val="0"/>
        <w:rPr>
          <w:rFonts w:asciiTheme="majorBidi" w:hAnsiTheme="majorBidi" w:cstheme="majorBidi"/>
          <w:sz w:val="22"/>
          <w:szCs w:val="22"/>
        </w:rPr>
      </w:pPr>
      <w:r w:rsidRPr="0053374E">
        <w:rPr>
          <w:rFonts w:asciiTheme="majorBidi" w:hAnsiTheme="majorBidi" w:cstheme="majorBidi"/>
          <w:smallCaps/>
          <w:sz w:val="22"/>
          <w:szCs w:val="22"/>
        </w:rPr>
        <w:t>Margaret M. Mahoney</w:t>
      </w:r>
      <w:r w:rsidRPr="0053374E">
        <w:rPr>
          <w:rFonts w:asciiTheme="majorBidi" w:hAnsiTheme="majorBidi" w:cstheme="majorBidi"/>
          <w:sz w:val="22"/>
          <w:szCs w:val="22"/>
        </w:rPr>
        <w:t xml:space="preserve">, </w:t>
      </w:r>
      <w:r w:rsidRPr="0053374E">
        <w:rPr>
          <w:rFonts w:asciiTheme="majorBidi" w:hAnsiTheme="majorBidi" w:cstheme="majorBidi"/>
          <w:smallCaps/>
          <w:sz w:val="22"/>
          <w:szCs w:val="22"/>
        </w:rPr>
        <w:t>Stepfamilies &amp; the Law</w:t>
      </w:r>
      <w:r w:rsidRPr="0053374E">
        <w:rPr>
          <w:rFonts w:asciiTheme="majorBidi" w:hAnsiTheme="majorBidi" w:cstheme="majorBidi"/>
          <w:sz w:val="22"/>
          <w:szCs w:val="22"/>
          <w:shd w:val="clear" w:color="auto" w:fill="FFFFFF"/>
        </w:rPr>
        <w:t xml:space="preserve"> (1994).</w:t>
      </w:r>
    </w:p>
  </w:footnote>
  <w:footnote w:id="12">
    <w:p w14:paraId="4F35760D" w14:textId="0782090B" w:rsidR="00354596" w:rsidRPr="0053374E" w:rsidRDefault="00354596" w:rsidP="006E3768">
      <w:pPr>
        <w:pStyle w:val="FootnoteText"/>
        <w:rPr>
          <w:rFonts w:ascii="David" w:hAnsi="David" w:cs="David"/>
          <w:sz w:val="22"/>
          <w:szCs w:val="22"/>
          <w:rtl/>
        </w:rPr>
      </w:pPr>
      <w:r w:rsidRPr="0053374E">
        <w:rPr>
          <w:rStyle w:val="FootnoteReference"/>
          <w:sz w:val="22"/>
          <w:szCs w:val="22"/>
        </w:rPr>
        <w:footnoteRef/>
      </w:r>
      <w:r w:rsidRPr="0053374E">
        <w:rPr>
          <w:sz w:val="22"/>
          <w:szCs w:val="22"/>
          <w:rtl/>
        </w:rPr>
        <w:t xml:space="preserve"> </w:t>
      </w:r>
      <w:r w:rsidRPr="0053374E">
        <w:rPr>
          <w:rFonts w:ascii="David" w:hAnsi="David" w:cs="David"/>
          <w:sz w:val="22"/>
          <w:szCs w:val="22"/>
          <w:rtl/>
        </w:rPr>
        <w:t>לעיל הערת שוליים</w:t>
      </w:r>
      <w:r w:rsidR="006E3768" w:rsidRPr="0053374E">
        <w:rPr>
          <w:rFonts w:ascii="David" w:hAnsi="David" w:cs="David" w:hint="cs"/>
          <w:sz w:val="22"/>
          <w:szCs w:val="22"/>
          <w:rtl/>
        </w:rPr>
        <w:t xml:space="preserve"> 3</w:t>
      </w:r>
      <w:r w:rsidRPr="0053374E">
        <w:rPr>
          <w:rFonts w:ascii="David" w:hAnsi="David" w:cs="David"/>
          <w:sz w:val="22"/>
          <w:szCs w:val="22"/>
          <w:rtl/>
        </w:rPr>
        <w:t xml:space="preserve">. </w:t>
      </w:r>
    </w:p>
  </w:footnote>
  <w:footnote w:id="13">
    <w:p w14:paraId="1C9DBBFD" w14:textId="69CB9947" w:rsidR="00354596" w:rsidRPr="0053374E" w:rsidRDefault="00354596" w:rsidP="00807A0E">
      <w:pPr>
        <w:pStyle w:val="FootnoteText"/>
        <w:jc w:val="both"/>
        <w:rPr>
          <w:rFonts w:ascii="David" w:hAnsi="David" w:cs="David"/>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באופן מובהק פחות אבל עדיין רלוונטי, גם בנסיבות של משמורת משותפת, עשוי ההורה החורג להיות באותו מקום כלפי ההורה השני, שאינו בן זוגו. כל עוד </w:t>
      </w:r>
      <w:r w:rsidR="00807A0E" w:rsidRPr="0053374E">
        <w:rPr>
          <w:rFonts w:ascii="David" w:hAnsi="David" w:cs="David" w:hint="cs"/>
          <w:sz w:val="22"/>
          <w:szCs w:val="22"/>
          <w:rtl/>
        </w:rPr>
        <w:t xml:space="preserve">שני </w:t>
      </w:r>
      <w:r w:rsidRPr="0053374E">
        <w:rPr>
          <w:rFonts w:ascii="David" w:hAnsi="David" w:cs="David"/>
          <w:sz w:val="22"/>
          <w:szCs w:val="22"/>
          <w:rtl/>
        </w:rPr>
        <w:t>ההורים</w:t>
      </w:r>
      <w:r w:rsidR="00807A0E" w:rsidRPr="0053374E">
        <w:rPr>
          <w:rFonts w:ascii="David" w:hAnsi="David" w:cs="David" w:hint="cs"/>
          <w:sz w:val="22"/>
          <w:szCs w:val="22"/>
          <w:rtl/>
        </w:rPr>
        <w:t xml:space="preserve"> אינם</w:t>
      </w:r>
      <w:r w:rsidRPr="0053374E">
        <w:rPr>
          <w:rFonts w:ascii="David" w:hAnsi="David" w:cs="David"/>
          <w:sz w:val="22"/>
          <w:szCs w:val="22"/>
          <w:rtl/>
        </w:rPr>
        <w:t xml:space="preserve"> גרים יחד, ויש זוגיות יציבה חדשה לאחד </w:t>
      </w:r>
      <w:r w:rsidR="00807A0E" w:rsidRPr="0053374E">
        <w:rPr>
          <w:rFonts w:ascii="David" w:hAnsi="David" w:cs="David" w:hint="cs"/>
          <w:sz w:val="22"/>
          <w:szCs w:val="22"/>
          <w:rtl/>
        </w:rPr>
        <w:t>מהם</w:t>
      </w:r>
      <w:r w:rsidRPr="0053374E">
        <w:rPr>
          <w:rFonts w:ascii="David" w:hAnsi="David" w:cs="David"/>
          <w:sz w:val="22"/>
          <w:szCs w:val="22"/>
          <w:rtl/>
        </w:rPr>
        <w:t xml:space="preserve">, ההורה החורג עשוי לבלות זמן ניכר עם הילד ולקבל מקום משמעותי ורב השפעה בחייו. לטענה כי מגורים עם הילד יוצרים יתרון משמעותי, באופן כללי </w:t>
      </w:r>
      <w:r w:rsidR="00807A0E" w:rsidRPr="0053374E">
        <w:rPr>
          <w:rFonts w:ascii="David" w:hAnsi="David" w:cs="David" w:hint="cs"/>
          <w:sz w:val="22"/>
          <w:szCs w:val="22"/>
          <w:rtl/>
        </w:rPr>
        <w:t>ראו</w:t>
      </w:r>
      <w:r w:rsidRPr="0053374E">
        <w:rPr>
          <w:rFonts w:ascii="David" w:hAnsi="David" w:cs="David"/>
          <w:sz w:val="22"/>
          <w:szCs w:val="22"/>
          <w:rtl/>
        </w:rPr>
        <w:t xml:space="preserve"> –</w:t>
      </w:r>
    </w:p>
    <w:p w14:paraId="337E4B7F" w14:textId="08BEC5CC" w:rsidR="00354596" w:rsidRPr="0053374E" w:rsidRDefault="00354596" w:rsidP="00C65DA0">
      <w:pPr>
        <w:pStyle w:val="FootnoteText"/>
        <w:bidi w:val="0"/>
        <w:rPr>
          <w:rFonts w:asciiTheme="majorBidi" w:hAnsiTheme="majorBidi" w:cstheme="majorBidi"/>
          <w:sz w:val="22"/>
          <w:szCs w:val="22"/>
        </w:rPr>
      </w:pPr>
      <w:r w:rsidRPr="0053374E">
        <w:rPr>
          <w:rFonts w:asciiTheme="majorBidi" w:hAnsiTheme="majorBidi" w:cstheme="majorBidi"/>
          <w:sz w:val="22"/>
          <w:szCs w:val="22"/>
          <w:shd w:val="clear" w:color="auto" w:fill="FFFFFF"/>
        </w:rPr>
        <w:t>Pamela Laufer-Ukeles &amp; Shelly Kreiczer-Levy, Family Formation and the Home, 104 Ky. L.J. (2016) 449, 485, 490-492.</w:t>
      </w:r>
    </w:p>
  </w:footnote>
  <w:footnote w:id="14">
    <w:p w14:paraId="71E5A8F4" w14:textId="5DA4228B" w:rsidR="00354596" w:rsidRPr="0053374E" w:rsidRDefault="00354596" w:rsidP="00095944">
      <w:pPr>
        <w:pStyle w:val="FootnoteText"/>
        <w:rPr>
          <w:rFonts w:ascii="David" w:hAnsi="David" w:cs="David"/>
          <w:sz w:val="22"/>
          <w:szCs w:val="22"/>
          <w:rtl/>
        </w:rPr>
      </w:pPr>
      <w:r w:rsidRPr="0053374E">
        <w:rPr>
          <w:rStyle w:val="FootnoteReference"/>
          <w:sz w:val="22"/>
          <w:szCs w:val="22"/>
        </w:rPr>
        <w:footnoteRef/>
      </w:r>
      <w:r w:rsidRPr="0053374E">
        <w:rPr>
          <w:sz w:val="22"/>
          <w:szCs w:val="22"/>
          <w:rtl/>
        </w:rPr>
        <w:t xml:space="preserve"> </w:t>
      </w:r>
      <w:r w:rsidRPr="0053374E">
        <w:rPr>
          <w:rFonts w:ascii="David" w:hAnsi="David" w:cs="David"/>
          <w:sz w:val="22"/>
          <w:szCs w:val="22"/>
          <w:rtl/>
        </w:rPr>
        <w:t>להערכות מספריות חל</w:t>
      </w:r>
      <w:r w:rsidR="0053374E" w:rsidRPr="0053374E">
        <w:rPr>
          <w:rFonts w:ascii="David" w:hAnsi="David" w:cs="David"/>
          <w:sz w:val="22"/>
          <w:szCs w:val="22"/>
          <w:rtl/>
        </w:rPr>
        <w:t xml:space="preserve">קיות </w:t>
      </w:r>
      <w:r w:rsidR="0053374E" w:rsidRPr="0053374E">
        <w:rPr>
          <w:rFonts w:ascii="David" w:hAnsi="David" w:cs="David" w:hint="cs"/>
          <w:sz w:val="22"/>
          <w:szCs w:val="22"/>
          <w:rtl/>
        </w:rPr>
        <w:t>ראו</w:t>
      </w:r>
    </w:p>
    <w:p w14:paraId="28ABC299" w14:textId="456C96E5" w:rsidR="00354596" w:rsidRPr="0053374E" w:rsidRDefault="00354596" w:rsidP="00095944">
      <w:pPr>
        <w:pStyle w:val="FootnoteText"/>
        <w:rPr>
          <w:rFonts w:ascii="David" w:hAnsi="David" w:cs="David"/>
          <w:sz w:val="22"/>
          <w:szCs w:val="22"/>
          <w:rtl/>
        </w:rPr>
      </w:pPr>
      <w:r w:rsidRPr="0053374E">
        <w:rPr>
          <w:rFonts w:ascii="David" w:hAnsi="David" w:cs="David"/>
          <w:sz w:val="22"/>
          <w:szCs w:val="22"/>
          <w:rtl/>
        </w:rPr>
        <w:t xml:space="preserve"> </w:t>
      </w:r>
      <w:r w:rsidRPr="0053374E">
        <w:rPr>
          <w:rFonts w:ascii="David" w:eastAsia="Times New Roman" w:hAnsi="David" w:cs="David"/>
          <w:sz w:val="22"/>
          <w:szCs w:val="22"/>
        </w:rPr>
        <w:t>National Stepfamily Day: September 16, 2018</w:t>
      </w:r>
    </w:p>
    <w:p w14:paraId="60553428" w14:textId="77777777" w:rsidR="00354596" w:rsidRPr="0053374E" w:rsidRDefault="00354596" w:rsidP="00135D5E">
      <w:pPr>
        <w:pStyle w:val="FootnoteText"/>
        <w:rPr>
          <w:rFonts w:ascii="David" w:hAnsi="David" w:cs="David"/>
          <w:sz w:val="22"/>
          <w:szCs w:val="22"/>
          <w:rtl/>
        </w:rPr>
      </w:pPr>
      <w:hyperlink r:id="rId4" w:history="1">
        <w:r w:rsidRPr="0053374E">
          <w:rPr>
            <w:rStyle w:val="Hyperlink"/>
            <w:rFonts w:ascii="David" w:hAnsi="David" w:cs="David"/>
            <w:sz w:val="22"/>
            <w:szCs w:val="22"/>
          </w:rPr>
          <w:t>https://www.census.gov/newsroom/stories/2018/stepfamily.html</w:t>
        </w:r>
      </w:hyperlink>
    </w:p>
    <w:p w14:paraId="3FBED4CC" w14:textId="77777777" w:rsidR="00354596" w:rsidRPr="0053374E" w:rsidRDefault="00354596" w:rsidP="00135D5E">
      <w:pPr>
        <w:pStyle w:val="FootnoteText"/>
        <w:rPr>
          <w:rFonts w:ascii="David" w:hAnsi="David" w:cs="David" w:hint="cs"/>
          <w:sz w:val="22"/>
          <w:szCs w:val="22"/>
          <w:rtl/>
        </w:rPr>
      </w:pPr>
      <w:r w:rsidRPr="0053374E">
        <w:rPr>
          <w:rFonts w:ascii="David" w:hAnsi="David" w:cs="David"/>
          <w:sz w:val="22"/>
          <w:szCs w:val="22"/>
          <w:rtl/>
        </w:rPr>
        <w:t>הערכה כללית גורסת כי</w:t>
      </w:r>
    </w:p>
    <w:p w14:paraId="065EFA6A" w14:textId="64A07421" w:rsidR="00354596" w:rsidRPr="0053374E" w:rsidRDefault="00354596" w:rsidP="00095944">
      <w:pPr>
        <w:shd w:val="clear" w:color="auto" w:fill="FFFFFF"/>
        <w:bidi w:val="0"/>
        <w:spacing w:after="0" w:line="240" w:lineRule="auto"/>
        <w:rPr>
          <w:rFonts w:ascii="David" w:hAnsi="David" w:cs="David"/>
        </w:rPr>
      </w:pPr>
      <w:r w:rsidRPr="0053374E">
        <w:rPr>
          <w:rFonts w:ascii="David" w:hAnsi="David" w:cs="David"/>
        </w:rPr>
        <w:t xml:space="preserve">"60% of all Americans will be a part of a stepfamily at some point in their lives"  See </w:t>
      </w:r>
      <w:hyperlink r:id="rId5" w:history="1">
        <w:r w:rsidRPr="0053374E">
          <w:rPr>
            <w:rFonts w:ascii="David" w:eastAsia="Times New Roman" w:hAnsi="David" w:cs="David"/>
          </w:rPr>
          <w:t>Marilyn Coleman</w:t>
        </w:r>
      </w:hyperlink>
      <w:r w:rsidRPr="0053374E">
        <w:rPr>
          <w:rFonts w:ascii="David" w:eastAsia="Times New Roman" w:hAnsi="David" w:cs="David"/>
        </w:rPr>
        <w:t xml:space="preserve">, et al., </w:t>
      </w:r>
      <w:r w:rsidRPr="0053374E">
        <w:rPr>
          <w:rFonts w:ascii="David" w:hAnsi="David" w:cs="David"/>
          <w:i/>
          <w:iCs/>
          <w:color w:val="1C1D1E"/>
        </w:rPr>
        <w:t>When You're Not the Brady Bunch: Identifying Perceived Conflicts and Resolution Strategies in Stepfamilies</w:t>
      </w:r>
      <w:r w:rsidRPr="0053374E">
        <w:rPr>
          <w:rFonts w:ascii="David" w:hAnsi="David" w:cs="David"/>
          <w:color w:val="1C1D1E"/>
        </w:rPr>
        <w:t>, 8 Personnel Relationship 55, (2001).</w:t>
      </w:r>
      <w:hyperlink r:id="rId6" w:history="1">
        <w:r w:rsidRPr="0053374E">
          <w:rPr>
            <w:rFonts w:ascii="David" w:hAnsi="David" w:cs="David"/>
            <w:b/>
            <w:bCs/>
            <w:vanish/>
            <w:color w:val="1C1D1E"/>
          </w:rPr>
          <w:t>MARILYN COLEMAN</w:t>
        </w:r>
      </w:hyperlink>
      <w:r w:rsidRPr="0053374E">
        <w:rPr>
          <w:rFonts w:ascii="David" w:hAnsi="David" w:cs="David"/>
          <w:b/>
          <w:bCs/>
          <w:vanish/>
          <w:color w:val="1C1D1E"/>
        </w:rPr>
        <w:t> </w:t>
      </w:r>
      <w:hyperlink r:id="rId7" w:history="1">
        <w:r w:rsidRPr="0053374E">
          <w:rPr>
            <w:rFonts w:ascii="David" w:hAnsi="David" w:cs="David"/>
            <w:b/>
            <w:bCs/>
            <w:vanish/>
            <w:color w:val="1C1D1E"/>
          </w:rPr>
          <w:t>MARK A. FINE</w:t>
        </w:r>
      </w:hyperlink>
      <w:r w:rsidRPr="0053374E">
        <w:rPr>
          <w:rFonts w:ascii="David" w:hAnsi="David" w:cs="David"/>
          <w:b/>
          <w:bCs/>
          <w:vanish/>
          <w:color w:val="1C1D1E"/>
        </w:rPr>
        <w:t> </w:t>
      </w:r>
      <w:hyperlink r:id="rId8" w:history="1">
        <w:r w:rsidRPr="0053374E">
          <w:rPr>
            <w:rFonts w:ascii="David" w:hAnsi="David" w:cs="David"/>
            <w:b/>
            <w:bCs/>
            <w:vanish/>
            <w:color w:val="1C1D1E"/>
          </w:rPr>
          <w:t>LAWRENCE H. GANONG</w:t>
        </w:r>
      </w:hyperlink>
      <w:r w:rsidRPr="0053374E">
        <w:rPr>
          <w:rFonts w:ascii="David" w:hAnsi="David" w:cs="David"/>
          <w:b/>
          <w:bCs/>
          <w:vanish/>
          <w:color w:val="1C1D1E"/>
        </w:rPr>
        <w:t> </w:t>
      </w:r>
      <w:hyperlink r:id="rId9" w:history="1">
        <w:r w:rsidRPr="0053374E">
          <w:rPr>
            <w:rFonts w:ascii="David" w:hAnsi="David" w:cs="David"/>
            <w:b/>
            <w:bCs/>
            <w:vanish/>
            <w:color w:val="1C1D1E"/>
          </w:rPr>
          <w:t>KIMBERLY J. M. DOWNS</w:t>
        </w:r>
      </w:hyperlink>
      <w:r w:rsidRPr="0053374E">
        <w:rPr>
          <w:rFonts w:ascii="David" w:hAnsi="David" w:cs="David"/>
          <w:b/>
          <w:bCs/>
          <w:vanish/>
          <w:color w:val="1C1D1E"/>
        </w:rPr>
        <w:t> </w:t>
      </w:r>
      <w:hyperlink r:id="rId10" w:history="1">
        <w:r w:rsidRPr="0053374E">
          <w:rPr>
            <w:rFonts w:ascii="David" w:hAnsi="David" w:cs="David"/>
            <w:b/>
            <w:bCs/>
            <w:vanish/>
            <w:color w:val="1C1D1E"/>
          </w:rPr>
          <w:t>NICOLE PAUK</w:t>
        </w:r>
      </w:hyperlink>
    </w:p>
    <w:p w14:paraId="16F67007" w14:textId="1E252534" w:rsidR="00354596" w:rsidRPr="0053374E" w:rsidRDefault="00354596" w:rsidP="00327469">
      <w:pPr>
        <w:shd w:val="clear" w:color="auto" w:fill="FFFFFF"/>
        <w:bidi w:val="0"/>
        <w:spacing w:after="0" w:line="240" w:lineRule="auto"/>
        <w:rPr>
          <w:rFonts w:ascii="David" w:hAnsi="David" w:cs="David"/>
        </w:rPr>
      </w:pPr>
    </w:p>
  </w:footnote>
  <w:footnote w:id="15">
    <w:p w14:paraId="07346ED3" w14:textId="77777777" w:rsidR="00354596" w:rsidRPr="0053374E" w:rsidRDefault="00354596" w:rsidP="00E45443">
      <w:pPr>
        <w:pStyle w:val="FootnoteText"/>
        <w:rPr>
          <w:rFonts w:hint="cs"/>
          <w:sz w:val="22"/>
          <w:szCs w:val="22"/>
          <w:rtl/>
        </w:rPr>
      </w:pPr>
      <w:r w:rsidRPr="0053374E">
        <w:rPr>
          <w:rStyle w:val="FootnoteReference"/>
          <w:sz w:val="22"/>
          <w:szCs w:val="22"/>
        </w:rPr>
        <w:footnoteRef/>
      </w:r>
      <w:r w:rsidRPr="0053374E">
        <w:rPr>
          <w:sz w:val="22"/>
          <w:szCs w:val="22"/>
          <w:rtl/>
        </w:rPr>
        <w:t xml:space="preserve"> </w:t>
      </w:r>
      <w:r w:rsidRPr="0053374E">
        <w:rPr>
          <w:rFonts w:hint="cs"/>
          <w:sz w:val="22"/>
          <w:szCs w:val="22"/>
          <w:rtl/>
        </w:rPr>
        <w:t>על הקושי ליצור הערכה מספרית ראו:</w:t>
      </w:r>
    </w:p>
    <w:p w14:paraId="018C4390" w14:textId="7E4F1EA5" w:rsidR="00354596" w:rsidRPr="0053374E" w:rsidRDefault="00354596" w:rsidP="00327469">
      <w:pPr>
        <w:pStyle w:val="FootnoteText"/>
        <w:bidi w:val="0"/>
        <w:rPr>
          <w:rFonts w:asciiTheme="majorBidi" w:hAnsiTheme="majorBidi" w:cstheme="majorBidi"/>
          <w:sz w:val="22"/>
          <w:szCs w:val="22"/>
        </w:rPr>
      </w:pPr>
      <w:r w:rsidRPr="0053374E">
        <w:rPr>
          <w:rFonts w:asciiTheme="majorBidi" w:hAnsiTheme="majorBidi" w:cstheme="majorBidi"/>
          <w:smallCaps/>
          <w:sz w:val="22"/>
          <w:szCs w:val="22"/>
        </w:rPr>
        <w:t>Susan D. Stewart,</w:t>
      </w:r>
      <w:r w:rsidRPr="0053374E">
        <w:rPr>
          <w:rFonts w:asciiTheme="majorBidi" w:hAnsiTheme="majorBidi" w:cstheme="majorBidi"/>
          <w:sz w:val="22"/>
          <w:szCs w:val="22"/>
        </w:rPr>
        <w:t xml:space="preserve"> </w:t>
      </w:r>
      <w:r w:rsidRPr="0053374E">
        <w:rPr>
          <w:rFonts w:asciiTheme="majorBidi" w:hAnsiTheme="majorBidi" w:cstheme="majorBidi"/>
          <w:smallCaps/>
          <w:sz w:val="22"/>
          <w:szCs w:val="22"/>
        </w:rPr>
        <w:t>Brave New Stepfamilies : Diverse Paths Toward Stepfamily Living</w:t>
      </w:r>
      <w:r w:rsidRPr="0053374E">
        <w:rPr>
          <w:rFonts w:asciiTheme="majorBidi" w:hAnsiTheme="majorBidi" w:cstheme="majorBidi"/>
          <w:sz w:val="22"/>
          <w:szCs w:val="22"/>
        </w:rPr>
        <w:t xml:space="preserve">  15-16 (2007).</w:t>
      </w:r>
    </w:p>
  </w:footnote>
  <w:footnote w:id="16">
    <w:p w14:paraId="7D08938C" w14:textId="77777777" w:rsidR="00354596" w:rsidRPr="0053374E" w:rsidRDefault="00354596">
      <w:pPr>
        <w:pStyle w:val="FootnoteText"/>
        <w:rPr>
          <w:rFonts w:ascii="David" w:hAnsi="David" w:cs="David"/>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David" w:hAnsi="David" w:cs="David" w:hint="cs"/>
          <w:sz w:val="22"/>
          <w:szCs w:val="22"/>
          <w:rtl/>
        </w:rPr>
        <w:t>המונח המקובל מזהה לרוב את ההורה החורג כמי שנשוי להורה המשמורן, ראו</w:t>
      </w:r>
    </w:p>
    <w:p w14:paraId="4D115074" w14:textId="4C34AFAF" w:rsidR="00354596" w:rsidRPr="0053374E" w:rsidRDefault="00354596" w:rsidP="00327469">
      <w:pPr>
        <w:pStyle w:val="FootnoteText"/>
        <w:jc w:val="right"/>
        <w:rPr>
          <w:rFonts w:asciiTheme="majorBidi" w:hAnsiTheme="majorBidi" w:cstheme="majorBidi"/>
          <w:sz w:val="22"/>
          <w:szCs w:val="22"/>
          <w:rtl/>
        </w:rPr>
      </w:pPr>
      <w:r w:rsidRPr="0053374E">
        <w:rPr>
          <w:rFonts w:asciiTheme="majorBidi" w:hAnsiTheme="majorBidi" w:cstheme="majorBidi"/>
          <w:sz w:val="22"/>
          <w:szCs w:val="22"/>
        </w:rPr>
        <w:t xml:space="preserve">Margaret M. Mahoney, </w:t>
      </w:r>
      <w:r w:rsidRPr="0053374E">
        <w:rPr>
          <w:rFonts w:asciiTheme="majorBidi" w:hAnsiTheme="majorBidi" w:cstheme="majorBidi"/>
          <w:i/>
          <w:iCs/>
          <w:sz w:val="22"/>
          <w:szCs w:val="22"/>
        </w:rPr>
        <w:t>Stepparents as a Third Parties in Relation to Their Stepchild</w:t>
      </w:r>
      <w:r w:rsidRPr="0053374E">
        <w:rPr>
          <w:rFonts w:asciiTheme="majorBidi" w:hAnsiTheme="majorBidi" w:cstheme="majorBidi"/>
          <w:sz w:val="22"/>
          <w:szCs w:val="22"/>
        </w:rPr>
        <w:t>, 40 F</w:t>
      </w:r>
      <w:r w:rsidRPr="0053374E">
        <w:rPr>
          <w:rFonts w:asciiTheme="majorBidi" w:hAnsiTheme="majorBidi" w:cstheme="majorBidi"/>
          <w:smallCaps/>
          <w:sz w:val="22"/>
          <w:szCs w:val="22"/>
        </w:rPr>
        <w:t>am</w:t>
      </w:r>
      <w:r w:rsidRPr="0053374E">
        <w:rPr>
          <w:rFonts w:asciiTheme="majorBidi" w:hAnsiTheme="majorBidi" w:cstheme="majorBidi"/>
          <w:sz w:val="22"/>
          <w:szCs w:val="22"/>
        </w:rPr>
        <w:t xml:space="preserve">. L. Q. 81, 81-83 (2006). </w:t>
      </w:r>
    </w:p>
  </w:footnote>
  <w:footnote w:id="17">
    <w:p w14:paraId="2C485B6B" w14:textId="77777777" w:rsidR="00354596" w:rsidRPr="0053374E" w:rsidRDefault="00354596">
      <w:pPr>
        <w:pStyle w:val="FootnoteText"/>
        <w:rPr>
          <w:sz w:val="22"/>
          <w:szCs w:val="22"/>
          <w:rtl/>
        </w:rPr>
      </w:pPr>
      <w:r w:rsidRPr="0053374E">
        <w:rPr>
          <w:rStyle w:val="FootnoteReference"/>
          <w:sz w:val="22"/>
          <w:szCs w:val="22"/>
        </w:rPr>
        <w:footnoteRef/>
      </w:r>
      <w:r w:rsidRPr="0053374E">
        <w:rPr>
          <w:sz w:val="22"/>
          <w:szCs w:val="22"/>
          <w:rtl/>
        </w:rPr>
        <w:t xml:space="preserve"> </w:t>
      </w:r>
      <w:r w:rsidRPr="0053374E">
        <w:rPr>
          <w:rFonts w:hint="cs"/>
          <w:sz w:val="22"/>
          <w:szCs w:val="22"/>
          <w:rtl/>
        </w:rPr>
        <w:t>על הסטיגמה השלילית הנלוות למונח "הורה חורג" ראו:</w:t>
      </w:r>
    </w:p>
    <w:p w14:paraId="6EE7D336" w14:textId="426868E6" w:rsidR="00354596" w:rsidRPr="0053374E" w:rsidRDefault="00354596" w:rsidP="00D151E5">
      <w:pPr>
        <w:pStyle w:val="Default"/>
        <w:rPr>
          <w:rFonts w:asciiTheme="majorBidi" w:hAnsiTheme="majorBidi" w:cstheme="majorBidi"/>
          <w:sz w:val="22"/>
          <w:szCs w:val="22"/>
        </w:rPr>
      </w:pPr>
      <w:r w:rsidRPr="0053374E">
        <w:rPr>
          <w:rFonts w:asciiTheme="majorBidi" w:hAnsiTheme="majorBidi" w:cstheme="majorBidi"/>
          <w:sz w:val="22"/>
          <w:szCs w:val="22"/>
        </w:rPr>
        <w:t xml:space="preserve">Kay Pasley, David C. Dollahite &amp; Marilyn Ihinger-Tallman, </w:t>
      </w:r>
      <w:r w:rsidRPr="0053374E">
        <w:rPr>
          <w:rFonts w:asciiTheme="majorBidi" w:hAnsiTheme="majorBidi" w:cstheme="majorBidi"/>
          <w:i/>
          <w:iCs/>
          <w:sz w:val="22"/>
          <w:szCs w:val="22"/>
        </w:rPr>
        <w:t>Bridging the Gap: Clinical Applications of Research Findings on the Spouse and Stepparent Roles in Remarriage</w:t>
      </w:r>
      <w:r w:rsidRPr="0053374E">
        <w:rPr>
          <w:rFonts w:asciiTheme="majorBidi" w:hAnsiTheme="majorBidi" w:cstheme="majorBidi"/>
          <w:sz w:val="22"/>
          <w:szCs w:val="22"/>
        </w:rPr>
        <w:t>, 42 F</w:t>
      </w:r>
      <w:r w:rsidRPr="0053374E">
        <w:rPr>
          <w:rFonts w:asciiTheme="majorBidi" w:hAnsiTheme="majorBidi" w:cstheme="majorBidi"/>
          <w:smallCaps/>
          <w:sz w:val="22"/>
          <w:szCs w:val="22"/>
        </w:rPr>
        <w:t>am</w:t>
      </w:r>
      <w:r w:rsidRPr="0053374E">
        <w:rPr>
          <w:rFonts w:asciiTheme="majorBidi" w:hAnsiTheme="majorBidi" w:cstheme="majorBidi"/>
          <w:sz w:val="22"/>
          <w:szCs w:val="22"/>
        </w:rPr>
        <w:t>. R</w:t>
      </w:r>
      <w:r w:rsidRPr="0053374E">
        <w:rPr>
          <w:rFonts w:asciiTheme="majorBidi" w:hAnsiTheme="majorBidi" w:cstheme="majorBidi"/>
          <w:smallCaps/>
          <w:sz w:val="22"/>
          <w:szCs w:val="22"/>
        </w:rPr>
        <w:t>el</w:t>
      </w:r>
      <w:r w:rsidRPr="0053374E">
        <w:rPr>
          <w:rFonts w:asciiTheme="majorBidi" w:hAnsiTheme="majorBidi" w:cstheme="majorBidi"/>
          <w:sz w:val="22"/>
          <w:szCs w:val="22"/>
        </w:rPr>
        <w:t xml:space="preserve">. 315, 317 (1993). </w:t>
      </w:r>
    </w:p>
  </w:footnote>
  <w:footnote w:id="18">
    <w:p w14:paraId="5B63CCE4" w14:textId="77777777" w:rsidR="00354596" w:rsidRPr="0053374E" w:rsidRDefault="00354596">
      <w:pPr>
        <w:pStyle w:val="FootnoteText"/>
        <w:rPr>
          <w:rFonts w:hint="cs"/>
          <w:sz w:val="22"/>
          <w:szCs w:val="22"/>
          <w:rtl/>
        </w:rPr>
      </w:pPr>
      <w:r w:rsidRPr="0053374E">
        <w:rPr>
          <w:rStyle w:val="FootnoteReference"/>
          <w:sz w:val="22"/>
          <w:szCs w:val="22"/>
        </w:rPr>
        <w:footnoteRef/>
      </w:r>
      <w:r w:rsidRPr="0053374E">
        <w:rPr>
          <w:sz w:val="22"/>
          <w:szCs w:val="22"/>
          <w:rtl/>
        </w:rPr>
        <w:t xml:space="preserve"> </w:t>
      </w:r>
      <w:r w:rsidRPr="0053374E">
        <w:rPr>
          <w:rFonts w:hint="cs"/>
          <w:sz w:val="22"/>
          <w:szCs w:val="22"/>
          <w:rtl/>
        </w:rPr>
        <w:t>להגדרות השונות של הורות ראו:</w:t>
      </w:r>
    </w:p>
    <w:p w14:paraId="3A38D6F4" w14:textId="77777777" w:rsidR="00354596" w:rsidRPr="0053374E" w:rsidRDefault="00354596" w:rsidP="00734601">
      <w:pPr>
        <w:pStyle w:val="FootnoteText"/>
        <w:bidi w:val="0"/>
        <w:rPr>
          <w:rFonts w:asciiTheme="majorBidi" w:hAnsiTheme="majorBidi" w:cstheme="majorBidi"/>
          <w:sz w:val="22"/>
          <w:szCs w:val="22"/>
        </w:rPr>
      </w:pPr>
      <w:r w:rsidRPr="0053374E">
        <w:rPr>
          <w:rFonts w:asciiTheme="majorBidi" w:hAnsiTheme="majorBidi" w:cstheme="majorBidi"/>
          <w:sz w:val="22"/>
          <w:szCs w:val="22"/>
        </w:rPr>
        <w:t xml:space="preserve">Lindsy J. Rohlf, </w:t>
      </w:r>
      <w:r w:rsidRPr="0053374E">
        <w:rPr>
          <w:rFonts w:asciiTheme="majorBidi" w:hAnsiTheme="majorBidi" w:cstheme="majorBidi"/>
          <w:i/>
          <w:iCs/>
          <w:sz w:val="22"/>
          <w:szCs w:val="22"/>
        </w:rPr>
        <w:t>The Psychological-Parent and De Facto Parent Doctrines: How Should the Uniform Parentage Act Define Parent</w:t>
      </w:r>
      <w:r w:rsidRPr="0053374E">
        <w:rPr>
          <w:rFonts w:asciiTheme="majorBidi" w:hAnsiTheme="majorBidi" w:cstheme="majorBidi"/>
          <w:sz w:val="22"/>
          <w:szCs w:val="22"/>
        </w:rPr>
        <w:t>, 94 Iowa L. Rev. 691 (2009).</w:t>
      </w:r>
    </w:p>
    <w:p w14:paraId="602A466C" w14:textId="77777777" w:rsidR="00354596" w:rsidRPr="0053374E" w:rsidRDefault="00354596" w:rsidP="0053374E">
      <w:pPr>
        <w:pStyle w:val="FootnoteText"/>
        <w:rPr>
          <w:rFonts w:ascii="Cambria" w:hAnsi="Cambria" w:cstheme="majorBidi" w:hint="cs"/>
          <w:sz w:val="22"/>
          <w:szCs w:val="22"/>
          <w:rtl/>
        </w:rPr>
      </w:pPr>
      <w:r w:rsidRPr="0053374E">
        <w:rPr>
          <w:rFonts w:ascii="Cambria" w:hAnsi="Cambria" w:cstheme="majorBidi"/>
          <w:sz w:val="22"/>
          <w:szCs w:val="22"/>
          <w:rtl/>
        </w:rPr>
        <w:t>להצעת החוק האחיד המבקשת ליצור האחדה בהגדרות ההורות ראו:</w:t>
      </w:r>
    </w:p>
    <w:p w14:paraId="2830997E" w14:textId="2771CFBA" w:rsidR="00354596" w:rsidRPr="0053374E" w:rsidRDefault="00354596" w:rsidP="00FB1E3E">
      <w:pPr>
        <w:bidi w:val="0"/>
        <w:jc w:val="both"/>
        <w:rPr>
          <w:rFonts w:asciiTheme="majorBidi" w:hAnsiTheme="majorBidi" w:cstheme="majorBidi"/>
          <w:rtl/>
        </w:rPr>
      </w:pPr>
      <w:r w:rsidRPr="0053374E">
        <w:rPr>
          <w:rFonts w:ascii="David" w:hAnsi="David" w:cs="David"/>
        </w:rPr>
        <w:t>Uniform Parentage Act 2017 also see,</w:t>
      </w:r>
      <w:r w:rsidRPr="0053374E">
        <w:rPr>
          <w:rFonts w:hint="cs"/>
          <w:rtl/>
        </w:rPr>
        <w:t xml:space="preserve"> </w:t>
      </w:r>
      <w:r w:rsidRPr="0053374E">
        <w:t xml:space="preserve">Courtney G. Joslin Nurturing Parenthood Through the UPA, The Yale Law Journal Forum (2018) 589; </w:t>
      </w:r>
      <w:r w:rsidRPr="0053374E">
        <w:rPr>
          <w:rFonts w:asciiTheme="majorBidi" w:hAnsiTheme="majorBidi" w:cstheme="majorBidi"/>
          <w:shd w:val="clear" w:color="auto" w:fill="FFFFFF"/>
        </w:rPr>
        <w:t>Pamela Laufer-Ukeles &amp; Ayelet Blecher-Prigat, </w:t>
      </w:r>
      <w:r w:rsidRPr="0053374E">
        <w:rPr>
          <w:rFonts w:asciiTheme="majorBidi" w:hAnsiTheme="majorBidi" w:cstheme="majorBidi"/>
          <w:i/>
          <w:iCs/>
          <w:shd w:val="clear" w:color="auto" w:fill="FFFFFF"/>
        </w:rPr>
        <w:t>Between Function and Form: Towards a Differentiated Model of Functional Parenthood</w:t>
      </w:r>
      <w:r w:rsidRPr="0053374E">
        <w:rPr>
          <w:rFonts w:asciiTheme="majorBidi" w:hAnsiTheme="majorBidi" w:cstheme="majorBidi"/>
          <w:shd w:val="clear" w:color="auto" w:fill="FFFFFF"/>
        </w:rPr>
        <w:t xml:space="preserve">, 20 </w:t>
      </w:r>
      <w:r w:rsidRPr="0053374E">
        <w:rPr>
          <w:rFonts w:asciiTheme="majorBidi" w:hAnsiTheme="majorBidi" w:cstheme="majorBidi"/>
          <w:smallCaps/>
          <w:shd w:val="clear" w:color="auto" w:fill="FFFFFF"/>
        </w:rPr>
        <w:t>Geo. Mason L. Rev.</w:t>
      </w:r>
      <w:r w:rsidRPr="0053374E">
        <w:rPr>
          <w:rFonts w:asciiTheme="majorBidi" w:hAnsiTheme="majorBidi" w:cstheme="majorBidi"/>
          <w:shd w:val="clear" w:color="auto" w:fill="FFFFFF"/>
        </w:rPr>
        <w:t xml:space="preserve"> 419 (2013)</w:t>
      </w:r>
      <w:r w:rsidRPr="0053374E">
        <w:rPr>
          <w:rFonts w:asciiTheme="majorBidi" w:hAnsiTheme="majorBidi" w:cstheme="majorBidi"/>
        </w:rPr>
        <w:t>.</w:t>
      </w:r>
    </w:p>
  </w:footnote>
  <w:footnote w:id="19">
    <w:p w14:paraId="4E9EB96D" w14:textId="44A9473D" w:rsidR="00354596" w:rsidRPr="0053374E" w:rsidRDefault="00354596">
      <w:pPr>
        <w:pStyle w:val="FootnoteText"/>
        <w:rPr>
          <w:rFonts w:hint="cs"/>
          <w:sz w:val="22"/>
          <w:szCs w:val="22"/>
          <w:rtl/>
        </w:rPr>
      </w:pPr>
      <w:r w:rsidRPr="0053374E">
        <w:rPr>
          <w:rStyle w:val="FootnoteReference"/>
          <w:sz w:val="22"/>
          <w:szCs w:val="22"/>
        </w:rPr>
        <w:footnoteRef/>
      </w:r>
      <w:r w:rsidRPr="0053374E">
        <w:rPr>
          <w:sz w:val="22"/>
          <w:szCs w:val="22"/>
          <w:rtl/>
        </w:rPr>
        <w:t xml:space="preserve"> </w:t>
      </w:r>
    </w:p>
    <w:p w14:paraId="2D1ED2E4" w14:textId="6FDD1F47" w:rsidR="00354596" w:rsidRPr="0053374E" w:rsidRDefault="00354596" w:rsidP="00586AAB">
      <w:pPr>
        <w:bidi w:val="0"/>
        <w:rPr>
          <w:rFonts w:ascii="David" w:hAnsi="David" w:cs="David"/>
        </w:rPr>
      </w:pPr>
      <w:r w:rsidRPr="0053374E">
        <w:rPr>
          <w:rFonts w:ascii="David" w:hAnsi="David" w:cs="David"/>
        </w:rPr>
        <w:t xml:space="preserve">Susan Maidment, </w:t>
      </w:r>
      <w:r w:rsidRPr="0053374E">
        <w:rPr>
          <w:rFonts w:ascii="David" w:hAnsi="David" w:cs="David"/>
          <w:i/>
          <w:iCs/>
        </w:rPr>
        <w:t>The Step-Relationship and its Legal Status</w:t>
      </w:r>
      <w:r w:rsidRPr="0053374E">
        <w:rPr>
          <w:rFonts w:ascii="David" w:hAnsi="David" w:cs="David"/>
        </w:rPr>
        <w:t xml:space="preserve">, 5 </w:t>
      </w:r>
      <w:r w:rsidRPr="0053374E">
        <w:rPr>
          <w:rFonts w:ascii="David" w:hAnsi="David" w:cs="David"/>
          <w:smallCaps/>
        </w:rPr>
        <w:t>Anglo-Am. L. Rev</w:t>
      </w:r>
      <w:r w:rsidRPr="0053374E">
        <w:rPr>
          <w:rFonts w:ascii="David" w:hAnsi="David" w:cs="David"/>
        </w:rPr>
        <w:t xml:space="preserve">. 259 (1976) 259-260; </w:t>
      </w:r>
      <w:r w:rsidRPr="0053374E">
        <w:rPr>
          <w:rFonts w:asciiTheme="majorBidi" w:hAnsiTheme="majorBidi" w:cstheme="majorBidi"/>
          <w:smallCaps/>
        </w:rPr>
        <w:t>Margaret M. Mahoney</w:t>
      </w:r>
      <w:r w:rsidRPr="0053374E">
        <w:rPr>
          <w:rFonts w:asciiTheme="majorBidi" w:hAnsiTheme="majorBidi" w:cstheme="majorBidi"/>
        </w:rPr>
        <w:t xml:space="preserve">, </w:t>
      </w:r>
      <w:r w:rsidRPr="0053374E">
        <w:rPr>
          <w:rFonts w:asciiTheme="majorBidi" w:hAnsiTheme="majorBidi" w:cstheme="majorBidi"/>
          <w:smallCaps/>
        </w:rPr>
        <w:t>Stepfamilies &amp; the Law</w:t>
      </w:r>
      <w:r w:rsidRPr="0053374E">
        <w:rPr>
          <w:rFonts w:asciiTheme="majorBidi" w:hAnsiTheme="majorBidi" w:cstheme="majorBidi"/>
          <w:shd w:val="clear" w:color="auto" w:fill="FFFFFF"/>
        </w:rPr>
        <w:t xml:space="preserve"> (1994) p. 2, 3, 7; </w:t>
      </w:r>
    </w:p>
  </w:footnote>
  <w:footnote w:id="20">
    <w:p w14:paraId="3A3C5959" w14:textId="77777777" w:rsidR="00354596" w:rsidRPr="0053374E" w:rsidRDefault="00354596">
      <w:pPr>
        <w:pStyle w:val="FootnoteText"/>
        <w:rPr>
          <w:rFonts w:ascii="David" w:hAnsi="David" w:cs="David"/>
          <w:sz w:val="22"/>
          <w:szCs w:val="22"/>
          <w:rtl/>
        </w:rPr>
      </w:pPr>
      <w:r w:rsidRPr="0053374E">
        <w:rPr>
          <w:rStyle w:val="FootnoteReference"/>
          <w:sz w:val="22"/>
          <w:szCs w:val="22"/>
        </w:rPr>
        <w:footnoteRef/>
      </w:r>
      <w:r w:rsidRPr="0053374E">
        <w:rPr>
          <w:sz w:val="22"/>
          <w:szCs w:val="22"/>
          <w:rtl/>
        </w:rPr>
        <w:t xml:space="preserve"> </w:t>
      </w:r>
      <w:r w:rsidRPr="0053374E">
        <w:rPr>
          <w:rFonts w:ascii="David" w:hAnsi="David" w:cs="David"/>
          <w:sz w:val="22"/>
          <w:szCs w:val="22"/>
          <w:rtl/>
        </w:rPr>
        <w:t xml:space="preserve">ראו בהקשר זה את המודל שהוצע על ידי </w:t>
      </w:r>
      <w:r w:rsidRPr="0053374E">
        <w:rPr>
          <w:rFonts w:ascii="David" w:hAnsi="David" w:cs="David"/>
          <w:sz w:val="22"/>
          <w:szCs w:val="22"/>
        </w:rPr>
        <w:t>Stewart</w:t>
      </w:r>
      <w:r w:rsidRPr="0053374E">
        <w:rPr>
          <w:rFonts w:ascii="David" w:hAnsi="David" w:cs="David"/>
          <w:sz w:val="22"/>
          <w:szCs w:val="22"/>
          <w:rtl/>
        </w:rPr>
        <w:t xml:space="preserve"> לכלול בהגדרה ובמחקר גם ילדים שנולדו מלכתחילה להורים לא נשואים וגם את אלה שבהם הזוגיות החדשה נקשרה ללא נישואים:</w:t>
      </w:r>
    </w:p>
    <w:p w14:paraId="383C8180" w14:textId="7E2B91E6" w:rsidR="00354596" w:rsidRPr="0053374E" w:rsidRDefault="00354596" w:rsidP="00FB1E3E">
      <w:pPr>
        <w:pStyle w:val="FootnoteText"/>
        <w:jc w:val="right"/>
        <w:rPr>
          <w:rFonts w:ascii="David" w:hAnsi="David" w:cs="David"/>
          <w:sz w:val="22"/>
          <w:szCs w:val="22"/>
          <w:highlight w:val="magenta"/>
          <w:rtl/>
        </w:rPr>
      </w:pPr>
      <w:r w:rsidRPr="0053374E">
        <w:rPr>
          <w:rFonts w:ascii="David" w:hAnsi="David" w:cs="David"/>
          <w:smallCaps/>
          <w:sz w:val="22"/>
          <w:szCs w:val="22"/>
        </w:rPr>
        <w:t>Susan D. Stewart,</w:t>
      </w:r>
      <w:r w:rsidRPr="0053374E">
        <w:rPr>
          <w:rFonts w:ascii="David" w:hAnsi="David" w:cs="David"/>
          <w:sz w:val="22"/>
          <w:szCs w:val="22"/>
        </w:rPr>
        <w:t xml:space="preserve"> </w:t>
      </w:r>
      <w:r w:rsidRPr="0053374E">
        <w:rPr>
          <w:rFonts w:ascii="David" w:hAnsi="David" w:cs="David"/>
          <w:smallCaps/>
          <w:sz w:val="22"/>
          <w:szCs w:val="22"/>
        </w:rPr>
        <w:t>Brave New Stepfamilies: Diverse Paths Toward Stepfamily Living</w:t>
      </w:r>
      <w:r w:rsidRPr="0053374E">
        <w:rPr>
          <w:rFonts w:ascii="David" w:hAnsi="David" w:cs="David"/>
          <w:sz w:val="22"/>
          <w:szCs w:val="22"/>
        </w:rPr>
        <w:t xml:space="preserve">  15-16/16-20 (2007).  </w:t>
      </w:r>
    </w:p>
  </w:footnote>
  <w:footnote w:id="21">
    <w:p w14:paraId="35445429" w14:textId="6A8E2BA7" w:rsidR="00354596" w:rsidRPr="0053374E" w:rsidRDefault="00354596" w:rsidP="007F1023">
      <w:pPr>
        <w:pStyle w:val="FootnoteText"/>
        <w:rPr>
          <w:rFonts w:ascii="David" w:hAnsi="David" w:cs="David"/>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Style w:val="Hyperlink"/>
          <w:rFonts w:ascii="David" w:hAnsi="David" w:cs="David"/>
          <w:color w:val="auto"/>
          <w:sz w:val="22"/>
          <w:szCs w:val="22"/>
          <w:u w:val="none"/>
          <w:rtl/>
        </w:rPr>
        <w:t>תופעה המורכבת גם כך למדידה,</w:t>
      </w:r>
      <w:r w:rsidRPr="0053374E">
        <w:rPr>
          <w:rFonts w:ascii="David" w:hAnsi="David" w:cs="David"/>
          <w:sz w:val="22"/>
          <w:szCs w:val="22"/>
          <w:rtl/>
        </w:rPr>
        <w:t xml:space="preserve"> לעיל... </w:t>
      </w:r>
    </w:p>
  </w:footnote>
  <w:footnote w:id="22">
    <w:p w14:paraId="0440E0FF" w14:textId="77777777" w:rsidR="00354596" w:rsidRPr="0053374E" w:rsidRDefault="00354596">
      <w:pPr>
        <w:pStyle w:val="FootnoteText"/>
        <w:rPr>
          <w:rFonts w:ascii="David" w:hAnsi="David" w:cs="David"/>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יש מי שמזהה חמישה עשר סוגי משפחות חורגות ואף יותר, ראו </w:t>
      </w:r>
    </w:p>
    <w:p w14:paraId="480453C7" w14:textId="4E7EC3DB" w:rsidR="00354596" w:rsidRPr="0053374E" w:rsidRDefault="00354596" w:rsidP="006833F8">
      <w:pPr>
        <w:pStyle w:val="FootnoteText"/>
        <w:jc w:val="right"/>
        <w:rPr>
          <w:rFonts w:ascii="David" w:hAnsi="David" w:cs="David"/>
          <w:sz w:val="22"/>
          <w:szCs w:val="22"/>
        </w:rPr>
      </w:pPr>
      <w:hyperlink r:id="rId11" w:history="1">
        <w:r w:rsidRPr="0053374E">
          <w:rPr>
            <w:rFonts w:ascii="David" w:eastAsia="Times New Roman" w:hAnsi="David" w:cs="David"/>
            <w:sz w:val="22"/>
            <w:szCs w:val="22"/>
          </w:rPr>
          <w:t>Marilyn Coleman</w:t>
        </w:r>
      </w:hyperlink>
      <w:r w:rsidRPr="0053374E">
        <w:rPr>
          <w:rFonts w:ascii="David" w:eastAsia="Times New Roman" w:hAnsi="David" w:cs="David"/>
          <w:sz w:val="22"/>
          <w:szCs w:val="22"/>
        </w:rPr>
        <w:t xml:space="preserve">, et al., </w:t>
      </w:r>
      <w:r w:rsidRPr="0053374E">
        <w:rPr>
          <w:rFonts w:ascii="David" w:hAnsi="David" w:cs="David"/>
          <w:i/>
          <w:iCs/>
          <w:color w:val="1C1D1E"/>
          <w:sz w:val="22"/>
          <w:szCs w:val="22"/>
        </w:rPr>
        <w:t>When You're Not the Brady Bunch: Identifying Perceived Conflicts and Resolution Strategies in Stepfamilies</w:t>
      </w:r>
      <w:r w:rsidRPr="0053374E">
        <w:rPr>
          <w:rFonts w:ascii="David" w:hAnsi="David" w:cs="David"/>
          <w:color w:val="1C1D1E"/>
          <w:sz w:val="22"/>
          <w:szCs w:val="22"/>
        </w:rPr>
        <w:t>, 8 Personnel Relationship 55 (2001)</w:t>
      </w:r>
    </w:p>
  </w:footnote>
  <w:footnote w:id="23">
    <w:p w14:paraId="197DBD60" w14:textId="1FB3206A" w:rsidR="00354596" w:rsidRPr="0053374E" w:rsidRDefault="00354596" w:rsidP="00582742">
      <w:pPr>
        <w:pStyle w:val="FootnoteText"/>
        <w:rPr>
          <w:rFonts w:ascii="David" w:hAnsi="David" w:cs="David" w:hint="cs"/>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בלכר והקר עמדו על מגוון זה במאמרן, </w:t>
      </w:r>
    </w:p>
    <w:p w14:paraId="1E5BD89F" w14:textId="70B01907" w:rsidR="00354596" w:rsidRPr="0053374E" w:rsidRDefault="00354596" w:rsidP="000B2C57">
      <w:pPr>
        <w:pStyle w:val="FootnoteText"/>
        <w:tabs>
          <w:tab w:val="left" w:pos="926"/>
        </w:tabs>
        <w:jc w:val="right"/>
        <w:rPr>
          <w:rFonts w:ascii="David" w:hAnsi="David" w:cs="David"/>
          <w:sz w:val="22"/>
          <w:szCs w:val="22"/>
          <w:rtl/>
        </w:rPr>
      </w:pPr>
      <w:r w:rsidRPr="0053374E">
        <w:rPr>
          <w:rFonts w:ascii="David" w:hAnsi="David" w:cs="David"/>
          <w:sz w:val="22"/>
          <w:szCs w:val="22"/>
          <w:rtl/>
        </w:rPr>
        <w:tab/>
      </w:r>
      <w:r w:rsidRPr="0053374E">
        <w:rPr>
          <w:rFonts w:ascii="David" w:hAnsi="David" w:cs="David"/>
          <w:sz w:val="22"/>
          <w:szCs w:val="22"/>
        </w:rPr>
        <w:t xml:space="preserve">Ayelet Belcher-Prigat &amp; Daphna Hacker, </w:t>
      </w:r>
      <w:r w:rsidRPr="0053374E">
        <w:rPr>
          <w:rFonts w:ascii="David" w:hAnsi="David" w:cs="David"/>
          <w:i/>
          <w:iCs/>
          <w:sz w:val="22"/>
          <w:szCs w:val="22"/>
        </w:rPr>
        <w:t>Strangers or Parents: The Current and the Desirable Legal Status of Parents' Spouses</w:t>
      </w:r>
      <w:r w:rsidRPr="0053374E">
        <w:rPr>
          <w:rFonts w:ascii="David" w:hAnsi="David" w:cs="David"/>
          <w:sz w:val="22"/>
          <w:szCs w:val="22"/>
        </w:rPr>
        <w:t xml:space="preserve">, 40 Hebrew University L. </w:t>
      </w:r>
      <w:r w:rsidRPr="0053374E">
        <w:rPr>
          <w:rFonts w:ascii="David" w:hAnsi="David" w:cs="David"/>
          <w:smallCaps/>
          <w:sz w:val="22"/>
          <w:szCs w:val="22"/>
        </w:rPr>
        <w:t>Rev</w:t>
      </w:r>
      <w:r w:rsidRPr="0053374E">
        <w:rPr>
          <w:rFonts w:ascii="David" w:hAnsi="David" w:cs="David"/>
          <w:sz w:val="22"/>
          <w:szCs w:val="22"/>
        </w:rPr>
        <w:t xml:space="preserve"> 5 (2010) [Hebrew]</w:t>
      </w:r>
    </w:p>
    <w:p w14:paraId="690EDB86" w14:textId="333BF612" w:rsidR="00354596" w:rsidRPr="0053374E" w:rsidRDefault="00354596" w:rsidP="004C5E90">
      <w:pPr>
        <w:pStyle w:val="FootnoteText"/>
        <w:rPr>
          <w:rFonts w:ascii="David" w:hAnsi="David" w:cs="David" w:hint="cs"/>
          <w:sz w:val="22"/>
          <w:szCs w:val="22"/>
          <w:rtl/>
        </w:rPr>
      </w:pPr>
      <w:r w:rsidRPr="0053374E">
        <w:rPr>
          <w:rFonts w:ascii="David" w:hAnsi="David" w:cs="David" w:hint="cs"/>
          <w:sz w:val="22"/>
          <w:szCs w:val="22"/>
          <w:rtl/>
        </w:rPr>
        <w:t xml:space="preserve">כמו כן ראו: </w:t>
      </w:r>
    </w:p>
    <w:p w14:paraId="7A088289" w14:textId="6B70C517" w:rsidR="00354596" w:rsidRPr="0053374E" w:rsidRDefault="00354596" w:rsidP="0053374E">
      <w:pPr>
        <w:pStyle w:val="Default"/>
        <w:jc w:val="both"/>
        <w:rPr>
          <w:rFonts w:asciiTheme="majorBidi" w:hAnsiTheme="majorBidi" w:cstheme="majorBidi"/>
          <w:sz w:val="22"/>
          <w:szCs w:val="22"/>
        </w:rPr>
      </w:pPr>
      <w:r w:rsidRPr="0053374E">
        <w:rPr>
          <w:rFonts w:asciiTheme="majorBidi" w:hAnsiTheme="majorBidi" w:cstheme="majorBidi"/>
          <w:sz w:val="22"/>
          <w:szCs w:val="22"/>
        </w:rPr>
        <w:t xml:space="preserve">Margaret M. Mahoney, </w:t>
      </w:r>
      <w:r w:rsidRPr="0053374E">
        <w:rPr>
          <w:rFonts w:asciiTheme="majorBidi" w:hAnsiTheme="majorBidi" w:cstheme="majorBidi"/>
          <w:i/>
          <w:iCs/>
          <w:sz w:val="22"/>
          <w:szCs w:val="22"/>
        </w:rPr>
        <w:t>Stepparents as a Third Parties in Relation to Their Stepchild</w:t>
      </w:r>
      <w:r w:rsidRPr="0053374E">
        <w:rPr>
          <w:rFonts w:asciiTheme="majorBidi" w:hAnsiTheme="majorBidi" w:cstheme="majorBidi"/>
          <w:sz w:val="22"/>
          <w:szCs w:val="22"/>
        </w:rPr>
        <w:t>, 40 F</w:t>
      </w:r>
      <w:r w:rsidRPr="0053374E">
        <w:rPr>
          <w:rFonts w:asciiTheme="majorBidi" w:hAnsiTheme="majorBidi" w:cstheme="majorBidi"/>
          <w:smallCaps/>
          <w:sz w:val="22"/>
          <w:szCs w:val="22"/>
        </w:rPr>
        <w:t>am</w:t>
      </w:r>
      <w:r w:rsidRPr="0053374E">
        <w:rPr>
          <w:rFonts w:asciiTheme="majorBidi" w:hAnsiTheme="majorBidi" w:cstheme="majorBidi"/>
          <w:sz w:val="22"/>
          <w:szCs w:val="22"/>
        </w:rPr>
        <w:t xml:space="preserve">. L. Q. 81 (2006).; Mary Ann Mason et al., </w:t>
      </w:r>
      <w:r w:rsidRPr="0053374E">
        <w:rPr>
          <w:rFonts w:asciiTheme="majorBidi" w:hAnsiTheme="majorBidi" w:cstheme="majorBidi"/>
          <w:i/>
          <w:iCs/>
          <w:sz w:val="22"/>
          <w:szCs w:val="22"/>
        </w:rPr>
        <w:t>Stepparents: De Facto Parents</w:t>
      </w:r>
      <w:r w:rsidRPr="0053374E">
        <w:rPr>
          <w:rFonts w:asciiTheme="majorBidi" w:hAnsiTheme="majorBidi" w:cstheme="majorBidi"/>
          <w:i/>
          <w:iCs/>
          <w:sz w:val="22"/>
          <w:szCs w:val="22"/>
          <w:rtl/>
        </w:rPr>
        <w:t xml:space="preserve"> </w:t>
      </w:r>
      <w:r w:rsidRPr="0053374E">
        <w:rPr>
          <w:rFonts w:asciiTheme="majorBidi" w:hAnsiTheme="majorBidi" w:cstheme="majorBidi"/>
          <w:i/>
          <w:iCs/>
          <w:sz w:val="22"/>
          <w:szCs w:val="22"/>
        </w:rPr>
        <w:t>or legal Strangers</w:t>
      </w:r>
      <w:r w:rsidRPr="0053374E">
        <w:rPr>
          <w:rFonts w:asciiTheme="majorBidi" w:hAnsiTheme="majorBidi" w:cstheme="majorBidi"/>
          <w:sz w:val="22"/>
          <w:szCs w:val="22"/>
        </w:rPr>
        <w:t xml:space="preserve"> 23 J. F</w:t>
      </w:r>
      <w:r w:rsidRPr="0053374E">
        <w:rPr>
          <w:rFonts w:asciiTheme="majorBidi" w:hAnsiTheme="majorBidi" w:cstheme="majorBidi"/>
          <w:smallCaps/>
          <w:sz w:val="22"/>
          <w:szCs w:val="22"/>
        </w:rPr>
        <w:t>am</w:t>
      </w:r>
      <w:r w:rsidRPr="0053374E">
        <w:rPr>
          <w:rFonts w:asciiTheme="majorBidi" w:hAnsiTheme="majorBidi" w:cstheme="majorBidi"/>
          <w:sz w:val="22"/>
          <w:szCs w:val="22"/>
        </w:rPr>
        <w:t>. Issues 507, 508-509 (2002);</w:t>
      </w:r>
      <w:r w:rsidRPr="0053374E">
        <w:rPr>
          <w:rFonts w:asciiTheme="majorBidi" w:hAnsiTheme="majorBidi" w:cstheme="majorBidi"/>
          <w:sz w:val="22"/>
          <w:szCs w:val="22"/>
          <w:shd w:val="clear" w:color="auto" w:fill="FFFFFF"/>
        </w:rPr>
        <w:t>L</w:t>
      </w:r>
      <w:r w:rsidRPr="0053374E">
        <w:rPr>
          <w:rFonts w:asciiTheme="majorBidi" w:hAnsiTheme="majorBidi" w:cstheme="majorBidi"/>
          <w:smallCaps/>
          <w:sz w:val="22"/>
          <w:szCs w:val="22"/>
          <w:shd w:val="clear" w:color="auto" w:fill="FFFFFF"/>
        </w:rPr>
        <w:t>awrence</w:t>
      </w:r>
      <w:r w:rsidRPr="0053374E">
        <w:rPr>
          <w:rFonts w:asciiTheme="majorBidi" w:hAnsiTheme="majorBidi" w:cstheme="majorBidi"/>
          <w:sz w:val="22"/>
          <w:szCs w:val="22"/>
          <w:shd w:val="clear" w:color="auto" w:fill="FFFFFF"/>
        </w:rPr>
        <w:t xml:space="preserve"> G</w:t>
      </w:r>
      <w:r w:rsidRPr="0053374E">
        <w:rPr>
          <w:rFonts w:asciiTheme="majorBidi" w:hAnsiTheme="majorBidi" w:cstheme="majorBidi"/>
          <w:smallCaps/>
          <w:sz w:val="22"/>
          <w:szCs w:val="22"/>
          <w:shd w:val="clear" w:color="auto" w:fill="FFFFFF"/>
        </w:rPr>
        <w:t>anong</w:t>
      </w:r>
      <w:r w:rsidRPr="0053374E">
        <w:rPr>
          <w:rFonts w:asciiTheme="majorBidi" w:hAnsiTheme="majorBidi" w:cstheme="majorBidi"/>
          <w:sz w:val="22"/>
          <w:szCs w:val="22"/>
          <w:shd w:val="clear" w:color="auto" w:fill="FFFFFF"/>
        </w:rPr>
        <w:t>, M</w:t>
      </w:r>
      <w:r w:rsidRPr="0053374E">
        <w:rPr>
          <w:rFonts w:asciiTheme="majorBidi" w:hAnsiTheme="majorBidi" w:cstheme="majorBidi"/>
          <w:smallCaps/>
          <w:sz w:val="22"/>
          <w:szCs w:val="22"/>
          <w:shd w:val="clear" w:color="auto" w:fill="FFFFFF"/>
        </w:rPr>
        <w:t>arilyn</w:t>
      </w:r>
      <w:r w:rsidRPr="0053374E">
        <w:rPr>
          <w:rFonts w:asciiTheme="majorBidi" w:hAnsiTheme="majorBidi" w:cstheme="majorBidi"/>
          <w:sz w:val="22"/>
          <w:szCs w:val="22"/>
          <w:shd w:val="clear" w:color="auto" w:fill="FFFFFF"/>
        </w:rPr>
        <w:t xml:space="preserve"> C</w:t>
      </w:r>
      <w:r w:rsidRPr="0053374E">
        <w:rPr>
          <w:rFonts w:asciiTheme="majorBidi" w:hAnsiTheme="majorBidi" w:cstheme="majorBidi"/>
          <w:smallCaps/>
          <w:sz w:val="22"/>
          <w:szCs w:val="22"/>
          <w:shd w:val="clear" w:color="auto" w:fill="FFFFFF"/>
        </w:rPr>
        <w:t>oleman</w:t>
      </w:r>
      <w:r w:rsidRPr="0053374E">
        <w:rPr>
          <w:rFonts w:asciiTheme="majorBidi" w:hAnsiTheme="majorBidi" w:cstheme="majorBidi"/>
          <w:sz w:val="22"/>
          <w:szCs w:val="22"/>
          <w:shd w:val="clear" w:color="auto" w:fill="FFFFFF"/>
        </w:rPr>
        <w:t>, The D</w:t>
      </w:r>
      <w:r w:rsidRPr="0053374E">
        <w:rPr>
          <w:rFonts w:asciiTheme="majorBidi" w:hAnsiTheme="majorBidi" w:cstheme="majorBidi"/>
          <w:smallCaps/>
          <w:sz w:val="22"/>
          <w:szCs w:val="22"/>
          <w:shd w:val="clear" w:color="auto" w:fill="FFFFFF"/>
        </w:rPr>
        <w:t>ynamics</w:t>
      </w:r>
      <w:r w:rsidRPr="0053374E">
        <w:rPr>
          <w:rFonts w:asciiTheme="majorBidi" w:hAnsiTheme="majorBidi" w:cstheme="majorBidi"/>
          <w:sz w:val="22"/>
          <w:szCs w:val="22"/>
          <w:shd w:val="clear" w:color="auto" w:fill="FFFFFF"/>
        </w:rPr>
        <w:t xml:space="preserve"> </w:t>
      </w:r>
      <w:r w:rsidRPr="0053374E">
        <w:rPr>
          <w:rFonts w:asciiTheme="majorBidi" w:hAnsiTheme="majorBidi" w:cstheme="majorBidi"/>
          <w:smallCaps/>
          <w:sz w:val="22"/>
          <w:szCs w:val="22"/>
          <w:shd w:val="clear" w:color="auto" w:fill="FFFFFF"/>
        </w:rPr>
        <w:t xml:space="preserve">of </w:t>
      </w:r>
      <w:r w:rsidRPr="0053374E">
        <w:rPr>
          <w:rFonts w:asciiTheme="majorBidi" w:hAnsiTheme="majorBidi" w:cstheme="majorBidi"/>
          <w:sz w:val="22"/>
          <w:szCs w:val="22"/>
          <w:shd w:val="clear" w:color="auto" w:fill="FFFFFF"/>
        </w:rPr>
        <w:t>P</w:t>
      </w:r>
      <w:r w:rsidRPr="0053374E">
        <w:rPr>
          <w:rFonts w:asciiTheme="majorBidi" w:hAnsiTheme="majorBidi" w:cstheme="majorBidi"/>
          <w:smallCaps/>
          <w:sz w:val="22"/>
          <w:szCs w:val="22"/>
          <w:shd w:val="clear" w:color="auto" w:fill="FFFFFF"/>
        </w:rPr>
        <w:t>arenting</w:t>
      </w:r>
      <w:r w:rsidRPr="0053374E">
        <w:rPr>
          <w:rFonts w:asciiTheme="majorBidi" w:hAnsiTheme="majorBidi" w:cstheme="majorBidi"/>
          <w:sz w:val="22"/>
          <w:szCs w:val="22"/>
          <w:shd w:val="clear" w:color="auto" w:fill="FFFFFF"/>
        </w:rPr>
        <w:t xml:space="preserve"> </w:t>
      </w:r>
      <w:r w:rsidRPr="0053374E">
        <w:rPr>
          <w:rFonts w:asciiTheme="majorBidi" w:hAnsiTheme="majorBidi" w:cstheme="majorBidi"/>
          <w:smallCaps/>
          <w:sz w:val="22"/>
          <w:szCs w:val="22"/>
          <w:shd w:val="clear" w:color="auto" w:fill="FFFFFF"/>
        </w:rPr>
        <w:t>in</w:t>
      </w:r>
      <w:r w:rsidRPr="0053374E">
        <w:rPr>
          <w:rFonts w:asciiTheme="majorBidi" w:hAnsiTheme="majorBidi" w:cstheme="majorBidi"/>
          <w:sz w:val="22"/>
          <w:szCs w:val="22"/>
          <w:shd w:val="clear" w:color="auto" w:fill="FFFFFF"/>
        </w:rPr>
        <w:t xml:space="preserve"> Stepfamilies </w:t>
      </w:r>
      <w:r w:rsidRPr="0053374E">
        <w:rPr>
          <w:rFonts w:asciiTheme="majorBidi" w:hAnsiTheme="majorBidi" w:cstheme="majorBidi"/>
          <w:smallCaps/>
          <w:sz w:val="22"/>
          <w:szCs w:val="22"/>
          <w:shd w:val="clear" w:color="auto" w:fill="FFFFFF"/>
        </w:rPr>
        <w:t>in</w:t>
      </w:r>
      <w:r w:rsidRPr="0053374E">
        <w:rPr>
          <w:rFonts w:asciiTheme="majorBidi" w:hAnsiTheme="majorBidi" w:cstheme="majorBidi"/>
          <w:sz w:val="22"/>
          <w:szCs w:val="22"/>
          <w:shd w:val="clear" w:color="auto" w:fill="FFFFFF"/>
        </w:rPr>
        <w:t xml:space="preserve"> Stepfamily Relationships 109, 121 (2004); </w:t>
      </w:r>
      <w:r w:rsidRPr="0053374E">
        <w:rPr>
          <w:rFonts w:asciiTheme="majorBidi" w:hAnsiTheme="majorBidi" w:cstheme="majorBidi"/>
          <w:sz w:val="22"/>
          <w:szCs w:val="22"/>
        </w:rPr>
        <w:t xml:space="preserve">Kay Pasley, David C. Dollahite and Marilyn Ihinger-Tallman, </w:t>
      </w:r>
      <w:r w:rsidRPr="0053374E">
        <w:rPr>
          <w:rFonts w:asciiTheme="majorBidi" w:hAnsiTheme="majorBidi" w:cstheme="majorBidi"/>
          <w:i/>
          <w:iCs/>
          <w:sz w:val="22"/>
          <w:szCs w:val="22"/>
        </w:rPr>
        <w:t>Bridging the Gap: Clinical Applications of Research Findings on the Spouse and Stepparent Roles in Remarriage,</w:t>
      </w:r>
      <w:r w:rsidRPr="0053374E">
        <w:rPr>
          <w:rFonts w:asciiTheme="majorBidi" w:hAnsiTheme="majorBidi" w:cstheme="majorBidi"/>
          <w:sz w:val="22"/>
          <w:szCs w:val="22"/>
        </w:rPr>
        <w:t xml:space="preserve"> 42 F</w:t>
      </w:r>
      <w:r w:rsidRPr="0053374E">
        <w:rPr>
          <w:rFonts w:asciiTheme="majorBidi" w:hAnsiTheme="majorBidi" w:cstheme="majorBidi"/>
          <w:smallCaps/>
          <w:sz w:val="22"/>
          <w:szCs w:val="22"/>
        </w:rPr>
        <w:t>am</w:t>
      </w:r>
      <w:r w:rsidRPr="0053374E">
        <w:rPr>
          <w:rFonts w:asciiTheme="majorBidi" w:hAnsiTheme="majorBidi" w:cstheme="majorBidi"/>
          <w:sz w:val="22"/>
          <w:szCs w:val="22"/>
        </w:rPr>
        <w:t>. R</w:t>
      </w:r>
      <w:r w:rsidRPr="0053374E">
        <w:rPr>
          <w:rFonts w:asciiTheme="majorBidi" w:hAnsiTheme="majorBidi" w:cstheme="majorBidi"/>
          <w:smallCaps/>
          <w:sz w:val="22"/>
          <w:szCs w:val="22"/>
        </w:rPr>
        <w:t>el</w:t>
      </w:r>
      <w:r w:rsidRPr="0053374E">
        <w:rPr>
          <w:rFonts w:asciiTheme="majorBidi" w:hAnsiTheme="majorBidi" w:cstheme="majorBidi"/>
          <w:sz w:val="22"/>
          <w:szCs w:val="22"/>
        </w:rPr>
        <w:t>. 315 (1993).</w:t>
      </w:r>
    </w:p>
  </w:footnote>
  <w:footnote w:id="24">
    <w:p w14:paraId="3384C053" w14:textId="77777777" w:rsidR="00354596" w:rsidRPr="0053374E" w:rsidRDefault="00354596">
      <w:pPr>
        <w:pStyle w:val="FootnoteText"/>
        <w:rPr>
          <w:rFonts w:ascii="David" w:hAnsi="David" w:cs="David" w:hint="cs"/>
          <w:sz w:val="22"/>
          <w:szCs w:val="22"/>
          <w:rtl/>
        </w:rPr>
      </w:pPr>
      <w:r w:rsidRPr="0053374E">
        <w:rPr>
          <w:rStyle w:val="FootnoteReference"/>
          <w:sz w:val="22"/>
          <w:szCs w:val="22"/>
        </w:rPr>
        <w:footnoteRef/>
      </w:r>
      <w:r w:rsidRPr="0053374E">
        <w:rPr>
          <w:sz w:val="22"/>
          <w:szCs w:val="22"/>
          <w:rtl/>
        </w:rPr>
        <w:t xml:space="preserve"> </w:t>
      </w:r>
      <w:r w:rsidRPr="0053374E">
        <w:rPr>
          <w:rFonts w:ascii="David" w:hAnsi="David" w:cs="David"/>
          <w:sz w:val="22"/>
          <w:szCs w:val="22"/>
          <w:rtl/>
        </w:rPr>
        <w:t>ראו למשל,</w:t>
      </w:r>
    </w:p>
    <w:p w14:paraId="06D3020E" w14:textId="43CAD61D" w:rsidR="00354596" w:rsidRPr="0053374E" w:rsidRDefault="00354596" w:rsidP="00AA6D6C">
      <w:pPr>
        <w:pStyle w:val="Default"/>
        <w:rPr>
          <w:rFonts w:asciiTheme="majorBidi" w:hAnsiTheme="majorBidi" w:cs="David"/>
          <w:sz w:val="22"/>
          <w:szCs w:val="22"/>
          <w:highlight w:val="yellow"/>
        </w:rPr>
      </w:pPr>
      <w:r w:rsidRPr="0053374E">
        <w:rPr>
          <w:rFonts w:asciiTheme="majorBidi" w:hAnsiTheme="majorBidi" w:cstheme="majorBidi"/>
          <w:sz w:val="22"/>
          <w:szCs w:val="22"/>
        </w:rPr>
        <w:t xml:space="preserve">Charity Perry-Fraser, Rick Fraser, </w:t>
      </w:r>
      <w:r w:rsidRPr="0053374E">
        <w:rPr>
          <w:rFonts w:ascii="Cambria-Bold" w:hAnsi="Cambria-Bold" w:cs="Cambria-Bold"/>
          <w:i/>
          <w:iCs/>
          <w:sz w:val="22"/>
          <w:szCs w:val="22"/>
        </w:rPr>
        <w:t>A Qualitative Analysis of the Stepparent Role on Transition Days in Blended Families</w:t>
      </w:r>
      <w:r w:rsidRPr="0053374E">
        <w:rPr>
          <w:rFonts w:ascii="Cambria-Bold" w:hAnsi="Cambria-Bold" w:cs="Cambria-Bold"/>
          <w:sz w:val="22"/>
          <w:szCs w:val="22"/>
        </w:rPr>
        <w:t xml:space="preserve">, </w:t>
      </w:r>
      <w:r w:rsidRPr="0053374E">
        <w:rPr>
          <w:rFonts w:asciiTheme="majorBidi" w:hAnsiTheme="majorBidi" w:cstheme="majorBidi"/>
          <w:sz w:val="22"/>
          <w:szCs w:val="22"/>
        </w:rPr>
        <w:t>6 Open J. S</w:t>
      </w:r>
      <w:r w:rsidRPr="0053374E">
        <w:rPr>
          <w:rFonts w:asciiTheme="majorBidi" w:hAnsiTheme="majorBidi" w:cstheme="majorBidi"/>
          <w:smallCaps/>
          <w:sz w:val="22"/>
          <w:szCs w:val="22"/>
        </w:rPr>
        <w:t>oc</w:t>
      </w:r>
      <w:r w:rsidRPr="0053374E">
        <w:rPr>
          <w:rFonts w:asciiTheme="majorBidi" w:hAnsiTheme="majorBidi" w:cstheme="majorBidi"/>
          <w:sz w:val="22"/>
          <w:szCs w:val="22"/>
        </w:rPr>
        <w:t>. S</w:t>
      </w:r>
      <w:r w:rsidRPr="0053374E">
        <w:rPr>
          <w:rFonts w:asciiTheme="majorBidi" w:hAnsiTheme="majorBidi" w:cstheme="majorBidi"/>
          <w:smallCaps/>
          <w:sz w:val="22"/>
          <w:szCs w:val="22"/>
        </w:rPr>
        <w:t>ci</w:t>
      </w:r>
      <w:r w:rsidRPr="0053374E">
        <w:rPr>
          <w:rFonts w:asciiTheme="majorBidi" w:hAnsiTheme="majorBidi" w:cstheme="majorBidi"/>
          <w:sz w:val="22"/>
          <w:szCs w:val="22"/>
        </w:rPr>
        <w:t>. 240 (2018).</w:t>
      </w:r>
    </w:p>
  </w:footnote>
  <w:footnote w:id="25">
    <w:p w14:paraId="414212E5" w14:textId="0827B1A3" w:rsidR="00354596" w:rsidRPr="0053374E" w:rsidRDefault="00354596" w:rsidP="00327469">
      <w:pPr>
        <w:pStyle w:val="FootnoteText"/>
        <w:bidi w:val="0"/>
        <w:rPr>
          <w:rFonts w:ascii="Times-Roman" w:hAnsi="Times-Roman" w:cs="Times-Roman"/>
          <w:sz w:val="22"/>
          <w:szCs w:val="22"/>
        </w:rPr>
      </w:pPr>
      <w:r w:rsidRPr="0053374E">
        <w:rPr>
          <w:rStyle w:val="FootnoteReference"/>
          <w:sz w:val="22"/>
          <w:szCs w:val="22"/>
        </w:rPr>
        <w:footnoteRef/>
      </w:r>
      <w:r w:rsidRPr="0053374E">
        <w:rPr>
          <w:sz w:val="22"/>
          <w:szCs w:val="22"/>
          <w:rtl/>
        </w:rPr>
        <w:t xml:space="preserve"> </w:t>
      </w:r>
      <w:r w:rsidRPr="0053374E">
        <w:rPr>
          <w:rFonts w:ascii="Times-Roman" w:hAnsi="Times-Roman" w:cs="Times-Roman"/>
          <w:sz w:val="22"/>
          <w:szCs w:val="22"/>
        </w:rPr>
        <w:t>"The empirical literature generally has concluded that stepfathers have little</w:t>
      </w:r>
    </w:p>
    <w:p w14:paraId="6BCB7BF3" w14:textId="700225C1" w:rsidR="00354596" w:rsidRPr="0053374E" w:rsidRDefault="00354596" w:rsidP="002F46D5">
      <w:pPr>
        <w:pStyle w:val="ListParagraph"/>
        <w:bidi w:val="0"/>
        <w:spacing w:after="0" w:line="240" w:lineRule="auto"/>
        <w:ind w:left="0"/>
        <w:jc w:val="both"/>
        <w:rPr>
          <w:rFonts w:asciiTheme="majorBidi" w:hAnsiTheme="majorBidi" w:cstheme="majorBidi"/>
          <w:color w:val="000000"/>
          <w:shd w:val="clear" w:color="auto" w:fill="FFFFFF"/>
        </w:rPr>
      </w:pPr>
      <w:r w:rsidRPr="0053374E">
        <w:rPr>
          <w:rFonts w:asciiTheme="majorBidi" w:hAnsiTheme="majorBidi" w:cstheme="majorBidi"/>
        </w:rPr>
        <w:t>or no effect on child outcome"</w:t>
      </w:r>
      <w:r w:rsidRPr="0053374E">
        <w:rPr>
          <w:rFonts w:asciiTheme="majorBidi" w:hAnsiTheme="majorBidi" w:cstheme="majorBidi"/>
          <w:color w:val="000000"/>
          <w:shd w:val="clear" w:color="auto" w:fill="FFFFFF"/>
        </w:rPr>
        <w:t xml:space="preserve">, </w:t>
      </w:r>
      <w:r w:rsidRPr="0053374E">
        <w:rPr>
          <w:rFonts w:asciiTheme="majorBidi" w:hAnsiTheme="majorBidi" w:cstheme="majorBidi"/>
          <w:shd w:val="clear" w:color="auto" w:fill="FFFFFF"/>
        </w:rPr>
        <w:t>L</w:t>
      </w:r>
      <w:r w:rsidRPr="0053374E">
        <w:rPr>
          <w:rFonts w:asciiTheme="majorBidi" w:hAnsiTheme="majorBidi" w:cstheme="majorBidi"/>
          <w:smallCaps/>
          <w:shd w:val="clear" w:color="auto" w:fill="FFFFFF"/>
        </w:rPr>
        <w:t>awrence</w:t>
      </w:r>
      <w:r w:rsidRPr="0053374E">
        <w:rPr>
          <w:rFonts w:asciiTheme="majorBidi" w:hAnsiTheme="majorBidi" w:cstheme="majorBidi"/>
          <w:shd w:val="clear" w:color="auto" w:fill="FFFFFF"/>
        </w:rPr>
        <w:t xml:space="preserve"> G</w:t>
      </w:r>
      <w:r w:rsidRPr="0053374E">
        <w:rPr>
          <w:rFonts w:asciiTheme="majorBidi" w:hAnsiTheme="majorBidi" w:cstheme="majorBidi"/>
          <w:smallCaps/>
          <w:shd w:val="clear" w:color="auto" w:fill="FFFFFF"/>
        </w:rPr>
        <w:t>anong</w:t>
      </w:r>
      <w:r w:rsidRPr="0053374E">
        <w:rPr>
          <w:rFonts w:asciiTheme="majorBidi" w:hAnsiTheme="majorBidi" w:cstheme="majorBidi"/>
          <w:shd w:val="clear" w:color="auto" w:fill="FFFFFF"/>
        </w:rPr>
        <w:t>, M</w:t>
      </w:r>
      <w:r w:rsidRPr="0053374E">
        <w:rPr>
          <w:rFonts w:asciiTheme="majorBidi" w:hAnsiTheme="majorBidi" w:cstheme="majorBidi"/>
          <w:smallCaps/>
          <w:shd w:val="clear" w:color="auto" w:fill="FFFFFF"/>
        </w:rPr>
        <w:t>arilyn</w:t>
      </w:r>
      <w:r w:rsidRPr="0053374E">
        <w:rPr>
          <w:rFonts w:asciiTheme="majorBidi" w:hAnsiTheme="majorBidi" w:cstheme="majorBidi"/>
          <w:shd w:val="clear" w:color="auto" w:fill="FFFFFF"/>
        </w:rPr>
        <w:t xml:space="preserve"> C</w:t>
      </w:r>
      <w:r w:rsidRPr="0053374E">
        <w:rPr>
          <w:rFonts w:asciiTheme="majorBidi" w:hAnsiTheme="majorBidi" w:cstheme="majorBidi"/>
          <w:smallCaps/>
          <w:shd w:val="clear" w:color="auto" w:fill="FFFFFF"/>
        </w:rPr>
        <w:t>oleman</w:t>
      </w:r>
      <w:r w:rsidRPr="0053374E">
        <w:rPr>
          <w:rFonts w:asciiTheme="majorBidi" w:hAnsiTheme="majorBidi" w:cstheme="majorBidi"/>
          <w:shd w:val="clear" w:color="auto" w:fill="FFFFFF"/>
        </w:rPr>
        <w:t>, The D</w:t>
      </w:r>
      <w:r w:rsidRPr="0053374E">
        <w:rPr>
          <w:rFonts w:asciiTheme="majorBidi" w:hAnsiTheme="majorBidi" w:cstheme="majorBidi"/>
          <w:smallCaps/>
          <w:shd w:val="clear" w:color="auto" w:fill="FFFFFF"/>
        </w:rPr>
        <w:t>ynamics</w:t>
      </w:r>
      <w:r w:rsidRPr="0053374E">
        <w:rPr>
          <w:rFonts w:asciiTheme="majorBidi" w:hAnsiTheme="majorBidi" w:cstheme="majorBidi"/>
          <w:shd w:val="clear" w:color="auto" w:fill="FFFFFF"/>
        </w:rPr>
        <w:t xml:space="preserve"> </w:t>
      </w:r>
      <w:r w:rsidRPr="0053374E">
        <w:rPr>
          <w:rFonts w:asciiTheme="majorBidi" w:hAnsiTheme="majorBidi" w:cstheme="majorBidi"/>
          <w:smallCaps/>
          <w:shd w:val="clear" w:color="auto" w:fill="FFFFFF"/>
        </w:rPr>
        <w:t xml:space="preserve">of </w:t>
      </w:r>
      <w:r w:rsidRPr="0053374E">
        <w:rPr>
          <w:rFonts w:asciiTheme="majorBidi" w:hAnsiTheme="majorBidi" w:cstheme="majorBidi"/>
          <w:shd w:val="clear" w:color="auto" w:fill="FFFFFF"/>
        </w:rPr>
        <w:t>P</w:t>
      </w:r>
      <w:r w:rsidRPr="0053374E">
        <w:rPr>
          <w:rFonts w:asciiTheme="majorBidi" w:hAnsiTheme="majorBidi" w:cstheme="majorBidi"/>
          <w:smallCaps/>
          <w:shd w:val="clear" w:color="auto" w:fill="FFFFFF"/>
        </w:rPr>
        <w:t>arenting</w:t>
      </w:r>
      <w:r w:rsidRPr="0053374E">
        <w:rPr>
          <w:rFonts w:asciiTheme="majorBidi" w:hAnsiTheme="majorBidi" w:cstheme="majorBidi"/>
          <w:shd w:val="clear" w:color="auto" w:fill="FFFFFF"/>
        </w:rPr>
        <w:t xml:space="preserve"> </w:t>
      </w:r>
      <w:r w:rsidRPr="0053374E">
        <w:rPr>
          <w:rFonts w:asciiTheme="majorBidi" w:hAnsiTheme="majorBidi" w:cstheme="majorBidi"/>
          <w:smallCaps/>
          <w:shd w:val="clear" w:color="auto" w:fill="FFFFFF"/>
        </w:rPr>
        <w:t>in</w:t>
      </w:r>
      <w:r w:rsidRPr="0053374E">
        <w:rPr>
          <w:rFonts w:asciiTheme="majorBidi" w:hAnsiTheme="majorBidi" w:cstheme="majorBidi"/>
          <w:shd w:val="clear" w:color="auto" w:fill="FFFFFF"/>
        </w:rPr>
        <w:t xml:space="preserve"> Stepfamilies </w:t>
      </w:r>
      <w:r w:rsidRPr="0053374E">
        <w:rPr>
          <w:rFonts w:asciiTheme="majorBidi" w:hAnsiTheme="majorBidi" w:cstheme="majorBidi"/>
          <w:smallCaps/>
          <w:shd w:val="clear" w:color="auto" w:fill="FFFFFF"/>
        </w:rPr>
        <w:t>in</w:t>
      </w:r>
      <w:r w:rsidRPr="0053374E">
        <w:rPr>
          <w:rFonts w:asciiTheme="majorBidi" w:hAnsiTheme="majorBidi" w:cstheme="majorBidi"/>
          <w:shd w:val="clear" w:color="auto" w:fill="FFFFFF"/>
        </w:rPr>
        <w:t xml:space="preserve"> Stepfamily Relationships 109, 121 (2004)</w:t>
      </w:r>
      <w:r w:rsidRPr="0053374E">
        <w:rPr>
          <w:rFonts w:asciiTheme="majorBidi" w:hAnsiTheme="majorBidi" w:cstheme="majorBidi"/>
          <w:color w:val="000000"/>
          <w:shd w:val="clear" w:color="auto" w:fill="FFFFFF"/>
        </w:rPr>
        <w:t>.</w:t>
      </w:r>
    </w:p>
  </w:footnote>
  <w:footnote w:id="26">
    <w:p w14:paraId="2BB89E01" w14:textId="688D8471" w:rsidR="00354596" w:rsidRPr="0053374E" w:rsidRDefault="00354596" w:rsidP="002F46D5">
      <w:pPr>
        <w:pStyle w:val="ListParagraph"/>
        <w:bidi w:val="0"/>
        <w:spacing w:after="0" w:line="240" w:lineRule="auto"/>
        <w:ind w:left="0"/>
        <w:jc w:val="both"/>
        <w:rPr>
          <w:rFonts w:asciiTheme="majorBidi" w:hAnsiTheme="majorBidi" w:cstheme="majorBidi"/>
          <w:color w:val="000000"/>
          <w:shd w:val="clear" w:color="auto" w:fill="FFFFFF"/>
        </w:rPr>
      </w:pPr>
      <w:r w:rsidRPr="0053374E">
        <w:rPr>
          <w:rStyle w:val="FootnoteReference"/>
        </w:rPr>
        <w:footnoteRef/>
      </w:r>
      <w:r w:rsidRPr="0053374E">
        <w:rPr>
          <w:rtl/>
        </w:rPr>
        <w:t xml:space="preserve"> </w:t>
      </w:r>
      <w:r w:rsidRPr="0053374E">
        <w:rPr>
          <w:rFonts w:asciiTheme="majorBidi" w:hAnsiTheme="majorBidi" w:cstheme="majorBidi"/>
          <w:shd w:val="clear" w:color="auto" w:fill="FFFFFF"/>
        </w:rPr>
        <w:t>L</w:t>
      </w:r>
      <w:r w:rsidRPr="0053374E">
        <w:rPr>
          <w:rFonts w:asciiTheme="majorBidi" w:hAnsiTheme="majorBidi" w:cstheme="majorBidi"/>
          <w:smallCaps/>
          <w:shd w:val="clear" w:color="auto" w:fill="FFFFFF"/>
        </w:rPr>
        <w:t>awrence</w:t>
      </w:r>
      <w:r w:rsidRPr="0053374E">
        <w:rPr>
          <w:rFonts w:asciiTheme="majorBidi" w:hAnsiTheme="majorBidi" w:cstheme="majorBidi"/>
          <w:shd w:val="clear" w:color="auto" w:fill="FFFFFF"/>
        </w:rPr>
        <w:t xml:space="preserve"> G</w:t>
      </w:r>
      <w:r w:rsidRPr="0053374E">
        <w:rPr>
          <w:rFonts w:asciiTheme="majorBidi" w:hAnsiTheme="majorBidi" w:cstheme="majorBidi"/>
          <w:smallCaps/>
          <w:shd w:val="clear" w:color="auto" w:fill="FFFFFF"/>
        </w:rPr>
        <w:t>anong</w:t>
      </w:r>
      <w:r w:rsidRPr="0053374E">
        <w:rPr>
          <w:rFonts w:asciiTheme="majorBidi" w:hAnsiTheme="majorBidi" w:cstheme="majorBidi"/>
          <w:shd w:val="clear" w:color="auto" w:fill="FFFFFF"/>
        </w:rPr>
        <w:t>, M</w:t>
      </w:r>
      <w:r w:rsidRPr="0053374E">
        <w:rPr>
          <w:rFonts w:asciiTheme="majorBidi" w:hAnsiTheme="majorBidi" w:cstheme="majorBidi"/>
          <w:smallCaps/>
          <w:shd w:val="clear" w:color="auto" w:fill="FFFFFF"/>
        </w:rPr>
        <w:t>arilyn</w:t>
      </w:r>
      <w:r w:rsidRPr="0053374E">
        <w:rPr>
          <w:rFonts w:asciiTheme="majorBidi" w:hAnsiTheme="majorBidi" w:cstheme="majorBidi"/>
          <w:shd w:val="clear" w:color="auto" w:fill="FFFFFF"/>
        </w:rPr>
        <w:t xml:space="preserve"> C</w:t>
      </w:r>
      <w:r w:rsidRPr="0053374E">
        <w:rPr>
          <w:rFonts w:asciiTheme="majorBidi" w:hAnsiTheme="majorBidi" w:cstheme="majorBidi"/>
          <w:smallCaps/>
          <w:shd w:val="clear" w:color="auto" w:fill="FFFFFF"/>
        </w:rPr>
        <w:t>oleman</w:t>
      </w:r>
      <w:r w:rsidRPr="0053374E">
        <w:rPr>
          <w:rFonts w:asciiTheme="majorBidi" w:hAnsiTheme="majorBidi" w:cstheme="majorBidi"/>
          <w:shd w:val="clear" w:color="auto" w:fill="FFFFFF"/>
        </w:rPr>
        <w:t>, The D</w:t>
      </w:r>
      <w:r w:rsidRPr="0053374E">
        <w:rPr>
          <w:rFonts w:asciiTheme="majorBidi" w:hAnsiTheme="majorBidi" w:cstheme="majorBidi"/>
          <w:smallCaps/>
          <w:shd w:val="clear" w:color="auto" w:fill="FFFFFF"/>
        </w:rPr>
        <w:t>ynamics</w:t>
      </w:r>
      <w:r w:rsidRPr="0053374E">
        <w:rPr>
          <w:rFonts w:asciiTheme="majorBidi" w:hAnsiTheme="majorBidi" w:cstheme="majorBidi"/>
          <w:shd w:val="clear" w:color="auto" w:fill="FFFFFF"/>
        </w:rPr>
        <w:t xml:space="preserve"> </w:t>
      </w:r>
      <w:r w:rsidRPr="0053374E">
        <w:rPr>
          <w:rFonts w:asciiTheme="majorBidi" w:hAnsiTheme="majorBidi" w:cstheme="majorBidi"/>
          <w:smallCaps/>
          <w:shd w:val="clear" w:color="auto" w:fill="FFFFFF"/>
        </w:rPr>
        <w:t xml:space="preserve">of </w:t>
      </w:r>
      <w:r w:rsidRPr="0053374E">
        <w:rPr>
          <w:rFonts w:asciiTheme="majorBidi" w:hAnsiTheme="majorBidi" w:cstheme="majorBidi"/>
          <w:shd w:val="clear" w:color="auto" w:fill="FFFFFF"/>
        </w:rPr>
        <w:t>P</w:t>
      </w:r>
      <w:r w:rsidRPr="0053374E">
        <w:rPr>
          <w:rFonts w:asciiTheme="majorBidi" w:hAnsiTheme="majorBidi" w:cstheme="majorBidi"/>
          <w:smallCaps/>
          <w:shd w:val="clear" w:color="auto" w:fill="FFFFFF"/>
        </w:rPr>
        <w:t>arenting</w:t>
      </w:r>
      <w:r w:rsidRPr="0053374E">
        <w:rPr>
          <w:rFonts w:asciiTheme="majorBidi" w:hAnsiTheme="majorBidi" w:cstheme="majorBidi"/>
          <w:shd w:val="clear" w:color="auto" w:fill="FFFFFF"/>
        </w:rPr>
        <w:t xml:space="preserve"> </w:t>
      </w:r>
      <w:r w:rsidRPr="0053374E">
        <w:rPr>
          <w:rFonts w:asciiTheme="majorBidi" w:hAnsiTheme="majorBidi" w:cstheme="majorBidi"/>
          <w:smallCaps/>
          <w:shd w:val="clear" w:color="auto" w:fill="FFFFFF"/>
        </w:rPr>
        <w:t>in</w:t>
      </w:r>
      <w:r w:rsidRPr="0053374E">
        <w:rPr>
          <w:rFonts w:asciiTheme="majorBidi" w:hAnsiTheme="majorBidi" w:cstheme="majorBidi"/>
          <w:shd w:val="clear" w:color="auto" w:fill="FFFFFF"/>
        </w:rPr>
        <w:t xml:space="preserve"> Stepfamilies </w:t>
      </w:r>
      <w:r w:rsidRPr="0053374E">
        <w:rPr>
          <w:rFonts w:asciiTheme="majorBidi" w:hAnsiTheme="majorBidi" w:cstheme="majorBidi"/>
          <w:smallCaps/>
          <w:shd w:val="clear" w:color="auto" w:fill="FFFFFF"/>
        </w:rPr>
        <w:t>in</w:t>
      </w:r>
      <w:r w:rsidRPr="0053374E">
        <w:rPr>
          <w:rFonts w:asciiTheme="majorBidi" w:hAnsiTheme="majorBidi" w:cstheme="majorBidi"/>
          <w:shd w:val="clear" w:color="auto" w:fill="FFFFFF"/>
        </w:rPr>
        <w:t xml:space="preserve"> Stepfamily Relationships 109, 121 (2004)</w:t>
      </w:r>
      <w:r w:rsidRPr="0053374E">
        <w:rPr>
          <w:rFonts w:asciiTheme="majorBidi" w:hAnsiTheme="majorBidi" w:cstheme="majorBidi"/>
          <w:color w:val="000000"/>
          <w:shd w:val="clear" w:color="auto" w:fill="FFFFFF"/>
        </w:rPr>
        <w:t>.</w:t>
      </w:r>
    </w:p>
  </w:footnote>
  <w:footnote w:id="27">
    <w:p w14:paraId="785F0911" w14:textId="77777777" w:rsidR="00354596" w:rsidRPr="0053374E" w:rsidRDefault="00354596">
      <w:pPr>
        <w:pStyle w:val="FootnoteText"/>
        <w:rPr>
          <w:rFonts w:hint="cs"/>
          <w:sz w:val="22"/>
          <w:szCs w:val="22"/>
          <w:rtl/>
        </w:rPr>
      </w:pPr>
      <w:r w:rsidRPr="0053374E">
        <w:rPr>
          <w:rStyle w:val="FootnoteReference"/>
          <w:sz w:val="22"/>
          <w:szCs w:val="22"/>
        </w:rPr>
        <w:footnoteRef/>
      </w:r>
      <w:r w:rsidRPr="0053374E">
        <w:rPr>
          <w:sz w:val="22"/>
          <w:szCs w:val="22"/>
          <w:rtl/>
        </w:rPr>
        <w:t xml:space="preserve"> </w:t>
      </w:r>
      <w:r w:rsidRPr="0053374E">
        <w:rPr>
          <w:rFonts w:hint="cs"/>
          <w:sz w:val="22"/>
          <w:szCs w:val="22"/>
          <w:rtl/>
        </w:rPr>
        <w:t>שם, 124.</w:t>
      </w:r>
    </w:p>
  </w:footnote>
  <w:footnote w:id="28">
    <w:p w14:paraId="70EBD1AD" w14:textId="77777777" w:rsidR="00354596" w:rsidRPr="0053374E" w:rsidRDefault="00354596" w:rsidP="0053374E">
      <w:pPr>
        <w:pStyle w:val="FootnoteText"/>
        <w:jc w:val="both"/>
        <w:rPr>
          <w:rFonts w:ascii="David" w:hAnsi="David" w:cs="David"/>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מעניין לציין כי אמהות חורגות מתאפיינות אחרת מאבות חורגים, הן בשל העובדה כי הן לרוב חיצוניות למשפחה ומתגוררות בנפרד מהילדים והן בשל תפקידן החברתי והצפייה השונה הקיימת מהן. על אמהות חורגות ראו</w:t>
      </w:r>
    </w:p>
    <w:p w14:paraId="21D7C778" w14:textId="01F03470" w:rsidR="00354596" w:rsidRPr="0053374E" w:rsidRDefault="00354596" w:rsidP="003E5E18">
      <w:pPr>
        <w:pStyle w:val="Default"/>
        <w:rPr>
          <w:rFonts w:asciiTheme="majorBidi" w:hAnsiTheme="majorBidi" w:cstheme="majorBidi"/>
          <w:sz w:val="22"/>
          <w:szCs w:val="22"/>
        </w:rPr>
      </w:pPr>
      <w:r w:rsidRPr="0053374E">
        <w:rPr>
          <w:rFonts w:asciiTheme="majorBidi" w:hAnsiTheme="majorBidi" w:cstheme="majorBidi"/>
          <w:sz w:val="22"/>
          <w:szCs w:val="22"/>
        </w:rPr>
        <w:t xml:space="preserve">Patrycja Sosnowska-Buxton, The Complex Dynamics of Step-m-othering: A Qualitative Study (May 2014) (Unpublished Ph.D. dissertation, University of York) (on file with author). </w:t>
      </w:r>
    </w:p>
  </w:footnote>
  <w:footnote w:id="29">
    <w:p w14:paraId="6E0C168A" w14:textId="77777777" w:rsidR="00354596" w:rsidRPr="0053374E" w:rsidRDefault="00354596" w:rsidP="00E351F4">
      <w:pPr>
        <w:pStyle w:val="FootnoteText"/>
        <w:jc w:val="both"/>
        <w:rPr>
          <w:rFonts w:ascii="David" w:hAnsi="David" w:cs="David"/>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להלן ....</w:t>
      </w:r>
    </w:p>
  </w:footnote>
  <w:footnote w:id="30">
    <w:p w14:paraId="60C9A511" w14:textId="7EF6E5FD" w:rsidR="00354596" w:rsidRPr="0053374E" w:rsidRDefault="00354596" w:rsidP="00545EC3">
      <w:pPr>
        <w:pStyle w:val="FootnoteText"/>
        <w:rPr>
          <w:rFonts w:ascii="David" w:hAnsi="David" w:cs="David" w:hint="cs"/>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ראו למשל את תיאור המקרים בפסקי הדין הבאים, המשקפים סוגים שונים של קונפליקטים בין ההורים ואת מעורבותם של ההורים החורגים:</w:t>
      </w:r>
    </w:p>
    <w:p w14:paraId="32CE5D9C" w14:textId="790DE0E3" w:rsidR="00354596" w:rsidRPr="0053374E" w:rsidRDefault="00354596" w:rsidP="00F65821">
      <w:pPr>
        <w:bidi w:val="0"/>
        <w:jc w:val="both"/>
        <w:rPr>
          <w:rFonts w:ascii="David" w:eastAsia="Times New Roman" w:hAnsi="David" w:cs="David"/>
          <w:color w:val="222222"/>
        </w:rPr>
      </w:pPr>
      <w:r w:rsidRPr="0053374E">
        <w:rPr>
          <w:rFonts w:ascii="David" w:hAnsi="David" w:cs="David"/>
        </w:rPr>
        <w:t xml:space="preserve">Gilliam v. Jones, 1998 Tenn. App. LEXIS 865; </w:t>
      </w:r>
      <w:r w:rsidRPr="0053374E">
        <w:rPr>
          <w:rFonts w:ascii="David" w:eastAsia="Times New Roman" w:hAnsi="David" w:cs="David"/>
          <w:color w:val="222222"/>
        </w:rPr>
        <w:t xml:space="preserve">In re the MARRIAGE OF Beverly Robin ROSENFELD and Martin Sanford Rosenfeld 524 N.W.2d 212 (1994); Bethany (BUMGARNER) SCHROEDEL, v. TIMOTHY ADAM BUMGARNER. </w:t>
      </w:r>
      <w:hyperlink r:id="rId12" w:history="1">
        <w:r w:rsidRPr="0053374E">
          <w:rPr>
            <w:rFonts w:ascii="David" w:eastAsia="Times New Roman" w:hAnsi="David" w:cs="David"/>
            <w:color w:val="660099"/>
            <w:u w:val="single"/>
          </w:rPr>
          <w:t>No. E2009-02299-COA-R3-CV.</w:t>
        </w:r>
      </w:hyperlink>
      <w:r w:rsidRPr="0053374E">
        <w:rPr>
          <w:rFonts w:ascii="David" w:eastAsia="Times New Roman" w:hAnsi="David" w:cs="David"/>
          <w:color w:val="222222"/>
        </w:rPr>
        <w:t xml:space="preserve"> Court of Appeals of Tennessee, at Knoxville. (2010); Merle Applebaum Snaders v. Michael Rosenberg 930 P. 2d. 1144 (1996) 122 N.M. 692. </w:t>
      </w:r>
    </w:p>
  </w:footnote>
  <w:footnote w:id="31">
    <w:p w14:paraId="0E324025" w14:textId="77777777" w:rsidR="003B36DD" w:rsidRDefault="00354596" w:rsidP="003B36DD">
      <w:pPr>
        <w:pStyle w:val="FootnoteText"/>
        <w:rPr>
          <w:sz w:val="22"/>
          <w:szCs w:val="22"/>
          <w:rtl/>
        </w:rPr>
      </w:pPr>
      <w:r w:rsidRPr="0053374E">
        <w:rPr>
          <w:rStyle w:val="FootnoteReference"/>
          <w:sz w:val="22"/>
          <w:szCs w:val="22"/>
        </w:rPr>
        <w:footnoteRef/>
      </w:r>
      <w:r w:rsidRPr="0053374E">
        <w:rPr>
          <w:sz w:val="22"/>
          <w:szCs w:val="22"/>
          <w:rtl/>
        </w:rPr>
        <w:t xml:space="preserve"> </w:t>
      </w:r>
    </w:p>
    <w:p w14:paraId="78453964" w14:textId="18FBC7F2" w:rsidR="00354596" w:rsidRPr="0053374E" w:rsidRDefault="00354596" w:rsidP="003B36DD">
      <w:pPr>
        <w:pStyle w:val="FootnoteText"/>
        <w:bidi w:val="0"/>
        <w:jc w:val="both"/>
        <w:rPr>
          <w:sz w:val="22"/>
          <w:szCs w:val="22"/>
          <w:rtl/>
        </w:rPr>
      </w:pPr>
      <w:r w:rsidRPr="0053374E">
        <w:rPr>
          <w:rFonts w:ascii="Times New Roman" w:hAnsi="Times New Roman" w:cs="Times New Roman"/>
          <w:sz w:val="22"/>
          <w:szCs w:val="22"/>
        </w:rPr>
        <w:t xml:space="preserve">Marilyn Coleman et al., </w:t>
      </w:r>
      <w:r w:rsidRPr="0053374E">
        <w:rPr>
          <w:rFonts w:ascii="Times New Roman" w:hAnsi="Times New Roman" w:cs="Times New Roman"/>
          <w:i/>
          <w:iCs/>
          <w:sz w:val="22"/>
          <w:szCs w:val="22"/>
        </w:rPr>
        <w:t>When You’re Not The Brady Bunch: Identifying Perceived Conflicts and Resolution Strategies in Stepfamilies</w:t>
      </w:r>
      <w:r w:rsidRPr="0053374E">
        <w:rPr>
          <w:rFonts w:ascii="Times New Roman" w:hAnsi="Times New Roman" w:cs="Times New Roman"/>
          <w:sz w:val="22"/>
          <w:szCs w:val="22"/>
        </w:rPr>
        <w:t xml:space="preserve">, 8 </w:t>
      </w:r>
      <w:r w:rsidRPr="0053374E">
        <w:rPr>
          <w:rFonts w:ascii="Times New Roman" w:hAnsi="Times New Roman" w:cs="Times New Roman"/>
          <w:smallCaps/>
          <w:sz w:val="22"/>
          <w:szCs w:val="22"/>
        </w:rPr>
        <w:t>Pers</w:t>
      </w:r>
      <w:r w:rsidRPr="0053374E">
        <w:rPr>
          <w:rFonts w:ascii="Times New Roman" w:hAnsi="Times New Roman" w:cs="Times New Roman"/>
          <w:sz w:val="22"/>
          <w:szCs w:val="22"/>
        </w:rPr>
        <w:t>. Relationships 55, 57 (2001).</w:t>
      </w:r>
    </w:p>
  </w:footnote>
  <w:footnote w:id="32">
    <w:p w14:paraId="12B7A086" w14:textId="193DC0F9" w:rsidR="00354596" w:rsidRPr="0053374E" w:rsidRDefault="00354596" w:rsidP="00AB55F4">
      <w:pPr>
        <w:pStyle w:val="FootnoteText"/>
        <w:rPr>
          <w:rFonts w:hint="cs"/>
          <w:sz w:val="22"/>
          <w:szCs w:val="22"/>
          <w:rtl/>
        </w:rPr>
      </w:pPr>
      <w:r w:rsidRPr="0053374E">
        <w:rPr>
          <w:rStyle w:val="FootnoteReference"/>
          <w:sz w:val="22"/>
          <w:szCs w:val="22"/>
        </w:rPr>
        <w:footnoteRef/>
      </w:r>
      <w:r w:rsidRPr="0053374E">
        <w:rPr>
          <w:sz w:val="22"/>
          <w:szCs w:val="22"/>
          <w:rtl/>
        </w:rPr>
        <w:t xml:space="preserve"> </w:t>
      </w:r>
    </w:p>
    <w:p w14:paraId="7120CAC0" w14:textId="3846E709" w:rsidR="00354596" w:rsidRPr="0053374E" w:rsidRDefault="00354596" w:rsidP="003B36DD">
      <w:pPr>
        <w:bidi w:val="0"/>
        <w:jc w:val="both"/>
        <w:rPr>
          <w:rFonts w:ascii="Times New Roman" w:eastAsia="Times New Roman" w:hAnsi="Times New Roman" w:cs="Times New Roman"/>
        </w:rPr>
      </w:pPr>
      <w:r w:rsidRPr="0053374E">
        <w:rPr>
          <w:rFonts w:ascii="David" w:hAnsi="David" w:cs="David"/>
          <w:color w:val="111111"/>
        </w:rPr>
        <w:t xml:space="preserve">Denise A. Skinner &amp; Julie K. Kohler, Parental Rights in Diverse Family Contexts: Current Legal Developments, </w:t>
      </w:r>
      <w:r w:rsidRPr="0053374E">
        <w:rPr>
          <w:rFonts w:ascii="David" w:eastAsia="Times New Roman" w:hAnsi="David" w:cs="David"/>
          <w:i/>
          <w:iCs/>
          <w:color w:val="000000" w:themeColor="text1"/>
          <w:shd w:val="clear" w:color="auto" w:fill="FFFFFF"/>
        </w:rPr>
        <w:t>Family Relations</w:t>
      </w:r>
      <w:r w:rsidRPr="0053374E">
        <w:rPr>
          <w:rFonts w:ascii="David" w:eastAsia="Times New Roman" w:hAnsi="David" w:cs="David"/>
          <w:color w:val="000000" w:themeColor="text1"/>
          <w:shd w:val="clear" w:color="auto" w:fill="FFFFFF"/>
        </w:rPr>
        <w:t>, vol. 51, no. 4, 2002, pp. 293–300;</w:t>
      </w:r>
      <w:r w:rsidRPr="0053374E">
        <w:rPr>
          <w:rFonts w:ascii="David" w:hAnsi="David" w:cs="David"/>
          <w:color w:val="111111"/>
        </w:rPr>
        <w:t xml:space="preserve"> Emily Buss, </w:t>
      </w:r>
      <w:r w:rsidRPr="0053374E">
        <w:rPr>
          <w:rFonts w:ascii="Times New Roman" w:eastAsia="Times New Roman" w:hAnsi="Times New Roman" w:cs="Times New Roman"/>
          <w:i/>
          <w:iCs/>
        </w:rPr>
        <w:t>Parental Rights</w:t>
      </w:r>
      <w:r w:rsidRPr="0053374E">
        <w:rPr>
          <w:rFonts w:ascii="Times New Roman" w:eastAsia="Times New Roman" w:hAnsi="Times New Roman" w:cs="Times New Roman"/>
        </w:rPr>
        <w:t xml:space="preserve">, </w:t>
      </w:r>
      <w:r w:rsidRPr="0053374E">
        <w:rPr>
          <w:rFonts w:ascii="Times New Roman" w:eastAsia="Times New Roman" w:hAnsi="Times New Roman" w:cs="Times New Roman"/>
          <w:smallCaps/>
        </w:rPr>
        <w:t>88 Va. L. Rev. 635</w:t>
      </w:r>
      <w:r w:rsidRPr="0053374E">
        <w:rPr>
          <w:rFonts w:ascii="Times New Roman" w:eastAsia="Times New Roman" w:hAnsi="Times New Roman" w:cs="Times New Roman"/>
        </w:rPr>
        <w:t xml:space="preserve">, 656 (2002). </w:t>
      </w:r>
    </w:p>
    <w:p w14:paraId="2770BBDD" w14:textId="5257F7E4" w:rsidR="00354596" w:rsidRPr="0053374E" w:rsidRDefault="00354596" w:rsidP="00C46FAE">
      <w:pPr>
        <w:pStyle w:val="FootnoteText"/>
        <w:rPr>
          <w:rFonts w:hint="cs"/>
          <w:sz w:val="22"/>
          <w:szCs w:val="22"/>
          <w:rtl/>
        </w:rPr>
      </w:pPr>
      <w:r w:rsidRPr="003B36DD">
        <w:rPr>
          <w:rFonts w:ascii="David" w:hAnsi="David" w:cs="David"/>
          <w:sz w:val="22"/>
          <w:szCs w:val="22"/>
          <w:rtl/>
        </w:rPr>
        <w:t>וכן ראו בפסיקה החל מ-</w:t>
      </w:r>
      <w:r w:rsidRPr="0053374E">
        <w:rPr>
          <w:rFonts w:hint="cs"/>
          <w:sz w:val="22"/>
          <w:szCs w:val="22"/>
          <w:rtl/>
        </w:rPr>
        <w:t xml:space="preserve"> </w:t>
      </w:r>
      <w:r w:rsidRPr="0053374E">
        <w:rPr>
          <w:rFonts w:asciiTheme="majorBidi" w:eastAsia="Times New Roman" w:hAnsiTheme="majorBidi" w:cstheme="majorBidi"/>
          <w:i/>
          <w:iCs/>
          <w:sz w:val="22"/>
          <w:szCs w:val="22"/>
        </w:rPr>
        <w:t>Meyer v. Nebraska</w:t>
      </w:r>
      <w:r w:rsidRPr="0053374E">
        <w:rPr>
          <w:rFonts w:hint="cs"/>
          <w:sz w:val="22"/>
          <w:szCs w:val="22"/>
          <w:rtl/>
        </w:rPr>
        <w:t xml:space="preserve"> ועד</w:t>
      </w:r>
      <w:r w:rsidRPr="0053374E">
        <w:rPr>
          <w:sz w:val="22"/>
          <w:szCs w:val="22"/>
        </w:rPr>
        <w:t>Troxel -</w:t>
      </w:r>
    </w:p>
    <w:p w14:paraId="3553225E" w14:textId="50E90576" w:rsidR="00354596" w:rsidRPr="0053374E" w:rsidRDefault="00354596" w:rsidP="005454ED">
      <w:pPr>
        <w:bidi w:val="0"/>
        <w:jc w:val="both"/>
        <w:rPr>
          <w:rFonts w:asciiTheme="majorBidi" w:hAnsiTheme="majorBidi" w:cstheme="majorBidi"/>
        </w:rPr>
      </w:pPr>
      <w:r w:rsidRPr="0053374E">
        <w:rPr>
          <w:rFonts w:asciiTheme="majorBidi" w:eastAsia="Times New Roman" w:hAnsiTheme="majorBidi" w:cstheme="majorBidi"/>
          <w:i/>
          <w:iCs/>
        </w:rPr>
        <w:t>Meyer v. Nebraska</w:t>
      </w:r>
      <w:r w:rsidRPr="0053374E">
        <w:rPr>
          <w:rFonts w:asciiTheme="majorBidi" w:eastAsia="Times New Roman" w:hAnsiTheme="majorBidi" w:cstheme="majorBidi"/>
        </w:rPr>
        <w:t xml:space="preserve">, 262 U.S. 390, 43 S. Ct. 625, 67 L. Ed. 1042 (1923) p. 400-401; </w:t>
      </w:r>
      <w:r w:rsidRPr="0053374E">
        <w:rPr>
          <w:rFonts w:asciiTheme="majorBidi" w:eastAsia="Times New Roman" w:hAnsiTheme="majorBidi" w:cstheme="majorBidi"/>
          <w:i/>
          <w:iCs/>
          <w:color w:val="000000" w:themeColor="text1"/>
          <w:shd w:val="clear" w:color="auto" w:fill="FFFFFF"/>
        </w:rPr>
        <w:t>Pierce v. Society of Sisters</w:t>
      </w:r>
      <w:r w:rsidRPr="0053374E">
        <w:rPr>
          <w:rFonts w:asciiTheme="majorBidi" w:eastAsia="Times New Roman" w:hAnsiTheme="majorBidi" w:cstheme="majorBidi"/>
          <w:color w:val="000000" w:themeColor="text1"/>
          <w:shd w:val="clear" w:color="auto" w:fill="FFFFFF"/>
        </w:rPr>
        <w:t xml:space="preserve">, 268 U.S. 510, 45 S. Ct. 571, 69 L. Ed. 1070 (1925) p. 535; </w:t>
      </w:r>
      <w:r w:rsidRPr="0053374E">
        <w:rPr>
          <w:rFonts w:asciiTheme="majorBidi" w:hAnsiTheme="majorBidi" w:cstheme="majorBidi"/>
          <w:i/>
          <w:iCs/>
        </w:rPr>
        <w:t>Troxel v. Granville</w:t>
      </w:r>
      <w:r w:rsidRPr="0053374E">
        <w:rPr>
          <w:rFonts w:asciiTheme="majorBidi" w:hAnsiTheme="majorBidi" w:cstheme="majorBidi"/>
        </w:rPr>
        <w:t>, 530 U.S. 57, 120 S. Ct. 2054, 147 L. Ed. 2d 49 (2000) page 66.</w:t>
      </w:r>
    </w:p>
  </w:footnote>
  <w:footnote w:id="33">
    <w:p w14:paraId="2995FD70" w14:textId="77777777" w:rsidR="00354596" w:rsidRPr="003B36DD" w:rsidRDefault="00354596" w:rsidP="000A7E15">
      <w:pPr>
        <w:pStyle w:val="FootnoteText"/>
        <w:rPr>
          <w:rFonts w:ascii="David" w:hAnsi="David" w:cs="David"/>
          <w:sz w:val="22"/>
          <w:szCs w:val="22"/>
          <w:rtl/>
        </w:rPr>
      </w:pPr>
      <w:r w:rsidRPr="003B36DD">
        <w:rPr>
          <w:rStyle w:val="FootnoteReference"/>
          <w:rFonts w:ascii="David" w:hAnsi="David" w:cs="David"/>
          <w:sz w:val="22"/>
          <w:szCs w:val="22"/>
        </w:rPr>
        <w:footnoteRef/>
      </w:r>
      <w:r w:rsidRPr="003B36DD">
        <w:rPr>
          <w:rFonts w:ascii="David" w:hAnsi="David" w:cs="David"/>
          <w:sz w:val="22"/>
          <w:szCs w:val="22"/>
          <w:rtl/>
        </w:rPr>
        <w:t xml:space="preserve"> להצגה תשתיתית וממצה של הביקורת האמורה ראו, </w:t>
      </w:r>
    </w:p>
    <w:p w14:paraId="7A287379" w14:textId="517EBFDB" w:rsidR="00354596" w:rsidRPr="003B36DD" w:rsidRDefault="00354596" w:rsidP="0084205A">
      <w:pPr>
        <w:pStyle w:val="FootnoteText"/>
        <w:jc w:val="right"/>
        <w:rPr>
          <w:rFonts w:ascii="David" w:hAnsi="David" w:cs="David"/>
          <w:sz w:val="22"/>
          <w:szCs w:val="22"/>
          <w:rtl/>
        </w:rPr>
      </w:pPr>
      <w:r w:rsidRPr="003B36DD">
        <w:rPr>
          <w:rFonts w:ascii="David" w:hAnsi="David" w:cs="David"/>
          <w:sz w:val="22"/>
          <w:szCs w:val="22"/>
        </w:rPr>
        <w:t xml:space="preserve">Elizabeth S. Scott &amp; Robert E. Scott, </w:t>
      </w:r>
      <w:r w:rsidRPr="003B36DD">
        <w:rPr>
          <w:rFonts w:ascii="David" w:hAnsi="David" w:cs="David"/>
          <w:i/>
          <w:iCs/>
          <w:sz w:val="22"/>
          <w:szCs w:val="22"/>
        </w:rPr>
        <w:t>Parents as Fiduciaries</w:t>
      </w:r>
      <w:r w:rsidRPr="003B36DD">
        <w:rPr>
          <w:rFonts w:ascii="David" w:hAnsi="David" w:cs="David"/>
          <w:sz w:val="22"/>
          <w:szCs w:val="22"/>
        </w:rPr>
        <w:t>, 81 Va. L. Rev. 2401, 2405-2414 (1995).</w:t>
      </w:r>
    </w:p>
    <w:p w14:paraId="7CE2D53A" w14:textId="5EE6F574" w:rsidR="00354596" w:rsidRPr="003B36DD" w:rsidRDefault="00354596" w:rsidP="000A7E15">
      <w:pPr>
        <w:pStyle w:val="FootnoteText"/>
        <w:rPr>
          <w:rFonts w:ascii="David" w:hAnsi="David" w:cs="David"/>
          <w:sz w:val="22"/>
          <w:szCs w:val="22"/>
          <w:rtl/>
        </w:rPr>
      </w:pPr>
      <w:r w:rsidRPr="003B36DD">
        <w:rPr>
          <w:rFonts w:ascii="David" w:hAnsi="David" w:cs="David"/>
          <w:sz w:val="22"/>
          <w:szCs w:val="22"/>
          <w:rtl/>
        </w:rPr>
        <w:t xml:space="preserve">כן ראו, </w:t>
      </w:r>
    </w:p>
    <w:p w14:paraId="251AFE0B" w14:textId="371D7D7F" w:rsidR="00354596" w:rsidRPr="0053374E" w:rsidRDefault="00354596" w:rsidP="0084205A">
      <w:pPr>
        <w:pStyle w:val="FootnoteText"/>
        <w:jc w:val="right"/>
        <w:rPr>
          <w:sz w:val="22"/>
          <w:szCs w:val="22"/>
          <w:rtl/>
        </w:rPr>
      </w:pPr>
      <w:r w:rsidRPr="003B36DD">
        <w:rPr>
          <w:rFonts w:ascii="David" w:hAnsi="David" w:cs="David"/>
          <w:sz w:val="22"/>
          <w:szCs w:val="22"/>
        </w:rPr>
        <w:t xml:space="preserve">Anne C. Dailey &amp; Laura A. Rosenbury, </w:t>
      </w:r>
      <w:r w:rsidRPr="003B36DD">
        <w:rPr>
          <w:rFonts w:ascii="David" w:hAnsi="David" w:cs="David"/>
          <w:i/>
          <w:sz w:val="22"/>
          <w:szCs w:val="22"/>
        </w:rPr>
        <w:t>The New Law of the Child</w:t>
      </w:r>
      <w:r w:rsidRPr="003B36DD">
        <w:rPr>
          <w:rFonts w:ascii="David" w:hAnsi="David" w:cs="David"/>
          <w:sz w:val="22"/>
          <w:szCs w:val="22"/>
        </w:rPr>
        <w:t xml:space="preserve">, 127 </w:t>
      </w:r>
      <w:r w:rsidRPr="003B36DD">
        <w:rPr>
          <w:rFonts w:ascii="David" w:hAnsi="David" w:cs="David"/>
          <w:smallCaps/>
          <w:sz w:val="22"/>
          <w:szCs w:val="22"/>
        </w:rPr>
        <w:t>Yale L. J.</w:t>
      </w:r>
      <w:r w:rsidRPr="003B36DD">
        <w:rPr>
          <w:rFonts w:ascii="David" w:hAnsi="David" w:cs="David"/>
          <w:sz w:val="22"/>
          <w:szCs w:val="22"/>
        </w:rPr>
        <w:t xml:space="preserve"> 1448, 1471 (2018).</w:t>
      </w:r>
    </w:p>
  </w:footnote>
  <w:footnote w:id="34">
    <w:p w14:paraId="1790BC19" w14:textId="77777777" w:rsidR="00354596" w:rsidRPr="0053374E" w:rsidRDefault="00354596" w:rsidP="000A7E15">
      <w:pPr>
        <w:pStyle w:val="FootnoteText"/>
        <w:rPr>
          <w:sz w:val="22"/>
          <w:szCs w:val="22"/>
          <w:rtl/>
        </w:rPr>
      </w:pPr>
      <w:r w:rsidRPr="0053374E">
        <w:rPr>
          <w:rStyle w:val="FootnoteReference"/>
          <w:sz w:val="22"/>
          <w:szCs w:val="22"/>
        </w:rPr>
        <w:footnoteRef/>
      </w:r>
      <w:r w:rsidRPr="0053374E">
        <w:rPr>
          <w:sz w:val="22"/>
          <w:szCs w:val="22"/>
          <w:rtl/>
        </w:rPr>
        <w:t xml:space="preserve"> </w:t>
      </w:r>
    </w:p>
    <w:p w14:paraId="268CC53A" w14:textId="77777777" w:rsidR="00354596" w:rsidRPr="0053374E" w:rsidRDefault="00354596" w:rsidP="0084205A">
      <w:pPr>
        <w:pStyle w:val="FootnoteText"/>
        <w:jc w:val="right"/>
        <w:rPr>
          <w:rFonts w:asciiTheme="majorBidi" w:hAnsiTheme="majorBidi" w:cstheme="majorBidi"/>
          <w:sz w:val="22"/>
          <w:szCs w:val="22"/>
          <w:rtl/>
        </w:rPr>
      </w:pPr>
      <w:r w:rsidRPr="0053374E">
        <w:rPr>
          <w:rFonts w:asciiTheme="majorBidi" w:hAnsiTheme="majorBidi" w:cstheme="majorBidi"/>
          <w:sz w:val="22"/>
          <w:szCs w:val="22"/>
        </w:rPr>
        <w:t xml:space="preserve">Elizabeth S. Scott &amp; Robert E. Scott, </w:t>
      </w:r>
      <w:r w:rsidRPr="0053374E">
        <w:rPr>
          <w:rFonts w:asciiTheme="majorBidi" w:hAnsiTheme="majorBidi" w:cstheme="majorBidi"/>
          <w:i/>
          <w:iCs/>
          <w:sz w:val="22"/>
          <w:szCs w:val="22"/>
        </w:rPr>
        <w:t>Parents as Fiduciaries</w:t>
      </w:r>
      <w:r w:rsidRPr="0053374E">
        <w:rPr>
          <w:rFonts w:asciiTheme="majorBidi" w:hAnsiTheme="majorBidi" w:cstheme="majorBidi"/>
          <w:sz w:val="22"/>
          <w:szCs w:val="22"/>
        </w:rPr>
        <w:t>, 81 Va. L. Rev. 2401, 2401 (1995)</w:t>
      </w:r>
    </w:p>
  </w:footnote>
  <w:footnote w:id="35">
    <w:p w14:paraId="01771A1D" w14:textId="02EF6829" w:rsidR="00354596" w:rsidRPr="0053374E" w:rsidRDefault="00354596">
      <w:pPr>
        <w:pStyle w:val="FootnoteText"/>
        <w:rPr>
          <w:rFonts w:hint="cs"/>
          <w:sz w:val="22"/>
          <w:szCs w:val="22"/>
          <w:rtl/>
        </w:rPr>
      </w:pPr>
      <w:r w:rsidRPr="0053374E">
        <w:rPr>
          <w:rStyle w:val="FootnoteReference"/>
          <w:sz w:val="22"/>
          <w:szCs w:val="22"/>
        </w:rPr>
        <w:footnoteRef/>
      </w:r>
    </w:p>
    <w:p w14:paraId="51318E6B" w14:textId="71485623" w:rsidR="00354596" w:rsidRPr="0053374E" w:rsidRDefault="00354596" w:rsidP="00ED1ADD">
      <w:pPr>
        <w:pStyle w:val="FootnoteText"/>
        <w:bidi w:val="0"/>
        <w:jc w:val="both"/>
        <w:rPr>
          <w:sz w:val="22"/>
          <w:szCs w:val="22"/>
        </w:rPr>
      </w:pPr>
      <w:r w:rsidRPr="0053374E">
        <w:rPr>
          <w:rFonts w:ascii="Times New Roman" w:hAnsi="Times New Roman"/>
          <w:sz w:val="22"/>
          <w:szCs w:val="22"/>
        </w:rPr>
        <w:t>Anne C. Dailey</w:t>
      </w:r>
      <w:r w:rsidRPr="0053374E">
        <w:rPr>
          <w:rFonts w:ascii="Times New Roman" w:hAnsi="Times New Roman" w:cs="David"/>
          <w:sz w:val="22"/>
          <w:szCs w:val="22"/>
        </w:rPr>
        <w:t xml:space="preserve"> &amp;</w:t>
      </w:r>
      <w:r w:rsidRPr="0053374E">
        <w:rPr>
          <w:rFonts w:ascii="Times New Roman" w:hAnsi="Times New Roman"/>
          <w:sz w:val="22"/>
          <w:szCs w:val="22"/>
        </w:rPr>
        <w:t xml:space="preserve"> Laura A. Rosenbury, </w:t>
      </w:r>
      <w:r w:rsidRPr="0053374E">
        <w:rPr>
          <w:rFonts w:ascii="Times New Roman" w:hAnsi="Times New Roman"/>
          <w:i/>
          <w:sz w:val="22"/>
          <w:szCs w:val="22"/>
        </w:rPr>
        <w:t>The New Law of the Child</w:t>
      </w:r>
      <w:r w:rsidRPr="0053374E">
        <w:rPr>
          <w:rFonts w:ascii="Times New Roman" w:hAnsi="Times New Roman" w:cs="David"/>
          <w:sz w:val="22"/>
          <w:szCs w:val="22"/>
        </w:rPr>
        <w:t>,</w:t>
      </w:r>
      <w:r w:rsidRPr="0053374E">
        <w:rPr>
          <w:rFonts w:ascii="Times New Roman" w:hAnsi="Times New Roman"/>
          <w:sz w:val="22"/>
          <w:szCs w:val="22"/>
        </w:rPr>
        <w:t xml:space="preserve"> 127 </w:t>
      </w:r>
      <w:r w:rsidRPr="0053374E">
        <w:rPr>
          <w:rFonts w:ascii="Times New Roman" w:hAnsi="Times New Roman"/>
          <w:smallCaps/>
          <w:sz w:val="22"/>
          <w:szCs w:val="22"/>
        </w:rPr>
        <w:t xml:space="preserve">Yale </w:t>
      </w:r>
      <w:r w:rsidRPr="0053374E">
        <w:rPr>
          <w:rFonts w:ascii="Times New Roman" w:hAnsi="Times New Roman" w:cs="David"/>
          <w:smallCaps/>
          <w:sz w:val="22"/>
          <w:szCs w:val="22"/>
        </w:rPr>
        <w:t>L. J.</w:t>
      </w:r>
      <w:r w:rsidRPr="0053374E">
        <w:rPr>
          <w:rFonts w:ascii="Times New Roman" w:hAnsi="Times New Roman"/>
          <w:sz w:val="22"/>
          <w:szCs w:val="22"/>
        </w:rPr>
        <w:t xml:space="preserve"> 1448, 1471 (2018)</w:t>
      </w:r>
      <w:r w:rsidRPr="0053374E">
        <w:rPr>
          <w:sz w:val="22"/>
          <w:szCs w:val="22"/>
        </w:rPr>
        <w:t xml:space="preserve">; </w:t>
      </w:r>
      <w:r w:rsidRPr="0053374E">
        <w:rPr>
          <w:rFonts w:ascii="David" w:hAnsi="David" w:cs="David"/>
          <w:color w:val="000000" w:themeColor="text1"/>
          <w:sz w:val="22"/>
          <w:szCs w:val="22"/>
          <w:shd w:val="clear" w:color="auto" w:fill="FFFFFF"/>
        </w:rPr>
        <w:t xml:space="preserve">Goodwin, S. </w:t>
      </w:r>
      <w:r w:rsidRPr="0053374E">
        <w:rPr>
          <w:rFonts w:ascii="David" w:hAnsi="David" w:cs="David"/>
          <w:i/>
          <w:iCs/>
          <w:color w:val="000000" w:themeColor="text1"/>
          <w:sz w:val="22"/>
          <w:szCs w:val="22"/>
          <w:shd w:val="clear" w:color="auto" w:fill="FFFFFF"/>
        </w:rPr>
        <w:t>Against Parental Rights,</w:t>
      </w:r>
      <w:r w:rsidRPr="0053374E">
        <w:rPr>
          <w:rFonts w:ascii="David" w:hAnsi="David" w:cs="David"/>
          <w:color w:val="000000" w:themeColor="text1"/>
          <w:sz w:val="22"/>
          <w:szCs w:val="22"/>
          <w:shd w:val="clear" w:color="auto" w:fill="FFFFFF"/>
        </w:rPr>
        <w:t xml:space="preserve"> 41 Columbia Human Rights Law Review, (2015) 1</w:t>
      </w:r>
      <w:r w:rsidRPr="0053374E">
        <w:rPr>
          <w:sz w:val="22"/>
          <w:szCs w:val="22"/>
        </w:rPr>
        <w:t>, 8,19.</w:t>
      </w:r>
    </w:p>
  </w:footnote>
  <w:footnote w:id="36">
    <w:p w14:paraId="75318E70" w14:textId="44860ED3" w:rsidR="00354596" w:rsidRPr="0053374E" w:rsidRDefault="00354596" w:rsidP="000A7E15">
      <w:pPr>
        <w:pStyle w:val="FootnoteText"/>
        <w:rPr>
          <w:rFonts w:ascii="David" w:hAnsi="David" w:cs="David" w:hint="cs"/>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ראן והשוו</w:t>
      </w:r>
    </w:p>
    <w:p w14:paraId="093255C1" w14:textId="5E4E170D" w:rsidR="00354596" w:rsidRPr="0053374E" w:rsidRDefault="00354596" w:rsidP="00CF4602">
      <w:pPr>
        <w:pStyle w:val="FootnoteText"/>
        <w:bidi w:val="0"/>
        <w:rPr>
          <w:rFonts w:ascii="David" w:hAnsi="David" w:cs="David"/>
          <w:sz w:val="22"/>
          <w:szCs w:val="22"/>
        </w:rPr>
      </w:pPr>
      <w:r w:rsidRPr="003B36DD">
        <w:rPr>
          <w:rFonts w:asciiTheme="majorBidi" w:hAnsiTheme="majorBidi" w:cstheme="majorBidi"/>
          <w:color w:val="000000"/>
          <w:sz w:val="22"/>
          <w:szCs w:val="22"/>
        </w:rPr>
        <w:t>Hanoch Dagan</w:t>
      </w:r>
      <w:r w:rsidRPr="003B36DD">
        <w:rPr>
          <w:rFonts w:asciiTheme="majorBidi" w:hAnsiTheme="majorBidi"/>
          <w:color w:val="000000"/>
          <w:sz w:val="22"/>
          <w:szCs w:val="22"/>
        </w:rPr>
        <w:t xml:space="preserve">, </w:t>
      </w:r>
      <w:r w:rsidRPr="003B36DD">
        <w:rPr>
          <w:rFonts w:asciiTheme="majorBidi" w:hAnsiTheme="majorBidi" w:cstheme="majorBidi"/>
          <w:color w:val="000000"/>
          <w:sz w:val="22"/>
          <w:szCs w:val="22"/>
        </w:rPr>
        <w:t>Elizabeth S Scott</w:t>
      </w:r>
      <w:r w:rsidRPr="003B36DD">
        <w:rPr>
          <w:rFonts w:asciiTheme="majorBidi" w:hAnsiTheme="majorBidi"/>
          <w:color w:val="000000"/>
          <w:sz w:val="22"/>
          <w:szCs w:val="22"/>
        </w:rPr>
        <w:t xml:space="preserve">. </w:t>
      </w:r>
      <w:r w:rsidRPr="003B36DD">
        <w:rPr>
          <w:rFonts w:asciiTheme="majorBidi" w:hAnsiTheme="majorBidi" w:cstheme="majorBidi"/>
          <w:color w:val="000000"/>
          <w:sz w:val="22"/>
          <w:szCs w:val="22"/>
        </w:rPr>
        <w:t>Reinterpreting the Status–Contract Divide</w:t>
      </w:r>
      <w:r w:rsidRPr="0053374E">
        <w:rPr>
          <w:rFonts w:asciiTheme="majorBidi" w:hAnsiTheme="majorBidi" w:cstheme="majorBidi"/>
          <w:b/>
          <w:bCs/>
          <w:color w:val="000000"/>
          <w:sz w:val="22"/>
          <w:szCs w:val="22"/>
        </w:rPr>
        <w:t xml:space="preserve"> </w:t>
      </w:r>
      <w:r w:rsidRPr="0053374E">
        <w:rPr>
          <w:rFonts w:asciiTheme="majorBidi" w:hAnsiTheme="majorBidi"/>
          <w:color w:val="000000"/>
          <w:sz w:val="22"/>
          <w:szCs w:val="22"/>
        </w:rPr>
        <w:t xml:space="preserve">The Case of Fiduciaries. In Paul B. Miller and Andrew S. Gold,  </w:t>
      </w:r>
      <w:hyperlink r:id="rId13" w:history="1">
        <w:r w:rsidRPr="0053374E">
          <w:rPr>
            <w:color w:val="000000"/>
            <w:sz w:val="22"/>
            <w:szCs w:val="22"/>
          </w:rPr>
          <w:t>Contract, Status, and Fiduciary Law</w:t>
        </w:r>
      </w:hyperlink>
      <w:r w:rsidRPr="0053374E">
        <w:rPr>
          <w:rFonts w:ascii="David" w:hAnsi="David" w:cs="David"/>
          <w:sz w:val="22"/>
          <w:szCs w:val="22"/>
        </w:rPr>
        <w:t xml:space="preserve"> 62-64.</w:t>
      </w:r>
    </w:p>
  </w:footnote>
  <w:footnote w:id="37">
    <w:p w14:paraId="4B4AFCC2" w14:textId="3559C7EA" w:rsidR="00354596" w:rsidRPr="003B36DD" w:rsidRDefault="00354596" w:rsidP="00FB1E3E">
      <w:pPr>
        <w:pStyle w:val="FootnoteText"/>
        <w:rPr>
          <w:rFonts w:ascii="David" w:hAnsi="David" w:cs="David"/>
          <w:sz w:val="22"/>
          <w:szCs w:val="22"/>
          <w:rtl/>
        </w:rPr>
      </w:pPr>
      <w:r w:rsidRPr="003B36DD">
        <w:rPr>
          <w:rStyle w:val="FootnoteReference"/>
          <w:rFonts w:ascii="David" w:hAnsi="David" w:cs="David"/>
          <w:sz w:val="22"/>
          <w:szCs w:val="22"/>
        </w:rPr>
        <w:footnoteRef/>
      </w:r>
      <w:r w:rsidRPr="003B36DD">
        <w:rPr>
          <w:rFonts w:ascii="David" w:hAnsi="David" w:cs="David"/>
          <w:sz w:val="22"/>
          <w:szCs w:val="22"/>
          <w:rtl/>
        </w:rPr>
        <w:t xml:space="preserve"> גישה חלופית השמה את הילד במרכז, מדגישה את זכויותיו:</w:t>
      </w:r>
    </w:p>
    <w:p w14:paraId="50573459" w14:textId="77777777" w:rsidR="00354596" w:rsidRPr="003B36DD" w:rsidRDefault="00354596" w:rsidP="00FB1E3E">
      <w:pPr>
        <w:pStyle w:val="FootnoteText"/>
        <w:rPr>
          <w:rFonts w:ascii="David" w:hAnsi="David" w:cs="David"/>
          <w:sz w:val="22"/>
          <w:szCs w:val="22"/>
          <w:rtl/>
        </w:rPr>
      </w:pPr>
    </w:p>
    <w:p w14:paraId="1CC62287" w14:textId="2C98DC2E" w:rsidR="00354596" w:rsidRPr="003B36DD" w:rsidRDefault="00354596" w:rsidP="00FB1E3E">
      <w:pPr>
        <w:pStyle w:val="FootnoteText"/>
        <w:rPr>
          <w:rFonts w:ascii="David" w:hAnsi="David" w:cs="David"/>
          <w:sz w:val="22"/>
          <w:szCs w:val="22"/>
        </w:rPr>
      </w:pPr>
      <w:r w:rsidRPr="003B36DD">
        <w:rPr>
          <w:rFonts w:ascii="David" w:hAnsi="David" w:cs="David"/>
          <w:sz w:val="22"/>
          <w:szCs w:val="22"/>
          <w:rtl/>
        </w:rPr>
        <w:t>לביקורת על גישה זאת ראו:</w:t>
      </w:r>
    </w:p>
  </w:footnote>
  <w:footnote w:id="38">
    <w:p w14:paraId="201F6735" w14:textId="370B4D79" w:rsidR="00354596" w:rsidRPr="003B36DD" w:rsidRDefault="00354596" w:rsidP="003B00DB">
      <w:pPr>
        <w:pStyle w:val="FootnoteText"/>
        <w:rPr>
          <w:rFonts w:ascii="David" w:hAnsi="David" w:cs="David"/>
          <w:sz w:val="22"/>
          <w:szCs w:val="22"/>
          <w:rtl/>
        </w:rPr>
      </w:pPr>
      <w:r w:rsidRPr="003B36DD">
        <w:rPr>
          <w:rStyle w:val="FootnoteReference"/>
          <w:rFonts w:ascii="David" w:hAnsi="David" w:cs="David"/>
          <w:sz w:val="22"/>
          <w:szCs w:val="22"/>
        </w:rPr>
        <w:footnoteRef/>
      </w:r>
      <w:r w:rsidRPr="003B36DD">
        <w:rPr>
          <w:rFonts w:ascii="David" w:hAnsi="David" w:cs="David"/>
          <w:sz w:val="22"/>
          <w:szCs w:val="22"/>
          <w:rtl/>
        </w:rPr>
        <w:t xml:space="preserve"> </w:t>
      </w:r>
    </w:p>
    <w:p w14:paraId="3A7E4267" w14:textId="273E70E5" w:rsidR="00354596" w:rsidRPr="003B36DD" w:rsidRDefault="00354596" w:rsidP="003B36DD">
      <w:pPr>
        <w:pStyle w:val="FootnoteText"/>
        <w:bidi w:val="0"/>
        <w:jc w:val="both"/>
        <w:rPr>
          <w:rFonts w:ascii="Times" w:hAnsi="Times" w:hint="cs"/>
          <w:b/>
          <w:bCs/>
          <w:position w:val="2"/>
          <w:sz w:val="22"/>
          <w:szCs w:val="22"/>
          <w:highlight w:val="red"/>
          <w:rtl/>
        </w:rPr>
      </w:pPr>
      <w:r w:rsidRPr="0053374E">
        <w:rPr>
          <w:rFonts w:asciiTheme="majorBidi" w:hAnsiTheme="majorBidi" w:cstheme="majorBidi"/>
          <w:sz w:val="22"/>
          <w:szCs w:val="22"/>
        </w:rPr>
        <w:t xml:space="preserve">Emily Buss, </w:t>
      </w:r>
      <w:r w:rsidRPr="0053374E">
        <w:rPr>
          <w:rFonts w:asciiTheme="majorBidi" w:hAnsiTheme="majorBidi" w:cstheme="majorBidi"/>
          <w:i/>
          <w:iCs/>
          <w:sz w:val="22"/>
          <w:szCs w:val="22"/>
        </w:rPr>
        <w:t>Children's Associatopnal Rights? Why Less Is More</w:t>
      </w:r>
      <w:r w:rsidRPr="0053374E">
        <w:rPr>
          <w:rFonts w:asciiTheme="majorBidi" w:hAnsiTheme="majorBidi" w:cstheme="majorBidi"/>
          <w:sz w:val="22"/>
          <w:szCs w:val="22"/>
        </w:rPr>
        <w:t xml:space="preserve">, 11 Wm. &amp; Mary Rts. J. 1101, 1102 (2003); </w:t>
      </w:r>
      <w:r w:rsidRPr="0053374E">
        <w:rPr>
          <w:rFonts w:asciiTheme="majorBidi" w:hAnsiTheme="majorBidi" w:cstheme="majorBidi"/>
          <w:color w:val="000000" w:themeColor="text1"/>
          <w:sz w:val="22"/>
          <w:szCs w:val="22"/>
          <w:shd w:val="clear" w:color="auto" w:fill="FFFFFF"/>
        </w:rPr>
        <w:t>Ruth Zafran, </w:t>
      </w:r>
      <w:r w:rsidRPr="0053374E">
        <w:rPr>
          <w:rFonts w:asciiTheme="majorBidi" w:hAnsiTheme="majorBidi" w:cstheme="majorBidi"/>
          <w:i/>
          <w:iCs/>
          <w:color w:val="000000" w:themeColor="text1"/>
          <w:sz w:val="22"/>
          <w:szCs w:val="22"/>
          <w:shd w:val="clear" w:color="auto" w:fill="FFFFFF"/>
        </w:rPr>
        <w:t>Children's Rights as Relational Rights: The Case of Relocation</w:t>
      </w:r>
      <w:r w:rsidRPr="0053374E">
        <w:rPr>
          <w:rFonts w:asciiTheme="majorBidi" w:hAnsiTheme="majorBidi" w:cstheme="majorBidi"/>
          <w:color w:val="000000" w:themeColor="text1"/>
          <w:sz w:val="22"/>
          <w:szCs w:val="22"/>
          <w:shd w:val="clear" w:color="auto" w:fill="FFFFFF"/>
        </w:rPr>
        <w:t xml:space="preserve">, </w:t>
      </w:r>
      <w:r w:rsidRPr="0053374E">
        <w:rPr>
          <w:rFonts w:asciiTheme="majorBidi" w:hAnsiTheme="majorBidi" w:cstheme="majorBidi"/>
          <w:smallCaps/>
          <w:color w:val="000000" w:themeColor="text1"/>
          <w:sz w:val="22"/>
          <w:szCs w:val="22"/>
          <w:shd w:val="clear" w:color="auto" w:fill="FFFFFF"/>
        </w:rPr>
        <w:t>18 Am. U. J. Gender Soc. Pol'y &amp; L. 163, 178-179 (</w:t>
      </w:r>
      <w:r w:rsidRPr="0053374E">
        <w:rPr>
          <w:rFonts w:asciiTheme="majorBidi" w:hAnsiTheme="majorBidi" w:cstheme="majorBidi"/>
          <w:color w:val="000000" w:themeColor="text1"/>
          <w:sz w:val="22"/>
          <w:szCs w:val="22"/>
          <w:shd w:val="clear" w:color="auto" w:fill="FFFFFF"/>
        </w:rPr>
        <w:t>2010).</w:t>
      </w:r>
    </w:p>
  </w:footnote>
  <w:footnote w:id="39">
    <w:p w14:paraId="478D12BD" w14:textId="74B6D66C" w:rsidR="00354596" w:rsidRPr="0053374E" w:rsidRDefault="00354596" w:rsidP="00A62F1E">
      <w:pPr>
        <w:pStyle w:val="FootnoteText"/>
        <w:rPr>
          <w:rFonts w:ascii="David" w:hAnsi="David" w:cs="David" w:hint="cs"/>
          <w:sz w:val="22"/>
          <w:szCs w:val="22"/>
          <w:rtl/>
        </w:rPr>
      </w:pPr>
      <w:r w:rsidRPr="0053374E">
        <w:rPr>
          <w:rStyle w:val="FootnoteReference"/>
          <w:sz w:val="22"/>
          <w:szCs w:val="22"/>
        </w:rPr>
        <w:footnoteRef/>
      </w:r>
      <w:r w:rsidRPr="0053374E">
        <w:rPr>
          <w:sz w:val="22"/>
          <w:szCs w:val="22"/>
          <w:rtl/>
        </w:rPr>
        <w:t xml:space="preserve"> </w:t>
      </w:r>
    </w:p>
    <w:p w14:paraId="67C0851D" w14:textId="0CCD5B98" w:rsidR="00354596" w:rsidRPr="002155E3" w:rsidRDefault="00354596" w:rsidP="002155E3">
      <w:pPr>
        <w:pStyle w:val="FootnoteText"/>
        <w:bidi w:val="0"/>
        <w:jc w:val="both"/>
        <w:rPr>
          <w:rFonts w:asciiTheme="majorBidi" w:hAnsiTheme="majorBidi" w:cstheme="majorBidi"/>
          <w:sz w:val="22"/>
          <w:szCs w:val="22"/>
        </w:rPr>
      </w:pPr>
      <w:r w:rsidRPr="0053374E">
        <w:rPr>
          <w:rFonts w:asciiTheme="majorBidi" w:hAnsiTheme="majorBidi" w:cstheme="majorBidi"/>
          <w:color w:val="000000" w:themeColor="text1"/>
          <w:sz w:val="22"/>
          <w:szCs w:val="22"/>
          <w:shd w:val="clear" w:color="auto" w:fill="FFFFFF"/>
        </w:rPr>
        <w:t>Lynne Marie Kohm, </w:t>
      </w:r>
      <w:r w:rsidRPr="0053374E">
        <w:rPr>
          <w:rFonts w:asciiTheme="majorBidi" w:hAnsiTheme="majorBidi" w:cstheme="majorBidi"/>
          <w:i/>
          <w:iCs/>
          <w:color w:val="000000" w:themeColor="text1"/>
          <w:sz w:val="22"/>
          <w:szCs w:val="22"/>
          <w:shd w:val="clear" w:color="auto" w:fill="FFFFFF"/>
        </w:rPr>
        <w:t>Tracing the Foundations of the Best Interests of the Child Standard in American Jurisprudence</w:t>
      </w:r>
      <w:r w:rsidRPr="0053374E">
        <w:rPr>
          <w:rFonts w:asciiTheme="majorBidi" w:hAnsiTheme="majorBidi" w:cstheme="majorBidi"/>
          <w:color w:val="000000" w:themeColor="text1"/>
          <w:sz w:val="22"/>
          <w:szCs w:val="22"/>
          <w:shd w:val="clear" w:color="auto" w:fill="FFFFFF"/>
        </w:rPr>
        <w:t xml:space="preserve">, 10 J.L. &amp; Fam. Stud. 337, 370-371, 373 (2008); Ruth </w:t>
      </w:r>
      <w:r w:rsidRPr="002155E3">
        <w:rPr>
          <w:rFonts w:asciiTheme="majorBidi" w:hAnsiTheme="majorBidi" w:cstheme="majorBidi"/>
          <w:color w:val="000000" w:themeColor="text1"/>
          <w:sz w:val="22"/>
          <w:szCs w:val="22"/>
          <w:shd w:val="clear" w:color="auto" w:fill="FFFFFF"/>
        </w:rPr>
        <w:t>Zafran, </w:t>
      </w:r>
      <w:r w:rsidRPr="002155E3">
        <w:rPr>
          <w:rFonts w:asciiTheme="majorBidi" w:hAnsiTheme="majorBidi" w:cstheme="majorBidi"/>
          <w:i/>
          <w:iCs/>
          <w:color w:val="000000" w:themeColor="text1"/>
          <w:sz w:val="22"/>
          <w:szCs w:val="22"/>
          <w:shd w:val="clear" w:color="auto" w:fill="FFFFFF"/>
        </w:rPr>
        <w:t>Children's Rights as Relational Rights: The Case of Relocation</w:t>
      </w:r>
      <w:r w:rsidRPr="002155E3">
        <w:rPr>
          <w:rFonts w:asciiTheme="majorBidi" w:hAnsiTheme="majorBidi" w:cstheme="majorBidi"/>
          <w:color w:val="000000" w:themeColor="text1"/>
          <w:sz w:val="22"/>
          <w:szCs w:val="22"/>
          <w:shd w:val="clear" w:color="auto" w:fill="FFFFFF"/>
        </w:rPr>
        <w:t xml:space="preserve">, </w:t>
      </w:r>
      <w:r w:rsidRPr="002155E3">
        <w:rPr>
          <w:rFonts w:asciiTheme="majorBidi" w:hAnsiTheme="majorBidi" w:cstheme="majorBidi"/>
          <w:smallCaps/>
          <w:color w:val="000000" w:themeColor="text1"/>
          <w:sz w:val="22"/>
          <w:szCs w:val="22"/>
          <w:shd w:val="clear" w:color="auto" w:fill="FFFFFF"/>
        </w:rPr>
        <w:t>18 Am. U. J. Gender Soc. Pol'y &amp; L. 163, 180 (</w:t>
      </w:r>
      <w:r w:rsidRPr="002155E3">
        <w:rPr>
          <w:rFonts w:asciiTheme="majorBidi" w:hAnsiTheme="majorBidi" w:cstheme="majorBidi"/>
          <w:color w:val="000000" w:themeColor="text1"/>
          <w:sz w:val="22"/>
          <w:szCs w:val="22"/>
          <w:shd w:val="clear" w:color="auto" w:fill="FFFFFF"/>
        </w:rPr>
        <w:t>2010).</w:t>
      </w:r>
    </w:p>
  </w:footnote>
  <w:footnote w:id="40">
    <w:p w14:paraId="1F711B62" w14:textId="4254C495" w:rsidR="00354596" w:rsidRPr="002155E3" w:rsidRDefault="00354596" w:rsidP="002155E3">
      <w:pPr>
        <w:pStyle w:val="FootnoteText"/>
        <w:jc w:val="both"/>
        <w:rPr>
          <w:rFonts w:asciiTheme="majorBidi" w:hAnsiTheme="majorBidi" w:cstheme="majorBidi"/>
          <w:sz w:val="22"/>
          <w:szCs w:val="22"/>
          <w:rtl/>
        </w:rPr>
      </w:pPr>
      <w:r w:rsidRPr="002155E3">
        <w:rPr>
          <w:rStyle w:val="FootnoteReference"/>
          <w:rFonts w:asciiTheme="majorBidi" w:hAnsiTheme="majorBidi" w:cstheme="majorBidi"/>
          <w:sz w:val="22"/>
          <w:szCs w:val="22"/>
        </w:rPr>
        <w:footnoteRef/>
      </w:r>
      <w:r w:rsidRPr="002155E3">
        <w:rPr>
          <w:rFonts w:asciiTheme="majorBidi" w:hAnsiTheme="majorBidi" w:cstheme="majorBidi"/>
          <w:sz w:val="22"/>
          <w:szCs w:val="22"/>
          <w:rtl/>
        </w:rPr>
        <w:t xml:space="preserve"> </w:t>
      </w:r>
    </w:p>
  </w:footnote>
  <w:footnote w:id="41">
    <w:p w14:paraId="6402EE79" w14:textId="20CF207B" w:rsidR="00354596" w:rsidRPr="002155E3" w:rsidRDefault="00354596" w:rsidP="002155E3">
      <w:pPr>
        <w:pStyle w:val="FootnoteText"/>
        <w:jc w:val="both"/>
        <w:rPr>
          <w:rFonts w:asciiTheme="majorBidi" w:hAnsiTheme="majorBidi" w:cstheme="majorBidi"/>
          <w:sz w:val="22"/>
          <w:szCs w:val="22"/>
          <w:rtl/>
        </w:rPr>
      </w:pPr>
      <w:r w:rsidRPr="002155E3">
        <w:rPr>
          <w:rStyle w:val="FootnoteReference"/>
          <w:rFonts w:asciiTheme="majorBidi" w:hAnsiTheme="majorBidi" w:cstheme="majorBidi"/>
          <w:sz w:val="22"/>
          <w:szCs w:val="22"/>
        </w:rPr>
        <w:footnoteRef/>
      </w:r>
    </w:p>
    <w:p w14:paraId="0A14A69E" w14:textId="7B089625" w:rsidR="00354596" w:rsidRPr="002155E3" w:rsidRDefault="00354596" w:rsidP="002155E3">
      <w:pPr>
        <w:pStyle w:val="FootnoteText"/>
        <w:jc w:val="both"/>
        <w:rPr>
          <w:rFonts w:ascii="David" w:hAnsi="David" w:cs="David"/>
          <w:sz w:val="22"/>
          <w:szCs w:val="22"/>
          <w:rtl/>
        </w:rPr>
      </w:pPr>
      <w:r w:rsidRPr="002155E3">
        <w:rPr>
          <w:rFonts w:ascii="David" w:hAnsi="David" w:cs="David"/>
          <w:sz w:val="22"/>
          <w:szCs w:val="22"/>
          <w:rtl/>
        </w:rPr>
        <w:t>ואולם ככל הנראה בהיקף חלקי,</w:t>
      </w:r>
    </w:p>
    <w:p w14:paraId="2195AF0F" w14:textId="2F48A21F" w:rsidR="00354596" w:rsidRPr="002155E3" w:rsidRDefault="00354596" w:rsidP="002155E3">
      <w:pPr>
        <w:bidi w:val="0"/>
        <w:jc w:val="both"/>
        <w:rPr>
          <w:rFonts w:asciiTheme="majorBidi" w:hAnsiTheme="majorBidi" w:cstheme="majorBidi"/>
        </w:rPr>
      </w:pPr>
      <w:r w:rsidRPr="002155E3">
        <w:rPr>
          <w:rFonts w:asciiTheme="majorBidi" w:hAnsiTheme="majorBidi" w:cstheme="majorBidi"/>
        </w:rPr>
        <w:t xml:space="preserve">Jane Rutheford, </w:t>
      </w:r>
      <w:r w:rsidRPr="002155E3">
        <w:rPr>
          <w:rFonts w:asciiTheme="majorBidi" w:hAnsiTheme="majorBidi" w:cstheme="majorBidi"/>
          <w:i/>
          <w:iCs/>
        </w:rPr>
        <w:t>Duty in Divorce: Shared Income as a Path to Equality</w:t>
      </w:r>
      <w:r w:rsidRPr="002155E3">
        <w:rPr>
          <w:rFonts w:asciiTheme="majorBidi" w:hAnsiTheme="majorBidi" w:cstheme="majorBidi"/>
        </w:rPr>
        <w:t xml:space="preserve">, 58 Fordham L. Rev. 539, 558 (1990); </w:t>
      </w:r>
      <w:r w:rsidRPr="002155E3">
        <w:rPr>
          <w:rFonts w:asciiTheme="majorBidi" w:hAnsiTheme="majorBidi" w:cstheme="majorBidi"/>
          <w:color w:val="000000" w:themeColor="text1"/>
          <w:shd w:val="clear" w:color="auto" w:fill="FFFFFF"/>
        </w:rPr>
        <w:t xml:space="preserve">Scott, Elizabeth S. and Chen, Ben, </w:t>
      </w:r>
      <w:r w:rsidRPr="002155E3">
        <w:rPr>
          <w:rFonts w:asciiTheme="majorBidi" w:hAnsiTheme="majorBidi" w:cstheme="majorBidi"/>
          <w:i/>
          <w:iCs/>
          <w:color w:val="000000" w:themeColor="text1"/>
          <w:shd w:val="clear" w:color="auto" w:fill="FFFFFF"/>
        </w:rPr>
        <w:t>Fiduciary Principles in Family Law</w:t>
      </w:r>
      <w:r w:rsidRPr="002155E3">
        <w:rPr>
          <w:rFonts w:asciiTheme="majorBidi" w:hAnsiTheme="majorBidi" w:cstheme="majorBidi"/>
          <w:color w:val="000000" w:themeColor="text1"/>
          <w:shd w:val="clear" w:color="auto" w:fill="FFFFFF"/>
        </w:rPr>
        <w:t xml:space="preserve"> (February 2, 2018). Oxford Handbook of Fiduciary Law (Evan Criddle, Paul Miller and Robert Sitkoff, editors), Oxford University Press, Forthcoming; Columbia Public Law Research Paper No. 14-577 p. 2, 8-9.</w:t>
      </w:r>
    </w:p>
  </w:footnote>
  <w:footnote w:id="42">
    <w:p w14:paraId="70F9C73F" w14:textId="25D23B72" w:rsidR="00354596" w:rsidRPr="0053374E" w:rsidRDefault="00354596" w:rsidP="00424C5F">
      <w:pPr>
        <w:pStyle w:val="FootnoteText"/>
        <w:bidi w:val="0"/>
        <w:jc w:val="both"/>
        <w:rPr>
          <w:rFonts w:asciiTheme="majorBidi" w:hAnsiTheme="majorBidi" w:cstheme="majorBidi"/>
          <w:sz w:val="22"/>
          <w:szCs w:val="22"/>
        </w:rPr>
      </w:pPr>
      <w:r w:rsidRPr="0053374E">
        <w:rPr>
          <w:rStyle w:val="FootnoteReference"/>
          <w:sz w:val="22"/>
          <w:szCs w:val="22"/>
        </w:rPr>
        <w:footnoteRef/>
      </w:r>
      <w:r w:rsidRPr="0053374E">
        <w:rPr>
          <w:rFonts w:hint="cs"/>
          <w:sz w:val="22"/>
          <w:szCs w:val="22"/>
          <w:rtl/>
        </w:rPr>
        <w:t xml:space="preserve"> </w:t>
      </w:r>
      <w:r w:rsidRPr="0053374E">
        <w:rPr>
          <w:rFonts w:asciiTheme="majorBidi" w:hAnsiTheme="majorBidi" w:cstheme="majorBidi"/>
          <w:color w:val="000000"/>
          <w:sz w:val="22"/>
          <w:szCs w:val="22"/>
        </w:rPr>
        <w:t xml:space="preserve">Hanoch Dagan, Elizabeth S Scott. Reinterpreting the Status–Contract Divide The Case of Fiduciaries. In Paul B. Miller and Andrew S. Gold,  </w:t>
      </w:r>
      <w:hyperlink r:id="rId14" w:history="1">
        <w:r w:rsidRPr="0053374E">
          <w:rPr>
            <w:rFonts w:asciiTheme="majorBidi" w:hAnsiTheme="majorBidi" w:cstheme="majorBidi"/>
            <w:color w:val="000000"/>
            <w:sz w:val="22"/>
            <w:szCs w:val="22"/>
          </w:rPr>
          <w:t>Contract, Status, and Fiduciary Law</w:t>
        </w:r>
      </w:hyperlink>
      <w:r w:rsidRPr="0053374E">
        <w:rPr>
          <w:rFonts w:asciiTheme="majorBidi" w:hAnsiTheme="majorBidi" w:cstheme="majorBidi"/>
          <w:color w:val="000000"/>
          <w:sz w:val="22"/>
          <w:szCs w:val="22"/>
        </w:rPr>
        <w:t>, p. 2401.</w:t>
      </w:r>
    </w:p>
  </w:footnote>
  <w:footnote w:id="43">
    <w:p w14:paraId="504E4D7B" w14:textId="274AFB4F" w:rsidR="00354596" w:rsidRPr="005462DD" w:rsidRDefault="00354596" w:rsidP="002276B6">
      <w:pPr>
        <w:pStyle w:val="FootnoteText"/>
        <w:bidi w:val="0"/>
        <w:rPr>
          <w:rFonts w:asciiTheme="majorBidi" w:hAnsiTheme="majorBidi" w:cstheme="majorBidi"/>
          <w:sz w:val="22"/>
          <w:szCs w:val="22"/>
          <w:rtl/>
        </w:rPr>
      </w:pPr>
      <w:r w:rsidRPr="0053374E">
        <w:rPr>
          <w:rStyle w:val="FootnoteReference"/>
          <w:sz w:val="22"/>
          <w:szCs w:val="22"/>
        </w:rPr>
        <w:footnoteRef/>
      </w:r>
      <w:r w:rsidRPr="0053374E">
        <w:rPr>
          <w:sz w:val="22"/>
          <w:szCs w:val="22"/>
          <w:rtl/>
        </w:rPr>
        <w:t xml:space="preserve"> </w:t>
      </w:r>
      <w:r w:rsidRPr="005462DD">
        <w:rPr>
          <w:rFonts w:asciiTheme="majorBidi" w:hAnsiTheme="majorBidi" w:cstheme="majorBidi"/>
          <w:sz w:val="22"/>
          <w:szCs w:val="22"/>
        </w:rPr>
        <w:t xml:space="preserve">CA 817/79 Kossoy v. Bank Y.L Feuchtwanger LTD. 38(3) PD 253, 278 (1984) (Isr.), </w:t>
      </w:r>
    </w:p>
    <w:p w14:paraId="07B7ABC6" w14:textId="134DC82D" w:rsidR="00354596" w:rsidRPr="005462DD" w:rsidRDefault="00354596" w:rsidP="002276B6">
      <w:pPr>
        <w:pStyle w:val="FootnoteText"/>
        <w:tabs>
          <w:tab w:val="left" w:pos="6010"/>
        </w:tabs>
        <w:bidi w:val="0"/>
        <w:jc w:val="both"/>
        <w:rPr>
          <w:rFonts w:asciiTheme="majorBidi" w:hAnsiTheme="majorBidi" w:cstheme="majorBidi"/>
          <w:sz w:val="22"/>
          <w:szCs w:val="22"/>
        </w:rPr>
      </w:pPr>
      <w:hyperlink r:id="rId15" w:history="1">
        <w:r w:rsidRPr="005462DD">
          <w:rPr>
            <w:rStyle w:val="Hyperlink"/>
            <w:rFonts w:asciiTheme="majorBidi" w:hAnsiTheme="majorBidi" w:cstheme="majorBidi"/>
            <w:sz w:val="22"/>
            <w:szCs w:val="22"/>
          </w:rPr>
          <w:t>https://supreme.court.gov.il/Pages/fullsearch.aspx</w:t>
        </w:r>
      </w:hyperlink>
    </w:p>
  </w:footnote>
  <w:footnote w:id="44">
    <w:p w14:paraId="6776611D" w14:textId="5DD4139B" w:rsidR="00354596" w:rsidRPr="005462DD" w:rsidRDefault="00354596" w:rsidP="005462DD">
      <w:pPr>
        <w:pStyle w:val="FootnoteText"/>
        <w:bidi w:val="0"/>
        <w:jc w:val="both"/>
        <w:rPr>
          <w:rFonts w:asciiTheme="majorBidi" w:hAnsiTheme="majorBidi" w:cstheme="majorBidi"/>
          <w:sz w:val="22"/>
          <w:szCs w:val="22"/>
        </w:rPr>
      </w:pPr>
      <w:r w:rsidRPr="005462DD">
        <w:rPr>
          <w:rStyle w:val="FootnoteReference"/>
          <w:rFonts w:asciiTheme="majorBidi" w:hAnsiTheme="majorBidi" w:cstheme="majorBidi"/>
          <w:sz w:val="22"/>
          <w:szCs w:val="22"/>
        </w:rPr>
        <w:footnoteRef/>
      </w:r>
      <w:r w:rsidRPr="005462DD">
        <w:rPr>
          <w:rFonts w:asciiTheme="majorBidi" w:hAnsiTheme="majorBidi" w:cstheme="majorBidi"/>
          <w:sz w:val="22"/>
          <w:szCs w:val="22"/>
          <w:rtl/>
        </w:rPr>
        <w:t xml:space="preserve"> </w:t>
      </w:r>
      <w:r w:rsidRPr="005462DD">
        <w:rPr>
          <w:rFonts w:asciiTheme="majorBidi" w:hAnsiTheme="majorBidi" w:cstheme="majorBidi"/>
          <w:sz w:val="22"/>
          <w:szCs w:val="22"/>
        </w:rPr>
        <w:t xml:space="preserve">Hanoch Dagan, </w:t>
      </w:r>
      <w:r w:rsidRPr="005462DD">
        <w:rPr>
          <w:rFonts w:asciiTheme="majorBidi" w:hAnsiTheme="majorBidi" w:cstheme="majorBidi"/>
          <w:i/>
          <w:iCs/>
          <w:sz w:val="22"/>
          <w:szCs w:val="22"/>
        </w:rPr>
        <w:t>Fiduciary Law and Pluralism, in</w:t>
      </w:r>
      <w:r w:rsidRPr="005462DD">
        <w:rPr>
          <w:rFonts w:asciiTheme="majorBidi" w:hAnsiTheme="majorBidi" w:cstheme="majorBidi"/>
          <w:sz w:val="22"/>
          <w:szCs w:val="22"/>
        </w:rPr>
        <w:t xml:space="preserve"> </w:t>
      </w:r>
      <w:r w:rsidRPr="005462DD">
        <w:rPr>
          <w:rFonts w:asciiTheme="majorBidi" w:hAnsiTheme="majorBidi" w:cstheme="majorBidi"/>
          <w:smallCaps/>
          <w:sz w:val="22"/>
          <w:szCs w:val="22"/>
        </w:rPr>
        <w:t>Oxford Handbook of Fiduciary Law</w:t>
      </w:r>
      <w:r w:rsidRPr="005462DD">
        <w:rPr>
          <w:rFonts w:asciiTheme="majorBidi" w:hAnsiTheme="majorBidi" w:cstheme="majorBidi"/>
          <w:sz w:val="22"/>
          <w:szCs w:val="22"/>
        </w:rPr>
        <w:t xml:space="preserve"> (Evan J. Criddle, Paul B. Miller &amp; Robert H. Sitkoff eds., forthcoming 2019).</w:t>
      </w:r>
    </w:p>
  </w:footnote>
  <w:footnote w:id="45">
    <w:p w14:paraId="22A75531" w14:textId="15F132FC" w:rsidR="00354596" w:rsidRPr="005462DD" w:rsidRDefault="00354596" w:rsidP="005462DD">
      <w:pPr>
        <w:pStyle w:val="FootnoteText"/>
        <w:bidi w:val="0"/>
        <w:jc w:val="both"/>
        <w:rPr>
          <w:rFonts w:asciiTheme="majorBidi" w:hAnsiTheme="majorBidi" w:cstheme="majorBidi"/>
          <w:sz w:val="22"/>
          <w:szCs w:val="22"/>
        </w:rPr>
      </w:pPr>
      <w:r w:rsidRPr="005462DD">
        <w:rPr>
          <w:rStyle w:val="FootnoteReference"/>
          <w:rFonts w:asciiTheme="majorBidi" w:hAnsiTheme="majorBidi" w:cstheme="majorBidi"/>
          <w:sz w:val="22"/>
          <w:szCs w:val="22"/>
        </w:rPr>
        <w:footnoteRef/>
      </w:r>
      <w:r w:rsidRPr="005462DD">
        <w:rPr>
          <w:rFonts w:asciiTheme="majorBidi" w:hAnsiTheme="majorBidi" w:cstheme="majorBidi"/>
          <w:sz w:val="22"/>
          <w:szCs w:val="22"/>
          <w:rtl/>
        </w:rPr>
        <w:t xml:space="preserve"> </w:t>
      </w:r>
      <w:r w:rsidRPr="005462DD">
        <w:rPr>
          <w:rFonts w:asciiTheme="majorBidi" w:hAnsiTheme="majorBidi" w:cstheme="majorBidi"/>
          <w:sz w:val="22"/>
          <w:szCs w:val="22"/>
        </w:rPr>
        <w:t xml:space="preserve">Paul B. Miller, </w:t>
      </w:r>
      <w:r w:rsidRPr="005462DD">
        <w:rPr>
          <w:rFonts w:asciiTheme="majorBidi" w:hAnsiTheme="majorBidi" w:cstheme="majorBidi"/>
          <w:i/>
          <w:iCs/>
          <w:sz w:val="22"/>
          <w:szCs w:val="22"/>
        </w:rPr>
        <w:t>Justifying Fiduciary Duties</w:t>
      </w:r>
      <w:r w:rsidRPr="005462DD">
        <w:rPr>
          <w:rFonts w:asciiTheme="majorBidi" w:hAnsiTheme="majorBidi" w:cstheme="majorBidi"/>
          <w:sz w:val="22"/>
          <w:szCs w:val="22"/>
        </w:rPr>
        <w:t xml:space="preserve">, 58 </w:t>
      </w:r>
      <w:r w:rsidRPr="005462DD">
        <w:rPr>
          <w:rFonts w:asciiTheme="majorBidi" w:hAnsiTheme="majorBidi" w:cstheme="majorBidi"/>
          <w:smallCaps/>
          <w:sz w:val="22"/>
          <w:szCs w:val="22"/>
        </w:rPr>
        <w:t>McGill L.J.</w:t>
      </w:r>
      <w:r w:rsidRPr="005462DD">
        <w:rPr>
          <w:rFonts w:asciiTheme="majorBidi" w:hAnsiTheme="majorBidi" w:cstheme="majorBidi"/>
          <w:sz w:val="22"/>
          <w:szCs w:val="22"/>
        </w:rPr>
        <w:t xml:space="preserve"> 969, 1101 (2013).</w:t>
      </w:r>
    </w:p>
  </w:footnote>
  <w:footnote w:id="46">
    <w:p w14:paraId="7EDF8156" w14:textId="0DF75217" w:rsidR="00354596" w:rsidRPr="002276B6" w:rsidRDefault="00354596" w:rsidP="002276B6">
      <w:pPr>
        <w:bidi w:val="0"/>
        <w:spacing w:after="0" w:line="240" w:lineRule="auto"/>
        <w:jc w:val="both"/>
        <w:rPr>
          <w:rFonts w:asciiTheme="majorBidi" w:hAnsiTheme="majorBidi" w:cstheme="majorBidi"/>
        </w:rPr>
      </w:pPr>
      <w:r w:rsidRPr="002276B6">
        <w:rPr>
          <w:rStyle w:val="FootnoteReference"/>
          <w:rFonts w:asciiTheme="majorBidi" w:hAnsiTheme="majorBidi" w:cstheme="majorBidi"/>
        </w:rPr>
        <w:footnoteRef/>
      </w:r>
      <w:r w:rsidRPr="002276B6">
        <w:rPr>
          <w:rFonts w:asciiTheme="majorBidi" w:hAnsiTheme="majorBidi" w:cstheme="majorBidi"/>
          <w:rtl/>
        </w:rPr>
        <w:t xml:space="preserve"> </w:t>
      </w:r>
      <w:r w:rsidRPr="002276B6">
        <w:rPr>
          <w:rFonts w:asciiTheme="majorBidi" w:hAnsiTheme="majorBidi" w:cstheme="majorBidi"/>
        </w:rPr>
        <w:t xml:space="preserve">Paul B. Miller, </w:t>
      </w:r>
      <w:r w:rsidRPr="002276B6">
        <w:rPr>
          <w:rFonts w:asciiTheme="majorBidi" w:hAnsiTheme="majorBidi" w:cstheme="majorBidi"/>
          <w:i/>
          <w:iCs/>
        </w:rPr>
        <w:t>New Frontiers in Private Fiduciary Law, in</w:t>
      </w:r>
      <w:r w:rsidRPr="002276B6">
        <w:rPr>
          <w:rFonts w:asciiTheme="majorBidi" w:hAnsiTheme="majorBidi" w:cstheme="majorBidi"/>
        </w:rPr>
        <w:t xml:space="preserve"> </w:t>
      </w:r>
      <w:r w:rsidRPr="002276B6">
        <w:rPr>
          <w:rFonts w:asciiTheme="majorBidi" w:hAnsiTheme="majorBidi" w:cstheme="majorBidi"/>
          <w:smallCaps/>
        </w:rPr>
        <w:t xml:space="preserve">THE OXFORD HANDBOOK OF FIDUCIARY LAW </w:t>
      </w:r>
      <w:r w:rsidRPr="002276B6">
        <w:rPr>
          <w:rFonts w:asciiTheme="majorBidi" w:hAnsiTheme="majorBidi" w:cstheme="majorBidi"/>
        </w:rPr>
        <w:t>(Evan J. Criddle, Paul B. Miller, &amp; Robert H. Sitkoff, eds.,  forthcoming 2019).</w:t>
      </w:r>
    </w:p>
  </w:footnote>
  <w:footnote w:id="47">
    <w:p w14:paraId="4B087E19" w14:textId="7556753B" w:rsidR="00354596" w:rsidRPr="002276B6" w:rsidRDefault="00354596" w:rsidP="002276B6">
      <w:pPr>
        <w:pStyle w:val="FootnoteText"/>
        <w:bidi w:val="0"/>
        <w:jc w:val="both"/>
        <w:rPr>
          <w:rFonts w:asciiTheme="majorBidi" w:hAnsiTheme="majorBidi" w:cstheme="majorBidi"/>
          <w:sz w:val="22"/>
          <w:szCs w:val="22"/>
        </w:rPr>
      </w:pPr>
      <w:r w:rsidRPr="002276B6">
        <w:rPr>
          <w:rStyle w:val="FootnoteReference"/>
          <w:rFonts w:asciiTheme="majorBidi" w:hAnsiTheme="majorBidi" w:cstheme="majorBidi"/>
          <w:sz w:val="22"/>
          <w:szCs w:val="22"/>
        </w:rPr>
        <w:footnoteRef/>
      </w:r>
      <w:r w:rsidRPr="002276B6">
        <w:rPr>
          <w:rFonts w:asciiTheme="majorBidi" w:hAnsiTheme="majorBidi" w:cstheme="majorBidi"/>
          <w:sz w:val="22"/>
          <w:szCs w:val="22"/>
          <w:rtl/>
        </w:rPr>
        <w:t xml:space="preserve"> </w:t>
      </w:r>
      <w:r w:rsidRPr="002276B6">
        <w:rPr>
          <w:rFonts w:asciiTheme="majorBidi" w:hAnsiTheme="majorBidi" w:cstheme="majorBidi"/>
          <w:color w:val="000000" w:themeColor="text1"/>
          <w:sz w:val="22"/>
          <w:szCs w:val="22"/>
          <w:shd w:val="clear" w:color="auto" w:fill="FFFFFF"/>
        </w:rPr>
        <w:t xml:space="preserve">Paul B. Miller, </w:t>
      </w:r>
      <w:r w:rsidRPr="002276B6">
        <w:rPr>
          <w:rFonts w:asciiTheme="majorBidi" w:hAnsiTheme="majorBidi" w:cstheme="majorBidi"/>
          <w:i/>
          <w:iCs/>
          <w:color w:val="000000" w:themeColor="text1"/>
          <w:sz w:val="22"/>
          <w:szCs w:val="22"/>
          <w:shd w:val="clear" w:color="auto" w:fill="FFFFFF"/>
        </w:rPr>
        <w:t>New Frontiers in Private Fiduciary Law</w:t>
      </w:r>
      <w:r w:rsidRPr="002276B6">
        <w:rPr>
          <w:rFonts w:asciiTheme="majorBidi" w:hAnsiTheme="majorBidi" w:cstheme="majorBidi"/>
          <w:color w:val="000000" w:themeColor="text1"/>
          <w:sz w:val="22"/>
          <w:szCs w:val="22"/>
          <w:shd w:val="clear" w:color="auto" w:fill="FFFFFF"/>
        </w:rPr>
        <w:t xml:space="preserve">, </w:t>
      </w:r>
      <w:r w:rsidRPr="002276B6">
        <w:rPr>
          <w:rFonts w:asciiTheme="majorBidi" w:hAnsiTheme="majorBidi" w:cstheme="majorBidi"/>
          <w:i/>
          <w:iCs/>
          <w:color w:val="000000" w:themeColor="text1"/>
          <w:sz w:val="22"/>
          <w:szCs w:val="22"/>
          <w:shd w:val="clear" w:color="auto" w:fill="FFFFFF"/>
        </w:rPr>
        <w:t>in</w:t>
      </w:r>
      <w:r w:rsidRPr="002276B6">
        <w:rPr>
          <w:rFonts w:asciiTheme="majorBidi" w:hAnsiTheme="majorBidi" w:cstheme="majorBidi"/>
          <w:color w:val="000000" w:themeColor="text1"/>
          <w:sz w:val="22"/>
          <w:szCs w:val="22"/>
          <w:shd w:val="clear" w:color="auto" w:fill="FFFFFF"/>
        </w:rPr>
        <w:t xml:space="preserve"> </w:t>
      </w:r>
      <w:r w:rsidRPr="002276B6">
        <w:rPr>
          <w:rFonts w:asciiTheme="majorBidi" w:hAnsiTheme="majorBidi" w:cstheme="majorBidi"/>
          <w:smallCaps/>
          <w:color w:val="000000" w:themeColor="text1"/>
          <w:sz w:val="22"/>
          <w:szCs w:val="22"/>
          <w:shd w:val="clear" w:color="auto" w:fill="FFFFFF"/>
        </w:rPr>
        <w:t>The Oxford Handbook of Fiduciary Law</w:t>
      </w:r>
      <w:r w:rsidRPr="002276B6">
        <w:rPr>
          <w:rFonts w:asciiTheme="majorBidi" w:hAnsiTheme="majorBidi" w:cstheme="majorBidi"/>
          <w:color w:val="000000" w:themeColor="text1"/>
          <w:sz w:val="22"/>
          <w:szCs w:val="22"/>
          <w:shd w:val="clear" w:color="auto" w:fill="FFFFFF"/>
        </w:rPr>
        <w:t xml:space="preserve"> (Evan J. Criddle, Paul B. Miller, and Robert H. Sitkoff, eds., 2019) p. 14</w:t>
      </w:r>
      <w:r w:rsidRPr="002276B6">
        <w:rPr>
          <w:rFonts w:asciiTheme="majorBidi" w:hAnsiTheme="majorBidi" w:cstheme="majorBidi"/>
          <w:sz w:val="22"/>
          <w:szCs w:val="22"/>
        </w:rPr>
        <w:t>.</w:t>
      </w:r>
    </w:p>
  </w:footnote>
  <w:footnote w:id="48">
    <w:p w14:paraId="04A21DA9" w14:textId="40EBB631" w:rsidR="00354596" w:rsidRPr="0053374E" w:rsidRDefault="00354596" w:rsidP="002276B6">
      <w:pPr>
        <w:pStyle w:val="FootnoteText"/>
        <w:bidi w:val="0"/>
        <w:jc w:val="both"/>
        <w:rPr>
          <w:sz w:val="22"/>
          <w:szCs w:val="22"/>
        </w:rPr>
      </w:pPr>
      <w:r w:rsidRPr="002276B6">
        <w:rPr>
          <w:rStyle w:val="FootnoteReference"/>
          <w:rFonts w:asciiTheme="majorBidi" w:hAnsiTheme="majorBidi" w:cstheme="majorBidi"/>
          <w:sz w:val="22"/>
          <w:szCs w:val="22"/>
        </w:rPr>
        <w:footnoteRef/>
      </w:r>
      <w:r w:rsidRPr="002276B6">
        <w:rPr>
          <w:rFonts w:asciiTheme="majorBidi" w:hAnsiTheme="majorBidi" w:cstheme="majorBidi"/>
          <w:sz w:val="22"/>
          <w:szCs w:val="22"/>
          <w:rtl/>
        </w:rPr>
        <w:t xml:space="preserve"> </w:t>
      </w:r>
      <w:r w:rsidRPr="002276B6">
        <w:rPr>
          <w:rFonts w:asciiTheme="majorBidi" w:hAnsiTheme="majorBidi" w:cstheme="majorBidi"/>
          <w:sz w:val="22"/>
          <w:szCs w:val="22"/>
        </w:rPr>
        <w:t xml:space="preserve">Eli Bukspan, </w:t>
      </w:r>
      <w:r w:rsidRPr="002276B6">
        <w:rPr>
          <w:rFonts w:asciiTheme="majorBidi" w:hAnsiTheme="majorBidi" w:cstheme="majorBidi"/>
          <w:i/>
          <w:iCs/>
          <w:sz w:val="22"/>
          <w:szCs w:val="22"/>
        </w:rPr>
        <w:t>The Notion of Trust as a Comprehensive Theory of Contract and Corporate Law: A New Approach to the Conception that the Corporation is a Nexus of Contract</w:t>
      </w:r>
      <w:r w:rsidRPr="002276B6">
        <w:rPr>
          <w:rFonts w:asciiTheme="majorBidi" w:hAnsiTheme="majorBidi" w:cstheme="majorBidi"/>
          <w:sz w:val="22"/>
          <w:szCs w:val="22"/>
        </w:rPr>
        <w:t xml:space="preserve">, 2 Hastings Bus. L.J. 229, </w:t>
      </w:r>
      <w:r w:rsidRPr="002276B6">
        <w:rPr>
          <w:rFonts w:asciiTheme="majorBidi" w:hAnsiTheme="majorBidi" w:cstheme="majorBidi"/>
          <w:sz w:val="22"/>
          <w:szCs w:val="22"/>
          <w:rtl/>
        </w:rPr>
        <w:t>258</w:t>
      </w:r>
      <w:r w:rsidRPr="002276B6">
        <w:rPr>
          <w:rFonts w:asciiTheme="majorBidi" w:hAnsiTheme="majorBidi" w:cstheme="majorBidi"/>
          <w:sz w:val="22"/>
          <w:szCs w:val="22"/>
        </w:rPr>
        <w:t xml:space="preserve"> (2006).</w:t>
      </w:r>
    </w:p>
  </w:footnote>
  <w:footnote w:id="49">
    <w:p w14:paraId="5A588647" w14:textId="2FEAC650" w:rsidR="00354596" w:rsidRPr="0053374E" w:rsidRDefault="00354596" w:rsidP="004B5F91">
      <w:pPr>
        <w:bidi w:val="0"/>
        <w:jc w:val="both"/>
        <w:rPr>
          <w:rFonts w:ascii="David" w:hAnsi="David" w:cs="David"/>
        </w:rPr>
      </w:pPr>
      <w:r w:rsidRPr="0053374E">
        <w:rPr>
          <w:rStyle w:val="FootnoteReference"/>
          <w:rFonts w:ascii="David" w:hAnsi="David" w:cs="David"/>
        </w:rPr>
        <w:footnoteRef/>
      </w:r>
      <w:r w:rsidRPr="0053374E">
        <w:rPr>
          <w:rFonts w:ascii="David" w:hAnsi="David" w:cs="David"/>
          <w:rtl/>
        </w:rPr>
        <w:t xml:space="preserve"> </w:t>
      </w:r>
      <w:r w:rsidRPr="0053374E">
        <w:rPr>
          <w:rFonts w:asciiTheme="majorBidi" w:hAnsiTheme="majorBidi" w:cstheme="majorBidi"/>
        </w:rPr>
        <w:t xml:space="preserve">Tamar Frankel, </w:t>
      </w:r>
      <w:r w:rsidRPr="0053374E">
        <w:rPr>
          <w:rFonts w:asciiTheme="majorBidi" w:hAnsiTheme="majorBidi" w:cstheme="majorBidi"/>
          <w:i/>
          <w:iCs/>
        </w:rPr>
        <w:t>The Rise of Fiduciary Law</w:t>
      </w:r>
      <w:r w:rsidRPr="0053374E">
        <w:rPr>
          <w:rFonts w:asciiTheme="majorBidi" w:hAnsiTheme="majorBidi" w:cstheme="majorBidi"/>
        </w:rPr>
        <w:t>, 18-18 (Boston U. S</w:t>
      </w:r>
      <w:r w:rsidRPr="0053374E">
        <w:rPr>
          <w:rFonts w:asciiTheme="majorBidi" w:hAnsiTheme="majorBidi" w:cstheme="majorBidi"/>
          <w:smallCaps/>
        </w:rPr>
        <w:t>ch</w:t>
      </w:r>
      <w:r w:rsidRPr="0053374E">
        <w:rPr>
          <w:rFonts w:asciiTheme="majorBidi" w:hAnsiTheme="majorBidi" w:cstheme="majorBidi"/>
        </w:rPr>
        <w:t>. L., Public Law Research Paper 2018), https://scholarship.law.bu.edu/faculty_scholarship/345</w:t>
      </w:r>
    </w:p>
  </w:footnote>
  <w:footnote w:id="50">
    <w:p w14:paraId="0F0A1517" w14:textId="504577E3" w:rsidR="00354596" w:rsidRPr="0053374E" w:rsidRDefault="00354596" w:rsidP="004B5F91">
      <w:pPr>
        <w:pStyle w:val="FootnoteText"/>
        <w:bidi w:val="0"/>
        <w:jc w:val="both"/>
        <w:rPr>
          <w:rFonts w:ascii="David" w:hAnsi="David" w:cs="David"/>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Theme="majorBidi" w:hAnsiTheme="majorBidi" w:cstheme="majorBidi"/>
          <w:color w:val="000000" w:themeColor="text1"/>
          <w:sz w:val="22"/>
          <w:szCs w:val="22"/>
        </w:rPr>
        <w:t xml:space="preserve">Uriel Procaccia, </w:t>
      </w:r>
      <w:r w:rsidRPr="0053374E">
        <w:rPr>
          <w:rFonts w:asciiTheme="majorBidi" w:hAnsiTheme="majorBidi" w:cstheme="majorBidi"/>
          <w:i/>
          <w:iCs/>
          <w:color w:val="000000" w:themeColor="text1"/>
          <w:sz w:val="22"/>
          <w:szCs w:val="22"/>
        </w:rPr>
        <w:t>Winding-up at the Suit of Minority Shareholders</w:t>
      </w:r>
      <w:r w:rsidRPr="0053374E">
        <w:rPr>
          <w:rFonts w:asciiTheme="majorBidi" w:hAnsiTheme="majorBidi" w:cstheme="majorBidi"/>
          <w:color w:val="000000" w:themeColor="text1"/>
          <w:sz w:val="22"/>
          <w:szCs w:val="22"/>
          <w:shd w:val="clear" w:color="auto" w:fill="FFFFFF"/>
        </w:rPr>
        <w:t xml:space="preserve">, </w:t>
      </w:r>
      <w:r w:rsidRPr="0053374E">
        <w:rPr>
          <w:rFonts w:asciiTheme="majorBidi" w:hAnsiTheme="majorBidi" w:cstheme="majorBidi"/>
          <w:color w:val="000000" w:themeColor="text1"/>
          <w:sz w:val="22"/>
          <w:szCs w:val="22"/>
        </w:rPr>
        <w:t xml:space="preserve">8 </w:t>
      </w:r>
      <w:r w:rsidRPr="0053374E">
        <w:rPr>
          <w:rFonts w:asciiTheme="majorBidi" w:hAnsiTheme="majorBidi" w:cstheme="majorBidi"/>
          <w:smallCaps/>
          <w:color w:val="000000" w:themeColor="text1"/>
          <w:sz w:val="22"/>
          <w:szCs w:val="22"/>
        </w:rPr>
        <w:t>Mishpatim</w:t>
      </w:r>
      <w:r w:rsidRPr="0053374E">
        <w:rPr>
          <w:rFonts w:asciiTheme="majorBidi" w:hAnsiTheme="majorBidi" w:cstheme="majorBidi"/>
          <w:color w:val="000000" w:themeColor="text1"/>
          <w:sz w:val="22"/>
          <w:szCs w:val="22"/>
        </w:rPr>
        <w:t xml:space="preserve"> 13, 17 </w:t>
      </w:r>
      <w:r w:rsidRPr="0053374E">
        <w:rPr>
          <w:rFonts w:asciiTheme="majorBidi" w:hAnsiTheme="majorBidi" w:cstheme="majorBidi"/>
          <w:color w:val="000000" w:themeColor="text1"/>
          <w:sz w:val="22"/>
          <w:szCs w:val="22"/>
          <w:shd w:val="clear" w:color="auto" w:fill="FFFFFF"/>
        </w:rPr>
        <w:t>(</w:t>
      </w:r>
      <w:r w:rsidRPr="0053374E">
        <w:rPr>
          <w:rFonts w:asciiTheme="majorBidi" w:hAnsiTheme="majorBidi" w:cstheme="majorBidi"/>
          <w:color w:val="000000" w:themeColor="text1"/>
          <w:sz w:val="22"/>
          <w:szCs w:val="22"/>
        </w:rPr>
        <w:t>1977</w:t>
      </w:r>
      <w:r w:rsidRPr="0053374E">
        <w:rPr>
          <w:rFonts w:asciiTheme="majorBidi" w:hAnsiTheme="majorBidi" w:cstheme="majorBidi"/>
          <w:color w:val="000000" w:themeColor="text1"/>
          <w:sz w:val="22"/>
          <w:szCs w:val="22"/>
          <w:shd w:val="clear" w:color="auto" w:fill="FFFFFF"/>
        </w:rPr>
        <w:t>).</w:t>
      </w:r>
    </w:p>
  </w:footnote>
  <w:footnote w:id="51">
    <w:p w14:paraId="09DB53FF" w14:textId="5F9487F3" w:rsidR="00354596" w:rsidRPr="004B5F91" w:rsidRDefault="00354596">
      <w:pPr>
        <w:pStyle w:val="FootnoteText"/>
        <w:rPr>
          <w:rFonts w:ascii="David" w:hAnsi="David" w:cs="David"/>
          <w:sz w:val="22"/>
          <w:szCs w:val="22"/>
          <w:rtl/>
        </w:rPr>
      </w:pPr>
      <w:r w:rsidRPr="0053374E">
        <w:rPr>
          <w:rStyle w:val="FootnoteReference"/>
          <w:sz w:val="22"/>
          <w:szCs w:val="22"/>
        </w:rPr>
        <w:footnoteRef/>
      </w:r>
      <w:r w:rsidRPr="0053374E">
        <w:rPr>
          <w:sz w:val="22"/>
          <w:szCs w:val="22"/>
          <w:rtl/>
        </w:rPr>
        <w:t xml:space="preserve"> </w:t>
      </w:r>
      <w:r w:rsidRPr="004B5F91">
        <w:rPr>
          <w:rFonts w:ascii="David" w:hAnsi="David" w:cs="David"/>
          <w:sz w:val="22"/>
          <w:szCs w:val="22"/>
          <w:rtl/>
        </w:rPr>
        <w:t>ראו להלן טקסט ליד...</w:t>
      </w:r>
    </w:p>
  </w:footnote>
  <w:footnote w:id="52">
    <w:p w14:paraId="36C133F6" w14:textId="1B35C4A0" w:rsidR="00354596" w:rsidRPr="0053374E" w:rsidRDefault="00354596">
      <w:pPr>
        <w:pStyle w:val="FootnoteText"/>
        <w:rPr>
          <w:rFonts w:ascii="David" w:hAnsi="David" w:cs="David" w:hint="cs"/>
          <w:sz w:val="22"/>
          <w:szCs w:val="22"/>
          <w:rtl/>
        </w:rPr>
      </w:pPr>
      <w:r w:rsidRPr="004B5F91">
        <w:rPr>
          <w:rStyle w:val="FootnoteReference"/>
          <w:rFonts w:ascii="David" w:hAnsi="David" w:cs="David"/>
          <w:sz w:val="22"/>
          <w:szCs w:val="22"/>
        </w:rPr>
        <w:footnoteRef/>
      </w:r>
      <w:r w:rsidRPr="004B5F91">
        <w:rPr>
          <w:rFonts w:ascii="David" w:hAnsi="David" w:cs="David"/>
          <w:sz w:val="22"/>
          <w:szCs w:val="22"/>
          <w:rtl/>
        </w:rPr>
        <w:t xml:space="preserve"> ראו באופן כללי ספרו של ליכט</w:t>
      </w:r>
    </w:p>
    <w:p w14:paraId="1AD2ABB6" w14:textId="1DC2194D" w:rsidR="00354596" w:rsidRPr="0053374E" w:rsidRDefault="00354596" w:rsidP="00B5302F">
      <w:pPr>
        <w:bidi w:val="0"/>
        <w:rPr>
          <w:rFonts w:asciiTheme="majorBidi" w:hAnsiTheme="majorBidi" w:cstheme="majorBidi"/>
        </w:rPr>
      </w:pPr>
      <w:r w:rsidRPr="0053374E">
        <w:rPr>
          <w:rFonts w:asciiTheme="majorBidi" w:hAnsiTheme="majorBidi" w:cstheme="majorBidi"/>
          <w:smallCaps/>
        </w:rPr>
        <w:t>Amir N. Licht</w:t>
      </w:r>
      <w:r w:rsidRPr="0053374E">
        <w:t xml:space="preserve">, </w:t>
      </w:r>
      <w:r w:rsidRPr="0053374E">
        <w:rPr>
          <w:rFonts w:asciiTheme="majorBidi" w:hAnsiTheme="majorBidi" w:cstheme="majorBidi"/>
          <w:smallCaps/>
        </w:rPr>
        <w:t>Fiduciary Law: The Duty of Loyalty in the Corporation and in the General Law</w:t>
      </w:r>
      <w:r w:rsidRPr="0053374E">
        <w:rPr>
          <w:rFonts w:asciiTheme="majorBidi" w:hAnsiTheme="majorBidi" w:cstheme="majorBidi"/>
        </w:rPr>
        <w:t xml:space="preserve"> (2013).</w:t>
      </w:r>
    </w:p>
  </w:footnote>
  <w:footnote w:id="53">
    <w:p w14:paraId="2CF32901" w14:textId="6FDB57AC" w:rsidR="00354596" w:rsidRPr="004B5F91" w:rsidRDefault="00354596" w:rsidP="004B5F91">
      <w:pPr>
        <w:pStyle w:val="FootnoteText"/>
        <w:bidi w:val="0"/>
        <w:jc w:val="both"/>
        <w:rPr>
          <w:rFonts w:asciiTheme="majorBidi" w:hAnsiTheme="majorBidi" w:cstheme="majorBidi"/>
          <w:sz w:val="22"/>
          <w:szCs w:val="22"/>
          <w:rtl/>
        </w:rPr>
      </w:pPr>
      <w:r w:rsidRPr="004B5F91">
        <w:rPr>
          <w:rStyle w:val="FootnoteReference"/>
          <w:rFonts w:asciiTheme="majorBidi" w:hAnsiTheme="majorBidi" w:cstheme="majorBidi"/>
          <w:sz w:val="22"/>
          <w:szCs w:val="22"/>
        </w:rPr>
        <w:footnoteRef/>
      </w:r>
      <w:r w:rsidRPr="004B5F91">
        <w:rPr>
          <w:rFonts w:asciiTheme="majorBidi" w:hAnsiTheme="majorBidi" w:cstheme="majorBidi"/>
          <w:sz w:val="22"/>
          <w:szCs w:val="22"/>
          <w:rtl/>
        </w:rPr>
        <w:t xml:space="preserve"> </w:t>
      </w:r>
      <w:r w:rsidRPr="004B5F91">
        <w:rPr>
          <w:rFonts w:asciiTheme="majorBidi" w:hAnsiTheme="majorBidi" w:cstheme="majorBidi"/>
          <w:sz w:val="22"/>
          <w:szCs w:val="22"/>
        </w:rPr>
        <w:t xml:space="preserve">Amir N. Licht, </w:t>
      </w:r>
      <w:r w:rsidRPr="004B5F91">
        <w:rPr>
          <w:rFonts w:asciiTheme="majorBidi" w:hAnsiTheme="majorBidi" w:cstheme="majorBidi"/>
          <w:i/>
          <w:iCs/>
          <w:sz w:val="22"/>
          <w:szCs w:val="22"/>
        </w:rPr>
        <w:t>Fiduciary Relations in the Corporation: Duty of Loyalty</w:t>
      </w:r>
      <w:r w:rsidRPr="004B5F91">
        <w:rPr>
          <w:rFonts w:asciiTheme="majorBidi" w:hAnsiTheme="majorBidi" w:cstheme="majorBidi"/>
          <w:sz w:val="22"/>
          <w:szCs w:val="22"/>
        </w:rPr>
        <w:t xml:space="preserve">, 18 Israel J. L. &amp; Bus. 237, </w:t>
      </w:r>
      <w:r w:rsidRPr="004B5F91">
        <w:rPr>
          <w:rFonts w:asciiTheme="majorBidi" w:hAnsiTheme="majorBidi" w:cstheme="majorBidi"/>
          <w:sz w:val="22"/>
          <w:szCs w:val="22"/>
          <w:rtl/>
        </w:rPr>
        <w:t xml:space="preserve"> </w:t>
      </w:r>
      <w:r w:rsidRPr="004B5F91">
        <w:rPr>
          <w:rFonts w:asciiTheme="majorBidi" w:hAnsiTheme="majorBidi" w:cstheme="majorBidi"/>
          <w:sz w:val="22"/>
          <w:szCs w:val="22"/>
        </w:rPr>
        <w:t>243, 246 (2014).</w:t>
      </w:r>
    </w:p>
  </w:footnote>
  <w:footnote w:id="54">
    <w:p w14:paraId="5FD3E255" w14:textId="4A0BD6CC" w:rsidR="00354596" w:rsidRPr="0053374E" w:rsidRDefault="00354596" w:rsidP="004B5F91">
      <w:pPr>
        <w:pStyle w:val="FootnoteText"/>
        <w:bidi w:val="0"/>
        <w:spacing w:line="360" w:lineRule="auto"/>
        <w:jc w:val="both"/>
        <w:rPr>
          <w:rFonts w:asciiTheme="majorBidi" w:hAnsiTheme="majorBidi" w:cstheme="majorBidi"/>
          <w:color w:val="000000" w:themeColor="text1"/>
          <w:sz w:val="22"/>
          <w:szCs w:val="22"/>
          <w:rtl/>
        </w:rPr>
      </w:pPr>
      <w:r w:rsidRPr="004B5F91">
        <w:rPr>
          <w:rStyle w:val="FootnoteReference"/>
          <w:rFonts w:asciiTheme="majorBidi" w:hAnsiTheme="majorBidi" w:cstheme="majorBidi"/>
          <w:sz w:val="22"/>
          <w:szCs w:val="22"/>
        </w:rPr>
        <w:footnoteRef/>
      </w:r>
      <w:r w:rsidRPr="004B5F91">
        <w:rPr>
          <w:rFonts w:asciiTheme="majorBidi" w:hAnsiTheme="majorBidi" w:cstheme="majorBidi"/>
          <w:sz w:val="22"/>
          <w:szCs w:val="22"/>
          <w:rtl/>
        </w:rPr>
        <w:t xml:space="preserve"> </w:t>
      </w:r>
      <w:r w:rsidRPr="004B5F91">
        <w:rPr>
          <w:rFonts w:asciiTheme="majorBidi" w:hAnsiTheme="majorBidi" w:cstheme="majorBidi"/>
          <w:sz w:val="22"/>
          <w:szCs w:val="22"/>
        </w:rPr>
        <w:t xml:space="preserve">"It is the nature of the relationship, not the specific category of actor involved that gives rise to the fiduciary duty". </w:t>
      </w:r>
      <w:r w:rsidRPr="004B5F91">
        <w:rPr>
          <w:rFonts w:asciiTheme="majorBidi" w:hAnsiTheme="majorBidi" w:cstheme="majorBidi"/>
          <w:i/>
          <w:iCs/>
          <w:color w:val="000000" w:themeColor="text1"/>
          <w:sz w:val="22"/>
          <w:szCs w:val="22"/>
          <w:shd w:val="clear" w:color="auto" w:fill="FFFFFF"/>
        </w:rPr>
        <w:t>Guerin v. Canada</w:t>
      </w:r>
      <w:r w:rsidRPr="004B5F91">
        <w:rPr>
          <w:rFonts w:asciiTheme="majorBidi" w:hAnsiTheme="majorBidi" w:cstheme="majorBidi"/>
          <w:color w:val="000000" w:themeColor="text1"/>
          <w:sz w:val="22"/>
          <w:szCs w:val="22"/>
          <w:shd w:val="clear" w:color="auto" w:fill="FFFFFF"/>
        </w:rPr>
        <w:t>, 1984 S.C.R.2 335, 384 (1984).</w:t>
      </w:r>
    </w:p>
  </w:footnote>
  <w:footnote w:id="55">
    <w:p w14:paraId="78B26122" w14:textId="7842BAE4" w:rsidR="00354596" w:rsidRPr="0053374E" w:rsidRDefault="00354596" w:rsidP="004B5F91">
      <w:pPr>
        <w:pStyle w:val="FootnoteText"/>
        <w:bidi w:val="0"/>
        <w:jc w:val="both"/>
        <w:rPr>
          <w:rFonts w:ascii="David" w:hAnsi="David" w:cs="David"/>
          <w:sz w:val="22"/>
          <w:szCs w:val="22"/>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Theme="majorBidi" w:hAnsiTheme="majorBidi" w:cstheme="majorBidi"/>
          <w:sz w:val="22"/>
          <w:szCs w:val="22"/>
        </w:rPr>
        <w:t xml:space="preserve">Amir N. Licht, </w:t>
      </w:r>
      <w:r w:rsidRPr="0053374E">
        <w:rPr>
          <w:rFonts w:asciiTheme="majorBidi" w:hAnsiTheme="majorBidi" w:cstheme="majorBidi"/>
          <w:i/>
          <w:iCs/>
          <w:sz w:val="22"/>
          <w:szCs w:val="22"/>
        </w:rPr>
        <w:t>Fiduciary Relations in the Corporation: Duty of Loyalty</w:t>
      </w:r>
      <w:r w:rsidRPr="0053374E">
        <w:rPr>
          <w:rFonts w:asciiTheme="majorBidi" w:hAnsiTheme="majorBidi" w:cstheme="majorBidi"/>
          <w:sz w:val="22"/>
          <w:szCs w:val="22"/>
        </w:rPr>
        <w:t>, 18 Israel J. L. &amp; Bus. 237, 250-251(2014).</w:t>
      </w:r>
    </w:p>
  </w:footnote>
  <w:footnote w:id="56">
    <w:p w14:paraId="76604ADC" w14:textId="0B1EB689" w:rsidR="00354596" w:rsidRPr="0053374E" w:rsidRDefault="00354596" w:rsidP="004B5F91">
      <w:pPr>
        <w:pStyle w:val="FootnoteText"/>
        <w:bidi w:val="0"/>
        <w:jc w:val="both"/>
        <w:rPr>
          <w:rFonts w:ascii="David" w:hAnsi="David" w:cs="David"/>
          <w:sz w:val="22"/>
          <w:szCs w:val="22"/>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Theme="majorBidi" w:hAnsiTheme="majorBidi" w:cstheme="majorBidi"/>
          <w:sz w:val="22"/>
          <w:szCs w:val="22"/>
        </w:rPr>
        <w:t xml:space="preserve">Amir N. Licht, </w:t>
      </w:r>
      <w:r w:rsidRPr="0053374E">
        <w:rPr>
          <w:rFonts w:asciiTheme="majorBidi" w:hAnsiTheme="majorBidi" w:cstheme="majorBidi"/>
          <w:i/>
          <w:iCs/>
          <w:sz w:val="22"/>
          <w:szCs w:val="22"/>
        </w:rPr>
        <w:t>Fiduciary Relations in the Corporation: Duty of Loyalty</w:t>
      </w:r>
      <w:r w:rsidRPr="0053374E">
        <w:rPr>
          <w:rFonts w:asciiTheme="majorBidi" w:hAnsiTheme="majorBidi" w:cstheme="majorBidi"/>
          <w:sz w:val="22"/>
          <w:szCs w:val="22"/>
        </w:rPr>
        <w:t>, 18 Israel J. L. &amp; Bus. 237, 251 (2014).</w:t>
      </w:r>
    </w:p>
    <w:p w14:paraId="4071766E" w14:textId="4541EDA5" w:rsidR="00354596" w:rsidRPr="0053374E" w:rsidRDefault="00354596" w:rsidP="00911F5F">
      <w:pPr>
        <w:pStyle w:val="FootnoteText"/>
        <w:rPr>
          <w:rFonts w:ascii="David" w:hAnsi="David" w:cs="David"/>
          <w:sz w:val="22"/>
          <w:szCs w:val="22"/>
          <w:rtl/>
        </w:rPr>
      </w:pPr>
      <w:r w:rsidRPr="0053374E">
        <w:rPr>
          <w:rFonts w:ascii="David" w:hAnsi="David" w:cs="David" w:hint="cs"/>
          <w:sz w:val="22"/>
          <w:szCs w:val="22"/>
          <w:rtl/>
        </w:rPr>
        <w:t xml:space="preserve">ואולם </w:t>
      </w:r>
      <w:r w:rsidRPr="0053374E">
        <w:rPr>
          <w:rFonts w:asciiTheme="majorBidi" w:hAnsiTheme="majorBidi" w:cs="David"/>
          <w:sz w:val="22"/>
          <w:szCs w:val="22"/>
          <w:rtl/>
        </w:rPr>
        <w:t xml:space="preserve">ליכט חוזר ומדגיש כי כוח </w:t>
      </w:r>
      <w:r w:rsidRPr="0053374E">
        <w:rPr>
          <w:rFonts w:asciiTheme="majorBidi" w:hAnsiTheme="majorBidi" w:cs="David" w:hint="cs"/>
          <w:sz w:val="22"/>
          <w:szCs w:val="22"/>
          <w:rtl/>
        </w:rPr>
        <w:t xml:space="preserve">(היוצר עמו </w:t>
      </w:r>
      <w:r w:rsidRPr="0053374E">
        <w:rPr>
          <w:rFonts w:asciiTheme="majorBidi" w:hAnsiTheme="majorBidi" w:cs="David"/>
          <w:sz w:val="22"/>
          <w:szCs w:val="22"/>
          <w:rtl/>
        </w:rPr>
        <w:t>פגיעות</w:t>
      </w:r>
      <w:r w:rsidRPr="0053374E">
        <w:rPr>
          <w:rFonts w:asciiTheme="majorBidi" w:hAnsiTheme="majorBidi" w:cs="David" w:hint="cs"/>
          <w:sz w:val="22"/>
          <w:szCs w:val="22"/>
          <w:rtl/>
        </w:rPr>
        <w:t xml:space="preserve">) אינו </w:t>
      </w:r>
      <w:r w:rsidRPr="0053374E">
        <w:rPr>
          <w:rFonts w:asciiTheme="majorBidi" w:hAnsiTheme="majorBidi" w:cs="David"/>
          <w:sz w:val="22"/>
          <w:szCs w:val="22"/>
          <w:rtl/>
        </w:rPr>
        <w:t>מספ</w:t>
      </w:r>
      <w:r w:rsidRPr="0053374E">
        <w:rPr>
          <w:rFonts w:asciiTheme="majorBidi" w:hAnsiTheme="majorBidi" w:cs="David" w:hint="cs"/>
          <w:sz w:val="22"/>
          <w:szCs w:val="22"/>
          <w:rtl/>
        </w:rPr>
        <w:t>י</w:t>
      </w:r>
      <w:r w:rsidRPr="0053374E">
        <w:rPr>
          <w:rFonts w:asciiTheme="majorBidi" w:hAnsiTheme="majorBidi" w:cs="David"/>
          <w:sz w:val="22"/>
          <w:szCs w:val="22"/>
          <w:rtl/>
        </w:rPr>
        <w:t>ק</w:t>
      </w:r>
      <w:r w:rsidRPr="0053374E">
        <w:rPr>
          <w:rFonts w:ascii="David" w:hAnsi="David" w:cs="David" w:hint="cs"/>
          <w:sz w:val="22"/>
          <w:szCs w:val="22"/>
          <w:rtl/>
        </w:rPr>
        <w:t xml:space="preserve"> לצורך ביסוס חובת האמון, עמוד 250-251.</w:t>
      </w:r>
    </w:p>
  </w:footnote>
  <w:footnote w:id="57">
    <w:p w14:paraId="5BD93140" w14:textId="3D4BF29F" w:rsidR="00354596" w:rsidRPr="0053374E" w:rsidRDefault="00354596" w:rsidP="00EE065A">
      <w:pPr>
        <w:pStyle w:val="FootnoteText"/>
        <w:rPr>
          <w:rFonts w:ascii="David" w:hAnsi="David" w:cs="David" w:hint="cs"/>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w:t>
      </w:r>
    </w:p>
  </w:footnote>
  <w:footnote w:id="58">
    <w:p w14:paraId="3643558B" w14:textId="77777777" w:rsidR="00354596" w:rsidRPr="0053374E" w:rsidRDefault="00354596" w:rsidP="008C5E73">
      <w:pPr>
        <w:spacing w:line="480" w:lineRule="auto"/>
        <w:jc w:val="both"/>
        <w:rPr>
          <w:rFonts w:asciiTheme="majorBidi" w:hAnsiTheme="majorBidi" w:cs="David"/>
          <w:rtl/>
        </w:rPr>
      </w:pPr>
      <w:r w:rsidRPr="0053374E">
        <w:rPr>
          <w:rStyle w:val="FootnoteReference"/>
        </w:rPr>
        <w:footnoteRef/>
      </w:r>
      <w:r w:rsidRPr="0053374E">
        <w:rPr>
          <w:rtl/>
        </w:rPr>
        <w:t xml:space="preserve"> </w:t>
      </w:r>
      <w:r w:rsidRPr="0053374E">
        <w:rPr>
          <w:rFonts w:asciiTheme="majorBidi" w:hAnsiTheme="majorBidi" w:cs="David" w:hint="cs"/>
          <w:rtl/>
        </w:rPr>
        <w:t>עם זאת הרי שבכל הנוגע להורה החורג, כניסתו למערך המשפחתי היתה תוך מודעות ומרצון חופשי, שהרי נכנס למערכת זוגית-משפחתית עם בן או בת זוג להם ילד מיחסים קודמים, על כל המשתמע מכך.</w:t>
      </w:r>
    </w:p>
  </w:footnote>
  <w:footnote w:id="59">
    <w:p w14:paraId="1A6231C9" w14:textId="648BF760" w:rsidR="00354596" w:rsidRPr="004B5F91" w:rsidRDefault="00354596">
      <w:pPr>
        <w:pStyle w:val="FootnoteText"/>
        <w:rPr>
          <w:rFonts w:ascii="David" w:hAnsi="David" w:cs="David" w:hint="cs"/>
          <w:sz w:val="22"/>
          <w:szCs w:val="22"/>
          <w:rtl/>
        </w:rPr>
      </w:pPr>
      <w:r w:rsidRPr="004B5F91">
        <w:rPr>
          <w:rStyle w:val="FootnoteReference"/>
          <w:rFonts w:ascii="David" w:hAnsi="David" w:cs="David"/>
          <w:sz w:val="22"/>
          <w:szCs w:val="22"/>
        </w:rPr>
        <w:footnoteRef/>
      </w:r>
      <w:r w:rsidRPr="004B5F91">
        <w:rPr>
          <w:rFonts w:ascii="David" w:hAnsi="David" w:cs="David"/>
          <w:sz w:val="22"/>
          <w:szCs w:val="22"/>
          <w:rtl/>
        </w:rPr>
        <w:t xml:space="preserve"> ראו בהקשר אחר,</w:t>
      </w:r>
    </w:p>
    <w:p w14:paraId="689E1A07" w14:textId="4F68C26C" w:rsidR="00354596" w:rsidRPr="004B5F91" w:rsidRDefault="00354596" w:rsidP="004B5F91">
      <w:pPr>
        <w:pStyle w:val="FootnoteText"/>
        <w:bidi w:val="0"/>
        <w:jc w:val="both"/>
        <w:rPr>
          <w:rFonts w:asciiTheme="majorBidi" w:hAnsiTheme="majorBidi" w:cstheme="majorBidi"/>
          <w:sz w:val="22"/>
          <w:szCs w:val="22"/>
        </w:rPr>
      </w:pPr>
      <w:r w:rsidRPr="004B5F91">
        <w:rPr>
          <w:rFonts w:asciiTheme="majorBidi" w:hAnsiTheme="majorBidi" w:cstheme="majorBidi"/>
          <w:sz w:val="22"/>
          <w:szCs w:val="22"/>
        </w:rPr>
        <w:t>Paul B. Miller and Andrew S. Gold, Fiduciary Governance, 57 Wm. &amp; Mary L. Rev. 513 (2015).</w:t>
      </w:r>
    </w:p>
  </w:footnote>
  <w:footnote w:id="60">
    <w:p w14:paraId="5035818C" w14:textId="78F0B842" w:rsidR="00354596" w:rsidRPr="004B5F91" w:rsidRDefault="00354596" w:rsidP="004B5F91">
      <w:pPr>
        <w:autoSpaceDE w:val="0"/>
        <w:autoSpaceDN w:val="0"/>
        <w:bidi w:val="0"/>
        <w:adjustRightInd w:val="0"/>
        <w:spacing w:after="0" w:line="240" w:lineRule="auto"/>
        <w:jc w:val="both"/>
        <w:rPr>
          <w:rFonts w:asciiTheme="majorBidi" w:hAnsiTheme="majorBidi" w:cstheme="majorBidi"/>
        </w:rPr>
      </w:pPr>
      <w:r w:rsidRPr="004B5F91">
        <w:rPr>
          <w:rStyle w:val="FootnoteReference"/>
          <w:rFonts w:asciiTheme="majorBidi" w:hAnsiTheme="majorBidi" w:cstheme="majorBidi"/>
        </w:rPr>
        <w:footnoteRef/>
      </w:r>
      <w:r w:rsidRPr="004B5F91">
        <w:rPr>
          <w:rFonts w:asciiTheme="majorBidi" w:hAnsiTheme="majorBidi" w:cstheme="majorBidi"/>
        </w:rPr>
        <w:t xml:space="preserve"> Paul B. Miller, </w:t>
      </w:r>
      <w:r w:rsidRPr="004B5F91">
        <w:rPr>
          <w:rFonts w:asciiTheme="majorBidi" w:hAnsiTheme="majorBidi" w:cstheme="majorBidi"/>
          <w:i/>
          <w:iCs/>
        </w:rPr>
        <w:t>New Frontiers in Private Fiduciary law, in</w:t>
      </w:r>
      <w:r w:rsidRPr="004B5F91">
        <w:rPr>
          <w:rFonts w:asciiTheme="majorBidi" w:hAnsiTheme="majorBidi" w:cstheme="majorBidi"/>
          <w:smallCaps/>
        </w:rPr>
        <w:t xml:space="preserve"> THE OXFORD HANDBOOK OF FIDUCIARY LAW </w:t>
      </w:r>
      <w:r w:rsidRPr="004B5F91">
        <w:rPr>
          <w:rFonts w:asciiTheme="majorBidi" w:hAnsiTheme="majorBidi" w:cstheme="majorBidi"/>
        </w:rPr>
        <w:t xml:space="preserve">page…. </w:t>
      </w:r>
      <w:r w:rsidRPr="004B5F91">
        <w:rPr>
          <w:rFonts w:asciiTheme="majorBidi" w:hAnsiTheme="majorBidi" w:cstheme="majorBidi"/>
          <w:smallCaps/>
        </w:rPr>
        <w:t xml:space="preserve"> </w:t>
      </w:r>
      <w:r w:rsidRPr="004B5F91">
        <w:rPr>
          <w:rFonts w:asciiTheme="majorBidi" w:hAnsiTheme="majorBidi" w:cstheme="majorBidi"/>
        </w:rPr>
        <w:t xml:space="preserve">(Evan J. Criddle, Paul B. Miller, &amp; Robert H. Sitkoff, eds., forthcoming 2019). </w:t>
      </w:r>
    </w:p>
  </w:footnote>
  <w:footnote w:id="61">
    <w:p w14:paraId="2FB7BFB6" w14:textId="6F04874D" w:rsidR="00354596" w:rsidRPr="004B5F91" w:rsidRDefault="00354596" w:rsidP="004B5F91">
      <w:pPr>
        <w:autoSpaceDE w:val="0"/>
        <w:autoSpaceDN w:val="0"/>
        <w:bidi w:val="0"/>
        <w:adjustRightInd w:val="0"/>
        <w:spacing w:after="0" w:line="240" w:lineRule="auto"/>
        <w:jc w:val="both"/>
        <w:rPr>
          <w:rFonts w:asciiTheme="majorBidi" w:hAnsiTheme="majorBidi" w:cstheme="majorBidi"/>
        </w:rPr>
      </w:pPr>
      <w:r w:rsidRPr="004B5F91">
        <w:rPr>
          <w:rStyle w:val="FootnoteReference"/>
          <w:rFonts w:asciiTheme="majorBidi" w:hAnsiTheme="majorBidi" w:cstheme="majorBidi"/>
        </w:rPr>
        <w:footnoteRef/>
      </w:r>
      <w:r w:rsidRPr="004B5F91">
        <w:rPr>
          <w:rFonts w:asciiTheme="majorBidi" w:hAnsiTheme="majorBidi" w:cstheme="majorBidi"/>
          <w:rtl/>
        </w:rPr>
        <w:t xml:space="preserve"> </w:t>
      </w:r>
      <w:r w:rsidRPr="004B5F91">
        <w:rPr>
          <w:rFonts w:asciiTheme="majorBidi" w:hAnsiTheme="majorBidi" w:cstheme="majorBidi"/>
        </w:rPr>
        <w:t xml:space="preserve">Lionel D. Smith, Contract, </w:t>
      </w:r>
      <w:r w:rsidRPr="004B5F91">
        <w:rPr>
          <w:rFonts w:asciiTheme="majorBidi" w:hAnsiTheme="majorBidi" w:cstheme="majorBidi"/>
          <w:i/>
          <w:iCs/>
        </w:rPr>
        <w:t>Consent, and Fiduciary Relationships, in</w:t>
      </w:r>
      <w:r w:rsidRPr="004B5F91">
        <w:rPr>
          <w:rFonts w:asciiTheme="majorBidi" w:hAnsiTheme="majorBidi" w:cstheme="majorBidi"/>
        </w:rPr>
        <w:t xml:space="preserve"> </w:t>
      </w:r>
      <w:r w:rsidRPr="004B5F91">
        <w:rPr>
          <w:rFonts w:asciiTheme="majorBidi" w:hAnsiTheme="majorBidi" w:cstheme="majorBidi"/>
          <w:smallCaps/>
        </w:rPr>
        <w:t xml:space="preserve">Contract, Status and Fiduciary Law </w:t>
      </w:r>
      <w:r w:rsidRPr="004B5F91">
        <w:rPr>
          <w:rFonts w:asciiTheme="majorBidi" w:hAnsiTheme="majorBidi" w:cstheme="majorBidi"/>
        </w:rPr>
        <w:t>117, 128 (Paul B. Miller &amp; Andrew S. Gold, eds., 2016).</w:t>
      </w:r>
    </w:p>
  </w:footnote>
  <w:footnote w:id="62">
    <w:p w14:paraId="05134F1E" w14:textId="6331244A" w:rsidR="00354596" w:rsidRPr="004B5F91" w:rsidRDefault="00354596" w:rsidP="004B5F91">
      <w:pPr>
        <w:pStyle w:val="FootnoteText"/>
        <w:bidi w:val="0"/>
        <w:jc w:val="both"/>
        <w:rPr>
          <w:rFonts w:asciiTheme="majorBidi" w:hAnsiTheme="majorBidi" w:cstheme="majorBidi"/>
          <w:sz w:val="22"/>
          <w:szCs w:val="22"/>
        </w:rPr>
      </w:pPr>
      <w:r w:rsidRPr="004B5F91">
        <w:rPr>
          <w:rStyle w:val="FootnoteReference"/>
          <w:rFonts w:asciiTheme="majorBidi" w:hAnsiTheme="majorBidi" w:cstheme="majorBidi"/>
          <w:sz w:val="22"/>
          <w:szCs w:val="22"/>
        </w:rPr>
        <w:footnoteRef/>
      </w:r>
      <w:r w:rsidRPr="004B5F91">
        <w:rPr>
          <w:rFonts w:asciiTheme="majorBidi" w:hAnsiTheme="majorBidi" w:cstheme="majorBidi"/>
          <w:sz w:val="22"/>
          <w:szCs w:val="22"/>
          <w:rtl/>
        </w:rPr>
        <w:t xml:space="preserve"> </w:t>
      </w:r>
      <w:r w:rsidRPr="004B5F91">
        <w:rPr>
          <w:rFonts w:asciiTheme="majorBidi" w:hAnsiTheme="majorBidi" w:cstheme="majorBidi"/>
          <w:sz w:val="22"/>
          <w:szCs w:val="22"/>
        </w:rPr>
        <w:t>Elizabeth S. Scott &amp; Robert E. Scott, Marriage as Relational Contract, 84 Va. L. Rev. 1225 (1998).</w:t>
      </w:r>
    </w:p>
  </w:footnote>
  <w:footnote w:id="63">
    <w:p w14:paraId="0C3C92F9" w14:textId="52CEFCB8" w:rsidR="00354596" w:rsidRPr="004B5F91" w:rsidRDefault="00354596" w:rsidP="004B5F91">
      <w:pPr>
        <w:pStyle w:val="FootnoteText"/>
        <w:bidi w:val="0"/>
        <w:jc w:val="both"/>
        <w:rPr>
          <w:rFonts w:asciiTheme="majorBidi" w:hAnsiTheme="majorBidi" w:cstheme="majorBidi"/>
          <w:sz w:val="22"/>
          <w:szCs w:val="22"/>
        </w:rPr>
      </w:pPr>
      <w:r w:rsidRPr="004B5F91">
        <w:rPr>
          <w:rStyle w:val="FootnoteReference"/>
          <w:rFonts w:asciiTheme="majorBidi" w:hAnsiTheme="majorBidi" w:cstheme="majorBidi"/>
          <w:sz w:val="22"/>
          <w:szCs w:val="22"/>
        </w:rPr>
        <w:footnoteRef/>
      </w:r>
      <w:r w:rsidRPr="004B5F91">
        <w:rPr>
          <w:rFonts w:asciiTheme="majorBidi" w:hAnsiTheme="majorBidi" w:cstheme="majorBidi"/>
          <w:sz w:val="22"/>
          <w:szCs w:val="22"/>
        </w:rPr>
        <w:t xml:space="preserve"> "The idea of an office, Joshua Getzler noted, 'comes from the classical Roman concept of an officium, a standard set of primary duties pertaining to a person with recognized responsibilities. The nature of that office will then accent and shape all the relevant duties of the officeholder…"  Hanoch Dagan and Elizabeth S. Scott, </w:t>
      </w:r>
      <w:r w:rsidRPr="004B5F91">
        <w:rPr>
          <w:rFonts w:asciiTheme="majorBidi" w:hAnsiTheme="majorBidi" w:cstheme="majorBidi"/>
          <w:i/>
          <w:iCs/>
          <w:sz w:val="22"/>
          <w:szCs w:val="22"/>
        </w:rPr>
        <w:t>Reinterpreting the Status-Contract Divide: The Case of Fiduciaries, in</w:t>
      </w:r>
      <w:r w:rsidRPr="004B5F91">
        <w:rPr>
          <w:rFonts w:asciiTheme="majorBidi" w:hAnsiTheme="majorBidi" w:cstheme="majorBidi"/>
          <w:sz w:val="22"/>
          <w:szCs w:val="22"/>
        </w:rPr>
        <w:t xml:space="preserve"> </w:t>
      </w:r>
      <w:r w:rsidRPr="004B5F91">
        <w:rPr>
          <w:rFonts w:asciiTheme="majorBidi" w:hAnsiTheme="majorBidi" w:cstheme="majorBidi"/>
          <w:smallCaps/>
          <w:sz w:val="22"/>
          <w:szCs w:val="22"/>
        </w:rPr>
        <w:t>Contract, Status, and Fiduciary Law</w:t>
      </w:r>
      <w:r w:rsidRPr="004B5F91">
        <w:rPr>
          <w:rFonts w:asciiTheme="majorBidi" w:hAnsiTheme="majorBidi" w:cstheme="majorBidi"/>
          <w:sz w:val="22"/>
          <w:szCs w:val="22"/>
        </w:rPr>
        <w:t xml:space="preserve"> 51, 57 (Paul B. Miller &amp; Andrew S. Gold, eds., 2016). </w:t>
      </w:r>
      <w:r w:rsidRPr="004B5F91">
        <w:rPr>
          <w:rFonts w:asciiTheme="majorBidi" w:hAnsiTheme="majorBidi" w:cstheme="majorBidi"/>
          <w:sz w:val="22"/>
          <w:szCs w:val="22"/>
          <w:rtl/>
        </w:rPr>
        <w:t xml:space="preserve"> </w:t>
      </w:r>
    </w:p>
  </w:footnote>
  <w:footnote w:id="64">
    <w:p w14:paraId="0ADF2204" w14:textId="461F6A35" w:rsidR="00354596" w:rsidRPr="0053374E" w:rsidRDefault="00354596">
      <w:pPr>
        <w:pStyle w:val="FootnoteText"/>
        <w:rPr>
          <w:rFonts w:hint="cs"/>
          <w:sz w:val="22"/>
          <w:szCs w:val="22"/>
          <w:rtl/>
        </w:rPr>
      </w:pPr>
      <w:r w:rsidRPr="0053374E">
        <w:rPr>
          <w:rStyle w:val="FootnoteReference"/>
          <w:sz w:val="22"/>
          <w:szCs w:val="22"/>
        </w:rPr>
        <w:footnoteRef/>
      </w:r>
      <w:r w:rsidRPr="0053374E">
        <w:rPr>
          <w:rFonts w:hint="cs"/>
          <w:sz w:val="22"/>
          <w:szCs w:val="22"/>
          <w:rtl/>
        </w:rPr>
        <w:t xml:space="preserve"> התייחסות לגישתם של דגן וסקוט, כפי שמובאת אצל מילר:</w:t>
      </w:r>
    </w:p>
    <w:p w14:paraId="576D0B71" w14:textId="7DB0EBAD" w:rsidR="00354596" w:rsidRPr="004B5F91" w:rsidRDefault="00354596" w:rsidP="004B5F91">
      <w:pPr>
        <w:pStyle w:val="FootnoteText"/>
        <w:bidi w:val="0"/>
        <w:jc w:val="both"/>
        <w:rPr>
          <w:rFonts w:asciiTheme="majorBidi" w:hAnsiTheme="majorBidi" w:cstheme="majorBidi"/>
          <w:sz w:val="22"/>
          <w:szCs w:val="22"/>
        </w:rPr>
      </w:pPr>
      <w:r w:rsidRPr="004B5F91">
        <w:rPr>
          <w:rFonts w:asciiTheme="majorBidi" w:hAnsiTheme="majorBidi" w:cstheme="majorBidi"/>
          <w:sz w:val="22"/>
          <w:szCs w:val="22"/>
        </w:rPr>
        <w:t xml:space="preserve">Paul B. Miller, </w:t>
      </w:r>
      <w:r w:rsidRPr="004B5F91">
        <w:rPr>
          <w:rFonts w:asciiTheme="majorBidi" w:hAnsiTheme="majorBidi" w:cstheme="majorBidi"/>
          <w:i/>
          <w:iCs/>
          <w:sz w:val="22"/>
          <w:szCs w:val="22"/>
        </w:rPr>
        <w:t>New Frontiers in Private Fiduciary Law, in</w:t>
      </w:r>
      <w:r w:rsidRPr="004B5F91">
        <w:rPr>
          <w:rFonts w:asciiTheme="majorBidi" w:hAnsiTheme="majorBidi" w:cstheme="majorBidi"/>
          <w:sz w:val="22"/>
          <w:szCs w:val="22"/>
        </w:rPr>
        <w:t xml:space="preserve"> </w:t>
      </w:r>
      <w:r w:rsidRPr="004B5F91">
        <w:rPr>
          <w:rFonts w:asciiTheme="majorBidi" w:hAnsiTheme="majorBidi" w:cstheme="majorBidi"/>
          <w:smallCaps/>
          <w:sz w:val="22"/>
          <w:szCs w:val="22"/>
        </w:rPr>
        <w:t xml:space="preserve">THE OXFORD HANDBOOK OF FIDUCIARY LAW </w:t>
      </w:r>
      <w:r w:rsidRPr="004B5F91">
        <w:rPr>
          <w:rFonts w:asciiTheme="majorBidi" w:hAnsiTheme="majorBidi" w:cstheme="majorBidi"/>
          <w:sz w:val="22"/>
          <w:szCs w:val="22"/>
        </w:rPr>
        <w:t>( Evan J. Criddle, Paul B. Miller, &amp; Robert H. Sitkoff, eds.,  forthcoming 2019).</w:t>
      </w:r>
    </w:p>
  </w:footnote>
  <w:footnote w:id="65">
    <w:p w14:paraId="2D28B8D7" w14:textId="6F7B66F6" w:rsidR="00354596" w:rsidRPr="004B5F91" w:rsidRDefault="00354596" w:rsidP="004B5F91">
      <w:pPr>
        <w:pStyle w:val="FootnoteText"/>
        <w:bidi w:val="0"/>
        <w:jc w:val="both"/>
        <w:rPr>
          <w:rFonts w:asciiTheme="majorBidi" w:hAnsiTheme="majorBidi" w:cstheme="majorBidi"/>
          <w:sz w:val="22"/>
          <w:szCs w:val="22"/>
        </w:rPr>
      </w:pPr>
      <w:r w:rsidRPr="004B5F91">
        <w:rPr>
          <w:rStyle w:val="FootnoteReference"/>
          <w:rFonts w:asciiTheme="majorBidi" w:hAnsiTheme="majorBidi" w:cstheme="majorBidi"/>
          <w:sz w:val="22"/>
          <w:szCs w:val="22"/>
        </w:rPr>
        <w:footnoteRef/>
      </w:r>
      <w:r w:rsidRPr="004B5F91">
        <w:rPr>
          <w:rFonts w:asciiTheme="majorBidi" w:hAnsiTheme="majorBidi" w:cstheme="majorBidi"/>
          <w:sz w:val="22"/>
          <w:szCs w:val="22"/>
          <w:rtl/>
        </w:rPr>
        <w:t xml:space="preserve"> </w:t>
      </w:r>
      <w:r w:rsidRPr="004B5F91">
        <w:rPr>
          <w:rFonts w:asciiTheme="majorBidi" w:hAnsiTheme="majorBidi" w:cstheme="majorBidi"/>
          <w:sz w:val="22"/>
          <w:szCs w:val="22"/>
        </w:rPr>
        <w:t xml:space="preserve">Paul B. Miller and Andrew S. Gold, </w:t>
      </w:r>
      <w:r w:rsidRPr="004B5F91">
        <w:rPr>
          <w:rFonts w:asciiTheme="majorBidi" w:hAnsiTheme="majorBidi" w:cstheme="majorBidi"/>
          <w:i/>
          <w:iCs/>
          <w:sz w:val="22"/>
          <w:szCs w:val="22"/>
        </w:rPr>
        <w:t>Introduction, in</w:t>
      </w:r>
      <w:r w:rsidRPr="004B5F91">
        <w:rPr>
          <w:rFonts w:asciiTheme="majorBidi" w:hAnsiTheme="majorBidi" w:cstheme="majorBidi"/>
          <w:sz w:val="22"/>
          <w:szCs w:val="22"/>
        </w:rPr>
        <w:t xml:space="preserve"> </w:t>
      </w:r>
      <w:r w:rsidRPr="004B5F91">
        <w:rPr>
          <w:rFonts w:asciiTheme="majorBidi" w:hAnsiTheme="majorBidi" w:cstheme="majorBidi"/>
          <w:smallCaps/>
          <w:sz w:val="22"/>
          <w:szCs w:val="22"/>
        </w:rPr>
        <w:t>Contract, Status, and Fiduciary Law</w:t>
      </w:r>
      <w:r w:rsidRPr="004B5F91">
        <w:rPr>
          <w:rFonts w:asciiTheme="majorBidi" w:hAnsiTheme="majorBidi" w:cstheme="majorBidi"/>
          <w:sz w:val="22"/>
          <w:szCs w:val="22"/>
        </w:rPr>
        <w:t xml:space="preserve"> 1, 8 (Paul B. Miller &amp; Andrew S. Gold, eds., 2016).</w:t>
      </w:r>
    </w:p>
  </w:footnote>
  <w:footnote w:id="66">
    <w:p w14:paraId="0E47CB3A" w14:textId="1FE5CA4A" w:rsidR="00354596" w:rsidRPr="004B5F91" w:rsidRDefault="00354596" w:rsidP="004B5F91">
      <w:pPr>
        <w:autoSpaceDE w:val="0"/>
        <w:autoSpaceDN w:val="0"/>
        <w:bidi w:val="0"/>
        <w:adjustRightInd w:val="0"/>
        <w:spacing w:after="0" w:line="240" w:lineRule="auto"/>
        <w:jc w:val="both"/>
        <w:rPr>
          <w:rFonts w:asciiTheme="majorBidi" w:hAnsiTheme="majorBidi" w:cstheme="majorBidi"/>
        </w:rPr>
      </w:pPr>
      <w:r w:rsidRPr="004B5F91">
        <w:rPr>
          <w:rStyle w:val="FootnoteReference"/>
          <w:rFonts w:asciiTheme="majorBidi" w:hAnsiTheme="majorBidi" w:cstheme="majorBidi"/>
        </w:rPr>
        <w:footnoteRef/>
      </w:r>
      <w:r w:rsidRPr="004B5F91">
        <w:rPr>
          <w:rFonts w:asciiTheme="majorBidi" w:hAnsiTheme="majorBidi" w:cstheme="majorBidi"/>
          <w:rtl/>
        </w:rPr>
        <w:t xml:space="preserve"> </w:t>
      </w:r>
      <w:r w:rsidRPr="004B5F91">
        <w:rPr>
          <w:rFonts w:asciiTheme="majorBidi" w:hAnsiTheme="majorBidi" w:cstheme="majorBidi"/>
        </w:rPr>
        <w:t xml:space="preserve">Hanoch Dagan and Elizabeth S. Scott, </w:t>
      </w:r>
      <w:r w:rsidRPr="004B5F91">
        <w:rPr>
          <w:rFonts w:asciiTheme="majorBidi" w:hAnsiTheme="majorBidi" w:cstheme="majorBidi"/>
          <w:i/>
          <w:iCs/>
        </w:rPr>
        <w:t>Reinterpreting the Status-Contract Divide: The Case of Fiduciaries, in</w:t>
      </w:r>
      <w:r w:rsidRPr="004B5F91">
        <w:rPr>
          <w:rFonts w:asciiTheme="majorBidi" w:hAnsiTheme="majorBidi" w:cstheme="majorBidi"/>
        </w:rPr>
        <w:t xml:space="preserve"> </w:t>
      </w:r>
      <w:r w:rsidRPr="004B5F91">
        <w:rPr>
          <w:rFonts w:asciiTheme="majorBidi" w:hAnsiTheme="majorBidi" w:cstheme="majorBidi"/>
          <w:smallCaps/>
        </w:rPr>
        <w:t xml:space="preserve">Contract, Status, and Fiduciary Law </w:t>
      </w:r>
      <w:r w:rsidRPr="004B5F91">
        <w:rPr>
          <w:rFonts w:asciiTheme="majorBidi" w:hAnsiTheme="majorBidi" w:cstheme="majorBidi"/>
        </w:rPr>
        <w:t>51,62 (Paul B. Miller &amp; Andrew S. Gold, eds., 2016).</w:t>
      </w:r>
    </w:p>
  </w:footnote>
  <w:footnote w:id="67">
    <w:p w14:paraId="291EEB19" w14:textId="0E135E50" w:rsidR="00354596" w:rsidRPr="00553C4E" w:rsidRDefault="00354596" w:rsidP="004B5F91">
      <w:pPr>
        <w:pStyle w:val="FootnoteText"/>
        <w:jc w:val="both"/>
        <w:rPr>
          <w:rFonts w:ascii="David" w:hAnsi="David" w:cs="David" w:hint="cs"/>
          <w:sz w:val="22"/>
          <w:szCs w:val="22"/>
          <w:rtl/>
        </w:rPr>
      </w:pPr>
      <w:r w:rsidRPr="00553C4E">
        <w:rPr>
          <w:rStyle w:val="FootnoteReference"/>
          <w:rFonts w:ascii="David" w:hAnsi="David" w:cs="David"/>
          <w:sz w:val="22"/>
          <w:szCs w:val="22"/>
        </w:rPr>
        <w:footnoteRef/>
      </w:r>
      <w:r w:rsidRPr="00553C4E">
        <w:rPr>
          <w:rFonts w:ascii="David" w:hAnsi="David" w:cs="David"/>
          <w:sz w:val="22"/>
          <w:szCs w:val="22"/>
          <w:rtl/>
        </w:rPr>
        <w:t xml:space="preserve"> בכך נמצא דימיון בין גישתו לגישת דגן, </w:t>
      </w:r>
    </w:p>
    <w:p w14:paraId="6B5852BA" w14:textId="029BB1BA" w:rsidR="00354596" w:rsidRPr="004B5F91" w:rsidRDefault="00354596" w:rsidP="004B5F91">
      <w:pPr>
        <w:pStyle w:val="FootnoteText"/>
        <w:bidi w:val="0"/>
        <w:jc w:val="both"/>
        <w:rPr>
          <w:rFonts w:asciiTheme="majorBidi" w:hAnsiTheme="majorBidi" w:cstheme="majorBidi"/>
          <w:sz w:val="22"/>
          <w:szCs w:val="22"/>
          <w:rtl/>
        </w:rPr>
      </w:pPr>
      <w:r w:rsidRPr="004B5F91">
        <w:rPr>
          <w:rFonts w:asciiTheme="majorBidi" w:hAnsiTheme="majorBidi" w:cstheme="majorBidi"/>
          <w:sz w:val="22"/>
          <w:szCs w:val="22"/>
        </w:rPr>
        <w:t xml:space="preserve">Hanoch Dagan, </w:t>
      </w:r>
      <w:r w:rsidRPr="004B5F91">
        <w:rPr>
          <w:rFonts w:asciiTheme="majorBidi" w:hAnsiTheme="majorBidi" w:cstheme="majorBidi"/>
          <w:i/>
          <w:iCs/>
          <w:sz w:val="22"/>
          <w:szCs w:val="22"/>
        </w:rPr>
        <w:t>Fiduciary Law and Pluralism, in</w:t>
      </w:r>
      <w:r w:rsidRPr="004B5F91">
        <w:rPr>
          <w:rFonts w:asciiTheme="majorBidi" w:hAnsiTheme="majorBidi" w:cstheme="majorBidi"/>
          <w:sz w:val="22"/>
          <w:szCs w:val="22"/>
        </w:rPr>
        <w:t xml:space="preserve"> </w:t>
      </w:r>
      <w:r w:rsidRPr="004B5F91">
        <w:rPr>
          <w:rFonts w:asciiTheme="majorBidi" w:hAnsiTheme="majorBidi" w:cstheme="majorBidi"/>
          <w:smallCaps/>
          <w:sz w:val="22"/>
          <w:szCs w:val="22"/>
        </w:rPr>
        <w:t>Oxford Handbook of Fiduciary Law</w:t>
      </w:r>
      <w:r w:rsidRPr="004B5F91">
        <w:rPr>
          <w:rFonts w:asciiTheme="majorBidi" w:hAnsiTheme="majorBidi" w:cstheme="majorBidi"/>
          <w:sz w:val="22"/>
          <w:szCs w:val="22"/>
        </w:rPr>
        <w:t xml:space="preserve"> (Evan J. Criddle, Paul B. Miller &amp; Robert H. Sitkoff eds., forthcoming 2019).</w:t>
      </w:r>
    </w:p>
  </w:footnote>
  <w:footnote w:id="68">
    <w:p w14:paraId="1BD043ED" w14:textId="0A6E199F" w:rsidR="00354596" w:rsidRPr="004B5F91" w:rsidRDefault="00354596" w:rsidP="004B5F91">
      <w:pPr>
        <w:bidi w:val="0"/>
        <w:jc w:val="both"/>
        <w:rPr>
          <w:rFonts w:asciiTheme="majorBidi" w:hAnsiTheme="majorBidi" w:cstheme="majorBidi"/>
        </w:rPr>
      </w:pPr>
      <w:r w:rsidRPr="004B5F91">
        <w:rPr>
          <w:rStyle w:val="FootnoteReference"/>
          <w:rFonts w:asciiTheme="majorBidi" w:hAnsiTheme="majorBidi" w:cstheme="majorBidi"/>
        </w:rPr>
        <w:footnoteRef/>
      </w:r>
      <w:r w:rsidRPr="004B5F91">
        <w:rPr>
          <w:rStyle w:val="FootnoteReference"/>
          <w:rFonts w:asciiTheme="majorBidi" w:hAnsiTheme="majorBidi" w:cstheme="majorBidi"/>
          <w:rtl/>
        </w:rPr>
        <w:t xml:space="preserve"> </w:t>
      </w:r>
      <w:r w:rsidRPr="004B5F91">
        <w:rPr>
          <w:rFonts w:asciiTheme="majorBidi" w:hAnsiTheme="majorBidi" w:cstheme="majorBidi"/>
        </w:rPr>
        <w:t xml:space="preserve">Amnon Reichman, </w:t>
      </w:r>
      <w:r w:rsidRPr="004B5F91">
        <w:rPr>
          <w:rFonts w:asciiTheme="majorBidi" w:hAnsiTheme="majorBidi" w:cstheme="majorBidi"/>
          <w:i/>
          <w:iCs/>
        </w:rPr>
        <w:t>Omnipresent Dignity: The Right for Human Dignity as Membership in the Community of Moral Agents, 7</w:t>
      </w:r>
      <w:r w:rsidRPr="004B5F91">
        <w:rPr>
          <w:rFonts w:asciiTheme="majorBidi" w:hAnsiTheme="majorBidi" w:cstheme="majorBidi"/>
        </w:rPr>
        <w:t xml:space="preserve"> MISHPAT UMIMSHAL  469 (2005). [Hebrew] </w:t>
      </w:r>
    </w:p>
  </w:footnote>
  <w:footnote w:id="69">
    <w:p w14:paraId="2E976A45" w14:textId="0B6DF45A" w:rsidR="00354596" w:rsidRPr="0053374E" w:rsidRDefault="00354596" w:rsidP="00B47E79">
      <w:pPr>
        <w:pStyle w:val="FootnoteText"/>
        <w:bidi w:val="0"/>
        <w:rPr>
          <w:rFonts w:ascii="David" w:hAnsi="David" w:cs="David"/>
          <w:sz w:val="22"/>
          <w:szCs w:val="22"/>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Theme="majorBidi" w:hAnsiTheme="majorBidi" w:cstheme="majorBidi"/>
          <w:i/>
          <w:iCs/>
          <w:sz w:val="22"/>
          <w:szCs w:val="22"/>
        </w:rPr>
        <w:t>Id</w:t>
      </w:r>
      <w:r w:rsidRPr="0053374E">
        <w:rPr>
          <w:rFonts w:asciiTheme="majorBidi" w:hAnsiTheme="majorBidi" w:cstheme="majorBidi"/>
          <w:sz w:val="22"/>
          <w:szCs w:val="22"/>
        </w:rPr>
        <w:t>. at 495</w:t>
      </w:r>
    </w:p>
  </w:footnote>
  <w:footnote w:id="70">
    <w:p w14:paraId="01D49DDB" w14:textId="00CCCE87" w:rsidR="00354596" w:rsidRPr="0053374E" w:rsidRDefault="00354596" w:rsidP="00B47E79">
      <w:pPr>
        <w:pStyle w:val="FootnoteText"/>
        <w:bidi w:val="0"/>
        <w:rPr>
          <w:rFonts w:asciiTheme="majorBidi" w:hAnsiTheme="majorBidi" w:cstheme="majorBidi"/>
          <w:i/>
          <w:iCs/>
          <w:sz w:val="22"/>
          <w:szCs w:val="22"/>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Theme="majorBidi" w:hAnsiTheme="majorBidi" w:cstheme="majorBidi"/>
          <w:i/>
          <w:iCs/>
          <w:sz w:val="22"/>
          <w:szCs w:val="22"/>
        </w:rPr>
        <w:t>Id at 497</w:t>
      </w:r>
    </w:p>
  </w:footnote>
  <w:footnote w:id="71">
    <w:p w14:paraId="00DBC7B8" w14:textId="7B50DE7F" w:rsidR="00354596" w:rsidRPr="0053374E" w:rsidRDefault="00354596" w:rsidP="00860438">
      <w:pPr>
        <w:pStyle w:val="FootnoteText"/>
        <w:rPr>
          <w:rFonts w:ascii="David" w:hAnsi="David" w:cs="David"/>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David" w:hAnsi="David" w:cs="David"/>
          <w:sz w:val="22"/>
          <w:szCs w:val="22"/>
        </w:rPr>
        <w:t xml:space="preserve">Elizabeth S. Scott &amp; Robert E. Scott, </w:t>
      </w:r>
      <w:r w:rsidRPr="0053374E">
        <w:rPr>
          <w:rFonts w:ascii="David" w:hAnsi="David" w:cs="David"/>
          <w:i/>
          <w:iCs/>
          <w:sz w:val="22"/>
          <w:szCs w:val="22"/>
        </w:rPr>
        <w:t>Parents as Fiduciaries</w:t>
      </w:r>
      <w:r w:rsidRPr="0053374E">
        <w:rPr>
          <w:rFonts w:ascii="David" w:hAnsi="David" w:cs="David"/>
          <w:sz w:val="22"/>
          <w:szCs w:val="22"/>
        </w:rPr>
        <w:t>, 81 Va. L. Rev. 2401 (1995).</w:t>
      </w:r>
    </w:p>
    <w:p w14:paraId="590F2521" w14:textId="41F66727" w:rsidR="00354596" w:rsidRPr="00553C4E" w:rsidRDefault="00354596" w:rsidP="00553C4E">
      <w:pPr>
        <w:pStyle w:val="FootnoteText"/>
        <w:rPr>
          <w:rFonts w:asciiTheme="majorBidi" w:hAnsiTheme="majorBidi" w:cs="David"/>
          <w:b/>
          <w:bCs/>
          <w:sz w:val="22"/>
          <w:szCs w:val="22"/>
          <w:rtl/>
        </w:rPr>
      </w:pPr>
      <w:r w:rsidRPr="0053374E">
        <w:rPr>
          <w:rFonts w:ascii="David" w:hAnsi="David" w:cs="David" w:hint="cs"/>
          <w:sz w:val="22"/>
          <w:szCs w:val="22"/>
          <w:rtl/>
        </w:rPr>
        <w:t>גישה אפשרית נוספת, אשר יש בה אולי כדי להתגבר על הקושי לגזור חובת אמון ישירה בין ההורה החורג</w:t>
      </w:r>
      <w:r w:rsidR="00553C4E">
        <w:rPr>
          <w:rFonts w:ascii="David" w:hAnsi="David" w:cs="David" w:hint="cs"/>
          <w:sz w:val="22"/>
          <w:szCs w:val="22"/>
          <w:rtl/>
        </w:rPr>
        <w:t xml:space="preserve"> להורה הלא משמורן</w:t>
      </w:r>
      <w:r w:rsidRPr="0053374E">
        <w:rPr>
          <w:rFonts w:ascii="David" w:hAnsi="David" w:cs="David" w:hint="cs"/>
          <w:sz w:val="22"/>
          <w:szCs w:val="22"/>
          <w:rtl/>
        </w:rPr>
        <w:t>, תטען כי יחסים אלה הינם בגדר "אמונאות נגזרת". במילים אחרות, ניתן לזהות את יחסיו של כל אחד מההורים (ובוודאי את ההורה המשפטי, כפי שהוכר במאמר של סקוט &amp; סקוט) כמי שחב חובת אמון לילד. יחד, ההורה</w:t>
      </w:r>
      <w:r w:rsidR="00553C4E">
        <w:rPr>
          <w:rFonts w:ascii="David" w:hAnsi="David" w:cs="David" w:hint="cs"/>
          <w:sz w:val="22"/>
          <w:szCs w:val="22"/>
          <w:rtl/>
        </w:rPr>
        <w:t xml:space="preserve"> הלא משמורן</w:t>
      </w:r>
      <w:r w:rsidRPr="0053374E">
        <w:rPr>
          <w:rFonts w:ascii="David" w:hAnsi="David" w:cs="David" w:hint="cs"/>
          <w:sz w:val="22"/>
          <w:szCs w:val="22"/>
          <w:rtl/>
        </w:rPr>
        <w:t xml:space="preserve"> וההורה החורג, הינם בגדר אמונאים במשותף - </w:t>
      </w:r>
      <w:r w:rsidRPr="00553C4E">
        <w:rPr>
          <w:rFonts w:asciiTheme="majorBidi" w:hAnsiTheme="majorBidi" w:cs="David"/>
          <w:sz w:val="22"/>
          <w:szCs w:val="22"/>
        </w:rPr>
        <w:t>Parents as joint fiduciaries</w:t>
      </w:r>
    </w:p>
  </w:footnote>
  <w:footnote w:id="72">
    <w:p w14:paraId="666C4958" w14:textId="260C5F6C" w:rsidR="00354596" w:rsidRPr="0053374E" w:rsidRDefault="00354596">
      <w:pPr>
        <w:pStyle w:val="FootnoteText"/>
        <w:rPr>
          <w:sz w:val="22"/>
          <w:szCs w:val="22"/>
          <w:rtl/>
        </w:rPr>
      </w:pPr>
      <w:r w:rsidRPr="0053374E">
        <w:rPr>
          <w:rStyle w:val="FootnoteReference"/>
          <w:sz w:val="22"/>
          <w:szCs w:val="22"/>
        </w:rPr>
        <w:footnoteRef/>
      </w:r>
      <w:r w:rsidRPr="0053374E">
        <w:rPr>
          <w:sz w:val="22"/>
          <w:szCs w:val="22"/>
          <w:rtl/>
        </w:rPr>
        <w:t xml:space="preserve"> </w:t>
      </w:r>
    </w:p>
  </w:footnote>
  <w:footnote w:id="73">
    <w:p w14:paraId="666D3161" w14:textId="7F1724F9" w:rsidR="00354596" w:rsidRPr="00362D71" w:rsidRDefault="00354596" w:rsidP="002061C5">
      <w:pPr>
        <w:pStyle w:val="FootnoteText"/>
        <w:bidi w:val="0"/>
        <w:jc w:val="both"/>
        <w:rPr>
          <w:rFonts w:asciiTheme="majorBidi" w:hAnsiTheme="majorBidi" w:cstheme="majorBidi"/>
          <w:sz w:val="22"/>
          <w:szCs w:val="22"/>
          <w:rtl/>
        </w:rPr>
      </w:pPr>
      <w:r w:rsidRPr="0053374E">
        <w:rPr>
          <w:rStyle w:val="FootnoteReference"/>
          <w:sz w:val="22"/>
          <w:szCs w:val="22"/>
        </w:rPr>
        <w:footnoteRef/>
      </w:r>
      <w:r w:rsidRPr="0053374E">
        <w:rPr>
          <w:sz w:val="22"/>
          <w:szCs w:val="22"/>
          <w:rtl/>
        </w:rPr>
        <w:t xml:space="preserve"> </w:t>
      </w:r>
      <w:r w:rsidRPr="00362D71">
        <w:rPr>
          <w:rFonts w:asciiTheme="majorBidi" w:hAnsiTheme="majorBidi" w:cstheme="majorBidi"/>
          <w:sz w:val="22"/>
          <w:szCs w:val="22"/>
        </w:rPr>
        <w:t xml:space="preserve">Elizabeth S. Scott &amp; Robert E. Scott, </w:t>
      </w:r>
      <w:r w:rsidRPr="00362D71">
        <w:rPr>
          <w:rFonts w:asciiTheme="majorBidi" w:hAnsiTheme="majorBidi" w:cstheme="majorBidi"/>
          <w:i/>
          <w:iCs/>
          <w:sz w:val="22"/>
          <w:szCs w:val="22"/>
        </w:rPr>
        <w:t>Parents as Fiduciaries</w:t>
      </w:r>
      <w:r w:rsidRPr="00362D71">
        <w:rPr>
          <w:rFonts w:asciiTheme="majorBidi" w:hAnsiTheme="majorBidi" w:cstheme="majorBidi"/>
          <w:sz w:val="22"/>
          <w:szCs w:val="22"/>
        </w:rPr>
        <w:t xml:space="preserve">, 81 Va. L. Rev. 2401 (1995); </w:t>
      </w:r>
      <w:r w:rsidRPr="00362D71">
        <w:rPr>
          <w:rFonts w:asciiTheme="majorBidi" w:hAnsiTheme="majorBidi" w:cstheme="majorBidi"/>
          <w:color w:val="000000" w:themeColor="text1"/>
          <w:sz w:val="22"/>
          <w:szCs w:val="22"/>
          <w:shd w:val="clear" w:color="auto" w:fill="FFFFFF"/>
        </w:rPr>
        <w:t xml:space="preserve">Scott, Elizabeth S. and Chen, Ben, </w:t>
      </w:r>
      <w:r w:rsidRPr="00362D71">
        <w:rPr>
          <w:rFonts w:asciiTheme="majorBidi" w:hAnsiTheme="majorBidi" w:cstheme="majorBidi"/>
          <w:i/>
          <w:iCs/>
          <w:color w:val="000000" w:themeColor="text1"/>
          <w:sz w:val="22"/>
          <w:szCs w:val="22"/>
          <w:shd w:val="clear" w:color="auto" w:fill="FFFFFF"/>
        </w:rPr>
        <w:t>Fiduciary Principles in Family Law</w:t>
      </w:r>
      <w:r w:rsidRPr="00362D71">
        <w:rPr>
          <w:rFonts w:asciiTheme="majorBidi" w:hAnsiTheme="majorBidi" w:cstheme="majorBidi"/>
          <w:color w:val="000000" w:themeColor="text1"/>
          <w:sz w:val="22"/>
          <w:szCs w:val="22"/>
          <w:shd w:val="clear" w:color="auto" w:fill="FFFFFF"/>
        </w:rPr>
        <w:t xml:space="preserve"> (February 2, 2018). Oxford Handbook of Fiduciary Law (Evan Criddle, Paul Miller and Robert Sitkoff, editors), Oxford University Press, Forthcoming; </w:t>
      </w:r>
      <w:r w:rsidRPr="00362D71">
        <w:rPr>
          <w:rFonts w:asciiTheme="majorBidi" w:hAnsiTheme="majorBidi" w:cstheme="majorBidi"/>
          <w:color w:val="000000"/>
          <w:sz w:val="22"/>
          <w:szCs w:val="22"/>
        </w:rPr>
        <w:t xml:space="preserve">Dagan, Elizabeth S Scott. Reinterpreting the Status–Contract Divide The Case of Fiduciaries. In Paul B. Miller and Andrew S. Gold,  </w:t>
      </w:r>
      <w:hyperlink r:id="rId16" w:history="1">
        <w:r w:rsidRPr="00362D71">
          <w:rPr>
            <w:rFonts w:asciiTheme="majorBidi" w:hAnsiTheme="majorBidi" w:cstheme="majorBidi"/>
            <w:color w:val="000000"/>
            <w:sz w:val="22"/>
            <w:szCs w:val="22"/>
          </w:rPr>
          <w:t>Contract, Status, and Fiduciary Law</w:t>
        </w:r>
      </w:hyperlink>
      <w:r w:rsidR="00362D71">
        <w:rPr>
          <w:rFonts w:asciiTheme="majorBidi" w:hAnsiTheme="majorBidi" w:cstheme="majorBidi"/>
          <w:sz w:val="22"/>
          <w:szCs w:val="22"/>
        </w:rPr>
        <w:t>.</w:t>
      </w:r>
    </w:p>
  </w:footnote>
  <w:footnote w:id="74">
    <w:p w14:paraId="0A898183" w14:textId="554C7ED1" w:rsidR="00354596" w:rsidRPr="0053374E" w:rsidRDefault="00354596" w:rsidP="00126027">
      <w:pPr>
        <w:pStyle w:val="FootnoteText"/>
        <w:bidi w:val="0"/>
        <w:rPr>
          <w:rFonts w:ascii="David" w:hAnsi="David" w:cs="David"/>
          <w:sz w:val="22"/>
          <w:szCs w:val="22"/>
        </w:rPr>
      </w:pPr>
      <w:r w:rsidRPr="0053374E">
        <w:rPr>
          <w:rStyle w:val="FootnoteReference"/>
          <w:rFonts w:ascii="David" w:hAnsi="David" w:cs="David"/>
          <w:sz w:val="22"/>
          <w:szCs w:val="22"/>
        </w:rPr>
        <w:footnoteRef/>
      </w:r>
      <w:r w:rsidRPr="0053374E">
        <w:rPr>
          <w:rFonts w:ascii="ArnoPro" w:cs="ArnoPro"/>
          <w:sz w:val="22"/>
          <w:szCs w:val="22"/>
        </w:rPr>
        <w:t xml:space="preserve"> </w:t>
      </w:r>
      <w:r w:rsidRPr="0053374E">
        <w:rPr>
          <w:rFonts w:asciiTheme="majorBidi" w:hAnsiTheme="majorBidi" w:cstheme="majorBidi"/>
          <w:sz w:val="22"/>
          <w:szCs w:val="22"/>
        </w:rPr>
        <w:t xml:space="preserve">Ethan J. Leib, </w:t>
      </w:r>
      <w:r w:rsidRPr="0053374E">
        <w:rPr>
          <w:rFonts w:asciiTheme="majorBidi" w:hAnsiTheme="majorBidi" w:cstheme="majorBidi"/>
          <w:i/>
          <w:iCs/>
          <w:sz w:val="22"/>
          <w:szCs w:val="22"/>
        </w:rPr>
        <w:t>Friends as Fiduciaries</w:t>
      </w:r>
      <w:r w:rsidRPr="0053374E">
        <w:rPr>
          <w:rFonts w:asciiTheme="majorBidi" w:hAnsiTheme="majorBidi" w:cstheme="majorBidi"/>
          <w:sz w:val="22"/>
          <w:szCs w:val="22"/>
        </w:rPr>
        <w:t>, 86 Wash. U. L. Rev. 665, 672 (2009).</w:t>
      </w:r>
      <w:r w:rsidRPr="0053374E">
        <w:rPr>
          <w:rFonts w:ascii="David" w:hAnsi="David" w:cs="David"/>
          <w:sz w:val="22"/>
          <w:szCs w:val="22"/>
          <w:rtl/>
        </w:rPr>
        <w:t xml:space="preserve"> </w:t>
      </w:r>
    </w:p>
  </w:footnote>
  <w:footnote w:id="75">
    <w:p w14:paraId="5371A5C0" w14:textId="3C5ED0B5" w:rsidR="00354596" w:rsidRPr="0053374E" w:rsidRDefault="00354596" w:rsidP="00362D71">
      <w:pPr>
        <w:pStyle w:val="FootnoteText"/>
        <w:bidi w:val="0"/>
        <w:rPr>
          <w:rFonts w:hint="cs"/>
          <w:sz w:val="22"/>
          <w:szCs w:val="22"/>
          <w:rtl/>
        </w:rPr>
      </w:pPr>
      <w:r w:rsidRPr="0053374E">
        <w:rPr>
          <w:rStyle w:val="FootnoteReference"/>
          <w:sz w:val="22"/>
          <w:szCs w:val="22"/>
        </w:rPr>
        <w:footnoteRef/>
      </w:r>
      <w:r w:rsidRPr="0053374E">
        <w:rPr>
          <w:sz w:val="22"/>
          <w:szCs w:val="22"/>
          <w:rtl/>
        </w:rPr>
        <w:t xml:space="preserve"> </w:t>
      </w:r>
      <w:r w:rsidRPr="0053374E">
        <w:rPr>
          <w:rFonts w:asciiTheme="majorBidi" w:hAnsiTheme="majorBidi" w:cstheme="majorBidi"/>
          <w:sz w:val="22"/>
          <w:szCs w:val="22"/>
        </w:rPr>
        <w:t xml:space="preserve">Hanoch Dagan, </w:t>
      </w:r>
      <w:r w:rsidRPr="0053374E">
        <w:rPr>
          <w:rFonts w:asciiTheme="majorBidi" w:hAnsiTheme="majorBidi" w:cstheme="majorBidi"/>
          <w:i/>
          <w:iCs/>
          <w:sz w:val="22"/>
          <w:szCs w:val="22"/>
        </w:rPr>
        <w:t>Fiduciary Law and Pluralism, in</w:t>
      </w:r>
      <w:r w:rsidRPr="0053374E">
        <w:rPr>
          <w:rFonts w:asciiTheme="majorBidi" w:hAnsiTheme="majorBidi" w:cstheme="majorBidi"/>
          <w:sz w:val="22"/>
          <w:szCs w:val="22"/>
        </w:rPr>
        <w:t xml:space="preserve"> </w:t>
      </w:r>
      <w:r w:rsidRPr="0053374E">
        <w:rPr>
          <w:rFonts w:asciiTheme="majorBidi" w:hAnsiTheme="majorBidi" w:cstheme="majorBidi"/>
          <w:smallCaps/>
          <w:sz w:val="22"/>
          <w:szCs w:val="22"/>
        </w:rPr>
        <w:t>Oxford Handbook of Fiduciary Law</w:t>
      </w:r>
      <w:r w:rsidRPr="0053374E">
        <w:rPr>
          <w:rFonts w:asciiTheme="majorBidi" w:hAnsiTheme="majorBidi" w:cstheme="majorBidi"/>
          <w:sz w:val="22"/>
          <w:szCs w:val="22"/>
        </w:rPr>
        <w:t xml:space="preserve"> (Evan J. Criddle, Paul B. Miller &amp; Robert H. Sitkoff eds., forthcoming 2019)</w:t>
      </w:r>
    </w:p>
  </w:footnote>
  <w:footnote w:id="76">
    <w:p w14:paraId="212CDCA8" w14:textId="580D5DF5" w:rsidR="00354596" w:rsidRPr="0053374E" w:rsidRDefault="00354596" w:rsidP="00B37DCD">
      <w:pPr>
        <w:pStyle w:val="FootnoteText"/>
        <w:jc w:val="both"/>
        <w:rPr>
          <w:rFonts w:ascii="David" w:hAnsi="David" w:cs="David" w:hint="cs"/>
          <w:sz w:val="22"/>
          <w:szCs w:val="22"/>
          <w:rtl/>
        </w:rPr>
      </w:pPr>
      <w:r w:rsidRPr="0053374E">
        <w:rPr>
          <w:rStyle w:val="FootnoteReference"/>
          <w:sz w:val="22"/>
          <w:szCs w:val="22"/>
        </w:rPr>
        <w:footnoteRef/>
      </w:r>
      <w:r w:rsidRPr="0053374E">
        <w:rPr>
          <w:sz w:val="22"/>
          <w:szCs w:val="22"/>
          <w:rtl/>
        </w:rPr>
        <w:t xml:space="preserve"> </w:t>
      </w:r>
      <w:r w:rsidRPr="0053374E">
        <w:rPr>
          <w:rFonts w:ascii="David" w:hAnsi="David" w:cs="David"/>
          <w:sz w:val="22"/>
          <w:szCs w:val="22"/>
          <w:rtl/>
        </w:rPr>
        <w:t>אבחנה מרכזית אחת קיימת בין המהלך המובא אצלה למהלך המוצע כאן – במאמרה המכונן</w:t>
      </w:r>
      <w:r w:rsidRPr="0053374E">
        <w:rPr>
          <w:rFonts w:ascii="David" w:hAnsi="David" w:cs="David" w:hint="cs"/>
          <w:sz w:val="22"/>
          <w:szCs w:val="22"/>
          <w:rtl/>
        </w:rPr>
        <w:t xml:space="preserve"> עם רוברט סקוט</w:t>
      </w:r>
      <w:r w:rsidR="00BA1C00">
        <w:rPr>
          <w:rFonts w:ascii="David" w:hAnsi="David" w:cs="David" w:hint="cs"/>
          <w:sz w:val="22"/>
          <w:szCs w:val="22"/>
          <w:rtl/>
        </w:rPr>
        <w:t>:</w:t>
      </w:r>
    </w:p>
    <w:p w14:paraId="78665B60" w14:textId="2DE3F345" w:rsidR="00354596" w:rsidRPr="0053374E" w:rsidRDefault="00354596" w:rsidP="00B37DCD">
      <w:pPr>
        <w:pStyle w:val="FootnoteText"/>
        <w:jc w:val="both"/>
        <w:rPr>
          <w:rFonts w:ascii="David" w:hAnsi="David" w:cs="David" w:hint="cs"/>
          <w:sz w:val="22"/>
          <w:szCs w:val="22"/>
          <w:rtl/>
        </w:rPr>
      </w:pPr>
      <w:r w:rsidRPr="0053374E">
        <w:rPr>
          <w:rFonts w:ascii="David" w:hAnsi="David" w:cs="David"/>
          <w:sz w:val="22"/>
          <w:szCs w:val="22"/>
          <w:rtl/>
        </w:rPr>
        <w:t xml:space="preserve"> </w:t>
      </w:r>
      <w:r w:rsidRPr="0053374E">
        <w:rPr>
          <w:rFonts w:ascii="David" w:hAnsi="David" w:cs="David"/>
          <w:sz w:val="22"/>
          <w:szCs w:val="22"/>
        </w:rPr>
        <w:t xml:space="preserve">Elizabeth S. Scott &amp; Robert E. Scott, </w:t>
      </w:r>
      <w:r w:rsidRPr="0053374E">
        <w:rPr>
          <w:rFonts w:ascii="David" w:hAnsi="David" w:cs="David"/>
          <w:i/>
          <w:iCs/>
          <w:sz w:val="22"/>
          <w:szCs w:val="22"/>
        </w:rPr>
        <w:t>Parents as Fiduciaries</w:t>
      </w:r>
      <w:r w:rsidRPr="0053374E">
        <w:rPr>
          <w:rFonts w:ascii="David" w:hAnsi="David" w:cs="David"/>
          <w:sz w:val="22"/>
          <w:szCs w:val="22"/>
        </w:rPr>
        <w:t>, 81 Va. L. Rev. 2401 (1995)</w:t>
      </w:r>
      <w:r w:rsidR="00BA1C00">
        <w:rPr>
          <w:rFonts w:ascii="David" w:hAnsi="David" w:cs="David" w:hint="cs"/>
          <w:sz w:val="22"/>
          <w:szCs w:val="22"/>
          <w:rtl/>
        </w:rPr>
        <w:t>,</w:t>
      </w:r>
    </w:p>
    <w:p w14:paraId="7025C26D" w14:textId="5A83DEA5" w:rsidR="00354596" w:rsidRPr="0053374E" w:rsidRDefault="00354596" w:rsidP="00B37DCD">
      <w:pPr>
        <w:pStyle w:val="FootnoteText"/>
        <w:jc w:val="both"/>
        <w:rPr>
          <w:rFonts w:hint="cs"/>
          <w:sz w:val="22"/>
          <w:szCs w:val="22"/>
          <w:rtl/>
        </w:rPr>
      </w:pPr>
      <w:r w:rsidRPr="0053374E">
        <w:rPr>
          <w:rFonts w:ascii="David" w:hAnsi="David" w:cs="David"/>
          <w:sz w:val="22"/>
          <w:szCs w:val="22"/>
          <w:rtl/>
        </w:rPr>
        <w:t xml:space="preserve">מבססת סקוט את הטענה כי הדין הקיים כפי שמעוצב כבר עתה </w:t>
      </w:r>
      <w:r w:rsidRPr="0053374E">
        <w:rPr>
          <w:rFonts w:ascii="David" w:hAnsi="David" w:cs="David"/>
          <w:i/>
          <w:iCs/>
          <w:sz w:val="22"/>
          <w:szCs w:val="22"/>
          <w:rtl/>
        </w:rPr>
        <w:t>משקף</w:t>
      </w:r>
      <w:r w:rsidRPr="0053374E">
        <w:rPr>
          <w:rFonts w:ascii="David" w:hAnsi="David" w:cs="David"/>
          <w:sz w:val="22"/>
          <w:szCs w:val="22"/>
          <w:rtl/>
        </w:rPr>
        <w:t xml:space="preserve"> אמונאות ביחסי הורים וילדים. במילים אחרות גישתה של סקוט היא ניתוחית-דסרקפטיבית בעוד הגישה </w:t>
      </w:r>
      <w:r w:rsidR="00BA1C00">
        <w:rPr>
          <w:rFonts w:ascii="David" w:hAnsi="David" w:cs="David"/>
          <w:sz w:val="22"/>
          <w:szCs w:val="22"/>
          <w:rtl/>
        </w:rPr>
        <w:t xml:space="preserve">המובאת כאן אינה כזאת. יחסי </w:t>
      </w:r>
      <w:r w:rsidRPr="0053374E">
        <w:rPr>
          <w:rFonts w:ascii="David" w:hAnsi="David" w:cs="David"/>
          <w:sz w:val="22"/>
          <w:szCs w:val="22"/>
          <w:rtl/>
        </w:rPr>
        <w:t>הורה חורג</w:t>
      </w:r>
      <w:r w:rsidR="00BA1C00">
        <w:rPr>
          <w:rFonts w:ascii="David" w:hAnsi="David" w:cs="David" w:hint="cs"/>
          <w:sz w:val="22"/>
          <w:szCs w:val="22"/>
          <w:rtl/>
        </w:rPr>
        <w:t>-הורה לא משמורן</w:t>
      </w:r>
      <w:r w:rsidRPr="0053374E">
        <w:rPr>
          <w:rFonts w:ascii="David" w:hAnsi="David" w:cs="David"/>
          <w:sz w:val="22"/>
          <w:szCs w:val="22"/>
          <w:rtl/>
        </w:rPr>
        <w:t>, אינ</w:t>
      </w:r>
      <w:r w:rsidRPr="0053374E">
        <w:rPr>
          <w:rFonts w:ascii="David" w:hAnsi="David" w:cs="David" w:hint="cs"/>
          <w:sz w:val="22"/>
          <w:szCs w:val="22"/>
          <w:rtl/>
        </w:rPr>
        <w:t>ם</w:t>
      </w:r>
      <w:r w:rsidRPr="0053374E">
        <w:rPr>
          <w:rFonts w:ascii="David" w:hAnsi="David" w:cs="David"/>
          <w:sz w:val="22"/>
          <w:szCs w:val="22"/>
          <w:rtl/>
        </w:rPr>
        <w:t xml:space="preserve"> מוסדר</w:t>
      </w:r>
      <w:r w:rsidRPr="0053374E">
        <w:rPr>
          <w:rFonts w:ascii="David" w:hAnsi="David" w:cs="David" w:hint="cs"/>
          <w:sz w:val="22"/>
          <w:szCs w:val="22"/>
          <w:rtl/>
        </w:rPr>
        <w:t>ים</w:t>
      </w:r>
      <w:r w:rsidRPr="0053374E">
        <w:rPr>
          <w:rFonts w:ascii="David" w:hAnsi="David" w:cs="David"/>
          <w:sz w:val="22"/>
          <w:szCs w:val="22"/>
          <w:rtl/>
        </w:rPr>
        <w:t xml:space="preserve"> משפטית, והפניה לאמונאות במובן זה הינה לצורך יצירה וגיבוש של הדין. קרי, מדובר במהלך נורמטיבי מטיבו.</w:t>
      </w:r>
      <w:r w:rsidRPr="0053374E">
        <w:rPr>
          <w:rFonts w:hint="cs"/>
          <w:sz w:val="22"/>
          <w:szCs w:val="22"/>
          <w:rtl/>
        </w:rPr>
        <w:t xml:space="preserve"> </w:t>
      </w:r>
    </w:p>
  </w:footnote>
  <w:footnote w:id="77">
    <w:p w14:paraId="1A2E851F" w14:textId="7E183185" w:rsidR="00354596" w:rsidRPr="0053374E" w:rsidRDefault="00354596" w:rsidP="00BA1C00">
      <w:pPr>
        <w:pStyle w:val="FootnoteText"/>
        <w:bidi w:val="0"/>
        <w:rPr>
          <w:rFonts w:ascii="David" w:hAnsi="David" w:cs="David"/>
          <w:sz w:val="22"/>
          <w:szCs w:val="22"/>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David" w:hAnsi="David" w:cs="David"/>
          <w:sz w:val="22"/>
          <w:szCs w:val="22"/>
        </w:rPr>
        <w:t xml:space="preserve">Elizabeth S. Scott &amp; Robert E. Scott, </w:t>
      </w:r>
      <w:r w:rsidRPr="0053374E">
        <w:rPr>
          <w:rFonts w:ascii="David" w:hAnsi="David" w:cs="David"/>
          <w:i/>
          <w:iCs/>
          <w:sz w:val="22"/>
          <w:szCs w:val="22"/>
        </w:rPr>
        <w:t>Parents as Fiduciaries</w:t>
      </w:r>
      <w:r w:rsidRPr="0053374E">
        <w:rPr>
          <w:rFonts w:ascii="David" w:hAnsi="David" w:cs="David"/>
          <w:sz w:val="22"/>
          <w:szCs w:val="22"/>
        </w:rPr>
        <w:t>, 81 Va. L. Rev. 2401 (1995).</w:t>
      </w:r>
    </w:p>
  </w:footnote>
  <w:footnote w:id="78">
    <w:p w14:paraId="45438300" w14:textId="4E79E84F" w:rsidR="00354596" w:rsidRPr="0053374E" w:rsidRDefault="00354596" w:rsidP="00BA1C00">
      <w:pPr>
        <w:pStyle w:val="FootnoteText"/>
        <w:bidi w:val="0"/>
        <w:rPr>
          <w:rFonts w:ascii="David" w:hAnsi="David" w:cs="David"/>
          <w:sz w:val="22"/>
          <w:szCs w:val="22"/>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Theme="majorBidi" w:hAnsiTheme="majorBidi" w:cstheme="majorBidi"/>
          <w:color w:val="000000" w:themeColor="text1"/>
          <w:sz w:val="22"/>
          <w:szCs w:val="22"/>
          <w:shd w:val="clear" w:color="auto" w:fill="FFFFFF"/>
        </w:rPr>
        <w:t xml:space="preserve">Scott, Elizabeth S. and Chen, Ben, </w:t>
      </w:r>
      <w:r w:rsidRPr="0053374E">
        <w:rPr>
          <w:rFonts w:asciiTheme="majorBidi" w:hAnsiTheme="majorBidi" w:cstheme="majorBidi"/>
          <w:i/>
          <w:iCs/>
          <w:color w:val="000000" w:themeColor="text1"/>
          <w:sz w:val="22"/>
          <w:szCs w:val="22"/>
          <w:shd w:val="clear" w:color="auto" w:fill="FFFFFF"/>
        </w:rPr>
        <w:t>Fiduciary Principles in Family Law</w:t>
      </w:r>
      <w:r w:rsidRPr="0053374E">
        <w:rPr>
          <w:rFonts w:asciiTheme="majorBidi" w:hAnsiTheme="majorBidi" w:cstheme="majorBidi"/>
          <w:color w:val="000000" w:themeColor="text1"/>
          <w:sz w:val="22"/>
          <w:szCs w:val="22"/>
          <w:shd w:val="clear" w:color="auto" w:fill="FFFFFF"/>
        </w:rPr>
        <w:t xml:space="preserve"> (February 2, 2018). Oxford Handbook of Fiduciary Law (Evan Criddle, Paul Miller and Robert Sitkoff, editors), Oxford University Press, Forthcoming;</w:t>
      </w:r>
    </w:p>
  </w:footnote>
  <w:footnote w:id="79">
    <w:p w14:paraId="523C1E59" w14:textId="4428BED5" w:rsidR="00354596" w:rsidRPr="0053374E" w:rsidRDefault="00354596">
      <w:pPr>
        <w:pStyle w:val="FootnoteText"/>
        <w:rPr>
          <w:rFonts w:hint="cs"/>
          <w:sz w:val="22"/>
          <w:szCs w:val="22"/>
          <w:rtl/>
        </w:rPr>
      </w:pPr>
      <w:r w:rsidRPr="0053374E">
        <w:rPr>
          <w:rStyle w:val="FootnoteReference"/>
          <w:sz w:val="22"/>
          <w:szCs w:val="22"/>
        </w:rPr>
        <w:footnoteRef/>
      </w:r>
      <w:r w:rsidRPr="0053374E">
        <w:rPr>
          <w:sz w:val="22"/>
          <w:szCs w:val="22"/>
          <w:rtl/>
        </w:rPr>
        <w:t xml:space="preserve"> </w:t>
      </w:r>
      <w:r w:rsidRPr="00BA1C00">
        <w:rPr>
          <w:rFonts w:ascii="David" w:hAnsi="David" w:cs="David"/>
          <w:sz w:val="22"/>
          <w:szCs w:val="22"/>
          <w:rtl/>
        </w:rPr>
        <w:t>לעיל ליד הערת שוליים</w:t>
      </w:r>
      <w:r w:rsidRPr="0053374E">
        <w:rPr>
          <w:rFonts w:hint="cs"/>
          <w:sz w:val="22"/>
          <w:szCs w:val="22"/>
          <w:rtl/>
        </w:rPr>
        <w:t xml:space="preserve"> </w:t>
      </w:r>
    </w:p>
  </w:footnote>
  <w:footnote w:id="80">
    <w:p w14:paraId="40017C11" w14:textId="7A16D258" w:rsidR="00354596" w:rsidRPr="0053374E" w:rsidRDefault="00354596" w:rsidP="00BA1C00">
      <w:pPr>
        <w:pStyle w:val="FootnoteText"/>
        <w:bidi w:val="0"/>
        <w:jc w:val="both"/>
        <w:rPr>
          <w:rFonts w:asciiTheme="majorBidi" w:hAnsiTheme="majorBidi" w:cstheme="majorBidi"/>
          <w:sz w:val="22"/>
          <w:szCs w:val="22"/>
        </w:rPr>
      </w:pPr>
      <w:r w:rsidRPr="0053374E">
        <w:rPr>
          <w:rStyle w:val="FootnoteReference"/>
          <w:sz w:val="22"/>
          <w:szCs w:val="22"/>
        </w:rPr>
        <w:footnoteRef/>
      </w:r>
      <w:r w:rsidRPr="0053374E">
        <w:rPr>
          <w:rFonts w:hint="cs"/>
          <w:sz w:val="22"/>
          <w:szCs w:val="22"/>
          <w:rtl/>
        </w:rPr>
        <w:t xml:space="preserve"> </w:t>
      </w:r>
      <w:r w:rsidRPr="0053374E">
        <w:rPr>
          <w:rFonts w:ascii="Times New Roman" w:eastAsia="Times New Roman" w:hAnsi="Times New Roman" w:cs="Times New Roman"/>
          <w:sz w:val="22"/>
          <w:szCs w:val="22"/>
        </w:rPr>
        <w:t xml:space="preserve"> </w:t>
      </w:r>
      <w:r w:rsidRPr="0053374E">
        <w:rPr>
          <w:rFonts w:asciiTheme="majorBidi" w:eastAsia="Times New Roman" w:hAnsiTheme="majorBidi" w:cstheme="majorBidi"/>
          <w:sz w:val="22"/>
          <w:szCs w:val="22"/>
        </w:rPr>
        <w:t xml:space="preserve">Scott Elizabeth S. &amp; Scott Robert E.,  </w:t>
      </w:r>
      <w:hyperlink r:id="rId17" w:history="1">
        <w:r w:rsidRPr="0053374E">
          <w:rPr>
            <w:rFonts w:asciiTheme="majorBidi" w:eastAsia="Times New Roman" w:hAnsiTheme="majorBidi" w:cstheme="majorBidi"/>
            <w:i/>
            <w:iCs/>
            <w:sz w:val="22"/>
            <w:szCs w:val="22"/>
          </w:rPr>
          <w:t>Parents as fiduciaries</w:t>
        </w:r>
        <w:r w:rsidRPr="0053374E">
          <w:rPr>
            <w:rFonts w:asciiTheme="majorBidi" w:eastAsia="Times New Roman" w:hAnsiTheme="majorBidi" w:cstheme="majorBidi"/>
            <w:sz w:val="22"/>
            <w:szCs w:val="22"/>
          </w:rPr>
          <w:t>.</w:t>
        </w:r>
      </w:hyperlink>
      <w:r w:rsidRPr="0053374E">
        <w:rPr>
          <w:rFonts w:asciiTheme="majorBidi" w:eastAsia="Times New Roman" w:hAnsiTheme="majorBidi" w:cstheme="majorBidi"/>
          <w:sz w:val="22"/>
          <w:szCs w:val="22"/>
        </w:rPr>
        <w:t xml:space="preserve"> 81Virginia L. Rev. </w:t>
      </w:r>
      <w:r w:rsidRPr="0053374E">
        <w:rPr>
          <w:rFonts w:asciiTheme="majorBidi" w:hAnsiTheme="majorBidi" w:cstheme="majorBidi"/>
          <w:sz w:val="22"/>
          <w:szCs w:val="22"/>
        </w:rPr>
        <w:t>24</w:t>
      </w:r>
      <w:r w:rsidRPr="0053374E">
        <w:rPr>
          <w:rFonts w:asciiTheme="majorBidi" w:hAnsiTheme="majorBidi" w:cstheme="majorBidi" w:hint="cs"/>
          <w:sz w:val="22"/>
          <w:szCs w:val="22"/>
          <w:rtl/>
        </w:rPr>
        <w:t>01</w:t>
      </w:r>
      <w:r w:rsidRPr="0053374E">
        <w:rPr>
          <w:rFonts w:asciiTheme="majorBidi" w:hAnsiTheme="majorBidi" w:cstheme="majorBidi"/>
          <w:sz w:val="22"/>
          <w:szCs w:val="22"/>
        </w:rPr>
        <w:t>, 2443-2446 (1995).</w:t>
      </w:r>
    </w:p>
  </w:footnote>
  <w:footnote w:id="81">
    <w:p w14:paraId="140172EB" w14:textId="022BE076" w:rsidR="00354596" w:rsidRPr="0053374E" w:rsidRDefault="00354596" w:rsidP="00BA1C00">
      <w:pPr>
        <w:pStyle w:val="FootnoteText"/>
        <w:bidi w:val="0"/>
        <w:jc w:val="both"/>
        <w:rPr>
          <w:rFonts w:ascii="David" w:hAnsi="David" w:cs="David"/>
          <w:sz w:val="22"/>
          <w:szCs w:val="22"/>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David" w:hAnsi="David" w:cs="David"/>
          <w:sz w:val="22"/>
          <w:szCs w:val="22"/>
        </w:rPr>
        <w:t xml:space="preserve">  Elizabeth S. Scott and Ben Chen, Fiduciary Principle in Family Law.  p1</w:t>
      </w:r>
    </w:p>
  </w:footnote>
  <w:footnote w:id="82">
    <w:p w14:paraId="16A25393" w14:textId="48028B2B" w:rsidR="00354596" w:rsidRPr="0053374E" w:rsidRDefault="00354596" w:rsidP="00B47E79">
      <w:pPr>
        <w:pStyle w:val="FootnoteText"/>
        <w:bidi w:val="0"/>
        <w:rPr>
          <w:rFonts w:ascii="David" w:hAnsi="David" w:cs="David"/>
          <w:sz w:val="22"/>
          <w:szCs w:val="22"/>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David" w:hAnsi="David" w:cs="David" w:hint="cs"/>
          <w:sz w:val="22"/>
          <w:szCs w:val="22"/>
          <w:rtl/>
        </w:rPr>
        <w:t xml:space="preserve"> </w:t>
      </w:r>
      <w:r w:rsidRPr="0053374E">
        <w:rPr>
          <w:rFonts w:ascii="David" w:hAnsi="David" w:cs="David"/>
          <w:i/>
          <w:iCs/>
          <w:sz w:val="22"/>
          <w:szCs w:val="22"/>
        </w:rPr>
        <w:t>Id</w:t>
      </w:r>
      <w:r w:rsidRPr="0053374E">
        <w:rPr>
          <w:rFonts w:ascii="David" w:hAnsi="David" w:cs="David"/>
          <w:sz w:val="22"/>
          <w:szCs w:val="22"/>
        </w:rPr>
        <w:t>. at 4.</w:t>
      </w:r>
      <w:r w:rsidRPr="0053374E">
        <w:rPr>
          <w:rFonts w:ascii="David" w:hAnsi="David" w:cs="David" w:hint="cs"/>
          <w:sz w:val="22"/>
          <w:szCs w:val="22"/>
          <w:rtl/>
        </w:rPr>
        <w:t xml:space="preserve"> </w:t>
      </w:r>
    </w:p>
  </w:footnote>
  <w:footnote w:id="83">
    <w:p w14:paraId="2C27581D" w14:textId="66D0C9B4" w:rsidR="00354596" w:rsidRPr="0053374E" w:rsidRDefault="00354596" w:rsidP="00FB1E3E">
      <w:pPr>
        <w:bidi w:val="0"/>
        <w:spacing w:after="0" w:line="240" w:lineRule="auto"/>
        <w:rPr>
          <w:rFonts w:ascii="David" w:hAnsi="David" w:cs="David"/>
        </w:rPr>
      </w:pPr>
      <w:r w:rsidRPr="0053374E">
        <w:rPr>
          <w:rStyle w:val="FootnoteReference"/>
          <w:rFonts w:ascii="David" w:hAnsi="David" w:cs="David"/>
        </w:rPr>
        <w:footnoteRef/>
      </w:r>
      <w:r w:rsidRPr="0053374E">
        <w:rPr>
          <w:rFonts w:ascii="David" w:hAnsi="David" w:cs="David"/>
          <w:rtl/>
        </w:rPr>
        <w:t xml:space="preserve"> </w:t>
      </w:r>
      <w:r w:rsidRPr="0053374E">
        <w:rPr>
          <w:rFonts w:ascii="David" w:hAnsi="David" w:cs="David" w:hint="cs"/>
          <w:rtl/>
        </w:rPr>
        <w:t xml:space="preserve"> </w:t>
      </w:r>
      <w:r w:rsidRPr="0053374E">
        <w:rPr>
          <w:rFonts w:ascii="David" w:hAnsi="David" w:cs="David"/>
        </w:rPr>
        <w:t xml:space="preserve"> </w:t>
      </w:r>
      <w:r w:rsidRPr="0053374E">
        <w:rPr>
          <w:rFonts w:asciiTheme="majorBidi" w:hAnsiTheme="majorBidi" w:cstheme="majorBidi"/>
        </w:rPr>
        <w:t xml:space="preserve">See, Tamar Frankel, </w:t>
      </w:r>
      <w:r w:rsidRPr="0053374E">
        <w:rPr>
          <w:rFonts w:asciiTheme="majorBidi" w:hAnsiTheme="majorBidi" w:cstheme="majorBidi"/>
          <w:i/>
          <w:iCs/>
        </w:rPr>
        <w:t>The Rise of Fiduciary Law</w:t>
      </w:r>
      <w:r w:rsidRPr="0053374E">
        <w:rPr>
          <w:rFonts w:asciiTheme="majorBidi" w:hAnsiTheme="majorBidi" w:cstheme="majorBidi"/>
        </w:rPr>
        <w:t>, 18-18 (Boston U. S</w:t>
      </w:r>
      <w:r w:rsidRPr="0053374E">
        <w:rPr>
          <w:rFonts w:asciiTheme="majorBidi" w:hAnsiTheme="majorBidi" w:cstheme="majorBidi"/>
          <w:smallCaps/>
        </w:rPr>
        <w:t>ch</w:t>
      </w:r>
      <w:r w:rsidRPr="0053374E">
        <w:rPr>
          <w:rFonts w:asciiTheme="majorBidi" w:hAnsiTheme="majorBidi" w:cstheme="majorBidi"/>
        </w:rPr>
        <w:t>. L., Public Law Research Paper 2018), https://scholarship.law.bu.edu/faculty_scholarship/345.</w:t>
      </w:r>
      <w:r w:rsidRPr="0053374E">
        <w:rPr>
          <w:rFonts w:ascii="David" w:hAnsi="David" w:cs="David"/>
        </w:rPr>
        <w:t xml:space="preserve"> </w:t>
      </w:r>
    </w:p>
  </w:footnote>
  <w:footnote w:id="84">
    <w:p w14:paraId="7C6C1863" w14:textId="0C8715DE" w:rsidR="00354596" w:rsidRPr="0053374E" w:rsidRDefault="00354596" w:rsidP="0084205A">
      <w:pPr>
        <w:pStyle w:val="FootnoteText"/>
        <w:bidi w:val="0"/>
        <w:rPr>
          <w:rFonts w:ascii="David" w:hAnsi="David" w:cs="David"/>
          <w:sz w:val="22"/>
          <w:szCs w:val="22"/>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David" w:hAnsi="David" w:cs="David"/>
          <w:sz w:val="22"/>
          <w:szCs w:val="22"/>
        </w:rPr>
        <w:t xml:space="preserve">Paul B. Miller, </w:t>
      </w:r>
      <w:r w:rsidRPr="0053374E">
        <w:rPr>
          <w:rFonts w:ascii="David" w:hAnsi="David" w:cs="David"/>
          <w:i/>
          <w:iCs/>
          <w:sz w:val="22"/>
          <w:szCs w:val="22"/>
        </w:rPr>
        <w:t>The idea of statues in fiduciary law</w:t>
      </w:r>
      <w:r w:rsidRPr="0053374E">
        <w:rPr>
          <w:rFonts w:asciiTheme="majorBidi" w:hAnsiTheme="majorBidi" w:cstheme="majorBidi"/>
          <w:i/>
          <w:iCs/>
          <w:sz w:val="22"/>
          <w:szCs w:val="22"/>
        </w:rPr>
        <w:t>, in</w:t>
      </w:r>
      <w:r w:rsidRPr="0053374E">
        <w:rPr>
          <w:rFonts w:asciiTheme="majorBidi" w:hAnsiTheme="majorBidi" w:cstheme="majorBidi"/>
          <w:sz w:val="22"/>
          <w:szCs w:val="22"/>
        </w:rPr>
        <w:t xml:space="preserve"> </w:t>
      </w:r>
      <w:r w:rsidRPr="0053374E">
        <w:rPr>
          <w:rFonts w:asciiTheme="majorBidi" w:hAnsiTheme="majorBidi" w:cstheme="majorBidi"/>
          <w:smallCaps/>
          <w:sz w:val="22"/>
          <w:szCs w:val="22"/>
        </w:rPr>
        <w:t>Contract, Status, and Fiduciary Law</w:t>
      </w:r>
      <w:r w:rsidRPr="0053374E">
        <w:rPr>
          <w:rFonts w:asciiTheme="majorBidi" w:hAnsiTheme="majorBidi" w:cstheme="majorBidi"/>
          <w:sz w:val="22"/>
          <w:szCs w:val="22"/>
        </w:rPr>
        <w:t xml:space="preserve"> 26, 42 (Paul B. Miller &amp; Andrew S. Gold, eds., 2016).</w:t>
      </w:r>
    </w:p>
  </w:footnote>
  <w:footnote w:id="85">
    <w:p w14:paraId="59F09595" w14:textId="11F94BEC" w:rsidR="00354596" w:rsidRPr="0053374E" w:rsidRDefault="00354596" w:rsidP="0084205A">
      <w:pPr>
        <w:pStyle w:val="FootnoteText"/>
        <w:bidi w:val="0"/>
        <w:rPr>
          <w:rFonts w:ascii="David" w:hAnsi="David" w:cs="David"/>
          <w:sz w:val="22"/>
          <w:szCs w:val="22"/>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David" w:hAnsi="David" w:cs="David"/>
          <w:sz w:val="22"/>
          <w:szCs w:val="22"/>
        </w:rPr>
        <w:t xml:space="preserve"> </w:t>
      </w:r>
      <w:r w:rsidRPr="0053374E">
        <w:rPr>
          <w:rFonts w:asciiTheme="majorBidi" w:hAnsiTheme="majorBidi" w:cstheme="majorBidi"/>
          <w:color w:val="000000"/>
          <w:sz w:val="22"/>
          <w:szCs w:val="22"/>
          <w:shd w:val="clear" w:color="auto" w:fill="FFFFFF"/>
        </w:rPr>
        <w:t>Ethan J. Leib, </w:t>
      </w:r>
      <w:r w:rsidRPr="0053374E">
        <w:rPr>
          <w:rStyle w:val="Emphasis"/>
          <w:rFonts w:asciiTheme="majorBidi" w:hAnsiTheme="majorBidi" w:cstheme="majorBidi"/>
          <w:color w:val="000000"/>
          <w:sz w:val="22"/>
          <w:szCs w:val="22"/>
          <w:bdr w:val="none" w:sz="0" w:space="0" w:color="auto" w:frame="1"/>
          <w:shd w:val="clear" w:color="auto" w:fill="FFFFFF"/>
        </w:rPr>
        <w:t>Friends as Fiduciaries</w:t>
      </w:r>
      <w:r w:rsidRPr="0053374E">
        <w:rPr>
          <w:rFonts w:asciiTheme="majorBidi" w:hAnsiTheme="majorBidi" w:cstheme="majorBidi"/>
          <w:color w:val="000000"/>
          <w:sz w:val="22"/>
          <w:szCs w:val="22"/>
          <w:shd w:val="clear" w:color="auto" w:fill="FFFFFF"/>
        </w:rPr>
        <w:t>, 86 </w:t>
      </w:r>
      <w:r w:rsidRPr="0053374E">
        <w:rPr>
          <w:rStyle w:val="smallcaps"/>
          <w:rFonts w:asciiTheme="majorBidi" w:hAnsiTheme="majorBidi" w:cstheme="majorBidi"/>
          <w:smallCaps/>
          <w:color w:val="000000"/>
          <w:sz w:val="22"/>
          <w:szCs w:val="22"/>
          <w:bdr w:val="none" w:sz="0" w:space="0" w:color="auto" w:frame="1"/>
          <w:shd w:val="clear" w:color="auto" w:fill="FFFFFF"/>
        </w:rPr>
        <w:t>Wash. U. L. Rev.</w:t>
      </w:r>
      <w:r w:rsidRPr="0053374E">
        <w:rPr>
          <w:rFonts w:asciiTheme="majorBidi" w:hAnsiTheme="majorBidi" w:cstheme="majorBidi"/>
          <w:color w:val="000000"/>
          <w:sz w:val="22"/>
          <w:szCs w:val="22"/>
          <w:shd w:val="clear" w:color="auto" w:fill="FFFFFF"/>
        </w:rPr>
        <w:t> 665, (2008-2009).</w:t>
      </w:r>
    </w:p>
  </w:footnote>
  <w:footnote w:id="86">
    <w:p w14:paraId="5A70C4EF" w14:textId="01617630" w:rsidR="00354596" w:rsidRPr="00084ACC" w:rsidRDefault="00354596" w:rsidP="00084ACC">
      <w:pPr>
        <w:pStyle w:val="FootnoteText"/>
        <w:jc w:val="both"/>
        <w:rPr>
          <w:rFonts w:ascii="David" w:hAnsi="David" w:cs="David"/>
          <w:sz w:val="22"/>
          <w:szCs w:val="22"/>
          <w:rtl/>
        </w:rPr>
      </w:pPr>
      <w:r w:rsidRPr="00084ACC">
        <w:rPr>
          <w:rStyle w:val="FootnoteReference"/>
          <w:rFonts w:ascii="David" w:hAnsi="David" w:cs="David"/>
          <w:sz w:val="22"/>
          <w:szCs w:val="22"/>
        </w:rPr>
        <w:footnoteRef/>
      </w:r>
      <w:r w:rsidRPr="00084ACC">
        <w:rPr>
          <w:rFonts w:ascii="David" w:hAnsi="David" w:cs="David"/>
          <w:sz w:val="22"/>
          <w:szCs w:val="22"/>
          <w:rtl/>
        </w:rPr>
        <w:t xml:space="preserve"> ראו לעיל ליד הערת שוליים...</w:t>
      </w:r>
    </w:p>
  </w:footnote>
  <w:footnote w:id="87">
    <w:p w14:paraId="7DA76CA3" w14:textId="37D33F0D" w:rsidR="00354596" w:rsidRPr="00084ACC" w:rsidRDefault="00354596" w:rsidP="00084ACC">
      <w:pPr>
        <w:pStyle w:val="FootnoteText"/>
        <w:bidi w:val="0"/>
        <w:jc w:val="both"/>
        <w:rPr>
          <w:rFonts w:ascii="David" w:hAnsi="David" w:cs="David"/>
          <w:sz w:val="22"/>
          <w:szCs w:val="22"/>
        </w:rPr>
      </w:pPr>
      <w:r w:rsidRPr="00084ACC">
        <w:rPr>
          <w:rStyle w:val="FootnoteReference"/>
          <w:rFonts w:ascii="David" w:hAnsi="David" w:cs="David"/>
          <w:sz w:val="22"/>
          <w:szCs w:val="22"/>
        </w:rPr>
        <w:footnoteRef/>
      </w:r>
      <w:r w:rsidRPr="00084ACC">
        <w:rPr>
          <w:rFonts w:ascii="David" w:hAnsi="David" w:cs="David"/>
          <w:sz w:val="22"/>
          <w:szCs w:val="22"/>
          <w:rtl/>
        </w:rPr>
        <w:t xml:space="preserve"> </w:t>
      </w:r>
      <w:r w:rsidRPr="00084ACC">
        <w:rPr>
          <w:rFonts w:ascii="David" w:hAnsi="David" w:cs="David"/>
          <w:i/>
          <w:iCs/>
          <w:sz w:val="22"/>
          <w:szCs w:val="22"/>
        </w:rPr>
        <w:t>Id</w:t>
      </w:r>
      <w:r w:rsidRPr="00084ACC">
        <w:rPr>
          <w:rFonts w:ascii="David" w:hAnsi="David" w:cs="David"/>
          <w:sz w:val="22"/>
          <w:szCs w:val="22"/>
        </w:rPr>
        <w:t xml:space="preserve">. at 687. </w:t>
      </w:r>
    </w:p>
  </w:footnote>
  <w:footnote w:id="88">
    <w:p w14:paraId="1AFF9E8E" w14:textId="77777777" w:rsidR="00354596" w:rsidRPr="00084ACC" w:rsidRDefault="00354596" w:rsidP="00084ACC">
      <w:pPr>
        <w:pStyle w:val="FootnoteText"/>
        <w:jc w:val="both"/>
        <w:rPr>
          <w:rFonts w:ascii="David" w:hAnsi="David" w:cs="David" w:hint="cs"/>
          <w:sz w:val="22"/>
          <w:szCs w:val="22"/>
          <w:rtl/>
        </w:rPr>
      </w:pPr>
      <w:r w:rsidRPr="00084ACC">
        <w:rPr>
          <w:rStyle w:val="FootnoteReference"/>
          <w:rFonts w:ascii="David" w:hAnsi="David" w:cs="David"/>
          <w:sz w:val="22"/>
          <w:szCs w:val="22"/>
        </w:rPr>
        <w:footnoteRef/>
      </w:r>
      <w:r w:rsidRPr="00084ACC">
        <w:rPr>
          <w:rFonts w:ascii="David" w:hAnsi="David" w:cs="David"/>
          <w:sz w:val="22"/>
          <w:szCs w:val="22"/>
          <w:rtl/>
        </w:rPr>
        <w:t xml:space="preserve"> לאנלוגיה מעניינת בהקשר זה בתחום דיני החברות, ראו</w:t>
      </w:r>
    </w:p>
    <w:p w14:paraId="5B727272" w14:textId="77777777" w:rsidR="00354596" w:rsidRPr="0053374E" w:rsidRDefault="00354596" w:rsidP="00084ACC">
      <w:pPr>
        <w:bidi w:val="0"/>
        <w:spacing w:after="0" w:line="240" w:lineRule="auto"/>
        <w:jc w:val="both"/>
        <w:rPr>
          <w:rFonts w:asciiTheme="majorBidi" w:hAnsiTheme="majorBidi" w:cstheme="majorBidi"/>
        </w:rPr>
      </w:pPr>
      <w:r w:rsidRPr="0053374E">
        <w:rPr>
          <w:rFonts w:asciiTheme="majorBidi" w:hAnsiTheme="majorBidi" w:cstheme="majorBidi"/>
        </w:rPr>
        <w:t xml:space="preserve">Eli Bukspan, </w:t>
      </w:r>
      <w:r w:rsidRPr="0053374E">
        <w:rPr>
          <w:rFonts w:asciiTheme="majorBidi" w:hAnsiTheme="majorBidi" w:cstheme="majorBidi"/>
          <w:i/>
          <w:iCs/>
        </w:rPr>
        <w:t>The Notion of Trust as a Comprehensive Theory of Contract and Corporate Law: A new Approach to the Conception that the Corporation is a Nexus of Contract</w:t>
      </w:r>
      <w:r w:rsidRPr="0053374E">
        <w:rPr>
          <w:rFonts w:asciiTheme="majorBidi" w:hAnsiTheme="majorBidi" w:cstheme="majorBidi"/>
        </w:rPr>
        <w:t xml:space="preserve">, 2 Hastings Bus. L.J. 229, 235-236 (2006).  </w:t>
      </w:r>
    </w:p>
  </w:footnote>
  <w:footnote w:id="89">
    <w:p w14:paraId="509D567B" w14:textId="5B869982" w:rsidR="00354596" w:rsidRPr="0053374E" w:rsidRDefault="00354596" w:rsidP="00084ACC">
      <w:pPr>
        <w:pStyle w:val="FootnoteText"/>
        <w:bidi w:val="0"/>
        <w:jc w:val="both"/>
        <w:rPr>
          <w:rFonts w:ascii="David" w:hAnsi="David" w:cs="David"/>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David" w:hAnsi="David" w:cs="David"/>
          <w:sz w:val="22"/>
          <w:szCs w:val="22"/>
        </w:rPr>
        <w:t xml:space="preserve"> </w:t>
      </w:r>
      <w:r w:rsidRPr="0053374E">
        <w:rPr>
          <w:rFonts w:asciiTheme="majorBidi" w:hAnsiTheme="majorBidi" w:cstheme="majorBidi"/>
          <w:color w:val="000000"/>
          <w:sz w:val="22"/>
          <w:szCs w:val="22"/>
          <w:shd w:val="clear" w:color="auto" w:fill="FFFFFF"/>
        </w:rPr>
        <w:t>Ethan J. Leib, </w:t>
      </w:r>
      <w:r w:rsidRPr="0053374E">
        <w:rPr>
          <w:rStyle w:val="Emphasis"/>
          <w:rFonts w:asciiTheme="majorBidi" w:hAnsiTheme="majorBidi" w:cstheme="majorBidi"/>
          <w:color w:val="000000"/>
          <w:sz w:val="22"/>
          <w:szCs w:val="22"/>
          <w:bdr w:val="none" w:sz="0" w:space="0" w:color="auto" w:frame="1"/>
          <w:shd w:val="clear" w:color="auto" w:fill="FFFFFF"/>
        </w:rPr>
        <w:t>Friends as Fiduciaries</w:t>
      </w:r>
      <w:r w:rsidRPr="0053374E">
        <w:rPr>
          <w:rFonts w:asciiTheme="majorBidi" w:hAnsiTheme="majorBidi" w:cstheme="majorBidi"/>
          <w:color w:val="000000"/>
          <w:sz w:val="22"/>
          <w:szCs w:val="22"/>
          <w:shd w:val="clear" w:color="auto" w:fill="FFFFFF"/>
        </w:rPr>
        <w:t>, 86 </w:t>
      </w:r>
      <w:r w:rsidRPr="0053374E">
        <w:rPr>
          <w:rStyle w:val="smallcaps"/>
          <w:rFonts w:asciiTheme="majorBidi" w:hAnsiTheme="majorBidi" w:cstheme="majorBidi"/>
          <w:smallCaps/>
          <w:color w:val="000000"/>
          <w:sz w:val="22"/>
          <w:szCs w:val="22"/>
          <w:bdr w:val="none" w:sz="0" w:space="0" w:color="auto" w:frame="1"/>
          <w:shd w:val="clear" w:color="auto" w:fill="FFFFFF"/>
        </w:rPr>
        <w:t>Wash. U. L. Rev.</w:t>
      </w:r>
      <w:r w:rsidRPr="0053374E">
        <w:rPr>
          <w:rFonts w:asciiTheme="majorBidi" w:hAnsiTheme="majorBidi" w:cstheme="majorBidi"/>
          <w:color w:val="000000"/>
          <w:sz w:val="22"/>
          <w:szCs w:val="22"/>
          <w:shd w:val="clear" w:color="auto" w:fill="FFFFFF"/>
        </w:rPr>
        <w:t> 665, 691 (2008-2009).</w:t>
      </w:r>
    </w:p>
  </w:footnote>
  <w:footnote w:id="90">
    <w:p w14:paraId="3F0B8912" w14:textId="55BBF4A1" w:rsidR="00354596" w:rsidRPr="0053374E" w:rsidRDefault="00354596" w:rsidP="00084ACC">
      <w:pPr>
        <w:pStyle w:val="FootnoteText"/>
        <w:bidi w:val="0"/>
        <w:jc w:val="both"/>
        <w:rPr>
          <w:rFonts w:ascii="David" w:hAnsi="David" w:cs="David"/>
          <w:sz w:val="22"/>
          <w:szCs w:val="22"/>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David" w:hAnsi="David" w:cs="David"/>
          <w:sz w:val="22"/>
          <w:szCs w:val="22"/>
        </w:rPr>
        <w:t xml:space="preserve"> </w:t>
      </w:r>
      <w:r w:rsidRPr="0053374E">
        <w:rPr>
          <w:rFonts w:ascii="David" w:hAnsi="David" w:cs="David"/>
          <w:i/>
          <w:iCs/>
          <w:sz w:val="22"/>
          <w:szCs w:val="22"/>
        </w:rPr>
        <w:t>Id</w:t>
      </w:r>
      <w:r w:rsidRPr="0053374E">
        <w:rPr>
          <w:rFonts w:ascii="David" w:hAnsi="David" w:cs="David"/>
          <w:sz w:val="22"/>
          <w:szCs w:val="22"/>
        </w:rPr>
        <w:t>. at 695.</w:t>
      </w:r>
    </w:p>
  </w:footnote>
  <w:footnote w:id="91">
    <w:p w14:paraId="38964FF5" w14:textId="422B7301" w:rsidR="00354596" w:rsidRPr="0053374E" w:rsidRDefault="00354596" w:rsidP="00084ACC">
      <w:pPr>
        <w:pStyle w:val="FootnoteText"/>
        <w:tabs>
          <w:tab w:val="left" w:pos="1056"/>
        </w:tabs>
        <w:jc w:val="both"/>
        <w:rPr>
          <w:rFonts w:ascii="David" w:hAnsi="David" w:cs="David" w:hint="cs"/>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00084ACC">
        <w:rPr>
          <w:rFonts w:ascii="David" w:hAnsi="David" w:cs="David"/>
          <w:sz w:val="22"/>
          <w:szCs w:val="22"/>
          <w:rtl/>
        </w:rPr>
        <w:tab/>
      </w:r>
    </w:p>
  </w:footnote>
  <w:footnote w:id="92">
    <w:p w14:paraId="2F46E6DE" w14:textId="77777777" w:rsidR="00354596" w:rsidRPr="0053374E" w:rsidRDefault="00354596" w:rsidP="00084ACC">
      <w:pPr>
        <w:pStyle w:val="FootnoteText"/>
        <w:bidi w:val="0"/>
        <w:jc w:val="both"/>
        <w:rPr>
          <w:rFonts w:ascii="David" w:hAnsi="David" w:cs="David" w:hint="cs"/>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David" w:hAnsi="David" w:cs="David"/>
          <w:sz w:val="22"/>
          <w:szCs w:val="22"/>
        </w:rPr>
        <w:t>Friends as fiduciaries, 683</w:t>
      </w:r>
    </w:p>
  </w:footnote>
  <w:footnote w:id="93">
    <w:p w14:paraId="79862A5D" w14:textId="2C373AF7" w:rsidR="00354596" w:rsidRPr="00084ACC" w:rsidRDefault="00354596" w:rsidP="00084ACC">
      <w:pPr>
        <w:pStyle w:val="FootnoteText"/>
        <w:jc w:val="both"/>
        <w:rPr>
          <w:rFonts w:ascii="David" w:hAnsi="David" w:cs="David"/>
          <w:sz w:val="22"/>
          <w:szCs w:val="22"/>
          <w:rtl/>
        </w:rPr>
      </w:pPr>
      <w:r w:rsidRPr="00084ACC">
        <w:rPr>
          <w:rStyle w:val="FootnoteReference"/>
          <w:rFonts w:ascii="David" w:hAnsi="David" w:cs="David"/>
          <w:sz w:val="22"/>
          <w:szCs w:val="22"/>
        </w:rPr>
        <w:footnoteRef/>
      </w:r>
      <w:r w:rsidRPr="00084ACC">
        <w:rPr>
          <w:rFonts w:ascii="David" w:hAnsi="David" w:cs="David"/>
          <w:sz w:val="22"/>
          <w:szCs w:val="22"/>
          <w:rtl/>
        </w:rPr>
        <w:t xml:space="preserve"> לפעמים הוא אפילו זה שמחבל בקשר שבין הילד להורה החורג. על מגוון המצבים האמור, ראו</w:t>
      </w:r>
    </w:p>
    <w:p w14:paraId="2B14331D" w14:textId="49AA5C27" w:rsidR="00354596" w:rsidRPr="00084ACC" w:rsidRDefault="00354596" w:rsidP="00855E6A">
      <w:pPr>
        <w:pStyle w:val="FootnoteText"/>
        <w:bidi w:val="0"/>
        <w:jc w:val="both"/>
        <w:rPr>
          <w:rFonts w:ascii="David" w:hAnsi="David" w:cs="David"/>
          <w:sz w:val="22"/>
          <w:szCs w:val="22"/>
          <w:rtl/>
        </w:rPr>
      </w:pPr>
      <w:r w:rsidRPr="00084ACC">
        <w:rPr>
          <w:rFonts w:ascii="David" w:hAnsi="David" w:cs="David"/>
          <w:smallCaps/>
          <w:color w:val="000000"/>
          <w:sz w:val="22"/>
          <w:szCs w:val="22"/>
          <w:shd w:val="clear" w:color="auto" w:fill="FFFFFF"/>
        </w:rPr>
        <w:t>Lawrence Ganong</w:t>
      </w:r>
      <w:r w:rsidRPr="00084ACC">
        <w:rPr>
          <w:rFonts w:ascii="David" w:hAnsi="David" w:cs="David"/>
          <w:color w:val="000000"/>
          <w:sz w:val="22"/>
          <w:szCs w:val="22"/>
          <w:shd w:val="clear" w:color="auto" w:fill="FFFFFF"/>
        </w:rPr>
        <w:t xml:space="preserve">, </w:t>
      </w:r>
      <w:r w:rsidRPr="00084ACC">
        <w:rPr>
          <w:rFonts w:ascii="David" w:hAnsi="David" w:cs="David"/>
          <w:smallCaps/>
          <w:color w:val="000000"/>
          <w:sz w:val="22"/>
          <w:szCs w:val="22"/>
          <w:shd w:val="clear" w:color="auto" w:fill="FFFFFF"/>
        </w:rPr>
        <w:t>Marilyn Coleman, The Dynamics of Parenting in Stepfamilies in Stepfamily Relationships</w:t>
      </w:r>
      <w:r w:rsidRPr="00084ACC">
        <w:rPr>
          <w:rFonts w:ascii="David" w:hAnsi="David" w:cs="David"/>
          <w:color w:val="000000"/>
          <w:sz w:val="22"/>
          <w:szCs w:val="22"/>
          <w:shd w:val="clear" w:color="auto" w:fill="FFFFFF"/>
        </w:rPr>
        <w:t xml:space="preserve"> 109, 128 2004).</w:t>
      </w:r>
    </w:p>
    <w:p w14:paraId="40F9A6CB" w14:textId="77777777" w:rsidR="00354596" w:rsidRPr="00084ACC" w:rsidRDefault="00354596" w:rsidP="00084ACC">
      <w:pPr>
        <w:pStyle w:val="FootnoteText"/>
        <w:jc w:val="both"/>
        <w:rPr>
          <w:rFonts w:ascii="David" w:hAnsi="David" w:cs="David" w:hint="cs"/>
          <w:sz w:val="22"/>
          <w:szCs w:val="22"/>
          <w:rtl/>
        </w:rPr>
      </w:pPr>
      <w:r w:rsidRPr="00084ACC">
        <w:rPr>
          <w:rFonts w:ascii="David" w:hAnsi="David" w:cs="David"/>
          <w:sz w:val="22"/>
          <w:szCs w:val="22"/>
          <w:rtl/>
        </w:rPr>
        <w:t xml:space="preserve">יש מחקרים שמצאו כי נטיית הילד היא לצדד דווקא בהורה הביולוגי ולהעדיפו על פני ההורה החורג, אם כי בהקשרים שונים מההקשרים בהם אנחנו עוסקים כאן – </w:t>
      </w:r>
    </w:p>
    <w:p w14:paraId="122C645E" w14:textId="71B268D0" w:rsidR="00354596" w:rsidRPr="00084ACC" w:rsidRDefault="00354596" w:rsidP="00084ACC">
      <w:pPr>
        <w:autoSpaceDE w:val="0"/>
        <w:autoSpaceDN w:val="0"/>
        <w:bidi w:val="0"/>
        <w:adjustRightInd w:val="0"/>
        <w:spacing w:after="0" w:line="240" w:lineRule="auto"/>
        <w:jc w:val="both"/>
        <w:rPr>
          <w:rFonts w:ascii="David" w:hAnsi="David" w:cs="David"/>
          <w:i/>
          <w:iCs/>
        </w:rPr>
      </w:pPr>
      <w:r w:rsidRPr="00084ACC">
        <w:rPr>
          <w:rFonts w:ascii="David" w:hAnsi="David" w:cs="David"/>
        </w:rPr>
        <w:t xml:space="preserve">Judy Dunn, Thomas G. O’Connor &amp; Helen Cheng, </w:t>
      </w:r>
      <w:r w:rsidRPr="00084ACC">
        <w:rPr>
          <w:rFonts w:ascii="David" w:hAnsi="David" w:cs="David"/>
          <w:i/>
          <w:iCs/>
        </w:rPr>
        <w:t>Children’s Responses to Conflict Between Their Different Parents: Mothers, Stepfathers, Nonresident Fathers, and Nonresident Stepmothers</w:t>
      </w:r>
      <w:r w:rsidRPr="00084ACC">
        <w:rPr>
          <w:rFonts w:ascii="David" w:hAnsi="David" w:cs="David"/>
        </w:rPr>
        <w:t>, 34 J. Clinical Child &amp; Adolescent Psychology 223 (2005).</w:t>
      </w:r>
    </w:p>
  </w:footnote>
  <w:footnote w:id="94">
    <w:p w14:paraId="4C132830" w14:textId="70160037" w:rsidR="00354596" w:rsidRPr="00084ACC" w:rsidRDefault="00354596" w:rsidP="00084ACC">
      <w:pPr>
        <w:pStyle w:val="FootnoteText"/>
        <w:jc w:val="both"/>
        <w:rPr>
          <w:rFonts w:ascii="David" w:hAnsi="David" w:cs="David"/>
          <w:sz w:val="22"/>
          <w:szCs w:val="22"/>
          <w:rtl/>
        </w:rPr>
      </w:pPr>
      <w:r w:rsidRPr="00084ACC">
        <w:rPr>
          <w:rStyle w:val="FootnoteReference"/>
          <w:rFonts w:ascii="David" w:hAnsi="David" w:cs="David"/>
          <w:sz w:val="22"/>
          <w:szCs w:val="22"/>
        </w:rPr>
        <w:footnoteRef/>
      </w:r>
      <w:r w:rsidRPr="00084ACC">
        <w:rPr>
          <w:rFonts w:ascii="David" w:hAnsi="David" w:cs="David"/>
          <w:sz w:val="22"/>
          <w:szCs w:val="22"/>
          <w:rtl/>
        </w:rPr>
        <w:t xml:space="preserve"> ראו להלן בפרק "הערה לקראת סיום</w:t>
      </w:r>
      <w:r w:rsidR="00855E6A">
        <w:rPr>
          <w:rFonts w:ascii="David" w:hAnsi="David" w:cs="David"/>
          <w:sz w:val="22"/>
          <w:szCs w:val="22"/>
          <w:rtl/>
        </w:rPr>
        <w:t>" ליד הערת שוליים</w:t>
      </w:r>
    </w:p>
  </w:footnote>
  <w:footnote w:id="95">
    <w:p w14:paraId="15F9A291" w14:textId="3CFC5A5A" w:rsidR="00354596" w:rsidRPr="00084ACC" w:rsidRDefault="00354596" w:rsidP="00084ACC">
      <w:pPr>
        <w:pStyle w:val="FootnoteText"/>
        <w:bidi w:val="0"/>
        <w:jc w:val="both"/>
        <w:rPr>
          <w:rFonts w:ascii="David" w:hAnsi="David" w:cs="David"/>
          <w:sz w:val="22"/>
          <w:szCs w:val="22"/>
        </w:rPr>
      </w:pPr>
      <w:r w:rsidRPr="00084ACC">
        <w:rPr>
          <w:rStyle w:val="FootnoteReference"/>
          <w:rFonts w:ascii="David" w:hAnsi="David" w:cs="David"/>
          <w:sz w:val="22"/>
          <w:szCs w:val="22"/>
        </w:rPr>
        <w:footnoteRef/>
      </w:r>
      <w:r w:rsidRPr="00084ACC">
        <w:rPr>
          <w:rFonts w:ascii="David" w:hAnsi="David" w:cs="David"/>
          <w:sz w:val="22"/>
          <w:szCs w:val="22"/>
          <w:rtl/>
        </w:rPr>
        <w:t xml:space="preserve"> </w:t>
      </w:r>
      <w:r w:rsidRPr="00084ACC">
        <w:rPr>
          <w:rFonts w:ascii="David" w:hAnsi="David" w:cs="David"/>
          <w:color w:val="000000"/>
          <w:sz w:val="22"/>
          <w:szCs w:val="22"/>
          <w:shd w:val="clear" w:color="auto" w:fill="FFFFFF"/>
        </w:rPr>
        <w:t xml:space="preserve"> Ethan J. Leib, </w:t>
      </w:r>
      <w:r w:rsidRPr="00084ACC">
        <w:rPr>
          <w:rStyle w:val="Emphasis"/>
          <w:rFonts w:ascii="David" w:hAnsi="David" w:cs="David"/>
          <w:color w:val="000000"/>
          <w:sz w:val="22"/>
          <w:szCs w:val="22"/>
          <w:bdr w:val="none" w:sz="0" w:space="0" w:color="auto" w:frame="1"/>
          <w:shd w:val="clear" w:color="auto" w:fill="FFFFFF"/>
        </w:rPr>
        <w:t>Friends as Fiduciaries</w:t>
      </w:r>
      <w:r w:rsidRPr="00084ACC">
        <w:rPr>
          <w:rFonts w:ascii="David" w:hAnsi="David" w:cs="David"/>
          <w:color w:val="000000"/>
          <w:sz w:val="22"/>
          <w:szCs w:val="22"/>
          <w:shd w:val="clear" w:color="auto" w:fill="FFFFFF"/>
        </w:rPr>
        <w:t>, 86 </w:t>
      </w:r>
      <w:r w:rsidRPr="00084ACC">
        <w:rPr>
          <w:rStyle w:val="smallcaps"/>
          <w:rFonts w:ascii="David" w:hAnsi="David" w:cs="David"/>
          <w:smallCaps/>
          <w:color w:val="000000"/>
          <w:sz w:val="22"/>
          <w:szCs w:val="22"/>
          <w:bdr w:val="none" w:sz="0" w:space="0" w:color="auto" w:frame="1"/>
          <w:shd w:val="clear" w:color="auto" w:fill="FFFFFF"/>
        </w:rPr>
        <w:t>Wash. U. L. Rev.</w:t>
      </w:r>
      <w:r w:rsidRPr="00084ACC">
        <w:rPr>
          <w:rFonts w:ascii="David" w:hAnsi="David" w:cs="David"/>
          <w:color w:val="000000"/>
          <w:sz w:val="22"/>
          <w:szCs w:val="22"/>
          <w:shd w:val="clear" w:color="auto" w:fill="FFFFFF"/>
        </w:rPr>
        <w:t> 665, 722 (2008-2009).</w:t>
      </w:r>
    </w:p>
  </w:footnote>
  <w:footnote w:id="96">
    <w:p w14:paraId="7D99FC50" w14:textId="5D7621E8" w:rsidR="00354596" w:rsidRPr="00084ACC" w:rsidRDefault="00354596" w:rsidP="00084ACC">
      <w:pPr>
        <w:pStyle w:val="FootnoteText"/>
        <w:jc w:val="both"/>
        <w:rPr>
          <w:rFonts w:ascii="David" w:hAnsi="David" w:cs="David" w:hint="cs"/>
          <w:sz w:val="22"/>
          <w:szCs w:val="22"/>
          <w:rtl/>
        </w:rPr>
      </w:pPr>
      <w:r w:rsidRPr="00084ACC">
        <w:rPr>
          <w:rStyle w:val="FootnoteReference"/>
          <w:rFonts w:ascii="David" w:hAnsi="David" w:cs="David"/>
          <w:sz w:val="22"/>
          <w:szCs w:val="22"/>
        </w:rPr>
        <w:footnoteRef/>
      </w:r>
      <w:r w:rsidRPr="00084ACC">
        <w:rPr>
          <w:rFonts w:ascii="David" w:hAnsi="David" w:cs="David"/>
          <w:sz w:val="22"/>
          <w:szCs w:val="22"/>
          <w:rtl/>
        </w:rPr>
        <w:t xml:space="preserve"> </w:t>
      </w:r>
    </w:p>
  </w:footnote>
  <w:footnote w:id="97">
    <w:p w14:paraId="17717D5B" w14:textId="673A368B" w:rsidR="00354596" w:rsidRPr="00084ACC" w:rsidRDefault="00354596" w:rsidP="00084ACC">
      <w:pPr>
        <w:bidi w:val="0"/>
        <w:jc w:val="both"/>
        <w:rPr>
          <w:rFonts w:ascii="David" w:hAnsi="David" w:cs="David"/>
        </w:rPr>
      </w:pPr>
      <w:r w:rsidRPr="00084ACC">
        <w:rPr>
          <w:rStyle w:val="FootnoteReference"/>
          <w:rFonts w:ascii="David" w:hAnsi="David" w:cs="David"/>
        </w:rPr>
        <w:footnoteRef/>
      </w:r>
      <w:r w:rsidRPr="00084ACC">
        <w:rPr>
          <w:rFonts w:ascii="David" w:hAnsi="David" w:cs="David"/>
          <w:rtl/>
        </w:rPr>
        <w:t xml:space="preserve"> </w:t>
      </w:r>
      <w:r w:rsidRPr="00084ACC">
        <w:rPr>
          <w:rFonts w:ascii="David" w:hAnsi="David" w:cs="David"/>
        </w:rPr>
        <w:t xml:space="preserve">Amir N. Licht, </w:t>
      </w:r>
      <w:r w:rsidRPr="00084ACC">
        <w:rPr>
          <w:rFonts w:ascii="David" w:hAnsi="David" w:cs="David"/>
          <w:i/>
          <w:iCs/>
        </w:rPr>
        <w:t>Fiduciary Relations in the Corporation: Duty of Loyalty</w:t>
      </w:r>
      <w:r w:rsidRPr="00084ACC">
        <w:rPr>
          <w:rFonts w:ascii="David" w:hAnsi="David" w:cs="David"/>
        </w:rPr>
        <w:t>, 18 Israel J. L. &amp; Bus. 237, 252 (2014).</w:t>
      </w:r>
    </w:p>
  </w:footnote>
  <w:footnote w:id="98">
    <w:p w14:paraId="77E2BBEF" w14:textId="77777777" w:rsidR="00354596" w:rsidRPr="0053374E" w:rsidRDefault="00354596" w:rsidP="00D46786">
      <w:pPr>
        <w:spacing w:line="480" w:lineRule="auto"/>
        <w:contextualSpacing/>
        <w:jc w:val="both"/>
        <w:rPr>
          <w:rFonts w:ascii="David" w:hAnsi="David" w:cs="David"/>
        </w:rPr>
      </w:pPr>
      <w:r w:rsidRPr="0053374E">
        <w:rPr>
          <w:rStyle w:val="FootnoteReference"/>
          <w:rFonts w:ascii="David" w:hAnsi="David" w:cs="David"/>
        </w:rPr>
        <w:footnoteRef/>
      </w:r>
      <w:r w:rsidRPr="0053374E">
        <w:rPr>
          <w:rFonts w:ascii="David" w:hAnsi="David" w:cs="David"/>
          <w:rtl/>
        </w:rPr>
        <w:t xml:space="preserve"> ככל שהמשמורת משותפת וחלוקת הזמנים שוויונית או לפחות הנתח של כל אחד משמעותי – מערכת היחסים תכתיב מערכת אמונאית שונה, הדדית מטבעה, בדומה למודל </w:t>
      </w:r>
      <w:r w:rsidRPr="0053374E">
        <w:rPr>
          <w:rFonts w:ascii="David" w:hAnsi="David" w:cs="David" w:hint="cs"/>
          <w:rtl/>
        </w:rPr>
        <w:t xml:space="preserve">האמונאות בין חברים </w:t>
      </w:r>
      <w:r w:rsidRPr="0053374E">
        <w:rPr>
          <w:rFonts w:ascii="David" w:hAnsi="David" w:cs="David"/>
          <w:rtl/>
        </w:rPr>
        <w:t>של לייב</w:t>
      </w:r>
      <w:r w:rsidRPr="0053374E">
        <w:rPr>
          <w:rFonts w:ascii="David" w:hAnsi="David" w:cs="David" w:hint="cs"/>
          <w:rtl/>
        </w:rPr>
        <w:t>.</w:t>
      </w:r>
    </w:p>
  </w:footnote>
  <w:footnote w:id="99">
    <w:p w14:paraId="5050C2A6" w14:textId="77777777" w:rsidR="00354596" w:rsidRPr="0053374E" w:rsidRDefault="00354596">
      <w:pPr>
        <w:pStyle w:val="FootnoteText"/>
        <w:rPr>
          <w:sz w:val="22"/>
          <w:szCs w:val="22"/>
          <w:rtl/>
        </w:rPr>
      </w:pPr>
      <w:r w:rsidRPr="0053374E">
        <w:rPr>
          <w:rStyle w:val="FootnoteReference"/>
          <w:sz w:val="22"/>
          <w:szCs w:val="22"/>
        </w:rPr>
        <w:footnoteRef/>
      </w:r>
      <w:r w:rsidRPr="0053374E">
        <w:rPr>
          <w:sz w:val="22"/>
          <w:szCs w:val="22"/>
          <w:rtl/>
        </w:rPr>
        <w:t xml:space="preserve"> </w:t>
      </w:r>
      <w:r w:rsidRPr="0053374E">
        <w:rPr>
          <w:rFonts w:hint="cs"/>
          <w:sz w:val="22"/>
          <w:szCs w:val="22"/>
          <w:rtl/>
        </w:rPr>
        <w:t>לדילמות אחרות, ובהן דילמות הנוגעות לתמיכה כלכלית בילדים וסוגיות הקשורות לחלוקת זמני שהות וביקורים ראו,</w:t>
      </w:r>
    </w:p>
    <w:p w14:paraId="106AC1F6" w14:textId="77777777" w:rsidR="00354596" w:rsidRPr="0053374E" w:rsidRDefault="00354596" w:rsidP="00F57781">
      <w:pPr>
        <w:pStyle w:val="Default"/>
        <w:rPr>
          <w:rFonts w:asciiTheme="majorBidi" w:hAnsiTheme="majorBidi" w:cstheme="majorBidi"/>
          <w:sz w:val="22"/>
          <w:szCs w:val="22"/>
        </w:rPr>
      </w:pPr>
      <w:r w:rsidRPr="0053374E">
        <w:rPr>
          <w:rFonts w:asciiTheme="majorBidi" w:hAnsiTheme="majorBidi" w:cstheme="majorBidi"/>
          <w:sz w:val="22"/>
          <w:szCs w:val="22"/>
        </w:rPr>
        <w:t xml:space="preserve">Patrycja Sosnowska-Buxton, The Complex Dynamics of Step-m-othering: A Qualitative Study (May 2014), (Unpublished Ph.D. dissertation, University of York) (on file with author). </w:t>
      </w:r>
    </w:p>
    <w:p w14:paraId="7EDFB748" w14:textId="77777777" w:rsidR="00354596" w:rsidRPr="0053374E" w:rsidRDefault="00354596">
      <w:pPr>
        <w:pStyle w:val="FootnoteText"/>
        <w:rPr>
          <w:rFonts w:hint="cs"/>
          <w:sz w:val="22"/>
          <w:szCs w:val="22"/>
        </w:rPr>
      </w:pPr>
    </w:p>
  </w:footnote>
  <w:footnote w:id="100">
    <w:p w14:paraId="3F0A1032" w14:textId="38C826BF" w:rsidR="00354596" w:rsidRPr="002D75E8" w:rsidRDefault="00354596" w:rsidP="002D75E8">
      <w:pPr>
        <w:pStyle w:val="FootnoteText"/>
        <w:jc w:val="both"/>
        <w:rPr>
          <w:rFonts w:ascii="David" w:hAnsi="David" w:cs="David"/>
          <w:sz w:val="22"/>
          <w:szCs w:val="22"/>
          <w:rtl/>
        </w:rPr>
      </w:pPr>
      <w:r w:rsidRPr="002D75E8">
        <w:rPr>
          <w:rStyle w:val="FootnoteReference"/>
          <w:rFonts w:ascii="David" w:hAnsi="David" w:cs="David"/>
          <w:sz w:val="22"/>
          <w:szCs w:val="22"/>
        </w:rPr>
        <w:footnoteRef/>
      </w:r>
      <w:r w:rsidRPr="002D75E8">
        <w:rPr>
          <w:rFonts w:ascii="David" w:hAnsi="David" w:cs="David"/>
          <w:sz w:val="22"/>
          <w:szCs w:val="22"/>
          <w:rtl/>
        </w:rPr>
        <w:t xml:space="preserve"> הורים שנפרדו משמרים לרוב את אפוטרופסותם המשותפת לילדיהם.</w:t>
      </w:r>
    </w:p>
  </w:footnote>
  <w:footnote w:id="101">
    <w:p w14:paraId="66D1F031" w14:textId="2CC0E3B3" w:rsidR="00354596" w:rsidRPr="002D75E8" w:rsidRDefault="00354596" w:rsidP="002D75E8">
      <w:pPr>
        <w:pStyle w:val="FootnoteText"/>
        <w:jc w:val="both"/>
        <w:rPr>
          <w:rFonts w:ascii="David" w:hAnsi="David" w:cs="David"/>
          <w:sz w:val="22"/>
          <w:szCs w:val="22"/>
          <w:rtl/>
        </w:rPr>
      </w:pPr>
      <w:r w:rsidRPr="002D75E8">
        <w:rPr>
          <w:rStyle w:val="FootnoteReference"/>
          <w:rFonts w:ascii="David" w:hAnsi="David" w:cs="David"/>
          <w:sz w:val="22"/>
          <w:szCs w:val="22"/>
        </w:rPr>
        <w:footnoteRef/>
      </w:r>
      <w:r w:rsidRPr="002D75E8">
        <w:rPr>
          <w:rFonts w:ascii="David" w:hAnsi="David" w:cs="David"/>
          <w:sz w:val="22"/>
          <w:szCs w:val="22"/>
          <w:rtl/>
        </w:rPr>
        <w:t xml:space="preserve"> על מקומם של הורים חורגים בקונפליקטים מעין אלה ראו לעיל הפניות בהערת שוליים 28. הפסיקה אמנם נמנעה מלדון במעמדם במסגרת הסכסוך או להטיל עליהם אחריות ישירה, ואולם סיפורי המקרים מלמדים על חלקם הפעיל בסכסוך. </w:t>
      </w:r>
    </w:p>
  </w:footnote>
  <w:footnote w:id="102">
    <w:p w14:paraId="026E1B5D" w14:textId="30F74BA4" w:rsidR="00354596" w:rsidRPr="0053374E" w:rsidRDefault="00354596">
      <w:pPr>
        <w:pStyle w:val="FootnoteText"/>
        <w:bidi w:val="0"/>
        <w:rPr>
          <w:rFonts w:asciiTheme="majorBidi" w:hAnsiTheme="majorBidi" w:cstheme="majorBidi"/>
          <w:sz w:val="22"/>
          <w:szCs w:val="22"/>
        </w:rPr>
      </w:pPr>
      <w:r w:rsidRPr="0053374E">
        <w:rPr>
          <w:rStyle w:val="FootnoteReference"/>
          <w:sz w:val="22"/>
          <w:szCs w:val="22"/>
        </w:rPr>
        <w:footnoteRef/>
      </w:r>
      <w:r w:rsidRPr="0053374E">
        <w:rPr>
          <w:sz w:val="22"/>
          <w:szCs w:val="22"/>
          <w:rtl/>
        </w:rPr>
        <w:t xml:space="preserve"> </w:t>
      </w:r>
      <w:r w:rsidRPr="0053374E">
        <w:rPr>
          <w:rFonts w:hint="cs"/>
          <w:sz w:val="22"/>
          <w:szCs w:val="22"/>
          <w:rtl/>
        </w:rPr>
        <w:t xml:space="preserve"> </w:t>
      </w:r>
      <w:r w:rsidRPr="0053374E">
        <w:rPr>
          <w:rFonts w:asciiTheme="majorBidi" w:hAnsiTheme="majorBidi" w:cstheme="majorBidi"/>
          <w:smallCaps/>
          <w:sz w:val="22"/>
          <w:szCs w:val="22"/>
        </w:rPr>
        <w:t>Susan D. Stewart,</w:t>
      </w:r>
      <w:r w:rsidRPr="0053374E">
        <w:rPr>
          <w:rFonts w:asciiTheme="majorBidi" w:hAnsiTheme="majorBidi" w:cstheme="majorBidi"/>
          <w:sz w:val="22"/>
          <w:szCs w:val="22"/>
        </w:rPr>
        <w:t xml:space="preserve"> </w:t>
      </w:r>
      <w:r w:rsidRPr="0053374E">
        <w:rPr>
          <w:rFonts w:asciiTheme="majorBidi" w:hAnsiTheme="majorBidi" w:cstheme="majorBidi"/>
          <w:smallCaps/>
          <w:sz w:val="22"/>
          <w:szCs w:val="22"/>
        </w:rPr>
        <w:t>Brave New Stepfamilies – Diverse Paths Toward Stepfamily Living</w:t>
      </w:r>
      <w:r w:rsidRPr="0053374E">
        <w:rPr>
          <w:rFonts w:asciiTheme="majorBidi" w:hAnsiTheme="majorBidi" w:cstheme="majorBidi"/>
          <w:sz w:val="22"/>
          <w:szCs w:val="22"/>
        </w:rPr>
        <w:t xml:space="preserve">  15-16 (2007).</w:t>
      </w:r>
    </w:p>
    <w:p w14:paraId="4A79F7CF" w14:textId="527C379B" w:rsidR="00354596" w:rsidRPr="0053374E" w:rsidRDefault="00354596" w:rsidP="0084205A">
      <w:pPr>
        <w:pStyle w:val="FootnoteText"/>
        <w:bidi w:val="0"/>
        <w:rPr>
          <w:sz w:val="22"/>
          <w:szCs w:val="22"/>
          <w:rtl/>
        </w:rPr>
      </w:pPr>
    </w:p>
  </w:footnote>
  <w:footnote w:id="103">
    <w:p w14:paraId="442493D2" w14:textId="77777777" w:rsidR="00354596" w:rsidRPr="002D75E8" w:rsidRDefault="00354596" w:rsidP="002D75E8">
      <w:pPr>
        <w:pStyle w:val="FootnoteText"/>
        <w:jc w:val="both"/>
        <w:rPr>
          <w:rFonts w:ascii="David" w:hAnsi="David" w:cs="David"/>
          <w:sz w:val="22"/>
          <w:szCs w:val="22"/>
          <w:rtl/>
        </w:rPr>
      </w:pPr>
      <w:r w:rsidRPr="0053374E">
        <w:rPr>
          <w:rStyle w:val="FootnoteReference"/>
          <w:sz w:val="22"/>
          <w:szCs w:val="22"/>
        </w:rPr>
        <w:footnoteRef/>
      </w:r>
      <w:r w:rsidRPr="0053374E">
        <w:rPr>
          <w:sz w:val="22"/>
          <w:szCs w:val="22"/>
          <w:rtl/>
        </w:rPr>
        <w:t xml:space="preserve"> </w:t>
      </w:r>
      <w:r w:rsidRPr="002D75E8">
        <w:rPr>
          <w:rFonts w:ascii="David" w:hAnsi="David" w:cs="David"/>
          <w:sz w:val="22"/>
          <w:szCs w:val="22"/>
          <w:rtl/>
        </w:rPr>
        <w:t xml:space="preserve">הנתון בדבר ירידה בשיעור המפגשים שבין הילד להורה, במשפחות בהן יש הורה חורג חוזר על עצמו במחקרים נוספים. ראו: </w:t>
      </w:r>
    </w:p>
    <w:p w14:paraId="4A47AE0A" w14:textId="1D624507" w:rsidR="00354596" w:rsidRPr="0053374E" w:rsidRDefault="00354596" w:rsidP="003119D2">
      <w:pPr>
        <w:pStyle w:val="Default"/>
        <w:jc w:val="both"/>
        <w:rPr>
          <w:rFonts w:asciiTheme="majorBidi" w:hAnsiTheme="majorBidi" w:cstheme="majorBidi"/>
          <w:sz w:val="22"/>
          <w:szCs w:val="22"/>
        </w:rPr>
      </w:pPr>
      <w:r w:rsidRPr="0053374E">
        <w:rPr>
          <w:rFonts w:asciiTheme="majorBidi" w:hAnsiTheme="majorBidi" w:cstheme="majorBidi"/>
          <w:sz w:val="22"/>
          <w:szCs w:val="22"/>
        </w:rPr>
        <w:t xml:space="preserve">Thomas L. Hanson, Sara S. McLanahan &amp; Elizabeth Thomson, </w:t>
      </w:r>
      <w:r w:rsidRPr="0053374E">
        <w:rPr>
          <w:rFonts w:asciiTheme="majorBidi" w:hAnsiTheme="majorBidi" w:cstheme="majorBidi"/>
          <w:i/>
          <w:iCs/>
          <w:sz w:val="22"/>
          <w:szCs w:val="22"/>
        </w:rPr>
        <w:t>Double Jeopardy: Parental Conflict and Stepfamily Outcomes for Children</w:t>
      </w:r>
      <w:r w:rsidRPr="0053374E">
        <w:rPr>
          <w:rFonts w:asciiTheme="majorBidi" w:hAnsiTheme="majorBidi" w:cstheme="majorBidi"/>
          <w:sz w:val="22"/>
          <w:szCs w:val="22"/>
        </w:rPr>
        <w:t>, 58 J. Marriage &amp; F</w:t>
      </w:r>
      <w:r w:rsidRPr="0053374E">
        <w:rPr>
          <w:rFonts w:asciiTheme="majorBidi" w:hAnsiTheme="majorBidi" w:cstheme="majorBidi"/>
          <w:smallCaps/>
          <w:sz w:val="22"/>
          <w:szCs w:val="22"/>
        </w:rPr>
        <w:t>am</w:t>
      </w:r>
      <w:r w:rsidRPr="0053374E">
        <w:rPr>
          <w:rFonts w:asciiTheme="majorBidi" w:hAnsiTheme="majorBidi" w:cstheme="majorBidi"/>
          <w:sz w:val="22"/>
          <w:szCs w:val="22"/>
        </w:rPr>
        <w:t xml:space="preserve">.141, 147 (1996). </w:t>
      </w:r>
    </w:p>
  </w:footnote>
  <w:footnote w:id="104">
    <w:p w14:paraId="3AEC8BCD" w14:textId="646810F5" w:rsidR="00354596" w:rsidRPr="002D75E8" w:rsidRDefault="00354596">
      <w:pPr>
        <w:pStyle w:val="FootnoteText"/>
        <w:rPr>
          <w:rFonts w:ascii="David" w:hAnsi="David" w:cs="David"/>
          <w:sz w:val="22"/>
          <w:szCs w:val="22"/>
          <w:highlight w:val="red"/>
          <w:rtl/>
        </w:rPr>
      </w:pPr>
      <w:r w:rsidRPr="002D75E8">
        <w:rPr>
          <w:rStyle w:val="FootnoteReference"/>
          <w:rFonts w:ascii="David" w:hAnsi="David" w:cs="David"/>
          <w:sz w:val="22"/>
          <w:szCs w:val="22"/>
        </w:rPr>
        <w:footnoteRef/>
      </w:r>
      <w:r w:rsidRPr="002D75E8">
        <w:rPr>
          <w:rFonts w:ascii="David" w:hAnsi="David" w:cs="David"/>
          <w:sz w:val="22"/>
          <w:szCs w:val="22"/>
          <w:rtl/>
        </w:rPr>
        <w:t xml:space="preserve"> </w:t>
      </w:r>
    </w:p>
  </w:footnote>
  <w:footnote w:id="105">
    <w:p w14:paraId="1FBC0CF8" w14:textId="37C10327" w:rsidR="00354596" w:rsidRPr="002D75E8" w:rsidRDefault="00354596">
      <w:pPr>
        <w:pStyle w:val="FootnoteText"/>
        <w:rPr>
          <w:rFonts w:ascii="David" w:hAnsi="David" w:cs="David"/>
          <w:sz w:val="22"/>
          <w:szCs w:val="22"/>
        </w:rPr>
      </w:pPr>
      <w:r w:rsidRPr="002D75E8">
        <w:rPr>
          <w:rStyle w:val="FootnoteReference"/>
          <w:rFonts w:ascii="David" w:hAnsi="David" w:cs="David"/>
          <w:sz w:val="22"/>
          <w:szCs w:val="22"/>
        </w:rPr>
        <w:footnoteRef/>
      </w:r>
    </w:p>
  </w:footnote>
  <w:footnote w:id="106">
    <w:p w14:paraId="0C4A433D" w14:textId="77777777" w:rsidR="00354596" w:rsidRPr="0053374E" w:rsidRDefault="00354596">
      <w:pPr>
        <w:pStyle w:val="FootnoteText"/>
        <w:rPr>
          <w:rFonts w:hint="cs"/>
          <w:sz w:val="22"/>
          <w:szCs w:val="22"/>
          <w:rtl/>
        </w:rPr>
      </w:pPr>
      <w:r w:rsidRPr="002D75E8">
        <w:rPr>
          <w:rStyle w:val="FootnoteReference"/>
          <w:rFonts w:ascii="David" w:hAnsi="David" w:cs="David"/>
          <w:sz w:val="22"/>
          <w:szCs w:val="22"/>
        </w:rPr>
        <w:footnoteRef/>
      </w:r>
      <w:r w:rsidRPr="002D75E8">
        <w:rPr>
          <w:rFonts w:ascii="David" w:hAnsi="David" w:cs="David"/>
          <w:sz w:val="22"/>
          <w:szCs w:val="22"/>
          <w:rtl/>
        </w:rPr>
        <w:t xml:space="preserve"> להרחבה על התופעה ראו</w:t>
      </w:r>
      <w:r w:rsidRPr="0053374E">
        <w:rPr>
          <w:rFonts w:hint="cs"/>
          <w:sz w:val="22"/>
          <w:szCs w:val="22"/>
          <w:rtl/>
        </w:rPr>
        <w:t xml:space="preserve"> </w:t>
      </w:r>
    </w:p>
    <w:p w14:paraId="18023708" w14:textId="5CDA29B3" w:rsidR="00354596" w:rsidRPr="0053374E" w:rsidRDefault="00354596" w:rsidP="00FB1E3E">
      <w:pPr>
        <w:bidi w:val="0"/>
        <w:spacing w:line="259" w:lineRule="auto"/>
        <w:jc w:val="both"/>
        <w:rPr>
          <w:rFonts w:asciiTheme="majorBidi" w:hAnsiTheme="majorBidi" w:cstheme="majorBidi"/>
        </w:rPr>
      </w:pPr>
      <w:r w:rsidRPr="0053374E">
        <w:rPr>
          <w:rFonts w:asciiTheme="majorBidi" w:hAnsiTheme="majorBidi" w:cstheme="majorBidi"/>
        </w:rPr>
        <w:t xml:space="preserve">PHILIP MARCUS, PARENTAL ALIENATION, CONTACT REFUSAL AND MALADAPTIVE GATEKEEPING: A MULTIDISCIPLINARY APPROACH TO PREVENTION OF CONTACT FAILUR </w:t>
      </w:r>
    </w:p>
  </w:footnote>
  <w:footnote w:id="107">
    <w:p w14:paraId="2805E667" w14:textId="7FBF1F9C" w:rsidR="00354596" w:rsidRPr="002D75E8" w:rsidRDefault="00354596">
      <w:pPr>
        <w:pStyle w:val="FootnoteText"/>
        <w:rPr>
          <w:rFonts w:ascii="David" w:hAnsi="David" w:cs="David"/>
          <w:sz w:val="22"/>
          <w:szCs w:val="22"/>
          <w:rtl/>
        </w:rPr>
      </w:pPr>
      <w:r w:rsidRPr="002D75E8">
        <w:rPr>
          <w:rStyle w:val="FootnoteReference"/>
          <w:rFonts w:ascii="David" w:hAnsi="David" w:cs="David"/>
          <w:sz w:val="22"/>
          <w:szCs w:val="22"/>
        </w:rPr>
        <w:footnoteRef/>
      </w:r>
      <w:r w:rsidRPr="002D75E8">
        <w:rPr>
          <w:rFonts w:ascii="David" w:hAnsi="David" w:cs="David"/>
          <w:sz w:val="22"/>
          <w:szCs w:val="22"/>
          <w:rtl/>
        </w:rPr>
        <w:t xml:space="preserve"> ראו בהרחבה </w:t>
      </w:r>
    </w:p>
  </w:footnote>
  <w:footnote w:id="108">
    <w:p w14:paraId="0564D59D" w14:textId="3C6F046E" w:rsidR="00354596" w:rsidRPr="0053374E" w:rsidRDefault="00354596" w:rsidP="0084205A">
      <w:pPr>
        <w:pStyle w:val="FootnoteText"/>
        <w:bidi w:val="0"/>
        <w:rPr>
          <w:sz w:val="22"/>
          <w:szCs w:val="22"/>
        </w:rPr>
      </w:pPr>
      <w:r w:rsidRPr="0053374E">
        <w:rPr>
          <w:rStyle w:val="FootnoteReference"/>
          <w:rFonts w:asciiTheme="majorBidi" w:hAnsiTheme="majorBidi" w:cstheme="majorBidi"/>
          <w:sz w:val="22"/>
          <w:szCs w:val="22"/>
        </w:rPr>
        <w:footnoteRef/>
      </w:r>
      <w:r w:rsidRPr="0053374E">
        <w:rPr>
          <w:rFonts w:asciiTheme="majorBidi" w:hAnsiTheme="majorBidi" w:cstheme="majorBidi"/>
          <w:sz w:val="22"/>
          <w:szCs w:val="22"/>
          <w:rtl/>
        </w:rPr>
        <w:t xml:space="preserve"> </w:t>
      </w:r>
      <w:r w:rsidRPr="0053374E">
        <w:rPr>
          <w:rStyle w:val="Strong"/>
          <w:rFonts w:asciiTheme="majorBidi" w:hAnsiTheme="majorBidi" w:cstheme="majorBidi"/>
          <w:b w:val="0"/>
          <w:bCs w:val="0"/>
          <w:color w:val="000000"/>
          <w:sz w:val="22"/>
          <w:szCs w:val="22"/>
          <w:bdr w:val="none" w:sz="0" w:space="0" w:color="auto" w:frame="1"/>
          <w:shd w:val="clear" w:color="auto" w:fill="FFFFFF"/>
        </w:rPr>
        <w:t>Richard A. Warshak,</w:t>
      </w:r>
      <w:r w:rsidRPr="0053374E">
        <w:rPr>
          <w:rFonts w:asciiTheme="majorBidi" w:hAnsiTheme="majorBidi" w:cstheme="majorBidi"/>
          <w:color w:val="000000"/>
          <w:sz w:val="22"/>
          <w:szCs w:val="22"/>
        </w:rPr>
        <w:t xml:space="preserve"> </w:t>
      </w:r>
      <w:r w:rsidRPr="0053374E">
        <w:rPr>
          <w:rFonts w:asciiTheme="majorBidi" w:hAnsiTheme="majorBidi" w:cstheme="majorBidi"/>
          <w:i/>
          <w:iCs/>
          <w:color w:val="000000"/>
          <w:sz w:val="22"/>
          <w:szCs w:val="22"/>
        </w:rPr>
        <w:t>Remarriage as a Trigger for Parental Alienation Syndrome</w:t>
      </w:r>
      <w:r w:rsidRPr="0053374E">
        <w:rPr>
          <w:rFonts w:asciiTheme="majorBidi" w:hAnsiTheme="majorBidi" w:cstheme="majorBidi"/>
          <w:color w:val="000000"/>
          <w:sz w:val="22"/>
          <w:szCs w:val="22"/>
          <w:shd w:val="clear" w:color="auto" w:fill="FFFFFF"/>
        </w:rPr>
        <w:t xml:space="preserve"> 28 </w:t>
      </w:r>
      <w:r w:rsidRPr="0053374E">
        <w:rPr>
          <w:rFonts w:asciiTheme="majorBidi" w:hAnsiTheme="majorBidi" w:cstheme="majorBidi"/>
          <w:smallCaps/>
          <w:color w:val="000000"/>
          <w:sz w:val="22"/>
          <w:szCs w:val="22"/>
          <w:shd w:val="clear" w:color="auto" w:fill="FFFFFF"/>
        </w:rPr>
        <w:t>AM</w:t>
      </w:r>
      <w:r w:rsidRPr="0053374E">
        <w:rPr>
          <w:rFonts w:asciiTheme="majorBidi" w:hAnsiTheme="majorBidi" w:cstheme="majorBidi"/>
          <w:color w:val="000000"/>
          <w:sz w:val="22"/>
          <w:szCs w:val="22"/>
          <w:shd w:val="clear" w:color="auto" w:fill="FFFFFF"/>
        </w:rPr>
        <w:t xml:space="preserve">. J. </w:t>
      </w:r>
      <w:r w:rsidRPr="0053374E">
        <w:rPr>
          <w:rFonts w:asciiTheme="majorBidi" w:hAnsiTheme="majorBidi" w:cstheme="majorBidi"/>
          <w:smallCaps/>
          <w:color w:val="000000"/>
          <w:sz w:val="22"/>
          <w:szCs w:val="22"/>
          <w:shd w:val="clear" w:color="auto" w:fill="FFFFFF"/>
        </w:rPr>
        <w:t>FaM</w:t>
      </w:r>
      <w:r w:rsidRPr="0053374E">
        <w:rPr>
          <w:rFonts w:asciiTheme="majorBidi" w:hAnsiTheme="majorBidi" w:cstheme="majorBidi"/>
          <w:color w:val="000000"/>
          <w:sz w:val="22"/>
          <w:szCs w:val="22"/>
          <w:shd w:val="clear" w:color="auto" w:fill="FFFFFF"/>
        </w:rPr>
        <w:t>. Therapy 229 (2000</w:t>
      </w:r>
      <w:r w:rsidRPr="0053374E">
        <w:rPr>
          <w:rFonts w:asciiTheme="majorBidi" w:hAnsiTheme="majorBidi" w:cstheme="majorBidi"/>
          <w:color w:val="000000"/>
          <w:sz w:val="22"/>
          <w:szCs w:val="22"/>
          <w:shd w:val="clear" w:color="auto" w:fill="FFFFFF"/>
          <w:rtl/>
        </w:rPr>
        <w:t>(</w:t>
      </w:r>
      <w:r w:rsidR="002D75E8">
        <w:rPr>
          <w:sz w:val="22"/>
          <w:szCs w:val="22"/>
        </w:rPr>
        <w:t>.</w:t>
      </w:r>
    </w:p>
  </w:footnote>
  <w:footnote w:id="109">
    <w:p w14:paraId="0863937F" w14:textId="0B510DC3" w:rsidR="00354596" w:rsidRPr="0053374E" w:rsidRDefault="00354596" w:rsidP="0084205A">
      <w:pPr>
        <w:pStyle w:val="FootnoteText"/>
        <w:bidi w:val="0"/>
        <w:rPr>
          <w:sz w:val="22"/>
          <w:szCs w:val="22"/>
          <w:highlight w:val="red"/>
        </w:rPr>
      </w:pPr>
      <w:r w:rsidRPr="0053374E">
        <w:rPr>
          <w:rStyle w:val="FootnoteReference"/>
          <w:rFonts w:asciiTheme="majorBidi" w:hAnsiTheme="majorBidi" w:cstheme="majorBidi"/>
          <w:sz w:val="22"/>
          <w:szCs w:val="22"/>
        </w:rPr>
        <w:footnoteRef/>
      </w:r>
      <w:r w:rsidRPr="0053374E">
        <w:rPr>
          <w:rFonts w:asciiTheme="majorBidi" w:hAnsiTheme="majorBidi" w:cstheme="majorBidi"/>
          <w:sz w:val="22"/>
          <w:szCs w:val="22"/>
          <w:rtl/>
        </w:rPr>
        <w:t xml:space="preserve"> </w:t>
      </w:r>
      <w:r w:rsidRPr="0053374E">
        <w:rPr>
          <w:rFonts w:asciiTheme="majorBidi" w:hAnsiTheme="majorBidi" w:cstheme="majorBidi"/>
          <w:i/>
          <w:iCs/>
          <w:sz w:val="22"/>
          <w:szCs w:val="22"/>
        </w:rPr>
        <w:t>Id</w:t>
      </w:r>
      <w:r w:rsidRPr="0053374E">
        <w:rPr>
          <w:rFonts w:asciiTheme="majorBidi" w:hAnsiTheme="majorBidi" w:cstheme="majorBidi"/>
          <w:sz w:val="22"/>
          <w:szCs w:val="22"/>
        </w:rPr>
        <w:t>.at</w:t>
      </w:r>
      <w:r w:rsidRPr="0053374E">
        <w:rPr>
          <w:rFonts w:asciiTheme="majorBidi" w:hAnsiTheme="majorBidi" w:cstheme="majorBidi"/>
          <w:color w:val="000000"/>
          <w:sz w:val="22"/>
          <w:szCs w:val="22"/>
          <w:shd w:val="clear" w:color="auto" w:fill="FFFFFF"/>
        </w:rPr>
        <w:t xml:space="preserve"> 233.</w:t>
      </w:r>
    </w:p>
  </w:footnote>
  <w:footnote w:id="110">
    <w:p w14:paraId="6F1E3019" w14:textId="21FBFF0B" w:rsidR="00354596" w:rsidRPr="0053374E" w:rsidRDefault="00354596" w:rsidP="0084205A">
      <w:pPr>
        <w:pStyle w:val="FootnoteText"/>
        <w:bidi w:val="0"/>
        <w:rPr>
          <w:sz w:val="22"/>
          <w:szCs w:val="22"/>
          <w:rtl/>
        </w:rPr>
      </w:pPr>
      <w:r w:rsidRPr="0053374E">
        <w:rPr>
          <w:rStyle w:val="FootnoteReference"/>
          <w:rFonts w:asciiTheme="majorBidi" w:hAnsiTheme="majorBidi" w:cstheme="majorBidi"/>
          <w:sz w:val="22"/>
          <w:szCs w:val="22"/>
        </w:rPr>
        <w:footnoteRef/>
      </w:r>
      <w:r w:rsidRPr="0053374E">
        <w:rPr>
          <w:rStyle w:val="FootnoteReference"/>
          <w:rFonts w:asciiTheme="majorBidi" w:hAnsiTheme="majorBidi" w:cstheme="majorBidi"/>
          <w:sz w:val="22"/>
          <w:szCs w:val="22"/>
          <w:rtl/>
        </w:rPr>
        <w:t xml:space="preserve"> </w:t>
      </w:r>
      <w:r w:rsidRPr="0053374E">
        <w:rPr>
          <w:rFonts w:asciiTheme="majorBidi" w:hAnsiTheme="majorBidi" w:cstheme="majorBidi"/>
          <w:i/>
          <w:iCs/>
          <w:sz w:val="22"/>
          <w:szCs w:val="22"/>
        </w:rPr>
        <w:t>Id</w:t>
      </w:r>
      <w:r w:rsidRPr="0053374E">
        <w:rPr>
          <w:rFonts w:asciiTheme="majorBidi" w:hAnsiTheme="majorBidi" w:cstheme="majorBidi"/>
          <w:sz w:val="22"/>
          <w:szCs w:val="22"/>
        </w:rPr>
        <w:t>.at</w:t>
      </w:r>
      <w:r w:rsidRPr="0053374E">
        <w:rPr>
          <w:rFonts w:asciiTheme="majorBidi" w:hAnsiTheme="majorBidi" w:cstheme="majorBidi"/>
          <w:color w:val="000000"/>
          <w:sz w:val="22"/>
          <w:szCs w:val="22"/>
          <w:shd w:val="clear" w:color="auto" w:fill="FFFFFF"/>
        </w:rPr>
        <w:t xml:space="preserve"> 23</w:t>
      </w:r>
      <w:r w:rsidRPr="0053374E">
        <w:rPr>
          <w:rFonts w:asciiTheme="majorBidi" w:hAnsiTheme="majorBidi" w:cstheme="majorBidi" w:hint="cs"/>
          <w:color w:val="000000"/>
          <w:sz w:val="22"/>
          <w:szCs w:val="22"/>
          <w:shd w:val="clear" w:color="auto" w:fill="FFFFFF"/>
          <w:rtl/>
        </w:rPr>
        <w:t>7</w:t>
      </w:r>
    </w:p>
  </w:footnote>
  <w:footnote w:id="111">
    <w:p w14:paraId="41B1179D" w14:textId="66693233" w:rsidR="00354596" w:rsidRPr="0053374E" w:rsidRDefault="00354596" w:rsidP="0084205A">
      <w:pPr>
        <w:bidi w:val="0"/>
      </w:pPr>
      <w:r w:rsidRPr="0053374E">
        <w:rPr>
          <w:rStyle w:val="FootnoteReference"/>
          <w:rFonts w:asciiTheme="majorBidi" w:hAnsiTheme="majorBidi" w:cstheme="majorBidi"/>
        </w:rPr>
        <w:footnoteRef/>
      </w:r>
      <w:r w:rsidRPr="0053374E">
        <w:rPr>
          <w:rFonts w:asciiTheme="majorBidi" w:hAnsiTheme="majorBidi" w:cstheme="majorBidi"/>
          <w:rtl/>
        </w:rPr>
        <w:t xml:space="preserve"> </w:t>
      </w:r>
      <w:r w:rsidRPr="0053374E">
        <w:rPr>
          <w:rFonts w:asciiTheme="majorBidi" w:hAnsiTheme="majorBidi" w:cstheme="majorBidi"/>
        </w:rPr>
        <w:t xml:space="preserve">Anthony E. Atwell, Ursula S. Moore &amp; Carla S. Nowell, </w:t>
      </w:r>
      <w:r w:rsidRPr="0053374E">
        <w:rPr>
          <w:rFonts w:asciiTheme="majorBidi" w:hAnsiTheme="majorBidi" w:cstheme="majorBidi"/>
          <w:i/>
          <w:iCs/>
        </w:rPr>
        <w:t>The Role of Stepparents in Child Custody Disputes</w:t>
      </w:r>
      <w:r w:rsidRPr="0053374E">
        <w:rPr>
          <w:rFonts w:asciiTheme="majorBidi" w:hAnsiTheme="majorBidi" w:cstheme="majorBidi"/>
        </w:rPr>
        <w:t>, 10 B</w:t>
      </w:r>
      <w:r w:rsidRPr="0053374E">
        <w:rPr>
          <w:rFonts w:asciiTheme="majorBidi" w:hAnsiTheme="majorBidi" w:cstheme="majorBidi"/>
          <w:smallCaps/>
        </w:rPr>
        <w:t>ull</w:t>
      </w:r>
      <w:r w:rsidRPr="0053374E">
        <w:rPr>
          <w:rFonts w:asciiTheme="majorBidi" w:hAnsiTheme="majorBidi" w:cstheme="majorBidi"/>
        </w:rPr>
        <w:t xml:space="preserve">. AAPL. 211( 1982). </w:t>
      </w:r>
    </w:p>
  </w:footnote>
  <w:footnote w:id="112">
    <w:p w14:paraId="41E3B4FB" w14:textId="77777777" w:rsidR="00354596" w:rsidRPr="002E1DDC" w:rsidRDefault="00354596">
      <w:pPr>
        <w:pStyle w:val="FootnoteText"/>
        <w:rPr>
          <w:rFonts w:ascii="David" w:hAnsi="David" w:cs="David"/>
          <w:sz w:val="22"/>
          <w:szCs w:val="22"/>
          <w:rtl/>
        </w:rPr>
      </w:pPr>
      <w:r w:rsidRPr="002E1DDC">
        <w:rPr>
          <w:rStyle w:val="FootnoteReference"/>
          <w:rFonts w:ascii="David" w:hAnsi="David" w:cs="David"/>
          <w:sz w:val="22"/>
          <w:szCs w:val="22"/>
        </w:rPr>
        <w:footnoteRef/>
      </w:r>
      <w:r w:rsidRPr="002E1DDC">
        <w:rPr>
          <w:rFonts w:ascii="David" w:hAnsi="David" w:cs="David"/>
          <w:sz w:val="22"/>
          <w:szCs w:val="22"/>
          <w:rtl/>
        </w:rPr>
        <w:t xml:space="preserve"> באופן כללי ראו</w:t>
      </w:r>
    </w:p>
    <w:p w14:paraId="57A2DDF2" w14:textId="5BF1F7D8" w:rsidR="00354596" w:rsidRPr="0053374E" w:rsidRDefault="00354596" w:rsidP="00FB1E3E">
      <w:pPr>
        <w:pStyle w:val="FootnoteText"/>
        <w:bidi w:val="0"/>
        <w:rPr>
          <w:sz w:val="22"/>
          <w:szCs w:val="22"/>
        </w:rPr>
      </w:pPr>
      <w:r w:rsidRPr="0053374E">
        <w:rPr>
          <w:rFonts w:asciiTheme="majorBidi" w:hAnsiTheme="majorBidi" w:cstheme="majorBidi"/>
          <w:smallCaps/>
          <w:sz w:val="22"/>
          <w:szCs w:val="22"/>
        </w:rPr>
        <w:t xml:space="preserve">Lynne Oxhorn-Ringwood, Louise Oxhorn &amp; Marjorie Vego Krausz, Stepwives </w:t>
      </w:r>
      <w:r w:rsidRPr="0053374E">
        <w:rPr>
          <w:rFonts w:asciiTheme="majorBidi" w:hAnsiTheme="majorBidi" w:cstheme="majorBidi" w:hint="cs"/>
          <w:smallCaps/>
          <w:sz w:val="22"/>
          <w:szCs w:val="22"/>
          <w:rtl/>
        </w:rPr>
        <w:t>:</w:t>
      </w:r>
      <w:r w:rsidRPr="0053374E">
        <w:rPr>
          <w:rFonts w:asciiTheme="majorBidi" w:hAnsiTheme="majorBidi" w:cstheme="majorBidi"/>
          <w:smallCaps/>
          <w:sz w:val="22"/>
          <w:szCs w:val="22"/>
        </w:rPr>
        <w:t>10 Steps to Help Ex-Wives and Stepmothers End the Struggle and Put the Kids First</w:t>
      </w:r>
      <w:r w:rsidRPr="0053374E">
        <w:rPr>
          <w:rFonts w:asciiTheme="majorBidi" w:hAnsiTheme="majorBidi" w:cstheme="majorBidi"/>
          <w:sz w:val="22"/>
          <w:szCs w:val="22"/>
        </w:rPr>
        <w:t xml:space="preserve"> (2002);</w:t>
      </w:r>
      <w:r w:rsidRPr="0053374E">
        <w:rPr>
          <w:sz w:val="22"/>
          <w:szCs w:val="22"/>
        </w:rPr>
        <w:t xml:space="preserve"> </w:t>
      </w:r>
    </w:p>
  </w:footnote>
  <w:footnote w:id="113">
    <w:p w14:paraId="1E2961CF" w14:textId="36BDAA80" w:rsidR="00354596" w:rsidRPr="0053374E" w:rsidRDefault="00354596" w:rsidP="0084205A">
      <w:pPr>
        <w:pStyle w:val="FootnoteText"/>
        <w:bidi w:val="0"/>
        <w:rPr>
          <w:sz w:val="22"/>
          <w:szCs w:val="22"/>
        </w:rPr>
      </w:pPr>
      <w:r w:rsidRPr="0053374E">
        <w:rPr>
          <w:rStyle w:val="FootnoteReference"/>
          <w:rFonts w:asciiTheme="majorBidi" w:hAnsiTheme="majorBidi" w:cstheme="majorBidi"/>
          <w:sz w:val="22"/>
          <w:szCs w:val="22"/>
        </w:rPr>
        <w:footnoteRef/>
      </w:r>
      <w:r w:rsidRPr="0053374E">
        <w:rPr>
          <w:rFonts w:asciiTheme="majorBidi" w:hAnsiTheme="majorBidi" w:cstheme="majorBidi"/>
          <w:sz w:val="22"/>
          <w:szCs w:val="22"/>
          <w:rtl/>
        </w:rPr>
        <w:t xml:space="preserve"> </w:t>
      </w:r>
      <w:r w:rsidRPr="0053374E">
        <w:rPr>
          <w:rFonts w:asciiTheme="majorBidi" w:hAnsiTheme="majorBidi" w:cstheme="majorBidi"/>
          <w:sz w:val="22"/>
          <w:szCs w:val="22"/>
        </w:rPr>
        <w:t xml:space="preserve">Audrey cade, </w:t>
      </w:r>
      <w:r w:rsidRPr="0053374E">
        <w:rPr>
          <w:rFonts w:asciiTheme="majorBidi" w:hAnsiTheme="majorBidi" w:cstheme="majorBidi"/>
          <w:i/>
          <w:iCs/>
          <w:sz w:val="22"/>
          <w:szCs w:val="22"/>
        </w:rPr>
        <w:t>Parental Alienation is also a stepparent issue</w:t>
      </w:r>
      <w:r w:rsidRPr="0053374E">
        <w:rPr>
          <w:rFonts w:asciiTheme="majorBidi" w:hAnsiTheme="majorBidi" w:cstheme="majorBidi"/>
          <w:sz w:val="22"/>
          <w:szCs w:val="22"/>
        </w:rPr>
        <w:t>, Stepparent magazine</w:t>
      </w:r>
      <w:r w:rsidRPr="0053374E">
        <w:rPr>
          <w:sz w:val="22"/>
          <w:szCs w:val="22"/>
        </w:rPr>
        <w:t xml:space="preserve"> </w:t>
      </w:r>
      <w:r w:rsidRPr="0053374E">
        <w:rPr>
          <w:rFonts w:asciiTheme="majorBidi" w:hAnsiTheme="majorBidi" w:cstheme="majorBidi"/>
          <w:sz w:val="22"/>
          <w:szCs w:val="22"/>
        </w:rPr>
        <w:t>(S</w:t>
      </w:r>
      <w:r w:rsidRPr="0053374E">
        <w:rPr>
          <w:rFonts w:asciiTheme="majorBidi" w:hAnsiTheme="majorBidi" w:cstheme="majorBidi"/>
          <w:smallCaps/>
          <w:sz w:val="22"/>
          <w:szCs w:val="22"/>
        </w:rPr>
        <w:t>ept</w:t>
      </w:r>
      <w:r w:rsidRPr="0053374E">
        <w:rPr>
          <w:rFonts w:asciiTheme="majorBidi" w:hAnsiTheme="majorBidi" w:cstheme="majorBidi"/>
          <w:sz w:val="22"/>
          <w:szCs w:val="22"/>
        </w:rPr>
        <w:t>. 5, 2017)</w:t>
      </w:r>
      <w:r w:rsidRPr="0053374E">
        <w:rPr>
          <w:sz w:val="22"/>
          <w:szCs w:val="22"/>
        </w:rPr>
        <w:t xml:space="preserve">  </w:t>
      </w:r>
    </w:p>
    <w:p w14:paraId="160A6AA1" w14:textId="6AB43A28" w:rsidR="00354596" w:rsidRPr="0053374E" w:rsidRDefault="00354596" w:rsidP="0084205A">
      <w:pPr>
        <w:pStyle w:val="FootnoteText"/>
        <w:bidi w:val="0"/>
        <w:rPr>
          <w:sz w:val="22"/>
          <w:szCs w:val="22"/>
        </w:rPr>
      </w:pPr>
      <w:r w:rsidRPr="0053374E">
        <w:rPr>
          <w:rFonts w:asciiTheme="majorBidi" w:hAnsiTheme="majorBidi" w:cstheme="majorBidi"/>
          <w:sz w:val="22"/>
          <w:szCs w:val="22"/>
        </w:rPr>
        <w:t>http://stepparentmagazine.com/parental-alienation-is-also-a-stepparent-issue/</w:t>
      </w:r>
    </w:p>
  </w:footnote>
  <w:footnote w:id="114">
    <w:p w14:paraId="28A957FD" w14:textId="07B7A858" w:rsidR="00354596" w:rsidRPr="0053374E" w:rsidRDefault="00354596" w:rsidP="0084205A">
      <w:pPr>
        <w:pStyle w:val="FootnoteText"/>
        <w:bidi w:val="0"/>
        <w:rPr>
          <w:sz w:val="22"/>
          <w:szCs w:val="22"/>
        </w:rPr>
      </w:pPr>
      <w:r w:rsidRPr="0053374E">
        <w:rPr>
          <w:rStyle w:val="FootnoteReference"/>
          <w:rFonts w:asciiTheme="majorBidi" w:hAnsiTheme="majorBidi" w:cstheme="majorBidi"/>
          <w:sz w:val="22"/>
          <w:szCs w:val="22"/>
        </w:rPr>
        <w:footnoteRef/>
      </w:r>
      <w:r w:rsidRPr="0053374E">
        <w:rPr>
          <w:rFonts w:asciiTheme="majorBidi" w:hAnsiTheme="majorBidi" w:cstheme="majorBidi"/>
          <w:sz w:val="22"/>
          <w:szCs w:val="22"/>
          <w:rtl/>
        </w:rPr>
        <w:t xml:space="preserve"> </w:t>
      </w:r>
      <w:r w:rsidRPr="0053374E">
        <w:rPr>
          <w:rFonts w:asciiTheme="majorBidi" w:hAnsiTheme="majorBidi" w:cstheme="majorBidi"/>
          <w:sz w:val="22"/>
          <w:szCs w:val="22"/>
        </w:rPr>
        <w:t>Shamna, How Step-parent cause parent alienation, Maccabolo</w:t>
      </w:r>
      <w:r w:rsidRPr="0053374E">
        <w:rPr>
          <w:sz w:val="22"/>
          <w:szCs w:val="22"/>
        </w:rPr>
        <w:t xml:space="preserve">, </w:t>
      </w:r>
      <w:r w:rsidRPr="0053374E">
        <w:rPr>
          <w:rFonts w:asciiTheme="majorBidi" w:hAnsiTheme="majorBidi" w:cstheme="majorBidi"/>
          <w:sz w:val="22"/>
          <w:szCs w:val="22"/>
        </w:rPr>
        <w:t>https://maccablo.com/step-parents-cause-parental-alienation</w:t>
      </w:r>
    </w:p>
  </w:footnote>
  <w:footnote w:id="115">
    <w:p w14:paraId="5EF691DB" w14:textId="215E39CF" w:rsidR="00354596" w:rsidRPr="0053374E" w:rsidRDefault="00354596" w:rsidP="0084205A">
      <w:pPr>
        <w:pStyle w:val="FootnoteText"/>
        <w:bidi w:val="0"/>
        <w:rPr>
          <w:rFonts w:asciiTheme="majorBidi" w:hAnsiTheme="majorBidi" w:cstheme="majorBidi"/>
          <w:sz w:val="22"/>
          <w:szCs w:val="22"/>
        </w:rPr>
      </w:pPr>
      <w:r w:rsidRPr="0053374E">
        <w:rPr>
          <w:rStyle w:val="FootnoteReference"/>
          <w:sz w:val="22"/>
          <w:szCs w:val="22"/>
        </w:rPr>
        <w:footnoteRef/>
      </w:r>
      <w:r w:rsidRPr="0053374E">
        <w:rPr>
          <w:sz w:val="22"/>
          <w:szCs w:val="22"/>
          <w:rtl/>
        </w:rPr>
        <w:t xml:space="preserve"> </w:t>
      </w:r>
      <w:r w:rsidRPr="0053374E">
        <w:rPr>
          <w:rFonts w:asciiTheme="majorBidi" w:hAnsiTheme="majorBidi" w:cstheme="majorBidi"/>
          <w:sz w:val="22"/>
          <w:szCs w:val="22"/>
        </w:rPr>
        <w:t xml:space="preserve">Kay Pasley, David C. Dollahite &amp;Marilyn Ihinger-Tallman, </w:t>
      </w:r>
      <w:r w:rsidRPr="0053374E">
        <w:rPr>
          <w:rFonts w:asciiTheme="majorBidi" w:hAnsiTheme="majorBidi" w:cstheme="majorBidi"/>
          <w:i/>
          <w:iCs/>
          <w:sz w:val="22"/>
          <w:szCs w:val="22"/>
        </w:rPr>
        <w:t>Bridging the Gap: Clinical Applications of Research Findings on the Spouse and Stepparent Roles in Remarriage</w:t>
      </w:r>
      <w:r w:rsidRPr="0053374E">
        <w:rPr>
          <w:rFonts w:asciiTheme="majorBidi" w:hAnsiTheme="majorBidi" w:cstheme="majorBidi"/>
          <w:sz w:val="22"/>
          <w:szCs w:val="22"/>
        </w:rPr>
        <w:t xml:space="preserve"> 42 </w:t>
      </w:r>
      <w:r w:rsidRPr="0053374E">
        <w:rPr>
          <w:rFonts w:asciiTheme="majorBidi" w:hAnsiTheme="majorBidi" w:cstheme="majorBidi"/>
          <w:smallCaps/>
          <w:sz w:val="22"/>
          <w:szCs w:val="22"/>
        </w:rPr>
        <w:t>Fam. Rel</w:t>
      </w:r>
      <w:r w:rsidRPr="0053374E">
        <w:rPr>
          <w:rFonts w:asciiTheme="majorBidi" w:hAnsiTheme="majorBidi" w:cstheme="majorBidi"/>
          <w:sz w:val="22"/>
          <w:szCs w:val="22"/>
        </w:rPr>
        <w:t xml:space="preserve">. (1993) 315,321. </w:t>
      </w:r>
    </w:p>
  </w:footnote>
  <w:footnote w:id="116">
    <w:p w14:paraId="344656E6" w14:textId="36DC7219" w:rsidR="00354596" w:rsidRPr="0053374E" w:rsidRDefault="00354596" w:rsidP="0084205A">
      <w:pPr>
        <w:pStyle w:val="FootnoteText"/>
        <w:bidi w:val="0"/>
        <w:rPr>
          <w:sz w:val="22"/>
          <w:szCs w:val="22"/>
        </w:rPr>
      </w:pPr>
      <w:r w:rsidRPr="0053374E">
        <w:rPr>
          <w:rStyle w:val="FootnoteReference"/>
          <w:rFonts w:asciiTheme="majorBidi" w:hAnsiTheme="majorBidi" w:cstheme="majorBidi"/>
          <w:sz w:val="22"/>
          <w:szCs w:val="22"/>
        </w:rPr>
        <w:footnoteRef/>
      </w:r>
      <w:r w:rsidRPr="0053374E">
        <w:rPr>
          <w:rFonts w:asciiTheme="majorBidi" w:hAnsiTheme="majorBidi" w:cstheme="majorBidi"/>
          <w:sz w:val="22"/>
          <w:szCs w:val="22"/>
          <w:rtl/>
        </w:rPr>
        <w:t xml:space="preserve"> </w:t>
      </w:r>
      <w:r w:rsidRPr="0053374E">
        <w:rPr>
          <w:rFonts w:asciiTheme="majorBidi" w:hAnsiTheme="majorBidi" w:cstheme="majorBidi"/>
          <w:sz w:val="22"/>
          <w:szCs w:val="22"/>
        </w:rPr>
        <w:t xml:space="preserve"> </w:t>
      </w:r>
      <w:r w:rsidRPr="0053374E">
        <w:rPr>
          <w:rFonts w:asciiTheme="majorBidi" w:hAnsiTheme="majorBidi" w:cstheme="majorBidi"/>
          <w:i/>
          <w:iCs/>
          <w:sz w:val="22"/>
          <w:szCs w:val="22"/>
        </w:rPr>
        <w:t>Id</w:t>
      </w:r>
      <w:r w:rsidRPr="0053374E">
        <w:rPr>
          <w:sz w:val="22"/>
          <w:szCs w:val="22"/>
        </w:rPr>
        <w:t>.</w:t>
      </w:r>
    </w:p>
  </w:footnote>
  <w:footnote w:id="117">
    <w:p w14:paraId="00714ED2" w14:textId="3592B06A" w:rsidR="00354596" w:rsidRPr="002E1DDC" w:rsidRDefault="00354596" w:rsidP="00ED7985">
      <w:pPr>
        <w:pStyle w:val="FootnoteText"/>
        <w:rPr>
          <w:rFonts w:ascii="David" w:hAnsi="David" w:cs="David"/>
          <w:sz w:val="22"/>
          <w:szCs w:val="22"/>
          <w:rtl/>
        </w:rPr>
      </w:pPr>
      <w:r w:rsidRPr="0053374E">
        <w:rPr>
          <w:rStyle w:val="FootnoteReference"/>
          <w:sz w:val="22"/>
          <w:szCs w:val="22"/>
        </w:rPr>
        <w:footnoteRef/>
      </w:r>
      <w:r w:rsidRPr="0053374E">
        <w:rPr>
          <w:sz w:val="22"/>
          <w:szCs w:val="22"/>
          <w:rtl/>
        </w:rPr>
        <w:t xml:space="preserve"> </w:t>
      </w:r>
      <w:r w:rsidRPr="002E1DDC">
        <w:rPr>
          <w:rFonts w:ascii="David" w:hAnsi="David" w:cs="David"/>
          <w:sz w:val="22"/>
          <w:szCs w:val="22"/>
          <w:rtl/>
        </w:rPr>
        <w:t xml:space="preserve">פער יכול להיות קיים כבר בקשר שבין ההורים המשפטיים וזאת עקב העלייה בשיעורם של נישואים בינדתיים לאורך השנים, </w:t>
      </w:r>
    </w:p>
    <w:p w14:paraId="5EE5AB2D" w14:textId="5C6DF7D9" w:rsidR="00354596" w:rsidRPr="002E1DDC" w:rsidRDefault="00354596" w:rsidP="002E1DDC">
      <w:pPr>
        <w:pStyle w:val="FootnoteText"/>
        <w:rPr>
          <w:rFonts w:ascii="David" w:hAnsi="David" w:cs="David"/>
          <w:sz w:val="22"/>
          <w:szCs w:val="22"/>
        </w:rPr>
      </w:pPr>
      <w:r w:rsidRPr="002E1DDC">
        <w:rPr>
          <w:rFonts w:ascii="David" w:hAnsi="David" w:cs="David"/>
          <w:sz w:val="22"/>
          <w:szCs w:val="22"/>
        </w:rPr>
        <w:t xml:space="preserve">Interfaith marriage </w:t>
      </w:r>
      <w:r w:rsidRPr="002E1DDC">
        <w:rPr>
          <w:rFonts w:ascii="David" w:hAnsi="David" w:cs="David"/>
          <w:sz w:val="22"/>
          <w:szCs w:val="22"/>
          <w:rtl/>
        </w:rPr>
        <w:t xml:space="preserve"> </w:t>
      </w:r>
      <w:r w:rsidRPr="002E1DDC">
        <w:rPr>
          <w:rFonts w:ascii="David" w:hAnsi="David" w:cs="David"/>
          <w:sz w:val="22"/>
          <w:szCs w:val="22"/>
        </w:rPr>
        <w:t>mixed marriage,</w:t>
      </w:r>
    </w:p>
  </w:footnote>
  <w:footnote w:id="118">
    <w:p w14:paraId="0F7FAFE1" w14:textId="3EE09B4D" w:rsidR="00354596" w:rsidRPr="002E1DDC" w:rsidRDefault="00354596" w:rsidP="002E1DDC">
      <w:pPr>
        <w:pStyle w:val="FootnoteText"/>
        <w:jc w:val="both"/>
        <w:rPr>
          <w:rFonts w:ascii="David" w:hAnsi="David" w:cs="David"/>
          <w:sz w:val="22"/>
          <w:szCs w:val="22"/>
          <w:rtl/>
        </w:rPr>
      </w:pPr>
      <w:r w:rsidRPr="0053374E">
        <w:rPr>
          <w:rStyle w:val="FootnoteReference"/>
          <w:sz w:val="22"/>
          <w:szCs w:val="22"/>
        </w:rPr>
        <w:footnoteRef/>
      </w:r>
      <w:r w:rsidRPr="0053374E">
        <w:rPr>
          <w:sz w:val="22"/>
          <w:szCs w:val="22"/>
          <w:rtl/>
        </w:rPr>
        <w:t xml:space="preserve"> </w:t>
      </w:r>
      <w:r w:rsidRPr="002E1DDC">
        <w:rPr>
          <w:rFonts w:ascii="David" w:hAnsi="David" w:cs="David"/>
          <w:sz w:val="22"/>
          <w:szCs w:val="22"/>
          <w:rtl/>
        </w:rPr>
        <w:t xml:space="preserve">לעיתים פער כזה קיים בין שני ההורים המשפטיים עצמם ולעיתים הוא מאפיין רק את ההורה החורג לעומת ההורה הלא משמורן. </w:t>
      </w:r>
    </w:p>
  </w:footnote>
  <w:footnote w:id="119">
    <w:p w14:paraId="09809551" w14:textId="7C757153" w:rsidR="00354596" w:rsidRPr="002E1DDC" w:rsidRDefault="00354596" w:rsidP="002E1DDC">
      <w:pPr>
        <w:pStyle w:val="FootnoteText"/>
        <w:jc w:val="both"/>
        <w:rPr>
          <w:rFonts w:ascii="David" w:hAnsi="David" w:cs="David"/>
          <w:sz w:val="22"/>
          <w:szCs w:val="22"/>
          <w:rtl/>
        </w:rPr>
      </w:pPr>
      <w:r w:rsidRPr="002E1DDC">
        <w:rPr>
          <w:rStyle w:val="FootnoteReference"/>
          <w:rFonts w:ascii="David" w:hAnsi="David" w:cs="David"/>
          <w:sz w:val="22"/>
          <w:szCs w:val="22"/>
        </w:rPr>
        <w:footnoteRef/>
      </w:r>
      <w:r w:rsidRPr="002E1DDC">
        <w:rPr>
          <w:rFonts w:ascii="David" w:hAnsi="David" w:cs="David"/>
          <w:sz w:val="22"/>
          <w:szCs w:val="22"/>
          <w:rtl/>
        </w:rPr>
        <w:t xml:space="preserve"> על המורכבות של סכסוכים אלה במגוון הקשרים ראו:</w:t>
      </w:r>
    </w:p>
    <w:p w14:paraId="24ECFD26" w14:textId="79B8C432" w:rsidR="00354596" w:rsidRPr="0053374E" w:rsidRDefault="00354596" w:rsidP="00E25656">
      <w:pPr>
        <w:autoSpaceDE w:val="0"/>
        <w:autoSpaceDN w:val="0"/>
        <w:bidi w:val="0"/>
        <w:adjustRightInd w:val="0"/>
        <w:spacing w:after="0" w:line="240" w:lineRule="auto"/>
        <w:rPr>
          <w:rFonts w:asciiTheme="majorBidi" w:hAnsiTheme="majorBidi" w:cstheme="majorBidi"/>
          <w:rtl/>
        </w:rPr>
      </w:pPr>
      <w:r w:rsidRPr="0053374E">
        <w:rPr>
          <w:rFonts w:asciiTheme="majorBidi" w:hAnsiTheme="majorBidi" w:cstheme="majorBidi"/>
        </w:rPr>
        <w:t xml:space="preserve"> Ido Shahar, </w:t>
      </w:r>
      <w:r w:rsidRPr="0053374E">
        <w:rPr>
          <w:rFonts w:asciiTheme="majorBidi" w:hAnsiTheme="majorBidi" w:cstheme="majorBidi"/>
          <w:i/>
          <w:iCs/>
        </w:rPr>
        <w:t>When “Mixed” Marriages Fall Apart: A Socio-LegalPerspective</w:t>
      </w:r>
      <w:r w:rsidRPr="0053374E">
        <w:rPr>
          <w:rFonts w:asciiTheme="majorBidi" w:hAnsiTheme="majorBidi" w:cstheme="majorBidi"/>
        </w:rPr>
        <w:t>, 36 J. I</w:t>
      </w:r>
      <w:r w:rsidRPr="0053374E">
        <w:rPr>
          <w:rFonts w:asciiTheme="majorBidi" w:hAnsiTheme="majorBidi" w:cstheme="majorBidi"/>
          <w:smallCaps/>
        </w:rPr>
        <w:t>sraeli</w:t>
      </w:r>
      <w:r w:rsidRPr="0053374E">
        <w:rPr>
          <w:rFonts w:asciiTheme="majorBidi" w:hAnsiTheme="majorBidi" w:cstheme="majorBidi"/>
        </w:rPr>
        <w:t xml:space="preserve"> </w:t>
      </w:r>
      <w:r w:rsidRPr="0053374E">
        <w:rPr>
          <w:rFonts w:asciiTheme="majorBidi" w:hAnsiTheme="majorBidi" w:cstheme="majorBidi"/>
          <w:smallCaps/>
        </w:rPr>
        <w:t>Hist</w:t>
      </w:r>
      <w:r w:rsidRPr="0053374E">
        <w:rPr>
          <w:rFonts w:asciiTheme="majorBidi" w:hAnsiTheme="majorBidi" w:cstheme="majorBidi"/>
        </w:rPr>
        <w:t xml:space="preserve">. 313 (2018); Jocelyn E. Strauber, A Deal Is a Deal: Antenuptial Agreements Regarding the Religious Upbringing of Children Should Be Enforceable, 47 Duke L.J. 971 (1998); </w:t>
      </w:r>
    </w:p>
  </w:footnote>
  <w:footnote w:id="120">
    <w:p w14:paraId="6682B097" w14:textId="452CCA41" w:rsidR="00354596" w:rsidRPr="0053374E" w:rsidRDefault="00354596" w:rsidP="0084205A">
      <w:pPr>
        <w:pStyle w:val="FootnoteText"/>
        <w:bidi w:val="0"/>
        <w:rPr>
          <w:rFonts w:asciiTheme="majorBidi" w:hAnsiTheme="majorBidi" w:cstheme="majorBidi"/>
          <w:sz w:val="22"/>
          <w:szCs w:val="22"/>
        </w:rPr>
      </w:pPr>
      <w:r w:rsidRPr="0053374E">
        <w:rPr>
          <w:rStyle w:val="FootnoteReference"/>
          <w:sz w:val="22"/>
          <w:szCs w:val="22"/>
        </w:rPr>
        <w:footnoteRef/>
      </w:r>
      <w:r w:rsidRPr="0053374E">
        <w:rPr>
          <w:sz w:val="22"/>
          <w:szCs w:val="22"/>
          <w:rtl/>
        </w:rPr>
        <w:t xml:space="preserve"> </w:t>
      </w:r>
      <w:r w:rsidRPr="0053374E">
        <w:rPr>
          <w:rFonts w:asciiTheme="majorBidi" w:hAnsiTheme="majorBidi" w:cstheme="majorBidi"/>
          <w:color w:val="131413"/>
          <w:sz w:val="22"/>
          <w:szCs w:val="22"/>
        </w:rPr>
        <w:t xml:space="preserve">Matthijs Kalmijn, </w:t>
      </w:r>
      <w:r w:rsidRPr="0053374E">
        <w:rPr>
          <w:rFonts w:asciiTheme="majorBidi" w:hAnsiTheme="majorBidi" w:cstheme="majorBidi"/>
          <w:i/>
          <w:iCs/>
          <w:color w:val="131413"/>
          <w:sz w:val="22"/>
          <w:szCs w:val="22"/>
        </w:rPr>
        <w:t>Family Disruption and Intergenerational Reproduction: Comparing the Influences of Married Parents</w:t>
      </w:r>
      <w:r w:rsidRPr="0053374E">
        <w:rPr>
          <w:rFonts w:asciiTheme="majorBidi" w:hAnsiTheme="majorBidi" w:cstheme="majorBidi"/>
          <w:color w:val="131413"/>
          <w:sz w:val="22"/>
          <w:szCs w:val="22"/>
        </w:rPr>
        <w:t xml:space="preserve">, </w:t>
      </w:r>
      <w:r w:rsidRPr="0053374E">
        <w:rPr>
          <w:rFonts w:asciiTheme="majorBidi" w:hAnsiTheme="majorBidi" w:cstheme="majorBidi"/>
          <w:i/>
          <w:iCs/>
          <w:color w:val="131413"/>
          <w:sz w:val="22"/>
          <w:szCs w:val="22"/>
        </w:rPr>
        <w:t>Divorced Parents, and Stepparents</w:t>
      </w:r>
      <w:r w:rsidRPr="0053374E">
        <w:rPr>
          <w:rFonts w:asciiTheme="majorBidi" w:hAnsiTheme="majorBidi" w:cstheme="majorBidi"/>
          <w:color w:val="131413"/>
          <w:sz w:val="22"/>
          <w:szCs w:val="22"/>
        </w:rPr>
        <w:t>, 52 Demography 811</w:t>
      </w:r>
      <w:r w:rsidRPr="0053374E">
        <w:rPr>
          <w:rFonts w:asciiTheme="majorBidi" w:eastAsia="FtsfdqAdvTT3713a231+20" w:hAnsiTheme="majorBidi" w:cstheme="majorBidi"/>
          <w:color w:val="131413"/>
          <w:sz w:val="22"/>
          <w:szCs w:val="22"/>
        </w:rPr>
        <w:t xml:space="preserve"> (2015).</w:t>
      </w:r>
    </w:p>
  </w:footnote>
  <w:footnote w:id="121">
    <w:p w14:paraId="3EBD794E" w14:textId="77777777" w:rsidR="00354596" w:rsidRPr="002E1DDC" w:rsidRDefault="00354596" w:rsidP="002E1DDC">
      <w:pPr>
        <w:pStyle w:val="FootnoteText"/>
        <w:jc w:val="both"/>
        <w:rPr>
          <w:rFonts w:ascii="David" w:hAnsi="David" w:cs="David"/>
          <w:sz w:val="22"/>
          <w:szCs w:val="22"/>
          <w:rtl/>
        </w:rPr>
      </w:pPr>
      <w:r w:rsidRPr="0053374E">
        <w:rPr>
          <w:rStyle w:val="FootnoteReference"/>
          <w:sz w:val="22"/>
          <w:szCs w:val="22"/>
        </w:rPr>
        <w:footnoteRef/>
      </w:r>
      <w:r w:rsidRPr="0053374E">
        <w:rPr>
          <w:sz w:val="22"/>
          <w:szCs w:val="22"/>
          <w:rtl/>
        </w:rPr>
        <w:t xml:space="preserve"> </w:t>
      </w:r>
      <w:r w:rsidRPr="002E1DDC">
        <w:rPr>
          <w:rFonts w:ascii="David" w:hAnsi="David" w:cs="David"/>
          <w:sz w:val="22"/>
          <w:szCs w:val="22"/>
          <w:rtl/>
        </w:rPr>
        <w:t xml:space="preserve">הסיבה להשפעה של ההורה המוליד על היבטים חינוכיים נעוצה בשני גורמים מרכזיים, האחד העובדה כי רמת המשכל ה- </w:t>
      </w:r>
      <w:r w:rsidRPr="002E1DDC">
        <w:rPr>
          <w:rFonts w:ascii="David" w:hAnsi="David" w:cs="David"/>
          <w:sz w:val="22"/>
          <w:szCs w:val="22"/>
        </w:rPr>
        <w:t>IQ</w:t>
      </w:r>
      <w:r w:rsidRPr="002E1DDC">
        <w:rPr>
          <w:rFonts w:ascii="David" w:hAnsi="David" w:cs="David"/>
          <w:sz w:val="22"/>
          <w:szCs w:val="22"/>
          <w:rtl/>
        </w:rPr>
        <w:t xml:space="preserve"> של הילד מושפעת מגנטיקה, והשני, שבהחלטות הקשורות לנתיב החינוכי של הילד – למשל, למוסד בו ילמד, גם ההורה ה- </w:t>
      </w:r>
      <w:r w:rsidRPr="002E1DDC">
        <w:rPr>
          <w:rFonts w:ascii="David" w:hAnsi="David" w:cs="David"/>
          <w:sz w:val="22"/>
          <w:szCs w:val="22"/>
        </w:rPr>
        <w:t xml:space="preserve">nonresidential </w:t>
      </w:r>
      <w:r w:rsidRPr="002E1DDC">
        <w:rPr>
          <w:rFonts w:ascii="David" w:hAnsi="David" w:cs="David"/>
          <w:sz w:val="22"/>
          <w:szCs w:val="22"/>
          <w:rtl/>
        </w:rPr>
        <w:t xml:space="preserve"> שותף.</w:t>
      </w:r>
    </w:p>
  </w:footnote>
  <w:footnote w:id="122">
    <w:p w14:paraId="05E3871F" w14:textId="77777777" w:rsidR="00354596" w:rsidRPr="002E1DDC" w:rsidRDefault="00354596" w:rsidP="002E1DDC">
      <w:pPr>
        <w:pStyle w:val="FootnoteText"/>
        <w:jc w:val="both"/>
        <w:rPr>
          <w:rFonts w:ascii="David" w:hAnsi="David" w:cs="David" w:hint="cs"/>
          <w:sz w:val="22"/>
          <w:szCs w:val="22"/>
          <w:rtl/>
        </w:rPr>
      </w:pPr>
      <w:r w:rsidRPr="002E1DDC">
        <w:rPr>
          <w:rStyle w:val="FootnoteReference"/>
          <w:rFonts w:ascii="David" w:hAnsi="David" w:cs="David"/>
          <w:sz w:val="22"/>
          <w:szCs w:val="22"/>
        </w:rPr>
        <w:footnoteRef/>
      </w:r>
      <w:r w:rsidRPr="002E1DDC">
        <w:rPr>
          <w:rFonts w:ascii="David" w:hAnsi="David" w:cs="David"/>
          <w:sz w:val="22"/>
          <w:szCs w:val="22"/>
          <w:rtl/>
        </w:rPr>
        <w:t xml:space="preserve"> לדוגמה בפרשה המוזכרת כאן:</w:t>
      </w:r>
    </w:p>
    <w:p w14:paraId="04C36551" w14:textId="1C48CABB" w:rsidR="00354596" w:rsidRPr="0053374E" w:rsidRDefault="00354596" w:rsidP="002E1DDC">
      <w:pPr>
        <w:autoSpaceDE w:val="0"/>
        <w:autoSpaceDN w:val="0"/>
        <w:bidi w:val="0"/>
        <w:adjustRightInd w:val="0"/>
        <w:spacing w:after="0" w:line="240" w:lineRule="auto"/>
        <w:jc w:val="both"/>
        <w:rPr>
          <w:rFonts w:ascii="David" w:hAnsi="David" w:cs="David"/>
          <w:color w:val="000000"/>
        </w:rPr>
      </w:pPr>
      <w:r w:rsidRPr="0053374E">
        <w:rPr>
          <w:rFonts w:ascii="David" w:hAnsi="David" w:cs="David"/>
          <w:color w:val="000000"/>
        </w:rPr>
        <w:t xml:space="preserve">Steven M. Zarowny, </w:t>
      </w:r>
      <w:r w:rsidRPr="0053374E">
        <w:rPr>
          <w:rFonts w:ascii="David" w:hAnsi="David" w:cs="David"/>
          <w:i/>
          <w:iCs/>
          <w:color w:val="000000"/>
        </w:rPr>
        <w:t xml:space="preserve">Religious Upbringing of Children </w:t>
      </w:r>
      <w:r w:rsidRPr="0053374E">
        <w:rPr>
          <w:rFonts w:ascii="David" w:hAnsi="David" w:cs="David" w:hint="cs"/>
          <w:i/>
          <w:iCs/>
          <w:color w:val="000000"/>
        </w:rPr>
        <w:t>A</w:t>
      </w:r>
      <w:r w:rsidRPr="0053374E">
        <w:rPr>
          <w:rFonts w:ascii="David" w:hAnsi="David" w:cs="David"/>
          <w:i/>
          <w:iCs/>
          <w:color w:val="000000"/>
        </w:rPr>
        <w:t>fter Divorce</w:t>
      </w:r>
      <w:r w:rsidRPr="0053374E">
        <w:rPr>
          <w:rFonts w:ascii="David" w:hAnsi="David" w:cs="David"/>
          <w:color w:val="000000"/>
        </w:rPr>
        <w:t>, 56 Notre Dame L. R</w:t>
      </w:r>
      <w:r w:rsidRPr="0053374E">
        <w:rPr>
          <w:rFonts w:ascii="David" w:hAnsi="David" w:cs="David"/>
          <w:smallCaps/>
          <w:color w:val="000000"/>
        </w:rPr>
        <w:t>ev</w:t>
      </w:r>
      <w:r w:rsidRPr="0053374E">
        <w:rPr>
          <w:rFonts w:ascii="David" w:hAnsi="David" w:cs="David"/>
          <w:color w:val="000000"/>
        </w:rPr>
        <w:t>. 160 (1980).</w:t>
      </w:r>
    </w:p>
  </w:footnote>
  <w:footnote w:id="123">
    <w:p w14:paraId="3FB1B058" w14:textId="6D06CC36" w:rsidR="00354596" w:rsidRPr="0053374E" w:rsidRDefault="00354596" w:rsidP="00854966">
      <w:pPr>
        <w:pStyle w:val="FootnoteText"/>
        <w:jc w:val="both"/>
        <w:rPr>
          <w:sz w:val="22"/>
          <w:szCs w:val="22"/>
          <w:rtl/>
        </w:rPr>
      </w:pPr>
      <w:r w:rsidRPr="0053374E">
        <w:rPr>
          <w:rStyle w:val="FootnoteReference"/>
          <w:sz w:val="22"/>
          <w:szCs w:val="22"/>
        </w:rPr>
        <w:footnoteRef/>
      </w:r>
      <w:r w:rsidRPr="0053374E">
        <w:rPr>
          <w:sz w:val="22"/>
          <w:szCs w:val="22"/>
          <w:rtl/>
        </w:rPr>
        <w:t xml:space="preserve"> </w:t>
      </w:r>
      <w:r w:rsidRPr="0053374E">
        <w:rPr>
          <w:rFonts w:asciiTheme="majorBidi" w:hAnsiTheme="majorBidi" w:cs="David" w:hint="cs"/>
          <w:sz w:val="22"/>
          <w:szCs w:val="22"/>
          <w:rtl/>
        </w:rPr>
        <w:t>בהקשר זה חובות של ההורה החורג כלפי ההורה הלא משמורן, אבל בהקשרים אחרים גם חובות מצידו של ההורה הלא משמורן כלפי ההורה החורג.</w:t>
      </w:r>
    </w:p>
  </w:footnote>
  <w:footnote w:id="124">
    <w:p w14:paraId="48ACFEC9" w14:textId="6A0F794D" w:rsidR="00354596" w:rsidRPr="0053374E" w:rsidRDefault="00354596" w:rsidP="00C40CBA">
      <w:pPr>
        <w:pStyle w:val="FootnoteText"/>
        <w:bidi w:val="0"/>
        <w:rPr>
          <w:sz w:val="22"/>
          <w:szCs w:val="22"/>
        </w:rPr>
      </w:pPr>
      <w:r w:rsidRPr="0053374E">
        <w:rPr>
          <w:rStyle w:val="FootnoteReference"/>
          <w:sz w:val="22"/>
          <w:szCs w:val="22"/>
        </w:rPr>
        <w:footnoteRef/>
      </w:r>
      <w:r w:rsidRPr="0053374E">
        <w:rPr>
          <w:sz w:val="22"/>
          <w:szCs w:val="22"/>
          <w:rtl/>
        </w:rPr>
        <w:t xml:space="preserve"> </w:t>
      </w:r>
      <w:r w:rsidRPr="0053374E">
        <w:rPr>
          <w:rFonts w:asciiTheme="majorBidi" w:hAnsiTheme="majorBidi" w:cstheme="majorBidi"/>
          <w:sz w:val="22"/>
          <w:szCs w:val="22"/>
        </w:rPr>
        <w:t xml:space="preserve">Elizabeth S. Scott &amp; Robert E. Scott, </w:t>
      </w:r>
      <w:r w:rsidRPr="0053374E">
        <w:rPr>
          <w:rFonts w:asciiTheme="majorBidi" w:hAnsiTheme="majorBidi" w:cstheme="majorBidi"/>
          <w:i/>
          <w:iCs/>
          <w:sz w:val="22"/>
          <w:szCs w:val="22"/>
        </w:rPr>
        <w:t>Parents as Fiduciaries</w:t>
      </w:r>
      <w:r w:rsidRPr="0053374E">
        <w:rPr>
          <w:rFonts w:asciiTheme="majorBidi" w:hAnsiTheme="majorBidi" w:cstheme="majorBidi"/>
          <w:sz w:val="22"/>
          <w:szCs w:val="22"/>
        </w:rPr>
        <w:t>, 81 Va. L. Rev. 2401, 2436-2437 (1995)</w:t>
      </w:r>
      <w:r w:rsidR="00C40CBA">
        <w:rPr>
          <w:sz w:val="22"/>
          <w:szCs w:val="22"/>
        </w:rPr>
        <w:t>.</w:t>
      </w:r>
    </w:p>
  </w:footnote>
  <w:footnote w:id="125">
    <w:p w14:paraId="2A4D70C0" w14:textId="77777777" w:rsidR="00354596" w:rsidRPr="0053374E" w:rsidRDefault="00354596" w:rsidP="00785572">
      <w:pPr>
        <w:pStyle w:val="FootnoteText"/>
        <w:tabs>
          <w:tab w:val="left" w:pos="956"/>
        </w:tabs>
        <w:bidi w:val="0"/>
        <w:rPr>
          <w:sz w:val="22"/>
          <w:szCs w:val="22"/>
        </w:rPr>
      </w:pPr>
      <w:r w:rsidRPr="0053374E">
        <w:rPr>
          <w:rStyle w:val="FootnoteReference"/>
          <w:sz w:val="22"/>
          <w:szCs w:val="22"/>
        </w:rPr>
        <w:footnoteRef/>
      </w:r>
      <w:r w:rsidRPr="0053374E">
        <w:rPr>
          <w:sz w:val="22"/>
          <w:szCs w:val="22"/>
          <w:rtl/>
        </w:rPr>
        <w:t xml:space="preserve"> </w:t>
      </w:r>
      <w:r w:rsidRPr="0053374E">
        <w:rPr>
          <w:rFonts w:asciiTheme="majorBidi" w:hAnsiTheme="majorBidi" w:cstheme="majorBidi"/>
          <w:color w:val="000000"/>
          <w:sz w:val="22"/>
          <w:szCs w:val="22"/>
        </w:rPr>
        <w:t xml:space="preserve">Steven M. Zarowny, </w:t>
      </w:r>
      <w:r w:rsidRPr="0053374E">
        <w:rPr>
          <w:rFonts w:asciiTheme="majorBidi" w:hAnsiTheme="majorBidi" w:cstheme="majorBidi"/>
          <w:i/>
          <w:iCs/>
          <w:color w:val="000000"/>
          <w:sz w:val="22"/>
          <w:szCs w:val="22"/>
        </w:rPr>
        <w:t xml:space="preserve">Religious Upbringing of Children </w:t>
      </w:r>
      <w:r w:rsidRPr="0053374E">
        <w:rPr>
          <w:rFonts w:asciiTheme="majorBidi" w:hAnsiTheme="majorBidi" w:cstheme="majorBidi" w:hint="cs"/>
          <w:i/>
          <w:iCs/>
          <w:color w:val="000000"/>
          <w:sz w:val="22"/>
          <w:szCs w:val="22"/>
        </w:rPr>
        <w:t>A</w:t>
      </w:r>
      <w:r w:rsidRPr="0053374E">
        <w:rPr>
          <w:rFonts w:asciiTheme="majorBidi" w:hAnsiTheme="majorBidi" w:cstheme="majorBidi"/>
          <w:i/>
          <w:iCs/>
          <w:color w:val="000000"/>
          <w:sz w:val="22"/>
          <w:szCs w:val="22"/>
        </w:rPr>
        <w:t>fter Divorce</w:t>
      </w:r>
      <w:r w:rsidRPr="0053374E">
        <w:rPr>
          <w:rFonts w:asciiTheme="majorBidi" w:hAnsiTheme="majorBidi" w:cstheme="majorBidi"/>
          <w:color w:val="000000"/>
          <w:sz w:val="22"/>
          <w:szCs w:val="22"/>
        </w:rPr>
        <w:t xml:space="preserve">, 56 Notre Dame L. </w:t>
      </w:r>
      <w:r w:rsidRPr="0053374E">
        <w:rPr>
          <w:rFonts w:asciiTheme="majorBidi" w:hAnsiTheme="majorBidi" w:cstheme="majorBidi"/>
          <w:smallCaps/>
          <w:color w:val="000000"/>
          <w:sz w:val="22"/>
          <w:szCs w:val="22"/>
        </w:rPr>
        <w:t>Rev</w:t>
      </w:r>
      <w:r w:rsidRPr="0053374E">
        <w:rPr>
          <w:rFonts w:asciiTheme="majorBidi" w:hAnsiTheme="majorBidi" w:cstheme="majorBidi"/>
          <w:color w:val="000000"/>
          <w:sz w:val="22"/>
          <w:szCs w:val="22"/>
        </w:rPr>
        <w:t>. 160, 161 (1980</w:t>
      </w:r>
      <w:r w:rsidRPr="0053374E">
        <w:rPr>
          <w:rFonts w:ascii="David" w:hAnsi="David" w:cs="David"/>
          <w:color w:val="000000"/>
          <w:sz w:val="22"/>
          <w:szCs w:val="22"/>
        </w:rPr>
        <w:t>).</w:t>
      </w:r>
    </w:p>
  </w:footnote>
  <w:footnote w:id="126">
    <w:p w14:paraId="707548E6" w14:textId="1674FBF8" w:rsidR="00354596" w:rsidRPr="0053374E" w:rsidRDefault="00354596" w:rsidP="00D42771">
      <w:pPr>
        <w:pStyle w:val="FootnoteText"/>
        <w:tabs>
          <w:tab w:val="left" w:pos="3416"/>
        </w:tabs>
        <w:bidi w:val="0"/>
        <w:rPr>
          <w:rFonts w:asciiTheme="majorBidi" w:hAnsiTheme="majorBidi" w:cstheme="majorBidi"/>
          <w:b/>
          <w:bCs/>
          <w:sz w:val="22"/>
          <w:szCs w:val="22"/>
          <w:rtl/>
        </w:rPr>
      </w:pPr>
      <w:r w:rsidRPr="0053374E">
        <w:rPr>
          <w:rStyle w:val="FootnoteReference"/>
          <w:sz w:val="22"/>
          <w:szCs w:val="22"/>
        </w:rPr>
        <w:footnoteRef/>
      </w:r>
      <w:r w:rsidRPr="0053374E">
        <w:rPr>
          <w:rFonts w:hint="cs"/>
          <w:sz w:val="22"/>
          <w:szCs w:val="22"/>
          <w:rtl/>
        </w:rPr>
        <w:t xml:space="preserve"> </w:t>
      </w:r>
      <w:r w:rsidRPr="0053374E">
        <w:rPr>
          <w:rFonts w:asciiTheme="majorBidi" w:hAnsiTheme="majorBidi" w:cstheme="majorBidi"/>
          <w:sz w:val="22"/>
          <w:szCs w:val="22"/>
        </w:rPr>
        <w:t>Ronald A. White, Divorce: Restricting Religious Activity During Visitation, 38 Okla. L. Rev. 284 (1985); S. E. Mumford, The Judicial Resolution of Disputes Involving Children and Religion, 47 Int'l &amp; Comp. L.Q. 117 (1998)</w:t>
      </w:r>
      <w:r w:rsidRPr="0053374E">
        <w:rPr>
          <w:rFonts w:asciiTheme="majorBidi" w:hAnsiTheme="majorBidi" w:cstheme="majorBidi"/>
          <w:b/>
          <w:bCs/>
          <w:sz w:val="22"/>
          <w:szCs w:val="22"/>
        </w:rPr>
        <w:t xml:space="preserve">; </w:t>
      </w:r>
    </w:p>
  </w:footnote>
  <w:footnote w:id="127">
    <w:p w14:paraId="21E61872" w14:textId="77777777" w:rsidR="00354596" w:rsidRPr="00D42771" w:rsidRDefault="00354596" w:rsidP="000F67EC">
      <w:pPr>
        <w:pStyle w:val="FootnoteText"/>
        <w:rPr>
          <w:rFonts w:ascii="David" w:hAnsi="David" w:cs="David"/>
          <w:sz w:val="22"/>
          <w:szCs w:val="22"/>
          <w:rtl/>
        </w:rPr>
      </w:pPr>
      <w:r w:rsidRPr="00D42771">
        <w:rPr>
          <w:rStyle w:val="FootnoteReference"/>
          <w:rFonts w:ascii="David" w:hAnsi="David" w:cs="David"/>
          <w:sz w:val="22"/>
          <w:szCs w:val="22"/>
        </w:rPr>
        <w:footnoteRef/>
      </w:r>
      <w:r w:rsidRPr="00D42771">
        <w:rPr>
          <w:rFonts w:ascii="David" w:hAnsi="David" w:cs="David"/>
          <w:sz w:val="22"/>
          <w:szCs w:val="22"/>
          <w:rtl/>
        </w:rPr>
        <w:t xml:space="preserve"> לדוגמה:</w:t>
      </w:r>
    </w:p>
  </w:footnote>
  <w:footnote w:id="128">
    <w:p w14:paraId="5C9D29D7" w14:textId="747AA776" w:rsidR="00354596" w:rsidRPr="00D42771" w:rsidRDefault="00354596" w:rsidP="00EA74F8">
      <w:pPr>
        <w:pStyle w:val="FootnoteText"/>
        <w:jc w:val="both"/>
        <w:rPr>
          <w:rFonts w:ascii="David" w:hAnsi="David" w:cs="David"/>
          <w:sz w:val="22"/>
          <w:szCs w:val="22"/>
          <w:rtl/>
        </w:rPr>
      </w:pPr>
      <w:r w:rsidRPr="00D42771">
        <w:rPr>
          <w:rStyle w:val="FootnoteReference"/>
          <w:rFonts w:ascii="David" w:hAnsi="David" w:cs="David"/>
          <w:sz w:val="22"/>
          <w:szCs w:val="22"/>
        </w:rPr>
        <w:footnoteRef/>
      </w:r>
      <w:r w:rsidRPr="00D42771">
        <w:rPr>
          <w:rFonts w:ascii="David" w:hAnsi="David" w:cs="David"/>
          <w:sz w:val="22"/>
          <w:szCs w:val="22"/>
          <w:rtl/>
        </w:rPr>
        <w:t xml:space="preserve"> היבט שלא אדון בו במאמר זה נוגע למצב של התנגשות בין חובות אמון שונות, חובות במישור ההורות המשותפת, למשל בין חובת ההורה החורג לבן זוגו (הוא ההורה המשמורן), לעומת חובתו להורה הלא משמורן; או התנגשות בין חובת האמון לילד לעומת חובת האמון להורה האחר. על התנגשות פוטנציאלית בין חובות אמון בהקשר אחר, ראו:</w:t>
      </w:r>
    </w:p>
    <w:p w14:paraId="59D609D3" w14:textId="2F85321D" w:rsidR="00354596" w:rsidRPr="00D42771" w:rsidRDefault="00354596" w:rsidP="00C464E0">
      <w:pPr>
        <w:pStyle w:val="FootnoteText"/>
        <w:bidi w:val="0"/>
        <w:jc w:val="both"/>
        <w:rPr>
          <w:rFonts w:asciiTheme="majorBidi" w:hAnsiTheme="majorBidi" w:cstheme="majorBidi"/>
          <w:sz w:val="22"/>
          <w:szCs w:val="22"/>
        </w:rPr>
      </w:pPr>
      <w:r w:rsidRPr="00D42771">
        <w:rPr>
          <w:rFonts w:asciiTheme="majorBidi" w:hAnsiTheme="majorBidi" w:cstheme="majorBidi"/>
          <w:sz w:val="22"/>
          <w:szCs w:val="22"/>
        </w:rPr>
        <w:t xml:space="preserve">Evan J. Criddle &amp; Evan Fox- Decent, </w:t>
      </w:r>
      <w:r w:rsidRPr="00D42771">
        <w:rPr>
          <w:rFonts w:asciiTheme="majorBidi" w:hAnsiTheme="majorBidi" w:cstheme="majorBidi"/>
          <w:i/>
          <w:iCs/>
          <w:sz w:val="22"/>
          <w:szCs w:val="22"/>
        </w:rPr>
        <w:t>Guardians of Legal Order: The Dual Commissions of Public Fiduciaries</w:t>
      </w:r>
      <w:r w:rsidRPr="00D42771">
        <w:rPr>
          <w:rFonts w:asciiTheme="majorBidi" w:hAnsiTheme="majorBidi" w:cstheme="majorBidi"/>
          <w:sz w:val="22"/>
          <w:szCs w:val="22"/>
        </w:rPr>
        <w:t xml:space="preserve">, </w:t>
      </w:r>
      <w:r w:rsidRPr="00D42771">
        <w:rPr>
          <w:rFonts w:asciiTheme="majorBidi" w:hAnsiTheme="majorBidi" w:cstheme="majorBidi"/>
          <w:i/>
          <w:iCs/>
          <w:sz w:val="22"/>
          <w:szCs w:val="22"/>
        </w:rPr>
        <w:t>in</w:t>
      </w:r>
      <w:r w:rsidRPr="00D42771">
        <w:rPr>
          <w:rFonts w:asciiTheme="majorBidi" w:hAnsiTheme="majorBidi" w:cstheme="majorBidi"/>
          <w:sz w:val="22"/>
          <w:szCs w:val="22"/>
        </w:rPr>
        <w:t xml:space="preserve"> </w:t>
      </w:r>
      <w:r w:rsidRPr="00D42771">
        <w:rPr>
          <w:rFonts w:asciiTheme="majorBidi" w:hAnsiTheme="majorBidi" w:cstheme="majorBidi"/>
          <w:smallCaps/>
          <w:sz w:val="22"/>
          <w:szCs w:val="22"/>
        </w:rPr>
        <w:t>Fiduciary Government</w:t>
      </w:r>
      <w:r w:rsidRPr="00D42771">
        <w:rPr>
          <w:rFonts w:asciiTheme="majorBidi" w:hAnsiTheme="majorBidi" w:cstheme="majorBidi"/>
          <w:sz w:val="22"/>
          <w:szCs w:val="22"/>
        </w:rPr>
        <w:t xml:space="preserve"> 67 (Evan J. Criddle et al. eds., 2018).</w:t>
      </w:r>
    </w:p>
  </w:footnote>
  <w:footnote w:id="129">
    <w:p w14:paraId="15FB45C8" w14:textId="10788538" w:rsidR="00354596" w:rsidRPr="00D42771" w:rsidRDefault="00354596">
      <w:pPr>
        <w:pStyle w:val="FootnoteText"/>
        <w:rPr>
          <w:rFonts w:ascii="David" w:hAnsi="David" w:cs="David"/>
          <w:sz w:val="22"/>
          <w:szCs w:val="22"/>
          <w:rtl/>
        </w:rPr>
      </w:pPr>
      <w:r w:rsidRPr="00D42771">
        <w:rPr>
          <w:rStyle w:val="FootnoteReference"/>
          <w:rFonts w:ascii="David" w:hAnsi="David" w:cs="David"/>
          <w:sz w:val="22"/>
          <w:szCs w:val="22"/>
        </w:rPr>
        <w:footnoteRef/>
      </w:r>
      <w:r w:rsidRPr="00D42771">
        <w:rPr>
          <w:rFonts w:ascii="David" w:hAnsi="David" w:cs="David"/>
          <w:sz w:val="22"/>
          <w:szCs w:val="22"/>
          <w:rtl/>
        </w:rPr>
        <w:t xml:space="preserve"> </w:t>
      </w:r>
    </w:p>
  </w:footnote>
  <w:footnote w:id="130">
    <w:p w14:paraId="278F9785" w14:textId="056ABA5A" w:rsidR="00354596" w:rsidRPr="00D42771" w:rsidRDefault="00354596">
      <w:pPr>
        <w:pStyle w:val="FootnoteText"/>
        <w:rPr>
          <w:rFonts w:ascii="David" w:hAnsi="David" w:cs="David"/>
          <w:sz w:val="22"/>
          <w:szCs w:val="22"/>
          <w:rtl/>
        </w:rPr>
      </w:pPr>
      <w:r w:rsidRPr="00D42771">
        <w:rPr>
          <w:rStyle w:val="FootnoteReference"/>
          <w:rFonts w:ascii="David" w:hAnsi="David" w:cs="David"/>
          <w:sz w:val="22"/>
          <w:szCs w:val="22"/>
        </w:rPr>
        <w:footnoteRef/>
      </w:r>
      <w:r w:rsidRPr="00D42771">
        <w:rPr>
          <w:rFonts w:ascii="David" w:hAnsi="David" w:cs="David"/>
          <w:sz w:val="22"/>
          <w:szCs w:val="22"/>
          <w:rtl/>
        </w:rPr>
        <w:t xml:space="preserve"> </w:t>
      </w:r>
    </w:p>
  </w:footnote>
  <w:footnote w:id="131">
    <w:p w14:paraId="28344566" w14:textId="3C5AFFDC" w:rsidR="00354596" w:rsidRPr="00D42771" w:rsidRDefault="00354596">
      <w:pPr>
        <w:pStyle w:val="FootnoteText"/>
        <w:rPr>
          <w:rFonts w:ascii="David" w:hAnsi="David" w:cs="David"/>
          <w:sz w:val="22"/>
          <w:szCs w:val="22"/>
          <w:rtl/>
        </w:rPr>
      </w:pPr>
      <w:r w:rsidRPr="00D42771">
        <w:rPr>
          <w:rStyle w:val="FootnoteReference"/>
          <w:rFonts w:ascii="David" w:hAnsi="David" w:cs="David"/>
          <w:sz w:val="22"/>
          <w:szCs w:val="22"/>
        </w:rPr>
        <w:footnoteRef/>
      </w:r>
      <w:r w:rsidRPr="00D42771">
        <w:rPr>
          <w:rFonts w:ascii="David" w:hAnsi="David" w:cs="David"/>
          <w:sz w:val="22"/>
          <w:szCs w:val="22"/>
          <w:rtl/>
        </w:rPr>
        <w:t xml:space="preserve"> וראו את עמדת בית המשפט הקנדי כפי שמובאת כאן:</w:t>
      </w:r>
    </w:p>
    <w:p w14:paraId="0A167A29" w14:textId="0019BB7E" w:rsidR="00354596" w:rsidRPr="00D42771" w:rsidRDefault="00354596" w:rsidP="0072036B">
      <w:pPr>
        <w:pStyle w:val="FootnoteText"/>
        <w:bidi w:val="0"/>
        <w:rPr>
          <w:rFonts w:ascii="David" w:hAnsi="David" w:cs="David"/>
          <w:sz w:val="22"/>
          <w:szCs w:val="22"/>
        </w:rPr>
      </w:pPr>
      <w:r w:rsidRPr="00D42771">
        <w:rPr>
          <w:rFonts w:ascii="David" w:hAnsi="David" w:cs="David"/>
          <w:sz w:val="22"/>
          <w:szCs w:val="22"/>
        </w:rPr>
        <w:t>S. E. Mumford, The Judicial Resolution of Disputes Involving Children and Religion, 47 Int'l &amp; Comp. L.Q. 117, 124 (1998)</w:t>
      </w:r>
      <w:r w:rsidRPr="00D42771">
        <w:rPr>
          <w:rFonts w:ascii="David" w:hAnsi="David" w:cs="David"/>
          <w:b/>
          <w:bCs/>
          <w:sz w:val="22"/>
          <w:szCs w:val="22"/>
        </w:rPr>
        <w:t>.</w:t>
      </w:r>
    </w:p>
  </w:footnote>
  <w:footnote w:id="132">
    <w:p w14:paraId="3A4B71D3" w14:textId="77777777" w:rsidR="00354596" w:rsidRPr="00D42771" w:rsidRDefault="00354596" w:rsidP="00D42771">
      <w:pPr>
        <w:bidi w:val="0"/>
        <w:spacing w:after="0" w:line="360" w:lineRule="auto"/>
        <w:jc w:val="both"/>
        <w:rPr>
          <w:rFonts w:ascii="David" w:hAnsi="David" w:cs="David"/>
        </w:rPr>
      </w:pPr>
      <w:r w:rsidRPr="00D42771">
        <w:rPr>
          <w:rStyle w:val="FootnoteReference"/>
          <w:rFonts w:ascii="David" w:hAnsi="David" w:cs="David"/>
        </w:rPr>
        <w:footnoteRef/>
      </w:r>
      <w:r w:rsidRPr="00D42771">
        <w:rPr>
          <w:rFonts w:ascii="David" w:hAnsi="David" w:cs="David"/>
          <w:rtl/>
        </w:rPr>
        <w:t xml:space="preserve"> </w:t>
      </w:r>
      <w:r w:rsidRPr="00D42771">
        <w:rPr>
          <w:rFonts w:ascii="David" w:hAnsi="David" w:cs="David"/>
        </w:rPr>
        <w:t xml:space="preserve">Frank H. Easterbrook &amp; Daniel R. Fischel, </w:t>
      </w:r>
      <w:r w:rsidRPr="00D42771">
        <w:rPr>
          <w:rFonts w:ascii="David" w:hAnsi="David" w:cs="David"/>
          <w:i/>
          <w:iCs/>
        </w:rPr>
        <w:t>Contract and Fiduciary Law Duty</w:t>
      </w:r>
      <w:r w:rsidRPr="00D42771">
        <w:rPr>
          <w:rFonts w:ascii="David" w:hAnsi="David" w:cs="David"/>
        </w:rPr>
        <w:t>, 38 J. L. &amp; Econ. 425, 438 (1993).</w:t>
      </w:r>
    </w:p>
  </w:footnote>
  <w:footnote w:id="133">
    <w:p w14:paraId="5545B2D0" w14:textId="2C5DD551" w:rsidR="00354596" w:rsidRPr="00D42771" w:rsidRDefault="00354596" w:rsidP="00ED7985">
      <w:pPr>
        <w:pStyle w:val="FootnoteText"/>
        <w:rPr>
          <w:rFonts w:ascii="David" w:hAnsi="David" w:cs="David" w:hint="cs"/>
          <w:sz w:val="22"/>
          <w:szCs w:val="22"/>
          <w:rtl/>
        </w:rPr>
      </w:pPr>
      <w:r w:rsidRPr="00D42771">
        <w:rPr>
          <w:rStyle w:val="FootnoteReference"/>
          <w:rFonts w:ascii="David" w:hAnsi="David" w:cs="David"/>
          <w:sz w:val="22"/>
          <w:szCs w:val="22"/>
        </w:rPr>
        <w:footnoteRef/>
      </w:r>
    </w:p>
  </w:footnote>
  <w:footnote w:id="134">
    <w:p w14:paraId="14691D7A" w14:textId="31244C71" w:rsidR="00354596" w:rsidRPr="0053374E" w:rsidRDefault="00354596" w:rsidP="00ED7985">
      <w:pPr>
        <w:pStyle w:val="FootnoteText"/>
        <w:rPr>
          <w:rFonts w:hint="cs"/>
          <w:sz w:val="22"/>
          <w:szCs w:val="22"/>
          <w:rtl/>
        </w:rPr>
      </w:pPr>
      <w:r w:rsidRPr="0053374E">
        <w:rPr>
          <w:rStyle w:val="FootnoteReference"/>
          <w:sz w:val="22"/>
          <w:szCs w:val="22"/>
        </w:rPr>
        <w:footnoteRef/>
      </w:r>
      <w:r w:rsidRPr="0053374E">
        <w:rPr>
          <w:sz w:val="22"/>
          <w:szCs w:val="22"/>
          <w:rtl/>
        </w:rPr>
        <w:t xml:space="preserve"> </w:t>
      </w:r>
    </w:p>
  </w:footnote>
  <w:footnote w:id="135">
    <w:p w14:paraId="6E4DAF11" w14:textId="52393BC1" w:rsidR="00354596" w:rsidRPr="0053374E" w:rsidRDefault="00354596" w:rsidP="00ED7985">
      <w:pPr>
        <w:spacing w:line="480" w:lineRule="auto"/>
        <w:jc w:val="both"/>
        <w:rPr>
          <w:rFonts w:asciiTheme="majorBidi" w:hAnsiTheme="majorBidi" w:cs="David" w:hint="cs"/>
          <w:color w:val="000000"/>
          <w:shd w:val="clear" w:color="auto" w:fill="FFFFFF"/>
          <w:rtl/>
        </w:rPr>
      </w:pPr>
      <w:r w:rsidRPr="0053374E">
        <w:rPr>
          <w:rStyle w:val="FootnoteReference"/>
        </w:rPr>
        <w:footnoteRef/>
      </w:r>
      <w:r w:rsidRPr="0053374E">
        <w:rPr>
          <w:rtl/>
        </w:rPr>
        <w:t xml:space="preserve"> </w:t>
      </w:r>
    </w:p>
  </w:footnote>
  <w:footnote w:id="136">
    <w:p w14:paraId="581C82D6" w14:textId="0F24628A" w:rsidR="00354596" w:rsidRPr="0053374E" w:rsidRDefault="00354596" w:rsidP="004409BB">
      <w:pPr>
        <w:pStyle w:val="FootnoteText"/>
        <w:bidi w:val="0"/>
        <w:rPr>
          <w:rFonts w:ascii="David" w:hAnsi="David" w:cs="David"/>
          <w:sz w:val="22"/>
          <w:szCs w:val="22"/>
        </w:rPr>
      </w:pPr>
      <w:r w:rsidRPr="0053374E">
        <w:rPr>
          <w:rStyle w:val="FootnoteReference"/>
          <w:rFonts w:ascii="David" w:hAnsi="David" w:cs="David"/>
          <w:sz w:val="22"/>
          <w:szCs w:val="22"/>
        </w:rPr>
        <w:footnoteRef/>
      </w:r>
      <w:r w:rsidRPr="0053374E">
        <w:rPr>
          <w:rFonts w:ascii="David" w:hAnsi="David" w:cs="David" w:hint="cs"/>
          <w:sz w:val="22"/>
          <w:szCs w:val="22"/>
          <w:rtl/>
        </w:rPr>
        <w:t xml:space="preserve"> </w:t>
      </w:r>
      <w:r w:rsidRPr="0053374E">
        <w:rPr>
          <w:rFonts w:ascii="David" w:hAnsi="David" w:cs="David"/>
          <w:sz w:val="22"/>
          <w:szCs w:val="22"/>
        </w:rPr>
        <w:t>Merle H. Weiner, Family Law for the future p. 333. See more extensively Merle Weiner</w:t>
      </w:r>
      <w:r w:rsidRPr="0053374E">
        <w:rPr>
          <w:rFonts w:ascii="David" w:hAnsi="David" w:cs="David"/>
          <w:sz w:val="22"/>
          <w:szCs w:val="22"/>
          <w:rtl/>
        </w:rPr>
        <w:t xml:space="preserve"> </w:t>
      </w:r>
      <w:r w:rsidRPr="0053374E">
        <w:rPr>
          <w:rFonts w:ascii="David" w:hAnsi="David" w:cs="David"/>
          <w:sz w:val="22"/>
          <w:szCs w:val="22"/>
        </w:rPr>
        <w:t xml:space="preserve"> A Parent-Partner Status for American Family Law (Cambridge University Press 2015). p. 224-226.</w:t>
      </w:r>
    </w:p>
  </w:footnote>
  <w:footnote w:id="137">
    <w:p w14:paraId="58D42E92" w14:textId="77777777" w:rsidR="00354596" w:rsidRPr="0053374E" w:rsidRDefault="00354596">
      <w:pPr>
        <w:pStyle w:val="FootnoteText"/>
        <w:rPr>
          <w:rFonts w:hint="cs"/>
          <w:sz w:val="22"/>
          <w:szCs w:val="22"/>
          <w:rtl/>
        </w:rPr>
      </w:pPr>
      <w:r w:rsidRPr="0053374E">
        <w:rPr>
          <w:rStyle w:val="FootnoteReference"/>
          <w:sz w:val="22"/>
          <w:szCs w:val="22"/>
        </w:rPr>
        <w:footnoteRef/>
      </w:r>
      <w:r w:rsidRPr="0053374E">
        <w:rPr>
          <w:sz w:val="22"/>
          <w:szCs w:val="22"/>
          <w:rtl/>
        </w:rPr>
        <w:t xml:space="preserve"> </w:t>
      </w:r>
      <w:r w:rsidRPr="00E108CA">
        <w:rPr>
          <w:rFonts w:ascii="David" w:hAnsi="David" w:cs="David"/>
          <w:sz w:val="22"/>
          <w:szCs w:val="22"/>
          <w:rtl/>
        </w:rPr>
        <w:t xml:space="preserve">על החסר האמור עמדה </w:t>
      </w:r>
      <w:r w:rsidRPr="00E108CA">
        <w:rPr>
          <w:rFonts w:ascii="David" w:hAnsi="David" w:cs="David"/>
          <w:sz w:val="22"/>
          <w:szCs w:val="22"/>
        </w:rPr>
        <w:t>Stewart:</w:t>
      </w:r>
    </w:p>
    <w:p w14:paraId="5F0B8748" w14:textId="77777777" w:rsidR="00354596" w:rsidRPr="0053374E" w:rsidRDefault="00354596" w:rsidP="00E108CA">
      <w:pPr>
        <w:pStyle w:val="FootnoteText"/>
        <w:bidi w:val="0"/>
        <w:rPr>
          <w:rFonts w:hint="cs"/>
          <w:sz w:val="22"/>
          <w:szCs w:val="22"/>
          <w:rtl/>
        </w:rPr>
      </w:pPr>
      <w:r w:rsidRPr="0053374E">
        <w:rPr>
          <w:sz w:val="22"/>
          <w:szCs w:val="22"/>
        </w:rPr>
        <w:t>Susan D. Stewart Brave New Stepfamilies – Diverse Paths Toward Stepfamily Living (2007) XIV.</w:t>
      </w:r>
    </w:p>
  </w:footnote>
  <w:footnote w:id="138">
    <w:p w14:paraId="5A8F3280" w14:textId="29EE5DB8" w:rsidR="00354596" w:rsidRPr="0053374E" w:rsidRDefault="00354596" w:rsidP="00E108CA">
      <w:pPr>
        <w:pStyle w:val="FootnoteText"/>
        <w:bidi w:val="0"/>
        <w:rPr>
          <w:rFonts w:asciiTheme="majorBidi" w:eastAsia="Times New Roman" w:hAnsiTheme="majorBidi" w:cstheme="majorBidi"/>
          <w:sz w:val="22"/>
          <w:szCs w:val="22"/>
        </w:rPr>
      </w:pPr>
      <w:r w:rsidRPr="0053374E">
        <w:rPr>
          <w:rStyle w:val="FootnoteReference"/>
          <w:sz w:val="22"/>
          <w:szCs w:val="22"/>
        </w:rPr>
        <w:footnoteRef/>
      </w:r>
      <w:r w:rsidRPr="0053374E">
        <w:rPr>
          <w:sz w:val="22"/>
          <w:szCs w:val="22"/>
          <w:rtl/>
        </w:rPr>
        <w:t xml:space="preserve"> </w:t>
      </w:r>
      <w:r w:rsidRPr="0053374E">
        <w:rPr>
          <w:rFonts w:asciiTheme="majorBidi" w:hAnsiTheme="majorBidi" w:cstheme="majorBidi"/>
          <w:sz w:val="22"/>
          <w:szCs w:val="22"/>
        </w:rPr>
        <w:t xml:space="preserve">Ruth Zafran, </w:t>
      </w:r>
      <w:r w:rsidRPr="0053374E">
        <w:rPr>
          <w:rFonts w:asciiTheme="majorBidi" w:eastAsia="Times New Roman" w:hAnsiTheme="majorBidi" w:cstheme="majorBidi"/>
          <w:sz w:val="22"/>
          <w:szCs w:val="22"/>
        </w:rPr>
        <w:t>Reconceiving Legal Siblinghood, to be published Hastings Law Journal (2020).</w:t>
      </w:r>
    </w:p>
  </w:footnote>
  <w:footnote w:id="139">
    <w:p w14:paraId="5142F7D7" w14:textId="306162E0" w:rsidR="00354596" w:rsidRPr="0053374E" w:rsidRDefault="00354596" w:rsidP="00AC0288">
      <w:pPr>
        <w:pStyle w:val="FootnoteText"/>
        <w:rPr>
          <w:rFonts w:ascii="David" w:hAnsi="David" w:cs="David" w:hint="cs"/>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w:t>
      </w:r>
    </w:p>
  </w:footnote>
  <w:footnote w:id="140">
    <w:p w14:paraId="359188B8" w14:textId="683D2077" w:rsidR="00354596" w:rsidRPr="0053374E" w:rsidRDefault="00354596" w:rsidP="00AC0288">
      <w:pPr>
        <w:pStyle w:val="FootnoteText"/>
        <w:bidi w:val="0"/>
        <w:rPr>
          <w:rFonts w:ascii="David" w:hAnsi="David" w:cs="David"/>
          <w:sz w:val="22"/>
          <w:szCs w:val="22"/>
        </w:rPr>
      </w:pPr>
      <w:r w:rsidRPr="0053374E">
        <w:rPr>
          <w:rStyle w:val="FootnoteReference"/>
          <w:rFonts w:ascii="David" w:hAnsi="David" w:cs="David"/>
          <w:sz w:val="22"/>
          <w:szCs w:val="22"/>
        </w:rPr>
        <w:footnoteRef/>
      </w:r>
      <w:r w:rsidRPr="0053374E">
        <w:rPr>
          <w:rFonts w:ascii="David" w:hAnsi="David" w:cs="David"/>
          <w:sz w:val="22"/>
          <w:szCs w:val="22"/>
          <w:rtl/>
        </w:rPr>
        <w:t xml:space="preserve"> </w:t>
      </w:r>
      <w:r w:rsidRPr="0053374E">
        <w:rPr>
          <w:rFonts w:ascii="David" w:hAnsi="David" w:cs="David"/>
          <w:sz w:val="22"/>
          <w:szCs w:val="22"/>
        </w:rPr>
        <w:t>Merle Weiner</w:t>
      </w:r>
      <w:r w:rsidRPr="0053374E">
        <w:rPr>
          <w:rFonts w:ascii="David" w:hAnsi="David" w:cs="David"/>
          <w:sz w:val="22"/>
          <w:szCs w:val="22"/>
          <w:rtl/>
        </w:rPr>
        <w:t xml:space="preserve"> </w:t>
      </w:r>
      <w:r w:rsidRPr="0053374E">
        <w:rPr>
          <w:rFonts w:ascii="David" w:hAnsi="David" w:cs="David"/>
          <w:sz w:val="22"/>
          <w:szCs w:val="22"/>
        </w:rPr>
        <w:t xml:space="preserve"> A Parent-Partner Status for American Family Law (Cambridge University Press 2015).</w:t>
      </w:r>
    </w:p>
  </w:footnote>
  <w:footnote w:id="141">
    <w:p w14:paraId="2B36D655" w14:textId="77777777" w:rsidR="00354596" w:rsidRPr="0053374E" w:rsidRDefault="00354596" w:rsidP="00A371D8">
      <w:pPr>
        <w:pStyle w:val="FootnoteText"/>
        <w:rPr>
          <w:rFonts w:ascii="David" w:hAnsi="David" w:cs="David" w:hint="cs"/>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בלכר פריגת, 842</w:t>
      </w:r>
    </w:p>
  </w:footnote>
  <w:footnote w:id="142">
    <w:p w14:paraId="71C94C66" w14:textId="50EF8FC8" w:rsidR="00354596" w:rsidRPr="0053374E" w:rsidRDefault="00354596" w:rsidP="00B15837">
      <w:pPr>
        <w:pStyle w:val="FootnoteText"/>
        <w:jc w:val="both"/>
        <w:rPr>
          <w:rFonts w:ascii="David" w:hAnsi="David" w:cs="David"/>
          <w:sz w:val="22"/>
          <w:szCs w:val="22"/>
        </w:rPr>
      </w:pPr>
      <w:r w:rsidRPr="0053374E">
        <w:rPr>
          <w:rStyle w:val="FootnoteReference"/>
          <w:rFonts w:ascii="David" w:hAnsi="David" w:cs="David"/>
          <w:sz w:val="22"/>
          <w:szCs w:val="22"/>
        </w:rPr>
        <w:footnoteRef/>
      </w:r>
      <w:r w:rsidRPr="0053374E">
        <w:rPr>
          <w:rFonts w:ascii="David" w:hAnsi="David" w:cs="David"/>
          <w:sz w:val="22"/>
          <w:szCs w:val="22"/>
          <w:rtl/>
        </w:rPr>
        <w:t xml:space="preserve"> בלכר פריגת משפט ועסקים 845. למעשה אפשר לקרוא מדבריה של בלכר-פריגת כי היא סבורה שכבר כעת יש במשפט </w:t>
      </w:r>
      <w:r w:rsidRPr="0053374E">
        <w:rPr>
          <w:rFonts w:ascii="David" w:hAnsi="David" w:cs="David" w:hint="cs"/>
          <w:sz w:val="22"/>
          <w:szCs w:val="22"/>
          <w:rtl/>
        </w:rPr>
        <w:t xml:space="preserve">ביטויים להכרה </w:t>
      </w:r>
      <w:r w:rsidRPr="0053374E">
        <w:rPr>
          <w:rFonts w:ascii="David" w:hAnsi="David" w:cs="David"/>
          <w:sz w:val="22"/>
          <w:szCs w:val="22"/>
          <w:rtl/>
        </w:rPr>
        <w:t>בהיבטים הרגשיים של המחויבות האמורה למשל, בעיצוב הסדרי משמורת ומן הדרישה כי ההורה המשמורן יבטיח קשר תקין עם ההורה השני. שם בעמ' 849.</w:t>
      </w:r>
    </w:p>
  </w:footnote>
  <w:footnote w:id="143">
    <w:p w14:paraId="5284D6DF" w14:textId="68AF49E3" w:rsidR="00354596" w:rsidRPr="0053374E" w:rsidRDefault="00354596" w:rsidP="00D0275E">
      <w:pPr>
        <w:pStyle w:val="FootnoteText"/>
        <w:jc w:val="both"/>
        <w:rPr>
          <w:rFonts w:ascii="David" w:hAnsi="David" w:cs="David"/>
          <w:sz w:val="22"/>
          <w:szCs w:val="22"/>
          <w:rtl/>
        </w:rPr>
      </w:pPr>
      <w:r w:rsidRPr="0053374E">
        <w:rPr>
          <w:rStyle w:val="FootnoteReference"/>
          <w:rFonts w:ascii="David" w:hAnsi="David" w:cs="David"/>
          <w:sz w:val="22"/>
          <w:szCs w:val="22"/>
        </w:rPr>
        <w:footnoteRef/>
      </w:r>
      <w:r w:rsidRPr="0053374E">
        <w:rPr>
          <w:rFonts w:ascii="David" w:hAnsi="David" w:cs="David"/>
          <w:sz w:val="22"/>
          <w:szCs w:val="22"/>
          <w:rtl/>
        </w:rPr>
        <w:t xml:space="preserve"> מרל ווינר שוללת במפורש את האפשרות להרחיב את מודל ההורים במשותף ואת הסטטוס החדש שהיא מזהה – </w:t>
      </w:r>
      <w:r w:rsidRPr="0053374E">
        <w:rPr>
          <w:rFonts w:ascii="David" w:hAnsi="David" w:cs="David"/>
          <w:sz w:val="22"/>
          <w:szCs w:val="22"/>
        </w:rPr>
        <w:t xml:space="preserve">the parent-partner status </w:t>
      </w:r>
      <w:r w:rsidRPr="0053374E">
        <w:rPr>
          <w:rFonts w:ascii="David" w:hAnsi="David" w:cs="David"/>
          <w:sz w:val="22"/>
          <w:szCs w:val="22"/>
          <w:rtl/>
        </w:rPr>
        <w:t xml:space="preserve"> על מי שאינם הורים משפטיים פורמלים. לשיטתה –</w:t>
      </w:r>
    </w:p>
    <w:p w14:paraId="4D33FF8E" w14:textId="1B2AB5D5" w:rsidR="00354596" w:rsidRPr="0053374E" w:rsidRDefault="00354596" w:rsidP="00AC0288">
      <w:pPr>
        <w:pStyle w:val="FootnoteText"/>
        <w:bidi w:val="0"/>
        <w:jc w:val="both"/>
        <w:rPr>
          <w:rStyle w:val="A6"/>
          <w:rFonts w:ascii="David" w:hAnsi="David" w:cs="David"/>
        </w:rPr>
      </w:pPr>
      <w:r w:rsidRPr="0053374E">
        <w:rPr>
          <w:rStyle w:val="A6"/>
          <w:rFonts w:ascii="David" w:hAnsi="David" w:cs="David"/>
        </w:rPr>
        <w:t xml:space="preserve">"The status would only regulate the relationship of the child’s legal parents and not extend to social, functional, or psychological parents (called here “nonlegal parents”). If the law obligated nonlegal parents to a child’s legal parents, then the law might discourage nonlegal parents from caring for a child". </w:t>
      </w:r>
      <w:r w:rsidRPr="0053374E">
        <w:rPr>
          <w:rFonts w:ascii="David" w:hAnsi="David" w:cs="David"/>
          <w:sz w:val="22"/>
          <w:szCs w:val="22"/>
        </w:rPr>
        <w:t>Merle H. Weiner, Family Law for the future p. 339.</w:t>
      </w:r>
    </w:p>
    <w:p w14:paraId="5EDFBC8E" w14:textId="77777777" w:rsidR="00354596" w:rsidRPr="0053374E" w:rsidRDefault="00354596" w:rsidP="00E108CA">
      <w:pPr>
        <w:pStyle w:val="FootnoteText"/>
        <w:jc w:val="both"/>
        <w:rPr>
          <w:rFonts w:ascii="David" w:hAnsi="David" w:cs="David"/>
          <w:sz w:val="22"/>
          <w:szCs w:val="22"/>
          <w:rtl/>
        </w:rPr>
      </w:pPr>
      <w:r w:rsidRPr="0053374E">
        <w:rPr>
          <w:rStyle w:val="A6"/>
          <w:rFonts w:ascii="David" w:hAnsi="David" w:cs="David"/>
          <w:rtl/>
        </w:rPr>
        <w:t xml:space="preserve">נימוק זה, תופס לעניות דעתי, רק כאשר על הפרק הטלת חובות כלכליות ולא כפי שמוצע כאן, חובות מן הסוג הרגשי-טיפולי. </w:t>
      </w:r>
    </w:p>
  </w:footnote>
  <w:footnote w:id="144">
    <w:p w14:paraId="62DD1249" w14:textId="04E07F57" w:rsidR="00354596" w:rsidRPr="00E108CA" w:rsidRDefault="00354596">
      <w:pPr>
        <w:pStyle w:val="FootnoteText"/>
        <w:rPr>
          <w:rFonts w:asciiTheme="majorBidi" w:hAnsiTheme="majorBidi" w:cstheme="majorBidi"/>
          <w:sz w:val="22"/>
          <w:szCs w:val="22"/>
          <w:rtl/>
        </w:rPr>
      </w:pPr>
      <w:r w:rsidRPr="00E108CA">
        <w:rPr>
          <w:rStyle w:val="FootnoteReference"/>
          <w:rFonts w:asciiTheme="majorBidi" w:hAnsiTheme="majorBidi" w:cstheme="majorBidi"/>
          <w:sz w:val="22"/>
          <w:szCs w:val="22"/>
        </w:rPr>
        <w:footnoteRef/>
      </w:r>
      <w:r w:rsidRPr="00E108CA">
        <w:rPr>
          <w:rFonts w:asciiTheme="majorBidi" w:hAnsiTheme="majorBidi" w:cstheme="majorBidi"/>
          <w:sz w:val="22"/>
          <w:szCs w:val="22"/>
          <w:rtl/>
        </w:rPr>
        <w:t xml:space="preserve"> </w:t>
      </w:r>
      <w:r w:rsidRPr="00E108CA">
        <w:rPr>
          <w:rFonts w:asciiTheme="majorBidi" w:hAnsiTheme="majorBidi" w:cstheme="majorBidi"/>
          <w:sz w:val="22"/>
          <w:szCs w:val="22"/>
        </w:rPr>
        <w:t xml:space="preserve">Huntington supra note 7 </w:t>
      </w:r>
      <w:r w:rsidRPr="00E108CA">
        <w:rPr>
          <w:rFonts w:asciiTheme="majorBidi" w:hAnsiTheme="majorBidi" w:cstheme="majorBidi"/>
          <w:sz w:val="22"/>
          <w:szCs w:val="22"/>
          <w:rtl/>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3B4A"/>
    <w:multiLevelType w:val="hybridMultilevel"/>
    <w:tmpl w:val="1F207940"/>
    <w:lvl w:ilvl="0" w:tplc="0409000F">
      <w:start w:val="1"/>
      <w:numFmt w:val="decimal"/>
      <w:lvlText w:val="%1."/>
      <w:lvlJc w:val="left"/>
      <w:pPr>
        <w:ind w:left="17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956BA"/>
    <w:multiLevelType w:val="hybridMultilevel"/>
    <w:tmpl w:val="AC6AF0C8"/>
    <w:lvl w:ilvl="0" w:tplc="4E7695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76466"/>
    <w:multiLevelType w:val="hybridMultilevel"/>
    <w:tmpl w:val="79E84298"/>
    <w:lvl w:ilvl="0" w:tplc="8A00BE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93E24"/>
    <w:multiLevelType w:val="multilevel"/>
    <w:tmpl w:val="33D25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835F8F"/>
    <w:multiLevelType w:val="multilevel"/>
    <w:tmpl w:val="7C0A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73175"/>
    <w:multiLevelType w:val="hybridMultilevel"/>
    <w:tmpl w:val="1F207940"/>
    <w:lvl w:ilvl="0" w:tplc="0409000F">
      <w:start w:val="1"/>
      <w:numFmt w:val="decimal"/>
      <w:lvlText w:val="%1."/>
      <w:lvlJc w:val="left"/>
      <w:pPr>
        <w:ind w:left="17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E32CD"/>
    <w:multiLevelType w:val="hybridMultilevel"/>
    <w:tmpl w:val="AC6AF0C8"/>
    <w:lvl w:ilvl="0" w:tplc="4E7695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B62D3"/>
    <w:multiLevelType w:val="hybridMultilevel"/>
    <w:tmpl w:val="9828C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5F0865"/>
    <w:multiLevelType w:val="hybridMultilevel"/>
    <w:tmpl w:val="81B2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7F5BA9"/>
    <w:multiLevelType w:val="hybridMultilevel"/>
    <w:tmpl w:val="79E84298"/>
    <w:lvl w:ilvl="0" w:tplc="8A00BE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42967"/>
    <w:multiLevelType w:val="multilevel"/>
    <w:tmpl w:val="2D0C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95724"/>
    <w:multiLevelType w:val="multilevel"/>
    <w:tmpl w:val="734A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FE136D"/>
    <w:multiLevelType w:val="hybridMultilevel"/>
    <w:tmpl w:val="A19ED0FC"/>
    <w:lvl w:ilvl="0" w:tplc="E538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
  </w:num>
  <w:num w:numId="5">
    <w:abstractNumId w:val="7"/>
  </w:num>
  <w:num w:numId="6">
    <w:abstractNumId w:val="0"/>
  </w:num>
  <w:num w:numId="7">
    <w:abstractNumId w:val="2"/>
  </w:num>
  <w:num w:numId="8">
    <w:abstractNumId w:val="9"/>
  </w:num>
  <w:num w:numId="9">
    <w:abstractNumId w:val="12"/>
  </w:num>
  <w:num w:numId="10">
    <w:abstractNumId w:val="4"/>
  </w:num>
  <w:num w:numId="11">
    <w:abstractNumId w:val="10"/>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9A"/>
    <w:rsid w:val="00000331"/>
    <w:rsid w:val="00004035"/>
    <w:rsid w:val="00004125"/>
    <w:rsid w:val="000042AE"/>
    <w:rsid w:val="00005587"/>
    <w:rsid w:val="00007683"/>
    <w:rsid w:val="000107D3"/>
    <w:rsid w:val="00012AEF"/>
    <w:rsid w:val="00014B1C"/>
    <w:rsid w:val="00015B41"/>
    <w:rsid w:val="000165D3"/>
    <w:rsid w:val="00016B20"/>
    <w:rsid w:val="0002073C"/>
    <w:rsid w:val="000219D9"/>
    <w:rsid w:val="000225B6"/>
    <w:rsid w:val="00022A35"/>
    <w:rsid w:val="000231DA"/>
    <w:rsid w:val="00023776"/>
    <w:rsid w:val="00023A15"/>
    <w:rsid w:val="00025CA9"/>
    <w:rsid w:val="00025F7F"/>
    <w:rsid w:val="00027363"/>
    <w:rsid w:val="00027E39"/>
    <w:rsid w:val="00036299"/>
    <w:rsid w:val="00041229"/>
    <w:rsid w:val="00042786"/>
    <w:rsid w:val="00043C85"/>
    <w:rsid w:val="00043E0F"/>
    <w:rsid w:val="00044DF7"/>
    <w:rsid w:val="000464CA"/>
    <w:rsid w:val="000519AE"/>
    <w:rsid w:val="00054195"/>
    <w:rsid w:val="000558FA"/>
    <w:rsid w:val="00056AF3"/>
    <w:rsid w:val="00057796"/>
    <w:rsid w:val="000577AF"/>
    <w:rsid w:val="00057C20"/>
    <w:rsid w:val="000631EC"/>
    <w:rsid w:val="00063E30"/>
    <w:rsid w:val="00063EBB"/>
    <w:rsid w:val="00067102"/>
    <w:rsid w:val="00067464"/>
    <w:rsid w:val="00074272"/>
    <w:rsid w:val="00075417"/>
    <w:rsid w:val="00075D19"/>
    <w:rsid w:val="00076047"/>
    <w:rsid w:val="00076AF8"/>
    <w:rsid w:val="000775DD"/>
    <w:rsid w:val="000800D5"/>
    <w:rsid w:val="00080199"/>
    <w:rsid w:val="00080D51"/>
    <w:rsid w:val="000828B6"/>
    <w:rsid w:val="00082E1F"/>
    <w:rsid w:val="00083DCA"/>
    <w:rsid w:val="00084ACC"/>
    <w:rsid w:val="00085FD0"/>
    <w:rsid w:val="00092F18"/>
    <w:rsid w:val="00093409"/>
    <w:rsid w:val="00093CDD"/>
    <w:rsid w:val="00095608"/>
    <w:rsid w:val="00095944"/>
    <w:rsid w:val="00096597"/>
    <w:rsid w:val="000972C2"/>
    <w:rsid w:val="000A4AB0"/>
    <w:rsid w:val="000A7E15"/>
    <w:rsid w:val="000B25C1"/>
    <w:rsid w:val="000B2C57"/>
    <w:rsid w:val="000B5670"/>
    <w:rsid w:val="000C0B41"/>
    <w:rsid w:val="000C10E3"/>
    <w:rsid w:val="000C318A"/>
    <w:rsid w:val="000C460B"/>
    <w:rsid w:val="000C5BBE"/>
    <w:rsid w:val="000C75AE"/>
    <w:rsid w:val="000D112F"/>
    <w:rsid w:val="000E00E1"/>
    <w:rsid w:val="000E1C94"/>
    <w:rsid w:val="000E3CA3"/>
    <w:rsid w:val="000E4D30"/>
    <w:rsid w:val="000E4E76"/>
    <w:rsid w:val="000E59CA"/>
    <w:rsid w:val="000E644A"/>
    <w:rsid w:val="000E684B"/>
    <w:rsid w:val="000F0988"/>
    <w:rsid w:val="000F241E"/>
    <w:rsid w:val="000F26AC"/>
    <w:rsid w:val="000F3A4C"/>
    <w:rsid w:val="000F527B"/>
    <w:rsid w:val="000F539B"/>
    <w:rsid w:val="000F67EC"/>
    <w:rsid w:val="000F77A6"/>
    <w:rsid w:val="00100048"/>
    <w:rsid w:val="00103758"/>
    <w:rsid w:val="00110DF9"/>
    <w:rsid w:val="00110FC7"/>
    <w:rsid w:val="00111D00"/>
    <w:rsid w:val="00112DDC"/>
    <w:rsid w:val="00114939"/>
    <w:rsid w:val="00115DD2"/>
    <w:rsid w:val="001179A4"/>
    <w:rsid w:val="00120BB4"/>
    <w:rsid w:val="00122C5E"/>
    <w:rsid w:val="00126027"/>
    <w:rsid w:val="00127447"/>
    <w:rsid w:val="0013463E"/>
    <w:rsid w:val="00135D5E"/>
    <w:rsid w:val="00136309"/>
    <w:rsid w:val="00136667"/>
    <w:rsid w:val="001448D8"/>
    <w:rsid w:val="0014513D"/>
    <w:rsid w:val="00147A64"/>
    <w:rsid w:val="001562BB"/>
    <w:rsid w:val="00157F9F"/>
    <w:rsid w:val="00161B02"/>
    <w:rsid w:val="00162B1D"/>
    <w:rsid w:val="001639F9"/>
    <w:rsid w:val="001676E7"/>
    <w:rsid w:val="00167AE0"/>
    <w:rsid w:val="00176E36"/>
    <w:rsid w:val="001801F4"/>
    <w:rsid w:val="001858D0"/>
    <w:rsid w:val="00185BE2"/>
    <w:rsid w:val="00186697"/>
    <w:rsid w:val="001875E5"/>
    <w:rsid w:val="001926F3"/>
    <w:rsid w:val="001929EE"/>
    <w:rsid w:val="00193FA5"/>
    <w:rsid w:val="00195744"/>
    <w:rsid w:val="00196518"/>
    <w:rsid w:val="00197439"/>
    <w:rsid w:val="001A12AB"/>
    <w:rsid w:val="001A271D"/>
    <w:rsid w:val="001A2997"/>
    <w:rsid w:val="001A2A61"/>
    <w:rsid w:val="001A2E77"/>
    <w:rsid w:val="001A3F39"/>
    <w:rsid w:val="001A5F33"/>
    <w:rsid w:val="001A7701"/>
    <w:rsid w:val="001B099D"/>
    <w:rsid w:val="001B463A"/>
    <w:rsid w:val="001B57E3"/>
    <w:rsid w:val="001B6866"/>
    <w:rsid w:val="001B7AAE"/>
    <w:rsid w:val="001B7D5A"/>
    <w:rsid w:val="001C0B7E"/>
    <w:rsid w:val="001C32AD"/>
    <w:rsid w:val="001C5951"/>
    <w:rsid w:val="001C7B8C"/>
    <w:rsid w:val="001D0511"/>
    <w:rsid w:val="001D1703"/>
    <w:rsid w:val="001D6F7E"/>
    <w:rsid w:val="001D7B04"/>
    <w:rsid w:val="001E0078"/>
    <w:rsid w:val="001E2637"/>
    <w:rsid w:val="001E29D3"/>
    <w:rsid w:val="001E365C"/>
    <w:rsid w:val="001E4CB3"/>
    <w:rsid w:val="001E4F90"/>
    <w:rsid w:val="001F01D2"/>
    <w:rsid w:val="001F0992"/>
    <w:rsid w:val="001F149B"/>
    <w:rsid w:val="001F1ABD"/>
    <w:rsid w:val="001F1FA8"/>
    <w:rsid w:val="001F32BB"/>
    <w:rsid w:val="001F44C8"/>
    <w:rsid w:val="001F78B6"/>
    <w:rsid w:val="002002A8"/>
    <w:rsid w:val="00203580"/>
    <w:rsid w:val="002061C5"/>
    <w:rsid w:val="002070DB"/>
    <w:rsid w:val="002137BC"/>
    <w:rsid w:val="00213D8C"/>
    <w:rsid w:val="00215423"/>
    <w:rsid w:val="002155E3"/>
    <w:rsid w:val="002170A4"/>
    <w:rsid w:val="002200C2"/>
    <w:rsid w:val="002202AF"/>
    <w:rsid w:val="00223EB5"/>
    <w:rsid w:val="002261A3"/>
    <w:rsid w:val="002276B6"/>
    <w:rsid w:val="002301F0"/>
    <w:rsid w:val="00234077"/>
    <w:rsid w:val="002345C9"/>
    <w:rsid w:val="00234DFF"/>
    <w:rsid w:val="00235F88"/>
    <w:rsid w:val="0024132D"/>
    <w:rsid w:val="00241B05"/>
    <w:rsid w:val="002422E7"/>
    <w:rsid w:val="0024257B"/>
    <w:rsid w:val="00244E38"/>
    <w:rsid w:val="002469B8"/>
    <w:rsid w:val="002474B6"/>
    <w:rsid w:val="00251A4B"/>
    <w:rsid w:val="00251F05"/>
    <w:rsid w:val="00252A4C"/>
    <w:rsid w:val="0025359B"/>
    <w:rsid w:val="002546D9"/>
    <w:rsid w:val="00254D9B"/>
    <w:rsid w:val="002571AF"/>
    <w:rsid w:val="002572BF"/>
    <w:rsid w:val="002616C3"/>
    <w:rsid w:val="00262631"/>
    <w:rsid w:val="00262CFD"/>
    <w:rsid w:val="00262E73"/>
    <w:rsid w:val="0026560E"/>
    <w:rsid w:val="00265B63"/>
    <w:rsid w:val="00266674"/>
    <w:rsid w:val="00266ADB"/>
    <w:rsid w:val="002730AE"/>
    <w:rsid w:val="00273358"/>
    <w:rsid w:val="00273E91"/>
    <w:rsid w:val="00280306"/>
    <w:rsid w:val="002803F8"/>
    <w:rsid w:val="00281EC3"/>
    <w:rsid w:val="00283534"/>
    <w:rsid w:val="00285840"/>
    <w:rsid w:val="00286AA0"/>
    <w:rsid w:val="00290EA6"/>
    <w:rsid w:val="00291D7E"/>
    <w:rsid w:val="00291F31"/>
    <w:rsid w:val="00292B85"/>
    <w:rsid w:val="00293CF8"/>
    <w:rsid w:val="00295C8D"/>
    <w:rsid w:val="00295F3B"/>
    <w:rsid w:val="002A3023"/>
    <w:rsid w:val="002A5184"/>
    <w:rsid w:val="002A7A7E"/>
    <w:rsid w:val="002B188C"/>
    <w:rsid w:val="002B1901"/>
    <w:rsid w:val="002B1E6F"/>
    <w:rsid w:val="002B5DA0"/>
    <w:rsid w:val="002B70B2"/>
    <w:rsid w:val="002C02EF"/>
    <w:rsid w:val="002C5C1A"/>
    <w:rsid w:val="002C68E4"/>
    <w:rsid w:val="002C7AAC"/>
    <w:rsid w:val="002D62D3"/>
    <w:rsid w:val="002D722A"/>
    <w:rsid w:val="002D75E8"/>
    <w:rsid w:val="002E1DDC"/>
    <w:rsid w:val="002E30A0"/>
    <w:rsid w:val="002E40F2"/>
    <w:rsid w:val="002E4229"/>
    <w:rsid w:val="002E51AE"/>
    <w:rsid w:val="002E674E"/>
    <w:rsid w:val="002E752D"/>
    <w:rsid w:val="002F17D2"/>
    <w:rsid w:val="002F25A4"/>
    <w:rsid w:val="002F3E0F"/>
    <w:rsid w:val="002F46D5"/>
    <w:rsid w:val="002F4EB9"/>
    <w:rsid w:val="002F7A89"/>
    <w:rsid w:val="003015B1"/>
    <w:rsid w:val="00302CF0"/>
    <w:rsid w:val="00305721"/>
    <w:rsid w:val="003063D6"/>
    <w:rsid w:val="00306914"/>
    <w:rsid w:val="00307452"/>
    <w:rsid w:val="00307528"/>
    <w:rsid w:val="00310DF9"/>
    <w:rsid w:val="003119D2"/>
    <w:rsid w:val="003133CD"/>
    <w:rsid w:val="003147BA"/>
    <w:rsid w:val="00315CE2"/>
    <w:rsid w:val="00316BB0"/>
    <w:rsid w:val="00322022"/>
    <w:rsid w:val="003233E8"/>
    <w:rsid w:val="00324640"/>
    <w:rsid w:val="00325941"/>
    <w:rsid w:val="00326F5C"/>
    <w:rsid w:val="00327469"/>
    <w:rsid w:val="00330E2A"/>
    <w:rsid w:val="00331729"/>
    <w:rsid w:val="0033239F"/>
    <w:rsid w:val="00333376"/>
    <w:rsid w:val="0033343C"/>
    <w:rsid w:val="00336C6E"/>
    <w:rsid w:val="003417E2"/>
    <w:rsid w:val="0034314F"/>
    <w:rsid w:val="003457BB"/>
    <w:rsid w:val="00347575"/>
    <w:rsid w:val="00352177"/>
    <w:rsid w:val="00354596"/>
    <w:rsid w:val="00355E90"/>
    <w:rsid w:val="00357C95"/>
    <w:rsid w:val="0036009B"/>
    <w:rsid w:val="00361363"/>
    <w:rsid w:val="00362D71"/>
    <w:rsid w:val="0036322F"/>
    <w:rsid w:val="00363DED"/>
    <w:rsid w:val="003664BE"/>
    <w:rsid w:val="00366BF4"/>
    <w:rsid w:val="003713FB"/>
    <w:rsid w:val="00371D26"/>
    <w:rsid w:val="00372A29"/>
    <w:rsid w:val="00375A1E"/>
    <w:rsid w:val="00377516"/>
    <w:rsid w:val="003828B8"/>
    <w:rsid w:val="003859C6"/>
    <w:rsid w:val="0038662A"/>
    <w:rsid w:val="00387969"/>
    <w:rsid w:val="00390648"/>
    <w:rsid w:val="00390DDA"/>
    <w:rsid w:val="003916EE"/>
    <w:rsid w:val="00394784"/>
    <w:rsid w:val="00394DF4"/>
    <w:rsid w:val="00396A65"/>
    <w:rsid w:val="00396A8C"/>
    <w:rsid w:val="00396B45"/>
    <w:rsid w:val="003A0B52"/>
    <w:rsid w:val="003A106C"/>
    <w:rsid w:val="003A28B9"/>
    <w:rsid w:val="003A2DCB"/>
    <w:rsid w:val="003A49E5"/>
    <w:rsid w:val="003A4A5F"/>
    <w:rsid w:val="003A632E"/>
    <w:rsid w:val="003B00DB"/>
    <w:rsid w:val="003B0199"/>
    <w:rsid w:val="003B07B0"/>
    <w:rsid w:val="003B1D8E"/>
    <w:rsid w:val="003B36DD"/>
    <w:rsid w:val="003B4CB5"/>
    <w:rsid w:val="003B5192"/>
    <w:rsid w:val="003B5808"/>
    <w:rsid w:val="003B6E04"/>
    <w:rsid w:val="003C28F7"/>
    <w:rsid w:val="003C3DFB"/>
    <w:rsid w:val="003C5453"/>
    <w:rsid w:val="003C607F"/>
    <w:rsid w:val="003C6464"/>
    <w:rsid w:val="003D0920"/>
    <w:rsid w:val="003E38A2"/>
    <w:rsid w:val="003E4BE2"/>
    <w:rsid w:val="003E5D6D"/>
    <w:rsid w:val="003E5E18"/>
    <w:rsid w:val="003E6070"/>
    <w:rsid w:val="003E68F1"/>
    <w:rsid w:val="003E7190"/>
    <w:rsid w:val="003E7333"/>
    <w:rsid w:val="003E7F2D"/>
    <w:rsid w:val="003F5E21"/>
    <w:rsid w:val="003F62D8"/>
    <w:rsid w:val="004039A7"/>
    <w:rsid w:val="00403C29"/>
    <w:rsid w:val="00406225"/>
    <w:rsid w:val="00414F72"/>
    <w:rsid w:val="00415E0E"/>
    <w:rsid w:val="004162E8"/>
    <w:rsid w:val="004167F2"/>
    <w:rsid w:val="00416C57"/>
    <w:rsid w:val="00417047"/>
    <w:rsid w:val="00420867"/>
    <w:rsid w:val="00421863"/>
    <w:rsid w:val="00421B10"/>
    <w:rsid w:val="00422121"/>
    <w:rsid w:val="00424C5F"/>
    <w:rsid w:val="00425952"/>
    <w:rsid w:val="00425967"/>
    <w:rsid w:val="00426588"/>
    <w:rsid w:val="00430E8B"/>
    <w:rsid w:val="00432263"/>
    <w:rsid w:val="00434061"/>
    <w:rsid w:val="0043409E"/>
    <w:rsid w:val="00434ABB"/>
    <w:rsid w:val="004409BB"/>
    <w:rsid w:val="00443BA7"/>
    <w:rsid w:val="00444C72"/>
    <w:rsid w:val="00445BCD"/>
    <w:rsid w:val="00447BC2"/>
    <w:rsid w:val="00451AE6"/>
    <w:rsid w:val="00452702"/>
    <w:rsid w:val="00452A74"/>
    <w:rsid w:val="0045492C"/>
    <w:rsid w:val="00457471"/>
    <w:rsid w:val="00460F68"/>
    <w:rsid w:val="0046657A"/>
    <w:rsid w:val="004668A5"/>
    <w:rsid w:val="004708AE"/>
    <w:rsid w:val="004722C0"/>
    <w:rsid w:val="00472483"/>
    <w:rsid w:val="00473265"/>
    <w:rsid w:val="0047465A"/>
    <w:rsid w:val="00474B23"/>
    <w:rsid w:val="00476177"/>
    <w:rsid w:val="00476B09"/>
    <w:rsid w:val="00477718"/>
    <w:rsid w:val="00483685"/>
    <w:rsid w:val="004836D1"/>
    <w:rsid w:val="00486241"/>
    <w:rsid w:val="00486BAA"/>
    <w:rsid w:val="00492F56"/>
    <w:rsid w:val="00493932"/>
    <w:rsid w:val="00494986"/>
    <w:rsid w:val="00496247"/>
    <w:rsid w:val="00497427"/>
    <w:rsid w:val="004977A5"/>
    <w:rsid w:val="004A39DA"/>
    <w:rsid w:val="004A57B7"/>
    <w:rsid w:val="004B02BD"/>
    <w:rsid w:val="004B461A"/>
    <w:rsid w:val="004B51AD"/>
    <w:rsid w:val="004B5F91"/>
    <w:rsid w:val="004B636E"/>
    <w:rsid w:val="004C056E"/>
    <w:rsid w:val="004C5E90"/>
    <w:rsid w:val="004C5FC7"/>
    <w:rsid w:val="004C63C9"/>
    <w:rsid w:val="004C7629"/>
    <w:rsid w:val="004D1899"/>
    <w:rsid w:val="004D35D5"/>
    <w:rsid w:val="004D715C"/>
    <w:rsid w:val="004E288D"/>
    <w:rsid w:val="004E2EDB"/>
    <w:rsid w:val="004E452E"/>
    <w:rsid w:val="004E4CDF"/>
    <w:rsid w:val="004E4D20"/>
    <w:rsid w:val="004E4F3E"/>
    <w:rsid w:val="004E7131"/>
    <w:rsid w:val="004E7D62"/>
    <w:rsid w:val="004F1424"/>
    <w:rsid w:val="004F1438"/>
    <w:rsid w:val="004F1BD8"/>
    <w:rsid w:val="004F35C0"/>
    <w:rsid w:val="004F5712"/>
    <w:rsid w:val="004F6152"/>
    <w:rsid w:val="004F6529"/>
    <w:rsid w:val="004F7912"/>
    <w:rsid w:val="00500641"/>
    <w:rsid w:val="00500926"/>
    <w:rsid w:val="00503569"/>
    <w:rsid w:val="005062D3"/>
    <w:rsid w:val="00511224"/>
    <w:rsid w:val="0051133A"/>
    <w:rsid w:val="00511E49"/>
    <w:rsid w:val="00514CC2"/>
    <w:rsid w:val="005220BE"/>
    <w:rsid w:val="00523BDA"/>
    <w:rsid w:val="005244F3"/>
    <w:rsid w:val="0052665D"/>
    <w:rsid w:val="00530D21"/>
    <w:rsid w:val="00532C3D"/>
    <w:rsid w:val="0053374E"/>
    <w:rsid w:val="00534CDE"/>
    <w:rsid w:val="0053584E"/>
    <w:rsid w:val="00535974"/>
    <w:rsid w:val="00535A1B"/>
    <w:rsid w:val="00535EFD"/>
    <w:rsid w:val="00536179"/>
    <w:rsid w:val="00536930"/>
    <w:rsid w:val="0053778E"/>
    <w:rsid w:val="005410FF"/>
    <w:rsid w:val="0054140C"/>
    <w:rsid w:val="005427A5"/>
    <w:rsid w:val="00542D78"/>
    <w:rsid w:val="00543F9F"/>
    <w:rsid w:val="00543FEA"/>
    <w:rsid w:val="005454ED"/>
    <w:rsid w:val="00545687"/>
    <w:rsid w:val="00545EC3"/>
    <w:rsid w:val="005462DD"/>
    <w:rsid w:val="00550191"/>
    <w:rsid w:val="005508FF"/>
    <w:rsid w:val="00550A86"/>
    <w:rsid w:val="00550F75"/>
    <w:rsid w:val="0055161A"/>
    <w:rsid w:val="0055191E"/>
    <w:rsid w:val="00553C4E"/>
    <w:rsid w:val="005622C8"/>
    <w:rsid w:val="0056367A"/>
    <w:rsid w:val="00567259"/>
    <w:rsid w:val="0057184C"/>
    <w:rsid w:val="00572162"/>
    <w:rsid w:val="005727BD"/>
    <w:rsid w:val="005754BA"/>
    <w:rsid w:val="005775C9"/>
    <w:rsid w:val="005805B7"/>
    <w:rsid w:val="00581668"/>
    <w:rsid w:val="005824DC"/>
    <w:rsid w:val="005826B8"/>
    <w:rsid w:val="00582742"/>
    <w:rsid w:val="005829DA"/>
    <w:rsid w:val="00586AAB"/>
    <w:rsid w:val="0059092F"/>
    <w:rsid w:val="00594906"/>
    <w:rsid w:val="005952AE"/>
    <w:rsid w:val="005A0348"/>
    <w:rsid w:val="005A0DDF"/>
    <w:rsid w:val="005A218A"/>
    <w:rsid w:val="005A4BEE"/>
    <w:rsid w:val="005A4BF6"/>
    <w:rsid w:val="005A5B73"/>
    <w:rsid w:val="005A7517"/>
    <w:rsid w:val="005B109C"/>
    <w:rsid w:val="005B1259"/>
    <w:rsid w:val="005B1707"/>
    <w:rsid w:val="005C76AB"/>
    <w:rsid w:val="005C7868"/>
    <w:rsid w:val="005D2309"/>
    <w:rsid w:val="005D3540"/>
    <w:rsid w:val="005D424E"/>
    <w:rsid w:val="005D6FAB"/>
    <w:rsid w:val="005D75C4"/>
    <w:rsid w:val="005E274E"/>
    <w:rsid w:val="005E29F0"/>
    <w:rsid w:val="005E4546"/>
    <w:rsid w:val="005E6091"/>
    <w:rsid w:val="005E6281"/>
    <w:rsid w:val="005E7D75"/>
    <w:rsid w:val="005F10F1"/>
    <w:rsid w:val="005F14D0"/>
    <w:rsid w:val="005F19B6"/>
    <w:rsid w:val="005F2FDB"/>
    <w:rsid w:val="005F6E9A"/>
    <w:rsid w:val="00602AC9"/>
    <w:rsid w:val="006032D8"/>
    <w:rsid w:val="006036FC"/>
    <w:rsid w:val="006042D4"/>
    <w:rsid w:val="006043C0"/>
    <w:rsid w:val="006055B7"/>
    <w:rsid w:val="00611A60"/>
    <w:rsid w:val="00611B87"/>
    <w:rsid w:val="00612541"/>
    <w:rsid w:val="00612954"/>
    <w:rsid w:val="00612BA0"/>
    <w:rsid w:val="00615E4D"/>
    <w:rsid w:val="00615F07"/>
    <w:rsid w:val="00616ED2"/>
    <w:rsid w:val="00624D1E"/>
    <w:rsid w:val="006264F7"/>
    <w:rsid w:val="00627391"/>
    <w:rsid w:val="00632AD5"/>
    <w:rsid w:val="0064194C"/>
    <w:rsid w:val="00642186"/>
    <w:rsid w:val="00642543"/>
    <w:rsid w:val="006456EF"/>
    <w:rsid w:val="00645F1F"/>
    <w:rsid w:val="006461D7"/>
    <w:rsid w:val="00646575"/>
    <w:rsid w:val="00647085"/>
    <w:rsid w:val="006507C5"/>
    <w:rsid w:val="00651D5E"/>
    <w:rsid w:val="006522F1"/>
    <w:rsid w:val="00655DA6"/>
    <w:rsid w:val="00656210"/>
    <w:rsid w:val="00656507"/>
    <w:rsid w:val="0065657E"/>
    <w:rsid w:val="00657D81"/>
    <w:rsid w:val="00661C8B"/>
    <w:rsid w:val="00662E29"/>
    <w:rsid w:val="00663F5F"/>
    <w:rsid w:val="00665298"/>
    <w:rsid w:val="00666BF4"/>
    <w:rsid w:val="006701C1"/>
    <w:rsid w:val="00670419"/>
    <w:rsid w:val="006713CC"/>
    <w:rsid w:val="006723B1"/>
    <w:rsid w:val="006733C0"/>
    <w:rsid w:val="00674807"/>
    <w:rsid w:val="00675013"/>
    <w:rsid w:val="00676D14"/>
    <w:rsid w:val="006778A6"/>
    <w:rsid w:val="00677D9A"/>
    <w:rsid w:val="00681954"/>
    <w:rsid w:val="00682F6F"/>
    <w:rsid w:val="006833F8"/>
    <w:rsid w:val="00683572"/>
    <w:rsid w:val="006903F8"/>
    <w:rsid w:val="00692529"/>
    <w:rsid w:val="00692743"/>
    <w:rsid w:val="00692F53"/>
    <w:rsid w:val="006944CE"/>
    <w:rsid w:val="0069482C"/>
    <w:rsid w:val="00697F48"/>
    <w:rsid w:val="006A5C83"/>
    <w:rsid w:val="006A60B8"/>
    <w:rsid w:val="006A7E2F"/>
    <w:rsid w:val="006A7E46"/>
    <w:rsid w:val="006B1B5E"/>
    <w:rsid w:val="006B29ED"/>
    <w:rsid w:val="006B2EB5"/>
    <w:rsid w:val="006B43D6"/>
    <w:rsid w:val="006B4E8D"/>
    <w:rsid w:val="006B75EF"/>
    <w:rsid w:val="006B7E48"/>
    <w:rsid w:val="006C4F0F"/>
    <w:rsid w:val="006C5622"/>
    <w:rsid w:val="006C5F25"/>
    <w:rsid w:val="006C70A6"/>
    <w:rsid w:val="006C7182"/>
    <w:rsid w:val="006D113D"/>
    <w:rsid w:val="006D1146"/>
    <w:rsid w:val="006D25F6"/>
    <w:rsid w:val="006D38CA"/>
    <w:rsid w:val="006D3DF7"/>
    <w:rsid w:val="006D4295"/>
    <w:rsid w:val="006D5D23"/>
    <w:rsid w:val="006E01C2"/>
    <w:rsid w:val="006E1ACE"/>
    <w:rsid w:val="006E3768"/>
    <w:rsid w:val="006E3780"/>
    <w:rsid w:val="006E4F0E"/>
    <w:rsid w:val="006E4F6F"/>
    <w:rsid w:val="006E7C3E"/>
    <w:rsid w:val="006F3F58"/>
    <w:rsid w:val="00707692"/>
    <w:rsid w:val="00707A5C"/>
    <w:rsid w:val="00712947"/>
    <w:rsid w:val="007139B9"/>
    <w:rsid w:val="0071414D"/>
    <w:rsid w:val="00714D86"/>
    <w:rsid w:val="00715F95"/>
    <w:rsid w:val="00716BD1"/>
    <w:rsid w:val="0072036B"/>
    <w:rsid w:val="00720733"/>
    <w:rsid w:val="00720F82"/>
    <w:rsid w:val="007219C5"/>
    <w:rsid w:val="007228DB"/>
    <w:rsid w:val="00725EF5"/>
    <w:rsid w:val="00727A1D"/>
    <w:rsid w:val="00731EB4"/>
    <w:rsid w:val="00734601"/>
    <w:rsid w:val="007358E2"/>
    <w:rsid w:val="00735909"/>
    <w:rsid w:val="00736A7F"/>
    <w:rsid w:val="00741641"/>
    <w:rsid w:val="00744332"/>
    <w:rsid w:val="007452E1"/>
    <w:rsid w:val="00745D0C"/>
    <w:rsid w:val="007479CB"/>
    <w:rsid w:val="00750BEE"/>
    <w:rsid w:val="00750E83"/>
    <w:rsid w:val="00751332"/>
    <w:rsid w:val="007524DB"/>
    <w:rsid w:val="00752B22"/>
    <w:rsid w:val="00753ECC"/>
    <w:rsid w:val="007565D4"/>
    <w:rsid w:val="00756AC6"/>
    <w:rsid w:val="00757484"/>
    <w:rsid w:val="00761EAB"/>
    <w:rsid w:val="0076321B"/>
    <w:rsid w:val="00763963"/>
    <w:rsid w:val="00763F62"/>
    <w:rsid w:val="007640C8"/>
    <w:rsid w:val="00766DEB"/>
    <w:rsid w:val="00766E83"/>
    <w:rsid w:val="007674F2"/>
    <w:rsid w:val="0076770E"/>
    <w:rsid w:val="007679C5"/>
    <w:rsid w:val="007711E5"/>
    <w:rsid w:val="00771437"/>
    <w:rsid w:val="00774BC5"/>
    <w:rsid w:val="00776279"/>
    <w:rsid w:val="00780FAE"/>
    <w:rsid w:val="0078177B"/>
    <w:rsid w:val="00783A30"/>
    <w:rsid w:val="00784A98"/>
    <w:rsid w:val="00784E80"/>
    <w:rsid w:val="007854AB"/>
    <w:rsid w:val="00785572"/>
    <w:rsid w:val="00785ACB"/>
    <w:rsid w:val="00787F5F"/>
    <w:rsid w:val="00791519"/>
    <w:rsid w:val="00791978"/>
    <w:rsid w:val="007A098E"/>
    <w:rsid w:val="007A0F1F"/>
    <w:rsid w:val="007A343A"/>
    <w:rsid w:val="007A3FDE"/>
    <w:rsid w:val="007A7D94"/>
    <w:rsid w:val="007B2592"/>
    <w:rsid w:val="007B6EF3"/>
    <w:rsid w:val="007C33A9"/>
    <w:rsid w:val="007C3C96"/>
    <w:rsid w:val="007C777F"/>
    <w:rsid w:val="007D29D4"/>
    <w:rsid w:val="007D4C83"/>
    <w:rsid w:val="007E0367"/>
    <w:rsid w:val="007E3289"/>
    <w:rsid w:val="007E3465"/>
    <w:rsid w:val="007E3601"/>
    <w:rsid w:val="007E3D20"/>
    <w:rsid w:val="007E6497"/>
    <w:rsid w:val="007F1023"/>
    <w:rsid w:val="007F21CF"/>
    <w:rsid w:val="007F2883"/>
    <w:rsid w:val="007F354C"/>
    <w:rsid w:val="007F3A5A"/>
    <w:rsid w:val="007F437C"/>
    <w:rsid w:val="007F5953"/>
    <w:rsid w:val="007F5D3E"/>
    <w:rsid w:val="007F5FBB"/>
    <w:rsid w:val="007F77AC"/>
    <w:rsid w:val="008000B0"/>
    <w:rsid w:val="008027C0"/>
    <w:rsid w:val="00805D9B"/>
    <w:rsid w:val="00807530"/>
    <w:rsid w:val="00807928"/>
    <w:rsid w:val="00807A0E"/>
    <w:rsid w:val="00813CB4"/>
    <w:rsid w:val="0081508F"/>
    <w:rsid w:val="00815A1B"/>
    <w:rsid w:val="00817124"/>
    <w:rsid w:val="008211D5"/>
    <w:rsid w:val="00822615"/>
    <w:rsid w:val="008259F7"/>
    <w:rsid w:val="00825EB3"/>
    <w:rsid w:val="0082666B"/>
    <w:rsid w:val="00826918"/>
    <w:rsid w:val="00826C7C"/>
    <w:rsid w:val="00827CDF"/>
    <w:rsid w:val="008325F7"/>
    <w:rsid w:val="00832AFC"/>
    <w:rsid w:val="00832F54"/>
    <w:rsid w:val="008348F8"/>
    <w:rsid w:val="00837504"/>
    <w:rsid w:val="00837944"/>
    <w:rsid w:val="00837957"/>
    <w:rsid w:val="00840532"/>
    <w:rsid w:val="008413E3"/>
    <w:rsid w:val="0084205A"/>
    <w:rsid w:val="008432B6"/>
    <w:rsid w:val="00844DA7"/>
    <w:rsid w:val="00847782"/>
    <w:rsid w:val="0085067A"/>
    <w:rsid w:val="0085159F"/>
    <w:rsid w:val="0085363D"/>
    <w:rsid w:val="00854198"/>
    <w:rsid w:val="00854966"/>
    <w:rsid w:val="00854F8F"/>
    <w:rsid w:val="00855E6A"/>
    <w:rsid w:val="00857150"/>
    <w:rsid w:val="00857171"/>
    <w:rsid w:val="00860438"/>
    <w:rsid w:val="008608C2"/>
    <w:rsid w:val="00860E85"/>
    <w:rsid w:val="00863B25"/>
    <w:rsid w:val="00866C60"/>
    <w:rsid w:val="00870428"/>
    <w:rsid w:val="00876587"/>
    <w:rsid w:val="008815E4"/>
    <w:rsid w:val="00883767"/>
    <w:rsid w:val="00884410"/>
    <w:rsid w:val="00887B54"/>
    <w:rsid w:val="00890E2A"/>
    <w:rsid w:val="00891D35"/>
    <w:rsid w:val="00892D6B"/>
    <w:rsid w:val="008948FD"/>
    <w:rsid w:val="008958C9"/>
    <w:rsid w:val="008A29A6"/>
    <w:rsid w:val="008A4F87"/>
    <w:rsid w:val="008A5EED"/>
    <w:rsid w:val="008B0016"/>
    <w:rsid w:val="008B0196"/>
    <w:rsid w:val="008B0B96"/>
    <w:rsid w:val="008B319E"/>
    <w:rsid w:val="008B5183"/>
    <w:rsid w:val="008C18E4"/>
    <w:rsid w:val="008C1D6B"/>
    <w:rsid w:val="008C2DCC"/>
    <w:rsid w:val="008C3B67"/>
    <w:rsid w:val="008C4F66"/>
    <w:rsid w:val="008C5B85"/>
    <w:rsid w:val="008C5D81"/>
    <w:rsid w:val="008C5E2A"/>
    <w:rsid w:val="008C5E73"/>
    <w:rsid w:val="008C73EE"/>
    <w:rsid w:val="008D12ED"/>
    <w:rsid w:val="008D6AC1"/>
    <w:rsid w:val="008D6ED4"/>
    <w:rsid w:val="008D721C"/>
    <w:rsid w:val="008E2130"/>
    <w:rsid w:val="008E27D5"/>
    <w:rsid w:val="008E44B6"/>
    <w:rsid w:val="008E560D"/>
    <w:rsid w:val="008E5FE4"/>
    <w:rsid w:val="008F08DA"/>
    <w:rsid w:val="008F5429"/>
    <w:rsid w:val="009004AC"/>
    <w:rsid w:val="009004C2"/>
    <w:rsid w:val="0090216F"/>
    <w:rsid w:val="009039E8"/>
    <w:rsid w:val="0090457D"/>
    <w:rsid w:val="00906A8D"/>
    <w:rsid w:val="009102B0"/>
    <w:rsid w:val="00911F5F"/>
    <w:rsid w:val="00912827"/>
    <w:rsid w:val="00913561"/>
    <w:rsid w:val="0091427F"/>
    <w:rsid w:val="00914AC7"/>
    <w:rsid w:val="00916CC6"/>
    <w:rsid w:val="00925253"/>
    <w:rsid w:val="00926649"/>
    <w:rsid w:val="00927688"/>
    <w:rsid w:val="0093197B"/>
    <w:rsid w:val="0093291D"/>
    <w:rsid w:val="00932C20"/>
    <w:rsid w:val="00932D66"/>
    <w:rsid w:val="0093348A"/>
    <w:rsid w:val="00935F4C"/>
    <w:rsid w:val="009367F3"/>
    <w:rsid w:val="009410D9"/>
    <w:rsid w:val="0094179D"/>
    <w:rsid w:val="00942576"/>
    <w:rsid w:val="0094324F"/>
    <w:rsid w:val="009451A6"/>
    <w:rsid w:val="00947118"/>
    <w:rsid w:val="009471D9"/>
    <w:rsid w:val="00947974"/>
    <w:rsid w:val="00950CEB"/>
    <w:rsid w:val="00951414"/>
    <w:rsid w:val="00952CEF"/>
    <w:rsid w:val="00952F11"/>
    <w:rsid w:val="00954531"/>
    <w:rsid w:val="00956F99"/>
    <w:rsid w:val="009602F5"/>
    <w:rsid w:val="00960AE8"/>
    <w:rsid w:val="00960E89"/>
    <w:rsid w:val="009652B1"/>
    <w:rsid w:val="009657BA"/>
    <w:rsid w:val="00966160"/>
    <w:rsid w:val="00972832"/>
    <w:rsid w:val="009756D0"/>
    <w:rsid w:val="009761A4"/>
    <w:rsid w:val="00980EA7"/>
    <w:rsid w:val="009810E4"/>
    <w:rsid w:val="00982640"/>
    <w:rsid w:val="00982FD6"/>
    <w:rsid w:val="00985A3E"/>
    <w:rsid w:val="00985F9B"/>
    <w:rsid w:val="0098763B"/>
    <w:rsid w:val="009901DA"/>
    <w:rsid w:val="00992096"/>
    <w:rsid w:val="009923C1"/>
    <w:rsid w:val="009979E8"/>
    <w:rsid w:val="009A1683"/>
    <w:rsid w:val="009A5213"/>
    <w:rsid w:val="009A5579"/>
    <w:rsid w:val="009B2D0B"/>
    <w:rsid w:val="009C1AA1"/>
    <w:rsid w:val="009C24DC"/>
    <w:rsid w:val="009C3690"/>
    <w:rsid w:val="009C46F4"/>
    <w:rsid w:val="009C6B68"/>
    <w:rsid w:val="009C7048"/>
    <w:rsid w:val="009C77FF"/>
    <w:rsid w:val="009D211B"/>
    <w:rsid w:val="009D27FB"/>
    <w:rsid w:val="009D4E59"/>
    <w:rsid w:val="009D6578"/>
    <w:rsid w:val="009D66E4"/>
    <w:rsid w:val="009D7227"/>
    <w:rsid w:val="009E1F82"/>
    <w:rsid w:val="009E4AA7"/>
    <w:rsid w:val="009E5FBC"/>
    <w:rsid w:val="009E6C72"/>
    <w:rsid w:val="009E6E43"/>
    <w:rsid w:val="009F067A"/>
    <w:rsid w:val="009F27B7"/>
    <w:rsid w:val="009F70A8"/>
    <w:rsid w:val="00A008FB"/>
    <w:rsid w:val="00A018D4"/>
    <w:rsid w:val="00A03662"/>
    <w:rsid w:val="00A06312"/>
    <w:rsid w:val="00A06339"/>
    <w:rsid w:val="00A06962"/>
    <w:rsid w:val="00A1207B"/>
    <w:rsid w:val="00A13A6D"/>
    <w:rsid w:val="00A13C11"/>
    <w:rsid w:val="00A16BB8"/>
    <w:rsid w:val="00A17D99"/>
    <w:rsid w:val="00A17E8F"/>
    <w:rsid w:val="00A21B87"/>
    <w:rsid w:val="00A250D0"/>
    <w:rsid w:val="00A26069"/>
    <w:rsid w:val="00A267DF"/>
    <w:rsid w:val="00A301CB"/>
    <w:rsid w:val="00A30351"/>
    <w:rsid w:val="00A304B1"/>
    <w:rsid w:val="00A31C71"/>
    <w:rsid w:val="00A32D4C"/>
    <w:rsid w:val="00A33B5B"/>
    <w:rsid w:val="00A36174"/>
    <w:rsid w:val="00A36601"/>
    <w:rsid w:val="00A371D8"/>
    <w:rsid w:val="00A37EF6"/>
    <w:rsid w:val="00A40B7D"/>
    <w:rsid w:val="00A43BEF"/>
    <w:rsid w:val="00A44433"/>
    <w:rsid w:val="00A44867"/>
    <w:rsid w:val="00A503AD"/>
    <w:rsid w:val="00A53060"/>
    <w:rsid w:val="00A5317F"/>
    <w:rsid w:val="00A531E1"/>
    <w:rsid w:val="00A538D5"/>
    <w:rsid w:val="00A56A81"/>
    <w:rsid w:val="00A62D7B"/>
    <w:rsid w:val="00A62F1E"/>
    <w:rsid w:val="00A6306E"/>
    <w:rsid w:val="00A72F75"/>
    <w:rsid w:val="00A75B5C"/>
    <w:rsid w:val="00A77DB4"/>
    <w:rsid w:val="00A802F5"/>
    <w:rsid w:val="00A822E9"/>
    <w:rsid w:val="00A82D5B"/>
    <w:rsid w:val="00A83460"/>
    <w:rsid w:val="00A83641"/>
    <w:rsid w:val="00A83810"/>
    <w:rsid w:val="00A83D9B"/>
    <w:rsid w:val="00A83E51"/>
    <w:rsid w:val="00A8423C"/>
    <w:rsid w:val="00A84873"/>
    <w:rsid w:val="00A853FE"/>
    <w:rsid w:val="00A903AA"/>
    <w:rsid w:val="00A90B2A"/>
    <w:rsid w:val="00A91CA5"/>
    <w:rsid w:val="00AA0206"/>
    <w:rsid w:val="00AA26AF"/>
    <w:rsid w:val="00AA30BC"/>
    <w:rsid w:val="00AA4378"/>
    <w:rsid w:val="00AA619D"/>
    <w:rsid w:val="00AA6D6C"/>
    <w:rsid w:val="00AA70C4"/>
    <w:rsid w:val="00AB06CE"/>
    <w:rsid w:val="00AB08B6"/>
    <w:rsid w:val="00AB3E3A"/>
    <w:rsid w:val="00AB4E78"/>
    <w:rsid w:val="00AB55F4"/>
    <w:rsid w:val="00AB5946"/>
    <w:rsid w:val="00AB7A97"/>
    <w:rsid w:val="00AC0288"/>
    <w:rsid w:val="00AC1569"/>
    <w:rsid w:val="00AC3FDB"/>
    <w:rsid w:val="00AC4C64"/>
    <w:rsid w:val="00AC790C"/>
    <w:rsid w:val="00AD282C"/>
    <w:rsid w:val="00AD2990"/>
    <w:rsid w:val="00AD61A6"/>
    <w:rsid w:val="00AD62CD"/>
    <w:rsid w:val="00AD7C60"/>
    <w:rsid w:val="00AE4523"/>
    <w:rsid w:val="00AF4E3E"/>
    <w:rsid w:val="00AF61B4"/>
    <w:rsid w:val="00AF7E60"/>
    <w:rsid w:val="00B00668"/>
    <w:rsid w:val="00B01AB1"/>
    <w:rsid w:val="00B07E51"/>
    <w:rsid w:val="00B10089"/>
    <w:rsid w:val="00B102AE"/>
    <w:rsid w:val="00B1208B"/>
    <w:rsid w:val="00B140C0"/>
    <w:rsid w:val="00B14BAF"/>
    <w:rsid w:val="00B1503C"/>
    <w:rsid w:val="00B15263"/>
    <w:rsid w:val="00B15837"/>
    <w:rsid w:val="00B1637C"/>
    <w:rsid w:val="00B203F7"/>
    <w:rsid w:val="00B20A07"/>
    <w:rsid w:val="00B216E6"/>
    <w:rsid w:val="00B22869"/>
    <w:rsid w:val="00B22A7F"/>
    <w:rsid w:val="00B23B54"/>
    <w:rsid w:val="00B24008"/>
    <w:rsid w:val="00B2431E"/>
    <w:rsid w:val="00B27F9A"/>
    <w:rsid w:val="00B3054A"/>
    <w:rsid w:val="00B31568"/>
    <w:rsid w:val="00B31CFA"/>
    <w:rsid w:val="00B31F5B"/>
    <w:rsid w:val="00B34B5C"/>
    <w:rsid w:val="00B35798"/>
    <w:rsid w:val="00B36773"/>
    <w:rsid w:val="00B3685D"/>
    <w:rsid w:val="00B37DCD"/>
    <w:rsid w:val="00B42F2F"/>
    <w:rsid w:val="00B437E3"/>
    <w:rsid w:val="00B452DB"/>
    <w:rsid w:val="00B47E79"/>
    <w:rsid w:val="00B5302F"/>
    <w:rsid w:val="00B5331E"/>
    <w:rsid w:val="00B545C6"/>
    <w:rsid w:val="00B55049"/>
    <w:rsid w:val="00B56385"/>
    <w:rsid w:val="00B56FCB"/>
    <w:rsid w:val="00B5748E"/>
    <w:rsid w:val="00B604A6"/>
    <w:rsid w:val="00B60F30"/>
    <w:rsid w:val="00B62BB0"/>
    <w:rsid w:val="00B63120"/>
    <w:rsid w:val="00B641AF"/>
    <w:rsid w:val="00B6452B"/>
    <w:rsid w:val="00B64B1A"/>
    <w:rsid w:val="00B65081"/>
    <w:rsid w:val="00B6514C"/>
    <w:rsid w:val="00B6732E"/>
    <w:rsid w:val="00B70868"/>
    <w:rsid w:val="00B714F9"/>
    <w:rsid w:val="00B75439"/>
    <w:rsid w:val="00B8074C"/>
    <w:rsid w:val="00B80793"/>
    <w:rsid w:val="00B80BB9"/>
    <w:rsid w:val="00B8269A"/>
    <w:rsid w:val="00B84E44"/>
    <w:rsid w:val="00B8647A"/>
    <w:rsid w:val="00B87368"/>
    <w:rsid w:val="00B87F0C"/>
    <w:rsid w:val="00B902D2"/>
    <w:rsid w:val="00B90D15"/>
    <w:rsid w:val="00B9583F"/>
    <w:rsid w:val="00B96489"/>
    <w:rsid w:val="00B97C35"/>
    <w:rsid w:val="00BA103C"/>
    <w:rsid w:val="00BA18DF"/>
    <w:rsid w:val="00BA1C00"/>
    <w:rsid w:val="00BA36E4"/>
    <w:rsid w:val="00BA5420"/>
    <w:rsid w:val="00BB35EA"/>
    <w:rsid w:val="00BB6A12"/>
    <w:rsid w:val="00BB7994"/>
    <w:rsid w:val="00BC0575"/>
    <w:rsid w:val="00BC2D3E"/>
    <w:rsid w:val="00BC2E7B"/>
    <w:rsid w:val="00BC49CD"/>
    <w:rsid w:val="00BC4F0B"/>
    <w:rsid w:val="00BC5F41"/>
    <w:rsid w:val="00BD2A4A"/>
    <w:rsid w:val="00BD4103"/>
    <w:rsid w:val="00BD498B"/>
    <w:rsid w:val="00BD5468"/>
    <w:rsid w:val="00BD549E"/>
    <w:rsid w:val="00BD6956"/>
    <w:rsid w:val="00BD70CA"/>
    <w:rsid w:val="00BD753C"/>
    <w:rsid w:val="00BD7576"/>
    <w:rsid w:val="00BE0831"/>
    <w:rsid w:val="00BE2A4A"/>
    <w:rsid w:val="00BE31B0"/>
    <w:rsid w:val="00BE66BE"/>
    <w:rsid w:val="00BE6A83"/>
    <w:rsid w:val="00BE6FB6"/>
    <w:rsid w:val="00BF00CE"/>
    <w:rsid w:val="00BF137D"/>
    <w:rsid w:val="00BF28BF"/>
    <w:rsid w:val="00BF2930"/>
    <w:rsid w:val="00BF3714"/>
    <w:rsid w:val="00BF3810"/>
    <w:rsid w:val="00BF5DE3"/>
    <w:rsid w:val="00BF66F0"/>
    <w:rsid w:val="00C0036A"/>
    <w:rsid w:val="00C06713"/>
    <w:rsid w:val="00C07796"/>
    <w:rsid w:val="00C11C18"/>
    <w:rsid w:val="00C13BD1"/>
    <w:rsid w:val="00C1512B"/>
    <w:rsid w:val="00C16C7C"/>
    <w:rsid w:val="00C17CAE"/>
    <w:rsid w:val="00C21CE8"/>
    <w:rsid w:val="00C22D8E"/>
    <w:rsid w:val="00C24A27"/>
    <w:rsid w:val="00C25BDA"/>
    <w:rsid w:val="00C26D3C"/>
    <w:rsid w:val="00C325F4"/>
    <w:rsid w:val="00C32669"/>
    <w:rsid w:val="00C36B92"/>
    <w:rsid w:val="00C37962"/>
    <w:rsid w:val="00C40043"/>
    <w:rsid w:val="00C40CBA"/>
    <w:rsid w:val="00C43E8A"/>
    <w:rsid w:val="00C464E0"/>
    <w:rsid w:val="00C46FAE"/>
    <w:rsid w:val="00C475AD"/>
    <w:rsid w:val="00C501D8"/>
    <w:rsid w:val="00C50D6F"/>
    <w:rsid w:val="00C5207D"/>
    <w:rsid w:val="00C53567"/>
    <w:rsid w:val="00C55089"/>
    <w:rsid w:val="00C56B13"/>
    <w:rsid w:val="00C575AC"/>
    <w:rsid w:val="00C60656"/>
    <w:rsid w:val="00C60A50"/>
    <w:rsid w:val="00C63965"/>
    <w:rsid w:val="00C63A87"/>
    <w:rsid w:val="00C65DA0"/>
    <w:rsid w:val="00C7082E"/>
    <w:rsid w:val="00C72493"/>
    <w:rsid w:val="00C736E1"/>
    <w:rsid w:val="00C73950"/>
    <w:rsid w:val="00C777E6"/>
    <w:rsid w:val="00C82ED4"/>
    <w:rsid w:val="00C838ED"/>
    <w:rsid w:val="00C841C3"/>
    <w:rsid w:val="00C91634"/>
    <w:rsid w:val="00C93D27"/>
    <w:rsid w:val="00C94760"/>
    <w:rsid w:val="00C9525B"/>
    <w:rsid w:val="00C96D86"/>
    <w:rsid w:val="00CA466B"/>
    <w:rsid w:val="00CA5768"/>
    <w:rsid w:val="00CA5A13"/>
    <w:rsid w:val="00CA5CE3"/>
    <w:rsid w:val="00CB0850"/>
    <w:rsid w:val="00CB1FB3"/>
    <w:rsid w:val="00CB25F6"/>
    <w:rsid w:val="00CB3B4D"/>
    <w:rsid w:val="00CB4C3F"/>
    <w:rsid w:val="00CB629F"/>
    <w:rsid w:val="00CB6D41"/>
    <w:rsid w:val="00CC234B"/>
    <w:rsid w:val="00CC5FAD"/>
    <w:rsid w:val="00CC6993"/>
    <w:rsid w:val="00CC70CB"/>
    <w:rsid w:val="00CD10B8"/>
    <w:rsid w:val="00CD2F74"/>
    <w:rsid w:val="00CD6684"/>
    <w:rsid w:val="00CD69AE"/>
    <w:rsid w:val="00CE0873"/>
    <w:rsid w:val="00CE37EF"/>
    <w:rsid w:val="00CE3A5F"/>
    <w:rsid w:val="00CE54A6"/>
    <w:rsid w:val="00CE55B6"/>
    <w:rsid w:val="00CE7202"/>
    <w:rsid w:val="00CF1769"/>
    <w:rsid w:val="00CF2115"/>
    <w:rsid w:val="00CF4602"/>
    <w:rsid w:val="00CF5B68"/>
    <w:rsid w:val="00CF6CB0"/>
    <w:rsid w:val="00D00E13"/>
    <w:rsid w:val="00D00FB8"/>
    <w:rsid w:val="00D02663"/>
    <w:rsid w:val="00D0275E"/>
    <w:rsid w:val="00D027EF"/>
    <w:rsid w:val="00D0390E"/>
    <w:rsid w:val="00D052F2"/>
    <w:rsid w:val="00D069A2"/>
    <w:rsid w:val="00D151E5"/>
    <w:rsid w:val="00D15B99"/>
    <w:rsid w:val="00D23CFE"/>
    <w:rsid w:val="00D26CE6"/>
    <w:rsid w:val="00D34431"/>
    <w:rsid w:val="00D40DE6"/>
    <w:rsid w:val="00D40E5C"/>
    <w:rsid w:val="00D42771"/>
    <w:rsid w:val="00D42DF6"/>
    <w:rsid w:val="00D44EE1"/>
    <w:rsid w:val="00D45A4D"/>
    <w:rsid w:val="00D46786"/>
    <w:rsid w:val="00D47F92"/>
    <w:rsid w:val="00D51776"/>
    <w:rsid w:val="00D525FF"/>
    <w:rsid w:val="00D52A9C"/>
    <w:rsid w:val="00D60DC8"/>
    <w:rsid w:val="00D63383"/>
    <w:rsid w:val="00D649B8"/>
    <w:rsid w:val="00D655F5"/>
    <w:rsid w:val="00D65E96"/>
    <w:rsid w:val="00D708A1"/>
    <w:rsid w:val="00D7494B"/>
    <w:rsid w:val="00D77335"/>
    <w:rsid w:val="00D80292"/>
    <w:rsid w:val="00D81DDF"/>
    <w:rsid w:val="00D82CD1"/>
    <w:rsid w:val="00D86B59"/>
    <w:rsid w:val="00D90A44"/>
    <w:rsid w:val="00D9118D"/>
    <w:rsid w:val="00D921A0"/>
    <w:rsid w:val="00D92375"/>
    <w:rsid w:val="00D936A4"/>
    <w:rsid w:val="00D94AC4"/>
    <w:rsid w:val="00D94F43"/>
    <w:rsid w:val="00D956D2"/>
    <w:rsid w:val="00D96188"/>
    <w:rsid w:val="00DA1B28"/>
    <w:rsid w:val="00DA36D4"/>
    <w:rsid w:val="00DA6F2D"/>
    <w:rsid w:val="00DB2300"/>
    <w:rsid w:val="00DB2B20"/>
    <w:rsid w:val="00DB651E"/>
    <w:rsid w:val="00DC18C3"/>
    <w:rsid w:val="00DC1CB7"/>
    <w:rsid w:val="00DC2E5F"/>
    <w:rsid w:val="00DC33A7"/>
    <w:rsid w:val="00DC545D"/>
    <w:rsid w:val="00DD0108"/>
    <w:rsid w:val="00DD02BB"/>
    <w:rsid w:val="00DD067B"/>
    <w:rsid w:val="00DD1315"/>
    <w:rsid w:val="00DD1783"/>
    <w:rsid w:val="00DD1841"/>
    <w:rsid w:val="00DD3E55"/>
    <w:rsid w:val="00DD4293"/>
    <w:rsid w:val="00DD6779"/>
    <w:rsid w:val="00DD6C22"/>
    <w:rsid w:val="00DD7567"/>
    <w:rsid w:val="00DE01F9"/>
    <w:rsid w:val="00DE1BB2"/>
    <w:rsid w:val="00DE20B0"/>
    <w:rsid w:val="00DE236B"/>
    <w:rsid w:val="00DE28DE"/>
    <w:rsid w:val="00DE4D9D"/>
    <w:rsid w:val="00DE65F4"/>
    <w:rsid w:val="00DE667F"/>
    <w:rsid w:val="00DE7569"/>
    <w:rsid w:val="00DF37AB"/>
    <w:rsid w:val="00DF4653"/>
    <w:rsid w:val="00DF77C7"/>
    <w:rsid w:val="00E009F6"/>
    <w:rsid w:val="00E0145B"/>
    <w:rsid w:val="00E01A09"/>
    <w:rsid w:val="00E0410A"/>
    <w:rsid w:val="00E05A42"/>
    <w:rsid w:val="00E06A00"/>
    <w:rsid w:val="00E10290"/>
    <w:rsid w:val="00E108CA"/>
    <w:rsid w:val="00E11895"/>
    <w:rsid w:val="00E166BD"/>
    <w:rsid w:val="00E16F47"/>
    <w:rsid w:val="00E209BC"/>
    <w:rsid w:val="00E2113D"/>
    <w:rsid w:val="00E23FE9"/>
    <w:rsid w:val="00E25656"/>
    <w:rsid w:val="00E27102"/>
    <w:rsid w:val="00E27C3E"/>
    <w:rsid w:val="00E31406"/>
    <w:rsid w:val="00E31705"/>
    <w:rsid w:val="00E351F4"/>
    <w:rsid w:val="00E3564B"/>
    <w:rsid w:val="00E35E3D"/>
    <w:rsid w:val="00E42519"/>
    <w:rsid w:val="00E42730"/>
    <w:rsid w:val="00E42C69"/>
    <w:rsid w:val="00E44D96"/>
    <w:rsid w:val="00E45443"/>
    <w:rsid w:val="00E46F09"/>
    <w:rsid w:val="00E479C4"/>
    <w:rsid w:val="00E47B2A"/>
    <w:rsid w:val="00E50FDE"/>
    <w:rsid w:val="00E51F84"/>
    <w:rsid w:val="00E52ACE"/>
    <w:rsid w:val="00E52EB9"/>
    <w:rsid w:val="00E55B5A"/>
    <w:rsid w:val="00E609C0"/>
    <w:rsid w:val="00E60E45"/>
    <w:rsid w:val="00E64658"/>
    <w:rsid w:val="00E64F27"/>
    <w:rsid w:val="00E65D7D"/>
    <w:rsid w:val="00E67EC0"/>
    <w:rsid w:val="00E70147"/>
    <w:rsid w:val="00E73998"/>
    <w:rsid w:val="00E767D6"/>
    <w:rsid w:val="00E76A11"/>
    <w:rsid w:val="00E84590"/>
    <w:rsid w:val="00E96329"/>
    <w:rsid w:val="00E97CAA"/>
    <w:rsid w:val="00EA0624"/>
    <w:rsid w:val="00EA25AD"/>
    <w:rsid w:val="00EA54C0"/>
    <w:rsid w:val="00EA5C54"/>
    <w:rsid w:val="00EA74F8"/>
    <w:rsid w:val="00EA7B9A"/>
    <w:rsid w:val="00EB074B"/>
    <w:rsid w:val="00EB3753"/>
    <w:rsid w:val="00EB3B5F"/>
    <w:rsid w:val="00EB4A12"/>
    <w:rsid w:val="00EB4F52"/>
    <w:rsid w:val="00EB533D"/>
    <w:rsid w:val="00EB7FD8"/>
    <w:rsid w:val="00EC1D64"/>
    <w:rsid w:val="00EC2BB6"/>
    <w:rsid w:val="00EC322C"/>
    <w:rsid w:val="00EC3425"/>
    <w:rsid w:val="00EC603E"/>
    <w:rsid w:val="00ED1ADD"/>
    <w:rsid w:val="00ED4FED"/>
    <w:rsid w:val="00ED51A9"/>
    <w:rsid w:val="00ED6C8C"/>
    <w:rsid w:val="00ED77E0"/>
    <w:rsid w:val="00ED7985"/>
    <w:rsid w:val="00EE065A"/>
    <w:rsid w:val="00EE2297"/>
    <w:rsid w:val="00EE31EF"/>
    <w:rsid w:val="00EE45C4"/>
    <w:rsid w:val="00EE6FB5"/>
    <w:rsid w:val="00EF0D12"/>
    <w:rsid w:val="00EF67C2"/>
    <w:rsid w:val="00F0073A"/>
    <w:rsid w:val="00F01986"/>
    <w:rsid w:val="00F034A4"/>
    <w:rsid w:val="00F03870"/>
    <w:rsid w:val="00F03927"/>
    <w:rsid w:val="00F0535D"/>
    <w:rsid w:val="00F10CC7"/>
    <w:rsid w:val="00F13C76"/>
    <w:rsid w:val="00F1415A"/>
    <w:rsid w:val="00F15DAC"/>
    <w:rsid w:val="00F17335"/>
    <w:rsid w:val="00F21815"/>
    <w:rsid w:val="00F249F4"/>
    <w:rsid w:val="00F24AA0"/>
    <w:rsid w:val="00F25BD0"/>
    <w:rsid w:val="00F25DDA"/>
    <w:rsid w:val="00F3377E"/>
    <w:rsid w:val="00F36343"/>
    <w:rsid w:val="00F405E6"/>
    <w:rsid w:val="00F4346F"/>
    <w:rsid w:val="00F45F91"/>
    <w:rsid w:val="00F46146"/>
    <w:rsid w:val="00F51AC9"/>
    <w:rsid w:val="00F53DA7"/>
    <w:rsid w:val="00F5538B"/>
    <w:rsid w:val="00F55837"/>
    <w:rsid w:val="00F57781"/>
    <w:rsid w:val="00F5799B"/>
    <w:rsid w:val="00F57A59"/>
    <w:rsid w:val="00F61E16"/>
    <w:rsid w:val="00F65821"/>
    <w:rsid w:val="00F70E31"/>
    <w:rsid w:val="00F710A3"/>
    <w:rsid w:val="00F73041"/>
    <w:rsid w:val="00F73DF2"/>
    <w:rsid w:val="00F74D00"/>
    <w:rsid w:val="00F752CC"/>
    <w:rsid w:val="00F75BBA"/>
    <w:rsid w:val="00F83B3E"/>
    <w:rsid w:val="00F83F6D"/>
    <w:rsid w:val="00F86274"/>
    <w:rsid w:val="00F86BAC"/>
    <w:rsid w:val="00F87FC2"/>
    <w:rsid w:val="00F904CB"/>
    <w:rsid w:val="00F914D2"/>
    <w:rsid w:val="00F93090"/>
    <w:rsid w:val="00F95925"/>
    <w:rsid w:val="00F968E3"/>
    <w:rsid w:val="00F973F6"/>
    <w:rsid w:val="00FA136B"/>
    <w:rsid w:val="00FA3799"/>
    <w:rsid w:val="00FB1DAC"/>
    <w:rsid w:val="00FB1E3E"/>
    <w:rsid w:val="00FB3748"/>
    <w:rsid w:val="00FB3EAF"/>
    <w:rsid w:val="00FB424B"/>
    <w:rsid w:val="00FB7C1F"/>
    <w:rsid w:val="00FB7D57"/>
    <w:rsid w:val="00FC21DA"/>
    <w:rsid w:val="00FC43DD"/>
    <w:rsid w:val="00FC6DD7"/>
    <w:rsid w:val="00FD2418"/>
    <w:rsid w:val="00FE0759"/>
    <w:rsid w:val="00FE230A"/>
    <w:rsid w:val="00FE793A"/>
    <w:rsid w:val="00FF1109"/>
    <w:rsid w:val="00FF2F4D"/>
    <w:rsid w:val="00FF459D"/>
    <w:rsid w:val="00FF77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F10A"/>
  <w15:chartTrackingRefBased/>
  <w15:docId w15:val="{BAC0D60B-16A6-46F8-83EB-F5C1AF7A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E9A"/>
    <w:pPr>
      <w:bidi/>
      <w:spacing w:line="256" w:lineRule="auto"/>
    </w:pPr>
  </w:style>
  <w:style w:type="paragraph" w:styleId="Heading1">
    <w:name w:val="heading 1"/>
    <w:basedOn w:val="Normal"/>
    <w:link w:val="Heading1Char"/>
    <w:uiPriority w:val="9"/>
    <w:qFormat/>
    <w:rsid w:val="00785AC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240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08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E9A"/>
    <w:rPr>
      <w:color w:val="0563C1" w:themeColor="hyperlink"/>
      <w:u w:val="single"/>
    </w:rPr>
  </w:style>
  <w:style w:type="paragraph" w:styleId="ListParagraph">
    <w:name w:val="List Paragraph"/>
    <w:basedOn w:val="Normal"/>
    <w:uiPriority w:val="34"/>
    <w:qFormat/>
    <w:rsid w:val="005F6E9A"/>
    <w:pPr>
      <w:spacing w:line="259" w:lineRule="auto"/>
      <w:ind w:left="720"/>
      <w:contextualSpacing/>
    </w:pPr>
  </w:style>
  <w:style w:type="paragraph" w:styleId="FootnoteText">
    <w:name w:val="footnote text"/>
    <w:aliases w:val="Footnotes,Note de bas de page2,fn,Char,טקסט הערות שוליים תו תו תו,טקסט הערות שוליים תו תו תו תו,טקסט הערות שוליים תו תו,טקסט הערות שוליים תו Char Char Char,טקסט הערות שוליים תו Char Char,טקסט הערות שוליים תו תו Char Char,תו תו תו תו,ft"/>
    <w:basedOn w:val="Normal"/>
    <w:link w:val="FootnoteTextChar"/>
    <w:unhideWhenUsed/>
    <w:qFormat/>
    <w:rsid w:val="00372A29"/>
    <w:pPr>
      <w:spacing w:after="0" w:line="240" w:lineRule="auto"/>
    </w:pPr>
    <w:rPr>
      <w:sz w:val="20"/>
      <w:szCs w:val="20"/>
    </w:rPr>
  </w:style>
  <w:style w:type="character" w:customStyle="1" w:styleId="FootnoteTextChar">
    <w:name w:val="Footnote Text Char"/>
    <w:aliases w:val="Footnotes Char,Note de bas de page2 Char,fn Char,Char Char,טקסט הערות שוליים תו תו תו Char,טקסט הערות שוליים תו תו תו תו Char,טקסט הערות שוליים תו תו Char,טקסט הערות שוליים תו Char Char Char Char,טקסט הערות שוליים תו Char Char Char1"/>
    <w:basedOn w:val="DefaultParagraphFont"/>
    <w:link w:val="FootnoteText"/>
    <w:rsid w:val="00372A29"/>
    <w:rPr>
      <w:sz w:val="20"/>
      <w:szCs w:val="20"/>
    </w:rPr>
  </w:style>
  <w:style w:type="character" w:styleId="FootnoteReference">
    <w:name w:val="footnote reference"/>
    <w:basedOn w:val="DefaultParagraphFont"/>
    <w:uiPriority w:val="99"/>
    <w:semiHidden/>
    <w:unhideWhenUsed/>
    <w:rsid w:val="00372A29"/>
    <w:rPr>
      <w:vertAlign w:val="superscript"/>
    </w:rPr>
  </w:style>
  <w:style w:type="paragraph" w:styleId="EndnoteText">
    <w:name w:val="endnote text"/>
    <w:basedOn w:val="Normal"/>
    <w:link w:val="EndnoteTextChar"/>
    <w:uiPriority w:val="99"/>
    <w:semiHidden/>
    <w:unhideWhenUsed/>
    <w:rsid w:val="000577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77AF"/>
    <w:rPr>
      <w:sz w:val="20"/>
      <w:szCs w:val="20"/>
    </w:rPr>
  </w:style>
  <w:style w:type="character" w:styleId="EndnoteReference">
    <w:name w:val="endnote reference"/>
    <w:basedOn w:val="DefaultParagraphFont"/>
    <w:uiPriority w:val="99"/>
    <w:semiHidden/>
    <w:unhideWhenUsed/>
    <w:rsid w:val="000577AF"/>
    <w:rPr>
      <w:vertAlign w:val="superscript"/>
    </w:rPr>
  </w:style>
  <w:style w:type="paragraph" w:customStyle="1" w:styleId="Default">
    <w:name w:val="Default"/>
    <w:rsid w:val="009004C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42D78"/>
    <w:rPr>
      <w:sz w:val="16"/>
      <w:szCs w:val="16"/>
    </w:rPr>
  </w:style>
  <w:style w:type="paragraph" w:styleId="CommentText">
    <w:name w:val="annotation text"/>
    <w:basedOn w:val="Normal"/>
    <w:link w:val="CommentTextChar"/>
    <w:uiPriority w:val="99"/>
    <w:unhideWhenUsed/>
    <w:rsid w:val="00542D78"/>
    <w:pPr>
      <w:spacing w:line="240" w:lineRule="auto"/>
    </w:pPr>
    <w:rPr>
      <w:sz w:val="20"/>
      <w:szCs w:val="20"/>
    </w:rPr>
  </w:style>
  <w:style w:type="character" w:customStyle="1" w:styleId="CommentTextChar">
    <w:name w:val="Comment Text Char"/>
    <w:basedOn w:val="DefaultParagraphFont"/>
    <w:link w:val="CommentText"/>
    <w:uiPriority w:val="99"/>
    <w:rsid w:val="00542D78"/>
    <w:rPr>
      <w:sz w:val="20"/>
      <w:szCs w:val="20"/>
    </w:rPr>
  </w:style>
  <w:style w:type="paragraph" w:styleId="CommentSubject">
    <w:name w:val="annotation subject"/>
    <w:basedOn w:val="CommentText"/>
    <w:next w:val="CommentText"/>
    <w:link w:val="CommentSubjectChar"/>
    <w:uiPriority w:val="99"/>
    <w:semiHidden/>
    <w:unhideWhenUsed/>
    <w:rsid w:val="00542D78"/>
    <w:rPr>
      <w:b/>
      <w:bCs/>
    </w:rPr>
  </w:style>
  <w:style w:type="character" w:customStyle="1" w:styleId="CommentSubjectChar">
    <w:name w:val="Comment Subject Char"/>
    <w:basedOn w:val="CommentTextChar"/>
    <w:link w:val="CommentSubject"/>
    <w:uiPriority w:val="99"/>
    <w:semiHidden/>
    <w:rsid w:val="00542D78"/>
    <w:rPr>
      <w:b/>
      <w:bCs/>
      <w:sz w:val="20"/>
      <w:szCs w:val="20"/>
    </w:rPr>
  </w:style>
  <w:style w:type="paragraph" w:styleId="BalloonText">
    <w:name w:val="Balloon Text"/>
    <w:basedOn w:val="Normal"/>
    <w:link w:val="BalloonTextChar"/>
    <w:uiPriority w:val="99"/>
    <w:semiHidden/>
    <w:unhideWhenUsed/>
    <w:rsid w:val="00542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D78"/>
    <w:rPr>
      <w:rFonts w:ascii="Segoe UI" w:hAnsi="Segoe UI" w:cs="Segoe UI"/>
      <w:sz w:val="18"/>
      <w:szCs w:val="18"/>
    </w:rPr>
  </w:style>
  <w:style w:type="paragraph" w:styleId="Header">
    <w:name w:val="header"/>
    <w:basedOn w:val="Normal"/>
    <w:link w:val="HeaderChar"/>
    <w:uiPriority w:val="99"/>
    <w:unhideWhenUsed/>
    <w:rsid w:val="00BD69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6956"/>
  </w:style>
  <w:style w:type="paragraph" w:styleId="Footer">
    <w:name w:val="footer"/>
    <w:basedOn w:val="Normal"/>
    <w:link w:val="FooterChar"/>
    <w:uiPriority w:val="99"/>
    <w:unhideWhenUsed/>
    <w:rsid w:val="00BD69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6956"/>
  </w:style>
  <w:style w:type="character" w:customStyle="1" w:styleId="A6">
    <w:name w:val="A6"/>
    <w:uiPriority w:val="99"/>
    <w:rsid w:val="002202AF"/>
    <w:rPr>
      <w:rFonts w:cs="Times LT Std"/>
      <w:color w:val="000000"/>
      <w:sz w:val="22"/>
      <w:szCs w:val="22"/>
    </w:rPr>
  </w:style>
  <w:style w:type="character" w:customStyle="1" w:styleId="Heading1Char">
    <w:name w:val="Heading 1 Char"/>
    <w:basedOn w:val="DefaultParagraphFont"/>
    <w:link w:val="Heading1"/>
    <w:uiPriority w:val="9"/>
    <w:rsid w:val="00785A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400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24008"/>
    <w:rPr>
      <w:b/>
      <w:bCs/>
    </w:rPr>
  </w:style>
  <w:style w:type="paragraph" w:customStyle="1" w:styleId="test-locationinconferenceproceeding">
    <w:name w:val="test-locationinconferenceproceeding"/>
    <w:basedOn w:val="Normal"/>
    <w:rsid w:val="00C838E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title">
    <w:name w:val="booktitle"/>
    <w:basedOn w:val="DefaultParagraphFont"/>
    <w:rsid w:val="00C838ED"/>
  </w:style>
  <w:style w:type="character" w:customStyle="1" w:styleId="page-numbers-info">
    <w:name w:val="page-numbers-info"/>
    <w:basedOn w:val="DefaultParagraphFont"/>
    <w:rsid w:val="00C838ED"/>
  </w:style>
  <w:style w:type="character" w:customStyle="1" w:styleId="u-inline-block">
    <w:name w:val="u-inline-block"/>
    <w:basedOn w:val="DefaultParagraphFont"/>
    <w:rsid w:val="00C838ED"/>
  </w:style>
  <w:style w:type="character" w:customStyle="1" w:styleId="authorsname">
    <w:name w:val="authors__name"/>
    <w:basedOn w:val="DefaultParagraphFont"/>
    <w:rsid w:val="00C838ED"/>
  </w:style>
  <w:style w:type="character" w:customStyle="1" w:styleId="nlmarticle-title">
    <w:name w:val="nlm_article-title"/>
    <w:basedOn w:val="DefaultParagraphFont"/>
    <w:rsid w:val="00023A15"/>
  </w:style>
  <w:style w:type="character" w:customStyle="1" w:styleId="contribdegrees">
    <w:name w:val="contribdegrees"/>
    <w:basedOn w:val="DefaultParagraphFont"/>
    <w:rsid w:val="00023A15"/>
  </w:style>
  <w:style w:type="character" w:customStyle="1" w:styleId="Heading3Char">
    <w:name w:val="Heading 3 Char"/>
    <w:basedOn w:val="DefaultParagraphFont"/>
    <w:link w:val="Heading3"/>
    <w:uiPriority w:val="9"/>
    <w:rsid w:val="008F08D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A343A"/>
    <w:rPr>
      <w:i/>
      <w:iCs/>
    </w:rPr>
  </w:style>
  <w:style w:type="character" w:customStyle="1" w:styleId="smallcaps">
    <w:name w:val="smallcaps"/>
    <w:basedOn w:val="DefaultParagraphFont"/>
    <w:rsid w:val="007A343A"/>
  </w:style>
  <w:style w:type="character" w:customStyle="1" w:styleId="UnresolvedMention">
    <w:name w:val="Unresolved Mention"/>
    <w:basedOn w:val="DefaultParagraphFont"/>
    <w:uiPriority w:val="99"/>
    <w:semiHidden/>
    <w:unhideWhenUsed/>
    <w:rsid w:val="006042D4"/>
    <w:rPr>
      <w:color w:val="605E5C"/>
      <w:shd w:val="clear" w:color="auto" w:fill="E1DFDD"/>
    </w:rPr>
  </w:style>
  <w:style w:type="character" w:styleId="FollowedHyperlink">
    <w:name w:val="FollowedHyperlink"/>
    <w:basedOn w:val="DefaultParagraphFont"/>
    <w:uiPriority w:val="99"/>
    <w:semiHidden/>
    <w:unhideWhenUsed/>
    <w:rsid w:val="00396B45"/>
    <w:rPr>
      <w:color w:val="954F72" w:themeColor="followedHyperlink"/>
      <w:u w:val="single"/>
    </w:rPr>
  </w:style>
  <w:style w:type="paragraph" w:styleId="Revision">
    <w:name w:val="Revision"/>
    <w:hidden/>
    <w:uiPriority w:val="99"/>
    <w:semiHidden/>
    <w:rsid w:val="0084205A"/>
    <w:pPr>
      <w:spacing w:after="0" w:line="240" w:lineRule="auto"/>
    </w:pPr>
  </w:style>
  <w:style w:type="paragraph" w:styleId="NormalWeb">
    <w:name w:val="Normal (Web)"/>
    <w:basedOn w:val="Normal"/>
    <w:uiPriority w:val="99"/>
    <w:unhideWhenUsed/>
    <w:rsid w:val="00F87FC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0380">
      <w:bodyDiv w:val="1"/>
      <w:marLeft w:val="0"/>
      <w:marRight w:val="0"/>
      <w:marTop w:val="0"/>
      <w:marBottom w:val="0"/>
      <w:divBdr>
        <w:top w:val="none" w:sz="0" w:space="0" w:color="auto"/>
        <w:left w:val="none" w:sz="0" w:space="0" w:color="auto"/>
        <w:bottom w:val="none" w:sz="0" w:space="0" w:color="auto"/>
        <w:right w:val="none" w:sz="0" w:space="0" w:color="auto"/>
      </w:divBdr>
    </w:div>
    <w:div w:id="335616682">
      <w:bodyDiv w:val="1"/>
      <w:marLeft w:val="0"/>
      <w:marRight w:val="0"/>
      <w:marTop w:val="0"/>
      <w:marBottom w:val="0"/>
      <w:divBdr>
        <w:top w:val="none" w:sz="0" w:space="0" w:color="auto"/>
        <w:left w:val="none" w:sz="0" w:space="0" w:color="auto"/>
        <w:bottom w:val="none" w:sz="0" w:space="0" w:color="auto"/>
        <w:right w:val="none" w:sz="0" w:space="0" w:color="auto"/>
      </w:divBdr>
    </w:div>
    <w:div w:id="1126240484">
      <w:bodyDiv w:val="1"/>
      <w:marLeft w:val="0"/>
      <w:marRight w:val="0"/>
      <w:marTop w:val="0"/>
      <w:marBottom w:val="0"/>
      <w:divBdr>
        <w:top w:val="none" w:sz="0" w:space="0" w:color="auto"/>
        <w:left w:val="none" w:sz="0" w:space="0" w:color="auto"/>
        <w:bottom w:val="none" w:sz="0" w:space="0" w:color="auto"/>
        <w:right w:val="none" w:sz="0" w:space="0" w:color="auto"/>
      </w:divBdr>
    </w:div>
    <w:div w:id="1226990661">
      <w:bodyDiv w:val="1"/>
      <w:marLeft w:val="0"/>
      <w:marRight w:val="0"/>
      <w:marTop w:val="0"/>
      <w:marBottom w:val="0"/>
      <w:divBdr>
        <w:top w:val="none" w:sz="0" w:space="0" w:color="auto"/>
        <w:left w:val="none" w:sz="0" w:space="0" w:color="auto"/>
        <w:bottom w:val="none" w:sz="0" w:space="0" w:color="auto"/>
        <w:right w:val="none" w:sz="0" w:space="0" w:color="auto"/>
      </w:divBdr>
    </w:div>
    <w:div w:id="1340695889">
      <w:bodyDiv w:val="1"/>
      <w:marLeft w:val="0"/>
      <w:marRight w:val="0"/>
      <w:marTop w:val="0"/>
      <w:marBottom w:val="0"/>
      <w:divBdr>
        <w:top w:val="none" w:sz="0" w:space="0" w:color="auto"/>
        <w:left w:val="none" w:sz="0" w:space="0" w:color="auto"/>
        <w:bottom w:val="none" w:sz="0" w:space="0" w:color="auto"/>
        <w:right w:val="none" w:sz="0" w:space="0" w:color="auto"/>
      </w:divBdr>
      <w:divsChild>
        <w:div w:id="1067340447">
          <w:marLeft w:val="0"/>
          <w:marRight w:val="0"/>
          <w:marTop w:val="0"/>
          <w:marBottom w:val="195"/>
          <w:divBdr>
            <w:top w:val="none" w:sz="0" w:space="0" w:color="auto"/>
            <w:left w:val="none" w:sz="0" w:space="0" w:color="auto"/>
            <w:bottom w:val="none" w:sz="0" w:space="0" w:color="auto"/>
            <w:right w:val="none" w:sz="0" w:space="0" w:color="auto"/>
          </w:divBdr>
        </w:div>
        <w:div w:id="857086349">
          <w:marLeft w:val="0"/>
          <w:marRight w:val="0"/>
          <w:marTop w:val="0"/>
          <w:marBottom w:val="0"/>
          <w:divBdr>
            <w:top w:val="none" w:sz="0" w:space="0" w:color="auto"/>
            <w:left w:val="none" w:sz="0" w:space="0" w:color="auto"/>
            <w:bottom w:val="none" w:sz="0" w:space="0" w:color="auto"/>
            <w:right w:val="none" w:sz="0" w:space="0" w:color="auto"/>
          </w:divBdr>
        </w:div>
      </w:divsChild>
    </w:div>
    <w:div w:id="1763646274">
      <w:bodyDiv w:val="1"/>
      <w:marLeft w:val="0"/>
      <w:marRight w:val="0"/>
      <w:marTop w:val="0"/>
      <w:marBottom w:val="0"/>
      <w:divBdr>
        <w:top w:val="none" w:sz="0" w:space="0" w:color="auto"/>
        <w:left w:val="none" w:sz="0" w:space="0" w:color="auto"/>
        <w:bottom w:val="none" w:sz="0" w:space="0" w:color="auto"/>
        <w:right w:val="none" w:sz="0" w:space="0" w:color="auto"/>
      </w:divBdr>
    </w:div>
    <w:div w:id="1855142711">
      <w:bodyDiv w:val="1"/>
      <w:marLeft w:val="0"/>
      <w:marRight w:val="0"/>
      <w:marTop w:val="0"/>
      <w:marBottom w:val="0"/>
      <w:divBdr>
        <w:top w:val="none" w:sz="0" w:space="0" w:color="auto"/>
        <w:left w:val="none" w:sz="0" w:space="0" w:color="auto"/>
        <w:bottom w:val="none" w:sz="0" w:space="0" w:color="auto"/>
        <w:right w:val="none" w:sz="0" w:space="0" w:color="auto"/>
      </w:divBdr>
    </w:div>
    <w:div w:id="2067101154">
      <w:bodyDiv w:val="1"/>
      <w:marLeft w:val="0"/>
      <w:marRight w:val="0"/>
      <w:marTop w:val="0"/>
      <w:marBottom w:val="0"/>
      <w:divBdr>
        <w:top w:val="none" w:sz="0" w:space="0" w:color="auto"/>
        <w:left w:val="none" w:sz="0" w:space="0" w:color="auto"/>
        <w:bottom w:val="none" w:sz="0" w:space="0" w:color="auto"/>
        <w:right w:val="none" w:sz="0" w:space="0" w:color="auto"/>
      </w:divBdr>
      <w:divsChild>
        <w:div w:id="1197429527">
          <w:marLeft w:val="0"/>
          <w:marRight w:val="0"/>
          <w:marTop w:val="0"/>
          <w:marBottom w:val="120"/>
          <w:divBdr>
            <w:top w:val="none" w:sz="0" w:space="0" w:color="auto"/>
            <w:left w:val="none" w:sz="0" w:space="0" w:color="auto"/>
            <w:bottom w:val="none" w:sz="0" w:space="0" w:color="auto"/>
            <w:right w:val="none" w:sz="0" w:space="0" w:color="auto"/>
          </w:divBdr>
        </w:div>
        <w:div w:id="1129982276">
          <w:marLeft w:val="0"/>
          <w:marRight w:val="0"/>
          <w:marTop w:val="0"/>
          <w:marBottom w:val="360"/>
          <w:divBdr>
            <w:top w:val="none" w:sz="0" w:space="0" w:color="auto"/>
            <w:left w:val="none" w:sz="0" w:space="0" w:color="auto"/>
            <w:bottom w:val="none" w:sz="0" w:space="0" w:color="auto"/>
            <w:right w:val="none" w:sz="0" w:space="0" w:color="auto"/>
          </w:divBdr>
        </w:div>
        <w:div w:id="1342005768">
          <w:marLeft w:val="0"/>
          <w:marRight w:val="0"/>
          <w:marTop w:val="0"/>
          <w:marBottom w:val="0"/>
          <w:divBdr>
            <w:top w:val="none" w:sz="0" w:space="0" w:color="auto"/>
            <w:left w:val="none" w:sz="0" w:space="0" w:color="auto"/>
            <w:bottom w:val="none" w:sz="0" w:space="0" w:color="auto"/>
            <w:right w:val="none" w:sz="0" w:space="0" w:color="auto"/>
          </w:divBdr>
          <w:divsChild>
            <w:div w:id="6699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22151">
      <w:bodyDiv w:val="1"/>
      <w:marLeft w:val="0"/>
      <w:marRight w:val="0"/>
      <w:marTop w:val="0"/>
      <w:marBottom w:val="0"/>
      <w:divBdr>
        <w:top w:val="none" w:sz="0" w:space="0" w:color="auto"/>
        <w:left w:val="none" w:sz="0" w:space="0" w:color="auto"/>
        <w:bottom w:val="none" w:sz="0" w:space="0" w:color="auto"/>
        <w:right w:val="none" w:sz="0" w:space="0" w:color="auto"/>
      </w:divBdr>
      <w:divsChild>
        <w:div w:id="38750587">
          <w:marLeft w:val="0"/>
          <w:marRight w:val="0"/>
          <w:marTop w:val="0"/>
          <w:marBottom w:val="0"/>
          <w:divBdr>
            <w:top w:val="none" w:sz="0" w:space="0" w:color="auto"/>
            <w:left w:val="none" w:sz="0" w:space="0" w:color="auto"/>
            <w:bottom w:val="none" w:sz="0" w:space="0" w:color="auto"/>
            <w:right w:val="none" w:sz="0" w:space="0" w:color="auto"/>
          </w:divBdr>
          <w:divsChild>
            <w:div w:id="1391687288">
              <w:marLeft w:val="0"/>
              <w:marRight w:val="0"/>
              <w:marTop w:val="0"/>
              <w:marBottom w:val="0"/>
              <w:divBdr>
                <w:top w:val="none" w:sz="0" w:space="0" w:color="auto"/>
                <w:left w:val="none" w:sz="0" w:space="0" w:color="auto"/>
                <w:bottom w:val="none" w:sz="0" w:space="0" w:color="auto"/>
                <w:right w:val="none" w:sz="0" w:space="0" w:color="auto"/>
              </w:divBdr>
              <w:divsChild>
                <w:div w:id="904998213">
                  <w:marLeft w:val="0"/>
                  <w:marRight w:val="0"/>
                  <w:marTop w:val="0"/>
                  <w:marBottom w:val="0"/>
                  <w:divBdr>
                    <w:top w:val="none" w:sz="0" w:space="0" w:color="auto"/>
                    <w:left w:val="none" w:sz="0" w:space="0" w:color="auto"/>
                    <w:bottom w:val="none" w:sz="0" w:space="0" w:color="auto"/>
                    <w:right w:val="none" w:sz="0" w:space="0" w:color="auto"/>
                  </w:divBdr>
                  <w:divsChild>
                    <w:div w:id="10232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19243">
          <w:marLeft w:val="0"/>
          <w:marRight w:val="0"/>
          <w:marTop w:val="0"/>
          <w:marBottom w:val="0"/>
          <w:divBdr>
            <w:top w:val="none" w:sz="0" w:space="0" w:color="auto"/>
            <w:left w:val="none" w:sz="0" w:space="0" w:color="auto"/>
            <w:bottom w:val="none" w:sz="0" w:space="0" w:color="auto"/>
            <w:right w:val="none" w:sz="0" w:space="0" w:color="auto"/>
          </w:divBdr>
          <w:divsChild>
            <w:div w:id="551889239">
              <w:marLeft w:val="0"/>
              <w:marRight w:val="0"/>
              <w:marTop w:val="0"/>
              <w:marBottom w:val="0"/>
              <w:divBdr>
                <w:top w:val="none" w:sz="0" w:space="0" w:color="auto"/>
                <w:left w:val="none" w:sz="0" w:space="0" w:color="auto"/>
                <w:bottom w:val="none" w:sz="0" w:space="0" w:color="auto"/>
                <w:right w:val="none" w:sz="0" w:space="0" w:color="auto"/>
              </w:divBdr>
              <w:divsChild>
                <w:div w:id="103429081">
                  <w:marLeft w:val="0"/>
                  <w:marRight w:val="0"/>
                  <w:marTop w:val="0"/>
                  <w:marBottom w:val="0"/>
                  <w:divBdr>
                    <w:top w:val="none" w:sz="0" w:space="0" w:color="auto"/>
                    <w:left w:val="none" w:sz="0" w:space="0" w:color="auto"/>
                    <w:bottom w:val="none" w:sz="0" w:space="0" w:color="auto"/>
                    <w:right w:val="none" w:sz="0" w:space="0" w:color="auto"/>
                  </w:divBdr>
                  <w:divsChild>
                    <w:div w:id="9185660">
                      <w:marLeft w:val="0"/>
                      <w:marRight w:val="0"/>
                      <w:marTop w:val="0"/>
                      <w:marBottom w:val="0"/>
                      <w:divBdr>
                        <w:top w:val="none" w:sz="0" w:space="0" w:color="auto"/>
                        <w:left w:val="none" w:sz="0" w:space="0" w:color="auto"/>
                        <w:bottom w:val="none" w:sz="0" w:space="0" w:color="auto"/>
                        <w:right w:val="none" w:sz="0" w:space="0" w:color="auto"/>
                      </w:divBdr>
                      <w:divsChild>
                        <w:div w:id="1963226334">
                          <w:marLeft w:val="0"/>
                          <w:marRight w:val="0"/>
                          <w:marTop w:val="0"/>
                          <w:marBottom w:val="0"/>
                          <w:divBdr>
                            <w:top w:val="none" w:sz="0" w:space="0" w:color="auto"/>
                            <w:left w:val="none" w:sz="0" w:space="0" w:color="auto"/>
                            <w:bottom w:val="none" w:sz="0" w:space="0" w:color="auto"/>
                            <w:right w:val="none" w:sz="0" w:space="0" w:color="auto"/>
                          </w:divBdr>
                          <w:divsChild>
                            <w:div w:id="863444787">
                              <w:marLeft w:val="0"/>
                              <w:marRight w:val="0"/>
                              <w:marTop w:val="0"/>
                              <w:marBottom w:val="0"/>
                              <w:divBdr>
                                <w:top w:val="none" w:sz="0" w:space="0" w:color="auto"/>
                                <w:left w:val="none" w:sz="0" w:space="0" w:color="auto"/>
                                <w:bottom w:val="none" w:sz="0" w:space="0" w:color="auto"/>
                                <w:right w:val="none" w:sz="0" w:space="0" w:color="auto"/>
                              </w:divBdr>
                              <w:divsChild>
                                <w:div w:id="1283925439">
                                  <w:marLeft w:val="0"/>
                                  <w:marRight w:val="0"/>
                                  <w:marTop w:val="0"/>
                                  <w:marBottom w:val="0"/>
                                  <w:divBdr>
                                    <w:top w:val="none" w:sz="0" w:space="0" w:color="auto"/>
                                    <w:left w:val="none" w:sz="0" w:space="0" w:color="auto"/>
                                    <w:bottom w:val="none" w:sz="0" w:space="0" w:color="auto"/>
                                    <w:right w:val="none" w:sz="0" w:space="0" w:color="auto"/>
                                  </w:divBdr>
                                  <w:divsChild>
                                    <w:div w:id="1578781089">
                                      <w:marLeft w:val="0"/>
                                      <w:marRight w:val="0"/>
                                      <w:marTop w:val="0"/>
                                      <w:marBottom w:val="0"/>
                                      <w:divBdr>
                                        <w:top w:val="none" w:sz="0" w:space="0" w:color="auto"/>
                                        <w:left w:val="none" w:sz="0" w:space="0" w:color="auto"/>
                                        <w:bottom w:val="none" w:sz="0" w:space="0" w:color="auto"/>
                                        <w:right w:val="none" w:sz="0" w:space="0" w:color="auto"/>
                                      </w:divBdr>
                                      <w:divsChild>
                                        <w:div w:id="1786497">
                                          <w:marLeft w:val="0"/>
                                          <w:marRight w:val="0"/>
                                          <w:marTop w:val="0"/>
                                          <w:marBottom w:val="0"/>
                                          <w:divBdr>
                                            <w:top w:val="none" w:sz="0" w:space="0" w:color="auto"/>
                                            <w:left w:val="none" w:sz="0" w:space="0" w:color="auto"/>
                                            <w:bottom w:val="none" w:sz="0" w:space="0" w:color="auto"/>
                                            <w:right w:val="none" w:sz="0" w:space="0" w:color="auto"/>
                                          </w:divBdr>
                                        </w:div>
                                        <w:div w:id="244147490">
                                          <w:marLeft w:val="0"/>
                                          <w:marRight w:val="0"/>
                                          <w:marTop w:val="0"/>
                                          <w:marBottom w:val="0"/>
                                          <w:divBdr>
                                            <w:top w:val="none" w:sz="0" w:space="0" w:color="auto"/>
                                            <w:left w:val="none" w:sz="0" w:space="0" w:color="auto"/>
                                            <w:bottom w:val="none" w:sz="0" w:space="0" w:color="auto"/>
                                            <w:right w:val="none" w:sz="0" w:space="0" w:color="auto"/>
                                          </w:divBdr>
                                          <w:divsChild>
                                            <w:div w:id="1281759387">
                                              <w:marLeft w:val="0"/>
                                              <w:marRight w:val="0"/>
                                              <w:marTop w:val="0"/>
                                              <w:marBottom w:val="0"/>
                                              <w:divBdr>
                                                <w:top w:val="none" w:sz="0" w:space="0" w:color="auto"/>
                                                <w:left w:val="none" w:sz="0" w:space="0" w:color="auto"/>
                                                <w:bottom w:val="none" w:sz="0" w:space="0" w:color="auto"/>
                                                <w:right w:val="none" w:sz="0" w:space="0" w:color="auto"/>
                                              </w:divBdr>
                                              <w:divsChild>
                                                <w:div w:id="10913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onlinelibrary.wiley.com/action/doSearch?ContribAuthorStored=GANONG%2C+LAWRENCE+H" TargetMode="External"/><Relationship Id="rId13" Type="http://schemas.openxmlformats.org/officeDocument/2006/relationships/hyperlink" Target="http://www.oxfordscholarship.com/view/10.1093/acprof:oso/9780198779193.001.0001/acprof-9780198779193" TargetMode="External"/><Relationship Id="rId3" Type="http://schemas.openxmlformats.org/officeDocument/2006/relationships/hyperlink" Target="https://advance-lexis-com.ezprimo1.idc.ac.il/api/document/collection/cases/id/3X40-WWW0-00KR-D2R9-00000-00?cite=57%20Ill.%20App.%20475&amp;context=1000516" TargetMode="External"/><Relationship Id="rId7" Type="http://schemas.openxmlformats.org/officeDocument/2006/relationships/hyperlink" Target="https://onlinelibrary.wiley.com/action/doSearch?ContribAuthorStored=FINE%2C+MARK+A" TargetMode="External"/><Relationship Id="rId12" Type="http://schemas.openxmlformats.org/officeDocument/2006/relationships/hyperlink" Target="https://scholar.google.co.il/scholar?scidkt=1506308621046469895&amp;as_sdt=2&amp;hl=en" TargetMode="External"/><Relationship Id="rId17" Type="http://schemas.openxmlformats.org/officeDocument/2006/relationships/hyperlink" Target="https://tau-primo.hosted.exlibrisgroup.com/primo-explore/fulldisplay?docid=TN_gale_legal18159496&amp;context=PC&amp;vid=TAU&amp;lang=iw_IL&amp;search_scope=TAU_Blended&amp;adaptor=primo_central_multiple_fe&amp;tab=default_tab&amp;query=any,contains,Parents%20as%20Fiduciaries&amp;sortby=rank&amp;mode=Basic" TargetMode="External"/><Relationship Id="rId2" Type="http://schemas.openxmlformats.org/officeDocument/2006/relationships/hyperlink" Target="https://ifstudies.org/blog/more-than-60-of-u-s-kids-live-with-two-biological-parents/" TargetMode="External"/><Relationship Id="rId16" Type="http://schemas.openxmlformats.org/officeDocument/2006/relationships/hyperlink" Target="http://www.oxfordscholarship.com/view/10.1093/acprof:oso/9780198779193.001.0001/acprof-9780198779193" TargetMode="External"/><Relationship Id="rId1" Type="http://schemas.openxmlformats.org/officeDocument/2006/relationships/hyperlink" Target="https://www.census.gov/data/tables/2017/demo/families/cps-2017.html?" TargetMode="External"/><Relationship Id="rId6" Type="http://schemas.openxmlformats.org/officeDocument/2006/relationships/hyperlink" Target="https://onlinelibrary.wiley.com/action/doSearch?ContribAuthorStored=COLEMAN%2C+MARILYN" TargetMode="External"/><Relationship Id="rId11" Type="http://schemas.openxmlformats.org/officeDocument/2006/relationships/hyperlink" Target="https://onlinelibrary.wiley.com/action/doSearch?ContribAuthorStored=COLEMAN%2C+MARILYN" TargetMode="External"/><Relationship Id="rId5" Type="http://schemas.openxmlformats.org/officeDocument/2006/relationships/hyperlink" Target="https://onlinelibrary.wiley.com/action/doSearch?ContribAuthorStored=COLEMAN%2C+MARILYN" TargetMode="External"/><Relationship Id="rId15" Type="http://schemas.openxmlformats.org/officeDocument/2006/relationships/hyperlink" Target="https://supreme.court.gov.il/Pages/fullsearch.aspx" TargetMode="External"/><Relationship Id="rId10" Type="http://schemas.openxmlformats.org/officeDocument/2006/relationships/hyperlink" Target="https://onlinelibrary.wiley.com/action/doSearch?ContribAuthorStored=PAUK%2C+NICOLE" TargetMode="External"/><Relationship Id="rId4" Type="http://schemas.openxmlformats.org/officeDocument/2006/relationships/hyperlink" Target="https://www.census.gov/newsroom/stories/2018/stepfamily.html" TargetMode="External"/><Relationship Id="rId9" Type="http://schemas.openxmlformats.org/officeDocument/2006/relationships/hyperlink" Target="https://onlinelibrary.wiley.com/action/doSearch?ContribAuthorStored=DOWNS%2C+KIMBERLY+J+M" TargetMode="External"/><Relationship Id="rId14" Type="http://schemas.openxmlformats.org/officeDocument/2006/relationships/hyperlink" Target="http://www.oxfordscholarship.com/view/10.1093/acprof:oso/9780198779193.001.0001/acprof-978019877919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77205-7010-4606-8B94-C48F9F03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40</Pages>
  <Words>10875</Words>
  <Characters>54376</Characters>
  <Application>Microsoft Office Word</Application>
  <DocSecurity>0</DocSecurity>
  <Lines>453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Zafran Ruth</dc:creator>
  <cp:keywords/>
  <dc:description/>
  <cp:lastModifiedBy>Zafran Ruth</cp:lastModifiedBy>
  <cp:revision>12</cp:revision>
  <cp:lastPrinted>2019-01-25T15:01:00Z</cp:lastPrinted>
  <dcterms:created xsi:type="dcterms:W3CDTF">2019-03-29T17:45:00Z</dcterms:created>
  <dcterms:modified xsi:type="dcterms:W3CDTF">2019-03-30T04:05:00Z</dcterms:modified>
</cp:coreProperties>
</file>