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A6C7B9B" w:rsidR="00140E26" w:rsidRDefault="00331157">
      <w:r>
        <w:t>Hanaco Growth II is a unique late stage and pre-IPO vehicle investing in category leading US and Israeli technology companies with clear paths to liquidity in under 36 months. Our strategy is primarily focused on capital efficient and profitable / near break-even businesses, and it has seen tremendous strength and validation during COVID-19 markets. During these times of uncertainty, capital efficient growth has been validated as a safe and value creating platform for our LPs. Hanaco deeply values investor privacy while still providing our LPs access and influence via our portfolio companies’ boards and networks.</w:t>
      </w:r>
    </w:p>
    <w:p w14:paraId="00000002" w14:textId="77777777" w:rsidR="00140E26" w:rsidRDefault="00140E26"/>
    <w:p w14:paraId="00000003" w14:textId="77777777" w:rsidR="00140E26" w:rsidRDefault="00331157">
      <w:r>
        <w:t>Four quick things to know about Hanaco Growth II:</w:t>
      </w:r>
    </w:p>
    <w:p w14:paraId="00000004" w14:textId="77777777" w:rsidR="00140E26" w:rsidRDefault="00140E26"/>
    <w:p w14:paraId="00000005" w14:textId="77777777" w:rsidR="00140E26" w:rsidRDefault="00331157">
      <w:pPr>
        <w:rPr>
          <w:b/>
        </w:rPr>
      </w:pPr>
      <w:r>
        <w:rPr>
          <w:b/>
        </w:rPr>
        <w:t>1. Proven Track Record:</w:t>
      </w:r>
    </w:p>
    <w:p w14:paraId="00000006" w14:textId="77777777" w:rsidR="00140E26" w:rsidRDefault="00331157">
      <w:pPr>
        <w:numPr>
          <w:ilvl w:val="0"/>
          <w:numId w:val="3"/>
        </w:numPr>
        <w:spacing w:before="240"/>
        <w:ind w:left="940"/>
      </w:pPr>
      <w:r>
        <w:t>Hanaco Growth I (2018 vintage) was a $76m fund which already has a 2x exit (Moovit acquired by Intel in May 2020) and three forthcoming IPOs</w:t>
      </w:r>
    </w:p>
    <w:p w14:paraId="00000007" w14:textId="77777777" w:rsidR="00140E26" w:rsidRDefault="00331157">
      <w:pPr>
        <w:numPr>
          <w:ilvl w:val="0"/>
          <w:numId w:val="3"/>
        </w:numPr>
        <w:spacing w:after="240"/>
        <w:ind w:left="940"/>
      </w:pPr>
      <w:r>
        <w:t>Hanaco Growth II (2019 vintage) off to a great start with 4 companies, including 2 up-rounds and strong balance sheets to emerge out of these times stronger than before</w:t>
      </w:r>
    </w:p>
    <w:p w14:paraId="00000008" w14:textId="77777777" w:rsidR="00140E26" w:rsidRDefault="00331157">
      <w:pPr>
        <w:rPr>
          <w:b/>
        </w:rPr>
      </w:pPr>
      <w:r>
        <w:rPr>
          <w:b/>
        </w:rPr>
        <w:t>2. Investing in Pre-Exit Rounds</w:t>
      </w:r>
    </w:p>
    <w:p w14:paraId="00000009" w14:textId="77777777" w:rsidR="00140E26" w:rsidRDefault="00331157">
      <w:pPr>
        <w:numPr>
          <w:ilvl w:val="0"/>
          <w:numId w:val="1"/>
        </w:numPr>
        <w:spacing w:before="240"/>
        <w:ind w:left="940"/>
      </w:pPr>
      <w:r>
        <w:t>Profitable or clear path to profitability</w:t>
      </w:r>
    </w:p>
    <w:p w14:paraId="0000000A" w14:textId="77777777" w:rsidR="00140E26" w:rsidRDefault="00331157">
      <w:pPr>
        <w:numPr>
          <w:ilvl w:val="0"/>
          <w:numId w:val="1"/>
        </w:numPr>
        <w:ind w:left="940"/>
      </w:pPr>
      <w:r>
        <w:t>$100m+ revenue or revenue trajectory</w:t>
      </w:r>
    </w:p>
    <w:p w14:paraId="0000000B" w14:textId="77777777" w:rsidR="00140E26" w:rsidRDefault="00331157">
      <w:pPr>
        <w:numPr>
          <w:ilvl w:val="0"/>
          <w:numId w:val="1"/>
        </w:numPr>
        <w:ind w:left="940"/>
      </w:pPr>
      <w:r>
        <w:t>Most preferred shares in capital stack</w:t>
      </w:r>
    </w:p>
    <w:p w14:paraId="0000000C" w14:textId="77777777" w:rsidR="00140E26" w:rsidRDefault="00331157">
      <w:pPr>
        <w:numPr>
          <w:ilvl w:val="0"/>
          <w:numId w:val="1"/>
        </w:numPr>
        <w:spacing w:after="240"/>
        <w:ind w:left="940"/>
      </w:pPr>
      <w:r>
        <w:t>&lt;36 months to liquidity</w:t>
      </w:r>
    </w:p>
    <w:p w14:paraId="0000000D" w14:textId="5422000F" w:rsidR="00140E26" w:rsidRDefault="00331157">
      <w:pPr>
        <w:rPr>
          <w:b/>
        </w:rPr>
      </w:pPr>
      <w:r>
        <w:rPr>
          <w:b/>
        </w:rPr>
        <w:t>3. Co-investment: 1:1 LP co-investment across all deals to date</w:t>
      </w:r>
    </w:p>
    <w:p w14:paraId="0000000E" w14:textId="77777777" w:rsidR="00140E26" w:rsidRDefault="00140E26"/>
    <w:p w14:paraId="0000001C" w14:textId="37692A00" w:rsidR="00140E26" w:rsidRDefault="00331157" w:rsidP="00331157">
      <w:r>
        <w:t>We have raised $100m towards our $150m target. We believe this current environment has only vindicated our strategy of co-investing into capital efficient &amp; stable growing tech companies and are more excited than ever about our evolving theses, pipeline, and current investment opportunities.</w:t>
      </w:r>
    </w:p>
    <w:p w14:paraId="0000001D" w14:textId="77777777" w:rsidR="00140E26" w:rsidRDefault="00140E26"/>
    <w:p w14:paraId="0000001E" w14:textId="77777777" w:rsidR="00140E26" w:rsidRDefault="00331157">
      <w:pPr>
        <w:rPr>
          <w:b/>
        </w:rPr>
      </w:pPr>
      <w:r>
        <w:t xml:space="preserve">4. </w:t>
      </w:r>
      <w:r>
        <w:rPr>
          <w:b/>
        </w:rPr>
        <w:t>Prestigious Advisory Board and LPs</w:t>
      </w:r>
    </w:p>
    <w:p w14:paraId="0000001F" w14:textId="4E914798" w:rsidR="00140E26" w:rsidRDefault="00331157">
      <w:pPr>
        <w:numPr>
          <w:ilvl w:val="0"/>
          <w:numId w:val="2"/>
        </w:numPr>
      </w:pPr>
      <w:r>
        <w:t>Hanaco and Portfolio Advisory Board consists of some of Israeli most prestigious Business and Political including:</w:t>
      </w:r>
    </w:p>
    <w:p w14:paraId="00000020" w14:textId="36746743" w:rsidR="00140E26" w:rsidRDefault="00331157">
      <w:pPr>
        <w:numPr>
          <w:ilvl w:val="1"/>
          <w:numId w:val="2"/>
        </w:numPr>
      </w:pPr>
      <w:r>
        <w:t>Tamir Pardo (</w:t>
      </w:r>
      <w:proofErr w:type="spellStart"/>
      <w:r>
        <w:t>frmr</w:t>
      </w:r>
      <w:proofErr w:type="spellEnd"/>
      <w:r>
        <w:t xml:space="preserve"> Director of the Mossad, Israeli’s External Secret Service Agency)</w:t>
      </w:r>
    </w:p>
    <w:p w14:paraId="00000021" w14:textId="77777777" w:rsidR="00140E26" w:rsidRDefault="00331157">
      <w:pPr>
        <w:numPr>
          <w:ilvl w:val="1"/>
          <w:numId w:val="2"/>
        </w:numPr>
      </w:pPr>
      <w:r>
        <w:t>Ron Prosor (</w:t>
      </w:r>
      <w:proofErr w:type="spellStart"/>
      <w:r>
        <w:t>frmr</w:t>
      </w:r>
      <w:proofErr w:type="spellEnd"/>
      <w:r>
        <w:t xml:space="preserve"> Israel Ambassador to the UN and UK)</w:t>
      </w:r>
    </w:p>
    <w:p w14:paraId="00000022" w14:textId="2AAA5566" w:rsidR="00140E26" w:rsidRDefault="00331157">
      <w:pPr>
        <w:numPr>
          <w:ilvl w:val="0"/>
          <w:numId w:val="2"/>
        </w:numPr>
      </w:pPr>
      <w:r>
        <w:t>Hanaco has some of the most well-known LPs and Partners in Israel and Globally:</w:t>
      </w:r>
    </w:p>
    <w:p w14:paraId="00000023" w14:textId="77777777" w:rsidR="00140E26" w:rsidRDefault="00331157">
      <w:pPr>
        <w:numPr>
          <w:ilvl w:val="1"/>
          <w:numId w:val="2"/>
        </w:numPr>
      </w:pPr>
      <w:r>
        <w:t>Aviary Capital - Largest donors to Technion, Israel’s #1 University</w:t>
      </w:r>
    </w:p>
    <w:p w14:paraId="00000024" w14:textId="77777777" w:rsidR="00140E26" w:rsidRDefault="00331157">
      <w:pPr>
        <w:numPr>
          <w:ilvl w:val="1"/>
          <w:numId w:val="2"/>
        </w:numPr>
      </w:pPr>
      <w:r>
        <w:t>Arkin Family - One of Israel’s largest and leading family office’s</w:t>
      </w:r>
    </w:p>
    <w:p w14:paraId="00000025" w14:textId="77777777" w:rsidR="00140E26" w:rsidRDefault="00331157">
      <w:pPr>
        <w:numPr>
          <w:ilvl w:val="1"/>
          <w:numId w:val="2"/>
        </w:numPr>
      </w:pPr>
      <w:r>
        <w:t>Israeli institutional investors such as Clal &amp; FNX (#1 and #2 Israel insurance companies)</w:t>
      </w:r>
    </w:p>
    <w:p w14:paraId="00000026" w14:textId="639AFEA6" w:rsidR="00140E26" w:rsidRDefault="00331157">
      <w:pPr>
        <w:numPr>
          <w:ilvl w:val="1"/>
          <w:numId w:val="2"/>
        </w:numPr>
      </w:pPr>
      <w:r>
        <w:t>Global investors such as Brown Advisory ($60b Asset Manager based in Washington DC), Mitsui Sumitomo (#1 Insurance company in Japan), Kaiser Foundation (#1 family in Midwest US)</w:t>
      </w:r>
    </w:p>
    <w:p w14:paraId="00000027" w14:textId="77777777" w:rsidR="00140E26" w:rsidRDefault="00140E26">
      <w:pPr>
        <w:rPr>
          <w:rFonts w:ascii="Georgia" w:eastAsia="Georgia" w:hAnsi="Georgia" w:cs="Georgia"/>
          <w:color w:val="222222"/>
          <w:sz w:val="20"/>
          <w:szCs w:val="20"/>
        </w:rPr>
      </w:pPr>
    </w:p>
    <w:sectPr w:rsidR="00140E2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41A3"/>
    <w:multiLevelType w:val="multilevel"/>
    <w:tmpl w:val="A4806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B67A8B"/>
    <w:multiLevelType w:val="multilevel"/>
    <w:tmpl w:val="E3EA0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8C13B4"/>
    <w:multiLevelType w:val="multilevel"/>
    <w:tmpl w:val="2A7E9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26"/>
    <w:rsid w:val="00140E26"/>
    <w:rsid w:val="00331157"/>
    <w:rsid w:val="005D606C"/>
    <w:rsid w:val="006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6B14"/>
  <w15:docId w15:val="{390A6027-1F1B-48A6-8D69-4B263B5C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06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Oren Charnoff</cp:lastModifiedBy>
  <cp:revision>2</cp:revision>
  <dcterms:created xsi:type="dcterms:W3CDTF">2020-08-26T12:56:00Z</dcterms:created>
  <dcterms:modified xsi:type="dcterms:W3CDTF">2020-08-26T12:56:00Z</dcterms:modified>
</cp:coreProperties>
</file>