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F7" w:rsidRPr="00DC7376" w:rsidRDefault="00DC7376" w:rsidP="00DC7376">
      <w:pPr>
        <w:spacing w:after="0" w:line="360" w:lineRule="auto"/>
        <w:jc w:val="center"/>
        <w:rPr>
          <w:rFonts w:ascii="SBL BibLit" w:hAnsi="SBL BibLit" w:cs="SBL BibLit"/>
          <w:b/>
          <w:bCs/>
          <w:sz w:val="24"/>
          <w:szCs w:val="24"/>
          <w:rtl/>
        </w:rPr>
      </w:pPr>
      <w:r w:rsidRPr="00DC7376">
        <w:rPr>
          <w:rFonts w:ascii="SBL BibLit" w:hAnsi="SBL BibLit" w:cs="SBL BibLit"/>
          <w:b/>
          <w:bCs/>
          <w:sz w:val="24"/>
          <w:szCs w:val="24"/>
          <w:rtl/>
        </w:rPr>
        <w:t>במדבר</w:t>
      </w:r>
    </w:p>
    <w:p w:rsidR="00AA4333" w:rsidRPr="00DC7376" w:rsidRDefault="00AA4333" w:rsidP="00850794">
      <w:pPr>
        <w:bidi w:val="0"/>
        <w:spacing w:line="360" w:lineRule="auto"/>
        <w:jc w:val="center"/>
        <w:rPr>
          <w:rFonts w:ascii="SBL BibLit" w:hAnsi="SBL BibLit" w:cs="SBL BibLit"/>
          <w:b/>
          <w:bCs/>
          <w:sz w:val="24"/>
          <w:szCs w:val="24"/>
          <w:rtl/>
        </w:rPr>
      </w:pPr>
      <w:r w:rsidRPr="00DC7376">
        <w:rPr>
          <w:rFonts w:ascii="SBL BibLit" w:hAnsi="SBL BibLit" w:cs="SBL BibLit"/>
          <w:b/>
          <w:bCs/>
          <w:sz w:val="24"/>
          <w:szCs w:val="24"/>
        </w:rPr>
        <w:t xml:space="preserve">Is </w:t>
      </w:r>
      <w:r w:rsidR="003A696B" w:rsidRPr="00DC7376">
        <w:rPr>
          <w:rFonts w:ascii="SBL BibLit" w:hAnsi="SBL BibLit" w:cs="SBL BibLit"/>
          <w:b/>
          <w:bCs/>
          <w:sz w:val="24"/>
          <w:szCs w:val="24"/>
        </w:rPr>
        <w:t>T</w:t>
      </w:r>
      <w:r w:rsidRPr="00DC7376">
        <w:rPr>
          <w:rFonts w:ascii="SBL BibLit" w:hAnsi="SBL BibLit" w:cs="SBL BibLit"/>
          <w:b/>
          <w:bCs/>
          <w:sz w:val="24"/>
          <w:szCs w:val="24"/>
        </w:rPr>
        <w:t xml:space="preserve">here </w:t>
      </w:r>
      <w:r w:rsidR="003A696B" w:rsidRPr="00DC7376">
        <w:rPr>
          <w:rFonts w:ascii="SBL BibLit" w:hAnsi="SBL BibLit" w:cs="SBL BibLit"/>
          <w:b/>
          <w:bCs/>
          <w:sz w:val="24"/>
          <w:szCs w:val="24"/>
        </w:rPr>
        <w:t>A</w:t>
      </w:r>
      <w:r w:rsidRPr="00DC7376">
        <w:rPr>
          <w:rFonts w:ascii="SBL BibLit" w:hAnsi="SBL BibLit" w:cs="SBL BibLit"/>
          <w:b/>
          <w:bCs/>
          <w:sz w:val="24"/>
          <w:szCs w:val="24"/>
        </w:rPr>
        <w:t>ny</w:t>
      </w:r>
      <w:r w:rsidR="003A696B" w:rsidRPr="00DC7376">
        <w:rPr>
          <w:rFonts w:ascii="SBL BibLit" w:hAnsi="SBL BibLit" w:cs="SBL BibLit"/>
          <w:b/>
          <w:bCs/>
          <w:sz w:val="24"/>
          <w:szCs w:val="24"/>
        </w:rPr>
        <w:t xml:space="preserve"> Structure</w:t>
      </w:r>
      <w:r w:rsidRPr="00DC7376">
        <w:rPr>
          <w:rFonts w:ascii="SBL BibLit" w:hAnsi="SBL BibLit" w:cs="SBL BibLit"/>
          <w:b/>
          <w:bCs/>
          <w:sz w:val="24"/>
          <w:szCs w:val="24"/>
        </w:rPr>
        <w:t xml:space="preserve"> in the </w:t>
      </w:r>
      <w:r w:rsidR="002A2600" w:rsidRPr="00DC7376">
        <w:rPr>
          <w:rFonts w:ascii="SBL BibLit" w:hAnsi="SBL BibLit" w:cs="SBL BibLit"/>
          <w:b/>
          <w:bCs/>
          <w:sz w:val="24"/>
          <w:szCs w:val="24"/>
        </w:rPr>
        <w:t>Wilderness</w:t>
      </w:r>
      <w:r w:rsidRPr="00DC7376">
        <w:rPr>
          <w:rFonts w:ascii="SBL BibLit" w:hAnsi="SBL BibLit" w:cs="SBL BibLit"/>
          <w:b/>
          <w:bCs/>
          <w:sz w:val="24"/>
          <w:szCs w:val="24"/>
        </w:rPr>
        <w:t>?</w:t>
      </w:r>
    </w:p>
    <w:p w:rsidR="002A2600" w:rsidRPr="00850794" w:rsidRDefault="00DC7376" w:rsidP="00DC7376">
      <w:pPr>
        <w:bidi w:val="0"/>
        <w:spacing w:line="360" w:lineRule="auto"/>
        <w:rPr>
          <w:rFonts w:ascii="SBL BibLit" w:hAnsi="SBL BibLit" w:cs="SBL BibLit"/>
          <w:sz w:val="24"/>
          <w:szCs w:val="24"/>
        </w:rPr>
      </w:pPr>
      <w:r>
        <w:rPr>
          <w:rFonts w:ascii="SBL BibLit" w:hAnsi="SBL BibLit" w:cs="SBL BibLit"/>
          <w:sz w:val="24"/>
          <w:szCs w:val="24"/>
        </w:rPr>
        <w:t xml:space="preserve">Two parallel blocks of text that form the opening section of Numbers (chs. 1-10). </w:t>
      </w:r>
    </w:p>
    <w:p w:rsidR="00DC7376" w:rsidRDefault="00DC7376" w:rsidP="00DC7376">
      <w:pPr>
        <w:bidi w:val="0"/>
        <w:spacing w:line="360" w:lineRule="auto"/>
        <w:rPr>
          <w:rFonts w:ascii="SBL BibLit" w:hAnsi="SBL BibLit" w:cs="SBL BibLit"/>
          <w:b/>
          <w:bCs/>
          <w:sz w:val="24"/>
          <w:szCs w:val="24"/>
        </w:rPr>
      </w:pPr>
      <w:r>
        <w:rPr>
          <w:rFonts w:ascii="SBL BibLit" w:hAnsi="SBL BibLit" w:cs="SBL BibLit"/>
          <w:b/>
          <w:bCs/>
          <w:sz w:val="24"/>
          <w:szCs w:val="24"/>
        </w:rPr>
        <w:t xml:space="preserve">Prof. Jonathan Grossman </w:t>
      </w:r>
    </w:p>
    <w:p w:rsidR="00DC7376" w:rsidRDefault="00DC7376" w:rsidP="00850794">
      <w:pPr>
        <w:spacing w:line="360" w:lineRule="auto"/>
        <w:jc w:val="center"/>
        <w:rPr>
          <w:rFonts w:ascii="SBL BibLit" w:hAnsi="SBL BibLit" w:cs="SBL BibLit"/>
          <w:b/>
          <w:bCs/>
          <w:sz w:val="24"/>
          <w:szCs w:val="24"/>
        </w:rPr>
      </w:pPr>
    </w:p>
    <w:p w:rsidR="002A2600" w:rsidRPr="00850794" w:rsidRDefault="002A2600" w:rsidP="00850794">
      <w:pPr>
        <w:spacing w:line="360" w:lineRule="auto"/>
        <w:jc w:val="center"/>
        <w:rPr>
          <w:rFonts w:ascii="SBL BibLit" w:hAnsi="SBL BibLit" w:cs="SBL BibLit"/>
          <w:b/>
          <w:bCs/>
          <w:sz w:val="24"/>
          <w:szCs w:val="24"/>
        </w:rPr>
      </w:pPr>
      <w:r w:rsidRPr="00850794">
        <w:rPr>
          <w:rFonts w:ascii="SBL BibLit" w:hAnsi="SBL BibLit" w:cs="SBL BibLit"/>
          <w:b/>
          <w:bCs/>
          <w:sz w:val="24"/>
          <w:szCs w:val="24"/>
        </w:rPr>
        <w:t>The Opening of Numbers: What Is the Organizational Principle?</w:t>
      </w:r>
    </w:p>
    <w:p w:rsidR="00ED4D86" w:rsidRPr="00850794" w:rsidRDefault="00D05DCB"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שאלת ארגון הפרשיות ב</w:t>
      </w:r>
      <w:r w:rsidR="00052CDB" w:rsidRPr="00850794">
        <w:rPr>
          <w:rFonts w:ascii="SBL BibLit" w:hAnsi="SBL BibLit" w:cs="SBL BibLit"/>
          <w:sz w:val="24"/>
          <w:szCs w:val="24"/>
          <w:rtl/>
        </w:rPr>
        <w:t xml:space="preserve">תחילת ספר במדבר </w:t>
      </w:r>
      <w:r w:rsidR="0084702C" w:rsidRPr="00850794">
        <w:rPr>
          <w:rFonts w:ascii="SBL BibLit" w:hAnsi="SBL BibLit" w:cs="SBL BibLit"/>
          <w:sz w:val="24"/>
          <w:szCs w:val="24"/>
          <w:rtl/>
        </w:rPr>
        <w:t xml:space="preserve">(א'-י', 10) </w:t>
      </w:r>
      <w:r w:rsidR="00052CDB" w:rsidRPr="00850794">
        <w:rPr>
          <w:rFonts w:ascii="SBL BibLit" w:hAnsi="SBL BibLit" w:cs="SBL BibLit"/>
          <w:sz w:val="24"/>
          <w:szCs w:val="24"/>
          <w:rtl/>
        </w:rPr>
        <w:t>מהווה אתגר יוצא דופן</w:t>
      </w:r>
      <w:r w:rsidRPr="00850794">
        <w:rPr>
          <w:rFonts w:ascii="SBL BibLit" w:hAnsi="SBL BibLit" w:cs="SBL BibLit"/>
          <w:sz w:val="24"/>
          <w:szCs w:val="24"/>
          <w:rtl/>
        </w:rPr>
        <w:t xml:space="preserve">. פעמים רבות </w:t>
      </w:r>
      <w:r w:rsidR="0084702C" w:rsidRPr="00850794">
        <w:rPr>
          <w:rFonts w:ascii="SBL BibLit" w:hAnsi="SBL BibLit" w:cs="SBL BibLit"/>
          <w:sz w:val="24"/>
          <w:szCs w:val="24"/>
          <w:rtl/>
        </w:rPr>
        <w:t xml:space="preserve">במקרא </w:t>
      </w:r>
      <w:r w:rsidR="00052CDB" w:rsidRPr="00850794">
        <w:rPr>
          <w:rFonts w:ascii="SBL BibLit" w:hAnsi="SBL BibLit" w:cs="SBL BibLit"/>
          <w:sz w:val="24"/>
          <w:szCs w:val="24"/>
          <w:rtl/>
        </w:rPr>
        <w:t xml:space="preserve">רצף </w:t>
      </w:r>
      <w:r w:rsidRPr="00850794">
        <w:rPr>
          <w:rFonts w:ascii="SBL BibLit" w:hAnsi="SBL BibLit" w:cs="SBL BibLit"/>
          <w:sz w:val="24"/>
          <w:szCs w:val="24"/>
          <w:rtl/>
        </w:rPr>
        <w:t>פרשיות מוצדק מתוך הפרספקטיבה הכרונולוגית, אך בפרשיות הפותחות את במדבר הכרונולוגיה קורסת ויש למצוא צידוק לעריכת הפרשיות מתוך פרספקטיבה אחרת.</w:t>
      </w:r>
      <w:r w:rsidR="00B60FF8" w:rsidRPr="00850794">
        <w:rPr>
          <w:rStyle w:val="FootnoteReference"/>
          <w:rFonts w:ascii="SBL BibLit" w:hAnsi="SBL BibLit" w:cs="SBL BibLit"/>
          <w:sz w:val="24"/>
          <w:szCs w:val="24"/>
          <w:rtl/>
        </w:rPr>
        <w:footnoteReference w:id="1"/>
      </w:r>
      <w:r w:rsidR="0084702C" w:rsidRPr="00850794">
        <w:rPr>
          <w:rFonts w:ascii="SBL BibLit" w:hAnsi="SBL BibLit" w:cs="SBL BibLit"/>
          <w:sz w:val="24"/>
          <w:szCs w:val="24"/>
          <w:rtl/>
        </w:rPr>
        <w:t xml:space="preserve"> בדיון הנוכחי מתקבצים שני דיוני מפתח בלימוד </w:t>
      </w:r>
      <w:r w:rsidRPr="00850794">
        <w:rPr>
          <w:rFonts w:ascii="SBL BibLit" w:hAnsi="SBL BibLit" w:cs="SBL BibLit"/>
          <w:sz w:val="24"/>
          <w:szCs w:val="24"/>
          <w:rtl/>
        </w:rPr>
        <w:t>החומש: היחס בין הספרות לבין ההיסטוריה וה</w:t>
      </w:r>
      <w:r w:rsidR="00F84A92" w:rsidRPr="00850794">
        <w:rPr>
          <w:rFonts w:ascii="SBL BibLit" w:hAnsi="SBL BibLit" w:cs="SBL BibLit"/>
          <w:sz w:val="24"/>
          <w:szCs w:val="24"/>
          <w:rtl/>
        </w:rPr>
        <w:t xml:space="preserve">תרומה </w:t>
      </w:r>
      <w:r w:rsidRPr="00850794">
        <w:rPr>
          <w:rFonts w:ascii="SBL BibLit" w:hAnsi="SBL BibLit" w:cs="SBL BibLit"/>
          <w:sz w:val="24"/>
          <w:szCs w:val="24"/>
          <w:rtl/>
        </w:rPr>
        <w:t>שיש למעשה העריכה למגמת הפרשיות.</w:t>
      </w:r>
    </w:p>
    <w:p w:rsidR="00052CDB" w:rsidRPr="00850794" w:rsidRDefault="00052CDB"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ה</w:t>
      </w:r>
      <w:r w:rsidR="00A1688C" w:rsidRPr="00850794">
        <w:rPr>
          <w:rFonts w:ascii="SBL BibLit" w:hAnsi="SBL BibLit" w:cs="SBL BibLit"/>
          <w:sz w:val="24"/>
          <w:szCs w:val="24"/>
          <w:rtl/>
        </w:rPr>
        <w:t>פרשיות ה</w:t>
      </w:r>
      <w:r w:rsidR="00B60FF8" w:rsidRPr="00850794">
        <w:rPr>
          <w:rFonts w:ascii="SBL BibLit" w:hAnsi="SBL BibLit" w:cs="SBL BibLit"/>
          <w:sz w:val="24"/>
          <w:szCs w:val="24"/>
          <w:rtl/>
        </w:rPr>
        <w:t xml:space="preserve">משולבות </w:t>
      </w:r>
      <w:r w:rsidR="00A1688C" w:rsidRPr="00850794">
        <w:rPr>
          <w:rFonts w:ascii="SBL BibLit" w:hAnsi="SBL BibLit" w:cs="SBL BibLit"/>
          <w:sz w:val="24"/>
          <w:szCs w:val="24"/>
          <w:rtl/>
        </w:rPr>
        <w:t xml:space="preserve">ביחידה שלפנינו </w:t>
      </w:r>
      <w:r w:rsidRPr="00850794">
        <w:rPr>
          <w:rFonts w:ascii="SBL BibLit" w:hAnsi="SBL BibLit" w:cs="SBL BibLit"/>
          <w:sz w:val="24"/>
          <w:szCs w:val="24"/>
          <w:rtl/>
        </w:rPr>
        <w:t>הן:</w:t>
      </w:r>
    </w:p>
    <w:p w:rsidR="00052CDB" w:rsidRPr="00850794" w:rsidRDefault="00052CDB" w:rsidP="00850794">
      <w:pPr>
        <w:pStyle w:val="ListParagraph"/>
        <w:numPr>
          <w:ilvl w:val="0"/>
          <w:numId w:val="1"/>
        </w:numPr>
        <w:spacing w:line="360" w:lineRule="auto"/>
        <w:jc w:val="both"/>
        <w:rPr>
          <w:rFonts w:ascii="SBL BibLit" w:hAnsi="SBL BibLit" w:cs="SBL BibLit"/>
          <w:sz w:val="24"/>
          <w:szCs w:val="24"/>
        </w:rPr>
      </w:pPr>
      <w:r w:rsidRPr="00850794">
        <w:rPr>
          <w:rFonts w:ascii="SBL BibLit" w:hAnsi="SBL BibLit" w:cs="SBL BibLit"/>
          <w:sz w:val="24"/>
          <w:szCs w:val="24"/>
          <w:rtl/>
        </w:rPr>
        <w:t>פרקים א'-ב': חניית ישראל סביב המשכן ומפקד בני ישראל.</w:t>
      </w:r>
    </w:p>
    <w:p w:rsidR="00052CDB" w:rsidRPr="00850794" w:rsidRDefault="00052CDB" w:rsidP="00850794">
      <w:pPr>
        <w:pStyle w:val="ListParagraph"/>
        <w:numPr>
          <w:ilvl w:val="0"/>
          <w:numId w:val="1"/>
        </w:numPr>
        <w:spacing w:line="360" w:lineRule="auto"/>
        <w:jc w:val="both"/>
        <w:rPr>
          <w:rFonts w:ascii="SBL BibLit" w:hAnsi="SBL BibLit" w:cs="SBL BibLit"/>
          <w:sz w:val="24"/>
          <w:szCs w:val="24"/>
        </w:rPr>
      </w:pPr>
      <w:r w:rsidRPr="00850794">
        <w:rPr>
          <w:rFonts w:ascii="SBL BibLit" w:hAnsi="SBL BibLit" w:cs="SBL BibLit"/>
          <w:sz w:val="24"/>
          <w:szCs w:val="24"/>
          <w:rtl/>
        </w:rPr>
        <w:t>פרקים ג'-ד': השלמת מפקד ישראל במפקד הלויים ובתיאור חנייתם.</w:t>
      </w:r>
    </w:p>
    <w:p w:rsidR="00052CDB" w:rsidRPr="00850794" w:rsidRDefault="00052CDB" w:rsidP="00850794">
      <w:pPr>
        <w:pStyle w:val="ListParagraph"/>
        <w:numPr>
          <w:ilvl w:val="0"/>
          <w:numId w:val="1"/>
        </w:numPr>
        <w:spacing w:line="360" w:lineRule="auto"/>
        <w:jc w:val="both"/>
        <w:rPr>
          <w:rFonts w:ascii="SBL BibLit" w:hAnsi="SBL BibLit" w:cs="SBL BibLit"/>
          <w:sz w:val="24"/>
          <w:szCs w:val="24"/>
        </w:rPr>
      </w:pPr>
      <w:r w:rsidRPr="00850794">
        <w:rPr>
          <w:rFonts w:ascii="SBL BibLit" w:hAnsi="SBL BibLit" w:cs="SBL BibLit"/>
          <w:sz w:val="24"/>
          <w:szCs w:val="24"/>
          <w:rtl/>
        </w:rPr>
        <w:t>פרקים ה'-ו': אוסף מצוות (שילוח טמאים; אשם גזילות; סוטה; נזיר וברכת כוהנים).</w:t>
      </w:r>
    </w:p>
    <w:p w:rsidR="00052CDB" w:rsidRPr="00850794" w:rsidRDefault="00052CDB" w:rsidP="00850794">
      <w:pPr>
        <w:pStyle w:val="ListParagraph"/>
        <w:numPr>
          <w:ilvl w:val="0"/>
          <w:numId w:val="1"/>
        </w:numPr>
        <w:spacing w:line="360" w:lineRule="auto"/>
        <w:jc w:val="both"/>
        <w:rPr>
          <w:rFonts w:ascii="SBL BibLit" w:hAnsi="SBL BibLit" w:cs="SBL BibLit"/>
          <w:sz w:val="24"/>
          <w:szCs w:val="24"/>
        </w:rPr>
      </w:pPr>
      <w:r w:rsidRPr="00850794">
        <w:rPr>
          <w:rFonts w:ascii="SBL BibLit" w:hAnsi="SBL BibLit" w:cs="SBL BibLit"/>
          <w:sz w:val="24"/>
          <w:szCs w:val="24"/>
          <w:rtl/>
        </w:rPr>
        <w:t>פרק ז': חנוכת הנשיאים את המזבח.</w:t>
      </w:r>
    </w:p>
    <w:p w:rsidR="00052CDB" w:rsidRPr="00850794" w:rsidRDefault="00052CDB" w:rsidP="00850794">
      <w:pPr>
        <w:pStyle w:val="ListParagraph"/>
        <w:numPr>
          <w:ilvl w:val="0"/>
          <w:numId w:val="1"/>
        </w:numPr>
        <w:spacing w:line="360" w:lineRule="auto"/>
        <w:jc w:val="both"/>
        <w:rPr>
          <w:rFonts w:ascii="SBL BibLit" w:hAnsi="SBL BibLit" w:cs="SBL BibLit"/>
          <w:sz w:val="24"/>
          <w:szCs w:val="24"/>
        </w:rPr>
      </w:pPr>
      <w:r w:rsidRPr="00850794">
        <w:rPr>
          <w:rFonts w:ascii="SBL BibLit" w:hAnsi="SBL BibLit" w:cs="SBL BibLit"/>
          <w:sz w:val="24"/>
          <w:szCs w:val="24"/>
          <w:rtl/>
        </w:rPr>
        <w:t>פרק ח': חינוך הלויים והכשרתם לעבודתם.</w:t>
      </w:r>
    </w:p>
    <w:p w:rsidR="00052CDB" w:rsidRPr="00850794" w:rsidRDefault="00052CDB" w:rsidP="00850794">
      <w:pPr>
        <w:pStyle w:val="ListParagraph"/>
        <w:numPr>
          <w:ilvl w:val="0"/>
          <w:numId w:val="1"/>
        </w:numPr>
        <w:spacing w:line="360" w:lineRule="auto"/>
        <w:jc w:val="both"/>
        <w:rPr>
          <w:rFonts w:ascii="SBL BibLit" w:hAnsi="SBL BibLit" w:cs="SBL BibLit"/>
          <w:sz w:val="24"/>
          <w:szCs w:val="24"/>
        </w:rPr>
      </w:pPr>
      <w:r w:rsidRPr="00850794">
        <w:rPr>
          <w:rFonts w:ascii="SBL BibLit" w:hAnsi="SBL BibLit" w:cs="SBL BibLit"/>
          <w:sz w:val="24"/>
          <w:szCs w:val="24"/>
          <w:rtl/>
        </w:rPr>
        <w:t>פרק ט'</w:t>
      </w:r>
      <w:r w:rsidR="0001693A" w:rsidRPr="00850794">
        <w:rPr>
          <w:rFonts w:ascii="SBL BibLit" w:hAnsi="SBL BibLit" w:cs="SBL BibLit"/>
          <w:sz w:val="24"/>
          <w:szCs w:val="24"/>
          <w:rtl/>
        </w:rPr>
        <w:t>, 1</w:t>
      </w:r>
      <w:r w:rsidR="0001693A" w:rsidRPr="00850794">
        <w:rPr>
          <w:rFonts w:ascii="SBL BibLit" w:hAnsi="SBL BibLit" w:cs="SBL BibLit"/>
          <w:sz w:val="24"/>
          <w:szCs w:val="24"/>
          <w:rtl/>
        </w:rPr>
        <w:softHyphen/>
        <w:t>-14</w:t>
      </w:r>
      <w:r w:rsidRPr="00850794">
        <w:rPr>
          <w:rFonts w:ascii="SBL BibLit" w:hAnsi="SBL BibLit" w:cs="SBL BibLit"/>
          <w:sz w:val="24"/>
          <w:szCs w:val="24"/>
          <w:rtl/>
        </w:rPr>
        <w:t>: פסח שני.</w:t>
      </w:r>
    </w:p>
    <w:p w:rsidR="00052CDB" w:rsidRPr="00850794" w:rsidRDefault="00052CDB" w:rsidP="00850794">
      <w:pPr>
        <w:pStyle w:val="ListParagraph"/>
        <w:numPr>
          <w:ilvl w:val="0"/>
          <w:numId w:val="1"/>
        </w:numPr>
        <w:spacing w:line="360" w:lineRule="auto"/>
        <w:jc w:val="both"/>
        <w:rPr>
          <w:rFonts w:ascii="SBL BibLit" w:hAnsi="SBL BibLit" w:cs="SBL BibLit"/>
          <w:sz w:val="24"/>
          <w:szCs w:val="24"/>
        </w:rPr>
      </w:pPr>
      <w:r w:rsidRPr="00850794">
        <w:rPr>
          <w:rFonts w:ascii="SBL BibLit" w:hAnsi="SBL BibLit" w:cs="SBL BibLit"/>
          <w:sz w:val="24"/>
          <w:szCs w:val="24"/>
          <w:rtl/>
        </w:rPr>
        <w:t>פרק ט-י': סימני תחילת הנסיעה: הענן והחצוצרות</w:t>
      </w:r>
      <w:r w:rsidR="00B60FF8" w:rsidRPr="00850794">
        <w:rPr>
          <w:rFonts w:ascii="SBL BibLit" w:hAnsi="SBL BibLit" w:cs="SBL BibLit"/>
          <w:sz w:val="24"/>
          <w:szCs w:val="24"/>
          <w:rtl/>
        </w:rPr>
        <w:t>.</w:t>
      </w:r>
    </w:p>
    <w:p w:rsidR="00283DB6" w:rsidRPr="00850794" w:rsidRDefault="00F84A92"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lastRenderedPageBreak/>
        <w:t xml:space="preserve">באופן כללי נכון לומר שהפרשיות הפותחות את הספר מהוות מעין מבוא לנסיעה, או התארגנות המחנה לקראת המסע, </w:t>
      </w:r>
      <w:r w:rsidR="00052CDB" w:rsidRPr="00850794">
        <w:rPr>
          <w:rFonts w:ascii="SBL BibLit" w:hAnsi="SBL BibLit" w:cs="SBL BibLit"/>
          <w:sz w:val="24"/>
          <w:szCs w:val="24"/>
          <w:rtl/>
        </w:rPr>
        <w:t xml:space="preserve">אך לצד זאת קשה לשים את האצבע על הארגון הפנימי של היחידות </w:t>
      </w:r>
      <w:r w:rsidRPr="00850794">
        <w:rPr>
          <w:rFonts w:ascii="SBL BibLit" w:hAnsi="SBL BibLit" w:cs="SBL BibLit"/>
          <w:sz w:val="24"/>
          <w:szCs w:val="24"/>
          <w:rtl/>
        </w:rPr>
        <w:t>הללו.</w:t>
      </w:r>
      <w:r w:rsidR="0001693A" w:rsidRPr="00850794">
        <w:rPr>
          <w:rStyle w:val="FootnoteReference"/>
          <w:rFonts w:ascii="SBL BibLit" w:hAnsi="SBL BibLit" w:cs="SBL BibLit"/>
          <w:sz w:val="24"/>
          <w:szCs w:val="24"/>
          <w:rtl/>
        </w:rPr>
        <w:footnoteReference w:id="2"/>
      </w:r>
      <w:r w:rsidR="0001693A" w:rsidRPr="00850794">
        <w:rPr>
          <w:rFonts w:ascii="SBL BibLit" w:hAnsi="SBL BibLit" w:cs="SBL BibLit"/>
          <w:sz w:val="24"/>
          <w:szCs w:val="24"/>
          <w:rtl/>
        </w:rPr>
        <w:t xml:space="preserve"> כמבוא להצעה שאני מבקש לפתח נעמוד תחילה על שתי נקודות שיש בכוחן לסלול את הדרך לקראת ה</w:t>
      </w:r>
      <w:r w:rsidR="00435066" w:rsidRPr="00850794">
        <w:rPr>
          <w:rFonts w:ascii="SBL BibLit" w:hAnsi="SBL BibLit" w:cs="SBL BibLit"/>
          <w:sz w:val="24"/>
          <w:szCs w:val="24"/>
          <w:rtl/>
        </w:rPr>
        <w:t>מבנה השלם של החטיבה.</w:t>
      </w:r>
    </w:p>
    <w:p w:rsidR="00241AD4" w:rsidRPr="00850794" w:rsidRDefault="00241AD4" w:rsidP="00850794">
      <w:pPr>
        <w:bidi w:val="0"/>
        <w:spacing w:line="360" w:lineRule="auto"/>
        <w:jc w:val="center"/>
        <w:rPr>
          <w:rFonts w:ascii="SBL BibLit" w:hAnsi="SBL BibLit" w:cs="SBL BibLit"/>
          <w:b/>
          <w:bCs/>
          <w:sz w:val="24"/>
          <w:szCs w:val="24"/>
        </w:rPr>
      </w:pPr>
      <w:r w:rsidRPr="00850794">
        <w:rPr>
          <w:rFonts w:ascii="SBL BibLit" w:hAnsi="SBL BibLit" w:cs="SBL BibLit"/>
          <w:b/>
          <w:bCs/>
          <w:sz w:val="24"/>
          <w:szCs w:val="24"/>
        </w:rPr>
        <w:t>Dates</w:t>
      </w:r>
    </w:p>
    <w:p w:rsidR="00952DCB" w:rsidRPr="00850794" w:rsidRDefault="00241AD4" w:rsidP="00850794">
      <w:pPr>
        <w:spacing w:line="360" w:lineRule="auto"/>
        <w:rPr>
          <w:rFonts w:ascii="SBL BibLit" w:hAnsi="SBL BibLit" w:cs="SBL BibLit"/>
          <w:sz w:val="24"/>
          <w:szCs w:val="24"/>
          <w:rtl/>
        </w:rPr>
      </w:pPr>
      <w:r w:rsidRPr="00850794">
        <w:rPr>
          <w:rFonts w:ascii="SBL BibLit" w:hAnsi="SBL BibLit" w:cs="SBL BibLit"/>
          <w:sz w:val="24"/>
          <w:szCs w:val="24"/>
          <w:rtl/>
        </w:rPr>
        <w:t>כפי שרבים העירו, מעקב אחר לוח הזמנים של החטיבה חושף שני מעגלים</w:t>
      </w:r>
      <w:r w:rsidR="00952DCB" w:rsidRPr="00850794">
        <w:rPr>
          <w:rFonts w:ascii="SBL BibLit" w:hAnsi="SBL BibLit" w:cs="SBL BibLit"/>
          <w:sz w:val="24"/>
          <w:szCs w:val="24"/>
          <w:rt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700"/>
        <w:gridCol w:w="4161"/>
      </w:tblGrid>
      <w:tr w:rsidR="00952DCB" w:rsidRPr="00850794" w:rsidTr="00DC7376">
        <w:tc>
          <w:tcPr>
            <w:tcW w:w="1435" w:type="dxa"/>
          </w:tcPr>
          <w:p w:rsidR="00952DCB" w:rsidRPr="00850794" w:rsidRDefault="00952DCB" w:rsidP="00850794">
            <w:pPr>
              <w:bidi w:val="0"/>
              <w:spacing w:line="360" w:lineRule="auto"/>
              <w:rPr>
                <w:rFonts w:ascii="SBL BibLit" w:hAnsi="SBL BibLit" w:cs="SBL BibLit"/>
                <w:sz w:val="24"/>
                <w:szCs w:val="24"/>
              </w:rPr>
            </w:pPr>
            <w:r w:rsidRPr="00850794">
              <w:rPr>
                <w:rFonts w:ascii="SBL BibLit" w:hAnsi="SBL BibLit" w:cs="SBL BibLit"/>
                <w:sz w:val="24"/>
                <w:szCs w:val="24"/>
              </w:rPr>
              <w:t>Num 1:1</w:t>
            </w:r>
            <w:r w:rsidR="002A663D" w:rsidRPr="00850794">
              <w:rPr>
                <w:rFonts w:ascii="SBL BibLit" w:hAnsi="SBL BibLit" w:cs="SBL BibLit"/>
                <w:sz w:val="24"/>
                <w:szCs w:val="24"/>
              </w:rPr>
              <w:t xml:space="preserve"> (Iyyar)</w:t>
            </w:r>
          </w:p>
        </w:tc>
        <w:tc>
          <w:tcPr>
            <w:tcW w:w="2700" w:type="dxa"/>
          </w:tcPr>
          <w:p w:rsidR="00952DCB" w:rsidRPr="00850794" w:rsidRDefault="002A663D" w:rsidP="00850794">
            <w:pPr>
              <w:spacing w:line="360" w:lineRule="auto"/>
              <w:rPr>
                <w:rFonts w:ascii="SBL BibLit" w:hAnsi="SBL BibLit" w:cs="SBL BibLit"/>
                <w:sz w:val="24"/>
                <w:szCs w:val="24"/>
              </w:rPr>
            </w:pPr>
            <w:r w:rsidRPr="00850794">
              <w:rPr>
                <w:rFonts w:ascii="SBL BibLit" w:hAnsi="SBL BibLit" w:cs="SBL BibLit"/>
                <w:color w:val="222222"/>
                <w:sz w:val="24"/>
                <w:szCs w:val="24"/>
                <w:shd w:val="clear" w:color="auto" w:fill="FFFFFF"/>
                <w:rtl/>
              </w:rPr>
              <w:t>וַיְדַבֵּר יְ</w:t>
            </w:r>
            <w:r w:rsidRPr="00850794">
              <w:rPr>
                <w:rFonts w:ascii="SBL BibLit" w:hAnsi="SBL BibLit" w:cs="SBL BibLit"/>
                <w:color w:val="222222"/>
                <w:sz w:val="24"/>
                <w:szCs w:val="24"/>
                <w:shd w:val="clear" w:color="auto" w:fill="FFFFFF"/>
                <w:rtl/>
              </w:rPr>
              <w:t>-</w:t>
            </w:r>
            <w:r w:rsidRPr="00850794">
              <w:rPr>
                <w:rFonts w:ascii="SBL BibLit" w:hAnsi="SBL BibLit" w:cs="SBL BibLit"/>
                <w:color w:val="222222"/>
                <w:sz w:val="24"/>
                <w:szCs w:val="24"/>
                <w:shd w:val="clear" w:color="auto" w:fill="FFFFFF"/>
                <w:rtl/>
              </w:rPr>
              <w:t>הוָה אֶל מֹשֶׁה בְּמִדְבַּר סִינַי בְּאֹהֶל מוֹעֵד</w:t>
            </w:r>
            <w:r w:rsidRPr="00850794">
              <w:rPr>
                <w:rFonts w:ascii="SBL BibLit" w:hAnsi="SBL BibLit" w:cs="SBL BibLit"/>
                <w:color w:val="222222"/>
                <w:sz w:val="24"/>
                <w:szCs w:val="24"/>
                <w:shd w:val="clear" w:color="auto" w:fill="FFFFFF"/>
                <w:rtl/>
              </w:rPr>
              <w:t xml:space="preserve"> </w:t>
            </w:r>
            <w:r w:rsidRPr="00850794">
              <w:rPr>
                <w:rFonts w:ascii="SBL BibLit" w:hAnsi="SBL BibLit" w:cs="SBL BibLit"/>
                <w:sz w:val="24"/>
                <w:szCs w:val="24"/>
                <w:rtl/>
              </w:rPr>
              <w:t xml:space="preserve">בְּאֶחָד לַחֹדֶשׁ הַשֵּׁנִי בַּשָּׁנָה הַשֵּׁנִית לְצֵאתָם מֵאֶרֶץ </w:t>
            </w:r>
            <w:r w:rsidRPr="00850794">
              <w:rPr>
                <w:rFonts w:ascii="SBL BibLit" w:hAnsi="SBL BibLit" w:cs="SBL BibLit"/>
                <w:sz w:val="24"/>
                <w:szCs w:val="24"/>
                <w:rtl/>
              </w:rPr>
              <w:t>מִצְרַיִם</w:t>
            </w:r>
          </w:p>
        </w:tc>
        <w:tc>
          <w:tcPr>
            <w:tcW w:w="4161" w:type="dxa"/>
          </w:tcPr>
          <w:p w:rsidR="00952DCB" w:rsidRPr="00850794" w:rsidRDefault="002A663D" w:rsidP="00850794">
            <w:pPr>
              <w:bidi w:val="0"/>
              <w:spacing w:line="360" w:lineRule="auto"/>
              <w:rPr>
                <w:rFonts w:ascii="SBL BibLit" w:hAnsi="SBL BibLit" w:cs="SBL BibLit"/>
                <w:sz w:val="24"/>
                <w:szCs w:val="24"/>
              </w:rPr>
            </w:pPr>
            <w:r w:rsidRPr="00850794">
              <w:rPr>
                <w:rFonts w:ascii="SBL BibLit" w:hAnsi="SBL BibLit" w:cs="SBL BibLit"/>
                <w:sz w:val="24"/>
                <w:szCs w:val="24"/>
              </w:rPr>
              <w:t>T</w:t>
            </w:r>
            <w:r w:rsidRPr="00850794">
              <w:rPr>
                <w:rFonts w:ascii="SBL BibLit" w:hAnsi="SBL BibLit" w:cs="SBL BibLit"/>
                <w:sz w:val="24"/>
                <w:szCs w:val="24"/>
              </w:rPr>
              <w:t xml:space="preserve">he LORD spoke to Moses in the wilderness of Sinai, in the Tent of Meeting, </w:t>
            </w:r>
            <w:r w:rsidRPr="00850794">
              <w:rPr>
                <w:rFonts w:ascii="SBL BibLit" w:hAnsi="SBL BibLit" w:cs="SBL BibLit"/>
                <w:sz w:val="24"/>
                <w:szCs w:val="24"/>
              </w:rPr>
              <w:t>o</w:t>
            </w:r>
            <w:r w:rsidRPr="00850794">
              <w:rPr>
                <w:rFonts w:ascii="SBL BibLit" w:hAnsi="SBL BibLit" w:cs="SBL BibLit"/>
                <w:sz w:val="24"/>
                <w:szCs w:val="24"/>
              </w:rPr>
              <w:t>n the first day of the second month, in the second year following the exodus from the land of Egypt</w:t>
            </w:r>
          </w:p>
        </w:tc>
      </w:tr>
      <w:tr w:rsidR="00952DCB" w:rsidRPr="00850794" w:rsidTr="00DC7376">
        <w:tc>
          <w:tcPr>
            <w:tcW w:w="1435" w:type="dxa"/>
          </w:tcPr>
          <w:p w:rsidR="00952DCB" w:rsidRPr="00850794" w:rsidRDefault="00952DCB" w:rsidP="00850794">
            <w:pPr>
              <w:bidi w:val="0"/>
              <w:spacing w:line="360" w:lineRule="auto"/>
              <w:rPr>
                <w:rFonts w:ascii="SBL BibLit" w:hAnsi="SBL BibLit" w:cs="SBL BibLit"/>
                <w:sz w:val="24"/>
                <w:szCs w:val="24"/>
              </w:rPr>
            </w:pPr>
            <w:r w:rsidRPr="00850794">
              <w:rPr>
                <w:rFonts w:ascii="SBL BibLit" w:hAnsi="SBL BibLit" w:cs="SBL BibLit"/>
                <w:sz w:val="24"/>
                <w:szCs w:val="24"/>
              </w:rPr>
              <w:t>Num 7:1</w:t>
            </w:r>
            <w:r w:rsidR="002A663D" w:rsidRPr="00850794">
              <w:rPr>
                <w:rFonts w:ascii="SBL BibLit" w:hAnsi="SBL BibLit" w:cs="SBL BibLit"/>
                <w:sz w:val="24"/>
                <w:szCs w:val="24"/>
              </w:rPr>
              <w:t xml:space="preserve"> (Nissan)</w:t>
            </w:r>
          </w:p>
        </w:tc>
        <w:tc>
          <w:tcPr>
            <w:tcW w:w="2700" w:type="dxa"/>
          </w:tcPr>
          <w:p w:rsidR="00952DCB" w:rsidRPr="00850794" w:rsidRDefault="002A663D" w:rsidP="00850794">
            <w:pPr>
              <w:spacing w:line="360" w:lineRule="auto"/>
              <w:rPr>
                <w:rFonts w:ascii="SBL BibLit" w:hAnsi="SBL BibLit" w:cs="SBL BibLit"/>
                <w:sz w:val="24"/>
                <w:szCs w:val="24"/>
              </w:rPr>
            </w:pPr>
            <w:r w:rsidRPr="00850794">
              <w:rPr>
                <w:rFonts w:ascii="SBL BibLit" w:hAnsi="SBL BibLit" w:cs="SBL BibLit"/>
                <w:sz w:val="24"/>
                <w:szCs w:val="24"/>
                <w:rtl/>
              </w:rPr>
              <w:t>וַיְהִי בְּיוֹם כַּלּוֹת משֶׁה לְהָקִים אֶת הַמִּשְׁכָּן</w:t>
            </w:r>
            <w:r w:rsidRPr="00850794">
              <w:rPr>
                <w:rFonts w:ascii="SBL BibLit" w:hAnsi="SBL BibLit" w:cs="SBL BibLit"/>
                <w:sz w:val="24"/>
                <w:szCs w:val="24"/>
                <w:rtl/>
              </w:rPr>
              <w:t>...</w:t>
            </w:r>
          </w:p>
        </w:tc>
        <w:tc>
          <w:tcPr>
            <w:tcW w:w="4161" w:type="dxa"/>
          </w:tcPr>
          <w:p w:rsidR="00952DCB" w:rsidRPr="00850794" w:rsidRDefault="002A663D" w:rsidP="00850794">
            <w:pPr>
              <w:bidi w:val="0"/>
              <w:spacing w:line="360" w:lineRule="auto"/>
              <w:rPr>
                <w:rFonts w:ascii="SBL BibLit" w:hAnsi="SBL BibLit" w:cs="SBL BibLit"/>
                <w:sz w:val="24"/>
                <w:szCs w:val="24"/>
              </w:rPr>
            </w:pPr>
            <w:r w:rsidRPr="00850794">
              <w:rPr>
                <w:rFonts w:ascii="SBL BibLit" w:hAnsi="SBL BibLit" w:cs="SBL BibLit"/>
                <w:sz w:val="24"/>
                <w:szCs w:val="24"/>
              </w:rPr>
              <w:t>On the day that Moses finished setting up the Tabernacl</w:t>
            </w:r>
            <w:r w:rsidRPr="00850794">
              <w:rPr>
                <w:rFonts w:ascii="SBL BibLit" w:hAnsi="SBL BibLit" w:cs="SBL BibLit"/>
                <w:sz w:val="24"/>
                <w:szCs w:val="24"/>
              </w:rPr>
              <w:t>e…</w:t>
            </w:r>
            <w:r w:rsidRPr="00850794">
              <w:rPr>
                <w:rStyle w:val="FootnoteReference"/>
                <w:rFonts w:ascii="SBL BibLit" w:hAnsi="SBL BibLit" w:cs="SBL BibLit"/>
                <w:sz w:val="24"/>
                <w:szCs w:val="24"/>
                <w:rtl/>
              </w:rPr>
              <w:footnoteReference w:id="3"/>
            </w:r>
          </w:p>
        </w:tc>
      </w:tr>
    </w:tbl>
    <w:p w:rsidR="00952DCB" w:rsidRPr="00850794" w:rsidRDefault="002A663D" w:rsidP="00850794">
      <w:pPr>
        <w:bidi w:val="0"/>
        <w:spacing w:line="360" w:lineRule="auto"/>
        <w:rPr>
          <w:rFonts w:ascii="SBL BibLit" w:hAnsi="SBL BibLit" w:cs="SBL BibLit"/>
          <w:sz w:val="24"/>
          <w:szCs w:val="24"/>
        </w:rPr>
      </w:pPr>
      <w:r w:rsidRPr="00850794">
        <w:rPr>
          <w:rFonts w:ascii="SBL BibLit" w:hAnsi="SBL BibLit" w:cs="SBL BibLit"/>
          <w:sz w:val="24"/>
          <w:szCs w:val="24"/>
          <w:rtl/>
        </w:rPr>
        <w:t>כלומר, החטיבה שלפנינו אינה מותאמת לסדר הזמנים.</w:t>
      </w:r>
      <w:r w:rsidRPr="00850794">
        <w:rPr>
          <w:rFonts w:ascii="SBL BibLit" w:hAnsi="SBL BibLit" w:cs="SBL BibLit"/>
          <w:sz w:val="24"/>
          <w:szCs w:val="24"/>
        </w:rPr>
        <w:t xml:space="preserve"> Note also that the existence of the Tent of Meeting is a given in 1:1, but the Tabernacle is just being completed in 7:1 and has not even been set up or consecrated yet. </w:t>
      </w:r>
    </w:p>
    <w:p w:rsidR="00241AD4" w:rsidRPr="00850794" w:rsidRDefault="00241AD4" w:rsidP="00850794">
      <w:pPr>
        <w:spacing w:line="360" w:lineRule="auto"/>
        <w:rPr>
          <w:rFonts w:ascii="SBL BibLit" w:hAnsi="SBL BibLit" w:cs="SBL BibLit"/>
          <w:b/>
          <w:bCs/>
          <w:sz w:val="24"/>
          <w:szCs w:val="24"/>
        </w:rPr>
      </w:pPr>
    </w:p>
    <w:p w:rsidR="002A2600" w:rsidRPr="00850794" w:rsidRDefault="002A2600" w:rsidP="00850794">
      <w:pPr>
        <w:bidi w:val="0"/>
        <w:spacing w:line="360" w:lineRule="auto"/>
        <w:jc w:val="center"/>
        <w:rPr>
          <w:rFonts w:ascii="SBL BibLit" w:hAnsi="SBL BibLit" w:cs="SBL BibLit"/>
          <w:b/>
          <w:bCs/>
          <w:sz w:val="24"/>
          <w:szCs w:val="24"/>
        </w:rPr>
      </w:pPr>
      <w:r w:rsidRPr="00850794">
        <w:rPr>
          <w:rFonts w:ascii="SBL BibLit" w:hAnsi="SBL BibLit" w:cs="SBL BibLit"/>
          <w:b/>
          <w:bCs/>
          <w:sz w:val="24"/>
          <w:szCs w:val="24"/>
        </w:rPr>
        <w:t>The Order of the Tribes</w:t>
      </w:r>
    </w:p>
    <w:p w:rsidR="001F2ED1" w:rsidRPr="00850794" w:rsidRDefault="001A11A4"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lastRenderedPageBreak/>
        <w:t xml:space="preserve">ראשית, יש </w:t>
      </w:r>
      <w:r w:rsidR="00656C3E" w:rsidRPr="00850794">
        <w:rPr>
          <w:rFonts w:ascii="SBL BibLit" w:hAnsi="SBL BibLit" w:cs="SBL BibLit"/>
          <w:sz w:val="24"/>
          <w:szCs w:val="24"/>
          <w:rtl/>
        </w:rPr>
        <w:t xml:space="preserve">לשים </w:t>
      </w:r>
      <w:r w:rsidR="00426D46" w:rsidRPr="00850794">
        <w:rPr>
          <w:rFonts w:ascii="SBL BibLit" w:hAnsi="SBL BibLit" w:cs="SBL BibLit"/>
          <w:sz w:val="24"/>
          <w:szCs w:val="24"/>
          <w:rtl/>
        </w:rPr>
        <w:t xml:space="preserve">לב לסדר </w:t>
      </w:r>
      <w:r w:rsidR="00F84A92" w:rsidRPr="00850794">
        <w:rPr>
          <w:rFonts w:ascii="SBL BibLit" w:hAnsi="SBL BibLit" w:cs="SBL BibLit"/>
          <w:sz w:val="24"/>
          <w:szCs w:val="24"/>
          <w:rtl/>
        </w:rPr>
        <w:t xml:space="preserve">השבטים בתיאור קרבנות הנשיאים </w:t>
      </w:r>
      <w:r w:rsidR="00656C3E" w:rsidRPr="00850794">
        <w:rPr>
          <w:rFonts w:ascii="SBL BibLit" w:hAnsi="SBL BibLit" w:cs="SBL BibLit"/>
          <w:sz w:val="24"/>
          <w:szCs w:val="24"/>
          <w:rtl/>
        </w:rPr>
        <w:t xml:space="preserve">כמתואר בפרק ז'. פותח הרשימה הוא יהודה ואחריו באים יששכר וזבולון ושאר השבטים. סדר זה לא מפתיע את הקורא שפוגש </w:t>
      </w:r>
      <w:r w:rsidR="00F84A92" w:rsidRPr="00850794">
        <w:rPr>
          <w:rFonts w:ascii="SBL BibLit" w:hAnsi="SBL BibLit" w:cs="SBL BibLit"/>
          <w:sz w:val="24"/>
          <w:szCs w:val="24"/>
          <w:rtl/>
        </w:rPr>
        <w:t xml:space="preserve">בפרק ז' בתוך הרצף הטקסטואלי שלו, שכן ישראל הצטוו כבר בפרק ב' לחנות מסביב למשכן בדיוק בסדר השבטים הזה: </w:t>
      </w:r>
      <w:r w:rsidR="003E3FA4" w:rsidRPr="00850794">
        <w:rPr>
          <w:rFonts w:ascii="SBL BibLit" w:hAnsi="SBL BibLit" w:cs="SBL BibLit"/>
          <w:sz w:val="24"/>
          <w:szCs w:val="24"/>
          <w:rtl/>
        </w:rPr>
        <w:t>יהודה, יששכר וזבולון / ראובן שמעון וגד / אפרים מנשה ובנימין / דן אשר ונפתלי.</w:t>
      </w:r>
      <w:r w:rsidR="003E3FA4" w:rsidRPr="00850794">
        <w:rPr>
          <w:rStyle w:val="FootnoteReference"/>
          <w:rFonts w:ascii="SBL BibLit" w:hAnsi="SBL BibLit" w:cs="SBL BibLit"/>
          <w:sz w:val="24"/>
          <w:szCs w:val="24"/>
          <w:rtl/>
        </w:rPr>
        <w:footnoteReference w:id="4"/>
      </w:r>
      <w:r w:rsidR="003E3FA4" w:rsidRPr="00850794">
        <w:rPr>
          <w:rFonts w:ascii="SBL BibLit" w:hAnsi="SBL BibLit" w:cs="SBL BibLit"/>
          <w:sz w:val="24"/>
          <w:szCs w:val="24"/>
          <w:rtl/>
        </w:rPr>
        <w:t xml:space="preserve"> </w:t>
      </w:r>
    </w:p>
    <w:p w:rsidR="001F2ED1" w:rsidRPr="00850794" w:rsidRDefault="004A126A"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אולם למעשה, יש בדבר זה אשליה טקסטואלית שאינה משתלבת עם הנתונים הכרונולוגיים שמשולבים ב</w:t>
      </w:r>
      <w:r w:rsidR="00F84A92" w:rsidRPr="00850794">
        <w:rPr>
          <w:rFonts w:ascii="SBL BibLit" w:hAnsi="SBL BibLit" w:cs="SBL BibLit"/>
          <w:sz w:val="24"/>
          <w:szCs w:val="24"/>
          <w:rtl/>
        </w:rPr>
        <w:t>טקסט</w:t>
      </w:r>
      <w:r w:rsidRPr="00850794">
        <w:rPr>
          <w:rFonts w:ascii="SBL BibLit" w:hAnsi="SBL BibLit" w:cs="SBL BibLit"/>
          <w:sz w:val="24"/>
          <w:szCs w:val="24"/>
          <w:rtl/>
        </w:rPr>
        <w:t>, שהרי</w:t>
      </w:r>
      <w:r w:rsidR="00241AD4" w:rsidRPr="00850794">
        <w:rPr>
          <w:rFonts w:ascii="SBL BibLit" w:hAnsi="SBL BibLit" w:cs="SBL BibLit"/>
          <w:sz w:val="24"/>
          <w:szCs w:val="24"/>
          <w:rtl/>
        </w:rPr>
        <w:t>, כמו שציינתי למעלה,</w:t>
      </w:r>
      <w:r w:rsidRPr="00850794">
        <w:rPr>
          <w:rFonts w:ascii="SBL BibLit" w:hAnsi="SBL BibLit" w:cs="SBL BibLit"/>
          <w:sz w:val="24"/>
          <w:szCs w:val="24"/>
          <w:rtl/>
        </w:rPr>
        <w:t xml:space="preserve"> הציווי על מפקד בני ישראל </w:t>
      </w:r>
      <w:r w:rsidR="00BE183E" w:rsidRPr="00850794">
        <w:rPr>
          <w:rFonts w:ascii="SBL BibLit" w:hAnsi="SBL BibLit" w:cs="SBL BibLit"/>
          <w:sz w:val="24"/>
          <w:szCs w:val="24"/>
          <w:rtl/>
        </w:rPr>
        <w:t xml:space="preserve">שמשולב בפרק ב' </w:t>
      </w:r>
      <w:r w:rsidRPr="00850794">
        <w:rPr>
          <w:rFonts w:ascii="SBL BibLit" w:hAnsi="SBL BibLit" w:cs="SBL BibLit"/>
          <w:sz w:val="24"/>
          <w:szCs w:val="24"/>
          <w:rtl/>
        </w:rPr>
        <w:t xml:space="preserve">התרחש בחודש השני ואילו קרבנות הנשיאים המתוארים בפרק ז' </w:t>
      </w:r>
      <w:r w:rsidR="00BE183E" w:rsidRPr="00850794">
        <w:rPr>
          <w:rFonts w:ascii="SBL BibLit" w:hAnsi="SBL BibLit" w:cs="SBL BibLit"/>
          <w:sz w:val="24"/>
          <w:szCs w:val="24"/>
          <w:rtl/>
        </w:rPr>
        <w:t>הובאו למשכן ב</w:t>
      </w:r>
      <w:r w:rsidRPr="00850794">
        <w:rPr>
          <w:rFonts w:ascii="SBL BibLit" w:hAnsi="SBL BibLit" w:cs="SBL BibLit"/>
          <w:sz w:val="24"/>
          <w:szCs w:val="24"/>
          <w:rtl/>
        </w:rPr>
        <w:t>חודש הראשון</w:t>
      </w:r>
      <w:r w:rsidR="00BE183E" w:rsidRPr="00850794">
        <w:rPr>
          <w:rFonts w:ascii="SBL BibLit" w:hAnsi="SBL BibLit" w:cs="SBL BibLit"/>
          <w:sz w:val="24"/>
          <w:szCs w:val="24"/>
          <w:rtl/>
        </w:rPr>
        <w:t xml:space="preserve"> – כשסיים משה להקים את המשכן</w:t>
      </w:r>
      <w:r w:rsidRPr="00850794">
        <w:rPr>
          <w:rFonts w:ascii="SBL BibLit" w:hAnsi="SBL BibLit" w:cs="SBL BibLit"/>
          <w:sz w:val="24"/>
          <w:szCs w:val="24"/>
          <w:rtl/>
        </w:rPr>
        <w:t xml:space="preserve">! כיצד ידעו נשיאי השבטים להביא את קרבנותיהם </w:t>
      </w:r>
      <w:r w:rsidR="00BE183E" w:rsidRPr="00850794">
        <w:rPr>
          <w:rFonts w:ascii="SBL BibLit" w:hAnsi="SBL BibLit" w:cs="SBL BibLit"/>
          <w:sz w:val="24"/>
          <w:szCs w:val="24"/>
          <w:rtl/>
        </w:rPr>
        <w:t>בחודש הראשון לפי הסדר שייאמר לישראל רק בחודש השני</w:t>
      </w:r>
      <w:r w:rsidRPr="00850794">
        <w:rPr>
          <w:rFonts w:ascii="SBL BibLit" w:hAnsi="SBL BibLit" w:cs="SBL BibLit"/>
          <w:sz w:val="24"/>
          <w:szCs w:val="24"/>
          <w:rtl/>
        </w:rPr>
        <w:t xml:space="preserve">? </w:t>
      </w:r>
    </w:p>
    <w:p w:rsidR="003F6E2B" w:rsidRPr="00850794" w:rsidRDefault="00937A7C"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 xml:space="preserve">מסתבר שכבר </w:t>
      </w:r>
      <w:r w:rsidR="003E3FA4" w:rsidRPr="00850794">
        <w:rPr>
          <w:rFonts w:ascii="SBL BibLit" w:hAnsi="SBL BibLit" w:cs="SBL BibLit"/>
          <w:sz w:val="24"/>
          <w:szCs w:val="24"/>
          <w:rtl/>
        </w:rPr>
        <w:t>בחודש הראשון</w:t>
      </w:r>
      <w:r w:rsidRPr="00850794">
        <w:rPr>
          <w:rFonts w:ascii="SBL BibLit" w:hAnsi="SBL BibLit" w:cs="SBL BibLit"/>
          <w:sz w:val="24"/>
          <w:szCs w:val="24"/>
          <w:rtl/>
        </w:rPr>
        <w:t xml:space="preserve"> השבטים חנו לפי הסדר הנידון</w:t>
      </w:r>
      <w:r w:rsidR="003E3FA4" w:rsidRPr="00850794">
        <w:rPr>
          <w:rFonts w:ascii="SBL BibLit" w:hAnsi="SBL BibLit" w:cs="SBL BibLit"/>
          <w:sz w:val="24"/>
          <w:szCs w:val="24"/>
          <w:rtl/>
        </w:rPr>
        <w:t>, והצו האלוהי ש</w:t>
      </w:r>
      <w:r w:rsidRPr="00850794">
        <w:rPr>
          <w:rFonts w:ascii="SBL BibLit" w:hAnsi="SBL BibLit" w:cs="SBL BibLit"/>
          <w:sz w:val="24"/>
          <w:szCs w:val="24"/>
          <w:rtl/>
        </w:rPr>
        <w:t xml:space="preserve">נאמר בחודש השני ואשר </w:t>
      </w:r>
      <w:r w:rsidR="003E3FA4" w:rsidRPr="00850794">
        <w:rPr>
          <w:rFonts w:ascii="SBL BibLit" w:hAnsi="SBL BibLit" w:cs="SBL BibLit"/>
          <w:sz w:val="24"/>
          <w:szCs w:val="24"/>
          <w:rtl/>
        </w:rPr>
        <w:t>פ</w:t>
      </w:r>
      <w:r w:rsidRPr="00850794">
        <w:rPr>
          <w:rFonts w:ascii="SBL BibLit" w:hAnsi="SBL BibLit" w:cs="SBL BibLit"/>
          <w:sz w:val="24"/>
          <w:szCs w:val="24"/>
          <w:rtl/>
        </w:rPr>
        <w:t>ו</w:t>
      </w:r>
      <w:r w:rsidR="003E3FA4" w:rsidRPr="00850794">
        <w:rPr>
          <w:rFonts w:ascii="SBL BibLit" w:hAnsi="SBL BibLit" w:cs="SBL BibLit"/>
          <w:sz w:val="24"/>
          <w:szCs w:val="24"/>
          <w:rtl/>
        </w:rPr>
        <w:t xml:space="preserve">תח את הספר אינו עוסק בעצם ארגון השבטים </w:t>
      </w:r>
      <w:r w:rsidR="00283DB6" w:rsidRPr="00850794">
        <w:rPr>
          <w:rFonts w:ascii="SBL BibLit" w:hAnsi="SBL BibLit" w:cs="SBL BibLit"/>
          <w:sz w:val="24"/>
          <w:szCs w:val="24"/>
          <w:rtl/>
        </w:rPr>
        <w:t xml:space="preserve">אלא מתבסס על </w:t>
      </w:r>
      <w:r w:rsidRPr="00850794">
        <w:rPr>
          <w:rFonts w:ascii="SBL BibLit" w:hAnsi="SBL BibLit" w:cs="SBL BibLit"/>
          <w:sz w:val="24"/>
          <w:szCs w:val="24"/>
          <w:rtl/>
        </w:rPr>
        <w:t>סדר</w:t>
      </w:r>
      <w:r w:rsidR="00BE183E" w:rsidRPr="00850794">
        <w:rPr>
          <w:rFonts w:ascii="SBL BibLit" w:hAnsi="SBL BibLit" w:cs="SBL BibLit"/>
          <w:sz w:val="24"/>
          <w:szCs w:val="24"/>
          <w:rtl/>
        </w:rPr>
        <w:t xml:space="preserve"> חנייתם ודורש למנות אותם, אולם לזיקה שבין שתי רשימות השבטים האלו ולסדר הזהה שלהם משמעות מבנית, כפי שאציע להלן.</w:t>
      </w:r>
    </w:p>
    <w:p w:rsidR="001F2ED1" w:rsidRPr="00850794" w:rsidRDefault="001F2ED1" w:rsidP="00850794">
      <w:pPr>
        <w:spacing w:line="360" w:lineRule="auto"/>
        <w:jc w:val="center"/>
        <w:rPr>
          <w:rFonts w:ascii="SBL BibLit" w:hAnsi="SBL BibLit" w:cs="SBL BibLit"/>
          <w:b/>
          <w:bCs/>
          <w:sz w:val="24"/>
          <w:szCs w:val="24"/>
        </w:rPr>
      </w:pPr>
    </w:p>
    <w:p w:rsidR="001F2ED1" w:rsidRPr="00850794" w:rsidRDefault="001F2ED1" w:rsidP="00850794">
      <w:pPr>
        <w:bidi w:val="0"/>
        <w:spacing w:line="360" w:lineRule="auto"/>
        <w:jc w:val="center"/>
        <w:rPr>
          <w:rFonts w:ascii="SBL BibLit" w:hAnsi="SBL BibLit" w:cs="SBL BibLit"/>
          <w:b/>
          <w:bCs/>
          <w:sz w:val="24"/>
          <w:szCs w:val="24"/>
          <w:rtl/>
        </w:rPr>
      </w:pPr>
      <w:r w:rsidRPr="00850794">
        <w:rPr>
          <w:rFonts w:ascii="SBL BibLit" w:hAnsi="SBL BibLit" w:cs="SBL BibLit"/>
          <w:b/>
          <w:bCs/>
          <w:sz w:val="24"/>
          <w:szCs w:val="24"/>
        </w:rPr>
        <w:t>The Split Treatment of the Levites</w:t>
      </w:r>
    </w:p>
    <w:p w:rsidR="00283DB6" w:rsidRPr="00850794" w:rsidRDefault="00283DB6"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שנית, משלל הזיקות שקיימות בין פרשיות שונות בחטיבה הנידונה, יש לשים לב במיוחד לזיקה שבין שתי הפרשיות המוקדשות ללווים. התחושה היא שמדובר בפרשה אחת שפוצלה לשתיים ושולבה בשני מקומות שונים לאורך החטיבה. השוואה מהירה תבהיר דבר זה:</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4500"/>
      </w:tblGrid>
      <w:tr w:rsidR="00283DB6" w:rsidRPr="00850794" w:rsidTr="00322D7D">
        <w:tc>
          <w:tcPr>
            <w:tcW w:w="3796" w:type="dxa"/>
          </w:tcPr>
          <w:p w:rsidR="00283DB6" w:rsidRPr="00850794" w:rsidRDefault="00322D7D" w:rsidP="00322D7D">
            <w:pPr>
              <w:spacing w:line="360" w:lineRule="auto"/>
              <w:jc w:val="center"/>
              <w:rPr>
                <w:rFonts w:ascii="SBL BibLit" w:hAnsi="SBL BibLit" w:cs="SBL BibLit"/>
                <w:b/>
                <w:bCs/>
                <w:sz w:val="24"/>
                <w:szCs w:val="24"/>
                <w:rtl/>
              </w:rPr>
            </w:pPr>
            <w:r w:rsidRPr="00850794">
              <w:rPr>
                <w:rFonts w:ascii="SBL BibLit" w:hAnsi="SBL BibLit" w:cs="SBL BibLit"/>
                <w:b/>
                <w:bCs/>
                <w:sz w:val="24"/>
                <w:szCs w:val="24"/>
              </w:rPr>
              <w:t>Num 8:16-19</w:t>
            </w:r>
          </w:p>
        </w:tc>
        <w:tc>
          <w:tcPr>
            <w:tcW w:w="4500" w:type="dxa"/>
          </w:tcPr>
          <w:p w:rsidR="00283DB6" w:rsidRPr="00850794" w:rsidRDefault="00322D7D" w:rsidP="00850794">
            <w:pPr>
              <w:bidi w:val="0"/>
              <w:spacing w:line="360" w:lineRule="auto"/>
              <w:jc w:val="center"/>
              <w:rPr>
                <w:rFonts w:ascii="SBL BibLit" w:hAnsi="SBL BibLit" w:cs="SBL BibLit"/>
                <w:b/>
                <w:bCs/>
                <w:sz w:val="24"/>
                <w:szCs w:val="24"/>
                <w:rtl/>
              </w:rPr>
            </w:pPr>
            <w:r w:rsidRPr="00850794">
              <w:rPr>
                <w:rFonts w:ascii="SBL BibLit" w:hAnsi="SBL BibLit" w:cs="SBL BibLit"/>
                <w:b/>
                <w:bCs/>
                <w:sz w:val="24"/>
                <w:szCs w:val="24"/>
              </w:rPr>
              <w:t>Num 3:9-13</w:t>
            </w:r>
          </w:p>
        </w:tc>
      </w:tr>
      <w:tr w:rsidR="00283DB6" w:rsidRPr="00850794" w:rsidTr="00322D7D">
        <w:tc>
          <w:tcPr>
            <w:tcW w:w="3796" w:type="dxa"/>
          </w:tcPr>
          <w:p w:rsidR="00322D7D" w:rsidRDefault="00322D7D" w:rsidP="00850794">
            <w:pPr>
              <w:spacing w:line="360" w:lineRule="auto"/>
              <w:jc w:val="both"/>
              <w:rPr>
                <w:rFonts w:ascii="SBL BibLit" w:hAnsi="SBL BibLit" w:cs="SBL BibLit"/>
                <w:sz w:val="24"/>
                <w:szCs w:val="24"/>
                <w:rtl/>
              </w:rPr>
            </w:pPr>
            <w:r w:rsidRPr="00322D7D">
              <w:rPr>
                <w:rFonts w:ascii="SBL BibLit" w:hAnsi="SBL BibLit" w:cs="SBL BibLit" w:hint="cs"/>
                <w:sz w:val="24"/>
                <w:szCs w:val="24"/>
                <w:vertAlign w:val="superscript"/>
                <w:rtl/>
              </w:rPr>
              <w:lastRenderedPageBreak/>
              <w:t>ח:טז</w:t>
            </w:r>
            <w:r>
              <w:rPr>
                <w:rFonts w:ascii="SBL BibLit" w:hAnsi="SBL BibLit" w:cs="SBL BibLit" w:hint="cs"/>
                <w:sz w:val="24"/>
                <w:szCs w:val="24"/>
                <w:rtl/>
              </w:rPr>
              <w:t xml:space="preserve"> </w:t>
            </w:r>
            <w:r w:rsidRPr="00850794">
              <w:rPr>
                <w:rFonts w:ascii="SBL BibLit" w:hAnsi="SBL BibLit" w:cs="SBL BibLit"/>
                <w:sz w:val="24"/>
                <w:szCs w:val="24"/>
                <w:rtl/>
              </w:rPr>
              <w:t xml:space="preserve">כִּי </w:t>
            </w:r>
            <w:r w:rsidRPr="00821D62">
              <w:rPr>
                <w:rFonts w:ascii="SBL BibLit" w:hAnsi="SBL BibLit" w:cs="SBL BibLit"/>
                <w:b/>
                <w:bCs/>
                <w:sz w:val="24"/>
                <w:szCs w:val="24"/>
                <w:rtl/>
              </w:rPr>
              <w:t>נְתֻנִים נְתֻנִים הֵמָּה</w:t>
            </w:r>
            <w:r w:rsidRPr="00850794">
              <w:rPr>
                <w:rFonts w:ascii="SBL BibLit" w:hAnsi="SBL BibLit" w:cs="SBL BibLit"/>
                <w:sz w:val="24"/>
                <w:szCs w:val="24"/>
                <w:rtl/>
              </w:rPr>
              <w:t xml:space="preserve"> לִי </w:t>
            </w:r>
            <w:r w:rsidRPr="00821D62">
              <w:rPr>
                <w:rFonts w:ascii="SBL BibLit" w:hAnsi="SBL BibLit" w:cs="SBL BibLit"/>
                <w:b/>
                <w:bCs/>
                <w:sz w:val="24"/>
                <w:szCs w:val="24"/>
                <w:rtl/>
              </w:rPr>
              <w:t>מִתּוֹךְ בְּנֵי יִשְׂרָאֵל</w:t>
            </w:r>
            <w:r w:rsidRPr="00850794">
              <w:rPr>
                <w:rFonts w:ascii="SBL BibLit" w:hAnsi="SBL BibLit" w:cs="SBL BibLit"/>
                <w:sz w:val="24"/>
                <w:szCs w:val="24"/>
                <w:rtl/>
              </w:rPr>
              <w:t xml:space="preserve"> תַּחַת פִּטְרַת כָּל רֶחֶם בְּכוֹר כֹּל מִבְּנֵי יִשְׂרָאֵל </w:t>
            </w:r>
            <w:r w:rsidRPr="00821D62">
              <w:rPr>
                <w:rFonts w:ascii="SBL BibLit" w:hAnsi="SBL BibLit" w:cs="SBL BibLit"/>
                <w:b/>
                <w:bCs/>
                <w:sz w:val="24"/>
                <w:szCs w:val="24"/>
                <w:rtl/>
              </w:rPr>
              <w:t>לָקַחְתִּי</w:t>
            </w:r>
            <w:r w:rsidRPr="00850794">
              <w:rPr>
                <w:rFonts w:ascii="SBL BibLit" w:hAnsi="SBL BibLit" w:cs="SBL BibLit"/>
                <w:sz w:val="24"/>
                <w:szCs w:val="24"/>
                <w:rtl/>
              </w:rPr>
              <w:t xml:space="preserve"> אֹתָם לִי.</w:t>
            </w:r>
            <w:r>
              <w:rPr>
                <w:rStyle w:val="FootnoteReference"/>
                <w:rFonts w:ascii="SBL BibLit" w:hAnsi="SBL BibLit" w:cs="SBL BibLit"/>
                <w:sz w:val="24"/>
                <w:szCs w:val="24"/>
                <w:rtl/>
              </w:rPr>
              <w:footnoteReference w:id="5"/>
            </w:r>
          </w:p>
          <w:p w:rsidR="00283DB6" w:rsidRPr="00850794" w:rsidRDefault="00283DB6" w:rsidP="00850794">
            <w:pPr>
              <w:spacing w:line="360" w:lineRule="auto"/>
              <w:jc w:val="both"/>
              <w:rPr>
                <w:rFonts w:ascii="SBL BibLit" w:hAnsi="SBL BibLit" w:cs="SBL BibLit"/>
                <w:sz w:val="24"/>
                <w:szCs w:val="24"/>
                <w:rtl/>
              </w:rPr>
            </w:pPr>
          </w:p>
        </w:tc>
        <w:tc>
          <w:tcPr>
            <w:tcW w:w="4500" w:type="dxa"/>
          </w:tcPr>
          <w:p w:rsidR="00283DB6" w:rsidRPr="00850794" w:rsidRDefault="00322D7D" w:rsidP="00850794">
            <w:pPr>
              <w:spacing w:line="360" w:lineRule="auto"/>
              <w:jc w:val="both"/>
              <w:rPr>
                <w:rFonts w:ascii="SBL BibLit" w:hAnsi="SBL BibLit" w:cs="SBL BibLit"/>
                <w:sz w:val="24"/>
                <w:szCs w:val="24"/>
                <w:rtl/>
              </w:rPr>
            </w:pPr>
            <w:r w:rsidRPr="00322D7D">
              <w:rPr>
                <w:rFonts w:ascii="SBL BibLit" w:hAnsi="SBL BibLit" w:cs="SBL BibLit" w:hint="cs"/>
                <w:sz w:val="24"/>
                <w:szCs w:val="24"/>
                <w:vertAlign w:val="superscript"/>
                <w:rtl/>
              </w:rPr>
              <w:t>ג:ט</w:t>
            </w:r>
            <w:r>
              <w:rPr>
                <w:rFonts w:ascii="SBL BibLit" w:hAnsi="SBL BibLit" w:cs="SBL BibLit" w:hint="cs"/>
                <w:sz w:val="24"/>
                <w:szCs w:val="24"/>
                <w:rtl/>
              </w:rPr>
              <w:t xml:space="preserve"> </w:t>
            </w:r>
            <w:r w:rsidRPr="00850794">
              <w:rPr>
                <w:rFonts w:ascii="SBL BibLit" w:hAnsi="SBL BibLit" w:cs="SBL BibLit"/>
                <w:sz w:val="24"/>
                <w:szCs w:val="24"/>
                <w:rtl/>
              </w:rPr>
              <w:t xml:space="preserve">וְנָתַתָּה אֶת הַלְוִיִּם לְאַהֲרֹן וּלְבָנָיו </w:t>
            </w:r>
            <w:r w:rsidRPr="00821D62">
              <w:rPr>
                <w:rFonts w:ascii="SBL BibLit" w:hAnsi="SBL BibLit" w:cs="SBL BibLit"/>
                <w:b/>
                <w:bCs/>
                <w:sz w:val="24"/>
                <w:szCs w:val="24"/>
                <w:rtl/>
              </w:rPr>
              <w:t>נְתוּנִם נְתוּנִם הֵמָּה</w:t>
            </w:r>
            <w:r w:rsidRPr="00850794">
              <w:rPr>
                <w:rFonts w:ascii="SBL BibLit" w:hAnsi="SBL BibLit" w:cs="SBL BibLit"/>
                <w:sz w:val="24"/>
                <w:szCs w:val="24"/>
                <w:rtl/>
              </w:rPr>
              <w:t xml:space="preserve"> לוֹ מֵאֵת בְּנֵי יִשְׂרָאֵל... </w:t>
            </w:r>
            <w:r w:rsidRPr="00322D7D">
              <w:rPr>
                <w:rFonts w:ascii="SBL BibLit" w:hAnsi="SBL BibLit" w:cs="SBL BibLit" w:hint="cs"/>
                <w:sz w:val="24"/>
                <w:szCs w:val="24"/>
                <w:vertAlign w:val="superscript"/>
                <w:rtl/>
              </w:rPr>
              <w:t>ג:יב</w:t>
            </w:r>
            <w:r>
              <w:rPr>
                <w:rFonts w:ascii="SBL BibLit" w:hAnsi="SBL BibLit" w:cs="SBL BibLit" w:hint="cs"/>
                <w:sz w:val="24"/>
                <w:szCs w:val="24"/>
                <w:rtl/>
              </w:rPr>
              <w:t xml:space="preserve"> </w:t>
            </w:r>
            <w:r w:rsidRPr="00850794">
              <w:rPr>
                <w:rFonts w:ascii="SBL BibLit" w:hAnsi="SBL BibLit" w:cs="SBL BibLit"/>
                <w:sz w:val="24"/>
                <w:szCs w:val="24"/>
                <w:rtl/>
              </w:rPr>
              <w:t xml:space="preserve">וַאֲנִי הִנֵּה </w:t>
            </w:r>
            <w:r w:rsidRPr="00821D62">
              <w:rPr>
                <w:rFonts w:ascii="SBL BibLit" w:hAnsi="SBL BibLit" w:cs="SBL BibLit"/>
                <w:b/>
                <w:bCs/>
                <w:sz w:val="24"/>
                <w:szCs w:val="24"/>
                <w:rtl/>
              </w:rPr>
              <w:t>לָקַחְתִּי</w:t>
            </w:r>
            <w:r w:rsidRPr="00850794">
              <w:rPr>
                <w:rFonts w:ascii="SBL BibLit" w:hAnsi="SBL BibLit" w:cs="SBL BibLit"/>
                <w:sz w:val="24"/>
                <w:szCs w:val="24"/>
                <w:rtl/>
              </w:rPr>
              <w:t xml:space="preserve"> אֶת הַלְוִיִּם </w:t>
            </w:r>
            <w:r w:rsidRPr="00821D62">
              <w:rPr>
                <w:rFonts w:ascii="SBL BibLit" w:hAnsi="SBL BibLit" w:cs="SBL BibLit"/>
                <w:b/>
                <w:bCs/>
                <w:sz w:val="24"/>
                <w:szCs w:val="24"/>
                <w:rtl/>
              </w:rPr>
              <w:t>מִתּוֹךְ בְּנֵי יִשְׂרָאֵל</w:t>
            </w:r>
            <w:r w:rsidRPr="00850794">
              <w:rPr>
                <w:rFonts w:ascii="SBL BibLit" w:hAnsi="SBL BibLit" w:cs="SBL BibLit"/>
                <w:sz w:val="24"/>
                <w:szCs w:val="24"/>
                <w:rtl/>
              </w:rPr>
              <w:t xml:space="preserve"> תַּחַת כָּל בְּכוֹר פֶּטֶר רֶחֶם מִבְּנֵי יִשְׂרָאֵל וְהָיוּ לִי הַלְוִיִּם.</w:t>
            </w:r>
          </w:p>
        </w:tc>
      </w:tr>
      <w:tr w:rsidR="00283DB6" w:rsidRPr="00850794" w:rsidTr="00322D7D">
        <w:tc>
          <w:tcPr>
            <w:tcW w:w="3796" w:type="dxa"/>
          </w:tcPr>
          <w:p w:rsidR="00283DB6" w:rsidRPr="00322D7D" w:rsidRDefault="00322D7D" w:rsidP="00322D7D">
            <w:pPr>
              <w:spacing w:line="360" w:lineRule="auto"/>
              <w:jc w:val="both"/>
              <w:rPr>
                <w:rFonts w:ascii="SBL BibLit" w:hAnsi="SBL BibLit" w:cs="SBL BibLit"/>
                <w:b/>
                <w:bCs/>
                <w:sz w:val="24"/>
                <w:szCs w:val="24"/>
                <w:rtl/>
              </w:rPr>
            </w:pPr>
            <w:r w:rsidRPr="00322D7D">
              <w:rPr>
                <w:rFonts w:ascii="SBL BibLit" w:hAnsi="SBL BibLit" w:cs="SBL BibLit" w:hint="cs"/>
                <w:sz w:val="24"/>
                <w:szCs w:val="24"/>
                <w:vertAlign w:val="superscript"/>
                <w:rtl/>
              </w:rPr>
              <w:t>ח:יז</w:t>
            </w:r>
            <w:r>
              <w:rPr>
                <w:rFonts w:ascii="SBL BibLit" w:hAnsi="SBL BibLit" w:cs="SBL BibLit" w:hint="cs"/>
                <w:b/>
                <w:bCs/>
                <w:sz w:val="24"/>
                <w:szCs w:val="24"/>
                <w:rtl/>
              </w:rPr>
              <w:t xml:space="preserve"> </w:t>
            </w:r>
            <w:r w:rsidRPr="00821D62">
              <w:rPr>
                <w:rFonts w:ascii="SBL BibLit" w:hAnsi="SBL BibLit" w:cs="SBL BibLit"/>
                <w:b/>
                <w:bCs/>
                <w:sz w:val="24"/>
                <w:szCs w:val="24"/>
                <w:rtl/>
              </w:rPr>
              <w:t>כִּי לִי כָל בְּכוֹר</w:t>
            </w:r>
            <w:r w:rsidRPr="00850794">
              <w:rPr>
                <w:rFonts w:ascii="SBL BibLit" w:hAnsi="SBL BibLit" w:cs="SBL BibLit"/>
                <w:sz w:val="24"/>
                <w:szCs w:val="24"/>
                <w:rtl/>
              </w:rPr>
              <w:t xml:space="preserve"> בִּבְנֵי יִשְׂרָאֵל בָּאָדָם וּבַבְּהֵמָה </w:t>
            </w:r>
            <w:r w:rsidRPr="00821D62">
              <w:rPr>
                <w:rFonts w:ascii="SBL BibLit" w:hAnsi="SBL BibLit" w:cs="SBL BibLit"/>
                <w:b/>
                <w:bCs/>
                <w:sz w:val="24"/>
                <w:szCs w:val="24"/>
                <w:rtl/>
              </w:rPr>
              <w:t>בְּיוֹם הַכֹּתִי כָל בְּכוֹר בְּאֶרֶץ מִצְרַיִם הִקְדַּשְׁתִּי</w:t>
            </w:r>
            <w:r w:rsidRPr="00850794">
              <w:rPr>
                <w:rFonts w:ascii="SBL BibLit" w:hAnsi="SBL BibLit" w:cs="SBL BibLit"/>
                <w:sz w:val="24"/>
                <w:szCs w:val="24"/>
                <w:rtl/>
              </w:rPr>
              <w:t xml:space="preserve"> אֹתָם לִי.</w:t>
            </w:r>
          </w:p>
        </w:tc>
        <w:tc>
          <w:tcPr>
            <w:tcW w:w="4500" w:type="dxa"/>
          </w:tcPr>
          <w:p w:rsidR="00283DB6" w:rsidRPr="00850794" w:rsidRDefault="00322D7D" w:rsidP="00850794">
            <w:pPr>
              <w:spacing w:line="360" w:lineRule="auto"/>
              <w:jc w:val="both"/>
              <w:rPr>
                <w:rFonts w:ascii="SBL BibLit" w:hAnsi="SBL BibLit" w:cs="SBL BibLit"/>
                <w:sz w:val="24"/>
                <w:szCs w:val="24"/>
                <w:rtl/>
              </w:rPr>
            </w:pPr>
            <w:r w:rsidRPr="00322D7D">
              <w:rPr>
                <w:rFonts w:ascii="SBL BibLit" w:hAnsi="SBL BibLit" w:cs="SBL BibLit" w:hint="cs"/>
                <w:sz w:val="24"/>
                <w:szCs w:val="24"/>
                <w:vertAlign w:val="superscript"/>
                <w:rtl/>
              </w:rPr>
              <w:t>ג:יג</w:t>
            </w:r>
            <w:r>
              <w:rPr>
                <w:rFonts w:ascii="SBL BibLit" w:hAnsi="SBL BibLit" w:cs="SBL BibLit" w:hint="cs"/>
                <w:b/>
                <w:bCs/>
                <w:sz w:val="24"/>
                <w:szCs w:val="24"/>
                <w:rtl/>
              </w:rPr>
              <w:t xml:space="preserve"> </w:t>
            </w:r>
            <w:r w:rsidRPr="00821D62">
              <w:rPr>
                <w:rFonts w:ascii="SBL BibLit" w:hAnsi="SBL BibLit" w:cs="SBL BibLit"/>
                <w:b/>
                <w:bCs/>
                <w:sz w:val="24"/>
                <w:szCs w:val="24"/>
                <w:rtl/>
              </w:rPr>
              <w:t>כִּי לִי כָּל בְּכוֹר</w:t>
            </w:r>
            <w:r w:rsidRPr="00850794">
              <w:rPr>
                <w:rFonts w:ascii="SBL BibLit" w:hAnsi="SBL BibLit" w:cs="SBL BibLit"/>
                <w:sz w:val="24"/>
                <w:szCs w:val="24"/>
                <w:rtl/>
              </w:rPr>
              <w:t xml:space="preserve"> </w:t>
            </w:r>
            <w:r w:rsidRPr="00821D62">
              <w:rPr>
                <w:rFonts w:ascii="SBL BibLit" w:hAnsi="SBL BibLit" w:cs="SBL BibLit"/>
                <w:b/>
                <w:bCs/>
                <w:sz w:val="24"/>
                <w:szCs w:val="24"/>
                <w:rtl/>
              </w:rPr>
              <w:t>בְּיוֹם הַכֹּתִי כָל בְּכוֹר בְּאֶרֶץ מִצְרַיִם הִקְדַּשְׁתִּי</w:t>
            </w:r>
            <w:r w:rsidRPr="00850794">
              <w:rPr>
                <w:rFonts w:ascii="SBL BibLit" w:hAnsi="SBL BibLit" w:cs="SBL BibLit"/>
                <w:sz w:val="24"/>
                <w:szCs w:val="24"/>
                <w:rtl/>
              </w:rPr>
              <w:t xml:space="preserve"> לִי כָל בְּכוֹר בְּיִשְׂרָאֵל </w:t>
            </w:r>
            <w:r w:rsidRPr="00850794">
              <w:rPr>
                <w:rFonts w:ascii="SBL BibLit" w:hAnsi="SBL BibLit" w:cs="SBL BibLit"/>
                <w:color w:val="222222"/>
                <w:sz w:val="24"/>
                <w:szCs w:val="24"/>
                <w:shd w:val="clear" w:color="auto" w:fill="FFFFFF"/>
                <w:rtl/>
              </w:rPr>
              <w:t>מֵאָדָם עַד בְּהֵמָה לִי יִהְיוּ אֲנִי יְהוָה</w:t>
            </w:r>
            <w:r w:rsidRPr="00850794">
              <w:rPr>
                <w:rFonts w:ascii="SBL BibLit" w:hAnsi="SBL BibLit" w:cs="SBL BibLit"/>
                <w:color w:val="222222"/>
                <w:sz w:val="24"/>
                <w:szCs w:val="24"/>
                <w:shd w:val="clear" w:color="auto" w:fill="FFFFFF"/>
              </w:rPr>
              <w:t>.</w:t>
            </w:r>
          </w:p>
        </w:tc>
      </w:tr>
      <w:tr w:rsidR="00850794" w:rsidRPr="00850794" w:rsidTr="00322D7D">
        <w:tc>
          <w:tcPr>
            <w:tcW w:w="3796" w:type="dxa"/>
          </w:tcPr>
          <w:p w:rsidR="00850794" w:rsidRPr="00322D7D" w:rsidRDefault="00322D7D" w:rsidP="00322D7D">
            <w:pPr>
              <w:autoSpaceDE w:val="0"/>
              <w:autoSpaceDN w:val="0"/>
              <w:bidi w:val="0"/>
              <w:adjustRightInd w:val="0"/>
              <w:spacing w:line="360" w:lineRule="auto"/>
              <w:rPr>
                <w:rFonts w:ascii="SBL BibLit" w:hAnsi="SBL BibLit" w:cs="SBL BibLit"/>
                <w:sz w:val="24"/>
                <w:szCs w:val="24"/>
                <w:vertAlign w:val="superscript"/>
                <w:rtl/>
              </w:rPr>
            </w:pPr>
            <w:r w:rsidRPr="00850794">
              <w:rPr>
                <w:rFonts w:ascii="SBL BibLit" w:hAnsi="SBL BibLit" w:cs="SBL BibLit"/>
                <w:sz w:val="24"/>
                <w:szCs w:val="24"/>
                <w:vertAlign w:val="superscript"/>
              </w:rPr>
              <w:t>8:16</w:t>
            </w:r>
            <w:r w:rsidRPr="00850794">
              <w:rPr>
                <w:rFonts w:ascii="SBL BibLit" w:hAnsi="SBL BibLit" w:cs="SBL BibLit"/>
                <w:sz w:val="24"/>
                <w:szCs w:val="24"/>
              </w:rPr>
              <w:t xml:space="preserve"> For they are formally assigned to Me from among the Israelites: I have taken them for Myself in place of all the first issue of the womb, of all the first-born of the Israelites.</w:t>
            </w:r>
          </w:p>
        </w:tc>
        <w:tc>
          <w:tcPr>
            <w:tcW w:w="4500" w:type="dxa"/>
          </w:tcPr>
          <w:p w:rsidR="00850794" w:rsidRPr="00850794" w:rsidRDefault="00322D7D" w:rsidP="00850794">
            <w:pPr>
              <w:bidi w:val="0"/>
              <w:spacing w:line="360" w:lineRule="auto"/>
              <w:jc w:val="both"/>
              <w:rPr>
                <w:rFonts w:ascii="SBL BibLit" w:hAnsi="SBL BibLit" w:cs="SBL BibLit"/>
                <w:sz w:val="24"/>
                <w:szCs w:val="24"/>
                <w:rtl/>
              </w:rPr>
            </w:pPr>
            <w:r w:rsidRPr="00850794">
              <w:rPr>
                <w:rFonts w:ascii="SBL BibLit" w:hAnsi="SBL BibLit" w:cs="SBL BibLit"/>
                <w:sz w:val="24"/>
                <w:szCs w:val="24"/>
                <w:vertAlign w:val="superscript"/>
              </w:rPr>
              <w:t>3:9</w:t>
            </w:r>
            <w:r w:rsidRPr="00850794">
              <w:rPr>
                <w:rFonts w:ascii="SBL BibLit" w:hAnsi="SBL BibLit" w:cs="SBL BibLit"/>
                <w:sz w:val="24"/>
                <w:szCs w:val="24"/>
              </w:rPr>
              <w:t xml:space="preserve"> You shall assign the Levites to Aaron and to his sons: they are formally assigned to him from among the Israelites… </w:t>
            </w:r>
            <w:r w:rsidRPr="00850794">
              <w:rPr>
                <w:rFonts w:ascii="SBL BibLit" w:hAnsi="SBL BibLit" w:cs="SBL BibLit"/>
                <w:sz w:val="24"/>
                <w:szCs w:val="24"/>
                <w:vertAlign w:val="superscript"/>
              </w:rPr>
              <w:t>3:12</w:t>
            </w:r>
            <w:r w:rsidRPr="00850794">
              <w:rPr>
                <w:rFonts w:ascii="SBL BibLit" w:hAnsi="SBL BibLit" w:cs="SBL BibLit"/>
                <w:sz w:val="24"/>
                <w:szCs w:val="24"/>
              </w:rPr>
              <w:t xml:space="preserve"> I hereby take the Levites from among the Israelites in place of all the first-born, the first issue of the womb among the Israeli</w:t>
            </w:r>
            <w:r>
              <w:rPr>
                <w:rFonts w:ascii="SBL BibLit" w:hAnsi="SBL BibLit" w:cs="SBL BibLit"/>
                <w:sz w:val="24"/>
                <w:szCs w:val="24"/>
              </w:rPr>
              <w:t>tes: the Levites shall be Mine.</w:t>
            </w:r>
          </w:p>
        </w:tc>
      </w:tr>
      <w:tr w:rsidR="00850794" w:rsidRPr="00850794" w:rsidTr="00322D7D">
        <w:tc>
          <w:tcPr>
            <w:tcW w:w="3796" w:type="dxa"/>
          </w:tcPr>
          <w:p w:rsidR="00850794" w:rsidRPr="00322D7D" w:rsidRDefault="00322D7D" w:rsidP="00322D7D">
            <w:pPr>
              <w:bidi w:val="0"/>
              <w:spacing w:line="360" w:lineRule="auto"/>
              <w:jc w:val="both"/>
              <w:rPr>
                <w:rFonts w:ascii="SBL BibLit" w:hAnsi="SBL BibLit" w:cs="SBL BibLit"/>
                <w:sz w:val="24"/>
                <w:szCs w:val="24"/>
                <w:vertAlign w:val="superscript"/>
                <w:rtl/>
              </w:rPr>
            </w:pPr>
            <w:r w:rsidRPr="00850794">
              <w:rPr>
                <w:rFonts w:ascii="SBL BibLit" w:hAnsi="SBL BibLit" w:cs="SBL BibLit"/>
                <w:sz w:val="24"/>
                <w:szCs w:val="24"/>
                <w:vertAlign w:val="superscript"/>
              </w:rPr>
              <w:t>8:17</w:t>
            </w:r>
            <w:r w:rsidRPr="00850794">
              <w:rPr>
                <w:rFonts w:ascii="SBL BibLit" w:hAnsi="SBL BibLit" w:cs="SBL BibLit"/>
                <w:sz w:val="24"/>
                <w:szCs w:val="24"/>
              </w:rPr>
              <w:t xml:space="preserve"> For e</w:t>
            </w:r>
            <w:bookmarkStart w:id="0" w:name="_GoBack"/>
            <w:bookmarkEnd w:id="0"/>
            <w:r w:rsidRPr="00850794">
              <w:rPr>
                <w:rFonts w:ascii="SBL BibLit" w:hAnsi="SBL BibLit" w:cs="SBL BibLit"/>
                <w:sz w:val="24"/>
                <w:szCs w:val="24"/>
              </w:rPr>
              <w:t>very first-born among the Israelites, man as well as beast, is Mine; I consecrated them to Myself at the time that I smote every first-born in the land of Egypt.</w:t>
            </w:r>
          </w:p>
        </w:tc>
        <w:tc>
          <w:tcPr>
            <w:tcW w:w="4500" w:type="dxa"/>
          </w:tcPr>
          <w:p w:rsidR="00850794" w:rsidRPr="00850794" w:rsidRDefault="00322D7D" w:rsidP="00850794">
            <w:pPr>
              <w:bidi w:val="0"/>
              <w:spacing w:line="360" w:lineRule="auto"/>
              <w:jc w:val="both"/>
              <w:rPr>
                <w:rFonts w:ascii="SBL BibLit" w:hAnsi="SBL BibLit" w:cs="SBL BibLit"/>
                <w:sz w:val="24"/>
                <w:szCs w:val="24"/>
              </w:rPr>
            </w:pPr>
            <w:r w:rsidRPr="00850794">
              <w:rPr>
                <w:rFonts w:ascii="SBL BibLit" w:hAnsi="SBL BibLit" w:cs="SBL BibLit"/>
                <w:sz w:val="24"/>
                <w:szCs w:val="24"/>
                <w:vertAlign w:val="superscript"/>
              </w:rPr>
              <w:t>3:13</w:t>
            </w:r>
            <w:r w:rsidRPr="00850794">
              <w:rPr>
                <w:rFonts w:ascii="SBL BibLit" w:hAnsi="SBL BibLit" w:cs="SBL BibLit"/>
                <w:sz w:val="24"/>
                <w:szCs w:val="24"/>
              </w:rPr>
              <w:t xml:space="preserve"> For every first-born is Mine: at the time that I smote every first-born in the land of Egypt, I consecrated every first-born in Israel, man and beast, to Myself, to be Mine, the LORD</w:t>
            </w:r>
            <w:r>
              <w:rPr>
                <w:rFonts w:ascii="SBL BibLit" w:hAnsi="SBL BibLit" w:cs="SBL BibLit"/>
                <w:sz w:val="24"/>
                <w:szCs w:val="24"/>
              </w:rPr>
              <w:t>’</w:t>
            </w:r>
            <w:r w:rsidRPr="00850794">
              <w:rPr>
                <w:rFonts w:ascii="SBL BibLit" w:hAnsi="SBL BibLit" w:cs="SBL BibLit"/>
                <w:sz w:val="24"/>
                <w:szCs w:val="24"/>
              </w:rPr>
              <w:t>s.</w:t>
            </w:r>
          </w:p>
        </w:tc>
      </w:tr>
    </w:tbl>
    <w:p w:rsidR="00283DB6" w:rsidRPr="00850794" w:rsidRDefault="00283DB6" w:rsidP="00850794">
      <w:pPr>
        <w:spacing w:line="360" w:lineRule="auto"/>
        <w:jc w:val="both"/>
        <w:rPr>
          <w:rFonts w:ascii="SBL BibLit" w:hAnsi="SBL BibLit" w:cs="SBL BibLit"/>
          <w:sz w:val="24"/>
          <w:szCs w:val="24"/>
          <w:rtl/>
        </w:rPr>
      </w:pPr>
    </w:p>
    <w:p w:rsidR="00283DB6" w:rsidRPr="00850794" w:rsidRDefault="00E61034"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lastRenderedPageBreak/>
        <w:t>ההפתעה הגדולה היא עצם שילוב פרשת חינוך הלויים בפרק ח'. על פניו, מתאים היה לשלב את הכשרת הלויים לעבודתם בפרקים ג'-ד' שמוקדשים למעמד הלויים, למפקדם ולתפקידם, ואכן, כפי שנראה מהטבלה</w:t>
      </w:r>
      <w:r w:rsidR="00755C8F" w:rsidRPr="00850794">
        <w:rPr>
          <w:rFonts w:ascii="SBL BibLit" w:hAnsi="SBL BibLit" w:cs="SBL BibLit"/>
          <w:sz w:val="24"/>
          <w:szCs w:val="24"/>
          <w:rtl/>
        </w:rPr>
        <w:t xml:space="preserve"> שלעיל, אכן כבר בפרק ג' התהליך </w:t>
      </w:r>
      <w:r w:rsidRPr="00850794">
        <w:rPr>
          <w:rFonts w:ascii="SBL BibLit" w:hAnsi="SBL BibLit" w:cs="SBL BibLit"/>
          <w:sz w:val="24"/>
          <w:szCs w:val="24"/>
          <w:rtl/>
        </w:rPr>
        <w:t>נרמז, אך התיאור המורחב של לקיחת הלויים ונתינתם לכוהנים נדחתה משום מה לפרק ח'.</w:t>
      </w:r>
      <w:r w:rsidR="00755C8F" w:rsidRPr="00850794">
        <w:rPr>
          <w:rFonts w:ascii="SBL BibLit" w:hAnsi="SBL BibLit" w:cs="SBL BibLit"/>
          <w:sz w:val="24"/>
          <w:szCs w:val="24"/>
          <w:rtl/>
        </w:rPr>
        <w:t xml:space="preserve"> לשון אחר, בפרק ג' מצטווה משה 'לקחת' את הלוויים (ג', 45) אך כיצד תתבצע 'לקיחה' זו מבואר רק בפרק ח'.</w:t>
      </w:r>
    </w:p>
    <w:p w:rsidR="00241AD4" w:rsidRPr="00850794" w:rsidRDefault="00241AD4" w:rsidP="00850794">
      <w:pPr>
        <w:bidi w:val="0"/>
        <w:spacing w:line="360" w:lineRule="auto"/>
        <w:jc w:val="center"/>
        <w:rPr>
          <w:rFonts w:ascii="SBL BibLit" w:hAnsi="SBL BibLit" w:cs="SBL BibLit"/>
          <w:b/>
          <w:bCs/>
          <w:sz w:val="24"/>
          <w:szCs w:val="24"/>
        </w:rPr>
      </w:pPr>
      <w:r w:rsidRPr="00850794">
        <w:rPr>
          <w:rFonts w:ascii="SBL BibLit" w:hAnsi="SBL BibLit" w:cs="SBL BibLit"/>
          <w:b/>
          <w:bCs/>
          <w:sz w:val="24"/>
          <w:szCs w:val="24"/>
        </w:rPr>
        <w:t>Condren’s Solution: Two Textual Blocks in Reverse Order</w:t>
      </w:r>
    </w:p>
    <w:p w:rsidR="00241AD4" w:rsidRPr="00850794" w:rsidRDefault="00893CE3"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על רקע ש</w:t>
      </w:r>
      <w:r w:rsidR="00241AD4" w:rsidRPr="00850794">
        <w:rPr>
          <w:rFonts w:ascii="SBL BibLit" w:hAnsi="SBL BibLit" w:cs="SBL BibLit"/>
          <w:sz w:val="24"/>
          <w:szCs w:val="24"/>
          <w:rtl/>
        </w:rPr>
        <w:t>לש</w:t>
      </w:r>
      <w:r w:rsidRPr="00850794">
        <w:rPr>
          <w:rFonts w:ascii="SBL BibLit" w:hAnsi="SBL BibLit" w:cs="SBL BibLit"/>
          <w:sz w:val="24"/>
          <w:szCs w:val="24"/>
          <w:rtl/>
        </w:rPr>
        <w:t xml:space="preserve"> היסודות הללו – סדר השבטים ודחיית הכשרת הלויים עד לפרק ח' – </w:t>
      </w:r>
      <w:r w:rsidR="0011496D" w:rsidRPr="00850794">
        <w:rPr>
          <w:rFonts w:ascii="SBL BibLit" w:hAnsi="SBL BibLit" w:cs="SBL BibLit"/>
          <w:sz w:val="24"/>
          <w:szCs w:val="24"/>
          <w:rtl/>
        </w:rPr>
        <w:t xml:space="preserve">הציע </w:t>
      </w:r>
      <w:r w:rsidR="00A1688C" w:rsidRPr="00850794">
        <w:rPr>
          <w:rFonts w:ascii="SBL BibLit" w:hAnsi="SBL BibLit" w:cs="SBL BibLit"/>
          <w:sz w:val="24"/>
          <w:szCs w:val="24"/>
          <w:rtl/>
        </w:rPr>
        <w:t>קונדרן</w:t>
      </w:r>
      <w:r w:rsidR="0011496D" w:rsidRPr="00850794">
        <w:rPr>
          <w:rFonts w:ascii="SBL BibLit" w:hAnsi="SBL BibLit" w:cs="SBL BibLit"/>
          <w:sz w:val="24"/>
          <w:szCs w:val="24"/>
          <w:rtl/>
        </w:rPr>
        <w:t xml:space="preserve"> לראות את החטיבה שלפ</w:t>
      </w:r>
      <w:r w:rsidR="00241AD4" w:rsidRPr="00850794">
        <w:rPr>
          <w:rFonts w:ascii="SBL BibLit" w:hAnsi="SBL BibLit" w:cs="SBL BibLit"/>
          <w:sz w:val="24"/>
          <w:szCs w:val="24"/>
          <w:rtl/>
        </w:rPr>
        <w:t>נינו כבנויה משתי יחידות מקבילות,</w:t>
      </w:r>
      <w:r w:rsidR="0011496D" w:rsidRPr="00850794">
        <w:rPr>
          <w:rStyle w:val="FootnoteReference"/>
          <w:rFonts w:ascii="SBL BibLit" w:hAnsi="SBL BibLit" w:cs="SBL BibLit"/>
          <w:sz w:val="24"/>
          <w:szCs w:val="24"/>
          <w:rtl/>
        </w:rPr>
        <w:footnoteReference w:id="6"/>
      </w:r>
      <w:r w:rsidR="0011496D" w:rsidRPr="00850794">
        <w:rPr>
          <w:rFonts w:ascii="SBL BibLit" w:hAnsi="SBL BibLit" w:cs="SBL BibLit"/>
          <w:sz w:val="24"/>
          <w:szCs w:val="24"/>
          <w:rtl/>
        </w:rPr>
        <w:t xml:space="preserve"> </w:t>
      </w:r>
      <w:r w:rsidR="00241AD4" w:rsidRPr="00850794">
        <w:rPr>
          <w:rFonts w:ascii="SBL BibLit" w:hAnsi="SBL BibLit" w:cs="SBL BibLit"/>
          <w:sz w:val="24"/>
          <w:szCs w:val="24"/>
          <w:rtl/>
        </w:rPr>
        <w:t>ש</w:t>
      </w:r>
      <w:r w:rsidR="00836820" w:rsidRPr="00850794">
        <w:rPr>
          <w:rFonts w:ascii="SBL BibLit" w:hAnsi="SBL BibLit" w:cs="SBL BibLit"/>
          <w:sz w:val="24"/>
          <w:szCs w:val="24"/>
          <w:rtl/>
        </w:rPr>
        <w:t>מתפצלות ביניהן בראש ובראשו</w:t>
      </w:r>
      <w:r w:rsidR="002A663D" w:rsidRPr="00850794">
        <w:rPr>
          <w:rFonts w:ascii="SBL BibLit" w:hAnsi="SBL BibLit" w:cs="SBL BibLit"/>
          <w:sz w:val="24"/>
          <w:szCs w:val="24"/>
          <w:rtl/>
        </w:rPr>
        <w:t>נה בזמן בתאריך השונה שפותח אותן</w:t>
      </w:r>
      <w:r w:rsidR="002A663D" w:rsidRPr="00850794">
        <w:rPr>
          <w:rFonts w:ascii="SBL BibLit" w:hAnsi="SBL BibLit" w:cs="SBL BibLit"/>
          <w:sz w:val="24"/>
          <w:szCs w:val="24"/>
          <w:rtl/>
        </w:rPr>
        <w:t>.</w:t>
      </w:r>
      <w:r w:rsidR="00836820" w:rsidRPr="00850794">
        <w:rPr>
          <w:rFonts w:ascii="SBL BibLit" w:hAnsi="SBL BibLit" w:cs="SBL BibLit"/>
          <w:sz w:val="24"/>
          <w:szCs w:val="24"/>
          <w:rtl/>
        </w:rPr>
        <w:t xml:space="preserve"> </w:t>
      </w:r>
      <w:r w:rsidR="00403AB2" w:rsidRPr="00850794">
        <w:rPr>
          <w:rFonts w:ascii="SBL BibLit" w:hAnsi="SBL BibLit" w:cs="SBL BibLit"/>
          <w:sz w:val="24"/>
          <w:szCs w:val="24"/>
          <w:rtl/>
        </w:rPr>
        <w:t xml:space="preserve">בחלק הראשון משולבים </w:t>
      </w:r>
      <w:r w:rsidR="0042299D" w:rsidRPr="00850794">
        <w:rPr>
          <w:rFonts w:ascii="SBL BibLit" w:hAnsi="SBL BibLit" w:cs="SBL BibLit"/>
          <w:sz w:val="24"/>
          <w:szCs w:val="24"/>
          <w:rtl/>
        </w:rPr>
        <w:t xml:space="preserve">אירועים </w:t>
      </w:r>
      <w:r w:rsidR="00403AB2" w:rsidRPr="00850794">
        <w:rPr>
          <w:rFonts w:ascii="SBL BibLit" w:hAnsi="SBL BibLit" w:cs="SBL BibLit"/>
          <w:sz w:val="24"/>
          <w:szCs w:val="24"/>
          <w:rtl/>
        </w:rPr>
        <w:t xml:space="preserve">ומצוות </w:t>
      </w:r>
      <w:r w:rsidR="0042299D" w:rsidRPr="00850794">
        <w:rPr>
          <w:rFonts w:ascii="SBL BibLit" w:hAnsi="SBL BibLit" w:cs="SBL BibLit"/>
          <w:sz w:val="24"/>
          <w:szCs w:val="24"/>
          <w:rtl/>
        </w:rPr>
        <w:t>תחת כותרת החודש השני ו</w:t>
      </w:r>
      <w:r w:rsidR="00403AB2" w:rsidRPr="00850794">
        <w:rPr>
          <w:rFonts w:ascii="SBL BibLit" w:hAnsi="SBL BibLit" w:cs="SBL BibLit"/>
          <w:sz w:val="24"/>
          <w:szCs w:val="24"/>
          <w:rtl/>
        </w:rPr>
        <w:t xml:space="preserve">בחלק השני משולבים </w:t>
      </w:r>
      <w:r w:rsidR="0042299D" w:rsidRPr="00850794">
        <w:rPr>
          <w:rFonts w:ascii="SBL BibLit" w:hAnsi="SBL BibLit" w:cs="SBL BibLit"/>
          <w:sz w:val="24"/>
          <w:szCs w:val="24"/>
          <w:rtl/>
        </w:rPr>
        <w:t>אירועים ומצוות תחת כותרת החודש</w:t>
      </w:r>
      <w:r w:rsidR="00407BC5" w:rsidRPr="00850794">
        <w:rPr>
          <w:rFonts w:ascii="SBL BibLit" w:hAnsi="SBL BibLit" w:cs="SBL BibLit"/>
          <w:sz w:val="24"/>
          <w:szCs w:val="24"/>
          <w:rtl/>
        </w:rPr>
        <w:t xml:space="preserve"> הראשון. </w:t>
      </w:r>
    </w:p>
    <w:p w:rsidR="00893CE3" w:rsidRDefault="00407BC5" w:rsidP="00850794">
      <w:pPr>
        <w:spacing w:line="360" w:lineRule="auto"/>
        <w:jc w:val="both"/>
        <w:rPr>
          <w:rFonts w:ascii="SBL BibLit" w:hAnsi="SBL BibLit" w:cs="SBL BibLit"/>
          <w:sz w:val="24"/>
          <w:szCs w:val="24"/>
        </w:rPr>
      </w:pPr>
      <w:r w:rsidRPr="00850794">
        <w:rPr>
          <w:rFonts w:ascii="SBL BibLit" w:hAnsi="SBL BibLit" w:cs="SBL BibLit"/>
          <w:sz w:val="24"/>
          <w:szCs w:val="24"/>
          <w:rtl/>
        </w:rPr>
        <w:t>בהצבת אלו מול אלו מתגלית</w:t>
      </w:r>
      <w:r w:rsidR="0042299D" w:rsidRPr="00850794">
        <w:rPr>
          <w:rFonts w:ascii="SBL BibLit" w:hAnsi="SBL BibLit" w:cs="SBL BibLit"/>
          <w:sz w:val="24"/>
          <w:szCs w:val="24"/>
          <w:rtl/>
        </w:rPr>
        <w:t xml:space="preserve"> ההקבלה הבאה:</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065"/>
        <w:gridCol w:w="3526"/>
      </w:tblGrid>
      <w:tr w:rsidR="00DC7376" w:rsidTr="00DC7376">
        <w:tc>
          <w:tcPr>
            <w:tcW w:w="1705" w:type="dxa"/>
          </w:tcPr>
          <w:p w:rsidR="00DC7376" w:rsidRDefault="00DC7376" w:rsidP="00DC7376">
            <w:pPr>
              <w:bidi w:val="0"/>
              <w:spacing w:line="360" w:lineRule="auto"/>
              <w:jc w:val="both"/>
              <w:rPr>
                <w:rFonts w:ascii="SBL BibLit" w:hAnsi="SBL BibLit" w:cs="SBL BibLit"/>
                <w:sz w:val="24"/>
                <w:szCs w:val="24"/>
              </w:rPr>
            </w:pPr>
          </w:p>
        </w:tc>
        <w:tc>
          <w:tcPr>
            <w:tcW w:w="3065" w:type="dxa"/>
          </w:tcPr>
          <w:p w:rsidR="00DC7376" w:rsidRPr="00DC7376" w:rsidRDefault="00DC7376" w:rsidP="00DC7376">
            <w:pPr>
              <w:bidi w:val="0"/>
              <w:spacing w:line="360" w:lineRule="auto"/>
              <w:jc w:val="center"/>
              <w:rPr>
                <w:rFonts w:ascii="SBL BibLit" w:hAnsi="SBL BibLit" w:cs="SBL BibLit"/>
                <w:sz w:val="24"/>
                <w:szCs w:val="24"/>
                <w:u w:val="single"/>
              </w:rPr>
            </w:pPr>
            <w:r w:rsidRPr="00DC7376">
              <w:rPr>
                <w:rFonts w:ascii="SBL BibLit" w:hAnsi="SBL BibLit" w:cs="SBL BibLit"/>
                <w:sz w:val="24"/>
                <w:szCs w:val="24"/>
                <w:u w:val="single"/>
              </w:rPr>
              <w:t>Block 1 (chs. 1-6)</w:t>
            </w:r>
          </w:p>
        </w:tc>
        <w:tc>
          <w:tcPr>
            <w:tcW w:w="3526" w:type="dxa"/>
          </w:tcPr>
          <w:p w:rsidR="00DC7376" w:rsidRPr="00DC7376" w:rsidRDefault="00DC7376" w:rsidP="00DC7376">
            <w:pPr>
              <w:bidi w:val="0"/>
              <w:spacing w:line="360" w:lineRule="auto"/>
              <w:jc w:val="center"/>
              <w:rPr>
                <w:rFonts w:ascii="SBL BibLit" w:hAnsi="SBL BibLit" w:cs="SBL BibLit"/>
                <w:sz w:val="24"/>
                <w:szCs w:val="24"/>
                <w:u w:val="single"/>
              </w:rPr>
            </w:pPr>
            <w:r w:rsidRPr="00DC7376">
              <w:rPr>
                <w:rFonts w:ascii="SBL BibLit" w:hAnsi="SBL BibLit" w:cs="SBL BibLit"/>
                <w:sz w:val="24"/>
                <w:szCs w:val="24"/>
                <w:u w:val="single"/>
              </w:rPr>
              <w:t>Block 2 (chs. 7-10)</w:t>
            </w:r>
          </w:p>
        </w:tc>
      </w:tr>
      <w:tr w:rsidR="00DC7376" w:rsidTr="00DC7376">
        <w:tc>
          <w:tcPr>
            <w:tcW w:w="1705" w:type="dxa"/>
          </w:tcPr>
          <w:p w:rsidR="00DC7376" w:rsidRPr="00DC7376" w:rsidRDefault="00DC7376" w:rsidP="00DC7376">
            <w:pPr>
              <w:bidi w:val="0"/>
              <w:spacing w:line="360" w:lineRule="auto"/>
              <w:jc w:val="both"/>
              <w:rPr>
                <w:rFonts w:ascii="SBL BibLit" w:hAnsi="SBL BibLit" w:cs="SBL BibLit"/>
                <w:b/>
                <w:bCs/>
                <w:sz w:val="24"/>
                <w:szCs w:val="24"/>
              </w:rPr>
            </w:pPr>
            <w:r w:rsidRPr="00DC7376">
              <w:rPr>
                <w:rFonts w:ascii="SBL BibLit" w:hAnsi="SBL BibLit" w:cs="SBL BibLit"/>
                <w:b/>
                <w:bCs/>
                <w:sz w:val="24"/>
                <w:szCs w:val="24"/>
              </w:rPr>
              <w:t>A. Tribes</w:t>
            </w:r>
          </w:p>
        </w:tc>
        <w:tc>
          <w:tcPr>
            <w:tcW w:w="3065" w:type="dxa"/>
          </w:tcPr>
          <w:p w:rsidR="00DC7376" w:rsidRDefault="00DC7376" w:rsidP="00DC7376">
            <w:pPr>
              <w:bidi w:val="0"/>
              <w:spacing w:line="360" w:lineRule="auto"/>
              <w:jc w:val="both"/>
              <w:rPr>
                <w:rFonts w:ascii="SBL BibLit" w:hAnsi="SBL BibLit" w:cs="SBL BibLit"/>
                <w:sz w:val="24"/>
                <w:szCs w:val="24"/>
              </w:rPr>
            </w:pPr>
            <w:r>
              <w:rPr>
                <w:rFonts w:ascii="SBL BibLit" w:hAnsi="SBL BibLit" w:cs="SBL BibLit"/>
                <w:sz w:val="24"/>
                <w:szCs w:val="24"/>
              </w:rPr>
              <w:t>Tribes arranged around the camp (Judah first)</w:t>
            </w:r>
          </w:p>
        </w:tc>
        <w:tc>
          <w:tcPr>
            <w:tcW w:w="3526" w:type="dxa"/>
          </w:tcPr>
          <w:p w:rsidR="00DC7376" w:rsidRDefault="00DC7376" w:rsidP="00DC7376">
            <w:pPr>
              <w:bidi w:val="0"/>
              <w:spacing w:line="360" w:lineRule="auto"/>
              <w:jc w:val="both"/>
              <w:rPr>
                <w:rFonts w:ascii="SBL BibLit" w:hAnsi="SBL BibLit" w:cs="SBL BibLit"/>
                <w:sz w:val="24"/>
                <w:szCs w:val="24"/>
              </w:rPr>
            </w:pPr>
            <w:r>
              <w:rPr>
                <w:rFonts w:ascii="SBL BibLit" w:hAnsi="SBL BibLit" w:cs="SBL BibLit"/>
                <w:sz w:val="24"/>
                <w:szCs w:val="24"/>
              </w:rPr>
              <w:t>Offerings on behalf of the tribes (Judah first)</w:t>
            </w:r>
          </w:p>
        </w:tc>
      </w:tr>
      <w:tr w:rsidR="00DC7376" w:rsidTr="00DC7376">
        <w:tc>
          <w:tcPr>
            <w:tcW w:w="1705" w:type="dxa"/>
          </w:tcPr>
          <w:p w:rsidR="00DC7376" w:rsidRPr="00DC7376" w:rsidRDefault="00DC7376" w:rsidP="00DC7376">
            <w:pPr>
              <w:bidi w:val="0"/>
              <w:spacing w:line="360" w:lineRule="auto"/>
              <w:jc w:val="both"/>
              <w:rPr>
                <w:rFonts w:ascii="SBL BibLit" w:hAnsi="SBL BibLit" w:cs="SBL BibLit"/>
                <w:b/>
                <w:bCs/>
                <w:sz w:val="24"/>
                <w:szCs w:val="24"/>
              </w:rPr>
            </w:pPr>
            <w:r w:rsidRPr="00DC7376">
              <w:rPr>
                <w:rFonts w:ascii="SBL BibLit" w:hAnsi="SBL BibLit" w:cs="SBL BibLit"/>
                <w:b/>
                <w:bCs/>
                <w:sz w:val="24"/>
                <w:szCs w:val="24"/>
              </w:rPr>
              <w:t>B. Levites</w:t>
            </w:r>
          </w:p>
        </w:tc>
        <w:tc>
          <w:tcPr>
            <w:tcW w:w="3065" w:type="dxa"/>
          </w:tcPr>
          <w:p w:rsidR="00DC7376" w:rsidRDefault="00DC7376" w:rsidP="00DC7376">
            <w:pPr>
              <w:bidi w:val="0"/>
              <w:spacing w:line="360" w:lineRule="auto"/>
              <w:jc w:val="both"/>
              <w:rPr>
                <w:rFonts w:ascii="SBL BibLit" w:hAnsi="SBL BibLit" w:cs="SBL BibLit"/>
                <w:sz w:val="24"/>
                <w:szCs w:val="24"/>
              </w:rPr>
            </w:pPr>
            <w:r>
              <w:rPr>
                <w:rFonts w:ascii="SBL BibLit" w:hAnsi="SBL BibLit" w:cs="SBL BibLit"/>
                <w:sz w:val="24"/>
                <w:szCs w:val="24"/>
              </w:rPr>
              <w:t>Levites arranged around the Tabernacle</w:t>
            </w:r>
          </w:p>
        </w:tc>
        <w:tc>
          <w:tcPr>
            <w:tcW w:w="3526" w:type="dxa"/>
          </w:tcPr>
          <w:p w:rsidR="00DC7376" w:rsidRDefault="00DC7376" w:rsidP="00DC7376">
            <w:pPr>
              <w:bidi w:val="0"/>
              <w:spacing w:line="360" w:lineRule="auto"/>
              <w:jc w:val="both"/>
              <w:rPr>
                <w:rFonts w:ascii="SBL BibLit" w:hAnsi="SBL BibLit" w:cs="SBL BibLit"/>
                <w:sz w:val="24"/>
                <w:szCs w:val="24"/>
              </w:rPr>
            </w:pPr>
            <w:r>
              <w:rPr>
                <w:rFonts w:ascii="SBL BibLit" w:hAnsi="SBL BibLit" w:cs="SBL BibLit"/>
                <w:sz w:val="24"/>
                <w:szCs w:val="24"/>
              </w:rPr>
              <w:t>Preparation of Levites to serve in the Tabernacle</w:t>
            </w:r>
          </w:p>
        </w:tc>
      </w:tr>
      <w:tr w:rsidR="00DC7376" w:rsidTr="00DC7376">
        <w:tc>
          <w:tcPr>
            <w:tcW w:w="1705" w:type="dxa"/>
          </w:tcPr>
          <w:p w:rsidR="00DC7376" w:rsidRPr="00DC7376" w:rsidRDefault="00DC7376" w:rsidP="00DC7376">
            <w:pPr>
              <w:bidi w:val="0"/>
              <w:spacing w:line="360" w:lineRule="auto"/>
              <w:jc w:val="both"/>
              <w:rPr>
                <w:rFonts w:ascii="SBL BibLit" w:hAnsi="SBL BibLit" w:cs="SBL BibLit"/>
                <w:b/>
                <w:bCs/>
                <w:sz w:val="24"/>
                <w:szCs w:val="24"/>
              </w:rPr>
            </w:pPr>
            <w:r w:rsidRPr="00DC7376">
              <w:rPr>
                <w:rFonts w:ascii="SBL BibLit" w:hAnsi="SBL BibLit" w:cs="SBL BibLit"/>
                <w:b/>
                <w:bCs/>
                <w:sz w:val="24"/>
                <w:szCs w:val="24"/>
              </w:rPr>
              <w:t>C. Laws</w:t>
            </w:r>
          </w:p>
        </w:tc>
        <w:tc>
          <w:tcPr>
            <w:tcW w:w="3065" w:type="dxa"/>
          </w:tcPr>
          <w:p w:rsidR="00DC7376" w:rsidRDefault="00DC7376" w:rsidP="00DC7376">
            <w:pPr>
              <w:bidi w:val="0"/>
              <w:spacing w:line="360" w:lineRule="auto"/>
              <w:jc w:val="both"/>
              <w:rPr>
                <w:rFonts w:ascii="SBL BibLit" w:hAnsi="SBL BibLit" w:cs="SBL BibLit"/>
                <w:sz w:val="24"/>
                <w:szCs w:val="24"/>
              </w:rPr>
            </w:pPr>
            <w:r>
              <w:rPr>
                <w:rFonts w:ascii="SBL BibLit" w:hAnsi="SBL BibLit" w:cs="SBL BibLit"/>
                <w:sz w:val="24"/>
                <w:szCs w:val="24"/>
              </w:rPr>
              <w:t xml:space="preserve">Begins with removal of impure people, ends with the priests’ benediction. </w:t>
            </w:r>
          </w:p>
        </w:tc>
        <w:tc>
          <w:tcPr>
            <w:tcW w:w="3526" w:type="dxa"/>
          </w:tcPr>
          <w:p w:rsidR="00DC7376" w:rsidRDefault="00DC7376" w:rsidP="00DC7376">
            <w:pPr>
              <w:bidi w:val="0"/>
              <w:spacing w:line="360" w:lineRule="auto"/>
              <w:jc w:val="both"/>
              <w:rPr>
                <w:rFonts w:ascii="SBL BibLit" w:hAnsi="SBL BibLit" w:cs="SBL BibLit"/>
                <w:sz w:val="24"/>
                <w:szCs w:val="24"/>
              </w:rPr>
            </w:pPr>
            <w:r>
              <w:rPr>
                <w:rFonts w:ascii="SBL BibLit" w:hAnsi="SBL BibLit" w:cs="SBL BibLit"/>
                <w:sz w:val="24"/>
                <w:szCs w:val="24"/>
              </w:rPr>
              <w:t>Begins with Pesach Sheni (make-up Passover sacrifice) for the impure, ends with the priest’s blowing of trumpets.</w:t>
            </w:r>
          </w:p>
        </w:tc>
      </w:tr>
    </w:tbl>
    <w:p w:rsidR="00DC7376" w:rsidRPr="00850794" w:rsidRDefault="00DC7376" w:rsidP="00DC7376">
      <w:pPr>
        <w:bidi w:val="0"/>
        <w:spacing w:line="360" w:lineRule="auto"/>
        <w:jc w:val="both"/>
        <w:rPr>
          <w:rFonts w:ascii="SBL BibLit" w:hAnsi="SBL BibLit" w:cs="SBL BibLit"/>
          <w:sz w:val="24"/>
          <w:szCs w:val="24"/>
          <w:rtl/>
        </w:rPr>
      </w:pPr>
    </w:p>
    <w:p w:rsidR="00241AD4" w:rsidRPr="00850794" w:rsidRDefault="0077086F" w:rsidP="00850794">
      <w:pPr>
        <w:spacing w:line="360" w:lineRule="auto"/>
        <w:jc w:val="both"/>
        <w:rPr>
          <w:rFonts w:ascii="SBL BibLit" w:hAnsi="SBL BibLit" w:cs="SBL BibLit"/>
          <w:sz w:val="24"/>
          <w:szCs w:val="24"/>
        </w:rPr>
      </w:pPr>
      <w:r w:rsidRPr="00850794">
        <w:rPr>
          <w:rFonts w:ascii="SBL BibLit" w:hAnsi="SBL BibLit" w:cs="SBL BibLit"/>
          <w:sz w:val="24"/>
          <w:szCs w:val="24"/>
          <w:rtl/>
        </w:rPr>
        <w:lastRenderedPageBreak/>
        <w:t xml:space="preserve">א-א1: </w:t>
      </w:r>
      <w:r w:rsidR="0042299D" w:rsidRPr="00850794">
        <w:rPr>
          <w:rFonts w:ascii="SBL BibLit" w:hAnsi="SBL BibLit" w:cs="SBL BibLit"/>
          <w:sz w:val="24"/>
          <w:szCs w:val="24"/>
          <w:rtl/>
        </w:rPr>
        <w:t>הזיקה ב</w:t>
      </w:r>
      <w:r w:rsidRPr="00850794">
        <w:rPr>
          <w:rFonts w:ascii="SBL BibLit" w:hAnsi="SBL BibLit" w:cs="SBL BibLit"/>
          <w:sz w:val="24"/>
          <w:szCs w:val="24"/>
          <w:rtl/>
        </w:rPr>
        <w:t xml:space="preserve">ין שני הרכיבים הפותחים נסמכת במיוחד על סדר השבטים. כפי שהערתי קודם, למרבה ההפתעה, כבר בפרק ז' שהתרחש בחודש הראשון מסודרים השבטים לפי הסדר שפורץ בטקסט בפרק א' – בחודש השני. תהא הסיבה לכך אשר תהא, </w:t>
      </w:r>
      <w:r w:rsidR="00BD5547" w:rsidRPr="00850794">
        <w:rPr>
          <w:rFonts w:ascii="SBL BibLit" w:hAnsi="SBL BibLit" w:cs="SBL BibLit"/>
          <w:sz w:val="24"/>
          <w:szCs w:val="24"/>
          <w:rtl/>
        </w:rPr>
        <w:t>סדר השבטים הייחודי יוצר זיקה בין שתי הרשימות האלו</w:t>
      </w:r>
      <w:r w:rsidRPr="00850794">
        <w:rPr>
          <w:rFonts w:ascii="SBL BibLit" w:hAnsi="SBL BibLit" w:cs="SBL BibLit"/>
          <w:sz w:val="24"/>
          <w:szCs w:val="24"/>
          <w:rtl/>
        </w:rPr>
        <w:t>.</w:t>
      </w:r>
      <w:r w:rsidR="007F03E5" w:rsidRPr="00850794">
        <w:rPr>
          <w:rFonts w:ascii="SBL BibLit" w:hAnsi="SBL BibLit" w:cs="SBL BibLit"/>
          <w:sz w:val="24"/>
          <w:szCs w:val="24"/>
          <w:rtl/>
        </w:rPr>
        <w:t xml:space="preserve"> יש לזכור שנשיאי השבטים הם הפוקדים את העם בתחילת הספר והדבר חשוב לסיפור ועל כן מוזכרים שמותם זה אחר זה</w:t>
      </w:r>
      <w:r w:rsidR="003B5378" w:rsidRPr="00850794">
        <w:rPr>
          <w:rFonts w:ascii="SBL BibLit" w:hAnsi="SBL BibLit" w:cs="SBL BibLit"/>
          <w:sz w:val="24"/>
          <w:szCs w:val="24"/>
          <w:rtl/>
        </w:rPr>
        <w:t xml:space="preserve"> ("וְאֵלֶּה שְׁמוֹת הָאֲנָשִׁים אֲשֶׁר יַעַמְדוּ אִתְּכֶם" – א', 5), ובסיכום שמותם נאמר</w:t>
      </w:r>
      <w:r w:rsidR="007F03E5" w:rsidRPr="00850794">
        <w:rPr>
          <w:rFonts w:ascii="SBL BibLit" w:hAnsi="SBL BibLit" w:cs="SBL BibLit"/>
          <w:sz w:val="24"/>
          <w:szCs w:val="2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3240"/>
      </w:tblGrid>
      <w:tr w:rsidR="00241AD4" w:rsidRPr="00850794" w:rsidTr="005B3660">
        <w:tc>
          <w:tcPr>
            <w:tcW w:w="5056" w:type="dxa"/>
          </w:tcPr>
          <w:p w:rsidR="00241AD4" w:rsidRPr="00AB283A" w:rsidRDefault="00AB283A" w:rsidP="00AB283A">
            <w:pPr>
              <w:bidi w:val="0"/>
              <w:spacing w:line="360" w:lineRule="auto"/>
              <w:jc w:val="both"/>
              <w:rPr>
                <w:rFonts w:ascii="SBL BibLit" w:hAnsi="SBL BibLit" w:cs="SBL BibLit"/>
                <w:sz w:val="24"/>
                <w:szCs w:val="24"/>
                <w:rtl/>
              </w:rPr>
            </w:pPr>
            <w:r w:rsidRPr="00AB283A">
              <w:rPr>
                <w:rFonts w:ascii="SBL BibLit" w:hAnsi="SBL BibLit" w:cs="SBL BibLit"/>
                <w:sz w:val="24"/>
                <w:szCs w:val="24"/>
                <w:vertAlign w:val="superscript"/>
              </w:rPr>
              <w:t>Num 1:17</w:t>
            </w:r>
            <w:r w:rsidRPr="00AB283A">
              <w:rPr>
                <w:rFonts w:ascii="SBL BibLit" w:hAnsi="SBL BibLit" w:cs="SBL BibLit"/>
                <w:sz w:val="24"/>
                <w:szCs w:val="24"/>
              </w:rPr>
              <w:t xml:space="preserve"> </w:t>
            </w:r>
            <w:r w:rsidRPr="00AB283A">
              <w:rPr>
                <w:rFonts w:ascii="SBL BibLit" w:hAnsi="SBL BibLit" w:cs="SBL BibLit"/>
                <w:sz w:val="24"/>
                <w:szCs w:val="24"/>
              </w:rPr>
              <w:t>So Moses and Aaron took those me</w:t>
            </w:r>
            <w:r>
              <w:rPr>
                <w:rFonts w:ascii="SBL BibLit" w:hAnsi="SBL BibLit" w:cs="SBL BibLit"/>
                <w:sz w:val="24"/>
                <w:szCs w:val="24"/>
              </w:rPr>
              <w:t>n, who were designated by name.</w:t>
            </w:r>
          </w:p>
        </w:tc>
        <w:tc>
          <w:tcPr>
            <w:tcW w:w="3240" w:type="dxa"/>
          </w:tcPr>
          <w:p w:rsidR="00241AD4" w:rsidRPr="00850794" w:rsidRDefault="00241AD4" w:rsidP="00850794">
            <w:pPr>
              <w:spacing w:line="360" w:lineRule="auto"/>
              <w:jc w:val="both"/>
              <w:rPr>
                <w:rFonts w:ascii="SBL BibLit" w:hAnsi="SBL BibLit" w:cs="SBL BibLit"/>
                <w:sz w:val="24"/>
                <w:szCs w:val="24"/>
                <w:rtl/>
              </w:rPr>
            </w:pPr>
            <w:r w:rsidRPr="00850794">
              <w:rPr>
                <w:rFonts w:ascii="SBL BibLit" w:hAnsi="SBL BibLit" w:cs="SBL BibLit"/>
                <w:sz w:val="24"/>
                <w:szCs w:val="24"/>
                <w:vertAlign w:val="superscript"/>
                <w:rtl/>
              </w:rPr>
              <w:t>במדבר א:יז</w:t>
            </w:r>
            <w:r w:rsidRPr="00850794">
              <w:rPr>
                <w:rFonts w:ascii="SBL BibLit" w:hAnsi="SBL BibLit" w:cs="SBL BibLit"/>
                <w:sz w:val="24"/>
                <w:szCs w:val="24"/>
                <w:rtl/>
              </w:rPr>
              <w:t xml:space="preserve"> </w:t>
            </w:r>
            <w:r w:rsidRPr="00850794">
              <w:rPr>
                <w:rFonts w:ascii="SBL BibLit" w:hAnsi="SBL BibLit" w:cs="SBL BibLit"/>
                <w:sz w:val="24"/>
                <w:szCs w:val="24"/>
                <w:rtl/>
              </w:rPr>
              <w:t>וַיִּקַּח משֶׁה וְאַהֲרֹן אֵת הָאֲנָשִׁים הָאֵלֶּה אֲשֶׁר נִקְּבוּ בְּשֵׁמוֹת</w:t>
            </w:r>
            <w:r w:rsidRPr="00850794">
              <w:rPr>
                <w:rFonts w:ascii="SBL BibLit" w:hAnsi="SBL BibLit" w:cs="SBL BibLit"/>
                <w:sz w:val="24"/>
                <w:szCs w:val="24"/>
                <w:rtl/>
              </w:rPr>
              <w:t>.</w:t>
            </w:r>
            <w:r w:rsidRPr="00850794">
              <w:rPr>
                <w:rFonts w:ascii="SBL BibLit" w:hAnsi="SBL BibLit" w:cs="SBL BibLit"/>
                <w:sz w:val="24"/>
                <w:szCs w:val="24"/>
                <w:rtl/>
              </w:rPr>
              <w:t xml:space="preserve"> </w:t>
            </w:r>
          </w:p>
        </w:tc>
      </w:tr>
    </w:tbl>
    <w:p w:rsidR="00241AD4" w:rsidRPr="00850794" w:rsidRDefault="00241AD4" w:rsidP="00850794">
      <w:pPr>
        <w:spacing w:line="360" w:lineRule="auto"/>
        <w:jc w:val="both"/>
        <w:rPr>
          <w:rFonts w:ascii="SBL BibLit" w:hAnsi="SBL BibLit" w:cs="SBL BibLit"/>
          <w:sz w:val="24"/>
          <w:szCs w:val="24"/>
        </w:rPr>
      </w:pPr>
    </w:p>
    <w:p w:rsidR="007F03E5" w:rsidRPr="00850794" w:rsidRDefault="007F03E5"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נשיאים אלו הם הפועלים שוב בפרק ז', וגם שם הם מובאים בשמם, זה אחר זה.</w:t>
      </w:r>
    </w:p>
    <w:p w:rsidR="0077086F" w:rsidRPr="00850794" w:rsidRDefault="0077086F"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 xml:space="preserve">ב-ב1: גם הזיקה בין שני הרכיבים הבאים נידונה </w:t>
      </w:r>
      <w:r w:rsidR="00F571C4" w:rsidRPr="00850794">
        <w:rPr>
          <w:rFonts w:ascii="SBL BibLit" w:hAnsi="SBL BibLit" w:cs="SBL BibLit"/>
          <w:sz w:val="24"/>
          <w:szCs w:val="24"/>
          <w:rtl/>
        </w:rPr>
        <w:t>לעיל: הציווי הכללי למשה לקחת את הלויים בפרק ג' מתפרט בפרק ח' ובמקרה זה אין מדובר רק בזיקה ספרותית, אלא בפיצול פרשייה אורגנית לשני חלקים ולשני הקשרים טקסטואליים שונים.</w:t>
      </w:r>
    </w:p>
    <w:p w:rsidR="00C3195B" w:rsidRDefault="0077086F" w:rsidP="00850794">
      <w:pPr>
        <w:spacing w:line="360" w:lineRule="auto"/>
        <w:jc w:val="both"/>
        <w:rPr>
          <w:rFonts w:ascii="SBL BibLit" w:hAnsi="SBL BibLit" w:cs="SBL BibLit"/>
          <w:sz w:val="24"/>
          <w:szCs w:val="24"/>
        </w:rPr>
      </w:pPr>
      <w:r w:rsidRPr="00850794">
        <w:rPr>
          <w:rFonts w:ascii="SBL BibLit" w:hAnsi="SBL BibLit" w:cs="SBL BibLit"/>
          <w:sz w:val="24"/>
          <w:szCs w:val="24"/>
          <w:rtl/>
        </w:rPr>
        <w:t>ג-ג1: שתי המחציות נחתמות באוסף חוקים שמתמקדים ברלוונטיות של המשכן לקהילה כולה</w:t>
      </w:r>
      <w:r w:rsidR="00B10380" w:rsidRPr="00850794">
        <w:rPr>
          <w:rFonts w:ascii="SBL BibLit" w:hAnsi="SBL BibLit" w:cs="SBL BibLit"/>
          <w:sz w:val="24"/>
          <w:szCs w:val="24"/>
          <w:rtl/>
        </w:rPr>
        <w:t xml:space="preserve"> ולמרחב המחנה </w:t>
      </w:r>
      <w:r w:rsidRPr="00850794">
        <w:rPr>
          <w:rFonts w:ascii="SBL BibLit" w:hAnsi="SBL BibLit" w:cs="SBL BibLit"/>
          <w:sz w:val="24"/>
          <w:szCs w:val="24"/>
          <w:rtl/>
        </w:rPr>
        <w:t>עצמו. דבר זה דורש עיון רחב בפני עצמו,</w:t>
      </w:r>
      <w:r w:rsidR="003225F6" w:rsidRPr="00850794">
        <w:rPr>
          <w:rStyle w:val="FootnoteReference"/>
          <w:rFonts w:ascii="SBL BibLit" w:hAnsi="SBL BibLit" w:cs="SBL BibLit"/>
          <w:sz w:val="24"/>
          <w:szCs w:val="24"/>
          <w:rtl/>
        </w:rPr>
        <w:footnoteReference w:id="7"/>
      </w:r>
      <w:r w:rsidRPr="00850794">
        <w:rPr>
          <w:rFonts w:ascii="SBL BibLit" w:hAnsi="SBL BibLit" w:cs="SBL BibLit"/>
          <w:sz w:val="24"/>
          <w:szCs w:val="24"/>
          <w:rtl/>
        </w:rPr>
        <w:t xml:space="preserve"> אך בכדי להשתכנע ב</w:t>
      </w:r>
      <w:r w:rsidR="00F70B03" w:rsidRPr="00850794">
        <w:rPr>
          <w:rFonts w:ascii="SBL BibLit" w:hAnsi="SBL BibLit" w:cs="SBL BibLit"/>
          <w:sz w:val="24"/>
          <w:szCs w:val="24"/>
          <w:rtl/>
        </w:rPr>
        <w:t>קיום ה</w:t>
      </w:r>
      <w:r w:rsidRPr="00850794">
        <w:rPr>
          <w:rFonts w:ascii="SBL BibLit" w:hAnsi="SBL BibLit" w:cs="SBL BibLit"/>
          <w:sz w:val="24"/>
          <w:szCs w:val="24"/>
          <w:rtl/>
        </w:rPr>
        <w:t>זיקה בין שני אוספי חוקים אלו נשים לבנו לפתיחת</w:t>
      </w:r>
      <w:r w:rsidR="00F70B03" w:rsidRPr="00850794">
        <w:rPr>
          <w:rFonts w:ascii="SBL BibLit" w:hAnsi="SBL BibLit" w:cs="SBL BibLit"/>
          <w:sz w:val="24"/>
          <w:szCs w:val="24"/>
          <w:rtl/>
        </w:rPr>
        <w:t>ם</w:t>
      </w:r>
      <w:r w:rsidRPr="00850794">
        <w:rPr>
          <w:rFonts w:ascii="SBL BibLit" w:hAnsi="SBL BibLit" w:cs="SBL BibLit"/>
          <w:sz w:val="24"/>
          <w:szCs w:val="24"/>
          <w:rtl/>
        </w:rPr>
        <w:t xml:space="preserve"> ולחתימת</w:t>
      </w:r>
      <w:r w:rsidR="00F70B03" w:rsidRPr="00850794">
        <w:rPr>
          <w:rFonts w:ascii="SBL BibLit" w:hAnsi="SBL BibLit" w:cs="SBL BibLit"/>
          <w:sz w:val="24"/>
          <w:szCs w:val="24"/>
          <w:rtl/>
        </w:rPr>
        <w:t>ם</w:t>
      </w:r>
      <w:r w:rsidRPr="00850794">
        <w:rPr>
          <w:rFonts w:ascii="SBL BibLit" w:hAnsi="SBL BibLit" w:cs="SBL BibLit"/>
          <w:sz w:val="24"/>
          <w:szCs w:val="24"/>
          <w:rtl/>
        </w:rPr>
        <w:t>. שני הקבצים פותחים בעיסוק בטמאים: שילוח טמאים בחצי הראשון ופסח הטמאים בחצי השני; ו</w:t>
      </w:r>
      <w:r w:rsidR="00F70B03" w:rsidRPr="00850794">
        <w:rPr>
          <w:rFonts w:ascii="SBL BibLit" w:hAnsi="SBL BibLit" w:cs="SBL BibLit"/>
          <w:sz w:val="24"/>
          <w:szCs w:val="24"/>
          <w:rtl/>
        </w:rPr>
        <w:t xml:space="preserve">שניהם </w:t>
      </w:r>
      <w:r w:rsidRPr="00850794">
        <w:rPr>
          <w:rFonts w:ascii="SBL BibLit" w:hAnsi="SBL BibLit" w:cs="SBL BibLit"/>
          <w:sz w:val="24"/>
          <w:szCs w:val="24"/>
          <w:rtl/>
        </w:rPr>
        <w:t xml:space="preserve">נחתמים במצוות </w:t>
      </w:r>
      <w:r w:rsidR="00F70B03" w:rsidRPr="00850794">
        <w:rPr>
          <w:rFonts w:ascii="SBL BibLit" w:hAnsi="SBL BibLit" w:cs="SBL BibLit"/>
          <w:sz w:val="24"/>
          <w:szCs w:val="24"/>
          <w:rtl/>
        </w:rPr>
        <w:t xml:space="preserve">המוטלות על </w:t>
      </w:r>
      <w:r w:rsidRPr="00850794">
        <w:rPr>
          <w:rFonts w:ascii="SBL BibLit" w:hAnsi="SBL BibLit" w:cs="SBL BibLit"/>
          <w:sz w:val="24"/>
          <w:szCs w:val="24"/>
          <w:rtl/>
        </w:rPr>
        <w:t xml:space="preserve">הכוהנים: </w:t>
      </w:r>
    </w:p>
    <w:tbl>
      <w:tblPr>
        <w:tblStyle w:val="TableGrid"/>
        <w:tblW w:w="0" w:type="auto"/>
        <w:tblLook w:val="04A0" w:firstRow="1" w:lastRow="0" w:firstColumn="1" w:lastColumn="0" w:noHBand="0" w:noVBand="1"/>
      </w:tblPr>
      <w:tblGrid>
        <w:gridCol w:w="4148"/>
        <w:gridCol w:w="4148"/>
      </w:tblGrid>
      <w:tr w:rsidR="00C3195B" w:rsidTr="00322D7D">
        <w:tc>
          <w:tcPr>
            <w:tcW w:w="4148" w:type="dxa"/>
            <w:tcBorders>
              <w:top w:val="nil"/>
              <w:left w:val="nil"/>
              <w:bottom w:val="nil"/>
              <w:right w:val="nil"/>
            </w:tcBorders>
          </w:tcPr>
          <w:p w:rsidR="00C3195B" w:rsidRPr="00C3195B" w:rsidRDefault="00322D7D" w:rsidP="00C3195B">
            <w:pPr>
              <w:bidi w:val="0"/>
              <w:spacing w:line="360" w:lineRule="auto"/>
              <w:jc w:val="center"/>
              <w:rPr>
                <w:rFonts w:ascii="SBL BibLit" w:hAnsi="SBL BibLit" w:cs="SBL BibLit"/>
                <w:sz w:val="24"/>
                <w:szCs w:val="24"/>
                <w:u w:val="single"/>
              </w:rPr>
            </w:pPr>
            <w:r>
              <w:rPr>
                <w:rFonts w:ascii="SBL BibLit" w:hAnsi="SBL BibLit" w:cs="SBL BibLit"/>
                <w:sz w:val="24"/>
                <w:szCs w:val="24"/>
                <w:u w:val="single"/>
              </w:rPr>
              <w:t xml:space="preserve">Conclusion of </w:t>
            </w:r>
            <w:r w:rsidR="00C3195B" w:rsidRPr="00C3195B">
              <w:rPr>
                <w:rFonts w:ascii="SBL BibLit" w:hAnsi="SBL BibLit" w:cs="SBL BibLit"/>
                <w:sz w:val="24"/>
                <w:szCs w:val="24"/>
                <w:u w:val="single"/>
              </w:rPr>
              <w:t>Block 1</w:t>
            </w:r>
          </w:p>
        </w:tc>
        <w:tc>
          <w:tcPr>
            <w:tcW w:w="4148" w:type="dxa"/>
            <w:tcBorders>
              <w:top w:val="nil"/>
              <w:left w:val="nil"/>
              <w:bottom w:val="nil"/>
              <w:right w:val="nil"/>
            </w:tcBorders>
          </w:tcPr>
          <w:p w:rsidR="00C3195B" w:rsidRPr="00C3195B" w:rsidRDefault="00322D7D" w:rsidP="00C3195B">
            <w:pPr>
              <w:bidi w:val="0"/>
              <w:spacing w:line="360" w:lineRule="auto"/>
              <w:jc w:val="center"/>
              <w:rPr>
                <w:rFonts w:ascii="SBL BibLit" w:hAnsi="SBL BibLit" w:cs="SBL BibLit"/>
                <w:sz w:val="24"/>
                <w:szCs w:val="24"/>
                <w:u w:val="single"/>
              </w:rPr>
            </w:pPr>
            <w:r>
              <w:rPr>
                <w:rFonts w:ascii="SBL BibLit" w:hAnsi="SBL BibLit" w:cs="SBL BibLit"/>
                <w:sz w:val="24"/>
                <w:szCs w:val="24"/>
                <w:u w:val="single"/>
              </w:rPr>
              <w:t xml:space="preserve">Conclusion of </w:t>
            </w:r>
            <w:r w:rsidR="00C3195B" w:rsidRPr="00C3195B">
              <w:rPr>
                <w:rFonts w:ascii="SBL BibLit" w:hAnsi="SBL BibLit" w:cs="SBL BibLit"/>
                <w:sz w:val="24"/>
                <w:szCs w:val="24"/>
                <w:u w:val="single"/>
              </w:rPr>
              <w:t>Block 2</w:t>
            </w:r>
          </w:p>
        </w:tc>
      </w:tr>
      <w:tr w:rsidR="00C3195B" w:rsidTr="00C3195B">
        <w:tc>
          <w:tcPr>
            <w:tcW w:w="4148" w:type="dxa"/>
            <w:tcBorders>
              <w:top w:val="nil"/>
              <w:left w:val="nil"/>
              <w:bottom w:val="nil"/>
              <w:right w:val="nil"/>
            </w:tcBorders>
          </w:tcPr>
          <w:p w:rsidR="00C3195B" w:rsidRPr="00C3195B" w:rsidRDefault="00C3195B" w:rsidP="00C3195B">
            <w:pPr>
              <w:spacing w:line="360" w:lineRule="auto"/>
              <w:rPr>
                <w:rFonts w:ascii="SBL BibLit" w:hAnsi="SBL BibLit" w:cs="SBL BibLit"/>
                <w:sz w:val="24"/>
                <w:szCs w:val="24"/>
                <w:rtl/>
              </w:rPr>
            </w:pPr>
            <w:r w:rsidRPr="00C3195B">
              <w:rPr>
                <w:rFonts w:ascii="SBL BibLit" w:hAnsi="SBL BibLit" w:cs="SBL BibLit" w:hint="cs"/>
                <w:sz w:val="24"/>
                <w:szCs w:val="24"/>
                <w:vertAlign w:val="superscript"/>
                <w:rtl/>
              </w:rPr>
              <w:t>ו:כז</w:t>
            </w:r>
            <w:r>
              <w:rPr>
                <w:rFonts w:ascii="SBL BibLit" w:hAnsi="SBL BibLit" w:cs="SBL BibLit" w:hint="cs"/>
                <w:sz w:val="24"/>
                <w:szCs w:val="24"/>
                <w:rtl/>
              </w:rPr>
              <w:t xml:space="preserve"> </w:t>
            </w:r>
            <w:r w:rsidRPr="00850794">
              <w:rPr>
                <w:rFonts w:ascii="SBL BibLit" w:hAnsi="SBL BibLit" w:cs="SBL BibLit"/>
                <w:sz w:val="24"/>
                <w:szCs w:val="24"/>
                <w:rtl/>
              </w:rPr>
              <w:t>וְשָׂמוּ אֶת שְׁמִי עַל בְּנֵי יִשְׂרָאֵל וַאֲנִי אֲבָרֲכֵם</w:t>
            </w:r>
            <w:r>
              <w:rPr>
                <w:rFonts w:ascii="SBL BibLit" w:hAnsi="SBL BibLit" w:cs="SBL BibLit" w:hint="cs"/>
                <w:sz w:val="24"/>
                <w:szCs w:val="24"/>
                <w:rtl/>
              </w:rPr>
              <w:t>.</w:t>
            </w:r>
          </w:p>
        </w:tc>
        <w:tc>
          <w:tcPr>
            <w:tcW w:w="4148" w:type="dxa"/>
            <w:tcBorders>
              <w:top w:val="nil"/>
              <w:left w:val="nil"/>
              <w:bottom w:val="nil"/>
              <w:right w:val="nil"/>
            </w:tcBorders>
          </w:tcPr>
          <w:p w:rsidR="00C3195B" w:rsidRPr="00C3195B" w:rsidRDefault="00C3195B" w:rsidP="00C3195B">
            <w:pPr>
              <w:spacing w:line="360" w:lineRule="auto"/>
              <w:rPr>
                <w:rFonts w:ascii="SBL BibLit" w:hAnsi="SBL BibLit" w:cs="SBL BibLit"/>
                <w:sz w:val="24"/>
                <w:szCs w:val="24"/>
                <w:vertAlign w:val="superscript"/>
              </w:rPr>
            </w:pPr>
            <w:r w:rsidRPr="00C3195B">
              <w:rPr>
                <w:rFonts w:ascii="SBL BibLit" w:hAnsi="SBL BibLit" w:cs="SBL BibLit"/>
                <w:sz w:val="24"/>
                <w:szCs w:val="24"/>
                <w:vertAlign w:val="superscript"/>
                <w:rtl/>
              </w:rPr>
              <w:t>י:</w:t>
            </w:r>
            <w:r w:rsidRPr="00C3195B">
              <w:rPr>
                <w:rFonts w:ascii="SBL BibLit" w:hAnsi="SBL BibLit" w:cs="SBL BibLit" w:hint="cs"/>
                <w:sz w:val="24"/>
                <w:szCs w:val="24"/>
                <w:vertAlign w:val="superscript"/>
                <w:rtl/>
              </w:rPr>
              <w:t>י</w:t>
            </w:r>
            <w:r>
              <w:rPr>
                <w:rFonts w:ascii="SBL BibLit" w:hAnsi="SBL BibLit" w:cs="SBL BibLit" w:hint="cs"/>
                <w:sz w:val="24"/>
                <w:szCs w:val="24"/>
                <w:rtl/>
              </w:rPr>
              <w:t xml:space="preserve"> </w:t>
            </w:r>
            <w:r w:rsidRPr="00C3195B">
              <w:rPr>
                <w:rFonts w:ascii="SBL BibLit" w:hAnsi="SBL BibLit" w:cs="SBL BibLit"/>
                <w:color w:val="222222"/>
                <w:sz w:val="24"/>
                <w:szCs w:val="24"/>
                <w:shd w:val="clear" w:color="auto" w:fill="FFFFFF"/>
                <w:rtl/>
              </w:rPr>
              <w:t>וְהָיוּ לָכֶם לְזִכָּרוֹן לִפְנֵי אֱלֹהֵיכֶם אֲנִי יְ</w:t>
            </w:r>
            <w:r>
              <w:rPr>
                <w:rFonts w:ascii="SBL BibLit" w:hAnsi="SBL BibLit" w:cs="SBL BibLit" w:hint="cs"/>
                <w:color w:val="222222"/>
                <w:sz w:val="24"/>
                <w:szCs w:val="24"/>
                <w:shd w:val="clear" w:color="auto" w:fill="FFFFFF"/>
                <w:rtl/>
              </w:rPr>
              <w:t>-</w:t>
            </w:r>
            <w:r w:rsidRPr="00C3195B">
              <w:rPr>
                <w:rFonts w:ascii="SBL BibLit" w:hAnsi="SBL BibLit" w:cs="SBL BibLit"/>
                <w:color w:val="222222"/>
                <w:sz w:val="24"/>
                <w:szCs w:val="24"/>
                <w:shd w:val="clear" w:color="auto" w:fill="FFFFFF"/>
                <w:rtl/>
              </w:rPr>
              <w:t>הוָה אֱלֹהֵיכֶם</w:t>
            </w:r>
            <w:r>
              <w:rPr>
                <w:rFonts w:ascii="SBL BibLit" w:hAnsi="SBL BibLit" w:cs="SBL BibLit" w:hint="cs"/>
                <w:color w:val="222222"/>
                <w:sz w:val="24"/>
                <w:szCs w:val="24"/>
                <w:shd w:val="clear" w:color="auto" w:fill="FFFFFF"/>
                <w:rtl/>
              </w:rPr>
              <w:t>.</w:t>
            </w:r>
          </w:p>
        </w:tc>
      </w:tr>
      <w:tr w:rsidR="00C3195B" w:rsidTr="00C3195B">
        <w:tc>
          <w:tcPr>
            <w:tcW w:w="4148" w:type="dxa"/>
            <w:tcBorders>
              <w:top w:val="nil"/>
              <w:left w:val="nil"/>
              <w:bottom w:val="nil"/>
              <w:right w:val="nil"/>
            </w:tcBorders>
          </w:tcPr>
          <w:p w:rsidR="00C3195B" w:rsidRPr="00C3195B" w:rsidRDefault="00C3195B" w:rsidP="00C3195B">
            <w:pPr>
              <w:autoSpaceDE w:val="0"/>
              <w:autoSpaceDN w:val="0"/>
              <w:bidi w:val="0"/>
              <w:adjustRightInd w:val="0"/>
              <w:spacing w:line="360" w:lineRule="auto"/>
              <w:rPr>
                <w:rFonts w:ascii="SBL BibLit" w:hAnsi="SBL BibLit" w:cs="SBL BibLit"/>
                <w:sz w:val="24"/>
                <w:szCs w:val="24"/>
                <w:lang w:bidi="ar-SA"/>
              </w:rPr>
            </w:pPr>
            <w:r w:rsidRPr="00C3195B">
              <w:rPr>
                <w:rFonts w:ascii="SBL BibLit" w:hAnsi="SBL BibLit" w:cs="SBL BibLit"/>
                <w:sz w:val="24"/>
                <w:szCs w:val="24"/>
                <w:vertAlign w:val="superscript"/>
              </w:rPr>
              <w:lastRenderedPageBreak/>
              <w:t>6:27</w:t>
            </w:r>
            <w:r>
              <w:rPr>
                <w:rFonts w:ascii="SBL BibLit" w:hAnsi="SBL BibLit" w:cs="SBL BibLit"/>
                <w:sz w:val="24"/>
                <w:szCs w:val="24"/>
              </w:rPr>
              <w:t xml:space="preserve"> Thus they shall link my name with the people of Israel and I shall bless them.</w:t>
            </w:r>
          </w:p>
        </w:tc>
        <w:tc>
          <w:tcPr>
            <w:tcW w:w="4148" w:type="dxa"/>
            <w:tcBorders>
              <w:top w:val="nil"/>
              <w:left w:val="nil"/>
              <w:bottom w:val="nil"/>
              <w:right w:val="nil"/>
            </w:tcBorders>
          </w:tcPr>
          <w:p w:rsidR="00C3195B" w:rsidRPr="00C3195B" w:rsidRDefault="00C3195B" w:rsidP="00C3195B">
            <w:pPr>
              <w:bidi w:val="0"/>
              <w:spacing w:line="360" w:lineRule="auto"/>
              <w:rPr>
                <w:rFonts w:ascii="SBL BibLit" w:hAnsi="SBL BibLit" w:cs="SBL BibLit"/>
                <w:sz w:val="24"/>
                <w:szCs w:val="24"/>
                <w:vertAlign w:val="superscript"/>
              </w:rPr>
            </w:pPr>
            <w:r w:rsidRPr="00C3195B">
              <w:rPr>
                <w:rFonts w:ascii="SBL BibLit" w:hAnsi="SBL BibLit" w:cs="SBL BibLit"/>
                <w:sz w:val="24"/>
                <w:szCs w:val="24"/>
                <w:vertAlign w:val="superscript"/>
              </w:rPr>
              <w:t>10:10</w:t>
            </w:r>
            <w:r w:rsidRPr="00C3195B">
              <w:rPr>
                <w:rFonts w:ascii="SBL BibLit" w:hAnsi="SBL BibLit" w:cs="SBL BibLit"/>
                <w:sz w:val="24"/>
                <w:szCs w:val="24"/>
              </w:rPr>
              <w:t xml:space="preserve"> </w:t>
            </w:r>
            <w:r w:rsidRPr="00C3195B">
              <w:rPr>
                <w:rFonts w:ascii="SBL BibLit" w:hAnsi="SBL BibLit" w:cs="SBL BibLit"/>
                <w:sz w:val="24"/>
                <w:szCs w:val="24"/>
                <w:lang w:bidi="ar-SA"/>
              </w:rPr>
              <w:t>They shall be a reminder of you before your God: I, the LORD, am your God.</w:t>
            </w:r>
          </w:p>
        </w:tc>
      </w:tr>
    </w:tbl>
    <w:p w:rsidR="00C3195B" w:rsidRDefault="00C3195B" w:rsidP="00C3195B">
      <w:pPr>
        <w:bidi w:val="0"/>
        <w:spacing w:line="360" w:lineRule="auto"/>
        <w:rPr>
          <w:rFonts w:ascii="SBL BibLit" w:hAnsi="SBL BibLit" w:cs="SBL BibLit"/>
          <w:sz w:val="24"/>
          <w:szCs w:val="24"/>
        </w:rPr>
      </w:pPr>
    </w:p>
    <w:p w:rsidR="00F0269B" w:rsidRPr="00850794" w:rsidRDefault="00F0269B" w:rsidP="00850794">
      <w:pPr>
        <w:bidi w:val="0"/>
        <w:spacing w:line="360" w:lineRule="auto"/>
        <w:jc w:val="center"/>
        <w:rPr>
          <w:rFonts w:ascii="SBL BibLit" w:hAnsi="SBL BibLit" w:cs="SBL BibLit"/>
          <w:b/>
          <w:bCs/>
          <w:sz w:val="24"/>
          <w:szCs w:val="24"/>
        </w:rPr>
      </w:pPr>
      <w:r w:rsidRPr="00850794">
        <w:rPr>
          <w:rFonts w:ascii="SBL BibLit" w:hAnsi="SBL BibLit" w:cs="SBL BibLit"/>
          <w:b/>
          <w:bCs/>
          <w:sz w:val="24"/>
          <w:szCs w:val="24"/>
        </w:rPr>
        <w:t>The Tabernacle versus the Camp</w:t>
      </w:r>
    </w:p>
    <w:p w:rsidR="001C1469" w:rsidRPr="00850794" w:rsidRDefault="001C1469"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 xml:space="preserve">לפי הצעה </w:t>
      </w:r>
      <w:r w:rsidR="00B00F93" w:rsidRPr="00850794">
        <w:rPr>
          <w:rFonts w:ascii="SBL BibLit" w:hAnsi="SBL BibLit" w:cs="SBL BibLit"/>
          <w:sz w:val="24"/>
          <w:szCs w:val="24"/>
          <w:rtl/>
        </w:rPr>
        <w:t xml:space="preserve">מבנית </w:t>
      </w:r>
      <w:r w:rsidRPr="00850794">
        <w:rPr>
          <w:rFonts w:ascii="SBL BibLit" w:hAnsi="SBL BibLit" w:cs="SBL BibLit"/>
          <w:sz w:val="24"/>
          <w:szCs w:val="24"/>
          <w:rtl/>
        </w:rPr>
        <w:t>זו</w:t>
      </w:r>
      <w:r w:rsidR="00B00F93" w:rsidRPr="00850794">
        <w:rPr>
          <w:rFonts w:ascii="SBL BibLit" w:hAnsi="SBL BibLit" w:cs="SBL BibLit"/>
          <w:sz w:val="24"/>
          <w:szCs w:val="24"/>
          <w:rtl/>
        </w:rPr>
        <w:t>,</w:t>
      </w:r>
      <w:r w:rsidRPr="00850794">
        <w:rPr>
          <w:rFonts w:ascii="SBL BibLit" w:hAnsi="SBL BibLit" w:cs="SBL BibLit"/>
          <w:sz w:val="24"/>
          <w:szCs w:val="24"/>
          <w:rtl/>
        </w:rPr>
        <w:t xml:space="preserve"> שתי המחציות נחתמו</w:t>
      </w:r>
      <w:r w:rsidR="00B00F93" w:rsidRPr="00850794">
        <w:rPr>
          <w:rFonts w:ascii="SBL BibLit" w:hAnsi="SBL BibLit" w:cs="SBL BibLit"/>
          <w:sz w:val="24"/>
          <w:szCs w:val="24"/>
          <w:rtl/>
        </w:rPr>
        <w:t xml:space="preserve">ת בדיני </w:t>
      </w:r>
      <w:r w:rsidRPr="00850794">
        <w:rPr>
          <w:rFonts w:ascii="SBL BibLit" w:hAnsi="SBL BibLit" w:cs="SBL BibLit"/>
          <w:sz w:val="24"/>
          <w:szCs w:val="24"/>
          <w:rtl/>
        </w:rPr>
        <w:t xml:space="preserve">כוהנים </w:t>
      </w:r>
      <w:r w:rsidR="00B00F93" w:rsidRPr="00850794">
        <w:rPr>
          <w:rFonts w:ascii="SBL BibLit" w:hAnsi="SBL BibLit" w:cs="SBL BibLit"/>
          <w:sz w:val="24"/>
          <w:szCs w:val="24"/>
          <w:rtl/>
        </w:rPr>
        <w:t xml:space="preserve">ומשולבות בהן ברכות שמעידות על הקשר המתמיד בין ישראל לה'. אם אמנם מבנה זה משכנע, יש לבחון את </w:t>
      </w:r>
      <w:r w:rsidRPr="00850794">
        <w:rPr>
          <w:rFonts w:ascii="SBL BibLit" w:hAnsi="SBL BibLit" w:cs="SBL BibLit"/>
          <w:sz w:val="24"/>
          <w:szCs w:val="24"/>
          <w:rtl/>
        </w:rPr>
        <w:t>יחס אירועי החודש הראשון (החלק הראשון) לאירועי החודש השני (החלק השני).</w:t>
      </w:r>
      <w:r w:rsidR="00B00F93" w:rsidRPr="00850794">
        <w:rPr>
          <w:rFonts w:ascii="SBL BibLit" w:hAnsi="SBL BibLit" w:cs="SBL BibLit"/>
          <w:sz w:val="24"/>
          <w:szCs w:val="24"/>
          <w:rtl/>
        </w:rPr>
        <w:t xml:space="preserve"> דומה שיהיה נכון להצביע על מקומו של המשכן כדבר המרכזי שמבדיל בין שני החלקים: </w:t>
      </w:r>
      <w:r w:rsidRPr="00850794">
        <w:rPr>
          <w:rFonts w:ascii="SBL BibLit" w:hAnsi="SBL BibLit" w:cs="SBL BibLit"/>
          <w:sz w:val="24"/>
          <w:szCs w:val="24"/>
          <w:rtl/>
        </w:rPr>
        <w:t>הרכיבים בחלק הראשון מוגשים שוב בחלק השני אך מתוך התמקדות מיוחדת במשכן.</w:t>
      </w:r>
    </w:p>
    <w:p w:rsidR="00B010F2" w:rsidRPr="00850794" w:rsidRDefault="001C1469"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 xml:space="preserve">ברכיב הפותח הדבר בולט ביותר: בחלק הראשון המוקד הוא בניית המחנה עצמו. </w:t>
      </w:r>
      <w:r w:rsidR="00B010F2" w:rsidRPr="00850794">
        <w:rPr>
          <w:rFonts w:ascii="SBL BibLit" w:hAnsi="SBL BibLit" w:cs="SBL BibLit"/>
          <w:sz w:val="24"/>
          <w:szCs w:val="24"/>
          <w:rtl/>
        </w:rPr>
        <w:t xml:space="preserve">אכן לנשיאים תפקיד של ממש במפקד בני ישראל ובניהול המסע אך הם עומדים ופניהם אל ישראל כולם, והם אחראים על בנייתו של המחנה הנח והנודד. לעומת זאת, </w:t>
      </w:r>
      <w:r w:rsidRPr="00850794">
        <w:rPr>
          <w:rFonts w:ascii="SBL BibLit" w:hAnsi="SBL BibLit" w:cs="SBL BibLit"/>
          <w:sz w:val="24"/>
          <w:szCs w:val="24"/>
          <w:rtl/>
        </w:rPr>
        <w:t>בחלק השני</w:t>
      </w:r>
      <w:r w:rsidR="00B010F2" w:rsidRPr="00850794">
        <w:rPr>
          <w:rFonts w:ascii="SBL BibLit" w:hAnsi="SBL BibLit" w:cs="SBL BibLit"/>
          <w:sz w:val="24"/>
          <w:szCs w:val="24"/>
          <w:rtl/>
        </w:rPr>
        <w:t xml:space="preserve"> הנשיאים אינם עומדים מול העם אלא מול המשכן ומול המזבח. בחלק זה הם חונכים את המזבח ומביאים קרבנות רבים. גם אם הם באים בשם השבט כולו, לא הוא מוקד הפרשייה אלא המזבח הנחנך.</w:t>
      </w:r>
    </w:p>
    <w:p w:rsidR="00F0269B" w:rsidRPr="00850794" w:rsidRDefault="001C1469" w:rsidP="00850794">
      <w:pPr>
        <w:spacing w:line="360" w:lineRule="auto"/>
        <w:jc w:val="both"/>
        <w:rPr>
          <w:rFonts w:ascii="SBL BibLit" w:hAnsi="SBL BibLit" w:cs="SBL BibLit"/>
          <w:sz w:val="24"/>
          <w:szCs w:val="24"/>
        </w:rPr>
      </w:pPr>
      <w:r w:rsidRPr="00850794">
        <w:rPr>
          <w:rFonts w:ascii="SBL BibLit" w:hAnsi="SBL BibLit" w:cs="SBL BibLit"/>
          <w:sz w:val="24"/>
          <w:szCs w:val="24"/>
          <w:rtl/>
        </w:rPr>
        <w:t>כך גם ב</w:t>
      </w:r>
      <w:r w:rsidR="00FA5EA1" w:rsidRPr="00850794">
        <w:rPr>
          <w:rFonts w:ascii="SBL BibLit" w:hAnsi="SBL BibLit" w:cs="SBL BibLit"/>
          <w:sz w:val="24"/>
          <w:szCs w:val="24"/>
          <w:rtl/>
        </w:rPr>
        <w:t>השוואת ה</w:t>
      </w:r>
      <w:r w:rsidRPr="00850794">
        <w:rPr>
          <w:rFonts w:ascii="SBL BibLit" w:hAnsi="SBL BibLit" w:cs="SBL BibLit"/>
          <w:sz w:val="24"/>
          <w:szCs w:val="24"/>
          <w:rtl/>
        </w:rPr>
        <w:t>רכיב השני בשני החלקים: עיקר ההתרחשות בפרקים ג'</w:t>
      </w:r>
      <w:r w:rsidR="007B2642" w:rsidRPr="00850794">
        <w:rPr>
          <w:rFonts w:ascii="SBL BibLit" w:hAnsi="SBL BibLit" w:cs="SBL BibLit"/>
          <w:sz w:val="24"/>
          <w:szCs w:val="24"/>
          <w:rtl/>
        </w:rPr>
        <w:t>-ד'</w:t>
      </w:r>
      <w:r w:rsidRPr="00850794">
        <w:rPr>
          <w:rFonts w:ascii="SBL BibLit" w:hAnsi="SBL BibLit" w:cs="SBL BibLit"/>
          <w:sz w:val="24"/>
          <w:szCs w:val="24"/>
          <w:rtl/>
        </w:rPr>
        <w:t xml:space="preserve"> היא החיכוך שבין ישראל ללויים. הם </w:t>
      </w:r>
      <w:r w:rsidR="007B2642" w:rsidRPr="00850794">
        <w:rPr>
          <w:rFonts w:ascii="SBL BibLit" w:hAnsi="SBL BibLit" w:cs="SBL BibLit"/>
          <w:sz w:val="24"/>
          <w:szCs w:val="24"/>
          <w:rtl/>
        </w:rPr>
        <w:t xml:space="preserve">נספרים לצד ישראל ומחליפים את בכורותיהם. </w:t>
      </w:r>
      <w:r w:rsidRPr="00850794">
        <w:rPr>
          <w:rFonts w:ascii="SBL BibLit" w:hAnsi="SBL BibLit" w:cs="SBL BibLit"/>
          <w:sz w:val="24"/>
          <w:szCs w:val="24"/>
          <w:rtl/>
        </w:rPr>
        <w:t xml:space="preserve">גם </w:t>
      </w:r>
      <w:r w:rsidR="007B2642" w:rsidRPr="00850794">
        <w:rPr>
          <w:rFonts w:ascii="SBL BibLit" w:hAnsi="SBL BibLit" w:cs="SBL BibLit"/>
          <w:sz w:val="24"/>
          <w:szCs w:val="24"/>
          <w:rtl/>
        </w:rPr>
        <w:t xml:space="preserve">התפקיד שנכון להם מול המשכן מתמקד </w:t>
      </w:r>
      <w:r w:rsidR="00AE5728" w:rsidRPr="00850794">
        <w:rPr>
          <w:rFonts w:ascii="SBL BibLit" w:hAnsi="SBL BibLit" w:cs="SBL BibLit"/>
          <w:sz w:val="24"/>
          <w:szCs w:val="24"/>
          <w:rtl/>
        </w:rPr>
        <w:t xml:space="preserve">למעשה </w:t>
      </w:r>
      <w:r w:rsidR="00AE5728" w:rsidRPr="00850794">
        <w:rPr>
          <w:rFonts w:ascii="SBL BibLit" w:hAnsi="SBL BibLit" w:cs="SBL BibLit"/>
          <w:b/>
          <w:bCs/>
          <w:sz w:val="24"/>
          <w:szCs w:val="24"/>
          <w:rtl/>
        </w:rPr>
        <w:t>בפירוק</w:t>
      </w:r>
      <w:r w:rsidR="00AE5728" w:rsidRPr="00850794">
        <w:rPr>
          <w:rFonts w:ascii="SBL BibLit" w:hAnsi="SBL BibLit" w:cs="SBL BibLit"/>
          <w:sz w:val="24"/>
          <w:szCs w:val="24"/>
          <w:rtl/>
        </w:rPr>
        <w:t xml:space="preserve"> המשכן ולהליכה במסע כשאין משכן. </w:t>
      </w:r>
      <w:r w:rsidR="007B2642" w:rsidRPr="00850794">
        <w:rPr>
          <w:rFonts w:ascii="SBL BibLit" w:hAnsi="SBL BibLit" w:cs="SBL BibLit"/>
          <w:sz w:val="24"/>
          <w:szCs w:val="24"/>
          <w:rtl/>
        </w:rPr>
        <w:t xml:space="preserve">כלומר, תפקידם מול המשכן הוא לשנע אותו כשאיננו עומד, כשאיננו מתפקד. </w:t>
      </w:r>
      <w:r w:rsidR="00AE5728" w:rsidRPr="00850794">
        <w:rPr>
          <w:rFonts w:ascii="SBL BibLit" w:hAnsi="SBL BibLit" w:cs="SBL BibLit"/>
          <w:sz w:val="24"/>
          <w:szCs w:val="24"/>
          <w:rtl/>
        </w:rPr>
        <w:t xml:space="preserve">יושם לב, שבחלק </w:t>
      </w:r>
      <w:r w:rsidR="007B2642" w:rsidRPr="00850794">
        <w:rPr>
          <w:rFonts w:ascii="SBL BibLit" w:hAnsi="SBL BibLit" w:cs="SBL BibLit"/>
          <w:sz w:val="24"/>
          <w:szCs w:val="24"/>
          <w:rtl/>
        </w:rPr>
        <w:t xml:space="preserve">הראשון </w:t>
      </w:r>
      <w:r w:rsidR="00AE5728" w:rsidRPr="00850794">
        <w:rPr>
          <w:rFonts w:ascii="SBL BibLit" w:hAnsi="SBL BibLit" w:cs="SBL BibLit"/>
          <w:sz w:val="24"/>
          <w:szCs w:val="24"/>
          <w:rtl/>
        </w:rPr>
        <w:t>אף מודגש שאסור ללוויים לגשת אל כלי המשכן עצמם</w:t>
      </w:r>
      <w:r w:rsidR="007B2642" w:rsidRPr="00850794">
        <w:rPr>
          <w:rFonts w:ascii="SBL BibLit" w:hAnsi="SBL BibLit" w:cs="SBL BibLit"/>
          <w:sz w:val="24"/>
          <w:szCs w:val="24"/>
          <w:rtl/>
        </w:rPr>
        <w:t xml:space="preserve"> (ד', 20)</w:t>
      </w:r>
      <w:r w:rsidR="00AE5728" w:rsidRPr="00850794">
        <w:rPr>
          <w:rFonts w:ascii="SBL BibLit" w:hAnsi="SBL BibLit" w:cs="SBL BibLit"/>
          <w:sz w:val="24"/>
          <w:szCs w:val="24"/>
          <w:rtl/>
        </w:rPr>
        <w:t xml:space="preserve"> – דבר זה מסור לכוהנים. ה</w:t>
      </w:r>
      <w:r w:rsidR="007B2642" w:rsidRPr="00850794">
        <w:rPr>
          <w:rFonts w:ascii="SBL BibLit" w:hAnsi="SBL BibLit" w:cs="SBL BibLit"/>
          <w:sz w:val="24"/>
          <w:szCs w:val="24"/>
          <w:rtl/>
        </w:rPr>
        <w:t>לוויים</w:t>
      </w:r>
      <w:r w:rsidR="00AE5728" w:rsidRPr="00850794">
        <w:rPr>
          <w:rFonts w:ascii="SBL BibLit" w:hAnsi="SBL BibLit" w:cs="SBL BibLit"/>
          <w:sz w:val="24"/>
          <w:szCs w:val="24"/>
          <w:rtl/>
        </w:rPr>
        <w:t xml:space="preserve"> יכולים לשאת את המשכן על גבם רק לאחר פירוקו וכיסויו. </w:t>
      </w:r>
    </w:p>
    <w:p w:rsidR="00F0269B" w:rsidRPr="00850794" w:rsidRDefault="00AE5728" w:rsidP="00850794">
      <w:pPr>
        <w:spacing w:line="360" w:lineRule="auto"/>
        <w:jc w:val="both"/>
        <w:rPr>
          <w:rFonts w:ascii="SBL BibLit" w:hAnsi="SBL BibLit" w:cs="SBL BibLit"/>
          <w:sz w:val="24"/>
          <w:szCs w:val="24"/>
        </w:rPr>
      </w:pPr>
      <w:r w:rsidRPr="00850794">
        <w:rPr>
          <w:rFonts w:ascii="SBL BibLit" w:hAnsi="SBL BibLit" w:cs="SBL BibLit"/>
          <w:sz w:val="24"/>
          <w:szCs w:val="24"/>
          <w:rtl/>
        </w:rPr>
        <w:t xml:space="preserve">שונה מכך מעמד הלויים בחלק השני. אכן, גם כאן מתואר מסעם של הלויים מישראל אל הכוהנים, אך בחלק זה פורץ סיפור חינוכם שנעדר מהחלק הראשון: </w:t>
      </w:r>
      <w:r w:rsidR="007B2642" w:rsidRPr="00850794">
        <w:rPr>
          <w:rFonts w:ascii="SBL BibLit" w:hAnsi="SBL BibLit" w:cs="SBL BibLit"/>
          <w:sz w:val="24"/>
          <w:szCs w:val="24"/>
          <w:rtl/>
        </w:rPr>
        <w:t xml:space="preserve">סיפור זה מתמקד בכניסתם אל המרחב </w:t>
      </w:r>
      <w:r w:rsidR="007B2642" w:rsidRPr="00850794">
        <w:rPr>
          <w:rFonts w:ascii="SBL BibLit" w:hAnsi="SBL BibLit" w:cs="SBL BibLit"/>
          <w:sz w:val="24"/>
          <w:szCs w:val="24"/>
          <w:rtl/>
        </w:rPr>
        <w:lastRenderedPageBreak/>
        <w:t xml:space="preserve">המשכני וכאן ישמע הקורא על </w:t>
      </w:r>
      <w:r w:rsidRPr="00850794">
        <w:rPr>
          <w:rFonts w:ascii="SBL BibLit" w:hAnsi="SBL BibLit" w:cs="SBL BibLit"/>
          <w:sz w:val="24"/>
          <w:szCs w:val="24"/>
          <w:rtl/>
        </w:rPr>
        <w:t xml:space="preserve">הקרבנות שעליהם להביא, </w:t>
      </w:r>
      <w:r w:rsidR="007B2642" w:rsidRPr="00850794">
        <w:rPr>
          <w:rFonts w:ascii="SBL BibLit" w:hAnsi="SBL BibLit" w:cs="SBL BibLit"/>
          <w:sz w:val="24"/>
          <w:szCs w:val="24"/>
          <w:rtl/>
        </w:rPr>
        <w:t xml:space="preserve">על </w:t>
      </w:r>
      <w:r w:rsidRPr="00850794">
        <w:rPr>
          <w:rFonts w:ascii="SBL BibLit" w:hAnsi="SBL BibLit" w:cs="SBL BibLit"/>
          <w:sz w:val="24"/>
          <w:szCs w:val="24"/>
          <w:rtl/>
        </w:rPr>
        <w:t xml:space="preserve">הנפתם בידי משה ובידי אהרן. כאן התחושה היא שתפקידם לא לשאת את המשכן כשהוא אינו פעיל, אלא </w:t>
      </w:r>
      <w:r w:rsidR="007B2642" w:rsidRPr="00850794">
        <w:rPr>
          <w:rFonts w:ascii="SBL BibLit" w:hAnsi="SBL BibLit" w:cs="SBL BibLit"/>
          <w:sz w:val="24"/>
          <w:szCs w:val="24"/>
          <w:rtl/>
        </w:rPr>
        <w:t>'</w:t>
      </w:r>
      <w:r w:rsidRPr="00850794">
        <w:rPr>
          <w:rFonts w:ascii="SBL BibLit" w:hAnsi="SBL BibLit" w:cs="SBL BibLit"/>
          <w:sz w:val="24"/>
          <w:szCs w:val="24"/>
          <w:rtl/>
        </w:rPr>
        <w:t>לעבוד</w:t>
      </w:r>
      <w:r w:rsidR="007B2642" w:rsidRPr="00850794">
        <w:rPr>
          <w:rFonts w:ascii="SBL BibLit" w:hAnsi="SBL BibLit" w:cs="SBL BibLit"/>
          <w:sz w:val="24"/>
          <w:szCs w:val="24"/>
          <w:rtl/>
        </w:rPr>
        <w:t>'</w:t>
      </w:r>
      <w:r w:rsidRPr="00850794">
        <w:rPr>
          <w:rFonts w:ascii="SBL BibLit" w:hAnsi="SBL BibLit" w:cs="SBL BibLit"/>
          <w:sz w:val="24"/>
          <w:szCs w:val="24"/>
          <w:rtl/>
        </w:rPr>
        <w:t xml:space="preserve"> בו – או לפחות לעזור לעובדים בו – כשהוא פעיל</w:t>
      </w:r>
      <w:r w:rsidR="007B2642" w:rsidRPr="00850794">
        <w:rPr>
          <w:rFonts w:ascii="SBL BibLit" w:hAnsi="SBL BibLit" w:cs="SBL BibLit"/>
          <w:sz w:val="24"/>
          <w:szCs w:val="24"/>
          <w:rtl/>
        </w:rPr>
        <w:t xml:space="preserve"> ועומד</w:t>
      </w:r>
      <w:r w:rsidRPr="00850794">
        <w:rPr>
          <w:rFonts w:ascii="SBL BibLit" w:hAnsi="SBL BibLit" w:cs="SBL BibLit"/>
          <w:sz w:val="24"/>
          <w:szCs w:val="24"/>
          <w:rtl/>
        </w:rPr>
        <w:t xml:space="preserve">, ואדרבא – הם המוצגים כניגשים אל הקודש במקום ישראל: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3060"/>
      </w:tblGrid>
      <w:tr w:rsidR="00F0269B" w:rsidRPr="00850794" w:rsidTr="00322D7D">
        <w:tc>
          <w:tcPr>
            <w:tcW w:w="5236" w:type="dxa"/>
          </w:tcPr>
          <w:p w:rsidR="00F0269B" w:rsidRPr="00322D7D" w:rsidRDefault="00322D7D" w:rsidP="00322D7D">
            <w:pPr>
              <w:autoSpaceDE w:val="0"/>
              <w:autoSpaceDN w:val="0"/>
              <w:bidi w:val="0"/>
              <w:adjustRightInd w:val="0"/>
              <w:spacing w:line="360" w:lineRule="auto"/>
              <w:rPr>
                <w:rFonts w:ascii="SBL BibLit" w:hAnsi="SBL BibLit" w:cs="SBL BibLit"/>
                <w:sz w:val="24"/>
                <w:szCs w:val="24"/>
                <w:rtl/>
                <w:lang w:bidi="ar-SA"/>
              </w:rPr>
            </w:pPr>
            <w:r w:rsidRPr="00322D7D">
              <w:rPr>
                <w:rFonts w:ascii="SBL BibLit" w:hAnsi="SBL BibLit" w:cs="SBL BibLit"/>
                <w:sz w:val="24"/>
                <w:szCs w:val="24"/>
                <w:vertAlign w:val="superscript"/>
              </w:rPr>
              <w:t>Num 8:19</w:t>
            </w:r>
            <w:r w:rsidRPr="00322D7D">
              <w:rPr>
                <w:rFonts w:ascii="SBL BibLit" w:hAnsi="SBL BibLit" w:cs="SBL BibLit"/>
                <w:sz w:val="24"/>
                <w:szCs w:val="24"/>
              </w:rPr>
              <w:t xml:space="preserve"> </w:t>
            </w:r>
            <w:r w:rsidRPr="00322D7D">
              <w:rPr>
                <w:rFonts w:ascii="SBL BibLit" w:hAnsi="SBL BibLit" w:cs="SBL BibLit"/>
                <w:sz w:val="24"/>
                <w:szCs w:val="24"/>
                <w:lang w:bidi="ar-SA"/>
              </w:rPr>
              <w:t xml:space="preserve">and from among </w:t>
            </w:r>
            <w:r w:rsidRPr="00322D7D">
              <w:rPr>
                <w:rFonts w:ascii="SBL BibLit" w:hAnsi="SBL BibLit" w:cs="SBL BibLit"/>
                <w:sz w:val="24"/>
                <w:szCs w:val="24"/>
                <w:lang w:bidi="ar-SA"/>
              </w:rPr>
              <w:t>the Israelites I</w:t>
            </w:r>
            <w:r w:rsidRPr="00322D7D">
              <w:rPr>
                <w:rFonts w:ascii="SBL BibLit" w:hAnsi="SBL BibLit" w:cs="SBL BibLit"/>
                <w:sz w:val="24"/>
                <w:szCs w:val="24"/>
                <w:lang w:bidi="ar-SA"/>
              </w:rPr>
              <w:t xml:space="preserve"> formally assign the Levites to </w:t>
            </w:r>
            <w:r w:rsidRPr="00322D7D">
              <w:rPr>
                <w:rFonts w:ascii="SBL BibLit" w:hAnsi="SBL BibLit" w:cs="SBL BibLit"/>
                <w:sz w:val="24"/>
                <w:szCs w:val="24"/>
                <w:lang w:bidi="ar-SA"/>
              </w:rPr>
              <w:t>Aaron and his s</w:t>
            </w:r>
            <w:r w:rsidRPr="00322D7D">
              <w:rPr>
                <w:rFonts w:ascii="SBL BibLit" w:hAnsi="SBL BibLit" w:cs="SBL BibLit"/>
                <w:sz w:val="24"/>
                <w:szCs w:val="24"/>
                <w:lang w:bidi="ar-SA"/>
              </w:rPr>
              <w:t xml:space="preserve">ons, to perform the service for </w:t>
            </w:r>
            <w:r w:rsidRPr="00322D7D">
              <w:rPr>
                <w:rFonts w:ascii="SBL BibLit" w:hAnsi="SBL BibLit" w:cs="SBL BibLit"/>
                <w:sz w:val="24"/>
                <w:szCs w:val="24"/>
                <w:lang w:bidi="ar-SA"/>
              </w:rPr>
              <w:t xml:space="preserve">the Israelites in </w:t>
            </w:r>
            <w:r w:rsidRPr="00322D7D">
              <w:rPr>
                <w:rFonts w:ascii="SBL BibLit" w:hAnsi="SBL BibLit" w:cs="SBL BibLit"/>
                <w:sz w:val="24"/>
                <w:szCs w:val="24"/>
                <w:lang w:bidi="ar-SA"/>
              </w:rPr>
              <w:t xml:space="preserve">the Tent of Meeting and to make </w:t>
            </w:r>
            <w:r w:rsidRPr="00322D7D">
              <w:rPr>
                <w:rFonts w:ascii="SBL BibLit" w:hAnsi="SBL BibLit" w:cs="SBL BibLit"/>
                <w:sz w:val="24"/>
                <w:szCs w:val="24"/>
                <w:lang w:bidi="ar-SA"/>
              </w:rPr>
              <w:t>expiation for th</w:t>
            </w:r>
            <w:r w:rsidRPr="00322D7D">
              <w:rPr>
                <w:rFonts w:ascii="SBL BibLit" w:hAnsi="SBL BibLit" w:cs="SBL BibLit"/>
                <w:sz w:val="24"/>
                <w:szCs w:val="24"/>
                <w:lang w:bidi="ar-SA"/>
              </w:rPr>
              <w:t xml:space="preserve">e Israelites, so that no plague </w:t>
            </w:r>
            <w:r w:rsidRPr="00322D7D">
              <w:rPr>
                <w:rFonts w:ascii="SBL BibLit" w:hAnsi="SBL BibLit" w:cs="SBL BibLit"/>
                <w:sz w:val="24"/>
                <w:szCs w:val="24"/>
                <w:lang w:bidi="ar-SA"/>
              </w:rPr>
              <w:t>may a</w:t>
            </w:r>
            <w:r w:rsidRPr="00322D7D">
              <w:rPr>
                <w:rFonts w:ascii="SBL BibLit" w:eastAsia="MinionExp-Regular" w:hAnsi="SBL BibLit" w:cs="SBL BibLit"/>
                <w:sz w:val="24"/>
                <w:szCs w:val="24"/>
                <w:lang w:bidi="ar-SA"/>
              </w:rPr>
              <w:t>ffl</w:t>
            </w:r>
            <w:r w:rsidRPr="00322D7D">
              <w:rPr>
                <w:rFonts w:ascii="SBL BibLit" w:hAnsi="SBL BibLit" w:cs="SBL BibLit"/>
                <w:sz w:val="24"/>
                <w:szCs w:val="24"/>
                <w:lang w:bidi="ar-SA"/>
              </w:rPr>
              <w:t>ict the Israelites for coming</w:t>
            </w:r>
            <w:r w:rsidRPr="00322D7D">
              <w:rPr>
                <w:rFonts w:ascii="SBL BibLit" w:hAnsi="SBL BibLit" w:cs="SBL BibLit"/>
                <w:i/>
                <w:iCs/>
                <w:sz w:val="24"/>
                <w:szCs w:val="24"/>
                <w:lang w:bidi="ar-SA"/>
              </w:rPr>
              <w:t xml:space="preserve"> </w:t>
            </w:r>
            <w:r w:rsidRPr="00322D7D">
              <w:rPr>
                <w:rFonts w:ascii="SBL BibLit" w:hAnsi="SBL BibLit" w:cs="SBL BibLit"/>
                <w:sz w:val="24"/>
                <w:szCs w:val="24"/>
                <w:lang w:bidi="ar-SA"/>
              </w:rPr>
              <w:t xml:space="preserve">too near </w:t>
            </w:r>
            <w:r w:rsidRPr="00322D7D">
              <w:rPr>
                <w:rFonts w:ascii="SBL BibLit" w:hAnsi="SBL BibLit" w:cs="SBL BibLit"/>
                <w:sz w:val="24"/>
                <w:szCs w:val="24"/>
                <w:lang w:bidi="ar-SA"/>
              </w:rPr>
              <w:t>the sanctuary.</w:t>
            </w:r>
          </w:p>
        </w:tc>
        <w:tc>
          <w:tcPr>
            <w:tcW w:w="3060" w:type="dxa"/>
          </w:tcPr>
          <w:p w:rsidR="00F0269B" w:rsidRPr="00850794" w:rsidRDefault="00322D7D" w:rsidP="00850794">
            <w:pPr>
              <w:spacing w:line="360" w:lineRule="auto"/>
              <w:jc w:val="both"/>
              <w:rPr>
                <w:rFonts w:ascii="SBL BibLit" w:hAnsi="SBL BibLit" w:cs="SBL BibLit"/>
                <w:sz w:val="24"/>
                <w:szCs w:val="24"/>
                <w:rtl/>
              </w:rPr>
            </w:pPr>
            <w:r>
              <w:rPr>
                <w:rFonts w:ascii="SBL BibLit" w:hAnsi="SBL BibLit" w:cs="SBL BibLit" w:hint="cs"/>
                <w:sz w:val="24"/>
                <w:szCs w:val="24"/>
                <w:vertAlign w:val="superscript"/>
                <w:rtl/>
              </w:rPr>
              <w:t>במדבר</w:t>
            </w:r>
            <w:r w:rsidR="00555F35" w:rsidRPr="00850794">
              <w:rPr>
                <w:rFonts w:ascii="SBL BibLit" w:hAnsi="SBL BibLit" w:cs="SBL BibLit"/>
                <w:sz w:val="24"/>
                <w:szCs w:val="24"/>
                <w:vertAlign w:val="superscript"/>
                <w:rtl/>
              </w:rPr>
              <w:t xml:space="preserve"> </w:t>
            </w:r>
            <w:r w:rsidR="00F0269B" w:rsidRPr="00850794">
              <w:rPr>
                <w:rFonts w:ascii="SBL BibLit" w:hAnsi="SBL BibLit" w:cs="SBL BibLit"/>
                <w:sz w:val="24"/>
                <w:szCs w:val="24"/>
                <w:vertAlign w:val="superscript"/>
                <w:rtl/>
              </w:rPr>
              <w:t>ח:יט</w:t>
            </w:r>
            <w:r w:rsidR="00F0269B" w:rsidRPr="00850794">
              <w:rPr>
                <w:rFonts w:ascii="SBL BibLit" w:hAnsi="SBL BibLit" w:cs="SBL BibLit"/>
                <w:sz w:val="24"/>
                <w:szCs w:val="24"/>
                <w:rtl/>
              </w:rPr>
              <w:t xml:space="preserve"> </w:t>
            </w:r>
            <w:r w:rsidR="00F0269B" w:rsidRPr="00850794">
              <w:rPr>
                <w:rFonts w:ascii="SBL BibLit" w:hAnsi="SBL BibLit" w:cs="SBL BibLit"/>
                <w:sz w:val="24"/>
                <w:szCs w:val="24"/>
                <w:rtl/>
              </w:rPr>
              <w:t>וָאֶתְּנָה אֶת הַלְוִיִּם נְתֻנִים לְאַהֲרֹן וּלְבָנָיו מִתּוֹךְ בְּנֵי יִשְׂרָאֵל לַעֲבֹד אֶת עֲבֹדַת בְּנֵי יִשְׂרָאֵל בְּאֹהֶל מוֹעֵד וּלְכַפֵּר עַל בְּנֵי יִשְׂרָאֵל וְלֹא יִהְיֶה בִּבְנֵי יִשְׂרָאֵל נֶגֶף בְּגֶשֶׁת בְּנֵי יִשְׂרָאֵל אֶל הַקֹּדֶשׁ.</w:t>
            </w:r>
          </w:p>
        </w:tc>
      </w:tr>
    </w:tbl>
    <w:p w:rsidR="00F0269B" w:rsidRPr="00850794" w:rsidRDefault="00F0269B" w:rsidP="00850794">
      <w:pPr>
        <w:spacing w:line="360" w:lineRule="auto"/>
        <w:jc w:val="both"/>
        <w:rPr>
          <w:rFonts w:ascii="SBL BibLit" w:hAnsi="SBL BibLit" w:cs="SBL BibLit"/>
          <w:sz w:val="24"/>
          <w:szCs w:val="24"/>
        </w:rPr>
      </w:pPr>
    </w:p>
    <w:p w:rsidR="00555F35" w:rsidRPr="00850794" w:rsidRDefault="000910C4" w:rsidP="00322D7D">
      <w:pPr>
        <w:spacing w:line="360" w:lineRule="auto"/>
        <w:jc w:val="both"/>
        <w:rPr>
          <w:rFonts w:ascii="SBL BibLit" w:hAnsi="SBL BibLit" w:cs="SBL BibLit"/>
          <w:sz w:val="24"/>
          <w:szCs w:val="24"/>
          <w:rtl/>
        </w:rPr>
      </w:pPr>
      <w:r w:rsidRPr="00850794">
        <w:rPr>
          <w:rFonts w:ascii="SBL BibLit" w:hAnsi="SBL BibLit" w:cs="SBL BibLit"/>
          <w:sz w:val="24"/>
          <w:szCs w:val="24"/>
          <w:rtl/>
        </w:rPr>
        <w:t>ה</w:t>
      </w:r>
      <w:r w:rsidR="004E2DE9" w:rsidRPr="00850794">
        <w:rPr>
          <w:rFonts w:ascii="SBL BibLit" w:hAnsi="SBL BibLit" w:cs="SBL BibLit"/>
          <w:sz w:val="24"/>
          <w:szCs w:val="24"/>
          <w:rtl/>
        </w:rPr>
        <w:t xml:space="preserve">פער </w:t>
      </w:r>
      <w:r w:rsidRPr="00850794">
        <w:rPr>
          <w:rFonts w:ascii="SBL BibLit" w:hAnsi="SBL BibLit" w:cs="SBL BibLit"/>
          <w:sz w:val="24"/>
          <w:szCs w:val="24"/>
          <w:rtl/>
        </w:rPr>
        <w:t xml:space="preserve">שבין שני החלקים </w:t>
      </w:r>
      <w:r w:rsidR="004E2DE9" w:rsidRPr="00850794">
        <w:rPr>
          <w:rFonts w:ascii="SBL BibLit" w:hAnsi="SBL BibLit" w:cs="SBL BibLit"/>
          <w:sz w:val="24"/>
          <w:szCs w:val="24"/>
          <w:rtl/>
        </w:rPr>
        <w:t xml:space="preserve">מלווה את הקורא גם בהשוואת הרכיב השלישי החותם את </w:t>
      </w:r>
      <w:r w:rsidRPr="00850794">
        <w:rPr>
          <w:rFonts w:ascii="SBL BibLit" w:hAnsi="SBL BibLit" w:cs="SBL BibLit"/>
          <w:sz w:val="24"/>
          <w:szCs w:val="24"/>
          <w:rtl/>
        </w:rPr>
        <w:t>שניהם</w:t>
      </w:r>
      <w:r w:rsidR="004E2DE9" w:rsidRPr="00850794">
        <w:rPr>
          <w:rFonts w:ascii="SBL BibLit" w:hAnsi="SBL BibLit" w:cs="SBL BibLit"/>
          <w:sz w:val="24"/>
          <w:szCs w:val="24"/>
          <w:rtl/>
        </w:rPr>
        <w:t>. בחלק הראשון יש לשלח טמאים "מן המחנה" – כלומר מוקד ה</w:t>
      </w:r>
      <w:r w:rsidRPr="00850794">
        <w:rPr>
          <w:rFonts w:ascii="SBL BibLit" w:hAnsi="SBL BibLit" w:cs="SBL BibLit"/>
          <w:sz w:val="24"/>
          <w:szCs w:val="24"/>
          <w:rtl/>
        </w:rPr>
        <w:t>חוק</w:t>
      </w:r>
      <w:r w:rsidR="004E2DE9" w:rsidRPr="00850794">
        <w:rPr>
          <w:rFonts w:ascii="SBL BibLit" w:hAnsi="SBL BibLit" w:cs="SBL BibLit"/>
          <w:sz w:val="24"/>
          <w:szCs w:val="24"/>
          <w:rtl/>
        </w:rPr>
        <w:t xml:space="preserve"> הוא המחנה כולו שצריך להיות טהור; ממנו יש לשלח את הטמאים, ואין בהקשר זה כל אזכור למשכן או לעבודת קרבנות.</w:t>
      </w:r>
      <w:r w:rsidR="006C6A1A" w:rsidRPr="00850794">
        <w:rPr>
          <w:rFonts w:ascii="SBL BibLit" w:hAnsi="SBL BibLit" w:cs="SBL BibLit"/>
          <w:sz w:val="24"/>
          <w:szCs w:val="24"/>
          <w:rtl/>
        </w:rPr>
        <w:t xml:space="preserve"> לעומת זאת, בחלק השני בעיית הטמאים היא בעיה פולחנית</w:t>
      </w:r>
      <w:r w:rsidR="00322D7D">
        <w:rPr>
          <w:rFonts w:ascii="SBL BibLit" w:hAnsi="SBL BibLit" w:cs="SBL BibLit" w:hint="cs"/>
          <w:sz w:val="24"/>
          <w:szCs w:val="24"/>
          <w:rtl/>
        </w:rPr>
        <w:t>:</w:t>
      </w:r>
      <w:r w:rsidR="006C6A1A" w:rsidRPr="00850794">
        <w:rPr>
          <w:rFonts w:ascii="SBL BibLit" w:hAnsi="SBL BibLit" w:cs="SBL BibLit"/>
          <w:sz w:val="24"/>
          <w:szCs w:val="24"/>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2880"/>
      </w:tblGrid>
      <w:tr w:rsidR="00555F35" w:rsidRPr="00850794" w:rsidTr="00322D7D">
        <w:tc>
          <w:tcPr>
            <w:tcW w:w="5416" w:type="dxa"/>
          </w:tcPr>
          <w:p w:rsidR="00555F35" w:rsidRPr="00322D7D" w:rsidRDefault="00322D7D" w:rsidP="00322D7D">
            <w:pPr>
              <w:autoSpaceDE w:val="0"/>
              <w:autoSpaceDN w:val="0"/>
              <w:bidi w:val="0"/>
              <w:adjustRightInd w:val="0"/>
              <w:spacing w:line="360" w:lineRule="auto"/>
              <w:rPr>
                <w:rFonts w:ascii="SBL BibLit" w:hAnsi="SBL BibLit" w:cs="SBL BibLit"/>
                <w:sz w:val="24"/>
                <w:szCs w:val="24"/>
                <w:rtl/>
                <w:lang w:bidi="ar-SA"/>
              </w:rPr>
            </w:pPr>
            <w:r w:rsidRPr="00322D7D">
              <w:rPr>
                <w:rFonts w:ascii="SBL BibLit" w:hAnsi="SBL BibLit" w:cs="SBL BibLit"/>
                <w:sz w:val="24"/>
                <w:szCs w:val="24"/>
                <w:vertAlign w:val="superscript"/>
              </w:rPr>
              <w:t>Num 9:7</w:t>
            </w:r>
            <w:r w:rsidRPr="00322D7D">
              <w:rPr>
                <w:rFonts w:ascii="SBL BibLit" w:hAnsi="SBL BibLit" w:cs="SBL BibLit"/>
                <w:sz w:val="24"/>
                <w:szCs w:val="24"/>
              </w:rPr>
              <w:t xml:space="preserve"> </w:t>
            </w:r>
            <w:r>
              <w:rPr>
                <w:rFonts w:ascii="SBL BibLit" w:hAnsi="SBL BibLit" w:cs="SBL BibLit"/>
                <w:sz w:val="24"/>
                <w:szCs w:val="24"/>
              </w:rPr>
              <w:t>…</w:t>
            </w:r>
            <w:r>
              <w:rPr>
                <w:rFonts w:ascii="SBL BibLit" w:hAnsi="SBL BibLit" w:cs="SBL BibLit"/>
                <w:sz w:val="24"/>
                <w:szCs w:val="24"/>
                <w:lang w:bidi="ar-SA"/>
              </w:rPr>
              <w:t>W</w:t>
            </w:r>
            <w:r w:rsidRPr="00322D7D">
              <w:rPr>
                <w:rFonts w:ascii="SBL BibLit" w:hAnsi="SBL BibLit" w:cs="SBL BibLit"/>
                <w:sz w:val="24"/>
                <w:szCs w:val="24"/>
                <w:lang w:bidi="ar-SA"/>
              </w:rPr>
              <w:t xml:space="preserve">hy must we be debarred from </w:t>
            </w:r>
            <w:r w:rsidRPr="00322D7D">
              <w:rPr>
                <w:rFonts w:ascii="SBL BibLit" w:hAnsi="SBL BibLit" w:cs="SBL BibLit"/>
                <w:sz w:val="24"/>
                <w:szCs w:val="24"/>
                <w:lang w:bidi="ar-SA"/>
              </w:rPr>
              <w:t xml:space="preserve">presenting the </w:t>
            </w:r>
            <w:r w:rsidRPr="00322D7D">
              <w:rPr>
                <w:rFonts w:ascii="SBL BibLit" w:hAnsi="SBL BibLit" w:cs="SBL BibLit"/>
                <w:sz w:val="24"/>
                <w:szCs w:val="24"/>
                <w:lang w:bidi="ar-SA"/>
              </w:rPr>
              <w:t>LORD</w:t>
            </w:r>
            <w:r w:rsidRPr="00322D7D">
              <w:rPr>
                <w:rFonts w:ascii="SBL BibLit" w:hAnsi="SBL BibLit" w:cs="SBL BibLit"/>
                <w:sz w:val="24"/>
                <w:szCs w:val="24"/>
                <w:lang w:bidi="ar-SA"/>
              </w:rPr>
              <w:t>’s o</w:t>
            </w:r>
            <w:r w:rsidRPr="00322D7D">
              <w:rPr>
                <w:rFonts w:ascii="SBL BibLit" w:eastAsia="MinionExp-Regular" w:hAnsi="SBL BibLit" w:cs="SBL BibLit"/>
                <w:sz w:val="24"/>
                <w:szCs w:val="24"/>
                <w:lang w:bidi="ar-SA"/>
              </w:rPr>
              <w:t>ff</w:t>
            </w:r>
            <w:r w:rsidRPr="00322D7D">
              <w:rPr>
                <w:rFonts w:ascii="SBL BibLit" w:hAnsi="SBL BibLit" w:cs="SBL BibLit"/>
                <w:sz w:val="24"/>
                <w:szCs w:val="24"/>
                <w:lang w:bidi="ar-SA"/>
              </w:rPr>
              <w:t xml:space="preserve">ering at its set time </w:t>
            </w:r>
            <w:r w:rsidRPr="00322D7D">
              <w:rPr>
                <w:rFonts w:ascii="SBL BibLit" w:hAnsi="SBL BibLit" w:cs="SBL BibLit"/>
                <w:sz w:val="24"/>
                <w:szCs w:val="24"/>
                <w:lang w:bidi="ar-SA"/>
              </w:rPr>
              <w:t>with the rest of the Israelites?”</w:t>
            </w:r>
          </w:p>
        </w:tc>
        <w:tc>
          <w:tcPr>
            <w:tcW w:w="2880" w:type="dxa"/>
          </w:tcPr>
          <w:p w:rsidR="00555F35" w:rsidRPr="00850794" w:rsidRDefault="00322D7D" w:rsidP="00850794">
            <w:pPr>
              <w:spacing w:line="360" w:lineRule="auto"/>
              <w:jc w:val="both"/>
              <w:rPr>
                <w:rFonts w:ascii="SBL BibLit" w:hAnsi="SBL BibLit" w:cs="SBL BibLit"/>
                <w:sz w:val="24"/>
                <w:szCs w:val="24"/>
                <w:rtl/>
              </w:rPr>
            </w:pPr>
            <w:r>
              <w:rPr>
                <w:rFonts w:ascii="SBL BibLit" w:hAnsi="SBL BibLit" w:cs="SBL BibLit" w:hint="cs"/>
                <w:sz w:val="24"/>
                <w:szCs w:val="24"/>
                <w:vertAlign w:val="superscript"/>
                <w:rtl/>
              </w:rPr>
              <w:t>במדבר</w:t>
            </w:r>
            <w:r w:rsidR="00555F35" w:rsidRPr="00850794">
              <w:rPr>
                <w:rFonts w:ascii="SBL BibLit" w:hAnsi="SBL BibLit" w:cs="SBL BibLit"/>
                <w:sz w:val="24"/>
                <w:szCs w:val="24"/>
                <w:vertAlign w:val="superscript"/>
                <w:rtl/>
              </w:rPr>
              <w:t xml:space="preserve"> ט:ז</w:t>
            </w:r>
            <w:r w:rsidR="00555F35" w:rsidRPr="00850794">
              <w:rPr>
                <w:rFonts w:ascii="SBL BibLit" w:hAnsi="SBL BibLit" w:cs="SBL BibLit"/>
                <w:sz w:val="24"/>
                <w:szCs w:val="24"/>
                <w:rtl/>
              </w:rPr>
              <w:t xml:space="preserve"> </w:t>
            </w:r>
            <w:r>
              <w:rPr>
                <w:rFonts w:ascii="SBL BibLit" w:hAnsi="SBL BibLit" w:cs="SBL BibLit" w:hint="cs"/>
                <w:sz w:val="24"/>
                <w:szCs w:val="24"/>
                <w:rtl/>
              </w:rPr>
              <w:t>...</w:t>
            </w:r>
            <w:r w:rsidR="00555F35" w:rsidRPr="00850794">
              <w:rPr>
                <w:rFonts w:ascii="SBL BibLit" w:hAnsi="SBL BibLit" w:cs="SBL BibLit"/>
                <w:sz w:val="24"/>
                <w:szCs w:val="24"/>
                <w:rtl/>
              </w:rPr>
              <w:t xml:space="preserve">לָמָּה נִגָּרַע לְבִלְתִּי הַקְרִיב אֶת קָרְבַּן </w:t>
            </w:r>
            <w:r>
              <w:rPr>
                <w:rStyle w:val="apple-converted-space"/>
                <w:rFonts w:ascii="David" w:hAnsi="David" w:cs="David"/>
                <w:color w:val="222222"/>
                <w:sz w:val="34"/>
                <w:szCs w:val="34"/>
                <w:shd w:val="clear" w:color="auto" w:fill="FFFFFF"/>
              </w:rPr>
              <w:t> </w:t>
            </w:r>
            <w:r w:rsidRPr="00322D7D">
              <w:rPr>
                <w:rFonts w:ascii="SBL BibLit" w:hAnsi="SBL BibLit" w:cs="SBL BibLit"/>
                <w:color w:val="222222"/>
                <w:sz w:val="24"/>
                <w:szCs w:val="24"/>
                <w:shd w:val="clear" w:color="auto" w:fill="FFFFFF"/>
                <w:rtl/>
              </w:rPr>
              <w:t>יְ</w:t>
            </w:r>
            <w:r>
              <w:rPr>
                <w:rFonts w:ascii="SBL BibLit" w:hAnsi="SBL BibLit" w:cs="SBL BibLit" w:hint="cs"/>
                <w:color w:val="222222"/>
                <w:sz w:val="24"/>
                <w:szCs w:val="24"/>
                <w:shd w:val="clear" w:color="auto" w:fill="FFFFFF"/>
                <w:rtl/>
              </w:rPr>
              <w:t>-</w:t>
            </w:r>
            <w:r w:rsidRPr="00322D7D">
              <w:rPr>
                <w:rFonts w:ascii="SBL BibLit" w:hAnsi="SBL BibLit" w:cs="SBL BibLit"/>
                <w:color w:val="222222"/>
                <w:sz w:val="24"/>
                <w:szCs w:val="24"/>
                <w:shd w:val="clear" w:color="auto" w:fill="FFFFFF"/>
                <w:rtl/>
              </w:rPr>
              <w:t>הוָה</w:t>
            </w:r>
            <w:r w:rsidRPr="00322D7D">
              <w:rPr>
                <w:rStyle w:val="apple-converted-space"/>
                <w:rFonts w:ascii="SBL BibLit" w:hAnsi="SBL BibLit" w:cs="SBL BibLit"/>
                <w:color w:val="222222"/>
                <w:sz w:val="24"/>
                <w:szCs w:val="24"/>
                <w:shd w:val="clear" w:color="auto" w:fill="FFFFFF"/>
                <w:rtl/>
              </w:rPr>
              <w:t> </w:t>
            </w:r>
            <w:r w:rsidR="00555F35" w:rsidRPr="00850794">
              <w:rPr>
                <w:rFonts w:ascii="SBL BibLit" w:hAnsi="SBL BibLit" w:cs="SBL BibLit"/>
                <w:sz w:val="24"/>
                <w:szCs w:val="24"/>
                <w:rtl/>
              </w:rPr>
              <w:t xml:space="preserve"> בְּמֹעֲדוֹ בְּתוֹךְ בְּנֵי יִשְׂרָאֵל</w:t>
            </w:r>
            <w:r w:rsidR="00555F35" w:rsidRPr="00850794">
              <w:rPr>
                <w:rFonts w:ascii="SBL BibLit" w:hAnsi="SBL BibLit" w:cs="SBL BibLit"/>
                <w:sz w:val="24"/>
                <w:szCs w:val="24"/>
                <w:rtl/>
              </w:rPr>
              <w:t>.</w:t>
            </w:r>
          </w:p>
        </w:tc>
      </w:tr>
    </w:tbl>
    <w:p w:rsidR="00555F35" w:rsidRPr="00850794" w:rsidRDefault="00555F35" w:rsidP="00850794">
      <w:pPr>
        <w:spacing w:line="360" w:lineRule="auto"/>
        <w:jc w:val="both"/>
        <w:rPr>
          <w:rFonts w:ascii="SBL BibLit" w:hAnsi="SBL BibLit" w:cs="SBL BibLit"/>
          <w:sz w:val="24"/>
          <w:szCs w:val="24"/>
          <w:rtl/>
        </w:rPr>
      </w:pPr>
    </w:p>
    <w:p w:rsidR="004E2DE9" w:rsidRPr="00850794" w:rsidRDefault="000910C4"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 xml:space="preserve">בעיית הטומאה בחלק השני באה </w:t>
      </w:r>
      <w:r w:rsidR="006C6A1A" w:rsidRPr="00850794">
        <w:rPr>
          <w:rFonts w:ascii="SBL BibLit" w:hAnsi="SBL BibLit" w:cs="SBL BibLit"/>
          <w:sz w:val="24"/>
          <w:szCs w:val="24"/>
          <w:rtl/>
        </w:rPr>
        <w:t>בזיקה אל הקודש ואל עולם הקרבנות.</w:t>
      </w:r>
    </w:p>
    <w:p w:rsidR="006C6A1A" w:rsidRPr="00850794" w:rsidRDefault="006C6A1A"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אין צורך לומר שאותו ה</w:t>
      </w:r>
      <w:r w:rsidR="00142183" w:rsidRPr="00850794">
        <w:rPr>
          <w:rFonts w:ascii="SBL BibLit" w:hAnsi="SBL BibLit" w:cs="SBL BibLit"/>
          <w:sz w:val="24"/>
          <w:szCs w:val="24"/>
          <w:rtl/>
        </w:rPr>
        <w:t xml:space="preserve">פער </w:t>
      </w:r>
      <w:r w:rsidRPr="00850794">
        <w:rPr>
          <w:rFonts w:ascii="SBL BibLit" w:hAnsi="SBL BibLit" w:cs="SBL BibLit"/>
          <w:sz w:val="24"/>
          <w:szCs w:val="24"/>
          <w:rtl/>
        </w:rPr>
        <w:t xml:space="preserve">מתרחש גם בזיקה שבין ברכת כוהנים לדין החצוצרות. ברכת כוהנים חורגת מגבולות המשכן. למעשה זהו דין ייחודי של כוהנים שיש להם רלוונטיות </w:t>
      </w:r>
      <w:r w:rsidR="00142183" w:rsidRPr="00850794">
        <w:rPr>
          <w:rFonts w:ascii="SBL BibLit" w:hAnsi="SBL BibLit" w:cs="SBL BibLit"/>
          <w:sz w:val="24"/>
          <w:szCs w:val="24"/>
          <w:rtl/>
        </w:rPr>
        <w:t>גם במחנה עצמו ולא רק בתוך המשכן, וגם בימינו כוהנים מברכים את העם בבתי כנסיות – ללא משכן וללא מזבח.</w:t>
      </w:r>
      <w:r w:rsidRPr="00850794">
        <w:rPr>
          <w:rFonts w:ascii="SBL BibLit" w:hAnsi="SBL BibLit" w:cs="SBL BibLit"/>
          <w:sz w:val="24"/>
          <w:szCs w:val="24"/>
          <w:rtl/>
        </w:rPr>
        <w:t xml:space="preserve"> </w:t>
      </w:r>
      <w:r w:rsidRPr="00850794">
        <w:rPr>
          <w:rFonts w:ascii="SBL BibLit" w:hAnsi="SBL BibLit" w:cs="SBL BibLit"/>
          <w:sz w:val="24"/>
          <w:szCs w:val="24"/>
          <w:rtl/>
        </w:rPr>
        <w:lastRenderedPageBreak/>
        <w:t xml:space="preserve">לעומת זאת, יש לתקוע בחצוצרות "על עולתיכם ועל זבחי שלמים", כלומר זוהי מצווה שקשורה בעולם הקרבנות. </w:t>
      </w:r>
    </w:p>
    <w:p w:rsidR="00555F35" w:rsidRPr="00850794" w:rsidRDefault="006C6A1A" w:rsidP="00850794">
      <w:pPr>
        <w:spacing w:line="360" w:lineRule="auto"/>
        <w:jc w:val="both"/>
        <w:rPr>
          <w:rFonts w:ascii="SBL BibLit" w:hAnsi="SBL BibLit" w:cs="SBL BibLit"/>
          <w:sz w:val="24"/>
          <w:szCs w:val="24"/>
        </w:rPr>
      </w:pPr>
      <w:r w:rsidRPr="00850794">
        <w:rPr>
          <w:rFonts w:ascii="SBL BibLit" w:hAnsi="SBL BibLit" w:cs="SBL BibLit"/>
          <w:sz w:val="24"/>
          <w:szCs w:val="24"/>
          <w:rtl/>
        </w:rPr>
        <w:t xml:space="preserve">מסתבר אם כן, שחודש ניסן </w:t>
      </w:r>
      <w:r w:rsidR="00E0359B" w:rsidRPr="00850794">
        <w:rPr>
          <w:rFonts w:ascii="SBL BibLit" w:hAnsi="SBL BibLit" w:cs="SBL BibLit"/>
          <w:sz w:val="24"/>
          <w:szCs w:val="24"/>
          <w:rtl/>
        </w:rPr>
        <w:t>– החלק השני בחטיבה שלפנינו – קשור בהוויה המשכנית,</w:t>
      </w:r>
      <w:r w:rsidR="001201C9" w:rsidRPr="00850794">
        <w:rPr>
          <w:rFonts w:ascii="SBL BibLit" w:hAnsi="SBL BibLit" w:cs="SBL BibLit"/>
          <w:sz w:val="24"/>
          <w:szCs w:val="24"/>
          <w:rtl/>
        </w:rPr>
        <w:t xml:space="preserve"> והוא מתאר תנועה שיוצאת מן המחנה ובאה אל המשכן,</w:t>
      </w:r>
      <w:r w:rsidR="00E0359B" w:rsidRPr="00850794">
        <w:rPr>
          <w:rFonts w:ascii="SBL BibLit" w:hAnsi="SBL BibLit" w:cs="SBL BibLit"/>
          <w:sz w:val="24"/>
          <w:szCs w:val="24"/>
          <w:rtl/>
        </w:rPr>
        <w:t xml:space="preserve"> בעוד חודש אייר – החלק הראשון החטיבה שלפנינו – קשור בבניית המחנה כולו ובעיצוב מחנה קדוש.</w:t>
      </w:r>
      <w:r w:rsidR="001201C9" w:rsidRPr="00850794">
        <w:rPr>
          <w:rFonts w:ascii="SBL BibLit" w:hAnsi="SBL BibLit" w:cs="SBL BibLit"/>
          <w:sz w:val="24"/>
          <w:szCs w:val="24"/>
          <w:rtl/>
        </w:rPr>
        <w:t xml:space="preserve"> </w:t>
      </w:r>
    </w:p>
    <w:p w:rsidR="00555F35" w:rsidRPr="00850794" w:rsidRDefault="00952DCB" w:rsidP="00850794">
      <w:pPr>
        <w:bidi w:val="0"/>
        <w:spacing w:line="360" w:lineRule="auto"/>
        <w:jc w:val="center"/>
        <w:rPr>
          <w:rFonts w:ascii="SBL BibLit" w:hAnsi="SBL BibLit" w:cs="SBL BibLit"/>
          <w:b/>
          <w:bCs/>
          <w:sz w:val="24"/>
          <w:szCs w:val="24"/>
        </w:rPr>
      </w:pPr>
      <w:r w:rsidRPr="00850794">
        <w:rPr>
          <w:rFonts w:ascii="SBL BibLit" w:hAnsi="SBL BibLit" w:cs="SBL BibLit"/>
          <w:b/>
          <w:bCs/>
          <w:sz w:val="24"/>
          <w:szCs w:val="24"/>
        </w:rPr>
        <w:t>The Reverse Order: The Importance of the Camp in the Book of Numbers</w:t>
      </w:r>
    </w:p>
    <w:p w:rsidR="006C6A1A" w:rsidRPr="00850794" w:rsidRDefault="001201C9"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כמובן,</w:t>
      </w:r>
      <w:r w:rsidR="00E0359B" w:rsidRPr="00850794">
        <w:rPr>
          <w:rFonts w:ascii="SBL BibLit" w:hAnsi="SBL BibLit" w:cs="SBL BibLit"/>
          <w:sz w:val="24"/>
          <w:szCs w:val="24"/>
          <w:rtl/>
        </w:rPr>
        <w:t xml:space="preserve"> השאלה המתבקשת מאליה היא שאלת סידור הפרשיות: מה המשמעות של הקדמת אירועי החודש השני לאירועי החודש הראשון? ובניסוח מדויק יותר: מה משמעות הקדמת הפרשיות שמעצבות מחנה קדוש לפרשיות המעצבות משכן קדוש?</w:t>
      </w:r>
    </w:p>
    <w:p w:rsidR="00E0359B" w:rsidRPr="00850794" w:rsidRDefault="00E0359B"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מסתבר ש</w:t>
      </w:r>
      <w:r w:rsidR="001201C9" w:rsidRPr="00850794">
        <w:rPr>
          <w:rFonts w:ascii="SBL BibLit" w:hAnsi="SBL BibLit" w:cs="SBL BibLit"/>
          <w:sz w:val="24"/>
          <w:szCs w:val="24"/>
          <w:rtl/>
        </w:rPr>
        <w:t>ארגון הפרשיות ב</w:t>
      </w:r>
      <w:r w:rsidRPr="00850794">
        <w:rPr>
          <w:rFonts w:ascii="SBL BibLit" w:hAnsi="SBL BibLit" w:cs="SBL BibLit"/>
          <w:sz w:val="24"/>
          <w:szCs w:val="24"/>
          <w:rtl/>
        </w:rPr>
        <w:t xml:space="preserve">פתיחת </w:t>
      </w:r>
      <w:r w:rsidR="001201C9" w:rsidRPr="00850794">
        <w:rPr>
          <w:rFonts w:ascii="SBL BibLit" w:hAnsi="SBL BibLit" w:cs="SBL BibLit"/>
          <w:sz w:val="24"/>
          <w:szCs w:val="24"/>
          <w:rtl/>
        </w:rPr>
        <w:t>ה</w:t>
      </w:r>
      <w:r w:rsidRPr="00850794">
        <w:rPr>
          <w:rFonts w:ascii="SBL BibLit" w:hAnsi="SBL BibLit" w:cs="SBL BibLit"/>
          <w:sz w:val="24"/>
          <w:szCs w:val="24"/>
          <w:rtl/>
        </w:rPr>
        <w:t>חומש מהווה</w:t>
      </w:r>
      <w:r w:rsidR="001201C9" w:rsidRPr="00850794">
        <w:rPr>
          <w:rFonts w:ascii="SBL BibLit" w:hAnsi="SBL BibLit" w:cs="SBL BibLit"/>
          <w:sz w:val="24"/>
          <w:szCs w:val="24"/>
          <w:rtl/>
        </w:rPr>
        <w:t xml:space="preserve"> מעין</w:t>
      </w:r>
      <w:r w:rsidRPr="00850794">
        <w:rPr>
          <w:rFonts w:ascii="SBL BibLit" w:hAnsi="SBL BibLit" w:cs="SBL BibLit"/>
          <w:sz w:val="24"/>
          <w:szCs w:val="24"/>
          <w:rtl/>
        </w:rPr>
        <w:t xml:space="preserve"> מבוא פנימי לחומש </w:t>
      </w:r>
      <w:r w:rsidR="001201C9" w:rsidRPr="00850794">
        <w:rPr>
          <w:rFonts w:ascii="SBL BibLit" w:hAnsi="SBL BibLit" w:cs="SBL BibLit"/>
          <w:sz w:val="24"/>
          <w:szCs w:val="24"/>
          <w:rtl/>
        </w:rPr>
        <w:t xml:space="preserve">במדבר </w:t>
      </w:r>
      <w:r w:rsidRPr="00850794">
        <w:rPr>
          <w:rFonts w:ascii="SBL BibLit" w:hAnsi="SBL BibLit" w:cs="SBL BibLit"/>
          <w:sz w:val="24"/>
          <w:szCs w:val="24"/>
          <w:rtl/>
        </w:rPr>
        <w:t>כולו ו</w:t>
      </w:r>
      <w:r w:rsidR="001201C9" w:rsidRPr="00850794">
        <w:rPr>
          <w:rFonts w:ascii="SBL BibLit" w:hAnsi="SBL BibLit" w:cs="SBL BibLit"/>
          <w:sz w:val="24"/>
          <w:szCs w:val="24"/>
          <w:rtl/>
        </w:rPr>
        <w:t xml:space="preserve">חושפת </w:t>
      </w:r>
      <w:r w:rsidRPr="00850794">
        <w:rPr>
          <w:rFonts w:ascii="SBL BibLit" w:hAnsi="SBL BibLit" w:cs="SBL BibLit"/>
          <w:sz w:val="24"/>
          <w:szCs w:val="24"/>
          <w:rtl/>
        </w:rPr>
        <w:t xml:space="preserve">את הפרספקטיבה המיוחדת שלו. ספר במדבר רואה מול עיניו את המחנה כולו, שכולו צריך לשמור על קדושה ועל טהרה. שלא כמו </w:t>
      </w:r>
      <w:r w:rsidR="005818CB" w:rsidRPr="00850794">
        <w:rPr>
          <w:rFonts w:ascii="SBL BibLit" w:hAnsi="SBL BibLit" w:cs="SBL BibLit"/>
          <w:sz w:val="24"/>
          <w:szCs w:val="24"/>
          <w:rtl/>
        </w:rPr>
        <w:t xml:space="preserve">חציו הראשון של </w:t>
      </w:r>
      <w:r w:rsidRPr="00850794">
        <w:rPr>
          <w:rFonts w:ascii="SBL BibLit" w:hAnsi="SBL BibLit" w:cs="SBL BibLit"/>
          <w:sz w:val="24"/>
          <w:szCs w:val="24"/>
          <w:rtl/>
        </w:rPr>
        <w:t>ספר ויקרא שמזמין את המבקשים לעבוד את ה' אל המשכן; ספר במדבר ממשיך את החצי השני של ויקרא (חטיבת הקדושה) ומצהיר שעולם הקדושה פורץ מגבולות המשכן אל עבר המחנה כולו.</w:t>
      </w:r>
      <w:r w:rsidR="008E4F3A" w:rsidRPr="00850794">
        <w:rPr>
          <w:rFonts w:ascii="SBL BibLit" w:hAnsi="SBL BibLit" w:cs="SBL BibLit"/>
          <w:sz w:val="24"/>
          <w:szCs w:val="24"/>
          <w:rtl/>
        </w:rPr>
        <w:t xml:space="preserve"> לפיכך הספר נפתח </w:t>
      </w:r>
      <w:r w:rsidR="00223C92" w:rsidRPr="00850794">
        <w:rPr>
          <w:rFonts w:ascii="SBL BibLit" w:hAnsi="SBL BibLit" w:cs="SBL BibLit"/>
          <w:sz w:val="24"/>
          <w:szCs w:val="24"/>
          <w:rtl/>
        </w:rPr>
        <w:t xml:space="preserve">דווקא </w:t>
      </w:r>
      <w:r w:rsidR="008E4F3A" w:rsidRPr="00850794">
        <w:rPr>
          <w:rFonts w:ascii="SBL BibLit" w:hAnsi="SBL BibLit" w:cs="SBL BibLit"/>
          <w:sz w:val="24"/>
          <w:szCs w:val="24"/>
          <w:rtl/>
        </w:rPr>
        <w:t xml:space="preserve">בחודש השני ולא בחודש הראשון, </w:t>
      </w:r>
      <w:r w:rsidR="00223C92" w:rsidRPr="00850794">
        <w:rPr>
          <w:rFonts w:ascii="SBL BibLit" w:hAnsi="SBL BibLit" w:cs="SBL BibLit"/>
          <w:sz w:val="24"/>
          <w:szCs w:val="24"/>
          <w:rtl/>
        </w:rPr>
        <w:t>כמי שמצהיר שתכלית בניית המחנה לא באה לשם המשכן אלא לשם יצירת עם קדוש; המחנה עצמו הוא גיבור הסיפור ואת סיפורו יש לספר.</w:t>
      </w:r>
    </w:p>
    <w:p w:rsidR="008E4F3A" w:rsidRPr="00850794" w:rsidRDefault="00223C92" w:rsidP="00850794">
      <w:pPr>
        <w:spacing w:line="360" w:lineRule="auto"/>
        <w:jc w:val="both"/>
        <w:rPr>
          <w:rFonts w:ascii="SBL BibLit" w:hAnsi="SBL BibLit" w:cs="SBL BibLit"/>
          <w:sz w:val="24"/>
          <w:szCs w:val="24"/>
          <w:rtl/>
        </w:rPr>
      </w:pPr>
      <w:r w:rsidRPr="00850794">
        <w:rPr>
          <w:rFonts w:ascii="SBL BibLit" w:hAnsi="SBL BibLit" w:cs="SBL BibLit"/>
          <w:sz w:val="24"/>
          <w:szCs w:val="24"/>
          <w:rtl/>
        </w:rPr>
        <w:t xml:space="preserve">בדבר זה ניכר </w:t>
      </w:r>
      <w:r w:rsidR="00952DCB" w:rsidRPr="00850794">
        <w:rPr>
          <w:rFonts w:ascii="SBL BibLit" w:hAnsi="SBL BibLit" w:cs="SBL BibLit"/>
          <w:sz w:val="24"/>
          <w:szCs w:val="24"/>
          <w:rtl/>
        </w:rPr>
        <w:t>הפיצול בין נתוני הזמן ההיסטוריוגרפים</w:t>
      </w:r>
      <w:r w:rsidRPr="00850794">
        <w:rPr>
          <w:rFonts w:ascii="SBL BibLit" w:hAnsi="SBL BibLit" w:cs="SBL BibLit"/>
          <w:sz w:val="24"/>
          <w:szCs w:val="24"/>
          <w:rtl/>
        </w:rPr>
        <w:t xml:space="preserve"> שמונחים בבסיס הסיפור לבין הסיפור עצמו: </w:t>
      </w:r>
      <w:r w:rsidR="008E4F3A" w:rsidRPr="00850794">
        <w:rPr>
          <w:rFonts w:ascii="SBL BibLit" w:hAnsi="SBL BibLit" w:cs="SBL BibLit"/>
          <w:sz w:val="24"/>
          <w:szCs w:val="24"/>
          <w:rtl/>
        </w:rPr>
        <w:t>מבחינה ריאלית יש לקדש את המשכן עצמו ורק אחר כך יכולה הקדושה לפרוץ החוצה</w:t>
      </w:r>
      <w:r w:rsidRPr="00850794">
        <w:rPr>
          <w:rFonts w:ascii="SBL BibLit" w:hAnsi="SBL BibLit" w:cs="SBL BibLit"/>
          <w:sz w:val="24"/>
          <w:szCs w:val="24"/>
          <w:rtl/>
        </w:rPr>
        <w:t xml:space="preserve">, ועל כן </w:t>
      </w:r>
      <w:r w:rsidR="00952DCB" w:rsidRPr="00850794">
        <w:rPr>
          <w:rFonts w:ascii="SBL BibLit" w:hAnsi="SBL BibLit" w:cs="SBL BibLit"/>
          <w:sz w:val="24"/>
          <w:szCs w:val="24"/>
          <w:rtl/>
        </w:rPr>
        <w:t>מתועד ש</w:t>
      </w:r>
      <w:r w:rsidRPr="00850794">
        <w:rPr>
          <w:rFonts w:ascii="SBL BibLit" w:hAnsi="SBL BibLit" w:cs="SBL BibLit"/>
          <w:sz w:val="24"/>
          <w:szCs w:val="24"/>
          <w:rtl/>
        </w:rPr>
        <w:t xml:space="preserve">אירועי חודש ניסן </w:t>
      </w:r>
      <w:r w:rsidR="00952DCB" w:rsidRPr="00850794">
        <w:rPr>
          <w:rFonts w:ascii="SBL BibLit" w:hAnsi="SBL BibLit" w:cs="SBL BibLit"/>
          <w:sz w:val="24"/>
          <w:szCs w:val="24"/>
          <w:rtl/>
        </w:rPr>
        <w:t>מתרחשים</w:t>
      </w:r>
      <w:r w:rsidRPr="00850794">
        <w:rPr>
          <w:rFonts w:ascii="SBL BibLit" w:hAnsi="SBL BibLit" w:cs="SBL BibLit"/>
          <w:sz w:val="24"/>
          <w:szCs w:val="24"/>
          <w:rtl/>
        </w:rPr>
        <w:t xml:space="preserve"> לפני אירועי חודש אייר</w:t>
      </w:r>
      <w:r w:rsidR="008E4F3A" w:rsidRPr="00850794">
        <w:rPr>
          <w:rFonts w:ascii="SBL BibLit" w:hAnsi="SBL BibLit" w:cs="SBL BibLit"/>
          <w:sz w:val="24"/>
          <w:szCs w:val="24"/>
          <w:rtl/>
        </w:rPr>
        <w:t xml:space="preserve">; מבחינה ספרותית – </w:t>
      </w:r>
      <w:r w:rsidRPr="00850794">
        <w:rPr>
          <w:rFonts w:ascii="SBL BibLit" w:hAnsi="SBL BibLit" w:cs="SBL BibLit"/>
          <w:sz w:val="24"/>
          <w:szCs w:val="24"/>
          <w:rtl/>
        </w:rPr>
        <w:t xml:space="preserve">חומש במדבר פותח בהקדמת המאוחר ומבהיר שרק לאחר הצהרה בדבר ייסוד </w:t>
      </w:r>
      <w:r w:rsidR="008E4F3A" w:rsidRPr="00850794">
        <w:rPr>
          <w:rFonts w:ascii="SBL BibLit" w:hAnsi="SBL BibLit" w:cs="SBL BibLit"/>
          <w:sz w:val="24"/>
          <w:szCs w:val="24"/>
          <w:rtl/>
        </w:rPr>
        <w:t xml:space="preserve">המחנה כולו </w:t>
      </w:r>
      <w:r w:rsidRPr="00850794">
        <w:rPr>
          <w:rFonts w:ascii="SBL BibLit" w:hAnsi="SBL BibLit" w:cs="SBL BibLit"/>
          <w:sz w:val="24"/>
          <w:szCs w:val="24"/>
          <w:rtl/>
        </w:rPr>
        <w:t xml:space="preserve">יש לגשת ולתאר </w:t>
      </w:r>
      <w:r w:rsidR="00592B4A" w:rsidRPr="00850794">
        <w:rPr>
          <w:rFonts w:ascii="SBL BibLit" w:hAnsi="SBL BibLit" w:cs="SBL BibLit"/>
          <w:sz w:val="24"/>
          <w:szCs w:val="24"/>
          <w:rtl/>
        </w:rPr>
        <w:t>את גרעין הסיפור שמ</w:t>
      </w:r>
      <w:r w:rsidR="008E4F3A" w:rsidRPr="00850794">
        <w:rPr>
          <w:rFonts w:ascii="SBL BibLit" w:hAnsi="SBL BibLit" w:cs="SBL BibLit"/>
          <w:sz w:val="24"/>
          <w:szCs w:val="24"/>
          <w:rtl/>
        </w:rPr>
        <w:t>תרחש במשכן עצמו.</w:t>
      </w:r>
    </w:p>
    <w:sectPr w:rsidR="008E4F3A" w:rsidRPr="00850794" w:rsidSect="001C4D5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952" w:rsidRDefault="00762952" w:rsidP="00052CDB">
      <w:pPr>
        <w:spacing w:after="0" w:line="240" w:lineRule="auto"/>
      </w:pPr>
      <w:r>
        <w:separator/>
      </w:r>
    </w:p>
  </w:endnote>
  <w:endnote w:type="continuationSeparator" w:id="0">
    <w:p w:rsidR="00762952" w:rsidRDefault="00762952" w:rsidP="0005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BibLit">
    <w:panose1 w:val="02000000000000000000"/>
    <w:charset w:val="00"/>
    <w:family w:val="auto"/>
    <w:pitch w:val="variable"/>
    <w:sig w:usb0="E00008FF" w:usb1="5201E0EB" w:usb2="02000020" w:usb3="00000000" w:csb0="000000BB" w:csb1="00000000"/>
  </w:font>
  <w:font w:name="David">
    <w:panose1 w:val="020E0502060401010101"/>
    <w:charset w:val="00"/>
    <w:family w:val="swiss"/>
    <w:pitch w:val="variable"/>
    <w:sig w:usb0="00000803" w:usb1="00000000" w:usb2="00000000" w:usb3="00000000" w:csb0="00000021"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952" w:rsidRDefault="00762952" w:rsidP="00052CDB">
      <w:pPr>
        <w:spacing w:after="0" w:line="240" w:lineRule="auto"/>
      </w:pPr>
      <w:r>
        <w:separator/>
      </w:r>
    </w:p>
  </w:footnote>
  <w:footnote w:type="continuationSeparator" w:id="0">
    <w:p w:rsidR="00762952" w:rsidRDefault="00762952" w:rsidP="00052CDB">
      <w:pPr>
        <w:spacing w:after="0" w:line="240" w:lineRule="auto"/>
      </w:pPr>
      <w:r>
        <w:continuationSeparator/>
      </w:r>
    </w:p>
  </w:footnote>
  <w:footnote w:id="1">
    <w:p w:rsidR="00B60FF8" w:rsidRPr="00B60FF8" w:rsidRDefault="00B60FF8" w:rsidP="0001693A">
      <w:pPr>
        <w:pStyle w:val="FootnoteText"/>
        <w:spacing w:line="360" w:lineRule="auto"/>
        <w:jc w:val="both"/>
        <w:rPr>
          <w:rtl/>
        </w:rPr>
      </w:pPr>
      <w:r w:rsidRPr="00B60FF8">
        <w:rPr>
          <w:rStyle w:val="FootnoteReference"/>
        </w:rPr>
        <w:footnoteRef/>
      </w:r>
      <w:r w:rsidRPr="00B60FF8">
        <w:rPr>
          <w:rtl/>
        </w:rPr>
        <w:t xml:space="preserve"> </w:t>
      </w:r>
      <w:r w:rsidRPr="00B60FF8">
        <w:rPr>
          <w:rFonts w:hint="cs"/>
          <w:rtl/>
        </w:rPr>
        <w:t>דבר זה נכון בחטיבות רחבות במקרא, אך בספר במדבר הוא בא לידי ביטוי מיוחד ובמקומות נוספים בספר ניתן לעמוד על פעולת העריכה כבעלת מגמה אידאית. בהזדמנות אחרת הדגמתי את הדבר בקובץ החוקים והסיפורים שבבמדבר כ"ה-ל' (</w:t>
      </w:r>
      <w:r w:rsidRPr="00B60FF8">
        <w:rPr>
          <w:rFonts w:cs="David"/>
        </w:rPr>
        <w:t>"</w:t>
      </w:r>
      <w:r w:rsidRPr="00B60FF8">
        <w:t xml:space="preserve">Divine Command and Human Initiative: A Literary View on Numbers 25-31", </w:t>
      </w:r>
      <w:r w:rsidRPr="00B60FF8">
        <w:rPr>
          <w:i/>
          <w:iCs/>
        </w:rPr>
        <w:t>Biblical Interpretation</w:t>
      </w:r>
      <w:r w:rsidRPr="00B60FF8">
        <w:t xml:space="preserve"> </w:t>
      </w:r>
      <w:r w:rsidRPr="00B60FF8">
        <w:rPr>
          <w:rFonts w:cs="David"/>
        </w:rPr>
        <w:t>15 (2007)</w:t>
      </w:r>
      <w:r w:rsidR="0001693A">
        <w:rPr>
          <w:rFonts w:cs="David"/>
        </w:rPr>
        <w:t>:</w:t>
      </w:r>
      <w:r w:rsidRPr="00B60FF8">
        <w:rPr>
          <w:rFonts w:cs="David"/>
        </w:rPr>
        <w:t xml:space="preserve"> 54</w:t>
      </w:r>
      <w:r w:rsidRPr="00B60FF8">
        <w:rPr>
          <w:rFonts w:cs="David"/>
        </w:rPr>
        <w:softHyphen/>
        <w:t>-79</w:t>
      </w:r>
      <w:r w:rsidRPr="00B60FF8">
        <w:rPr>
          <w:rFonts w:hint="cs"/>
          <w:rtl/>
        </w:rPr>
        <w:t>)</w:t>
      </w:r>
    </w:p>
  </w:footnote>
  <w:footnote w:id="2">
    <w:p w:rsidR="0001693A" w:rsidRPr="00B60FF8" w:rsidRDefault="0001693A" w:rsidP="003A696B">
      <w:pPr>
        <w:pStyle w:val="FootnoteText"/>
        <w:bidi w:val="0"/>
        <w:spacing w:line="360" w:lineRule="auto"/>
        <w:jc w:val="both"/>
      </w:pPr>
      <w:r w:rsidRPr="00B60FF8">
        <w:rPr>
          <w:rStyle w:val="FootnoteReference"/>
        </w:rPr>
        <w:footnoteRef/>
      </w:r>
      <w:r w:rsidRPr="00B60FF8">
        <w:rPr>
          <w:rtl/>
        </w:rPr>
        <w:t xml:space="preserve"> </w:t>
      </w:r>
      <w:r w:rsidR="002A2600">
        <w:rPr>
          <w:rFonts w:hint="cs"/>
          <w:rtl/>
        </w:rPr>
        <w:t>רבים נתנו את דעתם על העניין ולא נוכל במסגרת זו לסקור את העמדות השונות.</w:t>
      </w:r>
      <w:r>
        <w:t xml:space="preserve">See for example: </w:t>
      </w:r>
      <w:r w:rsidRPr="00B60FF8">
        <w:t>R</w:t>
      </w:r>
      <w:r w:rsidR="003A696B">
        <w:t>.</w:t>
      </w:r>
      <w:r w:rsidRPr="00B60FF8">
        <w:t xml:space="preserve"> P. Knierim and G</w:t>
      </w:r>
      <w:r w:rsidR="003A696B">
        <w:t>.</w:t>
      </w:r>
      <w:r w:rsidRPr="00B60FF8">
        <w:t xml:space="preserve"> W. Coats, </w:t>
      </w:r>
      <w:r w:rsidRPr="00B60FF8">
        <w:rPr>
          <w:i/>
          <w:iCs/>
        </w:rPr>
        <w:t>Numbers</w:t>
      </w:r>
      <w:r w:rsidRPr="00B60FF8">
        <w:t xml:space="preserve"> (FOTL 4; Grand Rapids: Eerdmans, 2005), 27.</w:t>
      </w:r>
    </w:p>
  </w:footnote>
  <w:footnote w:id="3">
    <w:p w:rsidR="002A663D" w:rsidRDefault="002A663D" w:rsidP="002A663D">
      <w:pPr>
        <w:pStyle w:val="FootnoteText"/>
        <w:bidi w:val="0"/>
        <w:spacing w:line="360" w:lineRule="auto"/>
        <w:jc w:val="both"/>
      </w:pPr>
      <w:r w:rsidRPr="00B60FF8">
        <w:rPr>
          <w:rStyle w:val="FootnoteReference"/>
        </w:rPr>
        <w:footnoteRef/>
      </w:r>
      <w:r>
        <w:t xml:space="preserve"> See discussion in </w:t>
      </w:r>
      <w:r w:rsidRPr="00D16310">
        <w:t xml:space="preserve">T. R. Ashley, </w:t>
      </w:r>
      <w:r w:rsidRPr="00526242">
        <w:rPr>
          <w:i/>
          <w:iCs/>
        </w:rPr>
        <w:t>The Book of Numbers</w:t>
      </w:r>
      <w:r>
        <w:t xml:space="preserve"> (</w:t>
      </w:r>
      <w:r w:rsidRPr="00D16310">
        <w:t>NICOT</w:t>
      </w:r>
      <w:r>
        <w:t xml:space="preserve">; </w:t>
      </w:r>
      <w:r w:rsidRPr="00D16310">
        <w:t>Grand Rapids 1993</w:t>
      </w:r>
      <w:r>
        <w:t>)</w:t>
      </w:r>
      <w:r w:rsidRPr="00B60FF8">
        <w:t>, 43</w:t>
      </w:r>
      <w:r>
        <w:t xml:space="preserve">; R. D. Cole, </w:t>
      </w:r>
      <w:r w:rsidRPr="0011496D">
        <w:rPr>
          <w:i/>
          <w:iCs/>
        </w:rPr>
        <w:t>Numbers</w:t>
      </w:r>
      <w:r>
        <w:t xml:space="preserve"> (NAC; Nashville 2000), 64.</w:t>
      </w:r>
    </w:p>
    <w:p w:rsidR="002A663D" w:rsidRPr="00B60FF8" w:rsidRDefault="002A663D" w:rsidP="002A663D">
      <w:pPr>
        <w:pStyle w:val="FootnoteText"/>
        <w:spacing w:line="360" w:lineRule="auto"/>
        <w:jc w:val="both"/>
        <w:rPr>
          <w:rtl/>
        </w:rPr>
      </w:pPr>
      <w:r>
        <w:rPr>
          <w:rFonts w:hint="cs"/>
          <w:rtl/>
        </w:rPr>
        <w:t>עמדה זו שונה מעמדת ראב"ע שדווקא ביקש לקשור בין קרבנות הנשיאים לבין ברכת כוהנים שנזכרה לפניה: "</w:t>
      </w:r>
      <w:r>
        <w:rPr>
          <w:rFonts w:cs="Arial" w:hint="cs"/>
          <w:rtl/>
        </w:rPr>
        <w:t>וטעם</w:t>
      </w:r>
      <w:r>
        <w:rPr>
          <w:rFonts w:cs="Arial"/>
          <w:rtl/>
        </w:rPr>
        <w:t xml:space="preserve"> </w:t>
      </w:r>
      <w:r>
        <w:rPr>
          <w:rFonts w:cs="Arial" w:hint="cs"/>
          <w:rtl/>
        </w:rPr>
        <w:t>'ויהי</w:t>
      </w:r>
      <w:r>
        <w:rPr>
          <w:rFonts w:cs="Arial"/>
          <w:rtl/>
        </w:rPr>
        <w:t xml:space="preserve"> </w:t>
      </w:r>
      <w:r>
        <w:rPr>
          <w:rFonts w:cs="Arial" w:hint="cs"/>
          <w:rtl/>
        </w:rPr>
        <w:t>ביום</w:t>
      </w:r>
      <w:r>
        <w:rPr>
          <w:rFonts w:cs="Arial"/>
          <w:rtl/>
        </w:rPr>
        <w:t xml:space="preserve"> </w:t>
      </w:r>
      <w:r>
        <w:rPr>
          <w:rFonts w:cs="Arial" w:hint="cs"/>
          <w:rtl/>
        </w:rPr>
        <w:t>כלות</w:t>
      </w:r>
      <w:r>
        <w:rPr>
          <w:rFonts w:cs="Arial"/>
          <w:rtl/>
        </w:rPr>
        <w:t xml:space="preserve"> </w:t>
      </w:r>
      <w:r>
        <w:rPr>
          <w:rFonts w:cs="Arial" w:hint="cs"/>
          <w:rtl/>
        </w:rPr>
        <w:t>משה'</w:t>
      </w:r>
      <w:r>
        <w:rPr>
          <w:rFonts w:cs="Arial"/>
          <w:rtl/>
        </w:rPr>
        <w:t xml:space="preserve"> </w:t>
      </w:r>
      <w:r>
        <w:rPr>
          <w:rFonts w:cs="Arial" w:hint="cs"/>
          <w:rtl/>
        </w:rPr>
        <w:t>אחר</w:t>
      </w:r>
      <w:r>
        <w:rPr>
          <w:rFonts w:cs="Arial"/>
          <w:rtl/>
        </w:rPr>
        <w:t xml:space="preserve"> </w:t>
      </w:r>
      <w:r>
        <w:rPr>
          <w:rFonts w:cs="Arial" w:hint="cs"/>
          <w:rtl/>
        </w:rPr>
        <w:t>ברכת</w:t>
      </w:r>
      <w:r>
        <w:rPr>
          <w:rFonts w:cs="Arial"/>
          <w:rtl/>
        </w:rPr>
        <w:t xml:space="preserve"> </w:t>
      </w:r>
      <w:r>
        <w:rPr>
          <w:rFonts w:cs="Arial" w:hint="cs"/>
          <w:rtl/>
        </w:rPr>
        <w:t>כהנים,</w:t>
      </w:r>
      <w:r>
        <w:rPr>
          <w:rFonts w:cs="Arial"/>
          <w:rtl/>
        </w:rPr>
        <w:t xml:space="preserve"> </w:t>
      </w:r>
      <w:r>
        <w:rPr>
          <w:rFonts w:cs="Arial" w:hint="cs"/>
          <w:rtl/>
        </w:rPr>
        <w:t>כי</w:t>
      </w:r>
      <w:r>
        <w:rPr>
          <w:rFonts w:cs="Arial"/>
          <w:rtl/>
        </w:rPr>
        <w:t xml:space="preserve"> </w:t>
      </w:r>
      <w:r>
        <w:rPr>
          <w:rFonts w:cs="Arial" w:hint="cs"/>
          <w:rtl/>
        </w:rPr>
        <w:t>כן</w:t>
      </w:r>
      <w:r>
        <w:rPr>
          <w:rFonts w:cs="Arial"/>
          <w:rtl/>
        </w:rPr>
        <w:t xml:space="preserve"> </w:t>
      </w:r>
      <w:r>
        <w:rPr>
          <w:rFonts w:cs="Arial" w:hint="cs"/>
          <w:rtl/>
        </w:rPr>
        <w:t>היה;</w:t>
      </w:r>
      <w:r>
        <w:rPr>
          <w:rFonts w:cs="Arial"/>
          <w:rtl/>
        </w:rPr>
        <w:t xml:space="preserve"> </w:t>
      </w:r>
      <w:r>
        <w:rPr>
          <w:rFonts w:cs="Arial" w:hint="cs"/>
          <w:rtl/>
        </w:rPr>
        <w:t>כי</w:t>
      </w:r>
      <w:r>
        <w:rPr>
          <w:rFonts w:cs="Arial"/>
          <w:rtl/>
        </w:rPr>
        <w:t xml:space="preserve"> </w:t>
      </w:r>
      <w:r>
        <w:rPr>
          <w:rFonts w:cs="Arial" w:hint="cs"/>
          <w:rtl/>
        </w:rPr>
        <w:t>ביום</w:t>
      </w:r>
      <w:r>
        <w:rPr>
          <w:rFonts w:cs="Arial"/>
          <w:rtl/>
        </w:rPr>
        <w:t xml:space="preserve"> </w:t>
      </w:r>
      <w:r>
        <w:rPr>
          <w:rFonts w:cs="Arial" w:hint="cs"/>
          <w:rtl/>
        </w:rPr>
        <w:t>שנשא</w:t>
      </w:r>
      <w:r>
        <w:rPr>
          <w:rFonts w:cs="Arial"/>
          <w:rtl/>
        </w:rPr>
        <w:t xml:space="preserve"> </w:t>
      </w:r>
      <w:r>
        <w:rPr>
          <w:rFonts w:cs="Arial" w:hint="cs"/>
          <w:rtl/>
        </w:rPr>
        <w:t>אהרן</w:t>
      </w:r>
      <w:r>
        <w:rPr>
          <w:rFonts w:cs="Arial"/>
          <w:rtl/>
        </w:rPr>
        <w:t xml:space="preserve"> </w:t>
      </w:r>
      <w:r>
        <w:rPr>
          <w:rFonts w:cs="Arial" w:hint="cs"/>
          <w:rtl/>
        </w:rPr>
        <w:t>את</w:t>
      </w:r>
      <w:r>
        <w:rPr>
          <w:rFonts w:cs="Arial"/>
          <w:rtl/>
        </w:rPr>
        <w:t xml:space="preserve"> </w:t>
      </w:r>
      <w:r>
        <w:rPr>
          <w:rFonts w:cs="Arial" w:hint="cs"/>
          <w:rtl/>
        </w:rPr>
        <w:t>ידיו</w:t>
      </w:r>
      <w:r>
        <w:rPr>
          <w:rFonts w:cs="Arial"/>
          <w:rtl/>
        </w:rPr>
        <w:t xml:space="preserve"> </w:t>
      </w:r>
      <w:r>
        <w:rPr>
          <w:rFonts w:cs="Arial" w:hint="cs"/>
          <w:rtl/>
        </w:rPr>
        <w:t>אל</w:t>
      </w:r>
      <w:r>
        <w:rPr>
          <w:rFonts w:cs="Arial"/>
          <w:rtl/>
        </w:rPr>
        <w:t xml:space="preserve"> </w:t>
      </w:r>
      <w:r>
        <w:rPr>
          <w:rFonts w:cs="Arial" w:hint="cs"/>
          <w:rtl/>
        </w:rPr>
        <w:t>העם</w:t>
      </w:r>
      <w:r>
        <w:rPr>
          <w:rFonts w:cs="Arial"/>
          <w:rtl/>
        </w:rPr>
        <w:t xml:space="preserve"> </w:t>
      </w:r>
      <w:r>
        <w:rPr>
          <w:rFonts w:cs="Arial" w:hint="cs"/>
          <w:rtl/>
        </w:rPr>
        <w:t>ויברכם</w:t>
      </w:r>
      <w:r>
        <w:rPr>
          <w:rFonts w:cs="Arial"/>
          <w:rtl/>
        </w:rPr>
        <w:t xml:space="preserve"> </w:t>
      </w:r>
      <w:r>
        <w:rPr>
          <w:rFonts w:cs="Arial" w:hint="cs"/>
          <w:rtl/>
        </w:rPr>
        <w:t>החלה</w:t>
      </w:r>
      <w:r>
        <w:rPr>
          <w:rFonts w:cs="Arial"/>
          <w:rtl/>
        </w:rPr>
        <w:t xml:space="preserve"> </w:t>
      </w:r>
      <w:r>
        <w:rPr>
          <w:rFonts w:cs="Arial" w:hint="cs"/>
          <w:rtl/>
        </w:rPr>
        <w:t>חנוכת</w:t>
      </w:r>
      <w:r>
        <w:rPr>
          <w:rFonts w:cs="Arial"/>
          <w:rtl/>
        </w:rPr>
        <w:t xml:space="preserve"> </w:t>
      </w:r>
      <w:r>
        <w:rPr>
          <w:rFonts w:cs="Arial" w:hint="cs"/>
          <w:rtl/>
        </w:rPr>
        <w:t>המזבח" (פירושו לבמדבר ז', 1).</w:t>
      </w:r>
    </w:p>
  </w:footnote>
  <w:footnote w:id="4">
    <w:p w:rsidR="007F18F7" w:rsidRDefault="007F18F7" w:rsidP="00BB5BD9">
      <w:pPr>
        <w:pStyle w:val="FootnoteText"/>
        <w:spacing w:line="360" w:lineRule="auto"/>
        <w:jc w:val="both"/>
        <w:rPr>
          <w:rtl/>
        </w:rPr>
      </w:pPr>
      <w:r w:rsidRPr="00B60FF8">
        <w:rPr>
          <w:rStyle w:val="FootnoteReference"/>
        </w:rPr>
        <w:footnoteRef/>
      </w:r>
      <w:r w:rsidRPr="00B60FF8">
        <w:rPr>
          <w:rtl/>
        </w:rPr>
        <w:t xml:space="preserve"> </w:t>
      </w:r>
      <w:r w:rsidR="00BB5BD9">
        <w:rPr>
          <w:rFonts w:hint="cs"/>
          <w:rtl/>
        </w:rPr>
        <w:t>על המודלים השונים של סדר מניית השבטים ראו:</w:t>
      </w:r>
    </w:p>
    <w:p w:rsidR="00BB5BD9" w:rsidRPr="00B60FF8" w:rsidRDefault="001C40C9" w:rsidP="00542429">
      <w:pPr>
        <w:pStyle w:val="FootnoteText"/>
        <w:bidi w:val="0"/>
        <w:spacing w:line="360" w:lineRule="auto"/>
      </w:pPr>
      <w:r>
        <w:t>J</w:t>
      </w:r>
      <w:r w:rsidR="00BB5BD9">
        <w:t xml:space="preserve">. Chinitz, "The Listing of the Tribes of Israel", </w:t>
      </w:r>
      <w:r w:rsidR="00BB5BD9" w:rsidRPr="001C40C9">
        <w:rPr>
          <w:i/>
          <w:iCs/>
        </w:rPr>
        <w:t>JBQ</w:t>
      </w:r>
      <w:r w:rsidR="00BB5BD9">
        <w:t xml:space="preserve"> 24 (1996): 36-42</w:t>
      </w:r>
      <w:r>
        <w:t>.</w:t>
      </w:r>
    </w:p>
  </w:footnote>
  <w:footnote w:id="5">
    <w:p w:rsidR="00322D7D" w:rsidRDefault="00322D7D" w:rsidP="00322D7D">
      <w:pPr>
        <w:pStyle w:val="FootnoteText"/>
        <w:bidi w:val="0"/>
      </w:pPr>
      <w:r>
        <w:rPr>
          <w:rStyle w:val="FootnoteReference"/>
        </w:rPr>
        <w:footnoteRef/>
      </w:r>
      <w:r>
        <w:rPr>
          <w:rtl/>
        </w:rPr>
        <w:t xml:space="preserve"> </w:t>
      </w:r>
      <w:r>
        <w:t>Chapter 8 circles back to this point while ch. 3 does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151"/>
      </w:tblGrid>
      <w:tr w:rsidR="00322D7D" w:rsidTr="00821D62">
        <w:tc>
          <w:tcPr>
            <w:tcW w:w="3145" w:type="dxa"/>
          </w:tcPr>
          <w:p w:rsidR="00322D7D" w:rsidRPr="00821D62" w:rsidRDefault="00322D7D" w:rsidP="00821D62">
            <w:pPr>
              <w:pStyle w:val="FootnoteText"/>
            </w:pPr>
            <w:r w:rsidRPr="00821D62">
              <w:rPr>
                <w:rFonts w:ascii="SBL BibLit" w:hAnsi="SBL BibLit" w:cs="SBL BibLit" w:hint="cs"/>
                <w:vertAlign w:val="superscript"/>
                <w:rtl/>
              </w:rPr>
              <w:t>במדבר ח:יח</w:t>
            </w:r>
            <w:r w:rsidRPr="00821D62">
              <w:rPr>
                <w:rFonts w:ascii="SBL BibLit" w:hAnsi="SBL BibLit" w:cs="SBL BibLit" w:hint="cs"/>
                <w:rtl/>
              </w:rPr>
              <w:t xml:space="preserve"> </w:t>
            </w:r>
            <w:r w:rsidRPr="00821D62">
              <w:rPr>
                <w:rFonts w:ascii="SBL BibLit" w:hAnsi="SBL BibLit" w:cs="SBL BibLit"/>
                <w:rtl/>
              </w:rPr>
              <w:t xml:space="preserve">וָאֶקַּח אֶת הַלְוִיִּם תַּחַת כָּל בְּכוֹר בִּבְנֵי יִשְׂרָאֵל. </w:t>
            </w:r>
            <w:r w:rsidRPr="00821D62">
              <w:rPr>
                <w:rFonts w:ascii="SBL BibLit" w:hAnsi="SBL BibLit" w:cs="SBL BibLit" w:hint="cs"/>
                <w:vertAlign w:val="superscript"/>
                <w:rtl/>
              </w:rPr>
              <w:t>ח:יט</w:t>
            </w:r>
            <w:r w:rsidRPr="00821D62">
              <w:rPr>
                <w:rFonts w:ascii="SBL BibLit" w:hAnsi="SBL BibLit" w:cs="SBL BibLit" w:hint="cs"/>
                <w:rtl/>
              </w:rPr>
              <w:t xml:space="preserve"> </w:t>
            </w:r>
            <w:r w:rsidRPr="00821D62">
              <w:rPr>
                <w:rFonts w:ascii="SBL BibLit" w:hAnsi="SBL BibLit" w:cs="SBL BibLit"/>
                <w:rtl/>
              </w:rPr>
              <w:t>וָאֶתְּנָה אֶת הַלְוִיִּם נְתֻנִים לְאַהֲרֹן וּלְבָנָיו</w:t>
            </w:r>
          </w:p>
        </w:tc>
        <w:tc>
          <w:tcPr>
            <w:tcW w:w="5151" w:type="dxa"/>
          </w:tcPr>
          <w:p w:rsidR="00322D7D" w:rsidRPr="00821D62" w:rsidRDefault="00322D7D" w:rsidP="00821D62">
            <w:pPr>
              <w:pStyle w:val="FootnoteText"/>
              <w:bidi w:val="0"/>
            </w:pPr>
            <w:r w:rsidRPr="00821D62">
              <w:rPr>
                <w:rFonts w:ascii="SBL BibLit" w:hAnsi="SBL BibLit" w:cs="SBL BibLit"/>
                <w:vertAlign w:val="superscript"/>
              </w:rPr>
              <w:t>8:18</w:t>
            </w:r>
            <w:r w:rsidRPr="00821D62">
              <w:rPr>
                <w:rFonts w:ascii="SBL BibLit" w:hAnsi="SBL BibLit" w:cs="SBL BibLit"/>
              </w:rPr>
              <w:t xml:space="preserve"> Now I take the Levites instead of every first-born of the Israelites; </w:t>
            </w:r>
            <w:r w:rsidRPr="00821D62">
              <w:rPr>
                <w:rFonts w:ascii="SBL BibLit" w:hAnsi="SBL BibLit" w:cs="SBL BibLit"/>
                <w:vertAlign w:val="superscript"/>
              </w:rPr>
              <w:t>8:19</w:t>
            </w:r>
            <w:r w:rsidRPr="00821D62">
              <w:rPr>
                <w:rFonts w:ascii="SBL BibLit" w:hAnsi="SBL BibLit" w:cs="SBL BibLit"/>
              </w:rPr>
              <w:t xml:space="preserve"> and from among the Israelites I formally assign the Levites to Aaron and his sons…</w:t>
            </w:r>
          </w:p>
        </w:tc>
      </w:tr>
    </w:tbl>
    <w:p w:rsidR="00322D7D" w:rsidRDefault="00322D7D" w:rsidP="00322D7D">
      <w:pPr>
        <w:pStyle w:val="FootnoteText"/>
        <w:bidi w:val="0"/>
      </w:pPr>
    </w:p>
  </w:footnote>
  <w:footnote w:id="6">
    <w:p w:rsidR="0011496D" w:rsidRPr="00B60FF8" w:rsidRDefault="0011496D" w:rsidP="003A696B">
      <w:pPr>
        <w:pStyle w:val="FootnoteText"/>
        <w:bidi w:val="0"/>
        <w:spacing w:line="360" w:lineRule="auto"/>
        <w:jc w:val="both"/>
      </w:pPr>
      <w:r w:rsidRPr="00B60FF8">
        <w:rPr>
          <w:rStyle w:val="FootnoteReference"/>
        </w:rPr>
        <w:footnoteRef/>
      </w:r>
      <w:r w:rsidRPr="00B60FF8">
        <w:rPr>
          <w:rtl/>
        </w:rPr>
        <w:t xml:space="preserve"> </w:t>
      </w:r>
      <w:r w:rsidRPr="00B60FF8">
        <w:t>J</w:t>
      </w:r>
      <w:r w:rsidR="00241AD4">
        <w:t>anson</w:t>
      </w:r>
      <w:r w:rsidRPr="00B60FF8">
        <w:t xml:space="preserve"> C. Condren, "Is the Account of the Organization of the Camp Devoid of Organization? A Proposal for the Literary Structure of Numbers 1.1-10.10", </w:t>
      </w:r>
      <w:r w:rsidRPr="00B60FF8">
        <w:rPr>
          <w:i/>
          <w:iCs/>
        </w:rPr>
        <w:t>JSOT</w:t>
      </w:r>
      <w:r w:rsidRPr="00B60FF8">
        <w:t xml:space="preserve"> 37 (2013), 423-452.</w:t>
      </w:r>
    </w:p>
  </w:footnote>
  <w:footnote w:id="7">
    <w:p w:rsidR="003225F6" w:rsidRDefault="003225F6" w:rsidP="00542429">
      <w:pPr>
        <w:pStyle w:val="FootnoteText"/>
      </w:pPr>
      <w:r>
        <w:rPr>
          <w:rStyle w:val="FootnoteReference"/>
        </w:rPr>
        <w:footnoteRef/>
      </w:r>
      <w:r>
        <w:rPr>
          <w:rtl/>
        </w:rPr>
        <w:t xml:space="preserve"> </w:t>
      </w:r>
      <w:r>
        <w:rPr>
          <w:rFonts w:hint="cs"/>
          <w:rtl/>
        </w:rPr>
        <w:t xml:space="preserve">בהזדמנות אחרת הצעתי שחוקים אלו מיגים את הרלוונטיות של המשכן למעגלים שונים במחנה ישראל: הקהילה; המשפחה והיחיד </w:t>
      </w:r>
      <w:r w:rsidR="00542429" w:rsidRPr="00542429">
        <w:t xml:space="preserve"> </w:t>
      </w:r>
      <w:r w:rsidR="00542429">
        <w:t>("</w:t>
      </w:r>
      <w:r w:rsidR="00542429" w:rsidRPr="00542429">
        <w:t>The Mishkan and the Nazir</w:t>
      </w:r>
      <w:r w:rsidR="00542429">
        <w:t xml:space="preserve">", in: </w:t>
      </w:r>
      <w:r w:rsidR="00542429" w:rsidRPr="00542429">
        <w:t>E</w:t>
      </w:r>
      <w:r w:rsidR="00542429">
        <w:t>.</w:t>
      </w:r>
      <w:r w:rsidR="00542429" w:rsidRPr="00542429">
        <w:t xml:space="preserve"> Bick and Y</w:t>
      </w:r>
      <w:r w:rsidR="00542429">
        <w:t>.</w:t>
      </w:r>
      <w:r w:rsidR="00542429" w:rsidRPr="00542429">
        <w:t xml:space="preserve"> Beasley</w:t>
      </w:r>
      <w:r w:rsidR="00542429">
        <w:t xml:space="preserve"> [eds.] </w:t>
      </w:r>
      <w:r w:rsidR="00542429" w:rsidRPr="00542429">
        <w:rPr>
          <w:i/>
          <w:iCs/>
        </w:rPr>
        <w:t>Torah MiEtzion: New Readings in Tanach – Bemidbar</w:t>
      </w:r>
      <w:r w:rsidR="00542429">
        <w:t xml:space="preserve"> [Jerusalem 2014], 63-70)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A4673"/>
    <w:multiLevelType w:val="hybridMultilevel"/>
    <w:tmpl w:val="22706CFC"/>
    <w:lvl w:ilvl="0" w:tplc="89BE9F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DB"/>
    <w:rsid w:val="0001693A"/>
    <w:rsid w:val="00052CDB"/>
    <w:rsid w:val="0008793C"/>
    <w:rsid w:val="000910C4"/>
    <w:rsid w:val="0011496D"/>
    <w:rsid w:val="001201C9"/>
    <w:rsid w:val="00142183"/>
    <w:rsid w:val="001A11A4"/>
    <w:rsid w:val="001C1469"/>
    <w:rsid w:val="001C40C9"/>
    <w:rsid w:val="001C4D5F"/>
    <w:rsid w:val="001F2ED1"/>
    <w:rsid w:val="00223C92"/>
    <w:rsid w:val="00241AD4"/>
    <w:rsid w:val="00283DB6"/>
    <w:rsid w:val="002A2600"/>
    <w:rsid w:val="002A663D"/>
    <w:rsid w:val="003108D9"/>
    <w:rsid w:val="003225F6"/>
    <w:rsid w:val="00322D7D"/>
    <w:rsid w:val="00335C12"/>
    <w:rsid w:val="00354352"/>
    <w:rsid w:val="003A696B"/>
    <w:rsid w:val="003B5378"/>
    <w:rsid w:val="003E3FA4"/>
    <w:rsid w:val="003F53AF"/>
    <w:rsid w:val="003F6E2B"/>
    <w:rsid w:val="00403AB2"/>
    <w:rsid w:val="00407BC5"/>
    <w:rsid w:val="0042299D"/>
    <w:rsid w:val="00426D46"/>
    <w:rsid w:val="00435066"/>
    <w:rsid w:val="004A126A"/>
    <w:rsid w:val="004E2DE9"/>
    <w:rsid w:val="00523277"/>
    <w:rsid w:val="00542429"/>
    <w:rsid w:val="00555F35"/>
    <w:rsid w:val="005818CB"/>
    <w:rsid w:val="00592B4A"/>
    <w:rsid w:val="005B27F2"/>
    <w:rsid w:val="005B3660"/>
    <w:rsid w:val="00656C3E"/>
    <w:rsid w:val="006C08E5"/>
    <w:rsid w:val="006C6A1A"/>
    <w:rsid w:val="00755C8F"/>
    <w:rsid w:val="00757C74"/>
    <w:rsid w:val="00762952"/>
    <w:rsid w:val="0077086F"/>
    <w:rsid w:val="007B2642"/>
    <w:rsid w:val="007F03E5"/>
    <w:rsid w:val="007F18F7"/>
    <w:rsid w:val="00821D62"/>
    <w:rsid w:val="00836820"/>
    <w:rsid w:val="0084702C"/>
    <w:rsid w:val="00850794"/>
    <w:rsid w:val="00893CE3"/>
    <w:rsid w:val="008E4F3A"/>
    <w:rsid w:val="00937A7C"/>
    <w:rsid w:val="00952DCB"/>
    <w:rsid w:val="009B3485"/>
    <w:rsid w:val="009E4ABC"/>
    <w:rsid w:val="00A1688C"/>
    <w:rsid w:val="00A923A9"/>
    <w:rsid w:val="00AA4333"/>
    <w:rsid w:val="00AB283A"/>
    <w:rsid w:val="00AE5728"/>
    <w:rsid w:val="00B00F93"/>
    <w:rsid w:val="00B010F2"/>
    <w:rsid w:val="00B10380"/>
    <w:rsid w:val="00B60FF8"/>
    <w:rsid w:val="00BB5060"/>
    <w:rsid w:val="00BB5BD9"/>
    <w:rsid w:val="00BC17A2"/>
    <w:rsid w:val="00BD5547"/>
    <w:rsid w:val="00BE183E"/>
    <w:rsid w:val="00C3195B"/>
    <w:rsid w:val="00C67E74"/>
    <w:rsid w:val="00CA0D4A"/>
    <w:rsid w:val="00D05DCB"/>
    <w:rsid w:val="00D84781"/>
    <w:rsid w:val="00DC7376"/>
    <w:rsid w:val="00E0359B"/>
    <w:rsid w:val="00E61034"/>
    <w:rsid w:val="00ED4D86"/>
    <w:rsid w:val="00F0269B"/>
    <w:rsid w:val="00F571C4"/>
    <w:rsid w:val="00F70B03"/>
    <w:rsid w:val="00F84A92"/>
    <w:rsid w:val="00FA5E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A27AB-5AAA-4BE7-B01A-F83CCA58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CDB"/>
    <w:pPr>
      <w:ind w:left="720"/>
      <w:contextualSpacing/>
    </w:pPr>
  </w:style>
  <w:style w:type="paragraph" w:styleId="FootnoteText">
    <w:name w:val="footnote text"/>
    <w:basedOn w:val="Normal"/>
    <w:link w:val="FootnoteTextChar"/>
    <w:uiPriority w:val="99"/>
    <w:unhideWhenUsed/>
    <w:rsid w:val="00052CDB"/>
    <w:pPr>
      <w:spacing w:after="0" w:line="240" w:lineRule="auto"/>
    </w:pPr>
    <w:rPr>
      <w:sz w:val="20"/>
      <w:szCs w:val="20"/>
    </w:rPr>
  </w:style>
  <w:style w:type="character" w:customStyle="1" w:styleId="FootnoteTextChar">
    <w:name w:val="Footnote Text Char"/>
    <w:basedOn w:val="DefaultParagraphFont"/>
    <w:link w:val="FootnoteText"/>
    <w:uiPriority w:val="99"/>
    <w:rsid w:val="00052CDB"/>
    <w:rPr>
      <w:sz w:val="20"/>
      <w:szCs w:val="20"/>
    </w:rPr>
  </w:style>
  <w:style w:type="character" w:styleId="FootnoteReference">
    <w:name w:val="footnote reference"/>
    <w:basedOn w:val="DefaultParagraphFont"/>
    <w:uiPriority w:val="99"/>
    <w:semiHidden/>
    <w:unhideWhenUsed/>
    <w:rsid w:val="00052CDB"/>
    <w:rPr>
      <w:vertAlign w:val="superscript"/>
    </w:rPr>
  </w:style>
  <w:style w:type="paragraph" w:styleId="NormalWeb">
    <w:name w:val="Normal (Web)"/>
    <w:basedOn w:val="Normal"/>
    <w:uiPriority w:val="99"/>
    <w:semiHidden/>
    <w:unhideWhenUsed/>
    <w:rsid w:val="00052CDB"/>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83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2ED1"/>
    <w:rPr>
      <w:sz w:val="16"/>
      <w:szCs w:val="16"/>
    </w:rPr>
  </w:style>
  <w:style w:type="paragraph" w:styleId="CommentText">
    <w:name w:val="annotation text"/>
    <w:basedOn w:val="Normal"/>
    <w:link w:val="CommentTextChar"/>
    <w:uiPriority w:val="99"/>
    <w:semiHidden/>
    <w:unhideWhenUsed/>
    <w:rsid w:val="001F2ED1"/>
    <w:pPr>
      <w:spacing w:line="240" w:lineRule="auto"/>
    </w:pPr>
    <w:rPr>
      <w:sz w:val="20"/>
      <w:szCs w:val="20"/>
    </w:rPr>
  </w:style>
  <w:style w:type="character" w:customStyle="1" w:styleId="CommentTextChar">
    <w:name w:val="Comment Text Char"/>
    <w:basedOn w:val="DefaultParagraphFont"/>
    <w:link w:val="CommentText"/>
    <w:uiPriority w:val="99"/>
    <w:semiHidden/>
    <w:rsid w:val="001F2ED1"/>
    <w:rPr>
      <w:sz w:val="20"/>
      <w:szCs w:val="20"/>
    </w:rPr>
  </w:style>
  <w:style w:type="paragraph" w:styleId="CommentSubject">
    <w:name w:val="annotation subject"/>
    <w:basedOn w:val="CommentText"/>
    <w:next w:val="CommentText"/>
    <w:link w:val="CommentSubjectChar"/>
    <w:uiPriority w:val="99"/>
    <w:semiHidden/>
    <w:unhideWhenUsed/>
    <w:rsid w:val="001F2ED1"/>
    <w:rPr>
      <w:b/>
      <w:bCs/>
    </w:rPr>
  </w:style>
  <w:style w:type="character" w:customStyle="1" w:styleId="CommentSubjectChar">
    <w:name w:val="Comment Subject Char"/>
    <w:basedOn w:val="CommentTextChar"/>
    <w:link w:val="CommentSubject"/>
    <w:uiPriority w:val="99"/>
    <w:semiHidden/>
    <w:rsid w:val="001F2ED1"/>
    <w:rPr>
      <w:b/>
      <w:bCs/>
      <w:sz w:val="20"/>
      <w:szCs w:val="20"/>
    </w:rPr>
  </w:style>
  <w:style w:type="paragraph" w:styleId="BalloonText">
    <w:name w:val="Balloon Text"/>
    <w:basedOn w:val="Normal"/>
    <w:link w:val="BalloonTextChar"/>
    <w:uiPriority w:val="99"/>
    <w:semiHidden/>
    <w:unhideWhenUsed/>
    <w:rsid w:val="001F2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ED1"/>
    <w:rPr>
      <w:rFonts w:ascii="Segoe UI" w:hAnsi="Segoe UI" w:cs="Segoe UI"/>
      <w:sz w:val="18"/>
      <w:szCs w:val="18"/>
    </w:rPr>
  </w:style>
  <w:style w:type="character" w:customStyle="1" w:styleId="apple-converted-space">
    <w:name w:val="apple-converted-space"/>
    <w:basedOn w:val="DefaultParagraphFont"/>
    <w:rsid w:val="00C3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7658">
      <w:bodyDiv w:val="1"/>
      <w:marLeft w:val="0"/>
      <w:marRight w:val="0"/>
      <w:marTop w:val="0"/>
      <w:marBottom w:val="0"/>
      <w:divBdr>
        <w:top w:val="none" w:sz="0" w:space="0" w:color="auto"/>
        <w:left w:val="none" w:sz="0" w:space="0" w:color="auto"/>
        <w:bottom w:val="none" w:sz="0" w:space="0" w:color="auto"/>
        <w:right w:val="none" w:sz="0" w:space="0" w:color="auto"/>
      </w:divBdr>
    </w:div>
    <w:div w:id="382950208">
      <w:bodyDiv w:val="1"/>
      <w:marLeft w:val="0"/>
      <w:marRight w:val="0"/>
      <w:marTop w:val="0"/>
      <w:marBottom w:val="0"/>
      <w:divBdr>
        <w:top w:val="none" w:sz="0" w:space="0" w:color="auto"/>
        <w:left w:val="none" w:sz="0" w:space="0" w:color="auto"/>
        <w:bottom w:val="none" w:sz="0" w:space="0" w:color="auto"/>
        <w:right w:val="none" w:sz="0" w:space="0" w:color="auto"/>
      </w:divBdr>
    </w:div>
    <w:div w:id="504520307">
      <w:bodyDiv w:val="1"/>
      <w:marLeft w:val="0"/>
      <w:marRight w:val="0"/>
      <w:marTop w:val="0"/>
      <w:marBottom w:val="0"/>
      <w:divBdr>
        <w:top w:val="none" w:sz="0" w:space="0" w:color="auto"/>
        <w:left w:val="none" w:sz="0" w:space="0" w:color="auto"/>
        <w:bottom w:val="none" w:sz="0" w:space="0" w:color="auto"/>
        <w:right w:val="none" w:sz="0" w:space="0" w:color="auto"/>
      </w:divBdr>
    </w:div>
    <w:div w:id="564921820">
      <w:bodyDiv w:val="1"/>
      <w:marLeft w:val="0"/>
      <w:marRight w:val="0"/>
      <w:marTop w:val="0"/>
      <w:marBottom w:val="0"/>
      <w:divBdr>
        <w:top w:val="none" w:sz="0" w:space="0" w:color="auto"/>
        <w:left w:val="none" w:sz="0" w:space="0" w:color="auto"/>
        <w:bottom w:val="none" w:sz="0" w:space="0" w:color="auto"/>
        <w:right w:val="none" w:sz="0" w:space="0" w:color="auto"/>
      </w:divBdr>
    </w:div>
    <w:div w:id="627205733">
      <w:bodyDiv w:val="1"/>
      <w:marLeft w:val="0"/>
      <w:marRight w:val="0"/>
      <w:marTop w:val="0"/>
      <w:marBottom w:val="0"/>
      <w:divBdr>
        <w:top w:val="none" w:sz="0" w:space="0" w:color="auto"/>
        <w:left w:val="none" w:sz="0" w:space="0" w:color="auto"/>
        <w:bottom w:val="none" w:sz="0" w:space="0" w:color="auto"/>
        <w:right w:val="none" w:sz="0" w:space="0" w:color="auto"/>
      </w:divBdr>
      <w:divsChild>
        <w:div w:id="1978491391">
          <w:marLeft w:val="-1350"/>
          <w:marRight w:val="0"/>
          <w:marTop w:val="0"/>
          <w:marBottom w:val="0"/>
          <w:divBdr>
            <w:top w:val="none" w:sz="0" w:space="0" w:color="auto"/>
            <w:left w:val="none" w:sz="0" w:space="0" w:color="auto"/>
            <w:bottom w:val="none" w:sz="0" w:space="0" w:color="auto"/>
            <w:right w:val="none" w:sz="0" w:space="0" w:color="auto"/>
          </w:divBdr>
        </w:div>
      </w:divsChild>
    </w:div>
    <w:div w:id="1082333774">
      <w:bodyDiv w:val="1"/>
      <w:marLeft w:val="0"/>
      <w:marRight w:val="0"/>
      <w:marTop w:val="0"/>
      <w:marBottom w:val="0"/>
      <w:divBdr>
        <w:top w:val="none" w:sz="0" w:space="0" w:color="auto"/>
        <w:left w:val="none" w:sz="0" w:space="0" w:color="auto"/>
        <w:bottom w:val="none" w:sz="0" w:space="0" w:color="auto"/>
        <w:right w:val="none" w:sz="0" w:space="0" w:color="auto"/>
      </w:divBdr>
    </w:div>
    <w:div w:id="1277953140">
      <w:bodyDiv w:val="1"/>
      <w:marLeft w:val="0"/>
      <w:marRight w:val="0"/>
      <w:marTop w:val="0"/>
      <w:marBottom w:val="0"/>
      <w:divBdr>
        <w:top w:val="none" w:sz="0" w:space="0" w:color="auto"/>
        <w:left w:val="none" w:sz="0" w:space="0" w:color="auto"/>
        <w:bottom w:val="none" w:sz="0" w:space="0" w:color="auto"/>
        <w:right w:val="none" w:sz="0" w:space="0" w:color="auto"/>
      </w:divBdr>
    </w:div>
    <w:div w:id="1281104236">
      <w:bodyDiv w:val="1"/>
      <w:marLeft w:val="0"/>
      <w:marRight w:val="0"/>
      <w:marTop w:val="0"/>
      <w:marBottom w:val="0"/>
      <w:divBdr>
        <w:top w:val="none" w:sz="0" w:space="0" w:color="auto"/>
        <w:left w:val="none" w:sz="0" w:space="0" w:color="auto"/>
        <w:bottom w:val="none" w:sz="0" w:space="0" w:color="auto"/>
        <w:right w:val="none" w:sz="0" w:space="0" w:color="auto"/>
      </w:divBdr>
    </w:div>
    <w:div w:id="1382948354">
      <w:bodyDiv w:val="1"/>
      <w:marLeft w:val="0"/>
      <w:marRight w:val="0"/>
      <w:marTop w:val="0"/>
      <w:marBottom w:val="0"/>
      <w:divBdr>
        <w:top w:val="none" w:sz="0" w:space="0" w:color="auto"/>
        <w:left w:val="none" w:sz="0" w:space="0" w:color="auto"/>
        <w:bottom w:val="none" w:sz="0" w:space="0" w:color="auto"/>
        <w:right w:val="none" w:sz="0" w:space="0" w:color="auto"/>
      </w:divBdr>
    </w:div>
    <w:div w:id="21173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867E3-6E52-45E6-AE5F-641B08A1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1866</Words>
  <Characters>10232</Characters>
  <Application>Microsoft Office Word</Application>
  <DocSecurity>0</DocSecurity>
  <Lines>310</Lines>
  <Paragraphs>170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Zev Farber</cp:lastModifiedBy>
  <cp:revision>3</cp:revision>
  <dcterms:created xsi:type="dcterms:W3CDTF">2017-05-04T09:03:00Z</dcterms:created>
  <dcterms:modified xsi:type="dcterms:W3CDTF">2017-05-04T11:52:00Z</dcterms:modified>
</cp:coreProperties>
</file>