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7D445" w14:textId="575588BD" w:rsidR="00DE69E5" w:rsidRDefault="00DE69E5" w:rsidP="00DE69E5">
      <w:pPr>
        <w:spacing w:line="480" w:lineRule="auto"/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</w:pPr>
      <w:r w:rsidRPr="00B72BAE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La superfi</w:t>
      </w:r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cialità, se non i</w:t>
      </w:r>
      <w:r w:rsidRPr="0013783B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l disprezzo, con cui in passato si guardava all’ottavo libro dell’</w:t>
      </w:r>
      <w:r w:rsidRPr="0013783B">
        <w:rPr>
          <w:rFonts w:ascii="Times New Roman" w:eastAsia="Palatino Linotype" w:hAnsi="Times New Roman" w:cs="Times New Roman"/>
          <w:i/>
          <w:iCs/>
          <w:color w:val="0070C0"/>
          <w:sz w:val="24"/>
          <w:szCs w:val="24"/>
          <w:lang w:val="it-IT"/>
        </w:rPr>
        <w:t>Antologia Palatina</w:t>
      </w:r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, infatti, ha ceduto il posto a un atteggiamento più maturo, che considera il libro nel suo insieme come una collezione coerente di epigrammi incentrati sul tema della morte e delle sepolture.</w:t>
      </w:r>
      <w:r w:rsidRPr="00B72BAE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 xml:space="preserve"> </w:t>
      </w:r>
      <w:r w:rsidRPr="00B72BAE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A </w:t>
      </w:r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impedire</w:t>
      </w:r>
      <w:r w:rsidRPr="00B72BAE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 un giudizio positivo è stata, indubbiamente, la t</w:t>
      </w:r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endenza spiccata dell’autore a ripetere gli stessi motivi, una tendenza che tuttavia può trovare una facile spiegazione nell’intento didattico della raccolta. Da là dalle considerazione contenutistiche e dagli utili riferimenti storici e sociali, non ultimo il richiamo ad alcune prassi funerarie del IV sec. d.C., un sicuro motivo di interesse è anche nell’ispirazione classicistica degli epigrammi. Di pari passo con l’approfondimento dello studio delle tecniche formali e dei modelli letterari dell’autore, infatti, sembra emergere </w:t>
      </w:r>
      <w:r w:rsidRPr="00B72BAE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che </w:t>
      </w:r>
      <w:r w:rsidRPr="00B72BAE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 xml:space="preserve">Gregory </w:t>
      </w:r>
      <w:proofErr w:type="spellStart"/>
      <w:r w:rsidRPr="00B72BAE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>is</w:t>
      </w:r>
      <w:proofErr w:type="spellEnd"/>
      <w:r w:rsidRPr="00B72BAE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 xml:space="preserve"> more </w:t>
      </w:r>
      <w:proofErr w:type="spellStart"/>
      <w:r w:rsidRPr="00B72BAE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>classicizing</w:t>
      </w:r>
      <w:proofErr w:type="spellEnd"/>
      <w:r w:rsidRPr="00B72BAE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 xml:space="preserve"> in </w:t>
      </w:r>
      <w:proofErr w:type="spellStart"/>
      <w:r w:rsidRPr="00B72BAE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>his</w:t>
      </w:r>
      <w:proofErr w:type="spellEnd"/>
      <w:r w:rsidRPr="00B72BAE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 xml:space="preserve"> </w:t>
      </w:r>
      <w:proofErr w:type="spellStart"/>
      <w:r w:rsidRPr="00B72BAE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>epigrams</w:t>
      </w:r>
      <w:proofErr w:type="spellEnd"/>
      <w:r w:rsidRPr="00B72BAE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 xml:space="preserve"> </w:t>
      </w:r>
      <w:proofErr w:type="spellStart"/>
      <w:r w:rsidRPr="00B72BAE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>than</w:t>
      </w:r>
      <w:proofErr w:type="spellEnd"/>
      <w:r w:rsidRPr="00B72BAE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 xml:space="preserve"> in the </w:t>
      </w:r>
      <w:proofErr w:type="spellStart"/>
      <w:r w:rsidRPr="00B72BAE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>rest</w:t>
      </w:r>
      <w:proofErr w:type="spellEnd"/>
      <w:r w:rsidRPr="00B72BAE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 xml:space="preserve"> of </w:t>
      </w:r>
      <w:proofErr w:type="spellStart"/>
      <w:r w:rsidRPr="00B72BAE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>his</w:t>
      </w:r>
      <w:proofErr w:type="spellEnd"/>
      <w:r w:rsidRPr="00B72BAE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 xml:space="preserve"> </w:t>
      </w:r>
      <w:proofErr w:type="spellStart"/>
      <w:r w:rsidRPr="00B72BAE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>poetry</w:t>
      </w:r>
      <w:proofErr w:type="spellEnd"/>
      <w:r w:rsidRPr="00B72BAE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>.</w:t>
      </w:r>
    </w:p>
    <w:p w14:paraId="07D15566" w14:textId="1D316DC1" w:rsidR="00DE69E5" w:rsidRDefault="00DE69E5" w:rsidP="00DE69E5">
      <w:pPr>
        <w:spacing w:line="480" w:lineRule="auto"/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</w:pPr>
      <w:r w:rsidRPr="002F11D5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Nel caso di questo </w:t>
      </w:r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epigramma</w:t>
      </w:r>
      <w:r w:rsidRPr="002F11D5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, </w:t>
      </w:r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come vedremo</w:t>
      </w:r>
      <w:r w:rsidRPr="002F11D5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, non sempre è stato ben chiaro di quale tipo di prof</w:t>
      </w:r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anazione si trattasse, se di cristiani a danno di tombe pagane o viceversa.</w:t>
      </w:r>
    </w:p>
    <w:p w14:paraId="0C4C5238" w14:textId="66FADE4C" w:rsidR="00DE69E5" w:rsidRDefault="00DE69E5" w:rsidP="00DE69E5">
      <w:pPr>
        <w:spacing w:line="480" w:lineRule="auto"/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</w:pPr>
    </w:p>
    <w:p w14:paraId="412EED0A" w14:textId="77777777" w:rsidR="00DE69E5" w:rsidRDefault="00DE69E5" w:rsidP="00DE69E5">
      <w:pPr>
        <w:spacing w:line="480" w:lineRule="auto"/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</w:pPr>
    </w:p>
    <w:p w14:paraId="46A1FB5D" w14:textId="45C95DA9" w:rsidR="00DE69E5" w:rsidRDefault="00DE69E5" w:rsidP="00DE69E5">
      <w:pPr>
        <w:spacing w:line="480" w:lineRule="auto"/>
        <w:rPr>
          <w:rFonts w:ascii="Times New Roman" w:hAnsi="Times New Roman" w:cs="Times New Roman"/>
          <w:color w:val="0070C0"/>
          <w:sz w:val="21"/>
          <w:szCs w:val="21"/>
          <w:lang w:val="it-IT"/>
        </w:rPr>
      </w:pPr>
      <w:proofErr w:type="spellStart"/>
      <w:r w:rsidRPr="00040042">
        <w:rPr>
          <w:rFonts w:ascii="Times New Roman" w:hAnsi="Times New Roman" w:cs="Times New Roman"/>
          <w:i/>
          <w:iCs/>
          <w:color w:val="0070C0"/>
          <w:sz w:val="21"/>
          <w:szCs w:val="21"/>
          <w:lang w:val="it-IT"/>
        </w:rPr>
        <w:t>Conspectus</w:t>
      </w:r>
      <w:proofErr w:type="spellEnd"/>
      <w:r w:rsidRPr="00040042">
        <w:rPr>
          <w:rFonts w:ascii="Times New Roman" w:hAnsi="Times New Roman" w:cs="Times New Roman"/>
          <w:i/>
          <w:iCs/>
          <w:color w:val="0070C0"/>
          <w:sz w:val="21"/>
          <w:szCs w:val="21"/>
          <w:lang w:val="it-IT"/>
        </w:rPr>
        <w:t xml:space="preserve"> </w:t>
      </w:r>
      <w:proofErr w:type="spellStart"/>
      <w:r w:rsidRPr="00040042">
        <w:rPr>
          <w:rFonts w:ascii="Times New Roman" w:hAnsi="Times New Roman" w:cs="Times New Roman"/>
          <w:i/>
          <w:iCs/>
          <w:color w:val="0070C0"/>
          <w:sz w:val="21"/>
          <w:szCs w:val="21"/>
          <w:lang w:val="it-IT"/>
        </w:rPr>
        <w:t>siglorum</w:t>
      </w:r>
      <w:proofErr w:type="spellEnd"/>
      <w:r w:rsidRPr="00040042">
        <w:rPr>
          <w:rFonts w:ascii="Times New Roman" w:hAnsi="Times New Roman" w:cs="Times New Roman"/>
          <w:color w:val="0070C0"/>
          <w:sz w:val="21"/>
          <w:szCs w:val="21"/>
          <w:lang w:val="it-IT"/>
        </w:rPr>
        <w:t xml:space="preserve">. </w:t>
      </w:r>
      <w:r w:rsidRPr="00040042">
        <w:rPr>
          <w:rFonts w:ascii="Times New Roman" w:hAnsi="Times New Roman" w:cs="Times New Roman"/>
          <w:i/>
          <w:iCs/>
          <w:color w:val="0070C0"/>
          <w:sz w:val="21"/>
          <w:szCs w:val="21"/>
          <w:lang w:val="it-IT"/>
        </w:rPr>
        <w:t>m</w:t>
      </w:r>
      <w:r w:rsidRPr="00040042">
        <w:rPr>
          <w:rFonts w:ascii="Times New Roman" w:hAnsi="Times New Roman" w:cs="Times New Roman"/>
          <w:color w:val="0070C0"/>
          <w:sz w:val="21"/>
          <w:szCs w:val="21"/>
          <w:lang w:val="it-IT"/>
        </w:rPr>
        <w:t xml:space="preserve">. = lezione comune ai manoscritti; </w:t>
      </w:r>
      <w:proofErr w:type="spellStart"/>
      <w:r w:rsidRPr="00040042">
        <w:rPr>
          <w:rFonts w:ascii="Times New Roman" w:hAnsi="Times New Roman" w:cs="Times New Roman"/>
          <w:i/>
          <w:iCs/>
          <w:color w:val="0070C0"/>
          <w:sz w:val="21"/>
          <w:szCs w:val="21"/>
          <w:lang w:val="it-IT"/>
        </w:rPr>
        <w:t>codd</w:t>
      </w:r>
      <w:proofErr w:type="spellEnd"/>
      <w:r w:rsidRPr="00040042">
        <w:rPr>
          <w:rFonts w:ascii="Times New Roman" w:hAnsi="Times New Roman" w:cs="Times New Roman"/>
          <w:color w:val="0070C0"/>
          <w:sz w:val="21"/>
          <w:szCs w:val="21"/>
          <w:lang w:val="it-IT"/>
        </w:rPr>
        <w:t xml:space="preserve">. = lezione riportata da tutti i codici ad eccezione di P; P = </w:t>
      </w:r>
      <w:proofErr w:type="spellStart"/>
      <w:r w:rsidRPr="00040042">
        <w:rPr>
          <w:rFonts w:ascii="Times New Roman" w:hAnsi="Times New Roman" w:cs="Times New Roman"/>
          <w:i/>
          <w:iCs/>
          <w:color w:val="0070C0"/>
          <w:sz w:val="21"/>
          <w:szCs w:val="21"/>
          <w:lang w:val="it-IT"/>
        </w:rPr>
        <w:t>Palatinus</w:t>
      </w:r>
      <w:proofErr w:type="spellEnd"/>
      <w:r>
        <w:rPr>
          <w:rFonts w:ascii="Times New Roman" w:hAnsi="Times New Roman" w:cs="Times New Roman"/>
          <w:i/>
          <w:iCs/>
          <w:color w:val="0070C0"/>
          <w:sz w:val="21"/>
          <w:szCs w:val="21"/>
          <w:lang w:val="it-IT"/>
        </w:rPr>
        <w:t xml:space="preserve"> gr.</w:t>
      </w:r>
      <w:r w:rsidRPr="00040042">
        <w:rPr>
          <w:rFonts w:ascii="Times New Roman" w:hAnsi="Times New Roman" w:cs="Times New Roman"/>
          <w:color w:val="0070C0"/>
          <w:sz w:val="21"/>
          <w:szCs w:val="21"/>
          <w:lang w:val="it-IT"/>
        </w:rPr>
        <w:t xml:space="preserve"> 23.</w:t>
      </w:r>
      <w:r>
        <w:rPr>
          <w:rFonts w:ascii="Times New Roman" w:hAnsi="Times New Roman" w:cs="Times New Roman"/>
          <w:color w:val="0070C0"/>
          <w:sz w:val="21"/>
          <w:szCs w:val="21"/>
          <w:lang w:val="it-IT"/>
        </w:rPr>
        <w:t xml:space="preserve"> Oltre a quest’ultimo, i quattro manoscritti più importanti per costituire il testo sono il </w:t>
      </w:r>
      <w:proofErr w:type="spellStart"/>
      <w:r>
        <w:rPr>
          <w:rFonts w:ascii="Times New Roman" w:hAnsi="Times New Roman" w:cs="Times New Roman"/>
          <w:i/>
          <w:iCs/>
          <w:color w:val="0070C0"/>
          <w:sz w:val="21"/>
          <w:szCs w:val="21"/>
          <w:lang w:val="it-IT"/>
        </w:rPr>
        <w:t>Laurentianus</w:t>
      </w:r>
      <w:proofErr w:type="spellEnd"/>
      <w:r>
        <w:rPr>
          <w:rFonts w:ascii="Times New Roman" w:hAnsi="Times New Roman" w:cs="Times New Roman"/>
          <w:i/>
          <w:iCs/>
          <w:color w:val="0070C0"/>
          <w:sz w:val="21"/>
          <w:szCs w:val="21"/>
          <w:lang w:val="it-IT"/>
        </w:rPr>
        <w:t xml:space="preserve"> </w:t>
      </w:r>
      <w:r>
        <w:rPr>
          <w:rFonts w:ascii="Times New Roman" w:hAnsi="Times New Roman" w:cs="Times New Roman"/>
          <w:color w:val="0070C0"/>
          <w:sz w:val="21"/>
          <w:szCs w:val="21"/>
          <w:lang w:val="it-IT"/>
        </w:rPr>
        <w:t>7,10, l’</w:t>
      </w:r>
      <w:proofErr w:type="spellStart"/>
      <w:r w:rsidRPr="00B108A2">
        <w:rPr>
          <w:rFonts w:ascii="Times New Roman" w:hAnsi="Times New Roman" w:cs="Times New Roman"/>
          <w:i/>
          <w:iCs/>
          <w:color w:val="0070C0"/>
          <w:sz w:val="21"/>
          <w:szCs w:val="21"/>
          <w:lang w:val="it-IT"/>
        </w:rPr>
        <w:t>Ambrosianus</w:t>
      </w:r>
      <w:proofErr w:type="spellEnd"/>
      <w:r>
        <w:rPr>
          <w:rFonts w:ascii="Times New Roman" w:hAnsi="Times New Roman" w:cs="Times New Roman"/>
          <w:color w:val="0070C0"/>
          <w:sz w:val="21"/>
          <w:szCs w:val="21"/>
          <w:lang w:val="it-IT"/>
        </w:rPr>
        <w:t xml:space="preserve"> gr. 433 (H 45 </w:t>
      </w:r>
      <w:proofErr w:type="spellStart"/>
      <w:r w:rsidRPr="008D6751">
        <w:rPr>
          <w:rFonts w:ascii="Times New Roman" w:hAnsi="Times New Roman" w:cs="Times New Roman"/>
          <w:i/>
          <w:iCs/>
          <w:color w:val="0070C0"/>
          <w:sz w:val="21"/>
          <w:szCs w:val="21"/>
          <w:lang w:val="it-IT"/>
        </w:rPr>
        <w:t>Sup</w:t>
      </w:r>
      <w:proofErr w:type="spellEnd"/>
      <w:r>
        <w:rPr>
          <w:rFonts w:ascii="Times New Roman" w:hAnsi="Times New Roman" w:cs="Times New Roman"/>
          <w:color w:val="0070C0"/>
          <w:sz w:val="21"/>
          <w:szCs w:val="21"/>
          <w:lang w:val="it-IT"/>
        </w:rPr>
        <w:t xml:space="preserve">.), i </w:t>
      </w:r>
      <w:proofErr w:type="spellStart"/>
      <w:r w:rsidRPr="008D6751">
        <w:rPr>
          <w:rFonts w:ascii="Times New Roman" w:hAnsi="Times New Roman" w:cs="Times New Roman"/>
          <w:i/>
          <w:iCs/>
          <w:color w:val="0070C0"/>
          <w:sz w:val="21"/>
          <w:szCs w:val="21"/>
          <w:lang w:val="it-IT"/>
        </w:rPr>
        <w:t>Parisini</w:t>
      </w:r>
      <w:proofErr w:type="spellEnd"/>
      <w:r>
        <w:rPr>
          <w:rFonts w:ascii="Times New Roman" w:hAnsi="Times New Roman" w:cs="Times New Roman"/>
          <w:color w:val="0070C0"/>
          <w:sz w:val="21"/>
          <w:szCs w:val="21"/>
          <w:lang w:val="it-IT"/>
        </w:rPr>
        <w:t xml:space="preserve"> gr. 991 e 992. Per dettagli sulla tradizione manoscritta, rimando a </w:t>
      </w:r>
      <w:proofErr w:type="spellStart"/>
      <w:r>
        <w:rPr>
          <w:rFonts w:ascii="Times New Roman" w:hAnsi="Times New Roman" w:cs="Times New Roman"/>
          <w:color w:val="0070C0"/>
          <w:sz w:val="21"/>
          <w:szCs w:val="21"/>
          <w:lang w:val="it-IT"/>
        </w:rPr>
        <w:t>Waltz</w:t>
      </w:r>
      <w:proofErr w:type="spellEnd"/>
      <w:r>
        <w:rPr>
          <w:rFonts w:ascii="Times New Roman" w:hAnsi="Times New Roman" w:cs="Times New Roman"/>
          <w:color w:val="0070C0"/>
          <w:sz w:val="21"/>
          <w:szCs w:val="21"/>
          <w:lang w:val="it-IT"/>
        </w:rPr>
        <w:t xml:space="preserve">, </w:t>
      </w:r>
      <w:r w:rsidRPr="0045779C">
        <w:rPr>
          <w:rFonts w:ascii="Times New Roman" w:hAnsi="Times New Roman" w:cs="Times New Roman"/>
          <w:i/>
          <w:iCs/>
          <w:color w:val="0070C0"/>
          <w:sz w:val="21"/>
          <w:szCs w:val="21"/>
          <w:lang w:val="it-IT"/>
        </w:rPr>
        <w:t>op. cit</w:t>
      </w:r>
      <w:r>
        <w:rPr>
          <w:rFonts w:ascii="Times New Roman" w:hAnsi="Times New Roman" w:cs="Times New Roman"/>
          <w:color w:val="0070C0"/>
          <w:sz w:val="21"/>
          <w:szCs w:val="21"/>
          <w:lang w:val="it-IT"/>
        </w:rPr>
        <w:t>., pp. 3-10 e 32-33.</w:t>
      </w:r>
    </w:p>
    <w:p w14:paraId="591AFB8D" w14:textId="404873E5" w:rsidR="00DE69E5" w:rsidRDefault="00DE69E5" w:rsidP="00DE69E5">
      <w:pPr>
        <w:spacing w:line="480" w:lineRule="auto"/>
        <w:rPr>
          <w:rFonts w:ascii="Times New Roman" w:hAnsi="Times New Roman" w:cs="Times New Roman"/>
          <w:color w:val="0070C0"/>
          <w:sz w:val="21"/>
          <w:szCs w:val="21"/>
          <w:lang w:val="it-IT"/>
        </w:rPr>
      </w:pPr>
    </w:p>
    <w:p w14:paraId="3692FB2C" w14:textId="77777777" w:rsidR="00DE69E5" w:rsidRDefault="00DE69E5" w:rsidP="00DE69E5">
      <w:pPr>
        <w:spacing w:line="480" w:lineRule="auto"/>
        <w:rPr>
          <w:rFonts w:ascii="Times New Roman" w:hAnsi="Times New Roman" w:cs="Times New Roman"/>
          <w:color w:val="0070C0"/>
          <w:sz w:val="21"/>
          <w:szCs w:val="21"/>
          <w:lang w:val="it-IT"/>
        </w:rPr>
      </w:pPr>
    </w:p>
    <w:p w14:paraId="756AF3D0" w14:textId="77777777" w:rsidR="00DE69E5" w:rsidRDefault="00DE69E5" w:rsidP="00DE69E5">
      <w:pPr>
        <w:spacing w:line="480" w:lineRule="auto"/>
        <w:contextualSpacing/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</w:pPr>
    </w:p>
    <w:p w14:paraId="7B53C265" w14:textId="076B91CE" w:rsidR="00DE69E5" w:rsidRDefault="00DE69E5" w:rsidP="00DE69E5">
      <w:pPr>
        <w:spacing w:line="480" w:lineRule="auto"/>
        <w:contextualSpacing/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</w:pPr>
    </w:p>
    <w:p w14:paraId="44C548D4" w14:textId="5F87C14F" w:rsidR="00DE69E5" w:rsidRDefault="00DE69E5" w:rsidP="00DE69E5">
      <w:pPr>
        <w:spacing w:line="480" w:lineRule="auto"/>
        <w:contextualSpacing/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</w:pPr>
    </w:p>
    <w:p w14:paraId="760FDACC" w14:textId="77777777" w:rsidR="00DE69E5" w:rsidRDefault="00DE69E5" w:rsidP="00DE69E5">
      <w:pPr>
        <w:spacing w:line="480" w:lineRule="auto"/>
        <w:contextualSpacing/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</w:pPr>
    </w:p>
    <w:p w14:paraId="51B1292B" w14:textId="23186E7F" w:rsidR="00DE69E5" w:rsidRPr="00F34B66" w:rsidRDefault="00DE69E5" w:rsidP="00DE69E5">
      <w:pPr>
        <w:spacing w:line="480" w:lineRule="auto"/>
        <w:contextualSpacing/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</w:pPr>
      <w:r w:rsidRPr="00DD5385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lastRenderedPageBreak/>
        <w:t>La storia della costituzione del testo non è meno interessante del problema della profanazione delle tombe</w:t>
      </w:r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,</w:t>
      </w:r>
      <w:r w:rsidRPr="00DD5385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 discusso così accesamente da Gregorio. Nel 1705</w:t>
      </w:r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, infatti,</w:t>
      </w:r>
      <w:r w:rsidRPr="00DD5385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 il testo dell’epigramma era stato pubblicato da </w:t>
      </w:r>
      <w:proofErr w:type="spellStart"/>
      <w:r w:rsidRPr="00DD5385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Mabillon</w:t>
      </w:r>
      <w:proofErr w:type="spellEnd"/>
      <w:r w:rsidRPr="00DD5385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 nella seconda edizione aggiornata dell’opuscolo </w:t>
      </w:r>
      <w:proofErr w:type="spellStart"/>
      <w:r w:rsidRPr="00DD5385">
        <w:rPr>
          <w:rFonts w:ascii="Times New Roman" w:eastAsia="Palatino Linotype" w:hAnsi="Times New Roman" w:cs="Times New Roman"/>
          <w:i/>
          <w:iCs/>
          <w:color w:val="0070C0"/>
          <w:sz w:val="24"/>
          <w:szCs w:val="24"/>
          <w:lang w:val="it-IT"/>
        </w:rPr>
        <w:t>Eusebii</w:t>
      </w:r>
      <w:proofErr w:type="spellEnd"/>
      <w:r w:rsidRPr="00DD5385">
        <w:rPr>
          <w:rFonts w:ascii="Times New Roman" w:eastAsia="Palatino Linotype" w:hAnsi="Times New Roman" w:cs="Times New Roman"/>
          <w:i/>
          <w:iCs/>
          <w:color w:val="0070C0"/>
          <w:sz w:val="24"/>
          <w:szCs w:val="24"/>
          <w:lang w:val="it-IT"/>
        </w:rPr>
        <w:t xml:space="preserve"> Romani ad </w:t>
      </w:r>
      <w:proofErr w:type="spellStart"/>
      <w:r w:rsidRPr="00DD5385">
        <w:rPr>
          <w:rFonts w:ascii="Times New Roman" w:eastAsia="Palatino Linotype" w:hAnsi="Times New Roman" w:cs="Times New Roman"/>
          <w:i/>
          <w:iCs/>
          <w:color w:val="0070C0"/>
          <w:sz w:val="24"/>
          <w:szCs w:val="24"/>
          <w:lang w:val="it-IT"/>
        </w:rPr>
        <w:t>Theophilum</w:t>
      </w:r>
      <w:proofErr w:type="spellEnd"/>
      <w:r w:rsidRPr="00DD5385">
        <w:rPr>
          <w:rFonts w:ascii="Times New Roman" w:eastAsia="Palatino Linotype" w:hAnsi="Times New Roman" w:cs="Times New Roman"/>
          <w:i/>
          <w:iCs/>
          <w:color w:val="0070C0"/>
          <w:sz w:val="24"/>
          <w:szCs w:val="24"/>
          <w:lang w:val="it-IT"/>
        </w:rPr>
        <w:t xml:space="preserve"> </w:t>
      </w:r>
      <w:proofErr w:type="spellStart"/>
      <w:r w:rsidRPr="00DD5385">
        <w:rPr>
          <w:rFonts w:ascii="Times New Roman" w:eastAsia="Palatino Linotype" w:hAnsi="Times New Roman" w:cs="Times New Roman"/>
          <w:i/>
          <w:iCs/>
          <w:color w:val="0070C0"/>
          <w:sz w:val="24"/>
          <w:szCs w:val="24"/>
          <w:lang w:val="it-IT"/>
        </w:rPr>
        <w:t>Gallum</w:t>
      </w:r>
      <w:proofErr w:type="spellEnd"/>
      <w:r w:rsidRPr="00DD5385">
        <w:rPr>
          <w:rFonts w:ascii="Times New Roman" w:eastAsia="Palatino Linotype" w:hAnsi="Times New Roman" w:cs="Times New Roman"/>
          <w:i/>
          <w:iCs/>
          <w:color w:val="0070C0"/>
          <w:sz w:val="24"/>
          <w:szCs w:val="24"/>
          <w:lang w:val="it-IT"/>
        </w:rPr>
        <w:t xml:space="preserve"> </w:t>
      </w:r>
      <w:proofErr w:type="spellStart"/>
      <w:r w:rsidRPr="00DD5385">
        <w:rPr>
          <w:rFonts w:ascii="Times New Roman" w:eastAsia="Palatino Linotype" w:hAnsi="Times New Roman" w:cs="Times New Roman"/>
          <w:i/>
          <w:iCs/>
          <w:color w:val="0070C0"/>
          <w:sz w:val="24"/>
          <w:szCs w:val="24"/>
          <w:lang w:val="it-IT"/>
        </w:rPr>
        <w:t>epistula</w:t>
      </w:r>
      <w:proofErr w:type="spellEnd"/>
      <w:r w:rsidRPr="00DD5385">
        <w:rPr>
          <w:rFonts w:ascii="Times New Roman" w:eastAsia="Palatino Linotype" w:hAnsi="Times New Roman" w:cs="Times New Roman"/>
          <w:i/>
          <w:iCs/>
          <w:color w:val="0070C0"/>
          <w:sz w:val="24"/>
          <w:szCs w:val="24"/>
          <w:lang w:val="it-IT"/>
        </w:rPr>
        <w:t xml:space="preserve"> de </w:t>
      </w:r>
      <w:proofErr w:type="spellStart"/>
      <w:r w:rsidRPr="00DD5385">
        <w:rPr>
          <w:rFonts w:ascii="Times New Roman" w:eastAsia="Palatino Linotype" w:hAnsi="Times New Roman" w:cs="Times New Roman"/>
          <w:i/>
          <w:iCs/>
          <w:color w:val="0070C0"/>
          <w:sz w:val="24"/>
          <w:szCs w:val="24"/>
          <w:lang w:val="it-IT"/>
        </w:rPr>
        <w:t>cultu</w:t>
      </w:r>
      <w:proofErr w:type="spellEnd"/>
      <w:r w:rsidRPr="00DD5385">
        <w:rPr>
          <w:rFonts w:ascii="Times New Roman" w:eastAsia="Palatino Linotype" w:hAnsi="Times New Roman" w:cs="Times New Roman"/>
          <w:i/>
          <w:iCs/>
          <w:color w:val="0070C0"/>
          <w:sz w:val="24"/>
          <w:szCs w:val="24"/>
          <w:lang w:val="it-IT"/>
        </w:rPr>
        <w:t xml:space="preserve"> S.S. </w:t>
      </w:r>
      <w:proofErr w:type="spellStart"/>
      <w:r w:rsidRPr="00DD5385">
        <w:rPr>
          <w:rFonts w:ascii="Times New Roman" w:eastAsia="Palatino Linotype" w:hAnsi="Times New Roman" w:cs="Times New Roman"/>
          <w:i/>
          <w:iCs/>
          <w:color w:val="0070C0"/>
          <w:sz w:val="24"/>
          <w:szCs w:val="24"/>
          <w:lang w:val="it-IT"/>
        </w:rPr>
        <w:t>ignotorum</w:t>
      </w:r>
      <w:proofErr w:type="spellEnd"/>
      <w:r w:rsidRPr="00DD5385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. </w:t>
      </w:r>
      <w:proofErr w:type="spellStart"/>
      <w:r w:rsidRPr="00DD5385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Mabillon</w:t>
      </w:r>
      <w:proofErr w:type="spellEnd"/>
      <w:r w:rsidRPr="00DD5385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, in realtà, non faceva che riprodurre il testo così come gli era stato comunicato da </w:t>
      </w:r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Jean </w:t>
      </w:r>
      <w:proofErr w:type="spellStart"/>
      <w:r w:rsidRPr="00DD5385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Boivin</w:t>
      </w:r>
      <w:proofErr w:type="spellEnd"/>
      <w:r w:rsidRPr="00DD5385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, del quale condivideva i dubbi circa la paternità dei versi.</w:t>
      </w:r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 Il motivo della digressione era offerto dalla pratica del riuso di monumenti e iscrizioni pagane da parte dei primi cristiani, documentata dallo stesso </w:t>
      </w:r>
      <w:proofErr w:type="spellStart"/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Mabillon</w:t>
      </w:r>
      <w:proofErr w:type="spellEnd"/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 nel suo </w:t>
      </w:r>
      <w:r w:rsidRPr="00857380">
        <w:rPr>
          <w:rFonts w:ascii="Times New Roman" w:eastAsia="Palatino Linotype" w:hAnsi="Times New Roman" w:cs="Times New Roman"/>
          <w:i/>
          <w:iCs/>
          <w:color w:val="0070C0"/>
          <w:sz w:val="24"/>
          <w:szCs w:val="24"/>
          <w:lang w:val="it-IT"/>
        </w:rPr>
        <w:t xml:space="preserve">Iter </w:t>
      </w:r>
      <w:proofErr w:type="spellStart"/>
      <w:r w:rsidRPr="00857380">
        <w:rPr>
          <w:rFonts w:ascii="Times New Roman" w:eastAsia="Palatino Linotype" w:hAnsi="Times New Roman" w:cs="Times New Roman"/>
          <w:i/>
          <w:iCs/>
          <w:color w:val="0070C0"/>
          <w:sz w:val="24"/>
          <w:szCs w:val="24"/>
          <w:lang w:val="it-IT"/>
        </w:rPr>
        <w:t>italicum</w:t>
      </w:r>
      <w:proofErr w:type="spellEnd"/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. Il monaco maurino era ben consapevole che presso i pagani tale consuetudine fosse condannata e ne dà una prova citando il nostro epigramma, considerato anonimo. </w:t>
      </w:r>
      <w:r w:rsidRPr="00285B89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Anche il titolo greco nell’edizione di </w:t>
      </w:r>
      <w:proofErr w:type="spellStart"/>
      <w:r w:rsidRPr="00285B89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Boivin-Mabillon</w:t>
      </w:r>
      <w:proofErr w:type="spellEnd"/>
      <w:r w:rsidRPr="00285B89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 era indicativo dell’interpretazione più comune: </w:t>
      </w:r>
      <w:proofErr w:type="spellStart"/>
      <w:r w:rsidRPr="00285B89">
        <w:rPr>
          <w:rFonts w:ascii="Times New Roman" w:eastAsia="Palatino Linotype" w:hAnsi="Times New Roman" w:cs="Times New Roman"/>
          <w:color w:val="0070C0"/>
          <w:sz w:val="24"/>
          <w:szCs w:val="24"/>
          <w:lang w:val="el-GR"/>
        </w:rPr>
        <w:t>εἰς</w:t>
      </w:r>
      <w:proofErr w:type="spellEnd"/>
      <w:r w:rsidRPr="00285B89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 </w:t>
      </w:r>
      <w:proofErr w:type="spellStart"/>
      <w:r w:rsidRPr="00285B89">
        <w:rPr>
          <w:rFonts w:ascii="Times New Roman" w:eastAsia="Palatino Linotype" w:hAnsi="Times New Roman" w:cs="Times New Roman"/>
          <w:color w:val="0070C0"/>
          <w:sz w:val="24"/>
          <w:szCs w:val="24"/>
          <w:lang w:val="el-GR"/>
        </w:rPr>
        <w:t>τοὺς</w:t>
      </w:r>
      <w:proofErr w:type="spellEnd"/>
      <w:r w:rsidRPr="00285B89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 </w:t>
      </w:r>
      <w:proofErr w:type="spellStart"/>
      <w:r w:rsidRPr="00285B89">
        <w:rPr>
          <w:rFonts w:ascii="Times New Roman" w:eastAsia="Palatino Linotype" w:hAnsi="Times New Roman" w:cs="Times New Roman"/>
          <w:color w:val="0070C0"/>
          <w:sz w:val="24"/>
          <w:szCs w:val="24"/>
          <w:lang w:val="el-GR"/>
        </w:rPr>
        <w:t>ἀνορύττοντας</w:t>
      </w:r>
      <w:proofErr w:type="spellEnd"/>
      <w:r w:rsidRPr="00285B89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 </w:t>
      </w:r>
      <w:r w:rsidRPr="00285B89">
        <w:rPr>
          <w:rFonts w:ascii="Times New Roman" w:eastAsia="Palatino Linotype" w:hAnsi="Times New Roman" w:cs="Times New Roman"/>
          <w:color w:val="0070C0"/>
          <w:sz w:val="24"/>
          <w:szCs w:val="24"/>
          <w:lang w:val="el-GR"/>
        </w:rPr>
        <w:t>τάφους</w:t>
      </w:r>
      <w:r w:rsidRPr="00285B89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 </w:t>
      </w:r>
      <w:proofErr w:type="spellStart"/>
      <w:r w:rsidRPr="00285B89">
        <w:rPr>
          <w:rFonts w:ascii="Times New Roman" w:eastAsia="Palatino Linotype" w:hAnsi="Times New Roman" w:cs="Times New Roman"/>
          <w:color w:val="0070C0"/>
          <w:sz w:val="24"/>
          <w:szCs w:val="24"/>
          <w:lang w:val="el-GR"/>
        </w:rPr>
        <w:t>προφάσει</w:t>
      </w:r>
      <w:proofErr w:type="spellEnd"/>
      <w:r w:rsidRPr="00285B89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 </w:t>
      </w:r>
      <w:r w:rsidRPr="00285B89">
        <w:rPr>
          <w:rFonts w:ascii="Times New Roman" w:eastAsia="Palatino Linotype" w:hAnsi="Times New Roman" w:cs="Times New Roman"/>
          <w:color w:val="0070C0"/>
          <w:sz w:val="24"/>
          <w:szCs w:val="24"/>
          <w:lang w:val="el-GR"/>
        </w:rPr>
        <w:t>μαρτύρων</w:t>
      </w:r>
      <w:r w:rsidRPr="00285B89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. Lo scoliasta ambrosiano, invece, presentava il titolo </w:t>
      </w:r>
      <w:proofErr w:type="spellStart"/>
      <w:r w:rsidRPr="00285B89">
        <w:rPr>
          <w:rFonts w:ascii="Times New Roman" w:eastAsia="Palatino Linotype" w:hAnsi="Times New Roman" w:cs="Times New Roman"/>
          <w:color w:val="0070C0"/>
          <w:sz w:val="24"/>
          <w:szCs w:val="24"/>
          <w:lang w:val="el-GR"/>
        </w:rPr>
        <w:t>κατὰ</w:t>
      </w:r>
      <w:proofErr w:type="spellEnd"/>
      <w:r w:rsidRPr="00285B89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 </w:t>
      </w:r>
      <w:r w:rsidRPr="00285B89">
        <w:rPr>
          <w:rFonts w:ascii="Times New Roman" w:eastAsia="Palatino Linotype" w:hAnsi="Times New Roman" w:cs="Times New Roman"/>
          <w:color w:val="0070C0"/>
          <w:sz w:val="24"/>
          <w:szCs w:val="24"/>
          <w:lang w:val="el-GR"/>
        </w:rPr>
        <w:t>τυμβωρύχων</w:t>
      </w:r>
      <w:r w:rsidRPr="00285B89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.</w:t>
      </w:r>
    </w:p>
    <w:p w14:paraId="148534E2" w14:textId="5949C1EA" w:rsidR="00DE69E5" w:rsidRDefault="00DE69E5" w:rsidP="00DE69E5">
      <w:pPr>
        <w:spacing w:line="480" w:lineRule="auto"/>
        <w:contextualSpacing/>
        <w:rPr>
          <w:rFonts w:ascii="Times New Roman" w:hAnsi="Times New Roman" w:cs="Times New Roman"/>
          <w:color w:val="0070C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it-IT"/>
        </w:rPr>
        <w:t>Muratori avrebbe ristampato</w:t>
      </w:r>
      <w:r w:rsidRPr="00AD7604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con alcune note testuali e lo stesso titolo </w:t>
      </w:r>
      <w:r w:rsidRPr="00AD7604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il testo del </w:t>
      </w:r>
      <w:proofErr w:type="spellStart"/>
      <w:r w:rsidRPr="00AD7604">
        <w:rPr>
          <w:rFonts w:ascii="Times New Roman" w:hAnsi="Times New Roman" w:cs="Times New Roman"/>
          <w:color w:val="0070C0"/>
          <w:sz w:val="24"/>
          <w:szCs w:val="24"/>
          <w:lang w:val="it-IT"/>
        </w:rPr>
        <w:t>Boivin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  <w:lang w:val="it-IT"/>
        </w:rPr>
        <w:t>, dedicando</w:t>
      </w:r>
      <w:r w:rsidRPr="00AD7604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 una lunga disquisizione attorno all’argomento della profanazione delle tombe</w:t>
      </w:r>
      <w:r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 (</w:t>
      </w:r>
      <w:r w:rsidRPr="005E6832">
        <w:rPr>
          <w:rFonts w:ascii="Times New Roman" w:hAnsi="Times New Roman" w:cs="Times New Roman"/>
          <w:i/>
          <w:iCs/>
          <w:color w:val="0070C0"/>
          <w:sz w:val="24"/>
          <w:szCs w:val="24"/>
          <w:lang w:val="it-IT"/>
        </w:rPr>
        <w:t xml:space="preserve">de </w:t>
      </w:r>
      <w:proofErr w:type="spellStart"/>
      <w:r w:rsidRPr="005E6832">
        <w:rPr>
          <w:rFonts w:ascii="Times New Roman" w:hAnsi="Times New Roman" w:cs="Times New Roman"/>
          <w:i/>
          <w:iCs/>
          <w:color w:val="0070C0"/>
          <w:sz w:val="24"/>
          <w:szCs w:val="24"/>
          <w:lang w:val="it-IT"/>
        </w:rPr>
        <w:t>Christianorum</w:t>
      </w:r>
      <w:proofErr w:type="spellEnd"/>
      <w:r w:rsidRPr="005E6832">
        <w:rPr>
          <w:rFonts w:ascii="Times New Roman" w:hAnsi="Times New Roman" w:cs="Times New Roman"/>
          <w:i/>
          <w:iCs/>
          <w:color w:val="0070C0"/>
          <w:sz w:val="24"/>
          <w:szCs w:val="24"/>
          <w:lang w:val="it-IT"/>
        </w:rPr>
        <w:t xml:space="preserve"> </w:t>
      </w:r>
      <w:proofErr w:type="spellStart"/>
      <w:r w:rsidRPr="005E6832">
        <w:rPr>
          <w:rFonts w:ascii="Times New Roman" w:hAnsi="Times New Roman" w:cs="Times New Roman"/>
          <w:i/>
          <w:iCs/>
          <w:color w:val="0070C0"/>
          <w:sz w:val="24"/>
          <w:szCs w:val="24"/>
          <w:lang w:val="it-IT"/>
        </w:rPr>
        <w:t>sepulchris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). Rispetto alla questione della paternità, che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  <w:lang w:val="it-IT"/>
        </w:rPr>
        <w:t>Boivin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 non ascriveva al Nazianzeno, infine, anche il filologo italiano ammetteva la difficoltà di riconoscervi la consueta eleganza formale di Gregorio.</w:t>
      </w:r>
    </w:p>
    <w:p w14:paraId="7DA106F2" w14:textId="77777777" w:rsidR="00DE69E5" w:rsidRPr="006035E6" w:rsidRDefault="00DE69E5" w:rsidP="00DE69E5">
      <w:pPr>
        <w:spacing w:line="480" w:lineRule="auto"/>
        <w:contextualSpacing/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</w:pPr>
    </w:p>
    <w:p w14:paraId="2C158C39" w14:textId="5EFDFEC4" w:rsidR="00DE69E5" w:rsidRDefault="00DE69E5" w:rsidP="00DE69E5">
      <w:pPr>
        <w:spacing w:line="480" w:lineRule="auto"/>
        <w:rPr>
          <w:rFonts w:ascii="Times New Roman" w:eastAsia="Palatino Linotype" w:hAnsi="Times New Roman" w:cs="Times New Roman"/>
          <w:color w:val="0070C0"/>
          <w:sz w:val="24"/>
          <w:szCs w:val="24"/>
        </w:rPr>
      </w:pPr>
      <w:r w:rsidRPr="00954F00">
        <w:rPr>
          <w:rFonts w:ascii="Times New Roman" w:eastAsia="Palatino Linotype" w:hAnsi="Times New Roman" w:cs="Times New Roman"/>
          <w:color w:val="0070C0"/>
          <w:sz w:val="24"/>
          <w:szCs w:val="24"/>
        </w:rPr>
        <w:t xml:space="preserve">As </w:t>
      </w:r>
      <w:r>
        <w:rPr>
          <w:rFonts w:ascii="Times New Roman" w:eastAsia="Palatino Linotype" w:hAnsi="Times New Roman" w:cs="Times New Roman"/>
          <w:color w:val="0070C0"/>
          <w:sz w:val="24"/>
          <w:szCs w:val="24"/>
        </w:rPr>
        <w:t>to</w:t>
      </w:r>
      <w:r w:rsidRPr="00954F00">
        <w:rPr>
          <w:rFonts w:ascii="Times New Roman" w:eastAsia="Palatino Linotype" w:hAnsi="Times New Roman" w:cs="Times New Roman"/>
          <w:color w:val="0070C0"/>
          <w:sz w:val="24"/>
          <w:szCs w:val="24"/>
        </w:rPr>
        <w:t xml:space="preserve"> the history of the text, it is worth remarking that </w:t>
      </w:r>
      <w:proofErr w:type="spellStart"/>
      <w:r w:rsidRPr="00954F00">
        <w:rPr>
          <w:rFonts w:ascii="Times New Roman" w:eastAsia="Palatino Linotype" w:hAnsi="Times New Roman" w:cs="Times New Roman"/>
          <w:color w:val="0070C0"/>
          <w:sz w:val="24"/>
          <w:szCs w:val="24"/>
        </w:rPr>
        <w:t>Mabillon</w:t>
      </w:r>
      <w:proofErr w:type="spellEnd"/>
      <w:r w:rsidRPr="00954F00">
        <w:rPr>
          <w:rFonts w:ascii="Times New Roman" w:eastAsia="Palatino Linotype" w:hAnsi="Times New Roman" w:cs="Times New Roman"/>
          <w:color w:val="0070C0"/>
          <w:sz w:val="24"/>
          <w:szCs w:val="24"/>
        </w:rPr>
        <w:t xml:space="preserve"> instead of ἀθλοφόροις printed </w:t>
      </w:r>
      <w:proofErr w:type="spellStart"/>
      <w:r w:rsidRPr="00954F00">
        <w:rPr>
          <w:rFonts w:ascii="Times New Roman" w:hAnsi="Times New Roman" w:cs="Times New Roman"/>
          <w:color w:val="0070C0"/>
          <w:sz w:val="24"/>
          <w:szCs w:val="24"/>
          <w:lang w:val="el-GR"/>
        </w:rPr>
        <w:t>τοῖς</w:t>
      </w:r>
      <w:proofErr w:type="spellEnd"/>
      <w:r w:rsidRPr="00954F0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954F00">
        <w:rPr>
          <w:rFonts w:ascii="Times New Roman" w:eastAsia="Palatino Linotype" w:hAnsi="Times New Roman" w:cs="Times New Roman"/>
          <w:color w:val="0070C0"/>
          <w:sz w:val="24"/>
          <w:szCs w:val="24"/>
          <w:lang w:val="el-GR"/>
        </w:rPr>
        <w:t>ὁσίοις</w:t>
      </w:r>
      <w:proofErr w:type="spellEnd"/>
      <w:r>
        <w:rPr>
          <w:rFonts w:ascii="Times New Roman" w:eastAsia="Palatino Linotype" w:hAnsi="Times New Roman" w:cs="Times New Roman"/>
          <w:color w:val="0070C0"/>
          <w:sz w:val="24"/>
          <w:szCs w:val="24"/>
        </w:rPr>
        <w:t xml:space="preserve">, which was Boivin’s reading. </w:t>
      </w:r>
      <w:r w:rsidRPr="007E7265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Purtroppo</w:t>
      </w:r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,</w:t>
      </w:r>
      <w:r w:rsidRPr="007E7265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 non è chiaro su quali basi si reggesse tale </w:t>
      </w:r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congettura, che non è supportata dai manoscritti (</w:t>
      </w:r>
      <w:proofErr w:type="spellStart"/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vd</w:t>
      </w:r>
      <w:proofErr w:type="spellEnd"/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. </w:t>
      </w:r>
      <w:r w:rsidRPr="00283BD2">
        <w:rPr>
          <w:rFonts w:ascii="Times New Roman" w:eastAsia="Palatino Linotype" w:hAnsi="Times New Roman" w:cs="Times New Roman"/>
          <w:color w:val="0070C0"/>
          <w:sz w:val="24"/>
          <w:szCs w:val="24"/>
        </w:rPr>
        <w:t>Waltz).</w:t>
      </w:r>
    </w:p>
    <w:p w14:paraId="48A8F4B7" w14:textId="77777777" w:rsidR="00DE69E5" w:rsidRDefault="00DE69E5" w:rsidP="00DE69E5">
      <w:pPr>
        <w:spacing w:line="480" w:lineRule="auto"/>
        <w:contextualSpacing/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</w:pPr>
    </w:p>
    <w:p w14:paraId="5BBEE44B" w14:textId="2594630F" w:rsidR="00DE69E5" w:rsidRDefault="00DE69E5" w:rsidP="00DE69E5">
      <w:pPr>
        <w:spacing w:line="480" w:lineRule="auto"/>
        <w:contextualSpacing/>
        <w:rPr>
          <w:rFonts w:ascii="Times New Roman" w:eastAsia="Palatino Linotype" w:hAnsi="Times New Roman" w:cs="Times New Roman"/>
          <w:color w:val="auto"/>
          <w:sz w:val="24"/>
          <w:szCs w:val="24"/>
        </w:rPr>
      </w:pPr>
      <w:r w:rsidRPr="002E1241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Anche </w:t>
      </w:r>
      <w:proofErr w:type="spellStart"/>
      <w:r w:rsidRPr="002E1241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Boivin</w:t>
      </w:r>
      <w:proofErr w:type="spellEnd"/>
      <w:r w:rsidRPr="002E1241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interpretava così, traducendo: “</w:t>
      </w:r>
      <w:proofErr w:type="spellStart"/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sepulchra</w:t>
      </w:r>
      <w:proofErr w:type="spellEnd"/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Profanorum</w:t>
      </w:r>
      <w:proofErr w:type="spellEnd"/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Sacerdotem</w:t>
      </w:r>
      <w:proofErr w:type="spellEnd"/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Christianum</w:t>
      </w:r>
      <w:proofErr w:type="spellEnd"/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 in medio </w:t>
      </w:r>
      <w:proofErr w:type="spellStart"/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stantem</w:t>
      </w:r>
      <w:proofErr w:type="spellEnd"/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habent</w:t>
      </w:r>
      <w:proofErr w:type="spellEnd"/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”. </w:t>
      </w:r>
      <w:r w:rsidRPr="00B57C6C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É più difficile pensare che si alluda a un sacerdote pagano</w:t>
      </w:r>
      <w:r w:rsidRPr="00B57C6C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 xml:space="preserve">, </w:t>
      </w:r>
      <w:proofErr w:type="spellStart"/>
      <w:r w:rsidRPr="00B57C6C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>according</w:t>
      </w:r>
      <w:proofErr w:type="spellEnd"/>
      <w:r w:rsidRPr="00B57C6C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 xml:space="preserve"> to </w:t>
      </w:r>
      <w:proofErr w:type="spellStart"/>
      <w:r w:rsidRPr="00B57C6C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>Eusebius</w:t>
      </w:r>
      <w:proofErr w:type="spellEnd"/>
      <w:r w:rsidRPr="00B57C6C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 xml:space="preserve">’ use of </w:t>
      </w:r>
      <w:proofErr w:type="spellStart"/>
      <w:r w:rsidRPr="003B18E4">
        <w:rPr>
          <w:rFonts w:ascii="Times New Roman" w:eastAsia="Palatino Linotype" w:hAnsi="Times New Roman" w:cs="Times New Roman"/>
          <w:color w:val="auto"/>
          <w:sz w:val="24"/>
          <w:szCs w:val="24"/>
        </w:rPr>
        <w:t>θυη</w:t>
      </w:r>
      <w:proofErr w:type="spellEnd"/>
      <w:r w:rsidRPr="003B18E4">
        <w:rPr>
          <w:rFonts w:ascii="Times New Roman" w:eastAsia="Palatino Linotype" w:hAnsi="Times New Roman" w:cs="Times New Roman"/>
          <w:color w:val="auto"/>
          <w:sz w:val="24"/>
          <w:szCs w:val="24"/>
        </w:rPr>
        <w:t>π</w:t>
      </w:r>
      <w:proofErr w:type="spellStart"/>
      <w:r w:rsidRPr="003B18E4">
        <w:rPr>
          <w:rFonts w:ascii="Times New Roman" w:eastAsia="Palatino Linotype" w:hAnsi="Times New Roman" w:cs="Times New Roman"/>
          <w:color w:val="auto"/>
          <w:sz w:val="24"/>
          <w:szCs w:val="24"/>
        </w:rPr>
        <w:t>όλος</w:t>
      </w:r>
      <w:proofErr w:type="spellEnd"/>
      <w:r w:rsidRPr="00B57C6C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 xml:space="preserve"> in </w:t>
      </w:r>
      <w:proofErr w:type="spellStart"/>
      <w:r w:rsidRPr="00B57C6C">
        <w:rPr>
          <w:rFonts w:ascii="Times New Roman" w:eastAsia="Palatino Linotype" w:hAnsi="Times New Roman" w:cs="Times New Roman"/>
          <w:i/>
          <w:color w:val="auto"/>
          <w:sz w:val="24"/>
          <w:szCs w:val="24"/>
          <w:lang w:val="it-IT"/>
        </w:rPr>
        <w:t>Vit</w:t>
      </w:r>
      <w:proofErr w:type="spellEnd"/>
      <w:r w:rsidRPr="00B57C6C">
        <w:rPr>
          <w:rFonts w:ascii="Times New Roman" w:eastAsia="Palatino Linotype" w:hAnsi="Times New Roman" w:cs="Times New Roman"/>
          <w:i/>
          <w:color w:val="auto"/>
          <w:sz w:val="24"/>
          <w:szCs w:val="24"/>
          <w:lang w:val="it-IT"/>
        </w:rPr>
        <w:t xml:space="preserve">. </w:t>
      </w:r>
      <w:r w:rsidRPr="003B18E4">
        <w:rPr>
          <w:rFonts w:ascii="Times New Roman" w:eastAsia="Palatino Linotype" w:hAnsi="Times New Roman" w:cs="Times New Roman"/>
          <w:i/>
          <w:color w:val="auto"/>
          <w:sz w:val="24"/>
          <w:szCs w:val="24"/>
        </w:rPr>
        <w:t>Cost.</w:t>
      </w:r>
      <w:r w:rsidRPr="003B18E4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 2.51</w:t>
      </w:r>
      <w:r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. </w:t>
      </w:r>
      <w:r w:rsidRPr="00A65A57">
        <w:rPr>
          <w:rFonts w:ascii="Times New Roman" w:eastAsia="Palatino Linotype" w:hAnsi="Times New Roman" w:cs="Times New Roman"/>
          <w:color w:val="0070C0"/>
          <w:sz w:val="24"/>
          <w:szCs w:val="24"/>
        </w:rPr>
        <w:t xml:space="preserve">Tale era </w:t>
      </w:r>
      <w:proofErr w:type="spellStart"/>
      <w:r w:rsidRPr="00A65A57">
        <w:rPr>
          <w:rFonts w:ascii="Times New Roman" w:eastAsia="Palatino Linotype" w:hAnsi="Times New Roman" w:cs="Times New Roman"/>
          <w:color w:val="0070C0"/>
          <w:sz w:val="24"/>
          <w:szCs w:val="24"/>
        </w:rPr>
        <w:t>l’interpretazione</w:t>
      </w:r>
      <w:proofErr w:type="spellEnd"/>
      <w:r w:rsidRPr="00A65A57">
        <w:rPr>
          <w:rFonts w:ascii="Times New Roman" w:eastAsia="Palatino Linotype" w:hAnsi="Times New Roman" w:cs="Times New Roman"/>
          <w:color w:val="0070C0"/>
          <w:sz w:val="24"/>
          <w:szCs w:val="24"/>
        </w:rPr>
        <w:t xml:space="preserve"> di </w:t>
      </w:r>
      <w:proofErr w:type="spellStart"/>
      <w:r w:rsidRPr="00A65A57">
        <w:rPr>
          <w:rFonts w:ascii="Times New Roman" w:eastAsia="Palatino Linotype" w:hAnsi="Times New Roman" w:cs="Times New Roman"/>
          <w:color w:val="0070C0"/>
          <w:sz w:val="24"/>
          <w:szCs w:val="24"/>
        </w:rPr>
        <w:t>Boissonade</w:t>
      </w:r>
      <w:proofErr w:type="spellEnd"/>
      <w:r w:rsidRPr="00A65A57">
        <w:rPr>
          <w:rFonts w:ascii="Times New Roman" w:eastAsia="Palatino Linotype" w:hAnsi="Times New Roman" w:cs="Times New Roman"/>
          <w:color w:val="0070C0"/>
          <w:sz w:val="24"/>
          <w:szCs w:val="24"/>
        </w:rPr>
        <w:t xml:space="preserve"> who rendered </w:t>
      </w:r>
      <w:r w:rsidRPr="00A65A57">
        <w:rPr>
          <w:rFonts w:ascii="Times New Roman" w:eastAsia="Palatino Linotype" w:hAnsi="Times New Roman" w:cs="Times New Roman"/>
          <w:color w:val="0070C0"/>
          <w:sz w:val="24"/>
          <w:szCs w:val="24"/>
        </w:rPr>
        <w:lastRenderedPageBreak/>
        <w:t xml:space="preserve">it </w:t>
      </w:r>
      <w:r w:rsidRPr="00A65A57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with </w:t>
      </w:r>
      <w:proofErr w:type="spellStart"/>
      <w:r w:rsidRPr="00A65A57">
        <w:rPr>
          <w:rFonts w:ascii="Times New Roman" w:eastAsia="Palatino Linotype" w:hAnsi="Times New Roman" w:cs="Times New Roman"/>
          <w:i/>
          <w:iCs/>
          <w:color w:val="auto"/>
          <w:sz w:val="24"/>
          <w:szCs w:val="24"/>
        </w:rPr>
        <w:t>flaminem</w:t>
      </w:r>
      <w:proofErr w:type="spellEnd"/>
      <w:r>
        <w:rPr>
          <w:rFonts w:ascii="Times New Roman" w:eastAsia="Palatino Linotype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 and</w:t>
      </w:r>
      <w:r w:rsidRPr="00A65A57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Palatino Linotype" w:hAnsi="Times New Roman" w:cs="Times New Roman"/>
          <w:color w:val="auto"/>
          <w:sz w:val="24"/>
          <w:szCs w:val="24"/>
        </w:rPr>
        <w:t>of some m</w:t>
      </w:r>
      <w:r w:rsidRPr="003B18E4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odern translators (cf. Paton, </w:t>
      </w:r>
      <w:proofErr w:type="spellStart"/>
      <w:r w:rsidRPr="003B18E4">
        <w:rPr>
          <w:rFonts w:ascii="Times New Roman" w:eastAsia="Palatino Linotype" w:hAnsi="Times New Roman" w:cs="Times New Roman"/>
          <w:color w:val="auto"/>
          <w:sz w:val="24"/>
          <w:szCs w:val="24"/>
        </w:rPr>
        <w:t>Pontani</w:t>
      </w:r>
      <w:proofErr w:type="spellEnd"/>
      <w:r w:rsidRPr="003B18E4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 and Conca-</w:t>
      </w:r>
      <w:proofErr w:type="spellStart"/>
      <w:r w:rsidRPr="003B18E4">
        <w:rPr>
          <w:rFonts w:ascii="Times New Roman" w:eastAsia="Palatino Linotype" w:hAnsi="Times New Roman" w:cs="Times New Roman"/>
          <w:color w:val="auto"/>
          <w:sz w:val="24"/>
          <w:szCs w:val="24"/>
        </w:rPr>
        <w:t>Marzi</w:t>
      </w:r>
      <w:proofErr w:type="spellEnd"/>
      <w:r>
        <w:rPr>
          <w:rFonts w:ascii="Times New Roman" w:eastAsia="Palatino Linotype" w:hAnsi="Times New Roman" w:cs="Times New Roman"/>
          <w:color w:val="auto"/>
          <w:sz w:val="24"/>
          <w:szCs w:val="24"/>
        </w:rPr>
        <w:t>),</w:t>
      </w:r>
      <w:r w:rsidRPr="003B18E4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 whereas Waltz prefers “un </w:t>
      </w:r>
      <w:proofErr w:type="spellStart"/>
      <w:r w:rsidRPr="003B18E4">
        <w:rPr>
          <w:rFonts w:ascii="Times New Roman" w:eastAsia="Palatino Linotype" w:hAnsi="Times New Roman" w:cs="Times New Roman"/>
          <w:color w:val="auto"/>
          <w:sz w:val="24"/>
          <w:szCs w:val="24"/>
        </w:rPr>
        <w:t>donneur</w:t>
      </w:r>
      <w:proofErr w:type="spellEnd"/>
      <w:r w:rsidRPr="003B18E4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18E4">
        <w:rPr>
          <w:rFonts w:ascii="Times New Roman" w:eastAsia="Palatino Linotype" w:hAnsi="Times New Roman" w:cs="Times New Roman"/>
          <w:color w:val="auto"/>
          <w:sz w:val="24"/>
          <w:szCs w:val="24"/>
        </w:rPr>
        <w:t>d’encens</w:t>
      </w:r>
      <w:proofErr w:type="spellEnd"/>
      <w:r w:rsidRPr="003B18E4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”. </w:t>
      </w:r>
    </w:p>
    <w:p w14:paraId="4796C136" w14:textId="77777777" w:rsidR="00DE69E5" w:rsidRDefault="00DE69E5" w:rsidP="00DE69E5">
      <w:pPr>
        <w:spacing w:line="480" w:lineRule="auto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14:paraId="4C24134B" w14:textId="14C0E826" w:rsidR="00DE69E5" w:rsidRPr="00283BD2" w:rsidRDefault="00DE69E5" w:rsidP="00DE69E5">
      <w:pPr>
        <w:spacing w:line="480" w:lineRule="auto"/>
        <w:rPr>
          <w:rFonts w:ascii="Times New Roman" w:eastAsia="Palatino Linotype" w:hAnsi="Times New Roman" w:cs="Times New Roman"/>
          <w:bCs/>
          <w:color w:val="auto"/>
          <w:sz w:val="24"/>
          <w:szCs w:val="24"/>
          <w:lang w:val="it-IT"/>
        </w:rPr>
      </w:pPr>
      <w:r w:rsidRPr="0047758C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I </w:t>
      </w:r>
      <w:proofErr w:type="spellStart"/>
      <w:r w:rsidRPr="0047758C">
        <w:rPr>
          <w:rFonts w:ascii="Times New Roman" w:hAnsi="Times New Roman" w:cs="Times New Roman"/>
          <w:color w:val="auto"/>
          <w:sz w:val="24"/>
          <w:szCs w:val="24"/>
          <w:lang w:val="it-IT"/>
        </w:rPr>
        <w:t>accept</w:t>
      </w:r>
      <w:proofErr w:type="spellEnd"/>
      <w:r w:rsidRPr="0047758C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  <w:proofErr w:type="spellStart"/>
      <w:r w:rsidRPr="0047758C">
        <w:rPr>
          <w:rFonts w:ascii="Times New Roman" w:hAnsi="Times New Roman" w:cs="Times New Roman"/>
          <w:color w:val="auto"/>
          <w:sz w:val="24"/>
          <w:szCs w:val="24"/>
          <w:lang w:val="it-IT"/>
        </w:rPr>
        <w:t>Boivin’s</w:t>
      </w:r>
      <w:proofErr w:type="spellEnd"/>
      <w:r w:rsidRPr="0047758C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  <w:proofErr w:type="spellStart"/>
      <w:r w:rsidRPr="0047758C">
        <w:rPr>
          <w:rFonts w:ascii="Times New Roman" w:hAnsi="Times New Roman" w:cs="Times New Roman"/>
          <w:color w:val="auto"/>
          <w:sz w:val="24"/>
          <w:szCs w:val="24"/>
          <w:lang w:val="it-IT"/>
        </w:rPr>
        <w:t>emendation</w:t>
      </w:r>
      <w:proofErr w:type="spellEnd"/>
      <w:r w:rsidRPr="0047758C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>as</w:t>
      </w:r>
      <w:proofErr w:type="spellEnd"/>
      <w:r w:rsidRPr="0047758C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Muratori</w:t>
      </w:r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>did</w:t>
      </w:r>
      <w:proofErr w:type="spellEnd"/>
      <w:r w:rsidRPr="0047758C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, </w:t>
      </w:r>
      <w:r w:rsidRPr="0047758C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secondo il quale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  <w:lang w:val="el-GR"/>
        </w:rPr>
        <w:t>τρίς</w:t>
      </w:r>
      <w:proofErr w:type="spellEnd"/>
      <w:r w:rsidRPr="00424B9F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lang w:val="it-IT"/>
        </w:rPr>
        <w:t>“</w:t>
      </w:r>
      <w:proofErr w:type="spellStart"/>
      <w:r w:rsidRPr="0047758C">
        <w:rPr>
          <w:rFonts w:ascii="Times New Roman" w:hAnsi="Times New Roman" w:cs="Times New Roman"/>
          <w:color w:val="0070C0"/>
          <w:sz w:val="24"/>
          <w:szCs w:val="24"/>
          <w:lang w:val="it-IT"/>
        </w:rPr>
        <w:t>se</w:t>
      </w:r>
      <w:r>
        <w:rPr>
          <w:rFonts w:ascii="Times New Roman" w:hAnsi="Times New Roman" w:cs="Times New Roman"/>
          <w:color w:val="0070C0"/>
          <w:sz w:val="24"/>
          <w:szCs w:val="24"/>
          <w:lang w:val="it-IT"/>
        </w:rPr>
        <w:t>quentibus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 non bene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  <w:lang w:val="it-IT"/>
        </w:rPr>
        <w:t>respondet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  <w:lang w:val="it-IT"/>
        </w:rPr>
        <w:t>”</w:t>
      </w:r>
      <w:r w:rsidRPr="0047758C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. Nel </w:t>
      </w:r>
      <w:r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commercio di monumenti e iscrizioni condannato da Gregorio è verosimile che qualcuno arrivasse a vendere talora anche due volte uno stesso reperto. La lezione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  <w:lang w:val="el-GR"/>
        </w:rPr>
        <w:t>τρίς</w:t>
      </w:r>
      <w:proofErr w:type="spellEnd"/>
      <w:r w:rsidRPr="00A60C74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dei codici risulta probabilmente nata per errore, al fine di accordare il senso della frase allo schema triadico dell’epigramma, ma è evidente il rischio di una banalizzazione. </w:t>
      </w:r>
      <w:r w:rsidRPr="00A60C74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Jacobs </w:t>
      </w:r>
      <w:r>
        <w:rPr>
          <w:rFonts w:ascii="Times New Roman" w:hAnsi="Times New Roman" w:cs="Times New Roman"/>
          <w:color w:val="0070C0"/>
          <w:sz w:val="24"/>
          <w:szCs w:val="24"/>
          <w:lang w:val="it-IT"/>
        </w:rPr>
        <w:t>“</w:t>
      </w:r>
      <w:proofErr w:type="spellStart"/>
      <w:r w:rsidRPr="00A60C74">
        <w:rPr>
          <w:rFonts w:ascii="Times New Roman" w:hAnsi="Times New Roman" w:cs="Times New Roman"/>
          <w:color w:val="0070C0"/>
          <w:sz w:val="24"/>
          <w:szCs w:val="24"/>
          <w:lang w:val="it-IT"/>
        </w:rPr>
        <w:t>probabiliter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  <w:lang w:val="it-IT"/>
        </w:rPr>
        <w:t>”</w:t>
      </w:r>
      <w:r w:rsidRPr="00A60C74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 e </w:t>
      </w:r>
      <w:proofErr w:type="spellStart"/>
      <w:r w:rsidRPr="00A60C74">
        <w:rPr>
          <w:rFonts w:ascii="Times New Roman" w:hAnsi="Times New Roman" w:cs="Times New Roman"/>
          <w:color w:val="0070C0"/>
          <w:sz w:val="24"/>
          <w:szCs w:val="24"/>
          <w:lang w:val="it-IT"/>
        </w:rPr>
        <w:t>Waltz</w:t>
      </w:r>
      <w:proofErr w:type="spellEnd"/>
      <w:r w:rsidRPr="00A60C74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lang w:val="it-IT"/>
        </w:rPr>
        <w:t>“</w:t>
      </w:r>
      <w:proofErr w:type="spellStart"/>
      <w:r w:rsidRPr="00A60C74">
        <w:rPr>
          <w:rFonts w:ascii="Times New Roman" w:hAnsi="Times New Roman" w:cs="Times New Roman"/>
          <w:color w:val="0070C0"/>
          <w:sz w:val="24"/>
          <w:szCs w:val="24"/>
          <w:lang w:val="it-IT"/>
        </w:rPr>
        <w:t>fortasse</w:t>
      </w:r>
      <w:proofErr w:type="spellEnd"/>
      <w:r w:rsidRPr="00A60C74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 </w:t>
      </w:r>
      <w:proofErr w:type="spellStart"/>
      <w:r w:rsidRPr="00A60C74">
        <w:rPr>
          <w:rFonts w:ascii="Times New Roman" w:hAnsi="Times New Roman" w:cs="Times New Roman"/>
          <w:color w:val="0070C0"/>
          <w:sz w:val="24"/>
          <w:szCs w:val="24"/>
          <w:lang w:val="it-IT"/>
        </w:rPr>
        <w:t>recte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  <w:lang w:val="it-IT"/>
        </w:rPr>
        <w:t>”</w:t>
      </w:r>
      <w:r w:rsidRPr="00A60C74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 difendono </w:t>
      </w:r>
      <w:r>
        <w:rPr>
          <w:rFonts w:ascii="Times New Roman" w:hAnsi="Times New Roman" w:cs="Times New Roman"/>
          <w:color w:val="0070C0"/>
          <w:sz w:val="24"/>
          <w:szCs w:val="24"/>
          <w:lang w:val="it-IT"/>
        </w:rPr>
        <w:t>l’emendamento</w:t>
      </w:r>
      <w:r w:rsidRPr="00A60C74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, mentre </w:t>
      </w:r>
      <w:proofErr w:type="spellStart"/>
      <w:r w:rsidRPr="00A60C74">
        <w:rPr>
          <w:rFonts w:ascii="Times New Roman" w:hAnsi="Times New Roman" w:cs="Times New Roman"/>
          <w:color w:val="auto"/>
          <w:sz w:val="24"/>
          <w:szCs w:val="24"/>
          <w:lang w:val="it-IT"/>
        </w:rPr>
        <w:t>Paton</w:t>
      </w:r>
      <w:proofErr w:type="spellEnd"/>
      <w:r w:rsidRPr="00A60C74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, </w:t>
      </w:r>
      <w:proofErr w:type="spellStart"/>
      <w:r w:rsidRPr="00A60C74">
        <w:rPr>
          <w:rFonts w:ascii="Times New Roman" w:hAnsi="Times New Roman" w:cs="Times New Roman"/>
          <w:color w:val="auto"/>
          <w:sz w:val="24"/>
          <w:szCs w:val="24"/>
          <w:lang w:val="it-IT"/>
        </w:rPr>
        <w:t>Beckby</w:t>
      </w:r>
      <w:proofErr w:type="spellEnd"/>
      <w:r w:rsidRPr="00A60C74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, Conca-Marzi, </w:t>
      </w:r>
      <w:proofErr w:type="spellStart"/>
      <w:r w:rsidRPr="00A60C74">
        <w:rPr>
          <w:rFonts w:ascii="Times New Roman" w:hAnsi="Times New Roman" w:cs="Times New Roman"/>
          <w:color w:val="auto"/>
          <w:sz w:val="24"/>
          <w:szCs w:val="24"/>
          <w:lang w:val="it-IT"/>
        </w:rPr>
        <w:t>Pontani</w:t>
      </w:r>
      <w:proofErr w:type="spellEnd"/>
      <w:r w:rsidRPr="00A60C74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  <w:proofErr w:type="spellStart"/>
      <w:r w:rsidRPr="00A60C74">
        <w:rPr>
          <w:rFonts w:ascii="Times New Roman" w:hAnsi="Times New Roman" w:cs="Times New Roman"/>
          <w:color w:val="auto"/>
          <w:sz w:val="24"/>
          <w:szCs w:val="24"/>
          <w:lang w:val="it-IT"/>
        </w:rPr>
        <w:t>prefer</w:t>
      </w:r>
      <w:proofErr w:type="spellEnd"/>
      <w:r w:rsidRPr="00A60C74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the </w:t>
      </w:r>
      <w:r w:rsidRPr="00A60C74">
        <w:rPr>
          <w:rFonts w:ascii="Times New Roman" w:hAnsi="Times New Roman" w:cs="Times New Roman"/>
          <w:i/>
          <w:color w:val="auto"/>
          <w:sz w:val="24"/>
          <w:szCs w:val="24"/>
          <w:lang w:val="it-IT"/>
        </w:rPr>
        <w:t>lectio tradita</w:t>
      </w:r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. </w:t>
      </w:r>
    </w:p>
    <w:p w14:paraId="0EF2C953" w14:textId="77777777" w:rsidR="00DE69E5" w:rsidRDefault="00DE69E5" w:rsidP="00DE69E5">
      <w:pPr>
        <w:spacing w:line="480" w:lineRule="auto"/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</w:pPr>
    </w:p>
    <w:p w14:paraId="2E3A9035" w14:textId="7D7F126D" w:rsidR="00DE69E5" w:rsidRPr="00852D2D" w:rsidRDefault="00DE69E5" w:rsidP="00DE69E5">
      <w:pPr>
        <w:spacing w:line="480" w:lineRule="auto"/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</w:pPr>
      <w:r w:rsidRPr="00396685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 xml:space="preserve">For </w:t>
      </w:r>
      <w:proofErr w:type="spellStart"/>
      <w:r w:rsidRPr="00396685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>another</w:t>
      </w:r>
      <w:proofErr w:type="spellEnd"/>
      <w:r w:rsidRPr="00396685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 xml:space="preserve"> </w:t>
      </w:r>
      <w:proofErr w:type="spellStart"/>
      <w:r w:rsidRPr="00396685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>attestation</w:t>
      </w:r>
      <w:proofErr w:type="spellEnd"/>
      <w:r w:rsidRPr="00396685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 xml:space="preserve"> of the </w:t>
      </w:r>
      <w:proofErr w:type="spellStart"/>
      <w:r w:rsidRPr="00396685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>verb</w:t>
      </w:r>
      <w:proofErr w:type="spellEnd"/>
      <w:r w:rsidRPr="00396685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 xml:space="preserve"> </w:t>
      </w:r>
      <w:r w:rsidRPr="003B18E4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>ἱ</w:t>
      </w:r>
      <w:proofErr w:type="spellStart"/>
      <w:r w:rsidRPr="003B18E4">
        <w:rPr>
          <w:rFonts w:ascii="Times New Roman" w:eastAsia="Palatino Linotype" w:hAnsi="Times New Roman" w:cs="Times New Roman"/>
          <w:color w:val="auto"/>
          <w:sz w:val="24"/>
          <w:szCs w:val="24"/>
          <w:lang w:val="el-GR"/>
        </w:rPr>
        <w:t>εροσυλέω</w:t>
      </w:r>
      <w:proofErr w:type="spellEnd"/>
      <w:r w:rsidRPr="00396685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 xml:space="preserve"> (2x) in Gregory of </w:t>
      </w:r>
      <w:proofErr w:type="spellStart"/>
      <w:r w:rsidRPr="00396685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>Nazianzus</w:t>
      </w:r>
      <w:proofErr w:type="spellEnd"/>
      <w:r w:rsidRPr="00396685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 nel significato di ‘commettere sacrilegio </w:t>
      </w:r>
      <w:proofErr w:type="spellStart"/>
      <w:r w:rsidRPr="00396685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contro’</w:t>
      </w:r>
      <w:proofErr w:type="spellEnd"/>
      <w:r w:rsidRPr="00396685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 e con reggenza dell’accusativo</w:t>
      </w:r>
      <w:r w:rsidRPr="00396685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 xml:space="preserve">, </w:t>
      </w:r>
      <w:proofErr w:type="spellStart"/>
      <w:r w:rsidRPr="00396685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>cf</w:t>
      </w:r>
      <w:proofErr w:type="spellEnd"/>
      <w:r w:rsidRPr="00396685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 xml:space="preserve">. </w:t>
      </w:r>
      <w:proofErr w:type="spellStart"/>
      <w:r w:rsidRPr="00396685">
        <w:rPr>
          <w:rFonts w:ascii="Times New Roman" w:eastAsia="Palatino Linotype" w:hAnsi="Times New Roman" w:cs="Times New Roman"/>
          <w:i/>
          <w:color w:val="auto"/>
          <w:sz w:val="24"/>
          <w:szCs w:val="24"/>
          <w:lang w:val="it-IT"/>
        </w:rPr>
        <w:t>epist</w:t>
      </w:r>
      <w:proofErr w:type="spellEnd"/>
      <w:r w:rsidRPr="00396685">
        <w:rPr>
          <w:rFonts w:ascii="Times New Roman" w:eastAsia="Palatino Linotype" w:hAnsi="Times New Roman" w:cs="Times New Roman"/>
          <w:i/>
          <w:color w:val="auto"/>
          <w:sz w:val="24"/>
          <w:szCs w:val="24"/>
          <w:lang w:val="it-IT"/>
        </w:rPr>
        <w:t>.</w:t>
      </w:r>
      <w:r w:rsidRPr="00396685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 xml:space="preserve"> </w:t>
      </w:r>
      <w:r w:rsidRPr="00852D2D"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  <w:t xml:space="preserve">206.9. </w:t>
      </w:r>
      <w:r w:rsidRPr="00852D2D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L’accezione di ‘spogliare’, ‘derubare’, invece, non sarebbe adatta al contesto.</w:t>
      </w:r>
    </w:p>
    <w:p w14:paraId="22326681" w14:textId="77777777" w:rsidR="00DE69E5" w:rsidRDefault="00DE69E5" w:rsidP="00DE69E5">
      <w:pPr>
        <w:spacing w:line="480" w:lineRule="auto"/>
        <w:contextualSpacing/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</w:pPr>
    </w:p>
    <w:p w14:paraId="5F293D5D" w14:textId="13223405" w:rsidR="00DE69E5" w:rsidRDefault="00DE69E5" w:rsidP="00DE69E5">
      <w:pPr>
        <w:spacing w:line="480" w:lineRule="auto"/>
        <w:contextualSpacing/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</w:pPr>
      <w:r w:rsidRPr="00EF1C53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In tal modo, il sacrilegio </w:t>
      </w:r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sarebbe</w:t>
      </w:r>
      <w:r w:rsidRPr="00EF1C53"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 xml:space="preserve"> evidentemente a danno delle tombe dei martiri e a favore di monumenti funebri di pagani</w:t>
      </w:r>
      <w:r>
        <w:rPr>
          <w:rFonts w:ascii="Times New Roman" w:eastAsia="Palatino Linotype" w:hAnsi="Times New Roman" w:cs="Times New Roman"/>
          <w:color w:val="0070C0"/>
          <w:sz w:val="24"/>
          <w:szCs w:val="24"/>
          <w:lang w:val="it-IT"/>
        </w:rPr>
        <w:t>.</w:t>
      </w:r>
    </w:p>
    <w:p w14:paraId="71D72BCB" w14:textId="66B7FC6A" w:rsidR="00DE69E5" w:rsidRPr="00DE69E5" w:rsidRDefault="00DE69E5" w:rsidP="00DE69E5">
      <w:pPr>
        <w:spacing w:line="480" w:lineRule="auto"/>
        <w:contextualSpacing/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</w:pPr>
      <w:r w:rsidRPr="00CB6E2E">
        <w:rPr>
          <w:rFonts w:ascii="Times New Roman" w:hAnsi="Times New Roman" w:cs="Times New Roman"/>
          <w:color w:val="0070C0"/>
          <w:sz w:val="24"/>
          <w:szCs w:val="24"/>
          <w:bdr w:val="none" w:sz="0" w:space="0" w:color="auto"/>
          <w:lang w:val="it-IT"/>
        </w:rPr>
        <w:t>Gregorio biasima</w:t>
      </w:r>
      <w:r>
        <w:rPr>
          <w:rFonts w:ascii="Times New Roman" w:hAnsi="Times New Roman" w:cs="Times New Roman"/>
          <w:color w:val="0070C0"/>
          <w:sz w:val="24"/>
          <w:szCs w:val="24"/>
          <w:bdr w:val="none" w:sz="0" w:space="0" w:color="auto"/>
          <w:lang w:val="it-IT"/>
        </w:rPr>
        <w:t>, dunque,</w:t>
      </w:r>
      <w:r w:rsidRPr="00CB6E2E">
        <w:rPr>
          <w:rFonts w:ascii="Times New Roman" w:hAnsi="Times New Roman" w:cs="Times New Roman"/>
          <w:color w:val="0070C0"/>
          <w:sz w:val="24"/>
          <w:szCs w:val="24"/>
          <w:bdr w:val="none" w:sz="0" w:space="0" w:color="auto"/>
          <w:lang w:val="it-IT"/>
        </w:rPr>
        <w:t xml:space="preserve"> i cristiani che, per adornare le tombe dei martiri, le adornano con oggetti preziosi sottratti ai monumenti funebri pagani e, sia pur mossi da buone intenzioni, contaminano le sepolture d</w:t>
      </w:r>
      <w:r>
        <w:rPr>
          <w:rFonts w:ascii="Times New Roman" w:hAnsi="Times New Roman" w:cs="Times New Roman"/>
          <w:color w:val="0070C0"/>
          <w:sz w:val="24"/>
          <w:szCs w:val="24"/>
          <w:bdr w:val="none" w:sz="0" w:space="0" w:color="auto"/>
          <w:lang w:val="it-IT"/>
        </w:rPr>
        <w:t>i quei</w:t>
      </w:r>
      <w:r w:rsidRPr="00CB6E2E">
        <w:rPr>
          <w:rFonts w:ascii="Times New Roman" w:hAnsi="Times New Roman" w:cs="Times New Roman"/>
          <w:color w:val="0070C0"/>
          <w:sz w:val="24"/>
          <w:szCs w:val="24"/>
          <w:bdr w:val="none" w:sz="0" w:space="0" w:color="auto"/>
          <w:lang w:val="it-IT"/>
        </w:rPr>
        <w:t xml:space="preserve"> martiri che amano</w:t>
      </w:r>
    </w:p>
    <w:p w14:paraId="51238C01" w14:textId="77777777" w:rsidR="00DE69E5" w:rsidRPr="00DE69E5" w:rsidRDefault="00DE69E5" w:rsidP="00DE69E5">
      <w:pPr>
        <w:spacing w:line="480" w:lineRule="auto"/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</w:pPr>
    </w:p>
    <w:p w14:paraId="1D9C0336" w14:textId="77777777" w:rsidR="00AC424A" w:rsidRPr="00DE69E5" w:rsidRDefault="00945F86">
      <w:pPr>
        <w:rPr>
          <w:lang w:val="it-IT"/>
        </w:rPr>
      </w:pPr>
    </w:p>
    <w:sectPr w:rsidR="00AC424A" w:rsidRPr="00DE69E5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BED10" w14:textId="77777777" w:rsidR="00945F86" w:rsidRDefault="00945F86" w:rsidP="00DE69E5">
      <w:pPr>
        <w:spacing w:after="0" w:line="240" w:lineRule="auto"/>
      </w:pPr>
      <w:r>
        <w:separator/>
      </w:r>
    </w:p>
  </w:endnote>
  <w:endnote w:type="continuationSeparator" w:id="0">
    <w:p w14:paraId="2571DCD0" w14:textId="77777777" w:rsidR="00945F86" w:rsidRDefault="00945F86" w:rsidP="00DE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3C932" w14:textId="77777777" w:rsidR="00945F86" w:rsidRDefault="00945F86" w:rsidP="00DE69E5">
      <w:pPr>
        <w:spacing w:after="0" w:line="240" w:lineRule="auto"/>
      </w:pPr>
      <w:r>
        <w:separator/>
      </w:r>
    </w:p>
  </w:footnote>
  <w:footnote w:type="continuationSeparator" w:id="0">
    <w:p w14:paraId="71EDDD14" w14:textId="77777777" w:rsidR="00945F86" w:rsidRDefault="00945F86" w:rsidP="00DE6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E5"/>
    <w:rsid w:val="008F28CC"/>
    <w:rsid w:val="00945F86"/>
    <w:rsid w:val="00DE69E5"/>
    <w:rsid w:val="00EB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4A0F50"/>
  <w15:chartTrackingRefBased/>
  <w15:docId w15:val="{46697BE4-2D0D-7146-9A2A-2B33494C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E69E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DE69E5"/>
    <w:rPr>
      <w:vertAlign w:val="superscript"/>
    </w:rPr>
  </w:style>
  <w:style w:type="paragraph" w:styleId="Nessunaspaziatura">
    <w:name w:val="No Spacing"/>
    <w:uiPriority w:val="1"/>
    <w:qFormat/>
    <w:rsid w:val="00DE69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contributor">
    <w:name w:val="contributor"/>
    <w:basedOn w:val="Carpredefinitoparagrafo"/>
    <w:rsid w:val="00DE69E5"/>
  </w:style>
  <w:style w:type="paragraph" w:styleId="Testonotaapidipagina">
    <w:name w:val="footnote text"/>
    <w:link w:val="TestonotaapidipaginaCarattere"/>
    <w:rsid w:val="00DE69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E69E5"/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770</Words>
  <Characters>4166</Characters>
  <Application>Microsoft Office Word</Application>
  <DocSecurity>0</DocSecurity>
  <Lines>58</Lines>
  <Paragraphs>13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Cerroni</dc:creator>
  <cp:keywords/>
  <dc:description/>
  <cp:lastModifiedBy>Enrico Cerroni</cp:lastModifiedBy>
  <cp:revision>1</cp:revision>
  <dcterms:created xsi:type="dcterms:W3CDTF">2021-05-21T13:28:00Z</dcterms:created>
  <dcterms:modified xsi:type="dcterms:W3CDTF">2021-05-21T13:44:00Z</dcterms:modified>
</cp:coreProperties>
</file>