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באיוש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מנגסטו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מנגיסטו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אנקאויו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1935.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אשגה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וקדרית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הקדושים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שסבבו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מתחם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בסמוך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בילדותה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הפשיעה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נסקה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נרצח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מהכנופיות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ששגשגו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מפריע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השקט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ותחושת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הביטחון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התושבים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כילדה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ולמדה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מלאכת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הקדרות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ומגוונים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סגנו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וגובה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האזורי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נגדו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והקהילתי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הסיפורים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ששמעה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ששמעה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מטלות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יחסי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שהתרחשו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לפתרון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התחתנה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המשיכה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שעזרה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לגדל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ולכלכל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חמשת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שהילדים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גדלו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התחתנה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לבלסה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המשותף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לפרנסתה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ייצרה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ומכרה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חרס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קנקנים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לאחסון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ייצור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ממציאת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הבוץ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והבאתו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עיבודו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לחימר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לעיצוב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ליטושו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ושריפתו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מציינת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בזכות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הקדרות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ותמיד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יכולה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לסחור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מרחיבה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הדיבור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אופן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נגרה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מפרטת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אופן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התבלינים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הגבינות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הרטבים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כשהחלו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רכושה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10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1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https://drive.google.com/file/d/11Dsw6-gLjlivoiEELb-Nv_L_vvwue0om/view?usp=sharing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מנגסטו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קדרית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,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פושעים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שודדים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רצח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נגדו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מקודמות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תבלינים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חרסינה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טחינה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בישול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אשגה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1Dsw6-gLjlivoiEELb-Nv_L_vvwue0om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