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שמשון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גובזה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צגהון</w:t>
      </w:r>
    </w:p>
    <w:p w:rsidR="00000000" w:rsidDel="00000000" w:rsidP="00000000" w:rsidRDefault="00000000" w:rsidRPr="00000000" w14:paraId="00000001">
      <w:pPr>
        <w:bidi w:val="1"/>
        <w:spacing w:after="0"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צגהון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סבהט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תאריך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1932.</w:t>
      </w:r>
    </w:p>
    <w:p w:rsidR="00000000" w:rsidDel="00000000" w:rsidP="00000000" w:rsidRDefault="00000000" w:rsidRPr="00000000" w14:paraId="00000005">
      <w:pPr>
        <w:bidi w:val="1"/>
        <w:spacing w:after="0"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spacing w:after="0"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עסק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וחליבה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היחסים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ברזל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הקפידו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להיכנס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המלחמה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האיטלקי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השינויים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שהתרחשו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12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ּ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17.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דעתו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שאינו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יכול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ניסיון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הבריחה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17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במטרה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שהוקם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כשנפתחה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ווזאבה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שנקטעו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תושבי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כתלמיד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מצטיין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לכיתות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ונולדה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הבכורה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גאיינא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בסיומן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ֹ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פוגש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בסמוך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בטדא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ובסופן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התבקש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מנגיסטו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Mengistu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Mariam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הפסיק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ושמשון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המאסר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העינויים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האסירים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שחרורו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נבחר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באיגוד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במסגרת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הסדיר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וקרקעות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כשקודם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לתפקיד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סניגור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ערערים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highlight w:val="white"/>
            <w:u w:val="single"/>
            <w:rtl w:val="0"/>
          </w:rPr>
          <w:t xml:space="preserve">https://drive.google.com/file/d/0B1U0sU7KGVTmakVwb0hiVnJEdnM/view?usp=sharing</w:t>
        </w:r>
      </w:hyperlink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bidi w:val="1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גובזה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צגהון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קריאה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כתיבה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שירפה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משטרה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חרישה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ווזאבה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ֹ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גאיינא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ּ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איגוד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עגלים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עינויים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חשבון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D">
      <w:pPr>
        <w:bidi w:val="1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akVwb0hiVnJEdnM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