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br w:type="textWrapping"/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דנקי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וונדמגן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1962.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תגירינית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ניסיונותיהם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מיסיונרים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להמיר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גילויי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כינויי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הגנאי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שהדביקו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שהתבססו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התפילין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והציצית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בפירוט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חשיבות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והקהילתי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הגומלין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הוויכוחים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התיאולוגיים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שנקרא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מהללה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שמקורו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ונוער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נחגגו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ההדדית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תכולתו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חליבת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והכנסתם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למתחם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טורפים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ארוכות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השהייה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הגידולים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זריעה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וקציר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בהתאם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הפנאי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ומלמדים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עודדו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להשתתף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מיומנויות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שלימד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בכיתות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כשהחלו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המרידות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מפלג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הזוווי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המלומדים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ושלחו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האחרונה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שיצאה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מתוקף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מעמדו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מחויבות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שאחרון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לחמוק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מהגיוסים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ובדרכו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נתפס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-3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כששוחרר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ומקריא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קטעי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https://drive.google.com/file/d/1SunAbT2OFu4_180c_4slCdVADeji71ek/view?usp=sharing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מסיונריים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קללות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ציצית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גידולים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הכוהנים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0B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הזוווי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0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0D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SunAbT2OFu4_180c_4slCdVADeji71ek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