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סמאי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למלמין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וורקייה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1957.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דוראייה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בחודשי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והחורף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נפוצה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המלריה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בסביבת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וגבתה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קורבנות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משרד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הבריאות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דואג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לרסס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יתושים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בניסיון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9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התגרשו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התאפשרה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כרועה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מפגשים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והמוסלמים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וחיפוש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שנגנב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והתערבות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אלוהית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בהיותו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בפתאומיות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בלבלה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גיאורגיס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משהגיע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הקטנות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לפרנסת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ועיבדו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שכניו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האמונות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הטפלות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שייחסו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מחוזי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בסרמלה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נשדד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ונרצח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הסתבכה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בפרשה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חיפשו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ולהמלט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נציגי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לחסן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התנגדה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בתואנה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שניקוב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אוזנה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שחוסנה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הופך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אולצו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ניצלו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משעברו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המפרנס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היחיד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ותפס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הפרנסה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שהחזיק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מייצרות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ומוכרות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כהשלמת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נקלע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פרטי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הסתיים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21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למצוא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פרנסה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באגומגופה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כעובד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הבצורת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שהכתה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כקוטף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שהרוויח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כהשקעה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שבתום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הבצורת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הניבו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מכתב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מדודו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שהזמין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לביקור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נענה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להזמנה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לביקור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להישאר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מהממשלה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קרקע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להתבסס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ולחייב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המדינה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https://drive.google.com/file/d/1ab3ezTaHbqkDfOYuCAjIa0B6VDjLzLQR/view?usp=sharing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אישטו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גירושין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גזענות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נקמת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היאבקות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רצח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השקעה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לסטה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דוראייה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בלבלה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גיאורגיס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אגומגופה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ab3ezTaHbqkDfOYuCAjIa0B6VDjLzLQR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