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ספפה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קטמה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נגוסה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1961.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בצעירותה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בחריש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ובעיבוד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וברעיית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שהאחריות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לפרנסת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הוטלה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כתפיהם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המטלות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כנערה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יכולה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לשרשרת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לשמור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מיוחדות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מחוץ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נשארות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מדברת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וחוזה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טווית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וקליעת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שגרת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בסביבה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שפגעה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עוזרים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להרחיק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מהשדות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ולשמור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וצבועים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השגיחה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נחש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ניתחו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למנוע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מהארס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להתפשט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יצאה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לקטוף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לקליעת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הוכשה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נחש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השתמשו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בתרופה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התחתנה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החגיגה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האנסוסלה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ותפקידי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השושבינים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הסתגלות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הנישואין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חשבה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שטחים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פתוחים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ימנעו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נחשים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הפחם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ועסקים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ובעונת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העסיק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בקביעות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2-3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23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בהתאם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הבכורה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השהייה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ההלוויה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והשבעה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המלווים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השהייה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והיציאה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כשנפתחה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ולנסוע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מובטחת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חסותו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והזוג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התגרש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10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התאחדה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והעלתה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https://drive.google.com/file/d/1M-slMIeOIzISwKIm0w6j_Qrj5nWx7ZNt/view?usp=sharing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איינש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טווית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כותנה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וקליעת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נחש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נקמה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וירוס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גירושין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בלוה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8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aa-E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M-slMIeOIzISwKIm0w6j_Qrj5nWx7ZNt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