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לגסה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אטנט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דרבאו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1938.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גודמיסה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קירוס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הולדתו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ששימש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בינקותו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אנגוט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נולדו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תשע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התרגשו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קיבלה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התנהלותה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סביבם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מביקוריו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כעשר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נסיונות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מוצלחים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וסבתו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התפרנסו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החזיקו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בשטח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בתחילה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מתנהל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בחוסר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מיוער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נתקל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שהרוויח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לפתוח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נסע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רכש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תרנגולות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בסביבת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שכלל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והרחיב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היצע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הסחורות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לאיגוד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שהקימו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הלוואות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לצרכיהם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פועלת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26,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מאמצי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פתחו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אפיקי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שקיימו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שהתמסד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הפסיק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שטחי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והתפרנס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הפעמים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לאסוף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במלריה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ושהה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חמיו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-3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שהתאושש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הטיפול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והמודרניות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יבוליו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נהרסו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נתמך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שסייעה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וחלתה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בתינוקת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שיצאו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מנביעה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בסגולות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הריפוי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והוליד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המגבלות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שהטיל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((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מבעליהן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ולשלם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בפירוט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ההודעה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הירתמותה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ותפקידה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האירוע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ולאחריו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https://drive.google.com/file/d/1C6JvHkJIMKnVPwAlV30Ibd_c0Cji0df4/view?usp=sharing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אזזווי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עלמאיהו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גירושים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להסקה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הלוואות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שידוכים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נביעה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גודמיסה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קירוס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אנגוט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זרימה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ווגרה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16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C6JvHkJIMKnVPwAlV30Ibd_c0Cji0df4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