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טוואבל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זרו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מוזיקאי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ומשבגר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האמינו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רצונותיה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נכנסה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מרצונותיה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נגינת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15,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להוציא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הנגנים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המוזיקה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שנוגנו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נמשכה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ומבלי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הלחוצות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ללהקה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ותיאטרון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הלהקה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לתנועת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אמריקאית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המשקיפים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עניות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בשיפוץ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נזקקים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ותחרויות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סנדקה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שהידרדרו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לאפשר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לעובדי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טרקטור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דרישות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ללהקה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נודדת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הלהקה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המהללים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וחייליו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הלהקה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הופעות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להופיע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למופעים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ולהופיע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בחתונות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והמוסלמים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ממסעותיו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ולקבוצת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ונותנים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חופשי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נודד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נטרף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הסגיר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אובדן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ניצלו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מהסוהרים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המהיר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ניסיונו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השלישי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הסודני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נמשכו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מהפעמים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נגינתו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לליבם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פסקו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ובסופו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השחרור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הותיר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לחצות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https://drive.google.com/file/d/1cKLwjM8hf-xHY1S-GpxAL9kfV6mUB7hu/view?usp=sharing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גאשיי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טוואבל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מוזיקה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מוזיקאי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מסנקו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טפלות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תאטרון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כבישים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cKLwjM8hf-xHY1S-GpxAL9kfV6mUB7h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