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שלמה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דסה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סולומון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מנדרייה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מדויק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תחקיר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החוגגים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בבעלי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הנקראות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גומדאו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ווטטה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בקירוב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הווטטה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מתחסנים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ומטפלים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מקיימת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המבוגרות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מתפללים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מבודד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ומתפלל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לבריאותו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שיבשר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ובמועדים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הזרעים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לזרוע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https://drive.google.com/file/d/0B1U0sU7KGVTmbW82TWNyNXJjWFE/view?usp=sharing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מנדרייה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bW82TWNyNXJjWF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