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אנייו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פלאקה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1947.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מוהלת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וקדרית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מפורסם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תדיר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בבעלותם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טוחנת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ומכינה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ביצעו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הקטן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ואוהל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נימוסים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נותנים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מחזרים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בטענה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מחזרים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13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חותניה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בתחילה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מחמותה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מייבשים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ושורפים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17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כנהוג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הנוספות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מסכנת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כמוהלת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למוהלת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משתמשים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היגיינה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שמלוות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גניבות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ותבואה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וורקשה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בתחבורה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ציבורית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והכלבים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רגלי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https://drive.google.com/file/d/15oqcJOlOMSQ-VvWj7iNhRxY4oky-H6q5/view?usp=sharing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מוהלת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נימוסים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וורקשה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5oqcJOlOMSQ-VvWj7iNhRxY4oky-H6q5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