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קבדה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1954.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מבצעת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והחתולים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סופגת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עלבונות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מהאוכלוסייה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נישואיה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שגדלה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והתחזקה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שהתגוררו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להיערך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השהות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שנפטרו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תינוקות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העממי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הגורמת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להאדים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ונפטרה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רוכבים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מדגימה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https://drive.google.com/file/d/0B0ytgfkLxVV8Y0NKZDNqbDRDTHM/view?usp=sharing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טדפלץ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קבדה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קרשים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כלבים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קופים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טרגדיה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צינון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מרפאה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Y0NKZDNqbDRDTH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