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צהיינש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איילהו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איילאו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מהרטו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ביטאו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גביאנש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סמעון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1945.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טירזה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וגומוגופה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התגרשו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הביולוגית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לטפל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נדדה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שנישא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ודודתה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שלדודתה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כקדרית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וביצעה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טחינה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גרגירים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ותבלינים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וכדומה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הקדרות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מבחירת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גימור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‏(‏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‏)‏,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להחזיק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הקדרות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צריכה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שלעיתים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בוטל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האיסור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וצהיינש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יכלו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להחזיק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ולעשות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כרצונם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גילויי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שהופנו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וכלפי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נישאה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רווחה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בניסיון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ומטופלת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קטנים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וצהיינש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החורגת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מצער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מנקמת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לגומוגופה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הקעקועים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המקובלים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הנסיבות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    </w:t>
        <w:tab/>
      </w:r>
    </w:p>
    <w:p w:rsidR="00000000" w:rsidDel="00000000" w:rsidP="00000000" w:rsidRDefault="00000000" w:rsidRPr="00000000" w14:paraId="00000017">
      <w:pPr>
        <w:bidi w:val="1"/>
        <w:spacing w:after="0"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9">
      <w:pPr>
        <w:bidi w:val="1"/>
        <w:spacing w:line="276" w:lineRule="auto"/>
        <w:contextualSpacing w:val="0"/>
        <w:rPr>
          <w:rFonts w:ascii="Times New Roman" w:cs="Times New Roman" w:eastAsia="Times New Roman" w:hAnsi="Times New Roman"/>
          <w:color w:val="1155cc"/>
          <w:sz w:val="24"/>
          <w:szCs w:val="24"/>
          <w:u w:val="single"/>
        </w:rPr>
      </w:pPr>
      <w:r w:rsidDel="00000000" w:rsidR="00000000" w:rsidRPr="00000000">
        <w:fldChar w:fldCharType="begin"/>
        <w:instrText xml:space="preserve"> HYPERLINK "https://docs.google.com/document/d/1AfzaEGC8HViQsjGhIs_Bh_c_W2ZPkmIyBU3YnQKf1xw/edit?usp=sharing" </w:instrText>
        <w:fldChar w:fldCharType="separate"/>
      </w:r>
      <w:r w:rsidDel="00000000" w:rsidR="00000000" w:rsidRPr="00000000">
        <w:rPr>
          <w:rFonts w:ascii="Times New Roman" w:cs="Times New Roman" w:eastAsia="Times New Roman" w:hAnsi="Times New Roman"/>
          <w:color w:val="1155cc"/>
          <w:sz w:val="24"/>
          <w:szCs w:val="24"/>
          <w:u w:val="single"/>
          <w:rtl w:val="0"/>
        </w:rPr>
        <w:t xml:space="preserve">https://docs.google.com/document/d/1AfzaEGC8HViQsjGhIs_Bh_c_W2ZPkmIyBU3YnQKf1xw/edit?usp=sharing</w:t>
      </w:r>
    </w:p>
    <w:p w:rsidR="00000000" w:rsidDel="00000000" w:rsidP="00000000" w:rsidRDefault="00000000" w:rsidRPr="00000000" w14:paraId="0000001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fldChar w:fldCharType="end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איילהו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גירושין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טחינה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צבועים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קעקועים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כוכבים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מסיונרים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מנגיסטו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,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טירזה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רווחה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גומוגופה</w:t>
      </w:r>
    </w:p>
    <w:p w:rsidR="00000000" w:rsidDel="00000000" w:rsidP="00000000" w:rsidRDefault="00000000" w:rsidRPr="00000000" w14:paraId="0000001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D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