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איינה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1957.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בואקש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מחזיקים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גרגירים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ורקימת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קישוטים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תירוצים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להפצרות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והסכימה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משבגרה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חוויותיה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בנטל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לגירושיהם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הרעוע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גטנה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מותרת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שיחלמו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פתרון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לבעייתם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שמחלתה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הסתיימה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המורחבת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משכניהם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והשתקעו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שוויוני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להפלות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חוגגים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הקפדה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המבוגרות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קישוטים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ולשמלות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לעצמה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תכשיטים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מדגימה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טכניקת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וסוקרת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ורקמות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תולעים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הרקמות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דגנים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למאכל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משותפת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שנערכה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אוכלוסיית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להפסיק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התולעים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https://drive.google.com/file/d/0B1U0sU7KGVTmNVkzVXJHUDRBRlE/view?usp=sharing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ווייניטו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עלמו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איינה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חוכמה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לבערה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רקמה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גירושים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פירוש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חכירה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יבול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בתולים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קישוטים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שמלות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סלאסה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סנבטייה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בואקש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נורה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גטנה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NVkzVXJHUDRBRl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