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אלעזר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1958.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רגיה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פירוש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ואסם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ליצור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מסתור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הקפיד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יתקנא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בזיכרונו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ציוצי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ונעירת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והתפקידים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שמילאו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מאלפים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ומעיד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מקובלים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הגזעני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מקיימת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שהכין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כשהוקם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קטן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משנסגר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ומתמטיקה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בחופשים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חוויותיו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ברכיבה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משומשום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משככי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וקיבוע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במבוק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שחששו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מהתבוללות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שיסכימו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בהצטיינות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המבחנים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התקוממו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גירשו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והשחיתו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מיוחד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ההפגנות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לחקירה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לפרנסתו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לביקור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וסקליט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מתרגם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ומקשר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למזלו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שהבטיחו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שיעשו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שנדרש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מעודד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סבלנות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להוציא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ולהפליג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מאמציו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התכתבות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ומאמצים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מהתיירים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רוזנפלד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וארנולד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הדרכון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ובשגרירות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שאישרו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נרשם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14,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https://drive.google.com/file/d/0B1U0sU7KGVTmcUJaUDRMNW9qSFk/view?usp=sharing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קינאה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מלכודות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הפגנות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רגיה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סקלט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cUJaUDRMNW9qSFk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