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מנטה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מנטסנות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אסמרסוו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1949.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אדנגוט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וונתיה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אלפתא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קרוסא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משבגר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1970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התנכלו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בשטחם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הכריע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לטובת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בסדנא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הבעירו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וייצרו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משחיזים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ומתקנים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לקרובי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לטובת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מלקוחותיו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שקצרה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מלשלם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ברזל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מסוחרי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בהפלגה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חיפוש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ברזל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ממכוניות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המיקוח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ושינוען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תבואות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הקרובים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להנחיל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להסתכל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ומבצעים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התהליכים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לתינוקות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ההיגיינה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לעצור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דימומים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בדלקות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וחניכים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-1973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הודח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הרפורמות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המרכזיות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חוסלו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מתנגדיו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במועצת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הקרקעות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והחלוקה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התבצעה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השתתף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בניהול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המועצה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מגדלת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מוכרת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והרווחים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מהשלטונות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שהטיל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לבחור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הזהיר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וציווה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והנערים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יגויסו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והנערים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ונלקחו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והיכרות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שוחררו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ממקימי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הקמתו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דירקטוריון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פטירת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שהוכש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ופטירת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סרקוב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https://drive.google.com/file/d/1CUWE4ytF0GOLsCVWR5paNJQWuEXhIgp7/view?usp=sharing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דמסצ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הובלת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מועצה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אדנגוט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וונתיה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אלפתא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קרוסא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סרקוב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CUWE4ytF0GOLsCVWR5paNJQWuEXhIgp7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