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/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טרקאי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.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טרקאי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אלפוש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1935.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וגדל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למחצה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ורעיית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החריש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והזריעה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הדגנים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והירקות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מדגיש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החזיקו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היחודיים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כמקובל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ושטח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וברעיית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ובערב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כנהוג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מסייעים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רחוקות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נעזרו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ביועץ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רהיטי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נבנו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מבוץ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‏)‏,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התאפשר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עיבדו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מהיבול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הייחודיים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פסח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הכיסופים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האישיות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מתוודעים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לדיני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https://drive.google.com/file/d/1WzLcfG2oPaqPmWRJdlwrtVgEnNJ6K505/view?usp=sharing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מרדכי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טרקין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טרקאי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אלפש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weha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גחלת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פטיש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גרזן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מטרבה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matreba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machid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סכין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הפרשת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סילסה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שושבינים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הקרקע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חומוס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פסח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פחם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WzLcfG2oPaqPmWRJdlwrtVgEnNJ6K50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