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יוסף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טוודאג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נגוסה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1950.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שוואדה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ופעיל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ההתיישבות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לרדיפותיו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1400.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היווצרות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שנקרא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13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לשושלתו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לאזורים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התמודד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שהעלתה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-17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השפעותיה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רפורמת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התקיימו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ההבדל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שחששה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מהתבוללות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שנישא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והוליד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התאפשר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ובשעות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התוודע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בציוד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ומגוון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שימושיים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1979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באיתור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ובחלוקת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לנזקקים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ושותפיו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וליוו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הקבוצות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התנהלה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שנחשד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כמתנגד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בפסח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ופעילים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העבירו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נעצרו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ונכלאו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בטענה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שהעבירו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וההוצאות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שנערכו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כתלי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לפעילתו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החתרנית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וללוות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בשלישית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מסתכן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בהוצאה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https://drive.google.com/file/d/1WG3Bm5vz8TrbMylW8cCj0eLp1xvaj6yK/view?usp=sharing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התבוללות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פסח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שוואדה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WG3Bm5vz8TrbMylW8cCj0eLp1xvaj6y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