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560C18" w14:textId="4E11CF96" w:rsidR="00341E01" w:rsidRDefault="00341E01" w:rsidP="00341E01">
      <w:pPr>
        <w:ind w:firstLine="720"/>
        <w:jc w:val="center"/>
        <w:rPr>
          <w:lang w:bidi="he-IL"/>
        </w:rPr>
      </w:pPr>
      <w:bookmarkStart w:id="0" w:name="_GoBack"/>
      <w:bookmarkEnd w:id="0"/>
      <w:r>
        <w:rPr>
          <w:lang w:bidi="he-IL"/>
        </w:rPr>
        <w:t xml:space="preserve">Law and Identity in Israel: A Century of Debate, by Nir </w:t>
      </w:r>
      <w:proofErr w:type="spellStart"/>
      <w:r>
        <w:rPr>
          <w:lang w:bidi="he-IL"/>
        </w:rPr>
        <w:t>Kedar</w:t>
      </w:r>
      <w:proofErr w:type="spellEnd"/>
      <w:r>
        <w:rPr>
          <w:lang w:bidi="he-IL"/>
        </w:rPr>
        <w:t xml:space="preserve"> (2019)</w:t>
      </w:r>
    </w:p>
    <w:p w14:paraId="1C559A37" w14:textId="29CF804A" w:rsidR="00341E01" w:rsidRDefault="00341E01" w:rsidP="00341E01">
      <w:pPr>
        <w:ind w:firstLine="720"/>
        <w:jc w:val="center"/>
        <w:rPr>
          <w:lang w:bidi="he-IL"/>
        </w:rPr>
      </w:pPr>
      <w:r>
        <w:rPr>
          <w:lang w:bidi="he-IL"/>
        </w:rPr>
        <w:t>A Book Review for</w:t>
      </w:r>
      <w:r w:rsidRPr="00341E01">
        <w:t xml:space="preserve"> </w:t>
      </w:r>
      <w:r>
        <w:t>"</w:t>
      </w:r>
      <w:r w:rsidRPr="00341E01">
        <w:rPr>
          <w:lang w:bidi="he-IL"/>
        </w:rPr>
        <w:t>Studies in Contemporary Jewry</w:t>
      </w:r>
      <w:r>
        <w:rPr>
          <w:lang w:bidi="he-IL"/>
        </w:rPr>
        <w:t>"</w:t>
      </w:r>
    </w:p>
    <w:p w14:paraId="3FE625EF" w14:textId="78BEE2DA" w:rsidR="00341E01" w:rsidRDefault="00341E01" w:rsidP="00341E01">
      <w:pPr>
        <w:ind w:firstLine="720"/>
        <w:jc w:val="center"/>
        <w:rPr>
          <w:lang w:bidi="he-IL"/>
        </w:rPr>
      </w:pPr>
      <w:r>
        <w:rPr>
          <w:lang w:bidi="he-IL"/>
        </w:rPr>
        <w:t xml:space="preserve">Yehudit Dori </w:t>
      </w:r>
      <w:proofErr w:type="spellStart"/>
      <w:r>
        <w:rPr>
          <w:lang w:bidi="he-IL"/>
        </w:rPr>
        <w:t>Deston</w:t>
      </w:r>
      <w:proofErr w:type="spellEnd"/>
    </w:p>
    <w:p w14:paraId="08ACEA0F" w14:textId="77777777" w:rsidR="00341E01" w:rsidRDefault="00341E01" w:rsidP="00DB174A">
      <w:pPr>
        <w:ind w:firstLine="720"/>
        <w:rPr>
          <w:rtl/>
          <w:lang w:bidi="he-IL"/>
        </w:rPr>
      </w:pPr>
    </w:p>
    <w:p w14:paraId="2665BE16" w14:textId="4F806A5E" w:rsidR="007857FF" w:rsidRDefault="00F91545" w:rsidP="00227779">
      <w:pPr>
        <w:ind w:firstLine="720"/>
        <w:rPr>
          <w:rtl/>
          <w:lang w:bidi="he-IL"/>
        </w:rPr>
      </w:pPr>
      <w:r>
        <w:rPr>
          <w:rFonts w:hint="cs"/>
          <w:rtl/>
          <w:lang w:bidi="he-IL"/>
        </w:rPr>
        <w:t xml:space="preserve">מה הופך את ה"משפט הישראלי" ל"ישראלי"? האם די בהתפתחותו במסגרת מוסדות משפטיים הפועלים במדינת ישראל? האם </w:t>
      </w:r>
      <w:r w:rsidR="00951EFF">
        <w:rPr>
          <w:rFonts w:hint="cs"/>
          <w:rtl/>
          <w:lang w:bidi="he-IL"/>
        </w:rPr>
        <w:t>הוא הופ</w:t>
      </w:r>
      <w:r w:rsidR="00227779">
        <w:rPr>
          <w:rFonts w:hint="cs"/>
          <w:rtl/>
          <w:lang w:bidi="he-IL"/>
        </w:rPr>
        <w:t>ך</w:t>
      </w:r>
      <w:r w:rsidR="00951EFF">
        <w:rPr>
          <w:rFonts w:hint="cs"/>
          <w:rtl/>
          <w:lang w:bidi="he-IL"/>
        </w:rPr>
        <w:t xml:space="preserve"> ל"ישראלי" על-ידי</w:t>
      </w:r>
      <w:r w:rsidR="008900E9">
        <w:rPr>
          <w:rFonts w:hint="cs"/>
          <w:rtl/>
          <w:lang w:bidi="he-IL"/>
        </w:rPr>
        <w:t xml:space="preserve"> </w:t>
      </w:r>
      <w:r w:rsidR="000D0762">
        <w:rPr>
          <w:rFonts w:hint="cs"/>
          <w:rtl/>
          <w:lang w:bidi="he-IL"/>
        </w:rPr>
        <w:t>חקיקת חוקים</w:t>
      </w:r>
      <w:r w:rsidR="00951EFF">
        <w:rPr>
          <w:rFonts w:hint="cs"/>
          <w:rtl/>
          <w:lang w:bidi="he-IL"/>
        </w:rPr>
        <w:t xml:space="preserve"> בעלי תוכן "יהודי",</w:t>
      </w:r>
      <w:r w:rsidR="000D0762">
        <w:rPr>
          <w:rFonts w:hint="cs"/>
          <w:rtl/>
          <w:lang w:bidi="he-IL"/>
        </w:rPr>
        <w:t xml:space="preserve"> </w:t>
      </w:r>
      <w:r w:rsidR="00227779">
        <w:rPr>
          <w:rFonts w:hint="cs"/>
          <w:rtl/>
          <w:lang w:bidi="he-IL"/>
        </w:rPr>
        <w:t>דוגמת</w:t>
      </w:r>
      <w:r w:rsidR="000D0762">
        <w:rPr>
          <w:rFonts w:hint="cs"/>
          <w:rtl/>
          <w:lang w:bidi="he-IL"/>
        </w:rPr>
        <w:t xml:space="preserve"> </w:t>
      </w:r>
      <w:r w:rsidR="000D0762">
        <w:rPr>
          <w:lang w:bidi="he-IL"/>
        </w:rPr>
        <w:t>the Pig-Raising Prohibition Law of 1962, the Passover Law of 1986 or even the Law of Return of 1950?</w:t>
      </w:r>
      <w:r w:rsidR="000D0762">
        <w:rPr>
          <w:rFonts w:hint="cs"/>
          <w:rtl/>
          <w:lang w:bidi="he-IL"/>
        </w:rPr>
        <w:t xml:space="preserve"> </w:t>
      </w:r>
      <w:r>
        <w:rPr>
          <w:rFonts w:hint="cs"/>
          <w:rtl/>
          <w:lang w:bidi="he-IL"/>
        </w:rPr>
        <w:t xml:space="preserve">האם שיטת המשפט הישראלית החלה להתפתח רק ביום ההכרזה על הקמתה של מדינה יהודית בארץ ישראל, או ששורשיה של שיטת משפט זו נטועים עוד בראשית ההיסטוריה של הציונות? שאלות אלו ודומות להן </w:t>
      </w:r>
      <w:r w:rsidR="00BD2A8B">
        <w:rPr>
          <w:rFonts w:hint="cs"/>
          <w:rtl/>
          <w:lang w:bidi="he-IL"/>
        </w:rPr>
        <w:t xml:space="preserve">הן שעומדות במרכז ספרו של </w:t>
      </w:r>
      <w:r w:rsidR="00BD2A8B">
        <w:rPr>
          <w:lang w:bidi="he-IL"/>
        </w:rPr>
        <w:t xml:space="preserve">Nir </w:t>
      </w:r>
      <w:proofErr w:type="spellStart"/>
      <w:r w:rsidR="00BD2A8B">
        <w:rPr>
          <w:lang w:bidi="he-IL"/>
        </w:rPr>
        <w:t>Kedar</w:t>
      </w:r>
      <w:proofErr w:type="spellEnd"/>
      <w:r w:rsidR="00BD2A8B">
        <w:rPr>
          <w:lang w:bidi="he-IL"/>
        </w:rPr>
        <w:t>, "Law and Identity in Israel: A Century of Debate</w:t>
      </w:r>
      <w:r w:rsidR="00EF7FD8">
        <w:rPr>
          <w:lang w:bidi="he-IL"/>
        </w:rPr>
        <w:t>"</w:t>
      </w:r>
      <w:r w:rsidR="00BD2A8B">
        <w:rPr>
          <w:lang w:bidi="he-IL"/>
        </w:rPr>
        <w:t xml:space="preserve"> (Cambridge Studies in Law and Judaism, 2019).</w:t>
      </w:r>
      <w:r w:rsidR="00BD2A8B">
        <w:rPr>
          <w:rFonts w:hint="cs"/>
          <w:rtl/>
          <w:lang w:bidi="he-IL"/>
        </w:rPr>
        <w:t xml:space="preserve"> למעשה, תשובה חלקית לפחות לשאלות אלו מציע המחבר כבר</w:t>
      </w:r>
      <w:r w:rsidR="005967BD">
        <w:rPr>
          <w:rFonts w:hint="cs"/>
          <w:rtl/>
          <w:lang w:bidi="he-IL"/>
        </w:rPr>
        <w:t xml:space="preserve"> בכותרת המשנה</w:t>
      </w:r>
      <w:r w:rsidR="00BD2A8B">
        <w:rPr>
          <w:rFonts w:hint="cs"/>
          <w:rtl/>
          <w:lang w:bidi="he-IL"/>
        </w:rPr>
        <w:t xml:space="preserve"> של הספר </w:t>
      </w:r>
      <w:r w:rsidR="00BD2A8B">
        <w:rPr>
          <w:rtl/>
          <w:lang w:bidi="he-IL"/>
        </w:rPr>
        <w:t>–</w:t>
      </w:r>
      <w:r w:rsidR="00BD2A8B">
        <w:rPr>
          <w:rFonts w:hint="cs"/>
          <w:rtl/>
          <w:lang w:bidi="he-IL"/>
        </w:rPr>
        <w:t xml:space="preserve"> </w:t>
      </w:r>
      <w:r w:rsidR="005967BD">
        <w:rPr>
          <w:lang w:bidi="he-IL"/>
        </w:rPr>
        <w:t>A Century of Debate</w:t>
      </w:r>
      <w:r w:rsidR="005967BD">
        <w:rPr>
          <w:rFonts w:hint="cs"/>
          <w:rtl/>
          <w:lang w:bidi="he-IL"/>
        </w:rPr>
        <w:t xml:space="preserve"> </w:t>
      </w:r>
      <w:r w:rsidR="005967BD">
        <w:rPr>
          <w:rtl/>
          <w:lang w:bidi="he-IL"/>
        </w:rPr>
        <w:t>–</w:t>
      </w:r>
      <w:r w:rsidR="005967BD">
        <w:rPr>
          <w:rFonts w:hint="cs"/>
          <w:rtl/>
          <w:lang w:bidi="he-IL"/>
        </w:rPr>
        <w:t xml:space="preserve"> </w:t>
      </w:r>
      <w:r w:rsidR="00BD2A8B">
        <w:rPr>
          <w:rFonts w:hint="cs"/>
          <w:rtl/>
          <w:lang w:bidi="he-IL"/>
        </w:rPr>
        <w:t>הרומז</w:t>
      </w:r>
      <w:r w:rsidR="005967BD">
        <w:rPr>
          <w:rFonts w:hint="cs"/>
          <w:rtl/>
          <w:lang w:bidi="he-IL"/>
        </w:rPr>
        <w:t>ת</w:t>
      </w:r>
      <w:r w:rsidR="00BD2A8B">
        <w:rPr>
          <w:rFonts w:hint="cs"/>
          <w:rtl/>
          <w:lang w:bidi="he-IL"/>
        </w:rPr>
        <w:t xml:space="preserve"> לכך </w:t>
      </w:r>
      <w:r w:rsidR="005967BD">
        <w:rPr>
          <w:rFonts w:hint="cs"/>
          <w:rtl/>
          <w:lang w:bidi="he-IL"/>
        </w:rPr>
        <w:t>שהמשפט הישראלי לא נוצר יש מאין ב</w:t>
      </w:r>
      <w:r w:rsidR="00EF7FD8">
        <w:rPr>
          <w:rFonts w:hint="cs"/>
          <w:rtl/>
          <w:lang w:bidi="he-IL"/>
        </w:rPr>
        <w:t xml:space="preserve">יום </w:t>
      </w:r>
      <w:r w:rsidR="005967BD">
        <w:rPr>
          <w:rFonts w:hint="cs"/>
          <w:rtl/>
          <w:lang w:bidi="he-IL"/>
        </w:rPr>
        <w:t xml:space="preserve">ה' באייר </w:t>
      </w:r>
      <w:proofErr w:type="spellStart"/>
      <w:r w:rsidR="005967BD">
        <w:rPr>
          <w:rFonts w:hint="cs"/>
          <w:rtl/>
          <w:lang w:bidi="he-IL"/>
        </w:rPr>
        <w:t>התש"ח</w:t>
      </w:r>
      <w:proofErr w:type="spellEnd"/>
      <w:r w:rsidR="005967BD">
        <w:rPr>
          <w:rFonts w:hint="cs"/>
          <w:rtl/>
          <w:lang w:bidi="he-IL"/>
        </w:rPr>
        <w:t xml:space="preserve">; וכדי להתחקות אחר שורשיו ההיסטוריים יש לשוב אל ראשית ימיה של הציונות, או אז החלו </w:t>
      </w:r>
      <w:proofErr w:type="spellStart"/>
      <w:r w:rsidR="005967BD">
        <w:rPr>
          <w:rFonts w:hint="cs"/>
          <w:rtl/>
          <w:lang w:bidi="he-IL"/>
        </w:rPr>
        <w:t>הנסיונות</w:t>
      </w:r>
      <w:proofErr w:type="spellEnd"/>
      <w:r w:rsidR="00EF7FD8">
        <w:rPr>
          <w:rFonts w:hint="cs"/>
          <w:rtl/>
          <w:lang w:bidi="he-IL"/>
        </w:rPr>
        <w:t xml:space="preserve"> הראשונים</w:t>
      </w:r>
      <w:r w:rsidR="005967BD">
        <w:rPr>
          <w:rFonts w:hint="cs"/>
          <w:rtl/>
          <w:lang w:bidi="he-IL"/>
        </w:rPr>
        <w:t xml:space="preserve"> ליצור משפט לאומי. ואכן, כבר במבוא לספר מציג המחבר </w:t>
      </w:r>
      <w:r w:rsidR="00940458">
        <w:rPr>
          <w:rFonts w:hint="cs"/>
          <w:rtl/>
          <w:lang w:bidi="he-IL"/>
        </w:rPr>
        <w:t xml:space="preserve">את עמדתו: </w:t>
      </w:r>
      <w:r w:rsidR="00940458">
        <w:rPr>
          <w:lang w:bidi="he-IL"/>
        </w:rPr>
        <w:t>"The story of Israeli law is in fact the story of Zionism itself " (2</w:t>
      </w:r>
      <w:r w:rsidR="00951EFF">
        <w:rPr>
          <w:lang w:bidi="he-IL"/>
        </w:rPr>
        <w:t>)</w:t>
      </w:r>
      <w:r w:rsidR="00227779">
        <w:rPr>
          <w:rFonts w:hint="cs"/>
          <w:rtl/>
          <w:lang w:bidi="he-IL"/>
        </w:rPr>
        <w:t xml:space="preserve">. </w:t>
      </w:r>
      <w:r w:rsidR="00951EFF">
        <w:rPr>
          <w:rFonts w:hint="cs"/>
          <w:rtl/>
          <w:lang w:bidi="he-IL"/>
        </w:rPr>
        <w:t xml:space="preserve">המכנה המשותף </w:t>
      </w:r>
      <w:r w:rsidR="00227779">
        <w:rPr>
          <w:rFonts w:hint="cs"/>
          <w:rtl/>
          <w:lang w:bidi="he-IL"/>
        </w:rPr>
        <w:t>בין התנועה הציונית למשפט הישראלי</w:t>
      </w:r>
      <w:r w:rsidR="00341EB0">
        <w:rPr>
          <w:rFonts w:hint="cs"/>
          <w:rtl/>
          <w:lang w:bidi="he-IL"/>
        </w:rPr>
        <w:t xml:space="preserve"> הוא</w:t>
      </w:r>
      <w:r w:rsidR="00227779">
        <w:rPr>
          <w:rFonts w:hint="cs"/>
          <w:rtl/>
          <w:lang w:bidi="he-IL"/>
        </w:rPr>
        <w:t xml:space="preserve">, לשיטתו, </w:t>
      </w:r>
      <w:r w:rsidR="00632618">
        <w:rPr>
          <w:rFonts w:hint="cs"/>
          <w:rtl/>
          <w:lang w:bidi="he-IL"/>
        </w:rPr>
        <w:t xml:space="preserve">העובדה ששניהם גם יחד </w:t>
      </w:r>
      <w:r w:rsidR="00EF7FD8">
        <w:rPr>
          <w:lang w:bidi="he-IL"/>
        </w:rPr>
        <w:t>"</w:t>
      </w:r>
      <w:r w:rsidR="00632618">
        <w:rPr>
          <w:lang w:bidi="he-IL"/>
        </w:rPr>
        <w:t>swung between the desire and need to address question of modern Jewish identity in a profound way and the need to stifle, or at least mute, these very same debates so that they would not become hindrances to the building of the Israeli state and society and thus frustrate the goal of establishing a free Jewish life" (5).</w:t>
      </w:r>
      <w:r w:rsidR="00632618">
        <w:rPr>
          <w:rFonts w:hint="cs"/>
          <w:rtl/>
          <w:lang w:bidi="he-IL"/>
        </w:rPr>
        <w:t xml:space="preserve"> מסקנתו של המחבר היא כי </w:t>
      </w:r>
      <w:r w:rsidR="005A6693">
        <w:rPr>
          <w:rFonts w:hint="cs"/>
          <w:rtl/>
          <w:lang w:bidi="he-IL"/>
        </w:rPr>
        <w:t xml:space="preserve">לא זו בלבד שמוסדות המשפט הישראלי </w:t>
      </w:r>
      <w:r w:rsidR="005A6693">
        <w:rPr>
          <w:rtl/>
          <w:lang w:bidi="he-IL"/>
        </w:rPr>
        <w:t>–</w:t>
      </w:r>
      <w:r w:rsidR="005A6693">
        <w:rPr>
          <w:rFonts w:hint="cs"/>
          <w:rtl/>
          <w:lang w:bidi="he-IL"/>
        </w:rPr>
        <w:t xml:space="preserve"> בדיוק כמו מוסדות התנועה הציונית והישוב היהודי </w:t>
      </w:r>
      <w:r w:rsidR="005A6693">
        <w:rPr>
          <w:rtl/>
          <w:lang w:bidi="he-IL"/>
        </w:rPr>
        <w:t>–</w:t>
      </w:r>
      <w:r w:rsidR="005A6693">
        <w:rPr>
          <w:rFonts w:hint="cs"/>
          <w:rtl/>
          <w:lang w:bidi="he-IL"/>
        </w:rPr>
        <w:t xml:space="preserve"> נמנעו מלהכריע </w:t>
      </w:r>
      <w:r w:rsidR="00472DA2">
        <w:rPr>
          <w:rFonts w:hint="cs"/>
          <w:rtl/>
          <w:lang w:bidi="he-IL"/>
        </w:rPr>
        <w:t xml:space="preserve">בשאלות של זהות ותרבות, בהיותן </w:t>
      </w:r>
      <w:r w:rsidR="005A6693">
        <w:rPr>
          <w:rFonts w:hint="cs"/>
          <w:rtl/>
          <w:lang w:bidi="he-IL"/>
        </w:rPr>
        <w:t xml:space="preserve">שנויות במחלוקת עמוקה בחברה הישראלית, אלא שלמעשה אין להם את הכלים לדון בשאלות אלו, ולכן אין זה ראוי כלל כי הן תוכרענה בזירה המשפטית דווקא. </w:t>
      </w:r>
      <w:r w:rsidR="009E0A75">
        <w:rPr>
          <w:rFonts w:hint="cs"/>
          <w:rtl/>
          <w:lang w:bidi="he-IL"/>
        </w:rPr>
        <w:t>אך בכך אין כדי לומר שהמשפט הישראל</w:t>
      </w:r>
      <w:r w:rsidR="00472DA2">
        <w:rPr>
          <w:rFonts w:hint="cs"/>
          <w:rtl/>
          <w:lang w:bidi="he-IL"/>
        </w:rPr>
        <w:t xml:space="preserve">י הוא אינו לאומי או אינו יהודי. </w:t>
      </w:r>
      <w:r w:rsidR="009E0A75">
        <w:rPr>
          <w:rFonts w:hint="cs"/>
          <w:rtl/>
          <w:lang w:bidi="he-IL"/>
        </w:rPr>
        <w:t xml:space="preserve">ההיפך הוא הנכון. </w:t>
      </w:r>
      <w:r w:rsidR="00472DA2">
        <w:rPr>
          <w:rFonts w:hint="cs"/>
          <w:rtl/>
          <w:lang w:bidi="he-IL"/>
        </w:rPr>
        <w:t>לשיטת המחבר</w:t>
      </w:r>
      <w:r w:rsidR="00FA0A7A">
        <w:rPr>
          <w:rFonts w:hint="cs"/>
          <w:rtl/>
          <w:lang w:bidi="he-IL"/>
        </w:rPr>
        <w:t xml:space="preserve">, </w:t>
      </w:r>
      <w:r w:rsidR="00472DA2">
        <w:rPr>
          <w:rFonts w:hint="cs"/>
          <w:rtl/>
          <w:lang w:bidi="he-IL"/>
        </w:rPr>
        <w:t>היווצרותה</w:t>
      </w:r>
      <w:r w:rsidR="009E0A75">
        <w:rPr>
          <w:rFonts w:hint="cs"/>
          <w:rtl/>
          <w:lang w:bidi="he-IL"/>
        </w:rPr>
        <w:t xml:space="preserve"> </w:t>
      </w:r>
      <w:r w:rsidR="00472DA2">
        <w:rPr>
          <w:rFonts w:hint="cs"/>
          <w:rtl/>
          <w:lang w:bidi="he-IL"/>
        </w:rPr>
        <w:t xml:space="preserve">של שיטת המשפט במדינת ישראל - </w:t>
      </w:r>
      <w:r w:rsidR="009E0A75">
        <w:rPr>
          <w:rFonts w:hint="cs"/>
          <w:rtl/>
          <w:lang w:bidi="he-IL"/>
        </w:rPr>
        <w:t xml:space="preserve">מדינת הלאום של </w:t>
      </w:r>
      <w:r w:rsidR="00472DA2">
        <w:rPr>
          <w:rFonts w:hint="cs"/>
          <w:rtl/>
          <w:lang w:bidi="he-IL"/>
        </w:rPr>
        <w:t xml:space="preserve">העם </w:t>
      </w:r>
      <w:r w:rsidR="009E0A75">
        <w:rPr>
          <w:rFonts w:hint="cs"/>
          <w:rtl/>
          <w:lang w:bidi="he-IL"/>
        </w:rPr>
        <w:t>היהודי, בשפה העברית,</w:t>
      </w:r>
      <w:r w:rsidR="00DD1D6A">
        <w:rPr>
          <w:rFonts w:hint="cs"/>
          <w:rtl/>
          <w:lang w:bidi="he-IL"/>
        </w:rPr>
        <w:t xml:space="preserve"> על ידי אזרחים </w:t>
      </w:r>
      <w:r w:rsidR="00FA0A7A">
        <w:rPr>
          <w:rFonts w:hint="cs"/>
          <w:rtl/>
          <w:lang w:bidi="he-IL"/>
        </w:rPr>
        <w:t xml:space="preserve">ישראלים, </w:t>
      </w:r>
      <w:r w:rsidR="009E0A75">
        <w:rPr>
          <w:rFonts w:hint="cs"/>
          <w:rtl/>
          <w:lang w:bidi="he-IL"/>
        </w:rPr>
        <w:t>בסביבה תרבותית התואמת את צרכיהם</w:t>
      </w:r>
      <w:r w:rsidR="00817051">
        <w:rPr>
          <w:rFonts w:hint="cs"/>
          <w:rtl/>
          <w:lang w:bidi="he-IL"/>
        </w:rPr>
        <w:t>, האינטרסים שלהם</w:t>
      </w:r>
      <w:r w:rsidR="00DD1D6A">
        <w:rPr>
          <w:rFonts w:hint="cs"/>
          <w:rtl/>
          <w:lang w:bidi="he-IL"/>
        </w:rPr>
        <w:t xml:space="preserve"> והערכים שבהם הם דוגלים</w:t>
      </w:r>
      <w:r w:rsidR="009E0A75">
        <w:rPr>
          <w:rFonts w:hint="cs"/>
          <w:rtl/>
          <w:lang w:bidi="he-IL"/>
        </w:rPr>
        <w:t xml:space="preserve"> </w:t>
      </w:r>
      <w:r w:rsidR="009E0A75">
        <w:rPr>
          <w:rtl/>
          <w:lang w:bidi="he-IL"/>
        </w:rPr>
        <w:t>–</w:t>
      </w:r>
      <w:r w:rsidR="009E0A75">
        <w:rPr>
          <w:rFonts w:hint="cs"/>
          <w:rtl/>
          <w:lang w:bidi="he-IL"/>
        </w:rPr>
        <w:t xml:space="preserve"> היא </w:t>
      </w:r>
      <w:r w:rsidR="00472DA2">
        <w:rPr>
          <w:rFonts w:hint="cs"/>
          <w:rtl/>
          <w:lang w:bidi="he-IL"/>
        </w:rPr>
        <w:t xml:space="preserve">שמייחדת אותה </w:t>
      </w:r>
      <w:r w:rsidR="009E0A75">
        <w:rPr>
          <w:rFonts w:hint="cs"/>
          <w:rtl/>
          <w:lang w:bidi="he-IL"/>
        </w:rPr>
        <w:t xml:space="preserve">כ"משפט ישראלי". </w:t>
      </w:r>
    </w:p>
    <w:p w14:paraId="283A1834" w14:textId="77777777" w:rsidR="007857FF" w:rsidRDefault="007857FF" w:rsidP="007857FF">
      <w:pPr>
        <w:rPr>
          <w:rtl/>
          <w:lang w:bidi="he-IL"/>
        </w:rPr>
      </w:pPr>
    </w:p>
    <w:p w14:paraId="7A27A39B" w14:textId="21475F32" w:rsidR="00817051" w:rsidRPr="00897AED" w:rsidRDefault="00571130" w:rsidP="00897AED">
      <w:pPr>
        <w:ind w:firstLine="720"/>
        <w:rPr>
          <w:rFonts w:asciiTheme="minorHAnsi" w:hAnsiTheme="minorHAnsi"/>
          <w:rtl/>
          <w:lang w:bidi="he-IL"/>
        </w:rPr>
      </w:pPr>
      <w:r>
        <w:rPr>
          <w:rFonts w:hint="cs"/>
          <w:rtl/>
          <w:lang w:bidi="he-IL"/>
        </w:rPr>
        <w:t xml:space="preserve">את מסקנתו זו תומך המחבר </w:t>
      </w:r>
      <w:r w:rsidR="00472DA2">
        <w:rPr>
          <w:rFonts w:hint="cs"/>
          <w:rtl/>
          <w:lang w:bidi="he-IL"/>
        </w:rPr>
        <w:t>ב</w:t>
      </w:r>
      <w:r w:rsidR="00333210">
        <w:rPr>
          <w:rFonts w:hint="cs"/>
          <w:rtl/>
          <w:lang w:bidi="he-IL"/>
        </w:rPr>
        <w:t>סקירה היסטורית</w:t>
      </w:r>
      <w:r w:rsidR="007857FF">
        <w:rPr>
          <w:rFonts w:hint="cs"/>
          <w:rtl/>
          <w:lang w:bidi="he-IL"/>
        </w:rPr>
        <w:t>, לאורך פרקי הספר,</w:t>
      </w:r>
      <w:r w:rsidR="00333210">
        <w:rPr>
          <w:rFonts w:hint="cs"/>
          <w:rtl/>
          <w:lang w:bidi="he-IL"/>
        </w:rPr>
        <w:t xml:space="preserve"> של</w:t>
      </w:r>
      <w:r>
        <w:rPr>
          <w:rFonts w:hint="cs"/>
          <w:rtl/>
          <w:lang w:bidi="he-IL"/>
        </w:rPr>
        <w:t xml:space="preserve"> הנ</w:t>
      </w:r>
      <w:r w:rsidR="001D5878">
        <w:rPr>
          <w:rFonts w:hint="cs"/>
          <w:rtl/>
          <w:lang w:bidi="he-IL"/>
        </w:rPr>
        <w:t>י</w:t>
      </w:r>
      <w:r>
        <w:rPr>
          <w:rFonts w:hint="cs"/>
          <w:rtl/>
          <w:lang w:bidi="he-IL"/>
        </w:rPr>
        <w:t xml:space="preserve">סיונות לבטא את </w:t>
      </w:r>
      <w:r w:rsidR="00333210">
        <w:rPr>
          <w:rFonts w:hint="cs"/>
          <w:rtl/>
          <w:lang w:bidi="he-IL"/>
        </w:rPr>
        <w:t>"</w:t>
      </w:r>
      <w:commentRangeStart w:id="1"/>
      <w:r w:rsidR="00333210">
        <w:rPr>
          <w:rFonts w:hint="cs"/>
          <w:rtl/>
          <w:lang w:bidi="he-IL"/>
        </w:rPr>
        <w:t>ישראליותו</w:t>
      </w:r>
      <w:commentRangeEnd w:id="1"/>
      <w:r w:rsidR="00DD1D6A">
        <w:rPr>
          <w:rStyle w:val="CommentReference"/>
          <w:rtl/>
        </w:rPr>
        <w:commentReference w:id="1"/>
      </w:r>
      <w:r w:rsidR="00333210">
        <w:rPr>
          <w:rFonts w:hint="cs"/>
          <w:rtl/>
          <w:lang w:bidi="he-IL"/>
        </w:rPr>
        <w:t>" של המשפט הישראלי החל מראשית ימי הציונות ועד לימינו אנו</w:t>
      </w:r>
      <w:r w:rsidR="007857FF">
        <w:rPr>
          <w:rFonts w:hint="cs"/>
          <w:rtl/>
          <w:lang w:bidi="he-IL"/>
        </w:rPr>
        <w:t xml:space="preserve">, אם באמצעות יציקת תוכן יהודי-עברי </w:t>
      </w:r>
      <w:r w:rsidR="00FA0A7A">
        <w:rPr>
          <w:rFonts w:hint="cs"/>
          <w:rtl/>
          <w:lang w:bidi="he-IL"/>
        </w:rPr>
        <w:t xml:space="preserve">למשפט </w:t>
      </w:r>
      <w:r w:rsidR="007857FF">
        <w:rPr>
          <w:rFonts w:hint="cs"/>
          <w:rtl/>
          <w:lang w:bidi="he-IL"/>
        </w:rPr>
        <w:t xml:space="preserve">ואם באמצעות הכללת רכיבים תרבותיים ולאומיים </w:t>
      </w:r>
      <w:r w:rsidR="008148BD">
        <w:rPr>
          <w:rFonts w:hint="cs"/>
          <w:rtl/>
          <w:lang w:bidi="he-IL"/>
        </w:rPr>
        <w:t>בחקיקה</w:t>
      </w:r>
      <w:r w:rsidR="007857FF">
        <w:rPr>
          <w:rFonts w:hint="cs"/>
          <w:rtl/>
          <w:lang w:bidi="he-IL"/>
        </w:rPr>
        <w:t>.</w:t>
      </w:r>
      <w:r w:rsidR="007F5CB7">
        <w:rPr>
          <w:rFonts w:hint="cs"/>
          <w:rtl/>
          <w:lang w:bidi="he-IL"/>
        </w:rPr>
        <w:t xml:space="preserve"> </w:t>
      </w:r>
      <w:r w:rsidR="007F5CB7" w:rsidRPr="00472DA2">
        <w:rPr>
          <w:rFonts w:hint="cs"/>
          <w:b/>
          <w:bCs/>
          <w:rtl/>
          <w:lang w:bidi="he-IL"/>
        </w:rPr>
        <w:t xml:space="preserve">חלקו </w:t>
      </w:r>
      <w:r w:rsidR="00C30814" w:rsidRPr="00472DA2">
        <w:rPr>
          <w:rFonts w:hint="cs"/>
          <w:b/>
          <w:bCs/>
          <w:rtl/>
          <w:lang w:bidi="he-IL"/>
        </w:rPr>
        <w:t>הראשון</w:t>
      </w:r>
      <w:r w:rsidR="00C30814">
        <w:rPr>
          <w:rFonts w:hint="cs"/>
          <w:rtl/>
          <w:lang w:bidi="he-IL"/>
        </w:rPr>
        <w:t xml:space="preserve"> של הספר </w:t>
      </w:r>
      <w:r w:rsidR="00472DA2">
        <w:rPr>
          <w:rFonts w:hint="cs"/>
          <w:rtl/>
          <w:lang w:bidi="he-IL"/>
        </w:rPr>
        <w:t>(פרקים 6-1) מתאר</w:t>
      </w:r>
      <w:r w:rsidR="00C30814">
        <w:rPr>
          <w:rFonts w:hint="cs"/>
          <w:rtl/>
          <w:lang w:bidi="he-IL"/>
        </w:rPr>
        <w:t xml:space="preserve"> את המאמצים לייסוד שיטת משפט לאומית-יהודית-ישראלית סדורה</w:t>
      </w:r>
      <w:r w:rsidR="008148BD">
        <w:rPr>
          <w:rFonts w:hint="cs"/>
          <w:rtl/>
          <w:lang w:bidi="he-IL"/>
        </w:rPr>
        <w:t>. מבחינה כרונולוגית, ניתן לחלק את אותם נ</w:t>
      </w:r>
      <w:r w:rsidR="001D5878">
        <w:rPr>
          <w:rFonts w:hint="cs"/>
          <w:rtl/>
          <w:lang w:bidi="he-IL"/>
        </w:rPr>
        <w:t>י</w:t>
      </w:r>
      <w:r w:rsidR="008148BD">
        <w:rPr>
          <w:rFonts w:hint="cs"/>
          <w:rtl/>
          <w:lang w:bidi="he-IL"/>
        </w:rPr>
        <w:t>סיונות המתוארים בפרקים הללו לשלוש תקופות: ראשית ימיה של ה</w:t>
      </w:r>
      <w:r w:rsidR="00C30814">
        <w:rPr>
          <w:rFonts w:hint="cs"/>
          <w:rtl/>
          <w:lang w:bidi="he-IL"/>
        </w:rPr>
        <w:t>תנועה הציונית</w:t>
      </w:r>
      <w:r w:rsidR="008148BD">
        <w:rPr>
          <w:rFonts w:hint="cs"/>
          <w:rtl/>
          <w:lang w:bidi="he-IL"/>
        </w:rPr>
        <w:t xml:space="preserve">, </w:t>
      </w:r>
      <w:r w:rsidR="00C30814">
        <w:rPr>
          <w:rFonts w:hint="cs"/>
          <w:rtl/>
          <w:lang w:bidi="he-IL"/>
        </w:rPr>
        <w:t>ת</w:t>
      </w:r>
      <w:r w:rsidR="008148BD">
        <w:rPr>
          <w:rFonts w:hint="cs"/>
          <w:rtl/>
          <w:lang w:bidi="he-IL"/>
        </w:rPr>
        <w:t>קופת הישוב וה</w:t>
      </w:r>
      <w:r w:rsidR="00C30814">
        <w:rPr>
          <w:rFonts w:hint="cs"/>
          <w:rtl/>
          <w:lang w:bidi="he-IL"/>
        </w:rPr>
        <w:t>עשור</w:t>
      </w:r>
      <w:r w:rsidR="008148BD">
        <w:rPr>
          <w:rFonts w:hint="cs"/>
          <w:rtl/>
          <w:lang w:bidi="he-IL"/>
        </w:rPr>
        <w:t>ים הראשונים</w:t>
      </w:r>
      <w:r w:rsidR="00C30814">
        <w:rPr>
          <w:rFonts w:hint="cs"/>
          <w:rtl/>
          <w:lang w:bidi="he-IL"/>
        </w:rPr>
        <w:t xml:space="preserve"> לקיומה של מדינת ישראל. </w:t>
      </w:r>
      <w:r w:rsidR="00A53EC4" w:rsidRPr="00472DA2">
        <w:rPr>
          <w:rFonts w:hint="cs"/>
          <w:b/>
          <w:bCs/>
          <w:rtl/>
          <w:lang w:bidi="he-IL"/>
        </w:rPr>
        <w:t>חלקו השני</w:t>
      </w:r>
      <w:r w:rsidR="00A53EC4">
        <w:rPr>
          <w:rFonts w:hint="cs"/>
          <w:rtl/>
          <w:lang w:bidi="he-IL"/>
        </w:rPr>
        <w:t xml:space="preserve"> של הספר (פרקים 8-7) עוסק בחזרת שיח הזהות למשפט הישראלי</w:t>
      </w:r>
      <w:r w:rsidR="00B5363D">
        <w:rPr>
          <w:rFonts w:hint="cs"/>
          <w:rtl/>
          <w:lang w:bidi="he-IL"/>
        </w:rPr>
        <w:t xml:space="preserve"> בשנות השמונים של המאה העשרים</w:t>
      </w:r>
      <w:r w:rsidR="00A53EC4">
        <w:rPr>
          <w:rFonts w:hint="cs"/>
          <w:rtl/>
          <w:lang w:bidi="he-IL"/>
        </w:rPr>
        <w:t xml:space="preserve">, ובביטוי שנמצא לכך בחקיקת </w:t>
      </w:r>
      <w:r w:rsidR="00B5363D">
        <w:rPr>
          <w:lang w:bidi="he-IL"/>
        </w:rPr>
        <w:t>the Foundations of Law Act of 1980</w:t>
      </w:r>
      <w:r w:rsidR="00B5363D">
        <w:rPr>
          <w:rFonts w:hint="cs"/>
          <w:rtl/>
          <w:lang w:bidi="he-IL"/>
        </w:rPr>
        <w:t xml:space="preserve">. בקשר לכך מתאר המחבר את </w:t>
      </w:r>
      <w:r w:rsidR="00A53EC4">
        <w:rPr>
          <w:rFonts w:hint="cs"/>
          <w:rtl/>
          <w:lang w:bidi="he-IL"/>
        </w:rPr>
        <w:t>נ</w:t>
      </w:r>
      <w:r w:rsidR="001D5878">
        <w:rPr>
          <w:rFonts w:hint="cs"/>
          <w:rtl/>
          <w:lang w:bidi="he-IL"/>
        </w:rPr>
        <w:t>י</w:t>
      </w:r>
      <w:r w:rsidR="00A53EC4">
        <w:rPr>
          <w:rFonts w:hint="cs"/>
          <w:rtl/>
          <w:lang w:bidi="he-IL"/>
        </w:rPr>
        <w:t xml:space="preserve">סיונות המחוקק לבסס את המשפט הישראלי על תוכן יהודי ועל מקורות המשפט העברי, </w:t>
      </w:r>
      <w:r w:rsidR="00897AED">
        <w:rPr>
          <w:rFonts w:hint="cs"/>
          <w:rtl/>
          <w:lang w:bidi="he-IL"/>
        </w:rPr>
        <w:t xml:space="preserve">ואת </w:t>
      </w:r>
      <w:r w:rsidR="001D5878">
        <w:rPr>
          <w:rFonts w:hint="cs"/>
          <w:rtl/>
          <w:lang w:bidi="he-IL"/>
        </w:rPr>
        <w:t>ה</w:t>
      </w:r>
      <w:r w:rsidR="00B5363D">
        <w:rPr>
          <w:rFonts w:hint="cs"/>
          <w:rtl/>
          <w:lang w:bidi="he-IL"/>
        </w:rPr>
        <w:t xml:space="preserve">ביטוי המעשי שנמצא </w:t>
      </w:r>
      <w:proofErr w:type="spellStart"/>
      <w:r w:rsidR="00B5363D">
        <w:rPr>
          <w:rFonts w:hint="cs"/>
          <w:rtl/>
          <w:lang w:bidi="he-IL"/>
        </w:rPr>
        <w:t>ל</w:t>
      </w:r>
      <w:r w:rsidR="00817051">
        <w:rPr>
          <w:rFonts w:hint="cs"/>
          <w:rtl/>
          <w:lang w:bidi="he-IL"/>
        </w:rPr>
        <w:t>מימד</w:t>
      </w:r>
      <w:proofErr w:type="spellEnd"/>
      <w:r w:rsidR="00817051">
        <w:rPr>
          <w:rFonts w:hint="cs"/>
          <w:rtl/>
          <w:lang w:bidi="he-IL"/>
        </w:rPr>
        <w:t xml:space="preserve"> ההצהרתי של </w:t>
      </w:r>
      <w:r w:rsidR="00B5363D">
        <w:rPr>
          <w:rFonts w:hint="cs"/>
          <w:rtl/>
          <w:lang w:bidi="he-IL"/>
        </w:rPr>
        <w:t xml:space="preserve">חוק זה (או </w:t>
      </w:r>
      <w:r w:rsidR="00B5363D">
        <w:rPr>
          <w:rFonts w:hint="cs"/>
          <w:rtl/>
          <w:lang w:bidi="he-IL"/>
        </w:rPr>
        <w:lastRenderedPageBreak/>
        <w:t>ליתר דיוק</w:t>
      </w:r>
      <w:r w:rsidR="001D5878">
        <w:rPr>
          <w:rFonts w:hint="cs"/>
          <w:rtl/>
          <w:lang w:bidi="he-IL"/>
        </w:rPr>
        <w:t>,</w:t>
      </w:r>
      <w:r w:rsidR="00B5363D">
        <w:rPr>
          <w:rFonts w:hint="cs"/>
          <w:rtl/>
          <w:lang w:bidi="he-IL"/>
        </w:rPr>
        <w:t xml:space="preserve"> היעדרו)</w:t>
      </w:r>
      <w:r w:rsidR="00A53EC4">
        <w:rPr>
          <w:rFonts w:hint="cs"/>
          <w:rtl/>
          <w:lang w:bidi="he-IL"/>
        </w:rPr>
        <w:t xml:space="preserve"> </w:t>
      </w:r>
      <w:r w:rsidR="00B5363D">
        <w:rPr>
          <w:rFonts w:hint="cs"/>
          <w:rtl/>
          <w:lang w:bidi="he-IL"/>
        </w:rPr>
        <w:t xml:space="preserve">בפסיקתם </w:t>
      </w:r>
      <w:r w:rsidR="00A53EC4">
        <w:rPr>
          <w:rFonts w:hint="cs"/>
          <w:rtl/>
          <w:lang w:bidi="he-IL"/>
        </w:rPr>
        <w:t>של בתי המשפט בישראל</w:t>
      </w:r>
      <w:r w:rsidR="00B5363D">
        <w:rPr>
          <w:rFonts w:hint="cs"/>
          <w:rtl/>
          <w:lang w:bidi="he-IL"/>
        </w:rPr>
        <w:t xml:space="preserve">. </w:t>
      </w:r>
      <w:r w:rsidR="00B5363D" w:rsidRPr="001D5878">
        <w:rPr>
          <w:rFonts w:hint="cs"/>
          <w:rtl/>
          <w:lang w:bidi="he-IL"/>
        </w:rPr>
        <w:t>ב</w:t>
      </w:r>
      <w:r w:rsidR="00B5363D" w:rsidRPr="001D5878">
        <w:rPr>
          <w:rFonts w:hint="cs"/>
          <w:b/>
          <w:bCs/>
          <w:rtl/>
          <w:lang w:bidi="he-IL"/>
        </w:rPr>
        <w:t>חלקו השלישי</w:t>
      </w:r>
      <w:r w:rsidR="00B5363D">
        <w:rPr>
          <w:rFonts w:hint="cs"/>
          <w:rtl/>
          <w:lang w:bidi="he-IL"/>
        </w:rPr>
        <w:t xml:space="preserve"> </w:t>
      </w:r>
      <w:r w:rsidR="00FB1FBE">
        <w:rPr>
          <w:rFonts w:hint="cs"/>
          <w:rtl/>
          <w:lang w:bidi="he-IL"/>
        </w:rPr>
        <w:t xml:space="preserve">והמסכם </w:t>
      </w:r>
      <w:r w:rsidR="00B5363D">
        <w:rPr>
          <w:rFonts w:hint="cs"/>
          <w:rtl/>
          <w:lang w:bidi="he-IL"/>
        </w:rPr>
        <w:t xml:space="preserve">של הספר (פרקים 10-9) </w:t>
      </w:r>
      <w:r w:rsidR="001F5014">
        <w:rPr>
          <w:rFonts w:hint="cs"/>
          <w:rtl/>
          <w:lang w:bidi="he-IL"/>
        </w:rPr>
        <w:t xml:space="preserve">נוטש המחבר את התמה הכרונולוגית, </w:t>
      </w:r>
      <w:r w:rsidR="001F5014">
        <w:rPr>
          <w:lang w:bidi="he-IL"/>
        </w:rPr>
        <w:t>and examines Zionism's complex relationship with the question of culture and the complex interaction between Israel law and Jewish heritage.</w:t>
      </w:r>
      <w:r w:rsidR="001F5014">
        <w:rPr>
          <w:rFonts w:hint="cs"/>
          <w:rtl/>
          <w:lang w:bidi="he-IL"/>
        </w:rPr>
        <w:t xml:space="preserve"> </w:t>
      </w:r>
      <w:r w:rsidR="005A3C24">
        <w:rPr>
          <w:rFonts w:hint="cs"/>
          <w:rtl/>
          <w:lang w:bidi="he-IL"/>
        </w:rPr>
        <w:t xml:space="preserve">מסקנתם של פרקים אלו, ולמעשה של הספר כולו, היא כי </w:t>
      </w:r>
      <w:r w:rsidR="007857FF">
        <w:rPr>
          <w:rFonts w:hint="cs"/>
          <w:rtl/>
          <w:lang w:bidi="he-IL"/>
        </w:rPr>
        <w:t xml:space="preserve">הגם שבמבחן התוצאה </w:t>
      </w:r>
      <w:r w:rsidR="005A3C24">
        <w:rPr>
          <w:rFonts w:hint="cs"/>
          <w:rtl/>
          <w:lang w:bidi="he-IL"/>
        </w:rPr>
        <w:t>ה</w:t>
      </w:r>
      <w:r w:rsidR="007857FF">
        <w:rPr>
          <w:rFonts w:hint="cs"/>
          <w:rtl/>
          <w:lang w:bidi="he-IL"/>
        </w:rPr>
        <w:t>נ</w:t>
      </w:r>
      <w:r w:rsidR="001D5878">
        <w:rPr>
          <w:rFonts w:hint="cs"/>
          <w:rtl/>
          <w:lang w:bidi="he-IL"/>
        </w:rPr>
        <w:t>י</w:t>
      </w:r>
      <w:r w:rsidR="007857FF">
        <w:rPr>
          <w:rFonts w:hint="cs"/>
          <w:rtl/>
          <w:lang w:bidi="he-IL"/>
        </w:rPr>
        <w:t>סיונות</w:t>
      </w:r>
      <w:r w:rsidR="005A3C24">
        <w:rPr>
          <w:rFonts w:hint="cs"/>
          <w:rtl/>
          <w:lang w:bidi="he-IL"/>
        </w:rPr>
        <w:t xml:space="preserve"> הנקודתיים ליצוק תוכן המבוסס על עקרונות המשפט העברי</w:t>
      </w:r>
      <w:r w:rsidR="007857FF">
        <w:rPr>
          <w:rFonts w:hint="cs"/>
          <w:rtl/>
          <w:lang w:bidi="he-IL"/>
        </w:rPr>
        <w:t xml:space="preserve"> </w:t>
      </w:r>
      <w:r w:rsidR="005A3C24">
        <w:rPr>
          <w:rFonts w:hint="cs"/>
          <w:rtl/>
          <w:lang w:bidi="he-IL"/>
        </w:rPr>
        <w:t xml:space="preserve">ומערכת הערכים של האמונה היהודית אל תוך המשפט הישראלי </w:t>
      </w:r>
      <w:r w:rsidR="007857FF">
        <w:rPr>
          <w:rFonts w:hint="cs"/>
          <w:rtl/>
          <w:lang w:bidi="he-IL"/>
        </w:rPr>
        <w:t>נכשלו</w:t>
      </w:r>
      <w:r w:rsidR="00DD1D6A">
        <w:rPr>
          <w:rFonts w:hint="cs"/>
          <w:rtl/>
          <w:lang w:bidi="he-IL"/>
        </w:rPr>
        <w:t xml:space="preserve"> ברובם</w:t>
      </w:r>
      <w:r w:rsidR="00E56784">
        <w:rPr>
          <w:rFonts w:hint="cs"/>
          <w:rtl/>
          <w:lang w:bidi="he-IL"/>
        </w:rPr>
        <w:t xml:space="preserve">, </w:t>
      </w:r>
      <w:r w:rsidR="005A3C24">
        <w:rPr>
          <w:rFonts w:hint="cs"/>
          <w:rtl/>
          <w:lang w:bidi="he-IL"/>
        </w:rPr>
        <w:t xml:space="preserve">בסופו של דבר </w:t>
      </w:r>
      <w:r w:rsidR="00E56784">
        <w:rPr>
          <w:rFonts w:hint="cs"/>
          <w:rtl/>
          <w:lang w:bidi="he-IL"/>
        </w:rPr>
        <w:t xml:space="preserve">המשפט הישראלי </w:t>
      </w:r>
      <w:r w:rsidR="005A3C24">
        <w:rPr>
          <w:rFonts w:hint="cs"/>
          <w:rtl/>
          <w:lang w:bidi="he-IL"/>
        </w:rPr>
        <w:t xml:space="preserve">משמש </w:t>
      </w:r>
      <w:r w:rsidR="00753969">
        <w:rPr>
          <w:rFonts w:hint="cs"/>
          <w:rtl/>
          <w:lang w:bidi="he-IL"/>
        </w:rPr>
        <w:t>כ-</w:t>
      </w:r>
      <w:r w:rsidR="00E56784">
        <w:rPr>
          <w:lang w:bidi="he-IL"/>
        </w:rPr>
        <w:t xml:space="preserve">Lieu de </w:t>
      </w:r>
      <w:proofErr w:type="spellStart"/>
      <w:r w:rsidR="00E56784">
        <w:rPr>
          <w:lang w:bidi="he-IL"/>
        </w:rPr>
        <w:t>M</w:t>
      </w:r>
      <w:r w:rsidR="00FA0A7A">
        <w:t>é</w:t>
      </w:r>
      <w:r w:rsidR="00E56784">
        <w:rPr>
          <w:lang w:bidi="he-IL"/>
        </w:rPr>
        <w:t>moire</w:t>
      </w:r>
      <w:proofErr w:type="spellEnd"/>
      <w:r w:rsidR="00753969">
        <w:rPr>
          <w:rFonts w:hint="cs"/>
          <w:rtl/>
          <w:lang w:bidi="he-IL"/>
        </w:rPr>
        <w:t xml:space="preserve">, בלשונו של </w:t>
      </w:r>
      <w:r w:rsidR="00753969">
        <w:rPr>
          <w:lang w:bidi="he-IL"/>
        </w:rPr>
        <w:t>Pierre Nora</w:t>
      </w:r>
      <w:r w:rsidR="00753969">
        <w:rPr>
          <w:rFonts w:hint="cs"/>
          <w:rtl/>
          <w:lang w:bidi="he-IL"/>
        </w:rPr>
        <w:t>,</w:t>
      </w:r>
      <w:r w:rsidR="005A3C24">
        <w:rPr>
          <w:rFonts w:hint="cs"/>
          <w:rtl/>
          <w:lang w:bidi="he-IL"/>
        </w:rPr>
        <w:t xml:space="preserve"> למורשת היהודית</w:t>
      </w:r>
      <w:r w:rsidR="00753969">
        <w:rPr>
          <w:rFonts w:hint="cs"/>
          <w:rtl/>
          <w:lang w:bidi="he-IL"/>
        </w:rPr>
        <w:t xml:space="preserve"> (186)</w:t>
      </w:r>
      <w:r w:rsidR="005A3C24">
        <w:rPr>
          <w:rFonts w:hint="cs"/>
          <w:rtl/>
          <w:lang w:bidi="he-IL"/>
        </w:rPr>
        <w:t>. זאת,</w:t>
      </w:r>
      <w:r w:rsidR="00E56784">
        <w:rPr>
          <w:rFonts w:hint="cs"/>
          <w:rtl/>
          <w:lang w:bidi="he-IL"/>
        </w:rPr>
        <w:t xml:space="preserve"> בין היתר באמצעות קליטתם של </w:t>
      </w:r>
      <w:r w:rsidR="005A3C24">
        <w:rPr>
          <w:rFonts w:hint="cs"/>
          <w:rtl/>
          <w:lang w:bidi="he-IL"/>
        </w:rPr>
        <w:t>סמלים, מושגים ונורמות השאובים</w:t>
      </w:r>
      <w:r w:rsidR="00E56784">
        <w:rPr>
          <w:rFonts w:hint="cs"/>
          <w:rtl/>
          <w:lang w:bidi="he-IL"/>
        </w:rPr>
        <w:t xml:space="preserve"> </w:t>
      </w:r>
      <w:r w:rsidR="00753969">
        <w:rPr>
          <w:rFonts w:hint="cs"/>
          <w:rtl/>
          <w:lang w:bidi="he-IL"/>
        </w:rPr>
        <w:t>ממנה</w:t>
      </w:r>
      <w:r w:rsidR="005A3C24">
        <w:rPr>
          <w:rFonts w:hint="cs"/>
          <w:rtl/>
          <w:lang w:bidi="he-IL"/>
        </w:rPr>
        <w:t xml:space="preserve"> </w:t>
      </w:r>
      <w:r w:rsidR="00E56784">
        <w:rPr>
          <w:rFonts w:hint="cs"/>
          <w:rtl/>
          <w:lang w:bidi="he-IL"/>
        </w:rPr>
        <w:t>אל תוך המשפט הישראלי</w:t>
      </w:r>
      <w:r w:rsidR="005A3C24">
        <w:rPr>
          <w:rFonts w:hint="cs"/>
          <w:rtl/>
          <w:lang w:bidi="he-IL"/>
        </w:rPr>
        <w:t xml:space="preserve">, כמו גם </w:t>
      </w:r>
      <w:r w:rsidR="005A3C24">
        <w:rPr>
          <w:rtl/>
          <w:lang w:bidi="he-IL"/>
        </w:rPr>
        <w:t>–</w:t>
      </w:r>
      <w:r w:rsidR="005A3C24">
        <w:rPr>
          <w:rFonts w:hint="cs"/>
          <w:rtl/>
          <w:lang w:bidi="he-IL"/>
        </w:rPr>
        <w:t xml:space="preserve"> ואולי בעיקר </w:t>
      </w:r>
      <w:r w:rsidR="005A3C24">
        <w:rPr>
          <w:rtl/>
          <w:lang w:bidi="he-IL"/>
        </w:rPr>
        <w:t>–</w:t>
      </w:r>
      <w:r w:rsidR="005A3C24">
        <w:rPr>
          <w:rFonts w:hint="cs"/>
          <w:rtl/>
          <w:lang w:bidi="he-IL"/>
        </w:rPr>
        <w:t xml:space="preserve"> באמצעות הקפדה על עצמאותו של המשפט הישראלי</w:t>
      </w:r>
      <w:r w:rsidR="00E56784">
        <w:rPr>
          <w:rFonts w:hint="cs"/>
          <w:rtl/>
          <w:lang w:bidi="he-IL"/>
        </w:rPr>
        <w:t>.</w:t>
      </w:r>
      <w:r w:rsidR="005A3C24">
        <w:rPr>
          <w:rFonts w:hint="cs"/>
          <w:rtl/>
          <w:lang w:bidi="he-IL"/>
        </w:rPr>
        <w:t xml:space="preserve"> במובן זה מהווה המשפט הישראלי</w:t>
      </w:r>
      <w:r w:rsidR="00897AED">
        <w:rPr>
          <w:rFonts w:hint="cs"/>
          <w:rtl/>
          <w:lang w:bidi="he-IL"/>
        </w:rPr>
        <w:t xml:space="preserve"> כיום</w:t>
      </w:r>
      <w:r w:rsidR="00E2010E" w:rsidRPr="00E2010E">
        <w:rPr>
          <w:rFonts w:hint="cs"/>
          <w:rtl/>
          <w:lang w:bidi="he-IL"/>
        </w:rPr>
        <w:t xml:space="preserve"> </w:t>
      </w:r>
      <w:r w:rsidR="00817051">
        <w:rPr>
          <w:lang w:bidi="he-IL"/>
        </w:rPr>
        <w:t>the most important preserve of and monument to Jewish law" (197)</w:t>
      </w:r>
      <w:r w:rsidR="00897AED">
        <w:rPr>
          <w:rFonts w:hint="cs"/>
          <w:rtl/>
          <w:lang w:bidi="he-IL"/>
        </w:rPr>
        <w:t>".</w:t>
      </w:r>
    </w:p>
    <w:p w14:paraId="5EB7D8C2" w14:textId="1069D7D1" w:rsidR="00333210" w:rsidRDefault="00333210" w:rsidP="00333210">
      <w:pPr>
        <w:rPr>
          <w:rtl/>
          <w:lang w:bidi="he-IL"/>
        </w:rPr>
      </w:pPr>
    </w:p>
    <w:p w14:paraId="264F2DD6" w14:textId="77777777" w:rsidR="00897AED" w:rsidRDefault="009215DA" w:rsidP="00DB174A">
      <w:pPr>
        <w:ind w:firstLine="720"/>
        <w:rPr>
          <w:rtl/>
          <w:lang w:bidi="he-IL"/>
        </w:rPr>
      </w:pPr>
      <w:r>
        <w:rPr>
          <w:rFonts w:hint="cs"/>
          <w:rtl/>
          <w:lang w:bidi="he-IL"/>
        </w:rPr>
        <w:t xml:space="preserve">ספרו רחב-היריעה של קידר </w:t>
      </w:r>
      <w:r w:rsidR="00F83B4E">
        <w:rPr>
          <w:rFonts w:hint="cs"/>
          <w:rtl/>
          <w:lang w:bidi="he-IL"/>
        </w:rPr>
        <w:t>תורם תרומה חשובה</w:t>
      </w:r>
      <w:r>
        <w:rPr>
          <w:rFonts w:hint="cs"/>
          <w:rtl/>
          <w:lang w:bidi="he-IL"/>
        </w:rPr>
        <w:t xml:space="preserve"> להבנת </w:t>
      </w:r>
      <w:r w:rsidR="00601C69">
        <w:rPr>
          <w:rFonts w:hint="cs"/>
          <w:rtl/>
          <w:lang w:bidi="he-IL"/>
        </w:rPr>
        <w:t>השיח בדבר מקומן של שאלות הקשורות בתרבות ובזהות לאומית בתוך הזירה המשפטית בכלל, ובמקומם של הלאומיות היהודית, המשפט העברי והתרבות היהודית-ישראלית בהתפתחות המשפט הישראלי בפרט. בנ</w:t>
      </w:r>
      <w:r w:rsidR="00B96191">
        <w:rPr>
          <w:rFonts w:hint="cs"/>
          <w:rtl/>
          <w:lang w:bidi="he-IL"/>
        </w:rPr>
        <w:t>י</w:t>
      </w:r>
      <w:r w:rsidR="00601C69">
        <w:rPr>
          <w:rFonts w:hint="cs"/>
          <w:rtl/>
          <w:lang w:bidi="he-IL"/>
        </w:rPr>
        <w:t>סיון להראות כי מדובר בשיח עתיק יומין, קידר קושר בידי אמן בין אירועים משפטיים שונים</w:t>
      </w:r>
      <w:r w:rsidR="00FB1FBE">
        <w:rPr>
          <w:rFonts w:hint="cs"/>
          <w:rtl/>
          <w:lang w:bidi="he-IL"/>
        </w:rPr>
        <w:t xml:space="preserve"> לכדי נרטיב היסטורי אחד. קידר </w:t>
      </w:r>
      <w:r w:rsidR="00601C69">
        <w:rPr>
          <w:rFonts w:hint="cs"/>
          <w:rtl/>
          <w:lang w:bidi="he-IL"/>
        </w:rPr>
        <w:t xml:space="preserve">מראה כי בבסיס </w:t>
      </w:r>
      <w:r w:rsidR="00FB1FBE">
        <w:rPr>
          <w:rFonts w:hint="cs"/>
          <w:rtl/>
          <w:lang w:bidi="he-IL"/>
        </w:rPr>
        <w:t xml:space="preserve">האירועים </w:t>
      </w:r>
      <w:r w:rsidR="00601C69">
        <w:rPr>
          <w:rFonts w:hint="cs"/>
          <w:rtl/>
          <w:lang w:bidi="he-IL"/>
        </w:rPr>
        <w:t xml:space="preserve">כולם עמדה מטרה משותפת </w:t>
      </w:r>
      <w:r w:rsidR="00601C69">
        <w:rPr>
          <w:rtl/>
          <w:lang w:bidi="he-IL"/>
        </w:rPr>
        <w:t>–</w:t>
      </w:r>
      <w:r w:rsidR="00601C69">
        <w:rPr>
          <w:rFonts w:hint="cs"/>
          <w:rtl/>
          <w:lang w:bidi="he-IL"/>
        </w:rPr>
        <w:t xml:space="preserve"> להעניק </w:t>
      </w:r>
      <w:r w:rsidR="00FB1FBE">
        <w:rPr>
          <w:rFonts w:hint="cs"/>
          <w:rtl/>
          <w:lang w:bidi="he-IL"/>
        </w:rPr>
        <w:t xml:space="preserve">גושפנקא משפטית לערכי היסוד של מורשת ישראל או לעצב את המשפט הישראלי בהתאם לעקרונות המשפט העברי </w:t>
      </w:r>
      <w:r w:rsidR="00FB1FBE">
        <w:rPr>
          <w:rtl/>
          <w:lang w:bidi="he-IL"/>
        </w:rPr>
        <w:t>–</w:t>
      </w:r>
      <w:r w:rsidR="00FB1FBE">
        <w:rPr>
          <w:rFonts w:hint="cs"/>
          <w:rtl/>
          <w:lang w:bidi="he-IL"/>
        </w:rPr>
        <w:t xml:space="preserve"> אך כי מטרה זו נועדה מראש לכישלון. הדיון שעורך קידר לאורך פרקי הספר הוא קוהרנטי, בהיר ומעורר מחשבה</w:t>
      </w:r>
      <w:r w:rsidR="00F83B4E">
        <w:rPr>
          <w:rFonts w:hint="cs"/>
          <w:rtl/>
          <w:lang w:bidi="he-IL"/>
        </w:rPr>
        <w:t>. בכל המובנים הללו מהווה הספר נקודת ציון חשובה במחקר ההיסטורי והמשפטי בסוגיות הנדונות</w:t>
      </w:r>
      <w:r w:rsidR="00FB1FBE">
        <w:rPr>
          <w:rFonts w:hint="cs"/>
          <w:rtl/>
          <w:lang w:bidi="he-IL"/>
        </w:rPr>
        <w:t xml:space="preserve">. </w:t>
      </w:r>
    </w:p>
    <w:p w14:paraId="3C364DCA" w14:textId="77777777" w:rsidR="00897AED" w:rsidRDefault="00897AED" w:rsidP="00DB174A">
      <w:pPr>
        <w:ind w:firstLine="720"/>
        <w:rPr>
          <w:rtl/>
          <w:lang w:bidi="he-IL"/>
        </w:rPr>
      </w:pPr>
    </w:p>
    <w:p w14:paraId="2CBA63EF" w14:textId="19A2BBBA" w:rsidR="00F637B1" w:rsidRDefault="00F83B4E" w:rsidP="00897AED">
      <w:pPr>
        <w:ind w:firstLine="720"/>
        <w:rPr>
          <w:rtl/>
          <w:lang w:bidi="he-IL"/>
        </w:rPr>
      </w:pPr>
      <w:r>
        <w:rPr>
          <w:rFonts w:hint="cs"/>
          <w:rtl/>
          <w:lang w:bidi="he-IL"/>
        </w:rPr>
        <w:t>יחד עם זאת, ניתן להתווכח עם כמה מהנחות היסוד של הספר.</w:t>
      </w:r>
      <w:r w:rsidR="00897AED">
        <w:rPr>
          <w:rFonts w:hint="cs"/>
          <w:rtl/>
          <w:lang w:bidi="he-IL"/>
        </w:rPr>
        <w:t xml:space="preserve"> </w:t>
      </w:r>
      <w:r>
        <w:rPr>
          <w:rFonts w:hint="cs"/>
          <w:rtl/>
          <w:lang w:bidi="he-IL"/>
        </w:rPr>
        <w:t>ראשית, הטיעון המרכזי של הספר נותר במישור התיאורטי-רעיוני, והוא אינו מבוסס דיו במישור ההיסטורי. ניתן היה לצפות</w:t>
      </w:r>
      <w:r w:rsidR="00F122FF">
        <w:rPr>
          <w:rFonts w:hint="cs"/>
          <w:rtl/>
          <w:lang w:bidi="he-IL"/>
        </w:rPr>
        <w:t xml:space="preserve"> למשל</w:t>
      </w:r>
      <w:r>
        <w:rPr>
          <w:rFonts w:hint="cs"/>
          <w:rtl/>
          <w:lang w:bidi="he-IL"/>
        </w:rPr>
        <w:t xml:space="preserve"> כי הדיון </w:t>
      </w:r>
      <w:r w:rsidR="00F122FF">
        <w:rPr>
          <w:rFonts w:hint="cs"/>
          <w:rtl/>
          <w:lang w:bidi="he-IL"/>
        </w:rPr>
        <w:t xml:space="preserve">בתופעות ההיסטוריות המרתקות של מוסד "משפט השלום </w:t>
      </w:r>
      <w:commentRangeStart w:id="2"/>
      <w:r w:rsidR="00F122FF">
        <w:rPr>
          <w:rFonts w:hint="cs"/>
          <w:rtl/>
          <w:lang w:bidi="he-IL"/>
        </w:rPr>
        <w:t>העברי</w:t>
      </w:r>
      <w:commentRangeEnd w:id="2"/>
      <w:r w:rsidR="00F122FF">
        <w:rPr>
          <w:rStyle w:val="CommentReference"/>
          <w:rtl/>
        </w:rPr>
        <w:commentReference w:id="2"/>
      </w:r>
      <w:r w:rsidR="00897AED">
        <w:rPr>
          <w:rFonts w:hint="cs"/>
          <w:rtl/>
          <w:lang w:bidi="he-IL"/>
        </w:rPr>
        <w:t xml:space="preserve">" </w:t>
      </w:r>
      <w:r w:rsidR="00F122FF">
        <w:rPr>
          <w:rFonts w:hint="cs"/>
          <w:rtl/>
          <w:lang w:bidi="he-IL"/>
        </w:rPr>
        <w:t>(פרק 2), ושל "</w:t>
      </w:r>
      <w:r w:rsidR="00A14D96">
        <w:rPr>
          <w:rFonts w:hint="cs"/>
          <w:rtl/>
          <w:lang w:bidi="he-IL"/>
        </w:rPr>
        <w:t xml:space="preserve">חברת המשפט </w:t>
      </w:r>
      <w:commentRangeStart w:id="3"/>
      <w:r w:rsidR="00A14D96">
        <w:rPr>
          <w:rFonts w:hint="cs"/>
          <w:rtl/>
          <w:lang w:bidi="he-IL"/>
        </w:rPr>
        <w:t>העברי</w:t>
      </w:r>
      <w:commentRangeEnd w:id="3"/>
      <w:r w:rsidR="00F122FF">
        <w:rPr>
          <w:rStyle w:val="CommentReference"/>
          <w:rtl/>
        </w:rPr>
        <w:commentReference w:id="3"/>
      </w:r>
      <w:r w:rsidR="00F122FF">
        <w:rPr>
          <w:rFonts w:hint="cs"/>
          <w:rtl/>
          <w:lang w:bidi="he-IL"/>
        </w:rPr>
        <w:t>"</w:t>
      </w:r>
      <w:r w:rsidR="00897AED">
        <w:rPr>
          <w:rFonts w:hint="cs"/>
          <w:rtl/>
          <w:lang w:bidi="he-IL"/>
        </w:rPr>
        <w:t xml:space="preserve"> </w:t>
      </w:r>
      <w:r w:rsidR="00F122FF">
        <w:rPr>
          <w:rFonts w:hint="cs"/>
          <w:rtl/>
          <w:lang w:bidi="he-IL"/>
        </w:rPr>
        <w:t xml:space="preserve">(פרק 3) </w:t>
      </w:r>
      <w:r w:rsidR="00F122FF">
        <w:rPr>
          <w:rtl/>
          <w:lang w:bidi="he-IL"/>
        </w:rPr>
        <w:t>–</w:t>
      </w:r>
      <w:r w:rsidR="00F122FF">
        <w:rPr>
          <w:rFonts w:hint="cs"/>
          <w:rtl/>
          <w:lang w:bidi="he-IL"/>
        </w:rPr>
        <w:t xml:space="preserve"> יעגן עצמו במקורות ארכיוניים רלוונטיים.</w:t>
      </w:r>
      <w:r w:rsidR="00C23921">
        <w:rPr>
          <w:rFonts w:hint="cs"/>
          <w:rtl/>
          <w:lang w:bidi="he-IL"/>
        </w:rPr>
        <w:t xml:space="preserve"> אך למעט מקרים בודדים, המחבר בחר להישען </w:t>
      </w:r>
      <w:r w:rsidR="00DB174A">
        <w:rPr>
          <w:rFonts w:hint="cs"/>
          <w:rtl/>
          <w:lang w:bidi="he-IL"/>
        </w:rPr>
        <w:t>דווקא</w:t>
      </w:r>
      <w:r w:rsidR="00C23921">
        <w:rPr>
          <w:rFonts w:hint="cs"/>
          <w:rtl/>
          <w:lang w:bidi="he-IL"/>
        </w:rPr>
        <w:t xml:space="preserve"> על מקורות </w:t>
      </w:r>
      <w:commentRangeStart w:id="4"/>
      <w:r w:rsidR="00C23921">
        <w:rPr>
          <w:rFonts w:hint="cs"/>
          <w:rtl/>
          <w:lang w:bidi="he-IL"/>
        </w:rPr>
        <w:t>משניים</w:t>
      </w:r>
      <w:commentRangeEnd w:id="4"/>
      <w:r w:rsidR="00AD7730">
        <w:rPr>
          <w:rStyle w:val="CommentReference"/>
          <w:rtl/>
        </w:rPr>
        <w:commentReference w:id="4"/>
      </w:r>
      <w:r w:rsidR="00C23921">
        <w:rPr>
          <w:rFonts w:hint="cs"/>
          <w:rtl/>
          <w:lang w:bidi="he-IL"/>
        </w:rPr>
        <w:t>.</w:t>
      </w:r>
      <w:r w:rsidR="00F122FF">
        <w:rPr>
          <w:rFonts w:hint="cs"/>
          <w:rtl/>
          <w:lang w:bidi="he-IL"/>
        </w:rPr>
        <w:t xml:space="preserve"> </w:t>
      </w:r>
      <w:r w:rsidR="00F637B1">
        <w:rPr>
          <w:rFonts w:hint="cs"/>
          <w:rtl/>
          <w:lang w:bidi="he-IL"/>
        </w:rPr>
        <w:t xml:space="preserve">יתר על כן, </w:t>
      </w:r>
      <w:r w:rsidR="00F8708E">
        <w:rPr>
          <w:rFonts w:hint="cs"/>
          <w:rtl/>
          <w:lang w:bidi="he-IL"/>
        </w:rPr>
        <w:t>הטיעון של המחבר לפיו</w:t>
      </w:r>
      <w:r w:rsidR="00F637B1">
        <w:rPr>
          <w:rFonts w:hint="cs"/>
          <w:rtl/>
          <w:lang w:bidi="he-IL"/>
        </w:rPr>
        <w:t xml:space="preserve"> נ</w:t>
      </w:r>
      <w:r w:rsidR="00DB174A">
        <w:rPr>
          <w:rFonts w:hint="cs"/>
          <w:rtl/>
          <w:lang w:bidi="he-IL"/>
        </w:rPr>
        <w:t>י</w:t>
      </w:r>
      <w:r w:rsidR="00F637B1">
        <w:rPr>
          <w:rFonts w:hint="cs"/>
          <w:rtl/>
          <w:lang w:bidi="he-IL"/>
        </w:rPr>
        <w:t>סיונות אלו להחיות את המשפט העברי נדונו מראש לכ</w:t>
      </w:r>
      <w:r w:rsidR="00DB174A">
        <w:rPr>
          <w:rFonts w:hint="cs"/>
          <w:rtl/>
          <w:lang w:bidi="he-IL"/>
        </w:rPr>
        <w:t>י</w:t>
      </w:r>
      <w:r w:rsidR="00F637B1">
        <w:rPr>
          <w:rFonts w:hint="cs"/>
          <w:rtl/>
          <w:lang w:bidi="he-IL"/>
        </w:rPr>
        <w:t xml:space="preserve">שלון בשל כך שהמשפט אינו הבמה </w:t>
      </w:r>
      <w:commentRangeStart w:id="5"/>
      <w:r w:rsidR="00F637B1">
        <w:rPr>
          <w:rFonts w:hint="cs"/>
          <w:rtl/>
          <w:lang w:bidi="he-IL"/>
        </w:rPr>
        <w:t>המתאימה</w:t>
      </w:r>
      <w:commentRangeEnd w:id="5"/>
      <w:r w:rsidR="00F637B1">
        <w:rPr>
          <w:rStyle w:val="CommentReference"/>
          <w:rtl/>
        </w:rPr>
        <w:commentReference w:id="5"/>
      </w:r>
      <w:r w:rsidR="00F637B1">
        <w:rPr>
          <w:rFonts w:hint="cs"/>
          <w:rtl/>
          <w:lang w:bidi="he-IL"/>
        </w:rPr>
        <w:t xml:space="preserve"> לדיון בשאלות של זהות ותרבות (38),</w:t>
      </w:r>
      <w:r w:rsidR="00F8708E">
        <w:rPr>
          <w:rFonts w:hint="cs"/>
          <w:rtl/>
          <w:lang w:bidi="he-IL"/>
        </w:rPr>
        <w:t xml:space="preserve"> </w:t>
      </w:r>
      <w:r w:rsidR="00F637B1">
        <w:rPr>
          <w:rFonts w:hint="cs"/>
          <w:rtl/>
          <w:lang w:bidi="he-IL"/>
        </w:rPr>
        <w:t>אינו עולה בקנה אחד עם מסקנותיהם של חלק מהמחקרים ההיסטוריים, אשר לפיהם המוסדות הללו לא נחלו הצלחה אך בשל נסיבות היסטוריות של זמן ומקום</w:t>
      </w:r>
      <w:commentRangeStart w:id="6"/>
      <w:r w:rsidR="00F637B1">
        <w:rPr>
          <w:rFonts w:hint="cs"/>
          <w:rtl/>
          <w:lang w:bidi="he-IL"/>
        </w:rPr>
        <w:t>.</w:t>
      </w:r>
      <w:r w:rsidR="00951EFF">
        <w:rPr>
          <w:rStyle w:val="FootnoteReference"/>
          <w:rtl/>
          <w:lang w:bidi="he-IL"/>
        </w:rPr>
        <w:footnoteReference w:id="1"/>
      </w:r>
      <w:commentRangeEnd w:id="6"/>
      <w:r w:rsidR="00897AED">
        <w:rPr>
          <w:rStyle w:val="CommentReference"/>
          <w:rtl/>
        </w:rPr>
        <w:commentReference w:id="6"/>
      </w:r>
      <w:r w:rsidR="00F637B1">
        <w:rPr>
          <w:rFonts w:hint="cs"/>
          <w:rtl/>
          <w:lang w:bidi="he-IL"/>
        </w:rPr>
        <w:t xml:space="preserve"> </w:t>
      </w:r>
      <w:r w:rsidR="00BA40CC">
        <w:rPr>
          <w:rFonts w:hint="cs"/>
          <w:rtl/>
          <w:lang w:bidi="he-IL"/>
        </w:rPr>
        <w:t xml:space="preserve">הדברים אמורים גם בכל הנוגע לדיון בהליך החקיקה של </w:t>
      </w:r>
      <w:commentRangeStart w:id="7"/>
      <w:r w:rsidR="00BA40CC">
        <w:rPr>
          <w:rFonts w:hint="cs"/>
          <w:rtl/>
          <w:lang w:bidi="he-IL"/>
        </w:rPr>
        <w:t xml:space="preserve">חוק יסודות המשפט </w:t>
      </w:r>
      <w:commentRangeEnd w:id="7"/>
      <w:r w:rsidR="00DB174A">
        <w:rPr>
          <w:rStyle w:val="CommentReference"/>
          <w:rtl/>
        </w:rPr>
        <w:commentReference w:id="7"/>
      </w:r>
      <w:r w:rsidR="00BA40CC">
        <w:rPr>
          <w:rFonts w:hint="cs"/>
          <w:rtl/>
          <w:lang w:bidi="he-IL"/>
        </w:rPr>
        <w:t>וביישומו בפסיקה</w:t>
      </w:r>
      <w:r w:rsidR="004A7F63">
        <w:rPr>
          <w:rFonts w:hint="cs"/>
          <w:rtl/>
          <w:lang w:bidi="he-IL"/>
        </w:rPr>
        <w:t xml:space="preserve"> (פרק 7)</w:t>
      </w:r>
      <w:r w:rsidR="00BA40CC">
        <w:rPr>
          <w:rFonts w:hint="cs"/>
          <w:rtl/>
          <w:lang w:bidi="he-IL"/>
        </w:rPr>
        <w:t xml:space="preserve">. גם בהקשר זה נשען המחבר בעיקר על המחקר המשפטי הקיים, כאשר ניתן היה להעשיר את הדיון בניתוח רחב ומעמיק יותר של הפסיקה בעקבות החוק, מעבר לפסקי הדין המוכרים והידועים. </w:t>
      </w:r>
    </w:p>
    <w:p w14:paraId="0777DE36" w14:textId="1C9480E8" w:rsidR="00C23921" w:rsidRDefault="00C23921" w:rsidP="00F637B1">
      <w:pPr>
        <w:rPr>
          <w:rtl/>
          <w:lang w:bidi="he-IL"/>
        </w:rPr>
      </w:pPr>
    </w:p>
    <w:p w14:paraId="0821FC1B" w14:textId="35382B87" w:rsidR="00C23921" w:rsidRDefault="00C23921" w:rsidP="00897AED">
      <w:pPr>
        <w:ind w:firstLine="720"/>
        <w:rPr>
          <w:rtl/>
          <w:lang w:bidi="he-IL"/>
        </w:rPr>
      </w:pPr>
      <w:r>
        <w:rPr>
          <w:rFonts w:hint="cs"/>
          <w:rtl/>
          <w:lang w:bidi="he-IL"/>
        </w:rPr>
        <w:t>שנית, הדיון לאורך הספר מתייחס ל"משפט הישראלי" במובן רחב, מבלי להפריד בין מוסדותיו השונים. יתכן שדווקא ביחס ל</w:t>
      </w:r>
      <w:r w:rsidR="004A7F63">
        <w:rPr>
          <w:rFonts w:hint="cs"/>
          <w:rtl/>
          <w:lang w:bidi="he-IL"/>
        </w:rPr>
        <w:t>דיון החשוב ב</w:t>
      </w:r>
      <w:r>
        <w:rPr>
          <w:rFonts w:hint="cs"/>
          <w:rtl/>
          <w:lang w:bidi="he-IL"/>
        </w:rPr>
        <w:t>מקומן של שאלות העוסקות בזהות ותרבות</w:t>
      </w:r>
      <w:r w:rsidR="004A7F63">
        <w:rPr>
          <w:rFonts w:hint="cs"/>
          <w:rtl/>
          <w:lang w:bidi="he-IL"/>
        </w:rPr>
        <w:t xml:space="preserve"> בשיח המשפטי בישראל</w:t>
      </w:r>
      <w:r>
        <w:rPr>
          <w:rFonts w:hint="cs"/>
          <w:rtl/>
          <w:lang w:bidi="he-IL"/>
        </w:rPr>
        <w:t>, מן הראוי היה להפריד</w:t>
      </w:r>
      <w:r w:rsidR="004A7F63">
        <w:rPr>
          <w:rFonts w:hint="cs"/>
          <w:rtl/>
          <w:lang w:bidi="he-IL"/>
        </w:rPr>
        <w:t xml:space="preserve"> בין </w:t>
      </w:r>
      <w:r w:rsidR="00E21DAD">
        <w:rPr>
          <w:rFonts w:hint="cs"/>
          <w:rtl/>
          <w:lang w:bidi="he-IL"/>
        </w:rPr>
        <w:t>הרשות המחוקקת לרשות השופטת</w:t>
      </w:r>
      <w:r w:rsidR="004A7F63">
        <w:rPr>
          <w:rFonts w:hint="cs"/>
          <w:rtl/>
          <w:lang w:bidi="he-IL"/>
        </w:rPr>
        <w:t xml:space="preserve">. המחבר לא עורך את ההבחנה המתבקשת הזו. לדידו, "המשפט", כמקשה אחת, </w:t>
      </w:r>
      <w:r w:rsidR="00E21DAD">
        <w:rPr>
          <w:lang w:bidi="he-IL"/>
        </w:rPr>
        <w:t xml:space="preserve">"is not the appropriate </w:t>
      </w:r>
      <w:r w:rsidR="00E21DAD">
        <w:rPr>
          <w:lang w:bidi="he-IL"/>
        </w:rPr>
        <w:lastRenderedPageBreak/>
        <w:t>arena for deciding between different takes on identity or views of Jewish culture" (200).</w:t>
      </w:r>
      <w:r w:rsidR="004A7F63">
        <w:rPr>
          <w:rFonts w:hint="cs"/>
          <w:rtl/>
          <w:lang w:bidi="he-IL"/>
        </w:rPr>
        <w:t xml:space="preserve"> </w:t>
      </w:r>
      <w:r w:rsidR="00E21DAD">
        <w:rPr>
          <w:rFonts w:hint="cs"/>
          <w:rtl/>
          <w:lang w:bidi="he-IL"/>
        </w:rPr>
        <w:t xml:space="preserve">בעוד שיהיה מי שיסכים לעמדה זו בכל הנוגע לפסיקת בתי המשפט (כאשר ניתן כמובן לחלוק על כך), קשה יותר לקבל את הטענה ביחס לחקיקת הכנסת, כל עוד זו נעשית בהתאם לאמות המידה החוקתיות. יתר על כן, הטיעון שמציג המחבר הוא הרמטי, וככזה הוא </w:t>
      </w:r>
      <w:r w:rsidR="00DB174A">
        <w:rPr>
          <w:rFonts w:hint="cs"/>
          <w:rtl/>
          <w:lang w:bidi="he-IL"/>
        </w:rPr>
        <w:t>שולל</w:t>
      </w:r>
      <w:r w:rsidR="00DB174A" w:rsidRPr="00DB174A">
        <w:rPr>
          <w:rtl/>
          <w:lang w:bidi="he-IL"/>
        </w:rPr>
        <w:t xml:space="preserve"> ע</w:t>
      </w:r>
      <w:r w:rsidR="00DB174A">
        <w:rPr>
          <w:rFonts w:hint="cs"/>
          <w:rtl/>
          <w:lang w:bidi="he-IL"/>
        </w:rPr>
        <w:t>י</w:t>
      </w:r>
      <w:r w:rsidR="00DB174A" w:rsidRPr="00DB174A">
        <w:rPr>
          <w:rtl/>
          <w:lang w:bidi="he-IL"/>
        </w:rPr>
        <w:t>סוק בשאלות של זהות ותרבות יהודית וישראלית</w:t>
      </w:r>
      <w:r w:rsidR="00DB174A">
        <w:rPr>
          <w:rFonts w:hint="cs"/>
          <w:rtl/>
          <w:lang w:bidi="he-IL"/>
        </w:rPr>
        <w:t xml:space="preserve"> גם ב</w:t>
      </w:r>
      <w:r w:rsidR="00E21DAD" w:rsidRPr="00E21DAD">
        <w:rPr>
          <w:rtl/>
          <w:lang w:bidi="he-IL"/>
        </w:rPr>
        <w:t xml:space="preserve">במות </w:t>
      </w:r>
      <w:r w:rsidR="00DB174A">
        <w:rPr>
          <w:rFonts w:hint="cs"/>
          <w:rtl/>
          <w:lang w:bidi="he-IL"/>
        </w:rPr>
        <w:t>סמי-</w:t>
      </w:r>
      <w:r w:rsidR="00E21DAD" w:rsidRPr="00E21DAD">
        <w:rPr>
          <w:rtl/>
          <w:lang w:bidi="he-IL"/>
        </w:rPr>
        <w:t xml:space="preserve">משפטיות, </w:t>
      </w:r>
      <w:r w:rsidR="00897AED">
        <w:rPr>
          <w:rFonts w:hint="cs"/>
          <w:rtl/>
          <w:lang w:bidi="he-IL"/>
        </w:rPr>
        <w:t>כגון</w:t>
      </w:r>
      <w:r w:rsidR="00E21DAD">
        <w:rPr>
          <w:rFonts w:hint="cs"/>
          <w:rtl/>
          <w:lang w:bidi="he-IL"/>
        </w:rPr>
        <w:t xml:space="preserve"> </w:t>
      </w:r>
      <w:r w:rsidR="00E21DAD" w:rsidRPr="00E21DAD">
        <w:rPr>
          <w:rtl/>
          <w:lang w:bidi="he-IL"/>
        </w:rPr>
        <w:t>ועדות חקירה ממלכתיות</w:t>
      </w:r>
      <w:r w:rsidR="00E21DAD">
        <w:rPr>
          <w:rFonts w:hint="cs"/>
          <w:rtl/>
          <w:lang w:bidi="he-IL"/>
        </w:rPr>
        <w:t xml:space="preserve">, </w:t>
      </w:r>
      <w:r w:rsidR="00897AED">
        <w:rPr>
          <w:rFonts w:hint="cs"/>
          <w:rtl/>
          <w:lang w:bidi="he-IL"/>
        </w:rPr>
        <w:t xml:space="preserve">אשר </w:t>
      </w:r>
      <w:r w:rsidR="00897AED" w:rsidRPr="00897AED">
        <w:rPr>
          <w:rtl/>
          <w:lang w:bidi="he-IL"/>
        </w:rPr>
        <w:t>עושות שימוש בכלים משפטיים כדי לדון באירועים היסטוריים בעלי חשיבות חברתית וציבורית.</w:t>
      </w:r>
    </w:p>
    <w:p w14:paraId="31D06BD3" w14:textId="23C557A5" w:rsidR="00E21DAD" w:rsidRDefault="00E21DAD" w:rsidP="00E21DAD">
      <w:pPr>
        <w:rPr>
          <w:rtl/>
          <w:lang w:bidi="he-IL"/>
        </w:rPr>
      </w:pPr>
    </w:p>
    <w:p w14:paraId="402B4176" w14:textId="35B83850" w:rsidR="00BE4C0F" w:rsidRPr="00AE5412" w:rsidRDefault="00E21DAD" w:rsidP="00897AED">
      <w:pPr>
        <w:ind w:firstLine="720"/>
        <w:rPr>
          <w:rtl/>
          <w:lang w:bidi="he-IL"/>
        </w:rPr>
      </w:pPr>
      <w:r>
        <w:rPr>
          <w:rFonts w:hint="cs"/>
          <w:rtl/>
          <w:lang w:bidi="he-IL"/>
        </w:rPr>
        <w:t xml:space="preserve">ואחרון, </w:t>
      </w:r>
      <w:r w:rsidR="007328EB">
        <w:rPr>
          <w:rFonts w:hint="cs"/>
          <w:rtl/>
          <w:lang w:bidi="he-IL"/>
        </w:rPr>
        <w:t xml:space="preserve">אשר במובנים רבים הוא גם העיקר. </w:t>
      </w:r>
      <w:r w:rsidR="00227779">
        <w:rPr>
          <w:rFonts w:hint="cs"/>
          <w:rtl/>
          <w:lang w:bidi="he-IL"/>
        </w:rPr>
        <w:t>לאורך</w:t>
      </w:r>
      <w:r w:rsidR="007328EB">
        <w:rPr>
          <w:rFonts w:hint="cs"/>
          <w:rtl/>
          <w:lang w:bidi="he-IL"/>
        </w:rPr>
        <w:t xml:space="preserve"> שבעים ושלוש שנותיה חוקקה הכנסת מספר לא מבוטל של חוקים המעגנים, במידה זו או אחרת, סמלי תרבות ומוטיבים הקשורים בזהותה היהודית של המדינה</w:t>
      </w:r>
      <w:r w:rsidR="0051068A">
        <w:rPr>
          <w:rFonts w:hint="cs"/>
          <w:rtl/>
          <w:lang w:bidi="he-IL"/>
        </w:rPr>
        <w:t>.</w:t>
      </w:r>
      <w:r w:rsidR="0051068A">
        <w:rPr>
          <w:rStyle w:val="FootnoteReference"/>
          <w:rtl/>
          <w:lang w:bidi="he-IL"/>
        </w:rPr>
        <w:footnoteReference w:id="2"/>
      </w:r>
      <w:r w:rsidR="0051068A">
        <w:rPr>
          <w:rFonts w:hint="cs"/>
          <w:rtl/>
          <w:lang w:bidi="he-IL"/>
        </w:rPr>
        <w:t xml:space="preserve"> לא פעם הדיון בסוגיות הקשורות לאותם חוקים הגיע גם לפתחו של בית המשפט. לפחות בחלק מהמקרים הדיון לא </w:t>
      </w:r>
      <w:r w:rsidR="00897AED">
        <w:rPr>
          <w:rFonts w:hint="cs"/>
          <w:rtl/>
          <w:lang w:bidi="he-IL"/>
        </w:rPr>
        <w:t>הצטמצם לסוגיות "פורמאליות" בלבד</w:t>
      </w:r>
      <w:r w:rsidR="0051068A">
        <w:rPr>
          <w:rFonts w:hint="cs"/>
          <w:rtl/>
          <w:lang w:bidi="he-IL"/>
        </w:rPr>
        <w:t xml:space="preserve">. על כל פנים, </w:t>
      </w:r>
      <w:r w:rsidR="00AE5412">
        <w:rPr>
          <w:rFonts w:hint="cs"/>
          <w:rtl/>
          <w:lang w:bidi="he-IL"/>
        </w:rPr>
        <w:t xml:space="preserve">נדמה כי </w:t>
      </w:r>
      <w:r w:rsidR="00210C70">
        <w:rPr>
          <w:rFonts w:hint="cs"/>
          <w:rtl/>
          <w:lang w:bidi="he-IL"/>
        </w:rPr>
        <w:t>השלמת מלאכת החקיקה של</w:t>
      </w:r>
      <w:r w:rsidR="00AE5412">
        <w:rPr>
          <w:rFonts w:hint="cs"/>
          <w:rtl/>
          <w:lang w:bidi="he-IL"/>
        </w:rPr>
        <w:t xml:space="preserve"> </w:t>
      </w:r>
      <w:r w:rsidR="00A51C70">
        <w:rPr>
          <w:rFonts w:hint="cs"/>
          <w:rtl/>
          <w:lang w:bidi="he-IL"/>
        </w:rPr>
        <w:t xml:space="preserve">חוק </w:t>
      </w:r>
      <w:commentRangeStart w:id="8"/>
      <w:r w:rsidR="00A51C70">
        <w:rPr>
          <w:rFonts w:hint="cs"/>
          <w:rtl/>
          <w:lang w:bidi="he-IL"/>
        </w:rPr>
        <w:t>הלאום</w:t>
      </w:r>
      <w:commentRangeEnd w:id="8"/>
      <w:r w:rsidR="00AE5412">
        <w:rPr>
          <w:rStyle w:val="CommentReference"/>
          <w:rtl/>
        </w:rPr>
        <w:commentReference w:id="8"/>
      </w:r>
      <w:r w:rsidR="00AE5412">
        <w:rPr>
          <w:rFonts w:hint="cs"/>
          <w:rtl/>
          <w:lang w:bidi="he-IL"/>
        </w:rPr>
        <w:t xml:space="preserve">, </w:t>
      </w:r>
      <w:r w:rsidR="00210C70">
        <w:rPr>
          <w:rFonts w:hint="cs"/>
          <w:rtl/>
          <w:lang w:bidi="he-IL"/>
        </w:rPr>
        <w:t>שאירעה,</w:t>
      </w:r>
      <w:r w:rsidR="00AE5412">
        <w:rPr>
          <w:rFonts w:hint="cs"/>
          <w:rtl/>
          <w:lang w:bidi="he-IL"/>
        </w:rPr>
        <w:t xml:space="preserve"> כפי שמעיד המחבר, </w:t>
      </w:r>
      <w:r w:rsidR="00210C70">
        <w:rPr>
          <w:rFonts w:hint="cs"/>
          <w:rtl/>
          <w:lang w:bidi="he-IL"/>
        </w:rPr>
        <w:t xml:space="preserve">בד בבד </w:t>
      </w:r>
      <w:r w:rsidR="00AE5412">
        <w:rPr>
          <w:rFonts w:hint="cs"/>
          <w:rtl/>
          <w:lang w:bidi="he-IL"/>
        </w:rPr>
        <w:t>עם השלמת מלאכת כתיבת הספר (102-101), ו</w:t>
      </w:r>
      <w:r w:rsidR="00210C70">
        <w:rPr>
          <w:rFonts w:hint="cs"/>
          <w:rtl/>
          <w:lang w:bidi="he-IL"/>
        </w:rPr>
        <w:t xml:space="preserve">כן </w:t>
      </w:r>
      <w:r w:rsidR="00AE5412">
        <w:rPr>
          <w:rFonts w:hint="cs"/>
          <w:rtl/>
          <w:lang w:bidi="he-IL"/>
        </w:rPr>
        <w:t xml:space="preserve">פסיקת בית המשפט העליון לאחרונה בשאלת </w:t>
      </w:r>
      <w:proofErr w:type="spellStart"/>
      <w:r w:rsidR="00AE5412">
        <w:rPr>
          <w:rFonts w:hint="cs"/>
          <w:rtl/>
          <w:lang w:bidi="he-IL"/>
        </w:rPr>
        <w:t>חוקתיותו</w:t>
      </w:r>
      <w:proofErr w:type="spellEnd"/>
      <w:r w:rsidR="00E215AA">
        <w:rPr>
          <w:rStyle w:val="FootnoteReference"/>
          <w:rtl/>
          <w:lang w:bidi="he-IL"/>
        </w:rPr>
        <w:footnoteReference w:id="3"/>
      </w:r>
      <w:r w:rsidR="00AE5412">
        <w:rPr>
          <w:rFonts w:hint="cs"/>
          <w:rtl/>
          <w:lang w:bidi="he-IL"/>
        </w:rPr>
        <w:t xml:space="preserve"> מעמידים בספק את תוקפה של הטענה המרכזית</w:t>
      </w:r>
      <w:r w:rsidR="00BE4C0F">
        <w:rPr>
          <w:rFonts w:hint="cs"/>
          <w:rtl/>
          <w:lang w:bidi="he-IL"/>
        </w:rPr>
        <w:t xml:space="preserve"> השזורה לאורך הספר</w:t>
      </w:r>
      <w:r w:rsidR="00AE5412">
        <w:rPr>
          <w:rFonts w:hint="cs"/>
          <w:rtl/>
          <w:lang w:bidi="he-IL"/>
        </w:rPr>
        <w:t>.</w:t>
      </w:r>
      <w:r w:rsidR="00BE4C0F">
        <w:rPr>
          <w:rFonts w:hint="cs"/>
          <w:rtl/>
          <w:lang w:bidi="he-IL"/>
        </w:rPr>
        <w:t xml:space="preserve"> </w:t>
      </w:r>
      <w:r w:rsidR="00E215AA">
        <w:rPr>
          <w:rFonts w:hint="cs"/>
          <w:rtl/>
          <w:lang w:bidi="he-IL"/>
        </w:rPr>
        <w:t xml:space="preserve">חוק הלאום מצהיר כי </w:t>
      </w:r>
      <w:r w:rsidR="00E215AA">
        <w:rPr>
          <w:rtl/>
          <w:lang w:bidi="he-IL"/>
        </w:rPr>
        <w:t>ארץ ישראל היא מולדתו ההיסטורית של העם היהודי,</w:t>
      </w:r>
      <w:r w:rsidR="00E215AA">
        <w:rPr>
          <w:rFonts w:hint="cs"/>
          <w:rtl/>
          <w:lang w:bidi="he-IL"/>
        </w:rPr>
        <w:t xml:space="preserve"> וכי </w:t>
      </w:r>
      <w:r w:rsidR="00E215AA">
        <w:rPr>
          <w:rtl/>
          <w:lang w:bidi="he-IL"/>
        </w:rPr>
        <w:t>מדינת ישראל היא מדינת הלאום של העם היהודי</w:t>
      </w:r>
      <w:r w:rsidR="00E215AA">
        <w:rPr>
          <w:rFonts w:hint="cs"/>
          <w:rtl/>
          <w:lang w:bidi="he-IL"/>
        </w:rPr>
        <w:t>. הוא מוסיף ומעגן סמלים וערכים מתוך המורשת היהודית בחקיקת יסוד, ובהם השפה העברית, קיבוץ גלויות, קשר עם העם היהודי בתפוצות, התיישבות יהודית, הסתמכות על לוח השנה העברי וכן מתן מעמד ליום השבת ולמועדי ישראל.  לפיכך</w:t>
      </w:r>
      <w:r w:rsidR="00BE4C0F">
        <w:rPr>
          <w:rFonts w:hint="cs"/>
          <w:rtl/>
          <w:lang w:bidi="he-IL"/>
        </w:rPr>
        <w:t xml:space="preserve">, </w:t>
      </w:r>
      <w:r w:rsidR="00210C70">
        <w:rPr>
          <w:rFonts w:hint="cs"/>
          <w:rtl/>
          <w:lang w:bidi="he-IL"/>
        </w:rPr>
        <w:t xml:space="preserve">גם אם ניתן להתווכח </w:t>
      </w:r>
      <w:r w:rsidR="00210C70" w:rsidRPr="00210C70">
        <w:rPr>
          <w:rFonts w:hint="cs"/>
          <w:b/>
          <w:bCs/>
          <w:rtl/>
          <w:lang w:bidi="he-IL"/>
        </w:rPr>
        <w:t>האם ראוי</w:t>
      </w:r>
      <w:r w:rsidR="00210C70">
        <w:rPr>
          <w:rFonts w:hint="cs"/>
          <w:rtl/>
          <w:lang w:bidi="he-IL"/>
        </w:rPr>
        <w:t xml:space="preserve"> שהחוק וההלכה הפסוקה יעסקו בעיגונם והשרשתם של</w:t>
      </w:r>
      <w:r w:rsidR="00BE4C0F">
        <w:rPr>
          <w:rFonts w:hint="cs"/>
          <w:rtl/>
          <w:lang w:bidi="he-IL"/>
        </w:rPr>
        <w:t xml:space="preserve"> עקרונות יסוד וסמלי תרבות יהודיים</w:t>
      </w:r>
      <w:r w:rsidR="00210C70">
        <w:rPr>
          <w:rFonts w:hint="cs"/>
          <w:rtl/>
          <w:lang w:bidi="he-IL"/>
        </w:rPr>
        <w:t xml:space="preserve"> ולאומיים, אין ספק שחוק </w:t>
      </w:r>
      <w:commentRangeStart w:id="9"/>
      <w:r w:rsidR="00210C70">
        <w:rPr>
          <w:rFonts w:hint="cs"/>
          <w:rtl/>
          <w:lang w:bidi="he-IL"/>
        </w:rPr>
        <w:t>הלאום</w:t>
      </w:r>
      <w:commentRangeEnd w:id="9"/>
      <w:r w:rsidR="00210C70">
        <w:rPr>
          <w:rStyle w:val="CommentReference"/>
          <w:rtl/>
        </w:rPr>
        <w:commentReference w:id="9"/>
      </w:r>
      <w:r w:rsidR="00210C70">
        <w:rPr>
          <w:rFonts w:hint="cs"/>
          <w:rtl/>
          <w:lang w:bidi="he-IL"/>
        </w:rPr>
        <w:t xml:space="preserve"> </w:t>
      </w:r>
      <w:r w:rsidR="00210C70" w:rsidRPr="00DB174A">
        <w:rPr>
          <w:rFonts w:hint="cs"/>
          <w:b/>
          <w:bCs/>
          <w:rtl/>
          <w:lang w:bidi="he-IL"/>
        </w:rPr>
        <w:t>עשה כן</w:t>
      </w:r>
      <w:r w:rsidR="00210C70">
        <w:rPr>
          <w:rFonts w:hint="cs"/>
          <w:rtl/>
          <w:lang w:bidi="he-IL"/>
        </w:rPr>
        <w:t xml:space="preserve"> הלכה למעשה</w:t>
      </w:r>
      <w:r w:rsidR="00BE4C0F">
        <w:rPr>
          <w:rFonts w:hint="cs"/>
          <w:rtl/>
          <w:lang w:bidi="he-IL"/>
        </w:rPr>
        <w:t xml:space="preserve">. </w:t>
      </w:r>
      <w:r w:rsidR="0051068A">
        <w:rPr>
          <w:rFonts w:hint="cs"/>
          <w:rtl/>
          <w:lang w:bidi="he-IL"/>
        </w:rPr>
        <w:t>לכן, אף אם נקבל ש</w:t>
      </w:r>
      <w:r w:rsidR="00EF7FD8">
        <w:rPr>
          <w:rFonts w:hint="cs"/>
          <w:rtl/>
          <w:lang w:bidi="he-IL"/>
        </w:rPr>
        <w:t xml:space="preserve">טענת המחבר </w:t>
      </w:r>
      <w:proofErr w:type="spellStart"/>
      <w:r w:rsidR="00EF7FD8">
        <w:rPr>
          <w:rFonts w:hint="cs"/>
          <w:rtl/>
          <w:lang w:bidi="he-IL"/>
        </w:rPr>
        <w:t>היתה</w:t>
      </w:r>
      <w:proofErr w:type="spellEnd"/>
      <w:r w:rsidR="00EF7FD8">
        <w:rPr>
          <w:rFonts w:hint="cs"/>
          <w:rtl/>
          <w:lang w:bidi="he-IL"/>
        </w:rPr>
        <w:t xml:space="preserve"> נכונה לשעתה, </w:t>
      </w:r>
      <w:r w:rsidR="0051068A">
        <w:rPr>
          <w:rFonts w:hint="cs"/>
          <w:rtl/>
          <w:lang w:bidi="he-IL"/>
        </w:rPr>
        <w:t xml:space="preserve">הרי שקשה לחלוק על כך שנכון להיום, </w:t>
      </w:r>
      <w:r w:rsidR="00EF7FD8">
        <w:rPr>
          <w:rFonts w:hint="cs"/>
          <w:rtl/>
          <w:lang w:bidi="he-IL"/>
        </w:rPr>
        <w:t>עם התבססותה והתייצבותה של מערכת המשפט הישראלית, בשלה העת לע</w:t>
      </w:r>
      <w:r w:rsidR="00DB174A">
        <w:rPr>
          <w:rFonts w:hint="cs"/>
          <w:rtl/>
          <w:lang w:bidi="he-IL"/>
        </w:rPr>
        <w:t>י</w:t>
      </w:r>
      <w:r w:rsidR="00EF7FD8">
        <w:rPr>
          <w:rFonts w:hint="cs"/>
          <w:rtl/>
          <w:lang w:bidi="he-IL"/>
        </w:rPr>
        <w:t>סוק</w:t>
      </w:r>
      <w:r w:rsidR="00DB174A">
        <w:rPr>
          <w:rFonts w:hint="cs"/>
          <w:rtl/>
          <w:lang w:bidi="he-IL"/>
        </w:rPr>
        <w:t>ה</w:t>
      </w:r>
      <w:r w:rsidR="00EF7FD8">
        <w:rPr>
          <w:rFonts w:hint="cs"/>
          <w:rtl/>
          <w:lang w:bidi="he-IL"/>
        </w:rPr>
        <w:t xml:space="preserve"> גם בשאלות של זהות ותרבות. </w:t>
      </w:r>
    </w:p>
    <w:p w14:paraId="73F85FEA" w14:textId="2190594A" w:rsidR="00341EB0" w:rsidRPr="00BD2A8B" w:rsidRDefault="00341EB0" w:rsidP="00341EB0">
      <w:pPr>
        <w:rPr>
          <w:lang w:bidi="he-IL"/>
        </w:rPr>
      </w:pPr>
    </w:p>
    <w:sectPr w:rsidR="00341EB0" w:rsidRPr="00BD2A8B" w:rsidSect="00E67019">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יהודית" w:date="2021-07-28T13:39:00Z" w:initials="י">
    <w:p w14:paraId="630592B9" w14:textId="77777777" w:rsidR="00DD1D6A" w:rsidRDefault="00DD1D6A">
      <w:pPr>
        <w:pStyle w:val="CommentText"/>
        <w:rPr>
          <w:lang w:bidi="he-IL"/>
        </w:rPr>
      </w:pPr>
      <w:r>
        <w:rPr>
          <w:rStyle w:val="CommentReference"/>
        </w:rPr>
        <w:annotationRef/>
      </w:r>
      <w:r>
        <w:rPr>
          <w:rFonts w:hint="cs"/>
          <w:rtl/>
          <w:lang w:bidi="he-IL"/>
        </w:rPr>
        <w:t xml:space="preserve">אולי: </w:t>
      </w:r>
      <w:r>
        <w:rPr>
          <w:lang w:bidi="he-IL"/>
        </w:rPr>
        <w:t>Israeli in nature?</w:t>
      </w:r>
    </w:p>
  </w:comment>
  <w:comment w:id="2" w:author="יהודית" w:date="2021-07-28T18:03:00Z" w:initials="י">
    <w:p w14:paraId="2E0FBAD6" w14:textId="4FC943F4" w:rsidR="00F122FF" w:rsidRDefault="00F122FF">
      <w:pPr>
        <w:pStyle w:val="CommentText"/>
      </w:pPr>
      <w:r>
        <w:rPr>
          <w:rStyle w:val="CommentReference"/>
        </w:rPr>
        <w:annotationRef/>
      </w:r>
      <w:r>
        <w:t>The Hebrew Peace Courts</w:t>
      </w:r>
    </w:p>
  </w:comment>
  <w:comment w:id="3" w:author="יהודית" w:date="2021-07-28T18:03:00Z" w:initials="י">
    <w:p w14:paraId="7740C1C7" w14:textId="517CFA8F" w:rsidR="00F122FF" w:rsidRDefault="00F122FF">
      <w:pPr>
        <w:pStyle w:val="CommentText"/>
        <w:rPr>
          <w:lang w:bidi="he-IL"/>
        </w:rPr>
      </w:pPr>
      <w:r>
        <w:rPr>
          <w:rStyle w:val="CommentReference"/>
        </w:rPr>
        <w:annotationRef/>
      </w:r>
      <w:r>
        <w:rPr>
          <w:rFonts w:hint="cs"/>
        </w:rPr>
        <w:t>T</w:t>
      </w:r>
      <w:r>
        <w:rPr>
          <w:lang w:bidi="he-IL"/>
        </w:rPr>
        <w:t>he Hebrew Law Society</w:t>
      </w:r>
    </w:p>
  </w:comment>
  <w:comment w:id="4" w:author="יהודית" w:date="2021-07-28T18:59:00Z" w:initials="י">
    <w:p w14:paraId="7B92B602" w14:textId="4F273C56" w:rsidR="00AD7730" w:rsidRDefault="00AD7730">
      <w:pPr>
        <w:pStyle w:val="CommentText"/>
        <w:rPr>
          <w:lang w:bidi="he-IL"/>
        </w:rPr>
      </w:pPr>
      <w:r>
        <w:rPr>
          <w:rStyle w:val="CommentReference"/>
        </w:rPr>
        <w:annotationRef/>
      </w:r>
      <w:r>
        <w:rPr>
          <w:lang w:bidi="he-IL"/>
        </w:rPr>
        <w:t>Secondary sources</w:t>
      </w:r>
    </w:p>
  </w:comment>
  <w:comment w:id="5" w:author="יהודית" w:date="2021-07-28T18:13:00Z" w:initials="י">
    <w:p w14:paraId="3E45E4A1" w14:textId="2143ADAC" w:rsidR="00F637B1" w:rsidRDefault="00F637B1">
      <w:pPr>
        <w:pStyle w:val="CommentText"/>
        <w:rPr>
          <w:lang w:bidi="he-IL"/>
        </w:rPr>
      </w:pPr>
      <w:r>
        <w:rPr>
          <w:rStyle w:val="CommentReference"/>
        </w:rPr>
        <w:annotationRef/>
      </w:r>
      <w:r>
        <w:rPr>
          <w:lang w:bidi="he-IL"/>
        </w:rPr>
        <w:t>Appropriate arena</w:t>
      </w:r>
    </w:p>
  </w:comment>
  <w:comment w:id="6" w:author="יהודית דורי דסטון" w:date="2021-08-03T17:12:00Z" w:initials="ידד">
    <w:p w14:paraId="77552814" w14:textId="5FC34035" w:rsidR="00897AED" w:rsidRDefault="00897AED">
      <w:pPr>
        <w:pStyle w:val="CommentText"/>
        <w:rPr>
          <w:lang w:bidi="he-IL"/>
        </w:rPr>
      </w:pPr>
      <w:r>
        <w:rPr>
          <w:rStyle w:val="CommentReference"/>
        </w:rPr>
        <w:annotationRef/>
      </w:r>
      <w:r>
        <w:rPr>
          <w:rFonts w:hint="cs"/>
          <w:rtl/>
          <w:lang w:bidi="he-IL"/>
        </w:rPr>
        <w:t>לא לתרגם את תוכן ההערה</w:t>
      </w:r>
    </w:p>
  </w:comment>
  <w:comment w:id="7" w:author="יהודית" w:date="2021-07-28T20:31:00Z" w:initials="י">
    <w:p w14:paraId="0206A368" w14:textId="4A7F3E6C" w:rsidR="00DB174A" w:rsidRDefault="00DB174A">
      <w:pPr>
        <w:pStyle w:val="CommentText"/>
      </w:pPr>
      <w:r>
        <w:rPr>
          <w:rStyle w:val="CommentReference"/>
        </w:rPr>
        <w:annotationRef/>
      </w:r>
      <w:r w:rsidRPr="00DB174A">
        <w:t>the Foundations of Law Act</w:t>
      </w:r>
    </w:p>
  </w:comment>
  <w:comment w:id="8" w:author="יהודית" w:date="2021-07-28T19:25:00Z" w:initials="י">
    <w:p w14:paraId="70C20F8C" w14:textId="450970AA" w:rsidR="00AE5412" w:rsidRDefault="00AE5412">
      <w:pPr>
        <w:pStyle w:val="CommentText"/>
        <w:rPr>
          <w:lang w:bidi="he-IL"/>
        </w:rPr>
      </w:pPr>
      <w:r>
        <w:rPr>
          <w:rStyle w:val="CommentReference"/>
        </w:rPr>
        <w:annotationRef/>
      </w:r>
      <w:r>
        <w:rPr>
          <w:rFonts w:hint="cs"/>
        </w:rPr>
        <w:t>B</w:t>
      </w:r>
      <w:r>
        <w:rPr>
          <w:lang w:bidi="he-IL"/>
        </w:rPr>
        <w:t>asic Law: Israel – The Nation-State of the Jewish People</w:t>
      </w:r>
    </w:p>
  </w:comment>
  <w:comment w:id="9" w:author="יהודית" w:date="2021-07-28T19:51:00Z" w:initials="י">
    <w:p w14:paraId="260F1CE5" w14:textId="271249A8" w:rsidR="00210C70" w:rsidRDefault="00210C70">
      <w:pPr>
        <w:pStyle w:val="CommentText"/>
        <w:rPr>
          <w:lang w:bidi="he-IL"/>
        </w:rPr>
      </w:pPr>
      <w:r>
        <w:rPr>
          <w:rStyle w:val="CommentReference"/>
        </w:rPr>
        <w:annotationRef/>
      </w:r>
      <w:r>
        <w:rPr>
          <w:rFonts w:hint="cs"/>
          <w:rtl/>
          <w:lang w:bidi="he-IL"/>
        </w:rPr>
        <w:t xml:space="preserve">בפעם </w:t>
      </w:r>
      <w:proofErr w:type="spellStart"/>
      <w:r>
        <w:rPr>
          <w:rFonts w:hint="cs"/>
          <w:rtl/>
          <w:lang w:bidi="he-IL"/>
        </w:rPr>
        <w:t>השניה</w:t>
      </w:r>
      <w:proofErr w:type="spellEnd"/>
      <w:r>
        <w:rPr>
          <w:rFonts w:hint="cs"/>
          <w:rtl/>
          <w:lang w:bidi="he-IL"/>
        </w:rPr>
        <w:t xml:space="preserve"> שזה מופיע: </w:t>
      </w:r>
      <w:r>
        <w:rPr>
          <w:lang w:bidi="he-IL"/>
        </w:rPr>
        <w:t>the Nation-State Law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30592B9" w15:done="0"/>
  <w15:commentEx w15:paraId="2E0FBAD6" w15:done="0"/>
  <w15:commentEx w15:paraId="7740C1C7" w15:done="0"/>
  <w15:commentEx w15:paraId="7B92B602" w15:done="0"/>
  <w15:commentEx w15:paraId="3E45E4A1" w15:done="0"/>
  <w15:commentEx w15:paraId="77552814" w15:done="0"/>
  <w15:commentEx w15:paraId="0206A368" w15:done="0"/>
  <w15:commentEx w15:paraId="70C20F8C" w15:done="0"/>
  <w15:commentEx w15:paraId="260F1CE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30592B9" w16cid:durableId="24B4284A"/>
  <w16cid:commentId w16cid:paraId="2E0FBAD6" w16cid:durableId="24B4284B"/>
  <w16cid:commentId w16cid:paraId="7740C1C7" w16cid:durableId="24B4284C"/>
  <w16cid:commentId w16cid:paraId="7B92B602" w16cid:durableId="24B4284D"/>
  <w16cid:commentId w16cid:paraId="3E45E4A1" w16cid:durableId="24B4284E"/>
  <w16cid:commentId w16cid:paraId="77552814" w16cid:durableId="24B4284F"/>
  <w16cid:commentId w16cid:paraId="0206A368" w16cid:durableId="24B42850"/>
  <w16cid:commentId w16cid:paraId="70C20F8C" w16cid:durableId="24B42851"/>
  <w16cid:commentId w16cid:paraId="260F1CE5" w16cid:durableId="24B4285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A6CB80" w14:textId="77777777" w:rsidR="0051068A" w:rsidRDefault="0051068A" w:rsidP="0051068A">
      <w:pPr>
        <w:spacing w:line="240" w:lineRule="auto"/>
      </w:pPr>
      <w:r>
        <w:separator/>
      </w:r>
    </w:p>
  </w:endnote>
  <w:endnote w:type="continuationSeparator" w:id="0">
    <w:p w14:paraId="7244E889" w14:textId="77777777" w:rsidR="0051068A" w:rsidRDefault="0051068A" w:rsidP="005106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42731D" w14:textId="77777777" w:rsidR="0051068A" w:rsidRDefault="0051068A" w:rsidP="0051068A">
      <w:pPr>
        <w:spacing w:line="240" w:lineRule="auto"/>
      </w:pPr>
      <w:r>
        <w:separator/>
      </w:r>
    </w:p>
  </w:footnote>
  <w:footnote w:type="continuationSeparator" w:id="0">
    <w:p w14:paraId="635BFAC9" w14:textId="77777777" w:rsidR="0051068A" w:rsidRDefault="0051068A" w:rsidP="0051068A">
      <w:pPr>
        <w:spacing w:line="240" w:lineRule="auto"/>
      </w:pPr>
      <w:r>
        <w:continuationSeparator/>
      </w:r>
    </w:p>
  </w:footnote>
  <w:footnote w:id="1">
    <w:p w14:paraId="4A8B5F8C" w14:textId="236DE51C" w:rsidR="00951EFF" w:rsidRPr="00951EFF" w:rsidRDefault="00951EFF">
      <w:pPr>
        <w:pStyle w:val="FootnoteText"/>
        <w:rPr>
          <w:rFonts w:asciiTheme="minorHAnsi" w:hAnsiTheme="minorHAnsi"/>
          <w:rtl/>
          <w:lang w:bidi="he-IL"/>
        </w:rPr>
      </w:pPr>
      <w:r>
        <w:rPr>
          <w:rStyle w:val="FootnoteReference"/>
        </w:rPr>
        <w:footnoteRef/>
      </w:r>
      <w:r>
        <w:rPr>
          <w:rFonts w:cs="Times New Roman"/>
          <w:rtl/>
        </w:rPr>
        <w:t xml:space="preserve"> </w:t>
      </w:r>
      <w:r>
        <w:rPr>
          <w:rFonts w:cs="Times New Roman" w:hint="cs"/>
          <w:rtl/>
          <w:lang w:bidi="he-IL"/>
        </w:rPr>
        <w:t xml:space="preserve">ראו, בין היתר: </w:t>
      </w:r>
      <w:r>
        <w:rPr>
          <w:rFonts w:asciiTheme="minorHAnsi" w:hAnsiTheme="minorHAnsi" w:hint="cs"/>
          <w:rtl/>
          <w:lang w:bidi="he-IL"/>
        </w:rPr>
        <w:t xml:space="preserve">רונן שמיר; אסף </w:t>
      </w:r>
      <w:proofErr w:type="spellStart"/>
      <w:r>
        <w:rPr>
          <w:rFonts w:asciiTheme="minorHAnsi" w:hAnsiTheme="minorHAnsi" w:hint="cs"/>
          <w:rtl/>
          <w:lang w:bidi="he-IL"/>
        </w:rPr>
        <w:t>לחובסקי</w:t>
      </w:r>
      <w:proofErr w:type="spellEnd"/>
    </w:p>
  </w:footnote>
  <w:footnote w:id="2">
    <w:p w14:paraId="2C2A480B" w14:textId="5ADB8B09" w:rsidR="0051068A" w:rsidRDefault="0051068A">
      <w:pPr>
        <w:pStyle w:val="FootnoteText"/>
        <w:rPr>
          <w:lang w:bidi="he-IL"/>
        </w:rPr>
      </w:pPr>
      <w:r>
        <w:rPr>
          <w:rStyle w:val="FootnoteReference"/>
        </w:rPr>
        <w:footnoteRef/>
      </w:r>
      <w:r>
        <w:rPr>
          <w:rFonts w:cs="Times New Roman"/>
          <w:rtl/>
        </w:rPr>
        <w:t xml:space="preserve"> </w:t>
      </w:r>
      <w:r w:rsidRPr="0033382F">
        <w:rPr>
          <w:rFonts w:hint="cs"/>
          <w:rtl/>
          <w:lang w:bidi="he-IL"/>
        </w:rPr>
        <w:t>ראו, מבלי למצות</w:t>
      </w:r>
      <w:r w:rsidR="00964316">
        <w:rPr>
          <w:rFonts w:hint="cs"/>
          <w:rtl/>
          <w:lang w:bidi="he-IL"/>
        </w:rPr>
        <w:t xml:space="preserve"> את הדיון:</w:t>
      </w:r>
      <w:r w:rsidR="0033382F" w:rsidRPr="0033382F">
        <w:rPr>
          <w:rFonts w:hint="cs"/>
          <w:rtl/>
          <w:lang w:bidi="he-IL"/>
        </w:rPr>
        <w:t xml:space="preserve"> </w:t>
      </w:r>
      <w:r w:rsidR="0033382F">
        <w:rPr>
          <w:rtl/>
          <w:lang w:bidi="he-IL"/>
        </w:rPr>
        <w:t>חוק הדגל, הסמל והמנון המדינה</w:t>
      </w:r>
      <w:r w:rsidR="0033382F">
        <w:rPr>
          <w:rFonts w:hint="cs"/>
          <w:rtl/>
          <w:lang w:bidi="he-IL"/>
        </w:rPr>
        <w:t>,</w:t>
      </w:r>
      <w:r w:rsidR="0033382F" w:rsidRPr="0033382F">
        <w:rPr>
          <w:rtl/>
          <w:lang w:bidi="he-IL"/>
        </w:rPr>
        <w:t xml:space="preserve"> </w:t>
      </w:r>
      <w:r w:rsidR="0033382F">
        <w:rPr>
          <w:rFonts w:hint="cs"/>
          <w:rtl/>
          <w:lang w:bidi="he-IL"/>
        </w:rPr>
        <w:t>ה</w:t>
      </w:r>
      <w:r w:rsidR="0033382F" w:rsidRPr="0033382F">
        <w:rPr>
          <w:rtl/>
          <w:lang w:bidi="he-IL"/>
        </w:rPr>
        <w:t>תש"ט-1949</w:t>
      </w:r>
      <w:r w:rsidR="0033382F">
        <w:rPr>
          <w:rFonts w:hint="cs"/>
          <w:rtl/>
          <w:lang w:bidi="he-IL"/>
        </w:rPr>
        <w:t xml:space="preserve">; חוק השבות, התש"י-1950; </w:t>
      </w:r>
      <w:r w:rsidR="0033382F" w:rsidRPr="0033382F">
        <w:rPr>
          <w:rtl/>
          <w:lang w:bidi="he-IL"/>
        </w:rPr>
        <w:t xml:space="preserve">חוק </w:t>
      </w:r>
      <w:r w:rsidR="0033382F">
        <w:rPr>
          <w:rtl/>
          <w:lang w:bidi="he-IL"/>
        </w:rPr>
        <w:t xml:space="preserve">שעות עבודה ומנוחה, </w:t>
      </w:r>
      <w:r w:rsidR="0033382F">
        <w:rPr>
          <w:rFonts w:hint="cs"/>
          <w:rtl/>
          <w:lang w:bidi="he-IL"/>
        </w:rPr>
        <w:t>ה</w:t>
      </w:r>
      <w:r w:rsidR="0033382F">
        <w:rPr>
          <w:rtl/>
          <w:lang w:bidi="he-IL"/>
        </w:rPr>
        <w:t>תשי"א-1951</w:t>
      </w:r>
      <w:r w:rsidR="0033382F">
        <w:rPr>
          <w:rFonts w:hint="cs"/>
          <w:rtl/>
          <w:lang w:bidi="he-IL"/>
        </w:rPr>
        <w:t xml:space="preserve">; </w:t>
      </w:r>
      <w:r w:rsidR="0033382F" w:rsidRPr="0033382F">
        <w:rPr>
          <w:rtl/>
          <w:lang w:bidi="he-IL"/>
        </w:rPr>
        <w:t>חוק מעמדן של ההסתדרות הציונית העולמית ושל הסוכנות הי</w:t>
      </w:r>
      <w:r w:rsidR="0033382F">
        <w:rPr>
          <w:rtl/>
          <w:lang w:bidi="he-IL"/>
        </w:rPr>
        <w:t xml:space="preserve">הודית לארץ-ישראל, </w:t>
      </w:r>
      <w:r w:rsidR="00964316">
        <w:rPr>
          <w:rFonts w:hint="cs"/>
          <w:rtl/>
          <w:lang w:bidi="he-IL"/>
        </w:rPr>
        <w:t>ה</w:t>
      </w:r>
      <w:r w:rsidR="0033382F">
        <w:rPr>
          <w:rtl/>
          <w:lang w:bidi="he-IL"/>
        </w:rPr>
        <w:t>תשי"ג-1952</w:t>
      </w:r>
      <w:r w:rsidR="0033382F">
        <w:rPr>
          <w:rFonts w:hint="cs"/>
          <w:rtl/>
          <w:lang w:bidi="he-IL"/>
        </w:rPr>
        <w:t xml:space="preserve">; </w:t>
      </w:r>
      <w:r w:rsidR="0033382F" w:rsidRPr="0033382F">
        <w:rPr>
          <w:rtl/>
          <w:lang w:bidi="he-IL"/>
        </w:rPr>
        <w:t xml:space="preserve">חוק </w:t>
      </w:r>
      <w:proofErr w:type="spellStart"/>
      <w:r w:rsidR="0033382F" w:rsidRPr="0033382F">
        <w:rPr>
          <w:rtl/>
          <w:lang w:bidi="he-IL"/>
        </w:rPr>
        <w:t>זכרון</w:t>
      </w:r>
      <w:proofErr w:type="spellEnd"/>
      <w:r w:rsidR="0033382F" w:rsidRPr="0033382F">
        <w:rPr>
          <w:rtl/>
          <w:lang w:bidi="he-IL"/>
        </w:rPr>
        <w:t xml:space="preserve"> השואה והגבורה - יד ושם, </w:t>
      </w:r>
      <w:r w:rsidR="0033382F">
        <w:rPr>
          <w:rFonts w:hint="cs"/>
          <w:rtl/>
          <w:lang w:bidi="he-IL"/>
        </w:rPr>
        <w:t>ה</w:t>
      </w:r>
      <w:r w:rsidR="0033382F">
        <w:rPr>
          <w:rtl/>
          <w:lang w:bidi="he-IL"/>
        </w:rPr>
        <w:t>תשי"ג-1953</w:t>
      </w:r>
      <w:r w:rsidR="0033382F">
        <w:rPr>
          <w:rFonts w:hint="cs"/>
          <w:rtl/>
          <w:lang w:bidi="he-IL"/>
        </w:rPr>
        <w:t xml:space="preserve">; </w:t>
      </w:r>
      <w:r w:rsidR="0033382F" w:rsidRPr="0033382F">
        <w:rPr>
          <w:rtl/>
          <w:lang w:bidi="he-IL"/>
        </w:rPr>
        <w:t xml:space="preserve">חוק יום </w:t>
      </w:r>
      <w:proofErr w:type="spellStart"/>
      <w:r w:rsidR="0033382F" w:rsidRPr="0033382F">
        <w:rPr>
          <w:rtl/>
          <w:lang w:bidi="he-IL"/>
        </w:rPr>
        <w:t>הזכר</w:t>
      </w:r>
      <w:r w:rsidR="0033382F">
        <w:rPr>
          <w:rtl/>
          <w:lang w:bidi="he-IL"/>
        </w:rPr>
        <w:t>ון</w:t>
      </w:r>
      <w:proofErr w:type="spellEnd"/>
      <w:r w:rsidR="0033382F">
        <w:rPr>
          <w:rtl/>
          <w:lang w:bidi="he-IL"/>
        </w:rPr>
        <w:t xml:space="preserve"> לשואה ולגבורה, </w:t>
      </w:r>
      <w:r w:rsidR="00964316">
        <w:rPr>
          <w:rFonts w:hint="cs"/>
          <w:rtl/>
          <w:lang w:bidi="he-IL"/>
        </w:rPr>
        <w:t>ה</w:t>
      </w:r>
      <w:r w:rsidR="0033382F">
        <w:rPr>
          <w:rtl/>
          <w:lang w:bidi="he-IL"/>
        </w:rPr>
        <w:t>תשי"ט-1959</w:t>
      </w:r>
      <w:r w:rsidR="0033382F">
        <w:rPr>
          <w:rFonts w:hint="cs"/>
          <w:rtl/>
          <w:lang w:bidi="he-IL"/>
        </w:rPr>
        <w:t xml:space="preserve">; </w:t>
      </w:r>
      <w:r w:rsidR="0033382F" w:rsidRPr="0033382F">
        <w:rPr>
          <w:rtl/>
          <w:lang w:bidi="he-IL"/>
        </w:rPr>
        <w:t xml:space="preserve">חוק השימוש בתאריך העברי, </w:t>
      </w:r>
      <w:r w:rsidR="0033382F">
        <w:rPr>
          <w:rFonts w:hint="cs"/>
          <w:rtl/>
          <w:lang w:bidi="he-IL"/>
        </w:rPr>
        <w:t>ה</w:t>
      </w:r>
      <w:r w:rsidR="0033382F" w:rsidRPr="0033382F">
        <w:rPr>
          <w:rtl/>
          <w:lang w:bidi="he-IL"/>
        </w:rPr>
        <w:t>תשנ"ח-1998</w:t>
      </w:r>
      <w:r w:rsidR="0033382F">
        <w:rPr>
          <w:rFonts w:hint="cs"/>
          <w:rtl/>
          <w:lang w:bidi="he-IL"/>
        </w:rPr>
        <w:t xml:space="preserve">; </w:t>
      </w:r>
      <w:r w:rsidR="0033382F" w:rsidRPr="0033382F">
        <w:rPr>
          <w:rtl/>
          <w:lang w:bidi="he-IL"/>
        </w:rPr>
        <w:t xml:space="preserve">חוק בית התפוצות, </w:t>
      </w:r>
      <w:r w:rsidR="0033382F">
        <w:rPr>
          <w:rFonts w:hint="cs"/>
          <w:rtl/>
          <w:lang w:bidi="he-IL"/>
        </w:rPr>
        <w:t>ה</w:t>
      </w:r>
      <w:r w:rsidR="0033382F">
        <w:rPr>
          <w:rtl/>
          <w:lang w:bidi="he-IL"/>
        </w:rPr>
        <w:t>תשס"ו-2005</w:t>
      </w:r>
      <w:r w:rsidR="0033382F">
        <w:rPr>
          <w:rFonts w:hint="cs"/>
          <w:rtl/>
          <w:lang w:bidi="he-IL"/>
        </w:rPr>
        <w:t xml:space="preserve">; </w:t>
      </w:r>
      <w:r w:rsidR="0033382F">
        <w:rPr>
          <w:rtl/>
          <w:lang w:bidi="he-IL"/>
        </w:rPr>
        <w:t xml:space="preserve">חוק בית העצמאות, </w:t>
      </w:r>
      <w:r w:rsidR="0033382F">
        <w:rPr>
          <w:rFonts w:hint="cs"/>
          <w:rtl/>
          <w:lang w:bidi="he-IL"/>
        </w:rPr>
        <w:t>ה</w:t>
      </w:r>
      <w:r w:rsidR="0033382F">
        <w:rPr>
          <w:rtl/>
          <w:lang w:bidi="he-IL"/>
        </w:rPr>
        <w:t>תשס"ט-2009</w:t>
      </w:r>
      <w:r w:rsidR="0033382F">
        <w:rPr>
          <w:rFonts w:hint="cs"/>
          <w:rtl/>
          <w:lang w:bidi="he-IL"/>
        </w:rPr>
        <w:t xml:space="preserve">; </w:t>
      </w:r>
      <w:r w:rsidR="0033382F" w:rsidRPr="0033382F">
        <w:rPr>
          <w:rtl/>
          <w:lang w:bidi="he-IL"/>
        </w:rPr>
        <w:t xml:space="preserve">חוק יום העלייה, </w:t>
      </w:r>
      <w:r w:rsidR="0033382F">
        <w:rPr>
          <w:rFonts w:hint="cs"/>
          <w:rtl/>
          <w:lang w:bidi="he-IL"/>
        </w:rPr>
        <w:t>ה</w:t>
      </w:r>
      <w:r w:rsidR="0033382F" w:rsidRPr="0033382F">
        <w:rPr>
          <w:rtl/>
          <w:lang w:bidi="he-IL"/>
        </w:rPr>
        <w:t>תשע"ו-2016</w:t>
      </w:r>
      <w:r w:rsidR="0033382F">
        <w:rPr>
          <w:rFonts w:hint="cs"/>
          <w:rtl/>
          <w:lang w:bidi="he-IL"/>
        </w:rPr>
        <w:t>, ועוד רבים אחרים.</w:t>
      </w:r>
    </w:p>
  </w:footnote>
  <w:footnote w:id="3">
    <w:p w14:paraId="4EDE40EA" w14:textId="21C555B2" w:rsidR="00E215AA" w:rsidRPr="00E215AA" w:rsidRDefault="00E215AA" w:rsidP="00E215AA">
      <w:pPr>
        <w:pStyle w:val="FootnoteText"/>
        <w:rPr>
          <w:rFonts w:asciiTheme="minorHAnsi" w:hAnsiTheme="minorHAnsi"/>
          <w:rtl/>
          <w:lang w:bidi="he-IL"/>
        </w:rPr>
      </w:pPr>
      <w:r>
        <w:rPr>
          <w:rStyle w:val="FootnoteReference"/>
        </w:rPr>
        <w:footnoteRef/>
      </w:r>
      <w:r>
        <w:rPr>
          <w:rFonts w:cs="Times New Roman"/>
          <w:rtl/>
        </w:rPr>
        <w:t xml:space="preserve"> </w:t>
      </w:r>
      <w:r w:rsidRPr="00E215AA">
        <w:rPr>
          <w:lang w:bidi="he-IL"/>
        </w:rPr>
        <w:t xml:space="preserve">HCJ 5555/18 </w:t>
      </w:r>
      <w:proofErr w:type="spellStart"/>
      <w:r w:rsidRPr="00E215AA">
        <w:rPr>
          <w:i/>
          <w:iCs/>
          <w:lang w:bidi="he-IL"/>
        </w:rPr>
        <w:t>Hason</w:t>
      </w:r>
      <w:proofErr w:type="spellEnd"/>
      <w:r w:rsidRPr="00E215AA">
        <w:rPr>
          <w:i/>
          <w:iCs/>
          <w:lang w:bidi="he-IL"/>
        </w:rPr>
        <w:t xml:space="preserve"> v. The Knesset</w:t>
      </w:r>
      <w:r w:rsidRPr="00E215AA">
        <w:rPr>
          <w:lang w:bidi="he-IL"/>
        </w:rPr>
        <w:t xml:space="preserve"> (8.7.2021</w:t>
      </w:r>
      <w:r>
        <w:rPr>
          <w:rFonts w:asciiTheme="minorHAnsi" w:hAnsiTheme="minorHAnsi"/>
          <w:lang w:bidi="he-IL"/>
        </w:rPr>
        <w:t>)</w:t>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יהודית">
    <w15:presenceInfo w15:providerId="None" w15:userId="יהודית"/>
  </w15:person>
  <w15:person w15:author="יהודית דורי דסטון">
    <w15:presenceInfo w15:providerId="AD" w15:userId="S-1-5-21-1619549896-2066299979-666803915-1971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1545"/>
    <w:rsid w:val="000D0762"/>
    <w:rsid w:val="001C6309"/>
    <w:rsid w:val="001D5574"/>
    <w:rsid w:val="001D5878"/>
    <w:rsid w:val="001F5014"/>
    <w:rsid w:val="00210C70"/>
    <w:rsid w:val="002134BF"/>
    <w:rsid w:val="00227779"/>
    <w:rsid w:val="00283240"/>
    <w:rsid w:val="00310014"/>
    <w:rsid w:val="00312C95"/>
    <w:rsid w:val="00333210"/>
    <w:rsid w:val="0033382F"/>
    <w:rsid w:val="00341E01"/>
    <w:rsid w:val="00341EB0"/>
    <w:rsid w:val="00361D71"/>
    <w:rsid w:val="003A2B87"/>
    <w:rsid w:val="003D5E6E"/>
    <w:rsid w:val="00433441"/>
    <w:rsid w:val="00472DA2"/>
    <w:rsid w:val="004A7004"/>
    <w:rsid w:val="004A7F63"/>
    <w:rsid w:val="004B798F"/>
    <w:rsid w:val="00502900"/>
    <w:rsid w:val="0051068A"/>
    <w:rsid w:val="0053258A"/>
    <w:rsid w:val="00571130"/>
    <w:rsid w:val="005967BD"/>
    <w:rsid w:val="005A3C24"/>
    <w:rsid w:val="005A52C2"/>
    <w:rsid w:val="005A6693"/>
    <w:rsid w:val="00601C69"/>
    <w:rsid w:val="00614F80"/>
    <w:rsid w:val="00632618"/>
    <w:rsid w:val="007328EB"/>
    <w:rsid w:val="00753969"/>
    <w:rsid w:val="007857FF"/>
    <w:rsid w:val="007A46D8"/>
    <w:rsid w:val="007F5CB7"/>
    <w:rsid w:val="008148BD"/>
    <w:rsid w:val="00817051"/>
    <w:rsid w:val="008900E9"/>
    <w:rsid w:val="00897AED"/>
    <w:rsid w:val="008B754F"/>
    <w:rsid w:val="009215DA"/>
    <w:rsid w:val="0092189D"/>
    <w:rsid w:val="00926850"/>
    <w:rsid w:val="00940458"/>
    <w:rsid w:val="00951EFF"/>
    <w:rsid w:val="00964316"/>
    <w:rsid w:val="009E0A75"/>
    <w:rsid w:val="00A02CEB"/>
    <w:rsid w:val="00A14D96"/>
    <w:rsid w:val="00A51C70"/>
    <w:rsid w:val="00A53EC4"/>
    <w:rsid w:val="00AD7730"/>
    <w:rsid w:val="00AE5412"/>
    <w:rsid w:val="00B5363D"/>
    <w:rsid w:val="00B96191"/>
    <w:rsid w:val="00B96725"/>
    <w:rsid w:val="00BA40CC"/>
    <w:rsid w:val="00BD2A8B"/>
    <w:rsid w:val="00BE4C0F"/>
    <w:rsid w:val="00C13E8C"/>
    <w:rsid w:val="00C165E3"/>
    <w:rsid w:val="00C23777"/>
    <w:rsid w:val="00C23921"/>
    <w:rsid w:val="00C30814"/>
    <w:rsid w:val="00C32ADF"/>
    <w:rsid w:val="00C75FBA"/>
    <w:rsid w:val="00D91EB5"/>
    <w:rsid w:val="00D97392"/>
    <w:rsid w:val="00DB174A"/>
    <w:rsid w:val="00DD1D6A"/>
    <w:rsid w:val="00DE793D"/>
    <w:rsid w:val="00E2010E"/>
    <w:rsid w:val="00E215AA"/>
    <w:rsid w:val="00E21DAD"/>
    <w:rsid w:val="00E5257E"/>
    <w:rsid w:val="00E56784"/>
    <w:rsid w:val="00E67019"/>
    <w:rsid w:val="00EF7FD8"/>
    <w:rsid w:val="00F122FF"/>
    <w:rsid w:val="00F637B1"/>
    <w:rsid w:val="00F67151"/>
    <w:rsid w:val="00F83B4E"/>
    <w:rsid w:val="00F8708E"/>
    <w:rsid w:val="00F91545"/>
    <w:rsid w:val="00FA0A7A"/>
    <w:rsid w:val="00FB1FB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529C6C"/>
  <w15:chartTrackingRefBased/>
  <w15:docId w15:val="{AFCBCBE8-BE30-4DA6-BC3E-6105C90E4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Arial Unicode MS"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1EB5"/>
    <w:pPr>
      <w:bidi/>
      <w:spacing w:after="0" w:line="360" w:lineRule="auto"/>
      <w:jc w:val="both"/>
    </w:pPr>
    <w:rPr>
      <w:rFonts w:ascii="David" w:hAnsi="David" w:cs="David"/>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D91EB5"/>
    <w:pPr>
      <w:spacing w:line="240" w:lineRule="auto"/>
    </w:pPr>
    <w:rPr>
      <w:sz w:val="20"/>
      <w:szCs w:val="20"/>
    </w:rPr>
  </w:style>
  <w:style w:type="character" w:customStyle="1" w:styleId="FootnoteTextChar">
    <w:name w:val="Footnote Text Char"/>
    <w:basedOn w:val="DefaultParagraphFont"/>
    <w:link w:val="FootnoteText"/>
    <w:uiPriority w:val="99"/>
    <w:rsid w:val="00D91EB5"/>
    <w:rPr>
      <w:rFonts w:cs="David"/>
      <w:sz w:val="20"/>
      <w:szCs w:val="20"/>
    </w:rPr>
  </w:style>
  <w:style w:type="character" w:styleId="FootnoteReference">
    <w:name w:val="footnote reference"/>
    <w:basedOn w:val="DefaultParagraphFont"/>
    <w:uiPriority w:val="99"/>
    <w:unhideWhenUsed/>
    <w:rsid w:val="00D91EB5"/>
    <w:rPr>
      <w:rFonts w:ascii="David" w:hAnsi="David" w:cs="David"/>
      <w:vertAlign w:val="superscript"/>
    </w:rPr>
  </w:style>
  <w:style w:type="character" w:styleId="CommentReference">
    <w:name w:val="annotation reference"/>
    <w:basedOn w:val="DefaultParagraphFont"/>
    <w:uiPriority w:val="99"/>
    <w:semiHidden/>
    <w:unhideWhenUsed/>
    <w:rsid w:val="00DD1D6A"/>
    <w:rPr>
      <w:sz w:val="16"/>
      <w:szCs w:val="16"/>
    </w:rPr>
  </w:style>
  <w:style w:type="paragraph" w:styleId="CommentText">
    <w:name w:val="annotation text"/>
    <w:basedOn w:val="Normal"/>
    <w:link w:val="CommentTextChar"/>
    <w:uiPriority w:val="99"/>
    <w:semiHidden/>
    <w:unhideWhenUsed/>
    <w:rsid w:val="00DD1D6A"/>
    <w:pPr>
      <w:spacing w:line="240" w:lineRule="auto"/>
    </w:pPr>
    <w:rPr>
      <w:sz w:val="20"/>
      <w:szCs w:val="20"/>
    </w:rPr>
  </w:style>
  <w:style w:type="character" w:customStyle="1" w:styleId="CommentTextChar">
    <w:name w:val="Comment Text Char"/>
    <w:basedOn w:val="DefaultParagraphFont"/>
    <w:link w:val="CommentText"/>
    <w:uiPriority w:val="99"/>
    <w:semiHidden/>
    <w:rsid w:val="00DD1D6A"/>
    <w:rPr>
      <w:rFonts w:ascii="David" w:hAnsi="David" w:cs="David"/>
      <w:sz w:val="20"/>
      <w:szCs w:val="20"/>
      <w:lang w:bidi="ar-SA"/>
    </w:rPr>
  </w:style>
  <w:style w:type="paragraph" w:styleId="CommentSubject">
    <w:name w:val="annotation subject"/>
    <w:basedOn w:val="CommentText"/>
    <w:next w:val="CommentText"/>
    <w:link w:val="CommentSubjectChar"/>
    <w:uiPriority w:val="99"/>
    <w:semiHidden/>
    <w:unhideWhenUsed/>
    <w:rsid w:val="00DD1D6A"/>
    <w:rPr>
      <w:b/>
      <w:bCs/>
    </w:rPr>
  </w:style>
  <w:style w:type="character" w:customStyle="1" w:styleId="CommentSubjectChar">
    <w:name w:val="Comment Subject Char"/>
    <w:basedOn w:val="CommentTextChar"/>
    <w:link w:val="CommentSubject"/>
    <w:uiPriority w:val="99"/>
    <w:semiHidden/>
    <w:rsid w:val="00DD1D6A"/>
    <w:rPr>
      <w:rFonts w:ascii="David" w:hAnsi="David" w:cs="David"/>
      <w:b/>
      <w:bCs/>
      <w:sz w:val="20"/>
      <w:szCs w:val="20"/>
      <w:lang w:bidi="ar-SA"/>
    </w:rPr>
  </w:style>
  <w:style w:type="paragraph" w:styleId="BalloonText">
    <w:name w:val="Balloon Text"/>
    <w:basedOn w:val="Normal"/>
    <w:link w:val="BalloonTextChar"/>
    <w:uiPriority w:val="99"/>
    <w:semiHidden/>
    <w:unhideWhenUsed/>
    <w:rsid w:val="00DD1D6A"/>
    <w:pPr>
      <w:spacing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DD1D6A"/>
    <w:rPr>
      <w:rFonts w:ascii="Tahoma" w:hAnsi="Tahoma" w:cs="Tahoma"/>
      <w:sz w:val="18"/>
      <w:szCs w:val="1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5DA7C4-C9C3-41D7-A008-770806295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1248</Words>
  <Characters>6070</Characters>
  <Application>Microsoft Office Word</Application>
  <DocSecurity>0</DocSecurity>
  <Lines>99</Lines>
  <Paragraphs>10</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Microsoft</Company>
  <LinksUpToDate>false</LinksUpToDate>
  <CharactersWithSpaces>7308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יהודית</dc:creator>
  <cp:keywords/>
  <dc:description/>
  <cp:lastModifiedBy>Susan</cp:lastModifiedBy>
  <cp:revision>2</cp:revision>
  <dcterms:created xsi:type="dcterms:W3CDTF">2021-08-03T17:55:00Z</dcterms:created>
  <dcterms:modified xsi:type="dcterms:W3CDTF">2021-08-03T17:55:00Z</dcterms:modified>
</cp:coreProperties>
</file>