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C6899" w14:textId="77777777" w:rsidR="007B763B" w:rsidRPr="008F3D9C" w:rsidRDefault="006335A7" w:rsidP="00F16D4A">
      <w:pPr>
        <w:spacing w:after="0" w:line="360" w:lineRule="auto"/>
        <w:rPr>
          <w:rFonts w:eastAsiaTheme="majorEastAsia"/>
          <w:b/>
          <w:bCs/>
          <w:noProof/>
          <w:color w:val="FFFFFF" w:themeColor="background1"/>
          <w:sz w:val="24"/>
          <w:szCs w:val="24"/>
          <w:lang w:bidi="ar-SA"/>
        </w:rPr>
      </w:pPr>
      <w:r w:rsidRPr="008F3D9C">
        <w:rPr>
          <w:rFonts w:asciiTheme="minorBidi" w:eastAsiaTheme="majorEastAsia" w:hAnsiTheme="minorBidi"/>
          <w:b/>
          <w:bCs/>
          <w:noProof/>
          <w:color w:val="FFFFFF" w:themeColor="background1"/>
          <w:sz w:val="24"/>
          <w:szCs w:val="24"/>
        </w:rPr>
        <w:drawing>
          <wp:anchor distT="0" distB="0" distL="114300" distR="114300" simplePos="0" relativeHeight="251661312" behindDoc="1" locked="0" layoutInCell="1" allowOverlap="1" wp14:anchorId="3273733E" wp14:editId="1218D842">
            <wp:simplePos x="0" y="0"/>
            <wp:positionH relativeFrom="column">
              <wp:posOffset>-86360</wp:posOffset>
            </wp:positionH>
            <wp:positionV relativeFrom="paragraph">
              <wp:posOffset>-843744</wp:posOffset>
            </wp:positionV>
            <wp:extent cx="6645275" cy="9979025"/>
            <wp:effectExtent l="0" t="0" r="3175" b="3175"/>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275" cy="9979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41F0" w:rsidRPr="008F3D9C">
        <w:rPr>
          <w:rFonts w:eastAsiaTheme="majorEastAsia"/>
          <w:b/>
          <w:bCs/>
          <w:noProof/>
          <w:color w:val="FFFFFF" w:themeColor="background1"/>
          <w:sz w:val="96"/>
          <w:szCs w:val="96"/>
          <w:lang w:bidi="ar-SA"/>
        </w:rPr>
        <w:t xml:space="preserve">Food Waste and </w:t>
      </w:r>
    </w:p>
    <w:p w14:paraId="5135B14A" w14:textId="77777777" w:rsidR="002741F0" w:rsidRPr="008F3D9C" w:rsidRDefault="002741F0" w:rsidP="006335A7">
      <w:pPr>
        <w:spacing w:after="0" w:line="360" w:lineRule="auto"/>
        <w:rPr>
          <w:rFonts w:eastAsiaTheme="majorEastAsia"/>
          <w:b/>
          <w:bCs/>
          <w:noProof/>
          <w:color w:val="FFFFFF" w:themeColor="background1"/>
          <w:sz w:val="96"/>
          <w:szCs w:val="96"/>
          <w:lang w:bidi="ar-SA"/>
        </w:rPr>
      </w:pPr>
      <w:r w:rsidRPr="008F3D9C">
        <w:rPr>
          <w:rFonts w:eastAsiaTheme="majorEastAsia"/>
          <w:b/>
          <w:bCs/>
          <w:noProof/>
          <w:color w:val="FFFFFF" w:themeColor="background1"/>
          <w:sz w:val="96"/>
          <w:szCs w:val="96"/>
          <w:lang w:bidi="ar-SA"/>
        </w:rPr>
        <w:t>Rescue in Israel</w:t>
      </w:r>
    </w:p>
    <w:p w14:paraId="13DF3974" w14:textId="77777777" w:rsidR="002741F0" w:rsidRPr="008F3D9C" w:rsidRDefault="002741F0" w:rsidP="006335A7">
      <w:pPr>
        <w:spacing w:after="0" w:line="360" w:lineRule="auto"/>
        <w:rPr>
          <w:rFonts w:eastAsiaTheme="majorEastAsia"/>
          <w:b/>
          <w:bCs/>
          <w:i/>
          <w:iCs/>
          <w:noProof/>
          <w:color w:val="FFFFFF" w:themeColor="background1"/>
          <w:sz w:val="48"/>
          <w:szCs w:val="48"/>
          <w:lang w:bidi="ar-SA"/>
        </w:rPr>
      </w:pPr>
      <w:r w:rsidRPr="008F3D9C">
        <w:rPr>
          <w:rFonts w:eastAsiaTheme="majorEastAsia"/>
          <w:b/>
          <w:bCs/>
          <w:i/>
          <w:iCs/>
          <w:noProof/>
          <w:color w:val="FFFFFF" w:themeColor="background1"/>
          <w:sz w:val="48"/>
          <w:szCs w:val="48"/>
          <w:lang w:bidi="ar-SA"/>
        </w:rPr>
        <w:t xml:space="preserve">Economic, Social </w:t>
      </w:r>
      <w:r w:rsidR="006335A7" w:rsidRPr="008F3D9C">
        <w:rPr>
          <w:rFonts w:eastAsiaTheme="majorEastAsia"/>
          <w:b/>
          <w:bCs/>
          <w:i/>
          <w:iCs/>
          <w:noProof/>
          <w:color w:val="FFFFFF" w:themeColor="background1"/>
          <w:sz w:val="48"/>
          <w:szCs w:val="48"/>
          <w:lang w:bidi="ar-SA"/>
        </w:rPr>
        <w:t xml:space="preserve">&amp; </w:t>
      </w:r>
      <w:r w:rsidRPr="008F3D9C">
        <w:rPr>
          <w:rFonts w:eastAsiaTheme="majorEastAsia"/>
          <w:b/>
          <w:bCs/>
          <w:i/>
          <w:iCs/>
          <w:noProof/>
          <w:color w:val="FFFFFF" w:themeColor="background1"/>
          <w:sz w:val="48"/>
          <w:szCs w:val="48"/>
          <w:lang w:bidi="ar-SA"/>
        </w:rPr>
        <w:t>Environmental Impacts</w:t>
      </w:r>
    </w:p>
    <w:p w14:paraId="75ABDB3F" w14:textId="77777777" w:rsidR="006335A7" w:rsidRPr="008F3D9C" w:rsidRDefault="00FC671C" w:rsidP="00FC671C">
      <w:pPr>
        <w:spacing w:after="0" w:line="360" w:lineRule="auto"/>
        <w:rPr>
          <w:rFonts w:eastAsiaTheme="majorEastAsia"/>
          <w:b/>
          <w:bCs/>
          <w:i/>
          <w:iCs/>
          <w:noProof/>
          <w:color w:val="FFFFFF" w:themeColor="background1"/>
          <w:sz w:val="48"/>
          <w:szCs w:val="48"/>
          <w:lang w:bidi="ar-SA"/>
        </w:rPr>
      </w:pPr>
      <w:r>
        <w:rPr>
          <w:rFonts w:eastAsiaTheme="majorEastAsia"/>
          <w:b/>
          <w:bCs/>
          <w:i/>
          <w:iCs/>
          <w:noProof/>
          <w:color w:val="FFFFFF" w:themeColor="background1"/>
          <w:sz w:val="48"/>
          <w:szCs w:val="48"/>
          <w:lang w:bidi="ar-SA"/>
        </w:rPr>
        <w:t xml:space="preserve">Third </w:t>
      </w:r>
      <w:r w:rsidR="002741F0" w:rsidRPr="008F3D9C">
        <w:rPr>
          <w:rFonts w:eastAsiaTheme="majorEastAsia"/>
          <w:b/>
          <w:bCs/>
          <w:i/>
          <w:iCs/>
          <w:noProof/>
          <w:color w:val="FFFFFF" w:themeColor="background1"/>
          <w:sz w:val="48"/>
          <w:szCs w:val="48"/>
          <w:lang w:bidi="ar-SA"/>
        </w:rPr>
        <w:t>National Report</w:t>
      </w:r>
    </w:p>
    <w:p w14:paraId="5D07045C" w14:textId="77777777" w:rsidR="002741F0" w:rsidRPr="008F3D9C" w:rsidRDefault="00FC671C" w:rsidP="006335A7">
      <w:pPr>
        <w:spacing w:after="0" w:line="360" w:lineRule="auto"/>
        <w:rPr>
          <w:rFonts w:eastAsiaTheme="majorEastAsia"/>
          <w:b/>
          <w:bCs/>
          <w:i/>
          <w:iCs/>
          <w:noProof/>
          <w:color w:val="FFFFFF" w:themeColor="background1"/>
          <w:sz w:val="48"/>
          <w:szCs w:val="48"/>
          <w:lang w:bidi="ar-SA"/>
        </w:rPr>
      </w:pPr>
      <w:r>
        <w:rPr>
          <w:rFonts w:eastAsiaTheme="majorEastAsia"/>
          <w:b/>
          <w:bCs/>
          <w:i/>
          <w:iCs/>
          <w:noProof/>
          <w:color w:val="FFFFFF" w:themeColor="background1"/>
          <w:sz w:val="52"/>
          <w:szCs w:val="52"/>
          <w:lang w:bidi="ar-SA"/>
        </w:rPr>
        <w:t>2017</w:t>
      </w:r>
    </w:p>
    <w:p w14:paraId="713F1CA7" w14:textId="77777777" w:rsidR="006335A7" w:rsidRPr="008F3D9C" w:rsidRDefault="006335A7" w:rsidP="006335A7">
      <w:pPr>
        <w:spacing w:after="0" w:line="480" w:lineRule="auto"/>
        <w:rPr>
          <w:rFonts w:eastAsiaTheme="majorEastAsia"/>
          <w:b/>
          <w:bCs/>
          <w:i/>
          <w:iCs/>
          <w:noProof/>
          <w:color w:val="FFFFFF" w:themeColor="background1"/>
          <w:sz w:val="48"/>
          <w:szCs w:val="48"/>
          <w:lang w:bidi="ar-SA"/>
        </w:rPr>
      </w:pPr>
    </w:p>
    <w:p w14:paraId="1D3B2DB4" w14:textId="77777777" w:rsidR="002741F0" w:rsidRPr="008F3D9C" w:rsidRDefault="002741F0" w:rsidP="006335A7">
      <w:pPr>
        <w:spacing w:after="0" w:line="480" w:lineRule="auto"/>
        <w:rPr>
          <w:rFonts w:eastAsiaTheme="majorEastAsia"/>
          <w:b/>
          <w:bCs/>
          <w:noProof/>
          <w:color w:val="FFFFFF" w:themeColor="background1"/>
          <w:sz w:val="48"/>
          <w:szCs w:val="48"/>
          <w:lang w:bidi="ar-SA"/>
        </w:rPr>
      </w:pPr>
      <w:r w:rsidRPr="008F3D9C">
        <w:rPr>
          <w:rFonts w:eastAsiaTheme="majorEastAsia"/>
          <w:b/>
          <w:bCs/>
          <w:noProof/>
          <w:color w:val="FFFFFF" w:themeColor="background1"/>
          <w:sz w:val="48"/>
          <w:szCs w:val="48"/>
          <w:lang w:bidi="ar-SA"/>
        </w:rPr>
        <w:t>Presented by Leket Israel</w:t>
      </w:r>
    </w:p>
    <w:p w14:paraId="02550FC3" w14:textId="77777777" w:rsidR="002741F0" w:rsidRPr="008F3D9C" w:rsidRDefault="002741F0" w:rsidP="006335A7">
      <w:pPr>
        <w:spacing w:line="480" w:lineRule="auto"/>
        <w:rPr>
          <w:rFonts w:eastAsiaTheme="majorEastAsia"/>
          <w:b/>
          <w:bCs/>
          <w:noProof/>
          <w:color w:val="FFFFFF" w:themeColor="background1"/>
          <w:sz w:val="48"/>
          <w:szCs w:val="48"/>
          <w:lang w:bidi="ar-SA"/>
        </w:rPr>
      </w:pPr>
      <w:r w:rsidRPr="008F3D9C">
        <w:rPr>
          <w:rFonts w:eastAsiaTheme="majorEastAsia"/>
          <w:b/>
          <w:bCs/>
          <w:noProof/>
          <w:color w:val="FFFFFF" w:themeColor="background1"/>
          <w:sz w:val="48"/>
          <w:szCs w:val="48"/>
          <w:lang w:bidi="ar-SA"/>
        </w:rPr>
        <w:t>Prepared by BDO Ziv Haft</w:t>
      </w:r>
    </w:p>
    <w:p w14:paraId="144A5641" w14:textId="77777777" w:rsidR="006335A7" w:rsidRPr="008F3D9C" w:rsidRDefault="00FC671C" w:rsidP="00FC671C">
      <w:pPr>
        <w:spacing w:line="480" w:lineRule="auto"/>
        <w:rPr>
          <w:rFonts w:eastAsiaTheme="majorEastAsia"/>
          <w:b/>
          <w:bCs/>
          <w:noProof/>
          <w:color w:val="FFFFFF" w:themeColor="background1"/>
          <w:sz w:val="48"/>
          <w:szCs w:val="48"/>
          <w:lang w:bidi="ar-SA"/>
        </w:rPr>
      </w:pPr>
      <w:r>
        <w:rPr>
          <w:rFonts w:eastAsiaTheme="majorEastAsia"/>
          <w:b/>
          <w:bCs/>
          <w:i/>
          <w:iCs/>
          <w:noProof/>
          <w:color w:val="FFFFFF" w:themeColor="background1"/>
          <w:sz w:val="48"/>
          <w:szCs w:val="48"/>
          <w:lang w:bidi="ar-SA"/>
        </w:rPr>
        <w:lastRenderedPageBreak/>
        <w:t>Jan</w:t>
      </w:r>
      <w:r w:rsidR="002741F0" w:rsidRPr="008F3D9C">
        <w:rPr>
          <w:rFonts w:eastAsiaTheme="majorEastAsia"/>
          <w:b/>
          <w:bCs/>
          <w:i/>
          <w:iCs/>
          <w:noProof/>
          <w:color w:val="FFFFFF" w:themeColor="background1"/>
          <w:sz w:val="48"/>
          <w:szCs w:val="48"/>
          <w:lang w:bidi="ar-SA"/>
        </w:rPr>
        <w:t xml:space="preserve">. </w:t>
      </w:r>
      <w:r w:rsidR="00B532F6" w:rsidRPr="008F3D9C">
        <w:rPr>
          <w:rFonts w:eastAsiaTheme="majorEastAsia"/>
          <w:b/>
          <w:bCs/>
          <w:i/>
          <w:iCs/>
          <w:noProof/>
          <w:color w:val="FFFFFF" w:themeColor="background1"/>
          <w:sz w:val="48"/>
          <w:szCs w:val="48"/>
          <w:lang w:bidi="ar-SA"/>
        </w:rPr>
        <w:t>1</w:t>
      </w:r>
      <w:r>
        <w:rPr>
          <w:rFonts w:eastAsiaTheme="majorEastAsia"/>
          <w:b/>
          <w:bCs/>
          <w:i/>
          <w:iCs/>
          <w:noProof/>
          <w:color w:val="FFFFFF" w:themeColor="background1"/>
          <w:sz w:val="48"/>
          <w:szCs w:val="48"/>
          <w:lang w:bidi="ar-SA"/>
        </w:rPr>
        <w:t>5</w:t>
      </w:r>
      <w:r w:rsidR="002741F0" w:rsidRPr="008F3D9C">
        <w:rPr>
          <w:rFonts w:eastAsiaTheme="majorEastAsia"/>
          <w:b/>
          <w:bCs/>
          <w:i/>
          <w:iCs/>
          <w:noProof/>
          <w:color w:val="FFFFFF" w:themeColor="background1"/>
          <w:sz w:val="48"/>
          <w:szCs w:val="48"/>
          <w:lang w:bidi="ar-SA"/>
        </w:rPr>
        <w:t>, 201</w:t>
      </w:r>
      <w:r>
        <w:rPr>
          <w:rFonts w:eastAsiaTheme="majorEastAsia"/>
          <w:b/>
          <w:bCs/>
          <w:i/>
          <w:iCs/>
          <w:noProof/>
          <w:color w:val="FFFFFF" w:themeColor="background1"/>
          <w:sz w:val="48"/>
          <w:szCs w:val="48"/>
          <w:lang w:bidi="ar-SA"/>
        </w:rPr>
        <w:t>8</w:t>
      </w:r>
    </w:p>
    <w:p w14:paraId="02DBA7C1" w14:textId="77777777" w:rsidR="002741F0" w:rsidRPr="008F3D9C" w:rsidRDefault="0057048D" w:rsidP="00FC671C">
      <w:pPr>
        <w:spacing w:line="480" w:lineRule="auto"/>
        <w:rPr>
          <w:rFonts w:ascii="Calibri" w:eastAsia="Calibri" w:hAnsi="Calibri" w:cs="Arial"/>
          <w:i/>
          <w:iCs/>
          <w:sz w:val="48"/>
          <w:szCs w:val="48"/>
        </w:rPr>
      </w:pPr>
      <w:r w:rsidRPr="008F3D9C">
        <w:rPr>
          <w:rFonts w:asciiTheme="minorBidi" w:eastAsiaTheme="majorEastAsia" w:hAnsiTheme="minorBidi"/>
          <w:noProof/>
          <w:color w:val="FFFFFF" w:themeColor="background1"/>
          <w:sz w:val="44"/>
          <w:szCs w:val="44"/>
        </w:rPr>
        <w:drawing>
          <wp:anchor distT="0" distB="0" distL="114300" distR="114300" simplePos="0" relativeHeight="251663360" behindDoc="1" locked="0" layoutInCell="1" allowOverlap="1" wp14:anchorId="5E2D216F" wp14:editId="046887C7">
            <wp:simplePos x="0" y="0"/>
            <wp:positionH relativeFrom="column">
              <wp:posOffset>-234315</wp:posOffset>
            </wp:positionH>
            <wp:positionV relativeFrom="paragraph">
              <wp:posOffset>1515110</wp:posOffset>
            </wp:positionV>
            <wp:extent cx="2099945" cy="795020"/>
            <wp:effectExtent l="0" t="0" r="0" b="5080"/>
            <wp:wrapTight wrapText="bothSides">
              <wp:wrapPolygon edited="0">
                <wp:start x="0" y="0"/>
                <wp:lineTo x="0" y="21220"/>
                <wp:lineTo x="21358" y="21220"/>
                <wp:lineTo x="21358" y="0"/>
                <wp:lineTo x="0" y="0"/>
              </wp:wrapPolygon>
            </wp:wrapTight>
            <wp:docPr id="11" name="תמונה 16" descr="paper TA-Y CONSUL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 TA-Y CONSULTING-1.jpg"/>
                    <pic:cNvPicPr/>
                  </pic:nvPicPr>
                  <pic:blipFill>
                    <a:blip r:embed="rId10" cstate="print"/>
                    <a:srcRect r="74123"/>
                    <a:stretch>
                      <a:fillRect/>
                    </a:stretch>
                  </pic:blipFill>
                  <pic:spPr>
                    <a:xfrm>
                      <a:off x="0" y="0"/>
                      <a:ext cx="2099945" cy="795020"/>
                    </a:xfrm>
                    <a:prstGeom prst="rect">
                      <a:avLst/>
                    </a:prstGeom>
                  </pic:spPr>
                </pic:pic>
              </a:graphicData>
            </a:graphic>
          </wp:anchor>
        </w:drawing>
      </w:r>
      <w:r w:rsidRPr="008F3D9C">
        <w:rPr>
          <w:rFonts w:asciiTheme="minorBidi" w:eastAsiaTheme="majorEastAsia" w:hAnsiTheme="minorBidi"/>
          <w:noProof/>
          <w:color w:val="FFFFFF" w:themeColor="background1"/>
          <w:sz w:val="44"/>
          <w:szCs w:val="44"/>
        </w:rPr>
        <w:drawing>
          <wp:anchor distT="0" distB="0" distL="114300" distR="114300" simplePos="0" relativeHeight="251664384" behindDoc="0" locked="0" layoutInCell="1" allowOverlap="1" wp14:anchorId="392D98B6" wp14:editId="25485988">
            <wp:simplePos x="0" y="0"/>
            <wp:positionH relativeFrom="column">
              <wp:posOffset>5389880</wp:posOffset>
            </wp:positionH>
            <wp:positionV relativeFrom="paragraph">
              <wp:posOffset>1292225</wp:posOffset>
            </wp:positionV>
            <wp:extent cx="1021080" cy="1021080"/>
            <wp:effectExtent l="0" t="0" r="7620" b="7620"/>
            <wp:wrapNone/>
            <wp:docPr id="7"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 new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1080" cy="1021080"/>
                    </a:xfrm>
                    <a:prstGeom prst="rect">
                      <a:avLst/>
                    </a:prstGeom>
                  </pic:spPr>
                </pic:pic>
              </a:graphicData>
            </a:graphic>
          </wp:anchor>
        </w:drawing>
      </w:r>
      <w:r w:rsidR="006335A7" w:rsidRPr="008F3D9C">
        <w:rPr>
          <w:rFonts w:eastAsiaTheme="majorEastAsia"/>
          <w:noProof/>
          <w:color w:val="FFFFFF" w:themeColor="background1"/>
          <w:sz w:val="44"/>
          <w:szCs w:val="44"/>
          <w:lang w:bidi="ar-SA"/>
        </w:rPr>
        <w:t>–</w:t>
      </w:r>
      <w:r w:rsidR="00FC671C">
        <w:rPr>
          <w:rFonts w:eastAsiaTheme="majorEastAsia"/>
          <w:noProof/>
          <w:color w:val="FFFFFF" w:themeColor="background1"/>
          <w:sz w:val="44"/>
          <w:szCs w:val="44"/>
          <w:lang w:bidi="ar-SA"/>
        </w:rPr>
        <w:t>Fourth</w:t>
      </w:r>
      <w:r w:rsidR="006335A7" w:rsidRPr="008F3D9C">
        <w:rPr>
          <w:rFonts w:eastAsiaTheme="majorEastAsia"/>
          <w:noProof/>
          <w:color w:val="FFFFFF" w:themeColor="background1"/>
          <w:sz w:val="44"/>
          <w:szCs w:val="44"/>
          <w:lang w:bidi="ar-SA"/>
        </w:rPr>
        <w:t xml:space="preserve"> draft–</w:t>
      </w:r>
      <w:r w:rsidR="002741F0" w:rsidRPr="008F3D9C">
        <w:rPr>
          <w:rFonts w:ascii="Calibri" w:eastAsia="Calibri" w:hAnsi="Calibri" w:cs="Arial"/>
          <w:i/>
          <w:iCs/>
          <w:sz w:val="48"/>
          <w:szCs w:val="48"/>
        </w:rPr>
        <w:br w:type="page"/>
      </w:r>
    </w:p>
    <w:p w14:paraId="3FBF3AB4" w14:textId="77777777" w:rsidR="002536CC" w:rsidRPr="008F3D9C" w:rsidRDefault="002536CC" w:rsidP="0061604E">
      <w:pPr>
        <w:pStyle w:val="Heading1"/>
        <w:numPr>
          <w:ilvl w:val="0"/>
          <w:numId w:val="0"/>
        </w:numPr>
        <w:ind w:left="567" w:hanging="567"/>
        <w:rPr>
          <w:i/>
          <w:sz w:val="48"/>
          <w:szCs w:val="48"/>
          <w:rtl/>
        </w:rPr>
      </w:pPr>
      <w:bookmarkStart w:id="0" w:name="_Toc505547250"/>
      <w:r w:rsidRPr="008F3D9C">
        <w:lastRenderedPageBreak/>
        <w:t>Introduction</w:t>
      </w:r>
      <w:bookmarkEnd w:id="0"/>
    </w:p>
    <w:p w14:paraId="263BEFF3" w14:textId="3F0BF96A" w:rsidR="006B338B" w:rsidRDefault="00E56310" w:rsidP="00CC283B">
      <w:pPr>
        <w:pStyle w:val="BodyText"/>
      </w:pPr>
      <w:r>
        <w:t xml:space="preserve">Food </w:t>
      </w:r>
      <w:r w:rsidR="006B338B">
        <w:t xml:space="preserve">waste and rescue is at the center of public discourse </w:t>
      </w:r>
      <w:r w:rsidR="00716703">
        <w:t>worldwide</w:t>
      </w:r>
      <w:r w:rsidR="006B338B">
        <w:t>. Experts and policy-</w:t>
      </w:r>
      <w:r w:rsidR="00716703">
        <w:t>makers</w:t>
      </w:r>
      <w:r w:rsidR="006B338B">
        <w:t xml:space="preserve"> are in broad agreement that food waste causes substantial </w:t>
      </w:r>
      <w:r w:rsidR="00370090">
        <w:t xml:space="preserve">negative </w:t>
      </w:r>
      <w:r w:rsidR="006B338B">
        <w:t>economic, environmental and social</w:t>
      </w:r>
      <w:r w:rsidR="000440EF">
        <w:t xml:space="preserve"> </w:t>
      </w:r>
      <w:r w:rsidR="00370090">
        <w:t>impact</w:t>
      </w:r>
      <w:r w:rsidR="006B338B">
        <w:t xml:space="preserve">, and that the most effective means for limiting this </w:t>
      </w:r>
      <w:r w:rsidR="00370090">
        <w:t xml:space="preserve">impact </w:t>
      </w:r>
      <w:r w:rsidR="00BF511D">
        <w:t xml:space="preserve">is </w:t>
      </w:r>
      <w:r w:rsidR="00716703">
        <w:t>to</w:t>
      </w:r>
      <w:r w:rsidR="00AD79E9" w:rsidRPr="00AD79E9">
        <w:t xml:space="preserve"> </w:t>
      </w:r>
      <w:r w:rsidR="00716703">
        <w:t>prevent, as much as possible, the</w:t>
      </w:r>
      <w:r w:rsidR="00AD79E9">
        <w:t xml:space="preserve"> creation of excess food</w:t>
      </w:r>
      <w:r w:rsidR="00E81189">
        <w:t xml:space="preserve"> and to </w:t>
      </w:r>
      <w:r w:rsidR="007A5C55">
        <w:t xml:space="preserve">transfer surplus </w:t>
      </w:r>
      <w:r w:rsidR="00716703">
        <w:t xml:space="preserve">to </w:t>
      </w:r>
      <w:r w:rsidR="006B338B">
        <w:t xml:space="preserve">populations experiencing food insecurity. </w:t>
      </w:r>
    </w:p>
    <w:p w14:paraId="6470FE9D" w14:textId="1E6B3B6B" w:rsidR="00A6073D" w:rsidRDefault="00C411C7" w:rsidP="00CA676F">
      <w:pPr>
        <w:pStyle w:val="BodyText"/>
      </w:pPr>
      <w:r w:rsidRPr="00E56310">
        <w:t xml:space="preserve">The </w:t>
      </w:r>
      <w:r w:rsidR="00A6073D" w:rsidRPr="00E56310">
        <w:t xml:space="preserve">National Food Waste and Rescue Report </w:t>
      </w:r>
      <w:r w:rsidR="006B338B">
        <w:t>for 2017</w:t>
      </w:r>
      <w:r w:rsidR="007A5C55">
        <w:t xml:space="preserve"> was</w:t>
      </w:r>
      <w:r w:rsidR="006B338B">
        <w:t xml:space="preserve"> </w:t>
      </w:r>
      <w:r w:rsidR="00A6073D" w:rsidRPr="00E56310">
        <w:t>produced</w:t>
      </w:r>
      <w:r w:rsidR="007A5C55">
        <w:t>, for the third consecutive year,</w:t>
      </w:r>
      <w:r w:rsidR="00A6073D" w:rsidRPr="00E56310">
        <w:t xml:space="preserve"> by Leket Israel and BDO. The </w:t>
      </w:r>
      <w:r w:rsidR="006B338B">
        <w:t>e</w:t>
      </w:r>
      <w:r w:rsidR="00A6073D" w:rsidRPr="00E56310">
        <w:t xml:space="preserve">stimates in the report </w:t>
      </w:r>
      <w:r w:rsidR="006B338B">
        <w:t>show</w:t>
      </w:r>
      <w:r w:rsidR="00A6073D" w:rsidRPr="00E56310">
        <w:t xml:space="preserve"> that 2.</w:t>
      </w:r>
      <w:r w:rsidR="006B338B">
        <w:t>3</w:t>
      </w:r>
      <w:r w:rsidR="00A6073D" w:rsidRPr="00E56310">
        <w:t xml:space="preserve"> million tons of food, worth NIS 19.5 billion</w:t>
      </w:r>
      <w:r w:rsidR="006B338B">
        <w:t xml:space="preserve"> and</w:t>
      </w:r>
      <w:r w:rsidR="006B338B" w:rsidRPr="006B338B">
        <w:t xml:space="preserve"> </w:t>
      </w:r>
      <w:r w:rsidR="006B338B" w:rsidRPr="00E56310">
        <w:t>constituting approximately 33% of domestic food production</w:t>
      </w:r>
      <w:r w:rsidR="00A6073D" w:rsidRPr="00E56310">
        <w:t xml:space="preserve">, is wasted in Israel annually. </w:t>
      </w:r>
      <w:r w:rsidR="006B338B">
        <w:t>Of this amount</w:t>
      </w:r>
      <w:r w:rsidR="00370090">
        <w:t>,</w:t>
      </w:r>
      <w:r w:rsidR="006B338B">
        <w:t xml:space="preserve"> approximately </w:t>
      </w:r>
      <w:r w:rsidR="00A6073D" w:rsidRPr="00E56310">
        <w:t>1.</w:t>
      </w:r>
      <w:r w:rsidR="006B338B">
        <w:t>1</w:t>
      </w:r>
      <w:r w:rsidR="00A6073D" w:rsidRPr="00E56310">
        <w:t xml:space="preserve"> million tons, worth NIS </w:t>
      </w:r>
      <w:r w:rsidR="006B338B">
        <w:t>7</w:t>
      </w:r>
      <w:r w:rsidR="00A6073D" w:rsidRPr="00E56310">
        <w:t xml:space="preserve"> billion, is rescuable, meaning it is suitable for human consumption.</w:t>
      </w:r>
    </w:p>
    <w:p w14:paraId="5DE4B5DC" w14:textId="52663DB9" w:rsidR="006B338B" w:rsidRDefault="006B338B" w:rsidP="00370090">
      <w:pPr>
        <w:pStyle w:val="BodyText"/>
      </w:pPr>
      <w:r>
        <w:t>This report</w:t>
      </w:r>
      <w:r w:rsidR="00995451">
        <w:t>,</w:t>
      </w:r>
      <w:r>
        <w:t xml:space="preserve"> based on an economic model for the food industry developed by BDO</w:t>
      </w:r>
      <w:r w:rsidR="00995451">
        <w:t>, includes comprehensive</w:t>
      </w:r>
      <w:r w:rsidR="00513FFC">
        <w:t>, detail</w:t>
      </w:r>
      <w:r w:rsidR="00995451">
        <w:t>ed</w:t>
      </w:r>
      <w:r w:rsidR="00513FFC">
        <w:t xml:space="preserve"> research on the extent of food waste of all types, in Israel. The report further reveals the potential for </w:t>
      </w:r>
      <w:r w:rsidR="00513FFC" w:rsidRPr="00E56310">
        <w:t>food rescue</w:t>
      </w:r>
      <w:r w:rsidR="00513FFC">
        <w:t xml:space="preserve"> at each stage of the value chain </w:t>
      </w:r>
      <w:r w:rsidR="00370090">
        <w:t xml:space="preserve">during </w:t>
      </w:r>
      <w:r w:rsidR="00513FFC">
        <w:t xml:space="preserve">food production. </w:t>
      </w:r>
    </w:p>
    <w:p w14:paraId="2A21972F" w14:textId="375AB681" w:rsidR="00995451" w:rsidRPr="00E56310" w:rsidRDefault="00995451" w:rsidP="00E81189">
      <w:pPr>
        <w:pStyle w:val="BodyText"/>
      </w:pPr>
      <w:r>
        <w:t>The findings presented here</w:t>
      </w:r>
      <w:r w:rsidR="00E81189">
        <w:t>in</w:t>
      </w:r>
      <w:r>
        <w:t xml:space="preserve"> indicate that food rescue is very </w:t>
      </w:r>
      <w:r w:rsidR="00E81189">
        <w:t>beneficial</w:t>
      </w:r>
      <w:r>
        <w:t xml:space="preserve">, from </w:t>
      </w:r>
      <w:r w:rsidRPr="00E56310">
        <w:t xml:space="preserve">economic, social, and environmental perspectives. Every shekel (NIS 1.0) invested in food rescue produces food with a direct value of NIS 3.6. If the environmental impact of food rescue is taken </w:t>
      </w:r>
      <w:r w:rsidRPr="00E56310">
        <w:lastRenderedPageBreak/>
        <w:t>into account, the economic value of each shekel invested is increased, creating NIS 7.2 in value for the national economy.</w:t>
      </w:r>
    </w:p>
    <w:p w14:paraId="65B1ACE1" w14:textId="6E064566" w:rsidR="00513FFC" w:rsidRPr="00E56310" w:rsidRDefault="00513FFC" w:rsidP="00993B38">
      <w:pPr>
        <w:pStyle w:val="BodyText"/>
      </w:pPr>
      <w:r>
        <w:t xml:space="preserve">The current report includes, for the first time, a detailed model for estimating food waste in the retail and distribution </w:t>
      </w:r>
      <w:r w:rsidR="00993B38">
        <w:t xml:space="preserve">sectors </w:t>
      </w:r>
      <w:r>
        <w:t xml:space="preserve">(supermarkets, open markets, neighborhood </w:t>
      </w:r>
      <w:r w:rsidR="00716703">
        <w:t>grocers</w:t>
      </w:r>
      <w:r>
        <w:t xml:space="preserve">, and small retailers). The value of food waste </w:t>
      </w:r>
      <w:r w:rsidR="00993B38">
        <w:t xml:space="preserve">from these </w:t>
      </w:r>
      <w:r w:rsidR="00716703">
        <w:t>sector</w:t>
      </w:r>
      <w:r w:rsidR="00993B38">
        <w:t>s</w:t>
      </w:r>
      <w:r>
        <w:t xml:space="preserve"> exceed</w:t>
      </w:r>
      <w:r w:rsidR="00995451">
        <w:t>s</w:t>
      </w:r>
      <w:r>
        <w:t xml:space="preserve"> NIS 4 billion. The amount of food fit for human consumption that could be rescued in the retail and distribution </w:t>
      </w:r>
      <w:r w:rsidR="008D157A">
        <w:t>sector</w:t>
      </w:r>
      <w:r w:rsidR="00993B38">
        <w:t>s</w:t>
      </w:r>
      <w:r>
        <w:t xml:space="preserve"> is valued at approximately NIS 3 billion, </w:t>
      </w:r>
      <w:r w:rsidR="00995451">
        <w:t xml:space="preserve">representing nearly </w:t>
      </w:r>
      <w:r>
        <w:t xml:space="preserve">half of </w:t>
      </w:r>
      <w:r w:rsidR="00995451">
        <w:t xml:space="preserve">all </w:t>
      </w:r>
      <w:r>
        <w:t xml:space="preserve">rescuable food waste in Israel. The main causes of waste in </w:t>
      </w:r>
      <w:r w:rsidR="00993B38">
        <w:t xml:space="preserve">these </w:t>
      </w:r>
      <w:r w:rsidR="00716703">
        <w:t>sector</w:t>
      </w:r>
      <w:r w:rsidR="00993B38">
        <w:t>s</w:t>
      </w:r>
      <w:r>
        <w:t xml:space="preserve"> are </w:t>
      </w:r>
      <w:r w:rsidR="00716703">
        <w:t>premature</w:t>
      </w:r>
      <w:r>
        <w:t xml:space="preserve"> expiry dates, aesthetic</w:t>
      </w:r>
      <w:r w:rsidR="00C73C12">
        <w:t xml:space="preserve"> flaws, flawed packaging and damaged food.</w:t>
      </w:r>
    </w:p>
    <w:p w14:paraId="6C422687" w14:textId="3B12AD8D" w:rsidR="00A6073D" w:rsidRPr="008F3D9C" w:rsidRDefault="00C73C12" w:rsidP="00993B38">
      <w:pPr>
        <w:pStyle w:val="BodyText"/>
      </w:pPr>
      <w:r>
        <w:t xml:space="preserve">The problem of food waste </w:t>
      </w:r>
      <w:r w:rsidR="00995451">
        <w:t>is not limited to</w:t>
      </w:r>
      <w:r>
        <w:t xml:space="preserve"> Israel</w:t>
      </w:r>
      <w:r w:rsidR="00E81189">
        <w:t xml:space="preserve">, with </w:t>
      </w:r>
      <w:r>
        <w:t>the extent of food waste in Israel similar to that in other developed nations around the world.</w:t>
      </w:r>
      <w:r w:rsidR="004B64F6">
        <w:t xml:space="preserve"> </w:t>
      </w:r>
      <w:r>
        <w:t>However, unlike many other countries that have enacted legislation, and developed national</w:t>
      </w:r>
      <w:r w:rsidR="00995451">
        <w:t>,</w:t>
      </w:r>
      <w:r>
        <w:t xml:space="preserve"> multi-year goals and programs to encourage food rescue and reduce waste, Israel – despite having taken </w:t>
      </w:r>
      <w:r w:rsidR="00993B38">
        <w:t xml:space="preserve">some initial </w:t>
      </w:r>
      <w:r>
        <w:t xml:space="preserve">steps – still lacks </w:t>
      </w:r>
      <w:r w:rsidR="00716703">
        <w:t xml:space="preserve">a </w:t>
      </w:r>
      <w:r>
        <w:t xml:space="preserve">comprehensive national policy </w:t>
      </w:r>
      <w:r w:rsidR="00716703">
        <w:t xml:space="preserve">on this issue. </w:t>
      </w:r>
      <w:r>
        <w:t xml:space="preserve"> </w:t>
      </w:r>
    </w:p>
    <w:p w14:paraId="40CCED5F" w14:textId="3CAB0269" w:rsidR="00447484" w:rsidRDefault="00A6073D" w:rsidP="00E81189">
      <w:pPr>
        <w:pStyle w:val="BodyText"/>
      </w:pPr>
      <w:r w:rsidRPr="008F3D9C">
        <w:t xml:space="preserve">It is our hope that this report </w:t>
      </w:r>
      <w:r w:rsidRPr="008F3D9C">
        <w:rPr>
          <w:lang w:bidi="ar-EG"/>
        </w:rPr>
        <w:t>will motivate</w:t>
      </w:r>
      <w:r w:rsidRPr="008F3D9C">
        <w:t xml:space="preserve"> Israel</w:t>
      </w:r>
      <w:r w:rsidR="00C411C7">
        <w:t>’</w:t>
      </w:r>
      <w:r w:rsidRPr="008F3D9C">
        <w:t xml:space="preserve">s decision makers to </w:t>
      </w:r>
      <w:r w:rsidR="00E81189">
        <w:t xml:space="preserve">not only </w:t>
      </w:r>
      <w:r w:rsidR="00C411C7" w:rsidRPr="008F3D9C">
        <w:t>mak</w:t>
      </w:r>
      <w:r w:rsidR="00E81189">
        <w:t>e</w:t>
      </w:r>
      <w:r w:rsidR="00C411C7" w:rsidRPr="008F3D9C">
        <w:t xml:space="preserve"> declarations</w:t>
      </w:r>
      <w:r w:rsidR="00E81189">
        <w:t>,</w:t>
      </w:r>
      <w:r w:rsidR="00C411C7" w:rsidRPr="008F3D9C">
        <w:t xml:space="preserve"> </w:t>
      </w:r>
      <w:r w:rsidR="00E81189">
        <w:t xml:space="preserve">but move </w:t>
      </w:r>
      <w:r w:rsidRPr="008F3D9C">
        <w:t>to</w:t>
      </w:r>
      <w:r w:rsidR="00C411C7">
        <w:t>wards</w:t>
      </w:r>
      <w:r w:rsidRPr="008F3D9C">
        <w:t xml:space="preserve"> develop</w:t>
      </w:r>
      <w:r w:rsidR="00C411C7">
        <w:t>ing</w:t>
      </w:r>
      <w:r w:rsidRPr="008F3D9C">
        <w:t xml:space="preserve"> a national policy that creates genuine change in the patterns of food rescue in Israel.</w:t>
      </w:r>
    </w:p>
    <w:p w14:paraId="10BB37BF" w14:textId="77777777" w:rsidR="00C411C7" w:rsidRPr="008F3D9C" w:rsidRDefault="00C411C7" w:rsidP="00C411C7">
      <w:pPr>
        <w:pStyle w:val="BodyText"/>
      </w:pPr>
    </w:p>
    <w:p w14:paraId="795652E1" w14:textId="77777777" w:rsidR="002536CC" w:rsidRPr="008F3D9C" w:rsidRDefault="002536CC" w:rsidP="00C73C12">
      <w:pPr>
        <w:pStyle w:val="BodyText"/>
        <w:tabs>
          <w:tab w:val="left" w:pos="3828"/>
          <w:tab w:val="left" w:pos="6521"/>
        </w:tabs>
        <w:jc w:val="left"/>
      </w:pPr>
      <w:r w:rsidRPr="008F3D9C">
        <w:t>Joseph Gitler</w:t>
      </w:r>
      <w:r w:rsidRPr="008F3D9C">
        <w:tab/>
        <w:t>Gidi Kroch</w:t>
      </w:r>
      <w:r w:rsidRPr="008F3D9C">
        <w:tab/>
        <w:t>Chen Herzog</w:t>
      </w:r>
    </w:p>
    <w:p w14:paraId="7FB6804A" w14:textId="77777777" w:rsidR="007B763B" w:rsidRPr="008F3D9C" w:rsidRDefault="002536CC" w:rsidP="00C73C12">
      <w:pPr>
        <w:pStyle w:val="BodyText"/>
        <w:tabs>
          <w:tab w:val="left" w:pos="3828"/>
          <w:tab w:val="left" w:pos="6521"/>
        </w:tabs>
        <w:jc w:val="left"/>
      </w:pPr>
      <w:r w:rsidRPr="008F3D9C">
        <w:lastRenderedPageBreak/>
        <w:t>Founder and Chairman</w:t>
      </w:r>
      <w:r w:rsidR="00577A98" w:rsidRPr="008F3D9C">
        <w:t>, Leket Israel</w:t>
      </w:r>
      <w:r w:rsidR="00577A98" w:rsidRPr="008F3D9C">
        <w:tab/>
      </w:r>
      <w:r w:rsidRPr="008F3D9C">
        <w:t>CEO, Leket Israel</w:t>
      </w:r>
      <w:r w:rsidRPr="008F3D9C">
        <w:tab/>
        <w:t>Chief Economist, BDO</w:t>
      </w:r>
    </w:p>
    <w:p w14:paraId="17648F25" w14:textId="77777777" w:rsidR="007B763B" w:rsidRPr="008F3D9C" w:rsidRDefault="007B763B" w:rsidP="00CF3848">
      <w:pPr>
        <w:spacing w:after="0" w:line="240" w:lineRule="auto"/>
        <w:jc w:val="center"/>
        <w:rPr>
          <w:rFonts w:eastAsia="Calibri" w:cs="Times New Roman"/>
          <w:b/>
          <w:bCs/>
        </w:rPr>
      </w:pPr>
    </w:p>
    <w:p w14:paraId="07D44674" w14:textId="77777777" w:rsidR="00577A98" w:rsidRPr="008F3D9C" w:rsidRDefault="00577A98" w:rsidP="00CF3848">
      <w:pPr>
        <w:spacing w:after="0" w:line="240" w:lineRule="auto"/>
        <w:jc w:val="center"/>
        <w:rPr>
          <w:rFonts w:eastAsia="Calibri" w:cs="Times New Roman"/>
          <w:b/>
          <w:bCs/>
        </w:rPr>
      </w:pPr>
    </w:p>
    <w:p w14:paraId="759F729B" w14:textId="77777777" w:rsidR="00B76B60" w:rsidRDefault="00B76B60">
      <w:pPr>
        <w:rPr>
          <w:rFonts w:eastAsia="Times New Roman" w:cs="Arial"/>
          <w:b/>
          <w:bCs/>
          <w:iCs/>
          <w:spacing w:val="5"/>
          <w:kern w:val="28"/>
          <w:sz w:val="32"/>
          <w:szCs w:val="32"/>
        </w:rPr>
      </w:pPr>
      <w:r>
        <w:rPr>
          <w:rFonts w:eastAsia="Times New Roman" w:cs="Arial"/>
          <w:b/>
          <w:bCs/>
          <w:iCs/>
          <w:spacing w:val="5"/>
          <w:kern w:val="28"/>
          <w:sz w:val="32"/>
          <w:szCs w:val="32"/>
        </w:rPr>
        <w:br w:type="page"/>
      </w:r>
    </w:p>
    <w:p w14:paraId="00FC936E" w14:textId="77777777" w:rsidR="00577A98" w:rsidRPr="008F3D9C" w:rsidRDefault="00FC671C" w:rsidP="0061604E">
      <w:pPr>
        <w:pStyle w:val="Heading1"/>
      </w:pPr>
      <w:bookmarkStart w:id="1" w:name="_Toc505547251"/>
      <w:r w:rsidRPr="00FC671C">
        <w:lastRenderedPageBreak/>
        <w:t>Uniqueness of</w:t>
      </w:r>
      <w:r>
        <w:t xml:space="preserve"> </w:t>
      </w:r>
      <w:r w:rsidR="00AD79E9" w:rsidRPr="008F3D9C">
        <w:t xml:space="preserve">Food Consumption </w:t>
      </w:r>
      <w:r w:rsidR="004D6671" w:rsidRPr="008F3D9C">
        <w:t xml:space="preserve">and </w:t>
      </w:r>
      <w:r w:rsidR="00AD79E9" w:rsidRPr="008F3D9C">
        <w:t xml:space="preserve">Production </w:t>
      </w:r>
      <w:r w:rsidR="004D6671" w:rsidRPr="008F3D9C">
        <w:t>in Israel</w:t>
      </w:r>
      <w:bookmarkEnd w:id="1"/>
    </w:p>
    <w:p w14:paraId="74B0A4D2" w14:textId="77777777" w:rsidR="00F948FC" w:rsidRPr="00995451" w:rsidRDefault="00FC671C" w:rsidP="004E2385">
      <w:pPr>
        <w:pStyle w:val="BodyText"/>
        <w:rPr>
          <w:b/>
          <w:bCs/>
        </w:rPr>
      </w:pPr>
      <w:r w:rsidRPr="00D62889">
        <w:rPr>
          <w:u w:val="single"/>
        </w:rPr>
        <w:t>Bold chapter head</w:t>
      </w:r>
      <w:r w:rsidRPr="00D62889">
        <w:t>:</w:t>
      </w:r>
      <w:r w:rsidR="00F948FC" w:rsidRPr="00D62889">
        <w:t xml:space="preserve"> </w:t>
      </w:r>
      <w:r w:rsidRPr="00995451">
        <w:rPr>
          <w:b/>
          <w:bCs/>
        </w:rPr>
        <w:t xml:space="preserve">465,000 </w:t>
      </w:r>
      <w:r w:rsidR="00AD79E9" w:rsidRPr="00995451">
        <w:rPr>
          <w:b/>
          <w:bCs/>
        </w:rPr>
        <w:t>families in Israel live with food insecurity</w:t>
      </w:r>
    </w:p>
    <w:p w14:paraId="37AFFF88" w14:textId="1B478B7C" w:rsidR="00FC671C" w:rsidRDefault="008C6949" w:rsidP="00995451">
      <w:pPr>
        <w:pStyle w:val="BodyText"/>
      </w:pPr>
      <w:r w:rsidRPr="008F3D9C">
        <w:t xml:space="preserve">Food consumption </w:t>
      </w:r>
      <w:r w:rsidR="00FC671C">
        <w:t xml:space="preserve">is </w:t>
      </w:r>
      <w:r w:rsidR="002F54A6" w:rsidRPr="002F54A6">
        <w:t xml:space="preserve">a </w:t>
      </w:r>
      <w:r w:rsidR="000440EF">
        <w:t>basic human need</w:t>
      </w:r>
      <w:r w:rsidR="002F54A6" w:rsidRPr="002F54A6">
        <w:t xml:space="preserve"> and maintaining a balanced diet is essential to ensuring the health of the population as a whole, and </w:t>
      </w:r>
      <w:r w:rsidR="002F54A6">
        <w:t xml:space="preserve">for </w:t>
      </w:r>
      <w:r w:rsidR="002F54A6" w:rsidRPr="002F54A6">
        <w:t xml:space="preserve">the </w:t>
      </w:r>
      <w:r w:rsidR="002F54A6">
        <w:t xml:space="preserve">physical and cognitive </w:t>
      </w:r>
      <w:r w:rsidR="002F54A6" w:rsidRPr="002F54A6">
        <w:t>development of infants and children in particular. Therefore, a shortage of food, or insufficient consumption of basic nutritional components, can cause potential health issues with a cost exceeding the food’s market value (representing the cost of its production at all stages of the value chain).</w:t>
      </w:r>
    </w:p>
    <w:p w14:paraId="75EAD15B" w14:textId="6AA338A3" w:rsidR="00F12A06" w:rsidRDefault="002D1C84" w:rsidP="00CC283B">
      <w:pPr>
        <w:pStyle w:val="BodyText"/>
      </w:pPr>
      <w:r>
        <w:t xml:space="preserve">In addition to </w:t>
      </w:r>
      <w:r w:rsidR="00716703">
        <w:t>the high cost of living in Israel</w:t>
      </w:r>
      <w:r w:rsidR="0099620F">
        <w:t xml:space="preserve"> which is </w:t>
      </w:r>
      <w:r w:rsidR="00716703">
        <w:t>among the highest in the developed world</w:t>
      </w:r>
      <w:r w:rsidR="0099620F">
        <w:t xml:space="preserve">, the </w:t>
      </w:r>
      <w:r w:rsidR="00716703">
        <w:t xml:space="preserve">poverty </w:t>
      </w:r>
      <w:r w:rsidR="0099620F">
        <w:t xml:space="preserve">rate </w:t>
      </w:r>
      <w:r w:rsidR="00716703">
        <w:t xml:space="preserve">is also </w:t>
      </w:r>
      <w:r w:rsidR="0099620F">
        <w:t xml:space="preserve">excessively </w:t>
      </w:r>
      <w:r w:rsidR="00716703">
        <w:t>high</w:t>
      </w:r>
      <w:r w:rsidR="00F12A06">
        <w:t>. As a result</w:t>
      </w:r>
      <w:r w:rsidR="004E71F9">
        <w:t>,</w:t>
      </w:r>
      <w:r w:rsidR="00F12A06">
        <w:t xml:space="preserve"> </w:t>
      </w:r>
      <w:r w:rsidR="00D62889">
        <w:t xml:space="preserve">food </w:t>
      </w:r>
      <w:r w:rsidR="00F12A06">
        <w:t xml:space="preserve">insecurity is a particularly </w:t>
      </w:r>
      <w:r w:rsidR="00716703">
        <w:t>severe problem</w:t>
      </w:r>
      <w:r w:rsidR="00F12A06">
        <w:t xml:space="preserve"> in Israel.</w:t>
      </w:r>
      <w:r w:rsidR="00AE4643">
        <w:t xml:space="preserve"> According to a </w:t>
      </w:r>
      <w:r w:rsidR="00CC283B">
        <w:t>2016</w:t>
      </w:r>
      <w:r>
        <w:t xml:space="preserve"> </w:t>
      </w:r>
      <w:r w:rsidR="00AE4643">
        <w:t>report issued by the National Insurance Institute, 18.6% of households in Israel</w:t>
      </w:r>
      <w:r w:rsidR="008C7197">
        <w:t xml:space="preserve"> </w:t>
      </w:r>
      <w:r w:rsidR="0099620F">
        <w:t>(</w:t>
      </w:r>
      <w:r w:rsidR="00AE4643">
        <w:t>465,000 families</w:t>
      </w:r>
      <w:r w:rsidR="0099620F">
        <w:t xml:space="preserve">) </w:t>
      </w:r>
      <w:r w:rsidR="00CC283B">
        <w:t xml:space="preserve">are living in poverty and </w:t>
      </w:r>
      <w:r w:rsidR="00716703">
        <w:t>suffer from</w:t>
      </w:r>
      <w:r w:rsidR="00AE4643">
        <w:t xml:space="preserve"> food insecurity. From an economic perspective,</w:t>
      </w:r>
      <w:r w:rsidR="00F12A06">
        <w:t xml:space="preserve"> </w:t>
      </w:r>
      <w:r w:rsidR="00D62889">
        <w:t>this</w:t>
      </w:r>
      <w:r w:rsidR="00F12A06">
        <w:t xml:space="preserve"> </w:t>
      </w:r>
      <w:r w:rsidR="00AE4643">
        <w:t xml:space="preserve">means that </w:t>
      </w:r>
      <w:r w:rsidR="00716703">
        <w:t>a</w:t>
      </w:r>
      <w:r w:rsidR="00AE4643">
        <w:t xml:space="preserve"> household spends approximately 33% less on food </w:t>
      </w:r>
      <w:r w:rsidR="00716703">
        <w:t>than</w:t>
      </w:r>
      <w:r w:rsidR="00AE4643">
        <w:t xml:space="preserve"> the normative expenditure.</w:t>
      </w:r>
    </w:p>
    <w:p w14:paraId="4C6E7ECD" w14:textId="3E058D6F" w:rsidR="00FC6E7B" w:rsidRDefault="00AE4643" w:rsidP="0099620F">
      <w:pPr>
        <w:pStyle w:val="BodyText"/>
      </w:pPr>
      <w:r>
        <w:t xml:space="preserve">Expenditures for </w:t>
      </w:r>
      <w:r w:rsidR="00961D41" w:rsidRPr="00F12A06">
        <w:t xml:space="preserve">food </w:t>
      </w:r>
      <w:r w:rsidR="00DE3AFE" w:rsidRPr="00F12A06">
        <w:t xml:space="preserve">is </w:t>
      </w:r>
      <w:r>
        <w:t xml:space="preserve">one of </w:t>
      </w:r>
      <w:r w:rsidR="00DE3AFE" w:rsidRPr="00F12A06">
        <w:t>the highest component</w:t>
      </w:r>
      <w:r w:rsidR="002C1C73">
        <w:t>s</w:t>
      </w:r>
      <w:r w:rsidR="00DE3AFE" w:rsidRPr="00F12A06">
        <w:t xml:space="preserve"> of a</w:t>
      </w:r>
      <w:r w:rsidR="00D62889">
        <w:t>n Israeli</w:t>
      </w:r>
      <w:r w:rsidR="00DE3AFE" w:rsidRPr="00F12A06">
        <w:t xml:space="preserve"> household’s </w:t>
      </w:r>
      <w:r w:rsidR="007221E9" w:rsidRPr="00F12A06">
        <w:t>expenditure</w:t>
      </w:r>
      <w:r w:rsidR="00DE3AFE" w:rsidRPr="00F12A06">
        <w:t xml:space="preserve"> basket, </w:t>
      </w:r>
      <w:r w:rsidR="00961D41" w:rsidRPr="00F12A06">
        <w:t>account</w:t>
      </w:r>
      <w:r w:rsidR="00DE3AFE" w:rsidRPr="00F12A06">
        <w:t>ing</w:t>
      </w:r>
      <w:r w:rsidR="00961D41" w:rsidRPr="00F12A06">
        <w:t xml:space="preserve"> for about 16% of an average household’s spending and </w:t>
      </w:r>
      <w:r w:rsidR="002C1C73">
        <w:t xml:space="preserve">approximately </w:t>
      </w:r>
      <w:r w:rsidR="0083034B" w:rsidRPr="00F12A06">
        <w:t>2</w:t>
      </w:r>
      <w:r w:rsidR="002C1C73">
        <w:t>0</w:t>
      </w:r>
      <w:r w:rsidR="00961D41" w:rsidRPr="00F12A06">
        <w:t xml:space="preserve">% </w:t>
      </w:r>
      <w:r w:rsidR="002C1C73">
        <w:t xml:space="preserve">in </w:t>
      </w:r>
      <w:r w:rsidR="00961D41" w:rsidRPr="00F12A06">
        <w:t xml:space="preserve">households in the two lowest </w:t>
      </w:r>
      <w:r w:rsidR="00DE3AFE" w:rsidRPr="00F12A06">
        <w:t>deciles</w:t>
      </w:r>
      <w:r w:rsidR="00961D41" w:rsidRPr="00F12A06">
        <w:t xml:space="preserve">. Therefore, ensuring </w:t>
      </w:r>
      <w:r w:rsidR="00D62889">
        <w:t>food</w:t>
      </w:r>
      <w:r w:rsidR="00FE3208" w:rsidRPr="00F12A06">
        <w:t xml:space="preserve"> </w:t>
      </w:r>
      <w:r w:rsidR="00961D41" w:rsidRPr="00F12A06">
        <w:t xml:space="preserve">security and </w:t>
      </w:r>
      <w:r w:rsidR="00FE3208" w:rsidRPr="00F12A06">
        <w:t xml:space="preserve">supporting </w:t>
      </w:r>
      <w:r w:rsidR="00961D41" w:rsidRPr="00F12A06">
        <w:t>food rescue are</w:t>
      </w:r>
      <w:r w:rsidR="0057048D" w:rsidRPr="00F12A06">
        <w:t xml:space="preserve"> </w:t>
      </w:r>
      <w:r w:rsidR="00961D41" w:rsidRPr="00F12A06">
        <w:t xml:space="preserve">matters of </w:t>
      </w:r>
      <w:r w:rsidR="00D62889">
        <w:t xml:space="preserve">especially </w:t>
      </w:r>
      <w:r w:rsidR="002C1C73">
        <w:t xml:space="preserve">great </w:t>
      </w:r>
      <w:r w:rsidR="00961D41" w:rsidRPr="00F12A06">
        <w:t>economic</w:t>
      </w:r>
      <w:r w:rsidR="00FE3208" w:rsidRPr="00F12A06">
        <w:t xml:space="preserve"> significance</w:t>
      </w:r>
      <w:r w:rsidR="002C1C73">
        <w:t xml:space="preserve"> for Israel</w:t>
      </w:r>
      <w:r w:rsidR="00961D41" w:rsidRPr="00F12A06">
        <w:t>.</w:t>
      </w:r>
      <w:r w:rsidR="0057048D" w:rsidRPr="00F12A06">
        <w:t xml:space="preserve"> </w:t>
      </w:r>
    </w:p>
    <w:p w14:paraId="46036A4B" w14:textId="4D1EE152" w:rsidR="002C1C73" w:rsidRPr="002C1C73" w:rsidRDefault="002C1C73" w:rsidP="004E2385">
      <w:pPr>
        <w:pStyle w:val="BodyText"/>
      </w:pPr>
      <w:r>
        <w:lastRenderedPageBreak/>
        <w:t>R</w:t>
      </w:r>
      <w:r w:rsidRPr="002C1C73">
        <w:t xml:space="preserve">escuing food </w:t>
      </w:r>
      <w:r>
        <w:t xml:space="preserve">and </w:t>
      </w:r>
      <w:r w:rsidR="007F3027" w:rsidRPr="007F3027">
        <w:t>distributin</w:t>
      </w:r>
      <w:r w:rsidR="007F3027">
        <w:t>g</w:t>
      </w:r>
      <w:r w:rsidR="007F3027" w:rsidRPr="007F3027">
        <w:t xml:space="preserve"> </w:t>
      </w:r>
      <w:r w:rsidR="00D62889">
        <w:t xml:space="preserve">it </w:t>
      </w:r>
      <w:r w:rsidR="007F3027" w:rsidRPr="007F3027">
        <w:t xml:space="preserve">to the underprivileged populace </w:t>
      </w:r>
      <w:r>
        <w:t xml:space="preserve">contributes </w:t>
      </w:r>
      <w:r w:rsidR="002D1C84">
        <w:t xml:space="preserve">positively </w:t>
      </w:r>
      <w:r>
        <w:t>to society in three principle way</w:t>
      </w:r>
      <w:r w:rsidRPr="002C1C73">
        <w:t>s:</w:t>
      </w:r>
    </w:p>
    <w:p w14:paraId="0C11A7B3" w14:textId="496C2EB9" w:rsidR="002C1C73" w:rsidRPr="002C1C73" w:rsidRDefault="002C1C73" w:rsidP="004E2385">
      <w:pPr>
        <w:pStyle w:val="BodyText"/>
        <w:numPr>
          <w:ilvl w:val="0"/>
          <w:numId w:val="18"/>
        </w:numPr>
      </w:pPr>
      <w:r w:rsidRPr="002C1C73">
        <w:t>Economic</w:t>
      </w:r>
      <w:r>
        <w:t xml:space="preserve"> </w:t>
      </w:r>
      <w:r w:rsidRPr="002C1C73">
        <w:t>–</w:t>
      </w:r>
      <w:r>
        <w:t xml:space="preserve"> </w:t>
      </w:r>
      <w:r w:rsidRPr="002C1C73">
        <w:t xml:space="preserve">transforming zero or negative value </w:t>
      </w:r>
      <w:r w:rsidR="00D62889">
        <w:t xml:space="preserve">food </w:t>
      </w:r>
      <w:r w:rsidRPr="002C1C73">
        <w:t xml:space="preserve">waste </w:t>
      </w:r>
      <w:r w:rsidR="00D62889">
        <w:t>in</w:t>
      </w:r>
      <w:r w:rsidRPr="002C1C73">
        <w:t>to an economically valuable commodity</w:t>
      </w:r>
    </w:p>
    <w:p w14:paraId="1C5B3973" w14:textId="77E2A16E" w:rsidR="002C1C73" w:rsidRPr="002C1C73" w:rsidRDefault="002C1C73" w:rsidP="004E2385">
      <w:pPr>
        <w:pStyle w:val="BodyText"/>
        <w:numPr>
          <w:ilvl w:val="0"/>
          <w:numId w:val="18"/>
        </w:numPr>
      </w:pPr>
      <w:r w:rsidRPr="002C1C73">
        <w:t>Social</w:t>
      </w:r>
      <w:r>
        <w:t xml:space="preserve"> </w:t>
      </w:r>
      <w:r w:rsidRPr="002C1C73">
        <w:t>–</w:t>
      </w:r>
      <w:r>
        <w:t xml:space="preserve"> </w:t>
      </w:r>
      <w:r w:rsidRPr="002C1C73">
        <w:t>reduc</w:t>
      </w:r>
      <w:r>
        <w:t xml:space="preserve">ing </w:t>
      </w:r>
      <w:r w:rsidRPr="002C1C73">
        <w:t xml:space="preserve">social gaps and </w:t>
      </w:r>
      <w:r>
        <w:t>inequality</w:t>
      </w:r>
      <w:r w:rsidRPr="002C1C73">
        <w:t xml:space="preserve"> </w:t>
      </w:r>
    </w:p>
    <w:p w14:paraId="72B7A5D3" w14:textId="3746F831" w:rsidR="002C1C73" w:rsidRPr="002C1C73" w:rsidRDefault="002C1C73" w:rsidP="004E2385">
      <w:pPr>
        <w:pStyle w:val="BodyText"/>
        <w:numPr>
          <w:ilvl w:val="0"/>
          <w:numId w:val="18"/>
        </w:numPr>
      </w:pPr>
      <w:r w:rsidRPr="002C1C73">
        <w:t>Environmental</w:t>
      </w:r>
      <w:r>
        <w:t xml:space="preserve"> </w:t>
      </w:r>
      <w:r w:rsidRPr="002C1C73">
        <w:t>–</w:t>
      </w:r>
      <w:r>
        <w:t xml:space="preserve"> </w:t>
      </w:r>
      <w:r w:rsidRPr="002C1C73">
        <w:t>reduc</w:t>
      </w:r>
      <w:r>
        <w:t xml:space="preserve">ing </w:t>
      </w:r>
      <w:r w:rsidRPr="002C1C73">
        <w:t xml:space="preserve">pollutant levels, </w:t>
      </w:r>
      <w:r w:rsidR="00827271">
        <w:t>greenhouse gas (</w:t>
      </w:r>
      <w:r w:rsidRPr="002C1C73">
        <w:t>GHG</w:t>
      </w:r>
      <w:r w:rsidR="00827271">
        <w:t>)</w:t>
      </w:r>
      <w:r w:rsidRPr="002C1C73">
        <w:t xml:space="preserve"> emissions, and</w:t>
      </w:r>
      <w:r w:rsidR="00D62889">
        <w:t xml:space="preserve"> the</w:t>
      </w:r>
      <w:r w:rsidRPr="002C1C73">
        <w:t xml:space="preserve"> use of </w:t>
      </w:r>
      <w:r w:rsidR="003102F3">
        <w:t xml:space="preserve">chemical, </w:t>
      </w:r>
      <w:r w:rsidRPr="002C1C73">
        <w:t>land</w:t>
      </w:r>
      <w:r w:rsidR="003102F3">
        <w:t>,</w:t>
      </w:r>
      <w:r w:rsidRPr="002C1C73">
        <w:t xml:space="preserve"> and water resources</w:t>
      </w:r>
    </w:p>
    <w:p w14:paraId="0A618093" w14:textId="6DD4A3C8" w:rsidR="002F54A6" w:rsidRPr="008F3D9C" w:rsidRDefault="002F54A6" w:rsidP="003102F3">
      <w:pPr>
        <w:pStyle w:val="BodyText"/>
      </w:pPr>
      <w:r w:rsidRPr="008F3D9C">
        <w:t xml:space="preserve">Food is a unique commodity, not only in terms of its consumption characteristics, but also in terms of its production properties. The nutritional components found in food are derived almost entirely from agricultural products: vegetables, fruits, legumes, dairy products, eggs, meat, fish, oils, etc. </w:t>
      </w:r>
      <w:r w:rsidR="002C1C73">
        <w:t xml:space="preserve">Concurrently, </w:t>
      </w:r>
      <w:r w:rsidR="00611346">
        <w:t>agricultur</w:t>
      </w:r>
      <w:r w:rsidR="004E71F9">
        <w:t>al</w:t>
      </w:r>
      <w:r w:rsidR="00611346">
        <w:t xml:space="preserve"> production has </w:t>
      </w:r>
      <w:r w:rsidR="00163ABF">
        <w:t xml:space="preserve">an </w:t>
      </w:r>
      <w:r w:rsidR="00611346" w:rsidRPr="008F3D9C">
        <w:t xml:space="preserve">inherently </w:t>
      </w:r>
      <w:r w:rsidR="00611346">
        <w:t>high level of uncertain</w:t>
      </w:r>
      <w:r w:rsidR="00163ABF">
        <w:t>t</w:t>
      </w:r>
      <w:r w:rsidR="00611346">
        <w:t xml:space="preserve">y resulting from external factors including pests, weather, </w:t>
      </w:r>
      <w:r w:rsidR="003102F3">
        <w:t xml:space="preserve">and </w:t>
      </w:r>
      <w:r w:rsidR="00611346">
        <w:t>disease</w:t>
      </w:r>
      <w:r w:rsidR="000440EF">
        <w:t>.</w:t>
      </w:r>
      <w:r w:rsidR="004B64F6">
        <w:t xml:space="preserve"> </w:t>
      </w:r>
    </w:p>
    <w:p w14:paraId="598E30B0" w14:textId="56495987" w:rsidR="00577A98" w:rsidRPr="008F3D9C" w:rsidRDefault="00577A98" w:rsidP="00EE1AD1">
      <w:pPr>
        <w:pStyle w:val="BodyText"/>
      </w:pPr>
      <w:r w:rsidRPr="008F3D9C">
        <w:t xml:space="preserve">The </w:t>
      </w:r>
      <w:r w:rsidR="00042B73" w:rsidRPr="008F3D9C">
        <w:t>cultivation</w:t>
      </w:r>
      <w:r w:rsidRPr="008F3D9C">
        <w:t xml:space="preserve"> and production of food</w:t>
      </w:r>
      <w:r w:rsidR="00961D41" w:rsidRPr="008F3D9C">
        <w:t xml:space="preserve"> require</w:t>
      </w:r>
      <w:r w:rsidR="002D1C84">
        <w:t>s</w:t>
      </w:r>
      <w:r w:rsidRPr="008F3D9C">
        <w:t xml:space="preserve"> </w:t>
      </w:r>
      <w:r w:rsidR="00042B73" w:rsidRPr="008F3D9C">
        <w:t xml:space="preserve">the </w:t>
      </w:r>
      <w:r w:rsidRPr="008F3D9C">
        <w:t>utilization of natural re</w:t>
      </w:r>
      <w:r w:rsidR="00042B73" w:rsidRPr="008F3D9C">
        <w:t>sources</w:t>
      </w:r>
      <w:r w:rsidR="001934AA" w:rsidRPr="008F3D9C">
        <w:t xml:space="preserve"> </w:t>
      </w:r>
      <w:r w:rsidR="004541CB" w:rsidRPr="008F3D9C">
        <w:t xml:space="preserve">that are relatively </w:t>
      </w:r>
      <w:r w:rsidR="00EE1AD1" w:rsidRPr="00EE1AD1">
        <w:t>scarce</w:t>
      </w:r>
      <w:r w:rsidR="004541CB" w:rsidRPr="008F3D9C">
        <w:t xml:space="preserve"> or which have </w:t>
      </w:r>
      <w:r w:rsidR="00042B73" w:rsidRPr="008F3D9C">
        <w:t>substanti</w:t>
      </w:r>
      <w:r w:rsidR="006972B0" w:rsidRPr="008F3D9C">
        <w:t>al</w:t>
      </w:r>
      <w:r w:rsidR="00F3768E" w:rsidRPr="008F3D9C">
        <w:t xml:space="preserve"> </w:t>
      </w:r>
      <w:r w:rsidR="00FE3208" w:rsidRPr="008F3D9C">
        <w:t xml:space="preserve">financial </w:t>
      </w:r>
      <w:r w:rsidR="00042B73" w:rsidRPr="008F3D9C">
        <w:t>costs</w:t>
      </w:r>
      <w:r w:rsidR="00F85927" w:rsidRPr="008F3D9C">
        <w:t xml:space="preserve"> </w:t>
      </w:r>
      <w:r w:rsidR="00FE3208" w:rsidRPr="008F3D9C">
        <w:t>such as</w:t>
      </w:r>
      <w:r w:rsidR="004541CB" w:rsidRPr="008F3D9C">
        <w:t xml:space="preserve"> land and water. In a</w:t>
      </w:r>
      <w:r w:rsidR="0057048D" w:rsidRPr="008F3D9C">
        <w:t xml:space="preserve"> </w:t>
      </w:r>
      <w:r w:rsidR="004541CB" w:rsidRPr="008F3D9C">
        <w:t xml:space="preserve">densely populated country like </w:t>
      </w:r>
      <w:r w:rsidRPr="008F3D9C">
        <w:t>Israel</w:t>
      </w:r>
      <w:r w:rsidR="00163ABF">
        <w:t>—</w:t>
      </w:r>
      <w:r w:rsidR="004541CB" w:rsidRPr="008F3D9C">
        <w:t xml:space="preserve">where </w:t>
      </w:r>
      <w:r w:rsidRPr="008F3D9C">
        <w:t>land is a</w:t>
      </w:r>
      <w:r w:rsidR="00D62889">
        <w:t xml:space="preserve"> scarce, </w:t>
      </w:r>
      <w:r w:rsidR="00163ABF">
        <w:t>resources expensive</w:t>
      </w:r>
      <w:r w:rsidRPr="008F3D9C">
        <w:t xml:space="preserve"> (</w:t>
      </w:r>
      <w:r w:rsidR="00D62889">
        <w:t>especially in</w:t>
      </w:r>
      <w:r w:rsidR="00611346">
        <w:t xml:space="preserve"> </w:t>
      </w:r>
      <w:r w:rsidR="00447484" w:rsidRPr="008F3D9C">
        <w:t>high demand</w:t>
      </w:r>
      <w:r w:rsidR="00D62889">
        <w:t xml:space="preserve"> areas</w:t>
      </w:r>
      <w:r w:rsidR="00042B73" w:rsidRPr="008F3D9C">
        <w:t>)</w:t>
      </w:r>
      <w:r w:rsidR="00163ABF">
        <w:t xml:space="preserve"> and </w:t>
      </w:r>
      <w:r w:rsidR="004541CB" w:rsidRPr="008F3D9C">
        <w:t xml:space="preserve">food </w:t>
      </w:r>
      <w:r w:rsidR="00163ABF">
        <w:t>and housing insecurity a problem—</w:t>
      </w:r>
      <w:r w:rsidRPr="008F3D9C">
        <w:t>us</w:t>
      </w:r>
      <w:r w:rsidR="004541CB" w:rsidRPr="008F3D9C">
        <w:t xml:space="preserve">ing </w:t>
      </w:r>
      <w:r w:rsidRPr="008F3D9C">
        <w:t xml:space="preserve">land for surplus agricultural production that </w:t>
      </w:r>
      <w:r w:rsidR="006972B0" w:rsidRPr="008F3D9C">
        <w:t>is</w:t>
      </w:r>
      <w:r w:rsidR="004541CB" w:rsidRPr="008F3D9C">
        <w:t xml:space="preserve"> later </w:t>
      </w:r>
      <w:r w:rsidRPr="008F3D9C">
        <w:t>los</w:t>
      </w:r>
      <w:r w:rsidR="004541CB" w:rsidRPr="008F3D9C">
        <w:t>t</w:t>
      </w:r>
      <w:r w:rsidRPr="008F3D9C">
        <w:t xml:space="preserve"> or waste</w:t>
      </w:r>
      <w:r w:rsidR="004541CB" w:rsidRPr="008F3D9C">
        <w:t>d</w:t>
      </w:r>
      <w:r w:rsidRPr="008F3D9C">
        <w:t xml:space="preserve"> incurs</w:t>
      </w:r>
      <w:r w:rsidR="004541CB" w:rsidRPr="008F3D9C">
        <w:t xml:space="preserve"> additional </w:t>
      </w:r>
      <w:r w:rsidR="00B6579D" w:rsidRPr="008F3D9C">
        <w:t xml:space="preserve">social </w:t>
      </w:r>
      <w:r w:rsidR="004541CB" w:rsidRPr="008F3D9C">
        <w:t>costs</w:t>
      </w:r>
      <w:r w:rsidRPr="008F3D9C">
        <w:t>, beyond the direct economic costs.</w:t>
      </w:r>
    </w:p>
    <w:p w14:paraId="3EEEAD00" w14:textId="14215E98" w:rsidR="006E387C" w:rsidRPr="008F3D9C" w:rsidRDefault="00C16667" w:rsidP="00827271">
      <w:pPr>
        <w:pStyle w:val="BodyText"/>
      </w:pPr>
      <w:r w:rsidRPr="008F3D9C">
        <w:t xml:space="preserve">The </w:t>
      </w:r>
      <w:r w:rsidR="00042B73" w:rsidRPr="008F3D9C">
        <w:t>cultivation</w:t>
      </w:r>
      <w:r w:rsidR="00577A98" w:rsidRPr="008F3D9C">
        <w:t xml:space="preserve"> and production of food </w:t>
      </w:r>
      <w:r w:rsidRPr="008F3D9C">
        <w:t xml:space="preserve">also has </w:t>
      </w:r>
      <w:r w:rsidR="00F85927" w:rsidRPr="008F3D9C">
        <w:t xml:space="preserve">a </w:t>
      </w:r>
      <w:r w:rsidR="00577A98" w:rsidRPr="008F3D9C">
        <w:t>significant environmental impact.</w:t>
      </w:r>
      <w:r w:rsidR="0057048D" w:rsidRPr="008F3D9C">
        <w:t xml:space="preserve"> </w:t>
      </w:r>
      <w:r w:rsidRPr="008F3D9C">
        <w:t>The u</w:t>
      </w:r>
      <w:r w:rsidR="00577A98" w:rsidRPr="008F3D9C">
        <w:t xml:space="preserve">se of land, fertilizers and pesticides may </w:t>
      </w:r>
      <w:r w:rsidR="005C1D5D" w:rsidRPr="008F3D9C">
        <w:t>pollute</w:t>
      </w:r>
      <w:r w:rsidR="00577A98" w:rsidRPr="008F3D9C">
        <w:t xml:space="preserve"> </w:t>
      </w:r>
      <w:r w:rsidR="00577A98" w:rsidRPr="008F3D9C">
        <w:lastRenderedPageBreak/>
        <w:t>water sources, wildlife, plants, and the environment.</w:t>
      </w:r>
      <w:r w:rsidR="0057048D" w:rsidRPr="008F3D9C">
        <w:t xml:space="preserve"> </w:t>
      </w:r>
      <w:r w:rsidR="00577A98" w:rsidRPr="008F3D9C">
        <w:t xml:space="preserve">Currently, 20% of </w:t>
      </w:r>
      <w:r w:rsidR="005C1D5D" w:rsidRPr="008F3D9C">
        <w:t>GHG</w:t>
      </w:r>
      <w:r w:rsidR="00577A98" w:rsidRPr="008F3D9C">
        <w:t xml:space="preserve"> emissions in the world are generated duri</w:t>
      </w:r>
      <w:r w:rsidR="002C009C" w:rsidRPr="008F3D9C">
        <w:t xml:space="preserve">ng the various stages of </w:t>
      </w:r>
      <w:r w:rsidR="00447484" w:rsidRPr="008F3D9C">
        <w:t>food cultivation</w:t>
      </w:r>
      <w:r w:rsidR="002C009C" w:rsidRPr="008F3D9C">
        <w:t>, production, and distribution</w:t>
      </w:r>
      <w:r w:rsidR="00577A98" w:rsidRPr="008F3D9C">
        <w:t>.</w:t>
      </w:r>
    </w:p>
    <w:p w14:paraId="656FA367" w14:textId="51635C03" w:rsidR="00A854FB" w:rsidRPr="008F3D9C" w:rsidRDefault="00577A98" w:rsidP="00D62889">
      <w:pPr>
        <w:pStyle w:val="BodyText"/>
      </w:pPr>
      <w:r w:rsidRPr="008F3D9C">
        <w:t>This report</w:t>
      </w:r>
      <w:r w:rsidR="002C009C" w:rsidRPr="008F3D9C">
        <w:t xml:space="preserve"> examines the issue of food waste</w:t>
      </w:r>
      <w:r w:rsidR="00A854FB" w:rsidRPr="008F3D9C">
        <w:t xml:space="preserve"> and </w:t>
      </w:r>
      <w:r w:rsidR="00C16667" w:rsidRPr="008F3D9C">
        <w:t xml:space="preserve">the economic viability of its </w:t>
      </w:r>
      <w:r w:rsidR="00A854FB" w:rsidRPr="008F3D9C">
        <w:t>rescue</w:t>
      </w:r>
      <w:r w:rsidRPr="008F3D9C">
        <w:t>, based on quantifiable estimates and assessments</w:t>
      </w:r>
      <w:r w:rsidR="00C16667" w:rsidRPr="008F3D9C">
        <w:t>, and includes updated dat</w:t>
      </w:r>
      <w:r w:rsidR="006972B0" w:rsidRPr="008F3D9C">
        <w:t>a and</w:t>
      </w:r>
      <w:r w:rsidR="0057048D" w:rsidRPr="008F3D9C">
        <w:t xml:space="preserve"> </w:t>
      </w:r>
      <w:r w:rsidR="006972B0" w:rsidRPr="008F3D9C">
        <w:t xml:space="preserve">methodological </w:t>
      </w:r>
      <w:r w:rsidR="00C16667" w:rsidRPr="008F3D9C">
        <w:t>improvements</w:t>
      </w:r>
      <w:r w:rsidR="006972B0" w:rsidRPr="008F3D9C">
        <w:t>,</w:t>
      </w:r>
      <w:r w:rsidR="00C16667" w:rsidRPr="008F3D9C">
        <w:t xml:space="preserve"> based on</w:t>
      </w:r>
      <w:r w:rsidR="00163ABF">
        <w:t xml:space="preserve"> the</w:t>
      </w:r>
      <w:r w:rsidR="00C16667" w:rsidRPr="008F3D9C">
        <w:t xml:space="preserve"> experience accumulated </w:t>
      </w:r>
      <w:r w:rsidR="00611346">
        <w:t>while preparing the previous two reports.</w:t>
      </w:r>
      <w:r w:rsidR="00C16667" w:rsidRPr="008F3D9C">
        <w:t xml:space="preserve"> Furthermore, </w:t>
      </w:r>
      <w:r w:rsidR="00611346">
        <w:t xml:space="preserve">this year’s report </w:t>
      </w:r>
      <w:r w:rsidR="00C16667" w:rsidRPr="008F3D9C">
        <w:rPr>
          <w:rFonts w:eastAsiaTheme="minorHAnsi" w:cstheme="minorBidi"/>
        </w:rPr>
        <w:t xml:space="preserve">includes </w:t>
      </w:r>
      <w:r w:rsidR="00611346">
        <w:rPr>
          <w:rFonts w:eastAsiaTheme="minorHAnsi" w:cstheme="minorBidi"/>
        </w:rPr>
        <w:t>a</w:t>
      </w:r>
      <w:r w:rsidR="00C16667" w:rsidRPr="008F3D9C">
        <w:t>n</w:t>
      </w:r>
      <w:r w:rsidR="00611346">
        <w:t xml:space="preserve"> expanded section on food waste </w:t>
      </w:r>
      <w:r w:rsidR="003102F3">
        <w:t xml:space="preserve">occurring </w:t>
      </w:r>
      <w:r w:rsidR="00611346">
        <w:t xml:space="preserve">in </w:t>
      </w:r>
      <w:r w:rsidR="007F3027">
        <w:t xml:space="preserve">the retail </w:t>
      </w:r>
      <w:r w:rsidR="00D62889">
        <w:t xml:space="preserve">and distribution </w:t>
      </w:r>
      <w:r w:rsidR="007F3027">
        <w:t>sector</w:t>
      </w:r>
      <w:r w:rsidR="003102F3">
        <w:t>s</w:t>
      </w:r>
      <w:r w:rsidR="007F3027">
        <w:t>.</w:t>
      </w:r>
    </w:p>
    <w:p w14:paraId="06DC8E6C" w14:textId="052BF8F3" w:rsidR="00C640EB" w:rsidRPr="008F3D9C" w:rsidRDefault="00C640EB" w:rsidP="00A84F53">
      <w:pPr>
        <w:jc w:val="both"/>
        <w:rPr>
          <w:rFonts w:eastAsia="Times New Roman" w:cs="Arial"/>
          <w:b/>
          <w:bCs/>
          <w:color w:val="FF0000"/>
          <w:sz w:val="28"/>
          <w:szCs w:val="28"/>
        </w:rPr>
      </w:pPr>
    </w:p>
    <w:p w14:paraId="56507D34" w14:textId="77777777" w:rsidR="007F3027" w:rsidRDefault="007F3027">
      <w:pPr>
        <w:rPr>
          <w:rFonts w:ascii="Calibri" w:eastAsia="Calibri" w:hAnsi="Calibri" w:cs="Arial"/>
          <w:color w:val="FF0000"/>
          <w:sz w:val="28"/>
          <w:szCs w:val="28"/>
        </w:rPr>
      </w:pPr>
      <w:r>
        <w:br w:type="page"/>
      </w:r>
    </w:p>
    <w:p w14:paraId="68E02807" w14:textId="56FC8694" w:rsidR="00577A98" w:rsidRPr="008F3D9C" w:rsidRDefault="00942FD1" w:rsidP="0017340B">
      <w:pPr>
        <w:pStyle w:val="Heading1"/>
        <w:jc w:val="left"/>
        <w:rPr>
          <w:rFonts w:cs="Times New Roman"/>
          <w:rtl/>
        </w:rPr>
      </w:pPr>
      <w:bookmarkStart w:id="2" w:name="_Toc505547252"/>
      <w:r>
        <w:lastRenderedPageBreak/>
        <w:t>Food R</w:t>
      </w:r>
      <w:r w:rsidR="00577A98" w:rsidRPr="008F3D9C">
        <w:t>escue:</w:t>
      </w:r>
      <w:r w:rsidR="0057048D" w:rsidRPr="008F3D9C">
        <w:t xml:space="preserve"> </w:t>
      </w:r>
      <w:r w:rsidR="00AB2C24" w:rsidRPr="008F3D9C">
        <w:t>Integrating</w:t>
      </w:r>
      <w:r w:rsidR="00577A98" w:rsidRPr="008F3D9C">
        <w:t xml:space="preserve"> </w:t>
      </w:r>
      <w:r w:rsidR="00AD79E9" w:rsidRPr="008F3D9C">
        <w:t>Economic, Environmental, and Social Contributions</w:t>
      </w:r>
      <w:bookmarkEnd w:id="2"/>
      <w:r w:rsidR="00AD79E9" w:rsidRPr="008F3D9C">
        <w:t xml:space="preserve"> </w:t>
      </w:r>
    </w:p>
    <w:p w14:paraId="7A6C8335" w14:textId="77777777" w:rsidR="005D7029" w:rsidRPr="00EA134E" w:rsidRDefault="007F3027" w:rsidP="0078085C">
      <w:pPr>
        <w:rPr>
          <w:b/>
          <w:bCs/>
          <w:sz w:val="24"/>
          <w:szCs w:val="24"/>
        </w:rPr>
      </w:pPr>
      <w:r w:rsidRPr="00D62889">
        <w:rPr>
          <w:rFonts w:eastAsia="Calibri" w:cs="Times New Roman"/>
          <w:sz w:val="24"/>
          <w:szCs w:val="24"/>
          <w:u w:val="single"/>
        </w:rPr>
        <w:t>Bold chapter head</w:t>
      </w:r>
      <w:r w:rsidRPr="00EA134E">
        <w:rPr>
          <w:rFonts w:eastAsia="Calibri" w:cs="Times New Roman"/>
          <w:sz w:val="24"/>
          <w:szCs w:val="24"/>
        </w:rPr>
        <w:t>:</w:t>
      </w:r>
      <w:r w:rsidRPr="00EA134E">
        <w:rPr>
          <w:rFonts w:eastAsia="Calibri" w:cs="Times New Roman"/>
          <w:b/>
          <w:bCs/>
          <w:sz w:val="24"/>
          <w:szCs w:val="24"/>
        </w:rPr>
        <w:t xml:space="preserve"> </w:t>
      </w:r>
      <w:r w:rsidR="005D7029" w:rsidRPr="00EA134E">
        <w:rPr>
          <w:b/>
          <w:bCs/>
          <w:sz w:val="24"/>
          <w:szCs w:val="24"/>
        </w:rPr>
        <w:t xml:space="preserve">50% </w:t>
      </w:r>
      <w:r w:rsidR="0078085C">
        <w:rPr>
          <w:b/>
          <w:bCs/>
          <w:sz w:val="24"/>
          <w:szCs w:val="24"/>
        </w:rPr>
        <w:t>–</w:t>
      </w:r>
      <w:r w:rsidR="005D7029" w:rsidRPr="00EA134E">
        <w:rPr>
          <w:b/>
          <w:bCs/>
          <w:sz w:val="24"/>
          <w:szCs w:val="24"/>
        </w:rPr>
        <w:t xml:space="preserve"> </w:t>
      </w:r>
      <w:r w:rsidRPr="00EA134E">
        <w:rPr>
          <w:b/>
          <w:bCs/>
          <w:sz w:val="24"/>
          <w:szCs w:val="24"/>
        </w:rPr>
        <w:t xml:space="preserve">Global </w:t>
      </w:r>
      <w:r w:rsidR="005D7029" w:rsidRPr="00EA134E">
        <w:rPr>
          <w:b/>
          <w:bCs/>
          <w:sz w:val="24"/>
          <w:szCs w:val="24"/>
        </w:rPr>
        <w:t xml:space="preserve">goal </w:t>
      </w:r>
      <w:r w:rsidRPr="00EA134E">
        <w:rPr>
          <w:b/>
          <w:bCs/>
          <w:sz w:val="24"/>
          <w:szCs w:val="24"/>
        </w:rPr>
        <w:t xml:space="preserve">for reducing </w:t>
      </w:r>
      <w:r w:rsidR="005D7029" w:rsidRPr="00EA134E">
        <w:rPr>
          <w:b/>
          <w:bCs/>
          <w:sz w:val="24"/>
          <w:szCs w:val="24"/>
        </w:rPr>
        <w:t>food waste by 2030</w:t>
      </w:r>
      <w:r w:rsidRPr="00EA134E">
        <w:rPr>
          <w:b/>
          <w:bCs/>
          <w:sz w:val="24"/>
          <w:szCs w:val="24"/>
        </w:rPr>
        <w:t xml:space="preserve"> // </w:t>
      </w:r>
      <w:r w:rsidR="005D7029" w:rsidRPr="00EA134E">
        <w:rPr>
          <w:b/>
          <w:bCs/>
          <w:sz w:val="24"/>
          <w:szCs w:val="24"/>
        </w:rPr>
        <w:t>Food</w:t>
      </w:r>
      <w:r w:rsidRPr="00EA134E">
        <w:rPr>
          <w:b/>
          <w:bCs/>
          <w:sz w:val="24"/>
          <w:szCs w:val="24"/>
        </w:rPr>
        <w:t xml:space="preserve"> </w:t>
      </w:r>
      <w:r w:rsidR="005D7029" w:rsidRPr="00EA134E">
        <w:rPr>
          <w:b/>
          <w:bCs/>
          <w:sz w:val="24"/>
          <w:szCs w:val="24"/>
        </w:rPr>
        <w:t xml:space="preserve">rescue </w:t>
      </w:r>
      <w:r w:rsidRPr="00EA134E">
        <w:rPr>
          <w:b/>
          <w:bCs/>
          <w:sz w:val="24"/>
          <w:szCs w:val="24"/>
        </w:rPr>
        <w:t xml:space="preserve">and </w:t>
      </w:r>
      <w:r w:rsidR="005D7029" w:rsidRPr="00EA134E">
        <w:rPr>
          <w:b/>
          <w:bCs/>
          <w:sz w:val="24"/>
          <w:szCs w:val="24"/>
        </w:rPr>
        <w:t>distribut</w:t>
      </w:r>
      <w:r w:rsidRPr="00EA134E">
        <w:rPr>
          <w:b/>
          <w:bCs/>
          <w:sz w:val="24"/>
          <w:szCs w:val="24"/>
        </w:rPr>
        <w:t xml:space="preserve">ion </w:t>
      </w:r>
      <w:r w:rsidR="005D7029" w:rsidRPr="00EA134E">
        <w:rPr>
          <w:b/>
          <w:bCs/>
          <w:sz w:val="24"/>
          <w:szCs w:val="24"/>
        </w:rPr>
        <w:t>to the underprivileged populace</w:t>
      </w:r>
      <w:r w:rsidRPr="00EA134E">
        <w:rPr>
          <w:b/>
          <w:bCs/>
          <w:sz w:val="24"/>
          <w:szCs w:val="24"/>
        </w:rPr>
        <w:t xml:space="preserve"> increases the gross national product while simultaneously reducing inequality</w:t>
      </w:r>
    </w:p>
    <w:p w14:paraId="2FF29352" w14:textId="3F7F6969" w:rsidR="002443BB" w:rsidRDefault="00F3381D" w:rsidP="00827271">
      <w:pPr>
        <w:pStyle w:val="BodyText"/>
      </w:pPr>
      <w:r w:rsidRPr="00F3381D">
        <w:t xml:space="preserve">Food rescue </w:t>
      </w:r>
      <w:r w:rsidR="00163ABF">
        <w:t>refers to the</w:t>
      </w:r>
      <w:r w:rsidRPr="00F3381D">
        <w:t xml:space="preserve"> economic endeavor of transforming food surplus, currently of zero or negative value, </w:t>
      </w:r>
      <w:r w:rsidR="00163ABF">
        <w:t>into</w:t>
      </w:r>
      <w:r w:rsidRPr="00F3381D">
        <w:t xml:space="preserve"> food of economic value, </w:t>
      </w:r>
      <w:r w:rsidR="0078085C">
        <w:t xml:space="preserve">and </w:t>
      </w:r>
      <w:r w:rsidRPr="00F3381D">
        <w:t>distribut</w:t>
      </w:r>
      <w:r w:rsidR="0078085C">
        <w:t xml:space="preserve">ing it </w:t>
      </w:r>
      <w:r w:rsidRPr="00F3381D">
        <w:t>to the underprivileged populace</w:t>
      </w:r>
      <w:r>
        <w:t>. In November 2008,</w:t>
      </w:r>
      <w:r w:rsidR="002443BB">
        <w:t xml:space="preserve"> the</w:t>
      </w:r>
      <w:r>
        <w:t xml:space="preserve"> </w:t>
      </w:r>
      <w:r w:rsidR="002443BB" w:rsidRPr="00F3381D">
        <w:t>European Commission</w:t>
      </w:r>
      <w:r w:rsidR="002443BB">
        <w:t xml:space="preserve"> on Waste Management </w:t>
      </w:r>
      <w:r>
        <w:t>issued a directive</w:t>
      </w:r>
      <w:r w:rsidR="002443BB">
        <w:t xml:space="preserve"> on food </w:t>
      </w:r>
      <w:r w:rsidR="00827271">
        <w:t>waste</w:t>
      </w:r>
      <w:r w:rsidR="002443BB">
        <w:t xml:space="preserve">, including a </w:t>
      </w:r>
      <w:r w:rsidR="002443BB" w:rsidRPr="00792AA7">
        <w:t xml:space="preserve">hierarchy </w:t>
      </w:r>
      <w:r w:rsidR="002443BB">
        <w:t>for food</w:t>
      </w:r>
      <w:r w:rsidR="00827271">
        <w:t xml:space="preserve"> recovery</w:t>
      </w:r>
      <w:r w:rsidR="002443BB">
        <w:t>, that has been accepted around the world.</w:t>
      </w:r>
    </w:p>
    <w:p w14:paraId="080A8F6D" w14:textId="662CE71A" w:rsidR="002443BB" w:rsidRPr="00792AA7" w:rsidRDefault="002443BB" w:rsidP="00827271">
      <w:pPr>
        <w:pStyle w:val="BodyText"/>
      </w:pPr>
      <w:r>
        <w:t xml:space="preserve">The </w:t>
      </w:r>
      <w:r w:rsidRPr="00792AA7">
        <w:t xml:space="preserve">hierarchy </w:t>
      </w:r>
      <w:r>
        <w:t xml:space="preserve">for food </w:t>
      </w:r>
      <w:r w:rsidR="00827271">
        <w:t xml:space="preserve">recovery </w:t>
      </w:r>
      <w:r>
        <w:t xml:space="preserve">establishes priorities for the handling </w:t>
      </w:r>
      <w:r w:rsidR="00827271">
        <w:t xml:space="preserve">of </w:t>
      </w:r>
      <w:r w:rsidR="00703FE4">
        <w:t xml:space="preserve">surplus </w:t>
      </w:r>
      <w:r>
        <w:t xml:space="preserve">food. </w:t>
      </w:r>
      <w:r w:rsidRPr="00792AA7">
        <w:t>This hierarchy</w:t>
      </w:r>
      <w:r w:rsidR="00703FE4">
        <w:t xml:space="preserve"> gives</w:t>
      </w:r>
      <w:r w:rsidRPr="00792AA7">
        <w:t xml:space="preserve"> </w:t>
      </w:r>
      <w:r w:rsidR="00703FE4">
        <w:t xml:space="preserve">clear priority to the prevention of food </w:t>
      </w:r>
      <w:r w:rsidR="008C7197">
        <w:t xml:space="preserve">waste </w:t>
      </w:r>
      <w:r w:rsidR="00163ABF">
        <w:t>and</w:t>
      </w:r>
      <w:r>
        <w:t xml:space="preserve"> </w:t>
      </w:r>
      <w:r w:rsidR="00827271">
        <w:t xml:space="preserve">the repurposing of </w:t>
      </w:r>
      <w:r>
        <w:t xml:space="preserve">unconsumed food for </w:t>
      </w:r>
      <w:r w:rsidR="00827271">
        <w:t xml:space="preserve">use by </w:t>
      </w:r>
      <w:r w:rsidRPr="00F3381D">
        <w:t>underprivileged popula</w:t>
      </w:r>
      <w:r>
        <w:t xml:space="preserve">tions. </w:t>
      </w:r>
    </w:p>
    <w:p w14:paraId="182D0BE3" w14:textId="77777777" w:rsidR="002443BB" w:rsidRPr="008F3D9C" w:rsidRDefault="002443BB" w:rsidP="009F04A2">
      <w:pPr>
        <w:pStyle w:val="Graphtitle"/>
      </w:pPr>
      <w:r w:rsidRPr="008F3D9C">
        <w:lastRenderedPageBreak/>
        <w:t>The Economic-</w:t>
      </w:r>
      <w:r w:rsidRPr="009F04A2">
        <w:t>Environmental</w:t>
      </w:r>
      <w:r w:rsidRPr="008F3D9C">
        <w:t xml:space="preserve"> Hierarchy of Food Recovery</w:t>
      </w:r>
    </w:p>
    <w:p w14:paraId="132DBB4A" w14:textId="77777777" w:rsidR="00703FE4" w:rsidRDefault="002443BB" w:rsidP="004E71F9">
      <w:pPr>
        <w:pStyle w:val="BodyText"/>
        <w:jc w:val="center"/>
      </w:pPr>
      <w:r w:rsidRPr="008F3D9C">
        <w:rPr>
          <w:noProof/>
        </w:rPr>
        <w:drawing>
          <wp:inline distT="0" distB="0" distL="0" distR="0" wp14:anchorId="639F80F5" wp14:editId="79232CF0">
            <wp:extent cx="3290769" cy="2901462"/>
            <wp:effectExtent l="0" t="0" r="5080" b="0"/>
            <wp:docPr id="1" name="תמונה 26" descr="This image shows the food recovery hierarchy. At the top the most preferable method is source reduction, then feed hungry people, then feed animals, then industrial uses, then composting and the least preferred method is landfill and incine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mage shows the food recovery hierarchy. At the top the most preferable method is source reduction, then feed hungry people, then feed animals, then industrial uses, then composting and the least preferred method is landfill and incineratio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1068" cy="2928177"/>
                    </a:xfrm>
                    <a:prstGeom prst="rect">
                      <a:avLst/>
                    </a:prstGeom>
                    <a:noFill/>
                    <a:ln>
                      <a:noFill/>
                    </a:ln>
                  </pic:spPr>
                </pic:pic>
              </a:graphicData>
            </a:graphic>
          </wp:inline>
        </w:drawing>
      </w:r>
    </w:p>
    <w:p w14:paraId="5C76C5B8" w14:textId="77777777" w:rsidR="002C009C" w:rsidRPr="00EA134E" w:rsidRDefault="002443BB" w:rsidP="009F04A2">
      <w:pPr>
        <w:pStyle w:val="Graphnote"/>
        <w:rPr>
          <w:rtl/>
        </w:rPr>
      </w:pPr>
      <w:r w:rsidRPr="00703FE4">
        <w:t>Source: EPA</w:t>
      </w:r>
    </w:p>
    <w:p w14:paraId="538C1AC1" w14:textId="2D3F6097" w:rsidR="002C009C" w:rsidRPr="00352346" w:rsidRDefault="002C009C" w:rsidP="003102F3">
      <w:pPr>
        <w:pStyle w:val="BodyText"/>
      </w:pPr>
      <w:r w:rsidRPr="008F3D9C">
        <w:t xml:space="preserve">Many </w:t>
      </w:r>
      <w:r w:rsidRPr="009F04A2">
        <w:t>policy</w:t>
      </w:r>
      <w:r w:rsidRPr="008F3D9C">
        <w:t xml:space="preserve"> measures e</w:t>
      </w:r>
      <w:r w:rsidR="00485F60" w:rsidRPr="008F3D9C">
        <w:t>xist to address the need</w:t>
      </w:r>
      <w:r w:rsidR="004377EC" w:rsidRPr="008F3D9C">
        <w:t>s</w:t>
      </w:r>
      <w:r w:rsidR="00485F60" w:rsidRPr="008F3D9C">
        <w:t xml:space="preserve"> of underprivileged</w:t>
      </w:r>
      <w:r w:rsidR="00B72CC5" w:rsidRPr="008F3D9C">
        <w:t xml:space="preserve"> population</w:t>
      </w:r>
      <w:r w:rsidR="00D8506A" w:rsidRPr="008F3D9C">
        <w:t>s</w:t>
      </w:r>
      <w:r w:rsidRPr="008F3D9C">
        <w:t xml:space="preserve">, and </w:t>
      </w:r>
      <w:r w:rsidR="00536A80" w:rsidRPr="008F3D9C">
        <w:t xml:space="preserve">to help alleviate </w:t>
      </w:r>
      <w:r w:rsidR="00485F60" w:rsidRPr="008F3D9C">
        <w:t>the problem of food</w:t>
      </w:r>
      <w:r w:rsidRPr="008F3D9C">
        <w:t xml:space="preserve"> insecurity.</w:t>
      </w:r>
      <w:r w:rsidR="0057048D" w:rsidRPr="008F3D9C">
        <w:t xml:space="preserve"> </w:t>
      </w:r>
      <w:r w:rsidRPr="008F3D9C">
        <w:t xml:space="preserve">The most commonly used methods in Israel </w:t>
      </w:r>
      <w:r w:rsidR="003102F3">
        <w:t>include</w:t>
      </w:r>
      <w:r w:rsidRPr="008F3D9C">
        <w:t xml:space="preserve"> donations, subsidies, allocatio</w:t>
      </w:r>
      <w:bookmarkStart w:id="3" w:name="_GoBack"/>
      <w:bookmarkEnd w:id="3"/>
      <w:r w:rsidRPr="008F3D9C">
        <w:t>ns and allowances.</w:t>
      </w:r>
      <w:r w:rsidR="0057048D" w:rsidRPr="008F3D9C">
        <w:t xml:space="preserve"> </w:t>
      </w:r>
      <w:r w:rsidRPr="00184FCF">
        <w:t xml:space="preserve">The uniqueness of food rescue stems from its ability to help </w:t>
      </w:r>
      <w:r w:rsidR="009F04A2">
        <w:t>those in need</w:t>
      </w:r>
      <w:r w:rsidRPr="00184FCF">
        <w:t xml:space="preserve"> at a lo</w:t>
      </w:r>
      <w:r w:rsidR="00CD7EDB" w:rsidRPr="00F948FC">
        <w:t xml:space="preserve">w </w:t>
      </w:r>
      <w:r w:rsidR="009F04A2" w:rsidRPr="00F948FC">
        <w:t xml:space="preserve">budgetary and </w:t>
      </w:r>
      <w:r w:rsidR="00CD7EDB" w:rsidRPr="00F948FC">
        <w:t>economic cost.</w:t>
      </w:r>
      <w:r w:rsidR="0057048D" w:rsidRPr="00F948FC">
        <w:t xml:space="preserve"> </w:t>
      </w:r>
      <w:r w:rsidR="00CD7EDB" w:rsidRPr="009C4CDA">
        <w:t>I</w:t>
      </w:r>
      <w:r w:rsidRPr="009C4CDA">
        <w:t>nstead of financing the full cost of food</w:t>
      </w:r>
      <w:r w:rsidR="00536A80" w:rsidRPr="009C4CDA">
        <w:t xml:space="preserve"> purchases</w:t>
      </w:r>
      <w:r w:rsidR="00CD7EDB" w:rsidRPr="009C4CDA">
        <w:t xml:space="preserve">, it is </w:t>
      </w:r>
      <w:r w:rsidR="005B276B" w:rsidRPr="009C4CDA">
        <w:t xml:space="preserve">only </w:t>
      </w:r>
      <w:r w:rsidR="00B72CC5" w:rsidRPr="009C4CDA">
        <w:t xml:space="preserve">necessary to </w:t>
      </w:r>
      <w:r w:rsidR="00CD7EDB" w:rsidRPr="009C4CDA">
        <w:t>finance</w:t>
      </w:r>
      <w:r w:rsidRPr="009C4CDA">
        <w:t xml:space="preserve"> </w:t>
      </w:r>
      <w:r w:rsidR="00B72CC5" w:rsidRPr="009C4CDA">
        <w:t xml:space="preserve">the cost of its </w:t>
      </w:r>
      <w:r w:rsidR="00D93372" w:rsidRPr="009C4CDA">
        <w:t>rescue</w:t>
      </w:r>
      <w:r w:rsidRPr="009C4CDA">
        <w:t>.</w:t>
      </w:r>
      <w:r w:rsidRPr="00655182">
        <w:t xml:space="preserve"> </w:t>
      </w:r>
    </w:p>
    <w:p w14:paraId="40EB4211" w14:textId="77777777" w:rsidR="002C009C" w:rsidRDefault="00B72CC5" w:rsidP="00876C4B">
      <w:pPr>
        <w:pStyle w:val="BodyText"/>
      </w:pPr>
      <w:r w:rsidRPr="008F3D9C">
        <w:t xml:space="preserve">In socioeconomic discourse, there is </w:t>
      </w:r>
      <w:r w:rsidR="00163ABF">
        <w:t>a prevailing</w:t>
      </w:r>
      <w:r w:rsidR="002C009C" w:rsidRPr="008F3D9C">
        <w:t xml:space="preserve"> disagreement, both in Israel and abroad, between proponents of</w:t>
      </w:r>
      <w:r w:rsidR="00CC6638" w:rsidRPr="008F3D9C">
        <w:t xml:space="preserve"> prioritizing</w:t>
      </w:r>
      <w:r w:rsidR="002C009C" w:rsidRPr="008F3D9C">
        <w:t xml:space="preserve"> growth (</w:t>
      </w:r>
      <w:r w:rsidR="0020476D" w:rsidRPr="008F3D9C">
        <w:t>“</w:t>
      </w:r>
      <w:r w:rsidR="002C009C" w:rsidRPr="008F3D9C">
        <w:t>increasing the pie</w:t>
      </w:r>
      <w:r w:rsidR="0020476D" w:rsidRPr="008F3D9C">
        <w:t>”</w:t>
      </w:r>
      <w:r w:rsidR="002C009C" w:rsidRPr="008F3D9C">
        <w:t xml:space="preserve">) and proponents of </w:t>
      </w:r>
      <w:r w:rsidR="00CC6638" w:rsidRPr="008F3D9C">
        <w:t>prioritizing reduction of</w:t>
      </w:r>
      <w:r w:rsidR="002C009C" w:rsidRPr="008F3D9C">
        <w:t xml:space="preserve"> inequality.</w:t>
      </w:r>
    </w:p>
    <w:p w14:paraId="1C526BDB" w14:textId="77777777" w:rsidR="00876C4B" w:rsidRPr="00876C4B" w:rsidRDefault="009F04A2" w:rsidP="00876C4B">
      <w:pPr>
        <w:pStyle w:val="BodyText"/>
        <w:rPr>
          <w:b/>
          <w:bCs/>
        </w:rPr>
      </w:pPr>
      <w:r>
        <w:lastRenderedPageBreak/>
        <w:t xml:space="preserve">Food rescue is unique because it is a policy tool that inherently integrates </w:t>
      </w:r>
      <w:r w:rsidR="00163ABF">
        <w:t>both</w:t>
      </w:r>
      <w:r>
        <w:t xml:space="preserve"> approaches. </w:t>
      </w:r>
      <w:r w:rsidR="00876C4B">
        <w:rPr>
          <w:b/>
          <w:bCs/>
        </w:rPr>
        <w:t xml:space="preserve">Rescuing food and transferring it to </w:t>
      </w:r>
      <w:r w:rsidR="002443BB" w:rsidRPr="00876C4B">
        <w:rPr>
          <w:b/>
          <w:bCs/>
        </w:rPr>
        <w:t>underprivileged populations</w:t>
      </w:r>
      <w:r w:rsidR="00876C4B">
        <w:rPr>
          <w:b/>
          <w:bCs/>
        </w:rPr>
        <w:t xml:space="preserve"> for their consumption both increases the productivity of the economy and simultaneously reduces inequality.</w:t>
      </w:r>
    </w:p>
    <w:p w14:paraId="210076B2" w14:textId="67BF5207" w:rsidR="00147E6F" w:rsidRPr="00147E6F" w:rsidRDefault="00147E6F" w:rsidP="004E71F9">
      <w:pPr>
        <w:pStyle w:val="BodyText"/>
      </w:pPr>
      <w:r w:rsidRPr="00147E6F">
        <w:t xml:space="preserve">Food rescue is an economic action that transforms such surplus, with zero or negative value, into food </w:t>
      </w:r>
      <w:r w:rsidR="00EE1AD1">
        <w:t xml:space="preserve">with a positive economic value </w:t>
      </w:r>
      <w:r w:rsidRPr="00147E6F">
        <w:t xml:space="preserve">that is then distributed to the underprivileged populace. </w:t>
      </w:r>
    </w:p>
    <w:p w14:paraId="29D63EBE" w14:textId="77777777" w:rsidR="00147E6F" w:rsidRPr="00147E6F" w:rsidRDefault="00147E6F" w:rsidP="004E71F9">
      <w:pPr>
        <w:pStyle w:val="BodyText"/>
        <w:rPr>
          <w:rtl/>
        </w:rPr>
      </w:pPr>
      <w:r w:rsidRPr="004F19A0">
        <w:t>The importance of rescuing food stems from three</w:t>
      </w:r>
      <w:r w:rsidRPr="00B77962">
        <w:rPr>
          <w:rStyle w:val="BodyTextChar"/>
        </w:rPr>
        <w:t xml:space="preserve"> </w:t>
      </w:r>
      <w:r w:rsidRPr="004F19A0">
        <w:t xml:space="preserve">central </w:t>
      </w:r>
      <w:r w:rsidR="0091723E">
        <w:t>advantages</w:t>
      </w:r>
      <w:r w:rsidRPr="004F19A0">
        <w:t>:</w:t>
      </w:r>
    </w:p>
    <w:p w14:paraId="1B31BBB8" w14:textId="200307BD" w:rsidR="00147E6F" w:rsidRPr="00147E6F" w:rsidRDefault="00147E6F" w:rsidP="0071165E">
      <w:pPr>
        <w:pStyle w:val="ListParagraph"/>
      </w:pPr>
      <w:r w:rsidRPr="00147E6F">
        <w:rPr>
          <w:b/>
          <w:bCs/>
        </w:rPr>
        <w:t xml:space="preserve">Economic benefit </w:t>
      </w:r>
      <w:r w:rsidRPr="00147E6F">
        <w:t>– Rescuing food transform</w:t>
      </w:r>
      <w:r w:rsidR="0071165E">
        <w:t>s</w:t>
      </w:r>
      <w:r w:rsidRPr="00147E6F">
        <w:t xml:space="preserve"> zero or negative value waste to an economically valuable commodity, thus </w:t>
      </w:r>
      <w:r w:rsidRPr="00B77962">
        <w:t>increasing</w:t>
      </w:r>
      <w:r w:rsidRPr="00147E6F">
        <w:t xml:space="preserve"> the gross national product and productivity;</w:t>
      </w:r>
    </w:p>
    <w:p w14:paraId="5DFB3A43" w14:textId="4CB15E49" w:rsidR="00147E6F" w:rsidRPr="00147E6F" w:rsidRDefault="00147E6F" w:rsidP="0071165E">
      <w:pPr>
        <w:pStyle w:val="ListParagraph"/>
      </w:pPr>
      <w:r w:rsidRPr="00147E6F">
        <w:rPr>
          <w:b/>
          <w:bCs/>
        </w:rPr>
        <w:t xml:space="preserve">Social benefit </w:t>
      </w:r>
      <w:r w:rsidRPr="00147E6F">
        <w:t>–</w:t>
      </w:r>
      <w:r w:rsidR="00AF1228">
        <w:t xml:space="preserve"> </w:t>
      </w:r>
      <w:r w:rsidR="0071165E">
        <w:t xml:space="preserve">The rescue and provision of surplus food to those in need </w:t>
      </w:r>
      <w:r w:rsidRPr="00147E6F">
        <w:t>reduces social gaps and prevents food insecurity in weaker</w:t>
      </w:r>
      <w:r w:rsidR="00F06929">
        <w:t>,</w:t>
      </w:r>
      <w:r w:rsidRPr="00147E6F">
        <w:t xml:space="preserve"> underprivileged populations; </w:t>
      </w:r>
    </w:p>
    <w:p w14:paraId="09F713EE" w14:textId="77777777" w:rsidR="00147E6F" w:rsidRPr="00147E6F" w:rsidRDefault="00147E6F" w:rsidP="00B77962">
      <w:pPr>
        <w:pStyle w:val="ListParagraph"/>
      </w:pPr>
      <w:r w:rsidRPr="00147E6F">
        <w:rPr>
          <w:b/>
          <w:bCs/>
        </w:rPr>
        <w:t xml:space="preserve">Environmental benefit </w:t>
      </w:r>
      <w:r w:rsidRPr="00147E6F">
        <w:t xml:space="preserve">– Waste reduction reduces pollutant levels, GHG emissions, and use of finite land and water resources. </w:t>
      </w:r>
    </w:p>
    <w:p w14:paraId="66C4410A" w14:textId="77777777" w:rsidR="00147E6F" w:rsidRDefault="00147E6F" w:rsidP="00B77962">
      <w:pPr>
        <w:pStyle w:val="BodyText"/>
      </w:pPr>
      <w:r w:rsidRPr="00147E6F">
        <w:t xml:space="preserve">The combination of these three </w:t>
      </w:r>
      <w:r w:rsidR="00B77962" w:rsidRPr="00147E6F">
        <w:t xml:space="preserve">characteristics </w:t>
      </w:r>
      <w:r w:rsidR="00B77962">
        <w:t xml:space="preserve">of </w:t>
      </w:r>
      <w:r w:rsidRPr="00147E6F">
        <w:t xml:space="preserve">food rescue creates a unique opportunity </w:t>
      </w:r>
      <w:r w:rsidRPr="00147E6F">
        <w:rPr>
          <w:cs/>
        </w:rPr>
        <w:t>‎</w:t>
      </w:r>
      <w:r w:rsidRPr="00147E6F">
        <w:t>that requires the formation of an appropriate policy to reflect such benefits.</w:t>
      </w:r>
      <w:r w:rsidRPr="00147E6F">
        <w:rPr>
          <w:cs/>
        </w:rPr>
        <w:t>‎</w:t>
      </w:r>
    </w:p>
    <w:p w14:paraId="12000396" w14:textId="6760F82C" w:rsidR="00147E6F" w:rsidRDefault="00147E6F" w:rsidP="00B77962">
      <w:pPr>
        <w:pStyle w:val="BodyText"/>
      </w:pPr>
      <w:r w:rsidRPr="008F3D9C">
        <w:t xml:space="preserve">Food waste is not a phenomenon unique to the Israeli economy, and is evident in similar volumes in </w:t>
      </w:r>
      <w:r w:rsidR="00163ABF">
        <w:t>comparable</w:t>
      </w:r>
      <w:r w:rsidR="00B77962">
        <w:t xml:space="preserve"> developed </w:t>
      </w:r>
      <w:r w:rsidR="00F06929">
        <w:t>economies</w:t>
      </w:r>
      <w:r w:rsidRPr="008F3D9C">
        <w:t xml:space="preserve">. </w:t>
      </w:r>
      <w:r>
        <w:t xml:space="preserve">However, unlike many other countries that have developed legislation, national </w:t>
      </w:r>
      <w:r w:rsidR="00163ABF">
        <w:t>policies</w:t>
      </w:r>
      <w:r>
        <w:t xml:space="preserve"> and multi-year targets </w:t>
      </w:r>
      <w:r w:rsidR="00163ABF">
        <w:t>to encourage</w:t>
      </w:r>
      <w:r>
        <w:t xml:space="preserve"> food rescue </w:t>
      </w:r>
      <w:r>
        <w:lastRenderedPageBreak/>
        <w:t xml:space="preserve">and </w:t>
      </w:r>
      <w:r w:rsidR="00163ABF">
        <w:t>decrease</w:t>
      </w:r>
      <w:r w:rsidR="006C74A7">
        <w:t xml:space="preserve"> food waste, Israel still lacks </w:t>
      </w:r>
      <w:r w:rsidR="0071165E">
        <w:t xml:space="preserve">a </w:t>
      </w:r>
      <w:r w:rsidR="006C74A7">
        <w:t>national policy regarding these issues.</w:t>
      </w:r>
      <w:r w:rsidR="004B64F6">
        <w:t xml:space="preserve"> </w:t>
      </w:r>
    </w:p>
    <w:p w14:paraId="25965B00" w14:textId="5D70E856" w:rsidR="003456E8" w:rsidRDefault="006C74A7" w:rsidP="003577EA">
      <w:pPr>
        <w:pStyle w:val="BodyText"/>
      </w:pPr>
      <w:r>
        <w:t xml:space="preserve">Despite this, some </w:t>
      </w:r>
      <w:r w:rsidR="003102F3">
        <w:t xml:space="preserve">initial </w:t>
      </w:r>
      <w:r>
        <w:t xml:space="preserve">steps have been taken in Israel in recent years, in terms of both </w:t>
      </w:r>
      <w:r w:rsidRPr="002A0903">
        <w:t xml:space="preserve">regulation and </w:t>
      </w:r>
      <w:r w:rsidR="000440EF">
        <w:t>incentives</w:t>
      </w:r>
      <w:r>
        <w:t>. More than two years ago,</w:t>
      </w:r>
      <w:r w:rsidRPr="008F3D9C">
        <w:t xml:space="preserve"> legislation</w:t>
      </w:r>
      <w:r>
        <w:t xml:space="preserve"> </w:t>
      </w:r>
      <w:r w:rsidR="00713253">
        <w:t xml:space="preserve">was </w:t>
      </w:r>
      <w:r w:rsidRPr="008F3D9C">
        <w:t>proposed</w:t>
      </w:r>
      <w:r w:rsidR="00713253">
        <w:t xml:space="preserve"> to encourage the rescue of surplus food</w:t>
      </w:r>
      <w:r w:rsidR="00163ABF">
        <w:t>. L</w:t>
      </w:r>
      <w:r w:rsidR="00713253">
        <w:t xml:space="preserve">ast year </w:t>
      </w:r>
      <w:r w:rsidR="00B77962">
        <w:t xml:space="preserve">legislation </w:t>
      </w:r>
      <w:r w:rsidR="00713253">
        <w:t xml:space="preserve">granting tax benefits for food donations was </w:t>
      </w:r>
      <w:r w:rsidR="00B77962">
        <w:t xml:space="preserve">also </w:t>
      </w:r>
      <w:r w:rsidR="00713253">
        <w:t>proposed. In 2017</w:t>
      </w:r>
      <w:r w:rsidRPr="008F3D9C">
        <w:t xml:space="preserve">, </w:t>
      </w:r>
      <w:r w:rsidR="00713253">
        <w:t xml:space="preserve">the Ministry of Agriculture </w:t>
      </w:r>
      <w:r w:rsidR="00163ABF">
        <w:t>launched</w:t>
      </w:r>
      <w:r w:rsidR="00713253">
        <w:t xml:space="preserve"> a pilot project through which farmers distributed surplus produce to people in need, through </w:t>
      </w:r>
      <w:r w:rsidR="00363DCB">
        <w:t>nonprofit organizations (</w:t>
      </w:r>
      <w:r w:rsidR="00713253">
        <w:t>N</w:t>
      </w:r>
      <w:r w:rsidR="000F1987">
        <w:t>P</w:t>
      </w:r>
      <w:r w:rsidR="00713253">
        <w:t>Os</w:t>
      </w:r>
      <w:r w:rsidR="00363DCB">
        <w:t>)</w:t>
      </w:r>
      <w:r w:rsidR="00713253">
        <w:t xml:space="preserve">. The Ministry of Agriculture and Leket </w:t>
      </w:r>
      <w:r w:rsidR="00363DCB">
        <w:t xml:space="preserve">Israel </w:t>
      </w:r>
      <w:r w:rsidR="003577EA">
        <w:t>are cooperating</w:t>
      </w:r>
      <w:r w:rsidR="00363DCB">
        <w:t xml:space="preserve"> on </w:t>
      </w:r>
      <w:r w:rsidR="00713253">
        <w:t xml:space="preserve">a joint project </w:t>
      </w:r>
      <w:r w:rsidR="00163ABF">
        <w:t>aimed at Israel’s</w:t>
      </w:r>
      <w:r w:rsidR="00713253">
        <w:t xml:space="preserve"> Bedouin </w:t>
      </w:r>
      <w:r w:rsidR="00163ABF">
        <w:t>population</w:t>
      </w:r>
      <w:r w:rsidR="00713253">
        <w:t xml:space="preserve">. The Ministry of Welfare’s food security program </w:t>
      </w:r>
      <w:r w:rsidR="00163ABF">
        <w:t xml:space="preserve">has </w:t>
      </w:r>
      <w:r w:rsidR="000440EF">
        <w:t>been launched</w:t>
      </w:r>
      <w:r w:rsidR="00713253">
        <w:t xml:space="preserve"> and for the first time, surplus agricultural produce is being included in food baskets</w:t>
      </w:r>
      <w:r w:rsidR="00B77962">
        <w:t xml:space="preserve"> </w:t>
      </w:r>
      <w:r w:rsidR="00713253">
        <w:t xml:space="preserve">the Ministry distributes to </w:t>
      </w:r>
      <w:r w:rsidR="00B77962">
        <w:t xml:space="preserve">underprivileged </w:t>
      </w:r>
      <w:r w:rsidR="00713253">
        <w:t xml:space="preserve">populations. </w:t>
      </w:r>
      <w:r w:rsidR="003577EA">
        <w:t>Even with these initiatives</w:t>
      </w:r>
      <w:r w:rsidR="00713253">
        <w:t xml:space="preserve">, three </w:t>
      </w:r>
      <w:r w:rsidRPr="008F3D9C">
        <w:t>years after a State Comptroller's Report warned about the lack of a clear government policy on the issue, there is still no national program for food rescue.</w:t>
      </w:r>
      <w:r w:rsidR="00713253">
        <w:t xml:space="preserve"> [Additional details on the new government initiatives may be found in </w:t>
      </w:r>
      <w:r w:rsidR="00B77962">
        <w:t>the section on recent developments in Chapter 10</w:t>
      </w:r>
      <w:r w:rsidR="00713253">
        <w:t>.]</w:t>
      </w:r>
    </w:p>
    <w:p w14:paraId="142DC9BF" w14:textId="77777777" w:rsidR="003456E8" w:rsidRDefault="003456E8">
      <w:pPr>
        <w:rPr>
          <w:rFonts w:eastAsia="Calibri" w:cs="Times New Roman"/>
          <w:sz w:val="24"/>
          <w:szCs w:val="24"/>
        </w:rPr>
      </w:pPr>
      <w:r>
        <w:br w:type="page"/>
      </w:r>
    </w:p>
    <w:p w14:paraId="3BA16773" w14:textId="6476237E" w:rsidR="003456E8" w:rsidRPr="003456E8" w:rsidRDefault="003456E8" w:rsidP="0061604E">
      <w:pPr>
        <w:pStyle w:val="Heading1"/>
      </w:pPr>
      <w:bookmarkStart w:id="4" w:name="_Toc505547253"/>
      <w:r w:rsidRPr="003456E8">
        <w:lastRenderedPageBreak/>
        <w:t xml:space="preserve">Food Waste – How </w:t>
      </w:r>
      <w:r w:rsidR="005870FC">
        <w:t>M</w:t>
      </w:r>
      <w:r w:rsidRPr="003456E8">
        <w:t xml:space="preserve">uch </w:t>
      </w:r>
      <w:r w:rsidR="005870FC">
        <w:t>F</w:t>
      </w:r>
      <w:r w:rsidRPr="003456E8">
        <w:t xml:space="preserve">ood is </w:t>
      </w:r>
      <w:r w:rsidR="005870FC">
        <w:t>W</w:t>
      </w:r>
      <w:r w:rsidRPr="003456E8">
        <w:t>asted in Israel?</w:t>
      </w:r>
      <w:bookmarkEnd w:id="4"/>
    </w:p>
    <w:p w14:paraId="3A0A700F" w14:textId="77777777" w:rsidR="005D7029" w:rsidRPr="00B77962" w:rsidRDefault="007F3027" w:rsidP="004E2385">
      <w:pPr>
        <w:pStyle w:val="BodyText"/>
        <w:rPr>
          <w:b/>
          <w:bCs/>
        </w:rPr>
      </w:pPr>
      <w:r w:rsidRPr="00B77962">
        <w:rPr>
          <w:u w:val="single"/>
        </w:rPr>
        <w:t>Bold chapter head</w:t>
      </w:r>
      <w:r w:rsidRPr="00EA134E">
        <w:t>:</w:t>
      </w:r>
      <w:r w:rsidRPr="003456E8">
        <w:t xml:space="preserve"> </w:t>
      </w:r>
      <w:r w:rsidR="003456E8" w:rsidRPr="00AD79E9">
        <w:rPr>
          <w:b/>
          <w:bCs/>
        </w:rPr>
        <w:t>2.</w:t>
      </w:r>
      <w:r w:rsidR="003456E8" w:rsidRPr="00B77962">
        <w:rPr>
          <w:b/>
          <w:bCs/>
        </w:rPr>
        <w:t>3 million tons of food was wasted in Israel in 2017</w:t>
      </w:r>
    </w:p>
    <w:p w14:paraId="3D79BBA7" w14:textId="7883383B" w:rsidR="00D71E3C" w:rsidRDefault="003456E8" w:rsidP="003102F3">
      <w:pPr>
        <w:pStyle w:val="BodyText"/>
      </w:pPr>
      <w:r w:rsidRPr="003456E8">
        <w:t xml:space="preserve">Food waste estimates in Israel are based on a unique model of the value chain </w:t>
      </w:r>
      <w:r w:rsidR="00B77962">
        <w:t>for</w:t>
      </w:r>
      <w:r w:rsidRPr="003456E8">
        <w:t xml:space="preserve"> domestic food production.</w:t>
      </w:r>
      <w:r w:rsidRPr="003456E8">
        <w:rPr>
          <w:vertAlign w:val="superscript"/>
        </w:rPr>
        <w:footnoteReference w:id="1"/>
      </w:r>
      <w:r w:rsidRPr="003456E8">
        <w:t xml:space="preserve"> Estimated at approximately 2.</w:t>
      </w:r>
      <w:r>
        <w:t>3</w:t>
      </w:r>
      <w:r w:rsidRPr="003456E8">
        <w:t xml:space="preserve"> million tons </w:t>
      </w:r>
      <w:r>
        <w:t>in 2017</w:t>
      </w:r>
      <w:r w:rsidRPr="003456E8">
        <w:t xml:space="preserve">, food waste in Israel constitutes 33% of overall domestic food production. </w:t>
      </w:r>
      <w:r w:rsidR="00D71E3C">
        <w:t>Israeli agriculture recorded a 3.6% increase in production over the previous year</w:t>
      </w:r>
      <w:r w:rsidR="00FD7754">
        <w:t xml:space="preserve"> </w:t>
      </w:r>
      <w:r w:rsidR="00C46FCE">
        <w:t xml:space="preserve">which </w:t>
      </w:r>
      <w:r w:rsidR="00FD7754">
        <w:t xml:space="preserve">experienced </w:t>
      </w:r>
      <w:r w:rsidR="00D71E3C">
        <w:t xml:space="preserve">a 4% decline in production </w:t>
      </w:r>
      <w:r w:rsidR="00FD7754">
        <w:t>due to inclement</w:t>
      </w:r>
      <w:r w:rsidR="00D71E3C">
        <w:t xml:space="preserve"> weather.</w:t>
      </w:r>
    </w:p>
    <w:p w14:paraId="0220C519" w14:textId="3CB5E998" w:rsidR="003456E8" w:rsidRPr="003456E8" w:rsidRDefault="003456E8" w:rsidP="00FD7754">
      <w:pPr>
        <w:pStyle w:val="BodyText"/>
      </w:pPr>
      <w:r w:rsidRPr="003456E8">
        <w:t>Findings of the 201</w:t>
      </w:r>
      <w:r w:rsidR="00D71E3C">
        <w:t>7</w:t>
      </w:r>
      <w:r w:rsidRPr="003456E8">
        <w:t xml:space="preserve"> National Food Waste and Rescue Report indicate a decrease </w:t>
      </w:r>
      <w:r w:rsidR="00D71E3C" w:rsidRPr="003456E8">
        <w:t xml:space="preserve">in food waste, compared to the findings in the previous report. </w:t>
      </w:r>
      <w:r w:rsidR="00FD7754">
        <w:t xml:space="preserve">This was the </w:t>
      </w:r>
      <w:r w:rsidR="00D71E3C">
        <w:t xml:space="preserve">result of the 3.6% increase in Israeli agricultural production, which was </w:t>
      </w:r>
      <w:r w:rsidR="00C46FCE">
        <w:t xml:space="preserve">also </w:t>
      </w:r>
      <w:r w:rsidR="00D71E3C">
        <w:t xml:space="preserve">offset by </w:t>
      </w:r>
      <w:r w:rsidR="00FD7754">
        <w:t xml:space="preserve">a </w:t>
      </w:r>
      <w:r w:rsidR="00D71E3C">
        <w:t xml:space="preserve">decrease in the estimated rate of loss. </w:t>
      </w:r>
    </w:p>
    <w:p w14:paraId="3E35F1E0" w14:textId="77777777" w:rsidR="00D71E3C" w:rsidRDefault="00D71E3C" w:rsidP="00B77962">
      <w:pPr>
        <w:pStyle w:val="Graphtitle"/>
      </w:pPr>
      <w:r>
        <w:t>Food Waste in Israel</w:t>
      </w:r>
    </w:p>
    <w:p w14:paraId="368CF525" w14:textId="77777777" w:rsidR="00D71E3C" w:rsidRPr="003456E8" w:rsidRDefault="003456E8" w:rsidP="00B77962">
      <w:pPr>
        <w:pStyle w:val="Graphtitle"/>
      </w:pPr>
      <w:r w:rsidRPr="003456E8">
        <w:t>Monthly Value (NIS) of Food Waste per Household in Israel</w:t>
      </w:r>
    </w:p>
    <w:tbl>
      <w:tblPr>
        <w:tblStyle w:val="MediumShading1-Accent1"/>
        <w:tblW w:w="8988" w:type="dxa"/>
        <w:tblBorders>
          <w:insideH w:val="single" w:sz="6" w:space="0" w:color="7BA0CD" w:themeColor="accent1" w:themeTint="BF"/>
          <w:insideV w:val="single" w:sz="6" w:space="0" w:color="7BA0CD" w:themeColor="accent1" w:themeTint="BF"/>
        </w:tblBorders>
        <w:tblLayout w:type="fixed"/>
        <w:tblCellMar>
          <w:left w:w="57" w:type="dxa"/>
          <w:right w:w="57" w:type="dxa"/>
        </w:tblCellMar>
        <w:tblLook w:val="04A0" w:firstRow="1" w:lastRow="0" w:firstColumn="1" w:lastColumn="0" w:noHBand="0" w:noVBand="1"/>
      </w:tblPr>
      <w:tblGrid>
        <w:gridCol w:w="1900"/>
        <w:gridCol w:w="1134"/>
        <w:gridCol w:w="1418"/>
        <w:gridCol w:w="992"/>
        <w:gridCol w:w="1276"/>
        <w:gridCol w:w="1417"/>
        <w:gridCol w:w="851"/>
      </w:tblGrid>
      <w:tr w:rsidR="005552B2" w:rsidRPr="003456E8" w14:paraId="3F2EB8A4" w14:textId="77777777" w:rsidTr="003676B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0" w:type="dxa"/>
            <w:tcBorders>
              <w:bottom w:val="single" w:sz="6" w:space="0" w:color="7BA0CD" w:themeColor="accent1" w:themeTint="BF"/>
              <w:right w:val="single" w:sz="6" w:space="0" w:color="7BA0CD" w:themeColor="accent1" w:themeTint="BF"/>
            </w:tcBorders>
            <w:noWrap/>
            <w:vAlign w:val="center"/>
          </w:tcPr>
          <w:p w14:paraId="58A563F5" w14:textId="77777777" w:rsidR="003456E8" w:rsidRPr="00B77962" w:rsidRDefault="003456E8" w:rsidP="00B77962">
            <w:pPr>
              <w:pStyle w:val="Tableheader"/>
              <w:rPr>
                <w:b/>
                <w:bCs/>
              </w:rPr>
            </w:pPr>
            <w:r w:rsidRPr="00B77962">
              <w:rPr>
                <w:b/>
                <w:bCs/>
              </w:rPr>
              <w:t>Waste</w:t>
            </w:r>
            <w:r w:rsidR="005552B2" w:rsidRPr="00B77962">
              <w:rPr>
                <w:b/>
                <w:bCs/>
              </w:rPr>
              <w:t>/household</w:t>
            </w:r>
            <w:r w:rsidRPr="00B77962">
              <w:rPr>
                <w:b/>
                <w:bCs/>
              </w:rPr>
              <w:t xml:space="preserve"> </w:t>
            </w:r>
            <w:r w:rsidRPr="00B06200">
              <w:t>(monthly NIS)</w:t>
            </w:r>
          </w:p>
        </w:tc>
        <w:tc>
          <w:tcPr>
            <w:tcW w:w="1134" w:type="dxa"/>
            <w:tcBorders>
              <w:left w:val="single" w:sz="6" w:space="0" w:color="7BA0CD" w:themeColor="accent1" w:themeTint="BF"/>
              <w:bottom w:val="single" w:sz="6" w:space="0" w:color="7BA0CD" w:themeColor="accent1" w:themeTint="BF"/>
              <w:right w:val="single" w:sz="6" w:space="0" w:color="7BA0CD" w:themeColor="accent1" w:themeTint="BF"/>
            </w:tcBorders>
            <w:noWrap/>
            <w:vAlign w:val="center"/>
          </w:tcPr>
          <w:p w14:paraId="5BF88DD6" w14:textId="77777777" w:rsidR="003456E8" w:rsidRPr="00B77962" w:rsidRDefault="00D71E3C" w:rsidP="00B77962">
            <w:pPr>
              <w:pStyle w:val="Tableheader"/>
              <w:cnfStyle w:val="100000000000" w:firstRow="1" w:lastRow="0" w:firstColumn="0" w:lastColumn="0" w:oddVBand="0" w:evenVBand="0" w:oddHBand="0" w:evenHBand="0" w:firstRowFirstColumn="0" w:firstRowLastColumn="0" w:lastRowFirstColumn="0" w:lastRowLastColumn="0"/>
              <w:rPr>
                <w:b/>
                <w:bCs/>
              </w:rPr>
            </w:pPr>
            <w:r w:rsidRPr="00B77962">
              <w:rPr>
                <w:b/>
                <w:bCs/>
              </w:rPr>
              <w:t>Agriculture</w:t>
            </w:r>
          </w:p>
        </w:tc>
        <w:tc>
          <w:tcPr>
            <w:tcW w:w="1418" w:type="dxa"/>
            <w:tcBorders>
              <w:left w:val="single" w:sz="6" w:space="0" w:color="7BA0CD" w:themeColor="accent1" w:themeTint="BF"/>
              <w:bottom w:val="single" w:sz="6" w:space="0" w:color="7BA0CD" w:themeColor="accent1" w:themeTint="BF"/>
              <w:right w:val="single" w:sz="6" w:space="0" w:color="7BA0CD" w:themeColor="accent1" w:themeTint="BF"/>
            </w:tcBorders>
            <w:noWrap/>
            <w:vAlign w:val="center"/>
          </w:tcPr>
          <w:p w14:paraId="696630CB" w14:textId="77777777" w:rsidR="003456E8" w:rsidRPr="00B77962" w:rsidRDefault="003676B4" w:rsidP="00B77962">
            <w:pPr>
              <w:pStyle w:val="Tableheader"/>
              <w:cnfStyle w:val="100000000000" w:firstRow="1" w:lastRow="0" w:firstColumn="0" w:lastColumn="0" w:oddVBand="0" w:evenVBand="0" w:oddHBand="0" w:evenHBand="0" w:firstRowFirstColumn="0" w:firstRowLastColumn="0" w:lastRowFirstColumn="0" w:lastRowLastColumn="0"/>
              <w:rPr>
                <w:b/>
                <w:bCs/>
              </w:rPr>
            </w:pPr>
            <w:r w:rsidRPr="00B77962">
              <w:rPr>
                <w:b/>
                <w:bCs/>
              </w:rPr>
              <w:t xml:space="preserve">Processing </w:t>
            </w:r>
            <w:r w:rsidR="005552B2" w:rsidRPr="00B77962">
              <w:rPr>
                <w:b/>
                <w:bCs/>
              </w:rPr>
              <w:t xml:space="preserve">&amp; </w:t>
            </w:r>
            <w:r w:rsidR="003456E8" w:rsidRPr="00B77962">
              <w:rPr>
                <w:b/>
                <w:bCs/>
              </w:rPr>
              <w:t>Packaging</w:t>
            </w:r>
          </w:p>
        </w:tc>
        <w:tc>
          <w:tcPr>
            <w:tcW w:w="992" w:type="dxa"/>
            <w:tcBorders>
              <w:left w:val="single" w:sz="6" w:space="0" w:color="7BA0CD" w:themeColor="accent1" w:themeTint="BF"/>
              <w:bottom w:val="single" w:sz="6" w:space="0" w:color="7BA0CD" w:themeColor="accent1" w:themeTint="BF"/>
              <w:right w:val="single" w:sz="6" w:space="0" w:color="7BA0CD" w:themeColor="accent1" w:themeTint="BF"/>
            </w:tcBorders>
            <w:noWrap/>
            <w:vAlign w:val="center"/>
          </w:tcPr>
          <w:p w14:paraId="106AC4B9" w14:textId="77777777" w:rsidR="003456E8" w:rsidRPr="00B77962" w:rsidRDefault="003456E8" w:rsidP="00B77962">
            <w:pPr>
              <w:pStyle w:val="Tableheader"/>
              <w:cnfStyle w:val="100000000000" w:firstRow="1" w:lastRow="0" w:firstColumn="0" w:lastColumn="0" w:oddVBand="0" w:evenVBand="0" w:oddHBand="0" w:evenHBand="0" w:firstRowFirstColumn="0" w:firstRowLastColumn="0" w:lastRowFirstColumn="0" w:lastRowLastColumn="0"/>
              <w:rPr>
                <w:b/>
                <w:bCs/>
              </w:rPr>
            </w:pPr>
            <w:r w:rsidRPr="00B77962">
              <w:rPr>
                <w:b/>
                <w:bCs/>
              </w:rPr>
              <w:t>Industry</w:t>
            </w:r>
          </w:p>
        </w:tc>
        <w:tc>
          <w:tcPr>
            <w:tcW w:w="1276" w:type="dxa"/>
            <w:tcBorders>
              <w:left w:val="single" w:sz="6" w:space="0" w:color="7BA0CD" w:themeColor="accent1" w:themeTint="BF"/>
              <w:bottom w:val="single" w:sz="6" w:space="0" w:color="7BA0CD" w:themeColor="accent1" w:themeTint="BF"/>
              <w:right w:val="single" w:sz="6" w:space="0" w:color="7BA0CD" w:themeColor="accent1" w:themeTint="BF"/>
            </w:tcBorders>
            <w:noWrap/>
            <w:vAlign w:val="center"/>
          </w:tcPr>
          <w:p w14:paraId="6B09B30A" w14:textId="77777777" w:rsidR="003456E8" w:rsidRPr="00B77962" w:rsidRDefault="005552B2" w:rsidP="00B77962">
            <w:pPr>
              <w:pStyle w:val="Tableheader"/>
              <w:cnfStyle w:val="100000000000" w:firstRow="1" w:lastRow="0" w:firstColumn="0" w:lastColumn="0" w:oddVBand="0" w:evenVBand="0" w:oddHBand="0" w:evenHBand="0" w:firstRowFirstColumn="0" w:firstRowLastColumn="0" w:lastRowFirstColumn="0" w:lastRowLastColumn="0"/>
              <w:rPr>
                <w:b/>
                <w:bCs/>
              </w:rPr>
            </w:pPr>
            <w:r w:rsidRPr="00B77962">
              <w:rPr>
                <w:b/>
                <w:bCs/>
              </w:rPr>
              <w:t>Retail &amp;</w:t>
            </w:r>
            <w:r w:rsidR="003456E8" w:rsidRPr="00B77962">
              <w:rPr>
                <w:b/>
                <w:bCs/>
              </w:rPr>
              <w:t xml:space="preserve"> Distribution</w:t>
            </w:r>
          </w:p>
        </w:tc>
        <w:tc>
          <w:tcPr>
            <w:tcW w:w="1417" w:type="dxa"/>
            <w:tcBorders>
              <w:left w:val="single" w:sz="6" w:space="0" w:color="7BA0CD" w:themeColor="accent1" w:themeTint="BF"/>
              <w:bottom w:val="single" w:sz="6" w:space="0" w:color="7BA0CD" w:themeColor="accent1" w:themeTint="BF"/>
              <w:right w:val="single" w:sz="6" w:space="0" w:color="7BA0CD" w:themeColor="accent1" w:themeTint="BF"/>
            </w:tcBorders>
            <w:noWrap/>
            <w:vAlign w:val="center"/>
          </w:tcPr>
          <w:p w14:paraId="6E266B8F" w14:textId="77777777" w:rsidR="003456E8" w:rsidRPr="00B77962" w:rsidRDefault="003456E8" w:rsidP="00B77962">
            <w:pPr>
              <w:pStyle w:val="Tableheader"/>
              <w:cnfStyle w:val="100000000000" w:firstRow="1" w:lastRow="0" w:firstColumn="0" w:lastColumn="0" w:oddVBand="0" w:evenVBand="0" w:oddHBand="0" w:evenHBand="0" w:firstRowFirstColumn="0" w:firstRowLastColumn="0" w:lastRowFirstColumn="0" w:lastRowLastColumn="0"/>
              <w:rPr>
                <w:b/>
                <w:bCs/>
              </w:rPr>
            </w:pPr>
            <w:r w:rsidRPr="00B77962">
              <w:rPr>
                <w:b/>
                <w:bCs/>
              </w:rPr>
              <w:t>Consumption</w:t>
            </w:r>
          </w:p>
        </w:tc>
        <w:tc>
          <w:tcPr>
            <w:tcW w:w="851" w:type="dxa"/>
            <w:tcBorders>
              <w:left w:val="single" w:sz="6" w:space="0" w:color="7BA0CD" w:themeColor="accent1" w:themeTint="BF"/>
              <w:bottom w:val="single" w:sz="6" w:space="0" w:color="7BA0CD" w:themeColor="accent1" w:themeTint="BF"/>
            </w:tcBorders>
            <w:noWrap/>
            <w:vAlign w:val="center"/>
          </w:tcPr>
          <w:p w14:paraId="52F94090" w14:textId="77777777" w:rsidR="003456E8" w:rsidRPr="00B77962" w:rsidRDefault="003456E8" w:rsidP="00B77962">
            <w:pPr>
              <w:pStyle w:val="Tableheader"/>
              <w:cnfStyle w:val="100000000000" w:firstRow="1" w:lastRow="0" w:firstColumn="0" w:lastColumn="0" w:oddVBand="0" w:evenVBand="0" w:oddHBand="0" w:evenHBand="0" w:firstRowFirstColumn="0" w:firstRowLastColumn="0" w:lastRowFirstColumn="0" w:lastRowLastColumn="0"/>
              <w:rPr>
                <w:b/>
                <w:bCs/>
              </w:rPr>
            </w:pPr>
            <w:r w:rsidRPr="00B77962">
              <w:rPr>
                <w:b/>
                <w:bCs/>
              </w:rPr>
              <w:t>Total</w:t>
            </w:r>
          </w:p>
        </w:tc>
      </w:tr>
      <w:tr w:rsidR="005552B2" w:rsidRPr="003456E8" w14:paraId="6D1FE14B" w14:textId="77777777" w:rsidTr="003676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0" w:type="dxa"/>
            <w:tcBorders>
              <w:top w:val="single" w:sz="6" w:space="0" w:color="7BA0CD" w:themeColor="accent1" w:themeTint="BF"/>
              <w:bottom w:val="single" w:sz="6" w:space="0" w:color="7BA0CD" w:themeColor="accent1" w:themeTint="BF"/>
              <w:right w:val="single" w:sz="6" w:space="0" w:color="7BA0CD" w:themeColor="accent1" w:themeTint="BF"/>
            </w:tcBorders>
            <w:noWrap/>
            <w:vAlign w:val="center"/>
          </w:tcPr>
          <w:p w14:paraId="7E6E4DBB" w14:textId="77777777" w:rsidR="005552B2" w:rsidRPr="005552B2" w:rsidRDefault="005552B2" w:rsidP="00B77962">
            <w:pPr>
              <w:pStyle w:val="tabletext"/>
            </w:pPr>
            <w:r w:rsidRPr="005552B2">
              <w:t>Fruit &amp; Vegetables</w:t>
            </w:r>
          </w:p>
        </w:tc>
        <w:tc>
          <w:tcPr>
            <w:tcW w:w="1134"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68A8FD30" w14:textId="77777777" w:rsidR="005552B2" w:rsidRPr="005552B2" w:rsidRDefault="005552B2" w:rsidP="005552B2">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5552B2">
              <w:rPr>
                <w:rFonts w:cstheme="minorHAnsi"/>
                <w:cs/>
              </w:rPr>
              <w:t>‎</w:t>
            </w:r>
            <w:r w:rsidRPr="005552B2">
              <w:rPr>
                <w:rFonts w:cstheme="minorHAnsi"/>
              </w:rPr>
              <w:t>68</w:t>
            </w:r>
            <w:r w:rsidRPr="005552B2">
              <w:rPr>
                <w:rFonts w:cstheme="minorHAnsi"/>
                <w:cs/>
              </w:rPr>
              <w:t>‎</w:t>
            </w:r>
          </w:p>
        </w:tc>
        <w:tc>
          <w:tcPr>
            <w:tcW w:w="1418"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3605F6D3" w14:textId="77777777" w:rsidR="005552B2" w:rsidRPr="004E4397" w:rsidRDefault="005552B2" w:rsidP="005552B2">
            <w:pPr>
              <w:jc w:val="right"/>
              <w:cnfStyle w:val="000000100000" w:firstRow="0" w:lastRow="0" w:firstColumn="0" w:lastColumn="0" w:oddVBand="0" w:evenVBand="0" w:oddHBand="1" w:evenHBand="0" w:firstRowFirstColumn="0" w:firstRowLastColumn="0" w:lastRowFirstColumn="0" w:lastRowLastColumn="0"/>
            </w:pPr>
            <w:r w:rsidRPr="004E4397">
              <w:rPr>
                <w:cs/>
              </w:rPr>
              <w:t>‎</w:t>
            </w:r>
            <w:r w:rsidRPr="004E4397">
              <w:t>23</w:t>
            </w:r>
            <w:r w:rsidRPr="004E4397">
              <w:rPr>
                <w:cs/>
              </w:rPr>
              <w:t>‎</w:t>
            </w:r>
          </w:p>
        </w:tc>
        <w:tc>
          <w:tcPr>
            <w:tcW w:w="99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1DDAD512" w14:textId="77777777" w:rsidR="005552B2" w:rsidRPr="004E4397" w:rsidRDefault="005552B2" w:rsidP="005552B2">
            <w:pPr>
              <w:jc w:val="right"/>
              <w:cnfStyle w:val="000000100000" w:firstRow="0" w:lastRow="0" w:firstColumn="0" w:lastColumn="0" w:oddVBand="0" w:evenVBand="0" w:oddHBand="1" w:evenHBand="0" w:firstRowFirstColumn="0" w:firstRowLastColumn="0" w:lastRowFirstColumn="0" w:lastRowLastColumn="0"/>
            </w:pPr>
            <w:r w:rsidRPr="004E4397">
              <w:rPr>
                <w:cs/>
              </w:rPr>
              <w:t>‎</w:t>
            </w:r>
            <w:r w:rsidRPr="004E4397">
              <w:t>2</w:t>
            </w:r>
            <w:r w:rsidRPr="004E4397">
              <w:rPr>
                <w:cs/>
              </w:rPr>
              <w:t>‎</w:t>
            </w:r>
          </w:p>
        </w:tc>
        <w:tc>
          <w:tcPr>
            <w:tcW w:w="1276"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6F2CD3E6" w14:textId="77777777" w:rsidR="005552B2" w:rsidRPr="004E4397" w:rsidRDefault="005552B2" w:rsidP="005552B2">
            <w:pPr>
              <w:jc w:val="right"/>
              <w:cnfStyle w:val="000000100000" w:firstRow="0" w:lastRow="0" w:firstColumn="0" w:lastColumn="0" w:oddVBand="0" w:evenVBand="0" w:oddHBand="1" w:evenHBand="0" w:firstRowFirstColumn="0" w:firstRowLastColumn="0" w:lastRowFirstColumn="0" w:lastRowLastColumn="0"/>
            </w:pPr>
            <w:r w:rsidRPr="004E4397">
              <w:rPr>
                <w:cs/>
              </w:rPr>
              <w:t>‎</w:t>
            </w:r>
            <w:r w:rsidRPr="004E4397">
              <w:t>69</w:t>
            </w:r>
            <w:r w:rsidRPr="004E4397">
              <w:rPr>
                <w:cs/>
              </w:rPr>
              <w:t>‎</w:t>
            </w:r>
          </w:p>
        </w:tc>
        <w:tc>
          <w:tcPr>
            <w:tcW w:w="1417"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25CA1FE2" w14:textId="77777777" w:rsidR="005552B2" w:rsidRPr="004E4397" w:rsidRDefault="005552B2" w:rsidP="005552B2">
            <w:pPr>
              <w:jc w:val="right"/>
              <w:cnfStyle w:val="000000100000" w:firstRow="0" w:lastRow="0" w:firstColumn="0" w:lastColumn="0" w:oddVBand="0" w:evenVBand="0" w:oddHBand="1" w:evenHBand="0" w:firstRowFirstColumn="0" w:firstRowLastColumn="0" w:lastRowFirstColumn="0" w:lastRowLastColumn="0"/>
            </w:pPr>
            <w:r w:rsidRPr="004E4397">
              <w:rPr>
                <w:cs/>
              </w:rPr>
              <w:t>‎</w:t>
            </w:r>
            <w:r w:rsidRPr="004E4397">
              <w:t>131</w:t>
            </w:r>
            <w:r w:rsidRPr="004E4397">
              <w:rPr>
                <w:cs/>
              </w:rPr>
              <w:t>‎</w:t>
            </w:r>
          </w:p>
        </w:tc>
        <w:tc>
          <w:tcPr>
            <w:tcW w:w="851" w:type="dxa"/>
            <w:tcBorders>
              <w:top w:val="single" w:sz="6" w:space="0" w:color="7BA0CD" w:themeColor="accent1" w:themeTint="BF"/>
              <w:left w:val="single" w:sz="6" w:space="0" w:color="7BA0CD" w:themeColor="accent1" w:themeTint="BF"/>
              <w:bottom w:val="single" w:sz="6" w:space="0" w:color="7BA0CD" w:themeColor="accent1" w:themeTint="BF"/>
            </w:tcBorders>
            <w:noWrap/>
          </w:tcPr>
          <w:p w14:paraId="5635E85B" w14:textId="77777777" w:rsidR="005552B2" w:rsidRPr="004E4397" w:rsidRDefault="005552B2" w:rsidP="005552B2">
            <w:pPr>
              <w:jc w:val="right"/>
              <w:cnfStyle w:val="000000100000" w:firstRow="0" w:lastRow="0" w:firstColumn="0" w:lastColumn="0" w:oddVBand="0" w:evenVBand="0" w:oddHBand="1" w:evenHBand="0" w:firstRowFirstColumn="0" w:firstRowLastColumn="0" w:lastRowFirstColumn="0" w:lastRowLastColumn="0"/>
            </w:pPr>
            <w:r w:rsidRPr="004E4397">
              <w:rPr>
                <w:cs/>
              </w:rPr>
              <w:t>‎</w:t>
            </w:r>
            <w:r w:rsidRPr="004E4397">
              <w:t>293</w:t>
            </w:r>
            <w:r w:rsidRPr="004E4397">
              <w:rPr>
                <w:cs/>
              </w:rPr>
              <w:t>‎</w:t>
            </w:r>
          </w:p>
        </w:tc>
      </w:tr>
      <w:tr w:rsidR="005552B2" w:rsidRPr="003456E8" w14:paraId="0020E197" w14:textId="77777777" w:rsidTr="003676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0" w:type="dxa"/>
            <w:tcBorders>
              <w:top w:val="single" w:sz="6" w:space="0" w:color="7BA0CD" w:themeColor="accent1" w:themeTint="BF"/>
              <w:bottom w:val="single" w:sz="6" w:space="0" w:color="7BA0CD" w:themeColor="accent1" w:themeTint="BF"/>
              <w:right w:val="single" w:sz="6" w:space="0" w:color="7BA0CD" w:themeColor="accent1" w:themeTint="BF"/>
            </w:tcBorders>
            <w:noWrap/>
            <w:vAlign w:val="center"/>
          </w:tcPr>
          <w:p w14:paraId="7B12EC35" w14:textId="77777777" w:rsidR="005552B2" w:rsidRPr="005552B2" w:rsidRDefault="005552B2" w:rsidP="00B77962">
            <w:pPr>
              <w:pStyle w:val="tabletext"/>
            </w:pPr>
            <w:r w:rsidRPr="005552B2">
              <w:t>Grains &amp; Legumes</w:t>
            </w:r>
          </w:p>
        </w:tc>
        <w:tc>
          <w:tcPr>
            <w:tcW w:w="1134"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1FFCB819" w14:textId="77777777" w:rsidR="005552B2" w:rsidRPr="00B77962" w:rsidRDefault="005552B2" w:rsidP="00B77962">
            <w:pPr>
              <w:pStyle w:val="Tablenumbers"/>
              <w:cnfStyle w:val="000000010000" w:firstRow="0" w:lastRow="0" w:firstColumn="0" w:lastColumn="0" w:oddVBand="0" w:evenVBand="0" w:oddHBand="0" w:evenHBand="1" w:firstRowFirstColumn="0" w:firstRowLastColumn="0" w:lastRowFirstColumn="0" w:lastRowLastColumn="0"/>
            </w:pPr>
            <w:r w:rsidRPr="00B77962">
              <w:rPr>
                <w:cs/>
              </w:rPr>
              <w:t>‎</w:t>
            </w:r>
            <w:r w:rsidRPr="00B77962">
              <w:t>2</w:t>
            </w:r>
            <w:r w:rsidRPr="00B77962">
              <w:rPr>
                <w:cs/>
              </w:rPr>
              <w:t>‎</w:t>
            </w:r>
          </w:p>
        </w:tc>
        <w:tc>
          <w:tcPr>
            <w:tcW w:w="1418"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3D2F60E3" w14:textId="77777777" w:rsidR="005552B2" w:rsidRPr="00B77962" w:rsidRDefault="005552B2" w:rsidP="00B77962">
            <w:pPr>
              <w:pStyle w:val="Tablenumbers"/>
              <w:cnfStyle w:val="000000010000" w:firstRow="0" w:lastRow="0" w:firstColumn="0" w:lastColumn="0" w:oddVBand="0" w:evenVBand="0" w:oddHBand="0" w:evenHBand="1" w:firstRowFirstColumn="0" w:firstRowLastColumn="0" w:lastRowFirstColumn="0" w:lastRowLastColumn="0"/>
            </w:pPr>
            <w:r w:rsidRPr="00B77962">
              <w:rPr>
                <w:cs/>
              </w:rPr>
              <w:t>‎</w:t>
            </w:r>
            <w:r w:rsidRPr="00B77962">
              <w:t>1</w:t>
            </w:r>
            <w:r w:rsidRPr="00B77962">
              <w:rPr>
                <w:cs/>
              </w:rPr>
              <w:t>‎</w:t>
            </w:r>
          </w:p>
        </w:tc>
        <w:tc>
          <w:tcPr>
            <w:tcW w:w="99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5DA4BB15" w14:textId="77777777" w:rsidR="005552B2" w:rsidRPr="00B77962" w:rsidRDefault="005552B2" w:rsidP="00B77962">
            <w:pPr>
              <w:pStyle w:val="Tablenumbers"/>
              <w:cnfStyle w:val="000000010000" w:firstRow="0" w:lastRow="0" w:firstColumn="0" w:lastColumn="0" w:oddVBand="0" w:evenVBand="0" w:oddHBand="0" w:evenHBand="1" w:firstRowFirstColumn="0" w:firstRowLastColumn="0" w:lastRowFirstColumn="0" w:lastRowLastColumn="0"/>
            </w:pPr>
            <w:r w:rsidRPr="00B77962">
              <w:rPr>
                <w:cs/>
              </w:rPr>
              <w:t>‎</w:t>
            </w:r>
            <w:r w:rsidRPr="00B77962">
              <w:t>1</w:t>
            </w:r>
            <w:r w:rsidRPr="00B77962">
              <w:rPr>
                <w:cs/>
              </w:rPr>
              <w:t>‎</w:t>
            </w:r>
          </w:p>
        </w:tc>
        <w:tc>
          <w:tcPr>
            <w:tcW w:w="1276"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13A9ED92" w14:textId="77777777" w:rsidR="005552B2" w:rsidRPr="00B77962" w:rsidRDefault="005552B2" w:rsidP="00B77962">
            <w:pPr>
              <w:pStyle w:val="Tablenumbers"/>
              <w:cnfStyle w:val="000000010000" w:firstRow="0" w:lastRow="0" w:firstColumn="0" w:lastColumn="0" w:oddVBand="0" w:evenVBand="0" w:oddHBand="0" w:evenHBand="1" w:firstRowFirstColumn="0" w:firstRowLastColumn="0" w:lastRowFirstColumn="0" w:lastRowLastColumn="0"/>
            </w:pPr>
            <w:r w:rsidRPr="00B77962">
              <w:rPr>
                <w:cs/>
              </w:rPr>
              <w:t>‎</w:t>
            </w:r>
            <w:r w:rsidRPr="00B77962">
              <w:t>21</w:t>
            </w:r>
            <w:r w:rsidRPr="00B77962">
              <w:rPr>
                <w:cs/>
              </w:rPr>
              <w:t>‎</w:t>
            </w:r>
          </w:p>
        </w:tc>
        <w:tc>
          <w:tcPr>
            <w:tcW w:w="1417"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790BC4D0" w14:textId="77777777" w:rsidR="005552B2" w:rsidRPr="00B77962" w:rsidRDefault="005552B2" w:rsidP="00B77962">
            <w:pPr>
              <w:pStyle w:val="Tablenumbers"/>
              <w:cnfStyle w:val="000000010000" w:firstRow="0" w:lastRow="0" w:firstColumn="0" w:lastColumn="0" w:oddVBand="0" w:evenVBand="0" w:oddHBand="0" w:evenHBand="1" w:firstRowFirstColumn="0" w:firstRowLastColumn="0" w:lastRowFirstColumn="0" w:lastRowLastColumn="0"/>
            </w:pPr>
            <w:r w:rsidRPr="00B77962">
              <w:rPr>
                <w:cs/>
              </w:rPr>
              <w:t>‎</w:t>
            </w:r>
            <w:r w:rsidRPr="00B77962">
              <w:t>131</w:t>
            </w:r>
            <w:r w:rsidRPr="00B77962">
              <w:rPr>
                <w:cs/>
              </w:rPr>
              <w:t>‎</w:t>
            </w:r>
          </w:p>
        </w:tc>
        <w:tc>
          <w:tcPr>
            <w:tcW w:w="851" w:type="dxa"/>
            <w:tcBorders>
              <w:top w:val="single" w:sz="6" w:space="0" w:color="7BA0CD" w:themeColor="accent1" w:themeTint="BF"/>
              <w:left w:val="single" w:sz="6" w:space="0" w:color="7BA0CD" w:themeColor="accent1" w:themeTint="BF"/>
              <w:bottom w:val="single" w:sz="6" w:space="0" w:color="7BA0CD" w:themeColor="accent1" w:themeTint="BF"/>
            </w:tcBorders>
            <w:noWrap/>
          </w:tcPr>
          <w:p w14:paraId="538A6A67" w14:textId="77777777" w:rsidR="005552B2" w:rsidRPr="00B77962" w:rsidRDefault="005552B2" w:rsidP="00B77962">
            <w:pPr>
              <w:pStyle w:val="Tablenumbers"/>
              <w:cnfStyle w:val="000000010000" w:firstRow="0" w:lastRow="0" w:firstColumn="0" w:lastColumn="0" w:oddVBand="0" w:evenVBand="0" w:oddHBand="0" w:evenHBand="1" w:firstRowFirstColumn="0" w:firstRowLastColumn="0" w:lastRowFirstColumn="0" w:lastRowLastColumn="0"/>
            </w:pPr>
            <w:r w:rsidRPr="00B77962">
              <w:rPr>
                <w:cs/>
              </w:rPr>
              <w:t>‎</w:t>
            </w:r>
            <w:r w:rsidRPr="00B77962">
              <w:t>156</w:t>
            </w:r>
            <w:r w:rsidRPr="00B77962">
              <w:rPr>
                <w:cs/>
              </w:rPr>
              <w:t>‎</w:t>
            </w:r>
          </w:p>
        </w:tc>
      </w:tr>
      <w:tr w:rsidR="005552B2" w:rsidRPr="003456E8" w14:paraId="43F6DC89" w14:textId="77777777" w:rsidTr="003676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0" w:type="dxa"/>
            <w:tcBorders>
              <w:top w:val="single" w:sz="6" w:space="0" w:color="7BA0CD" w:themeColor="accent1" w:themeTint="BF"/>
              <w:bottom w:val="single" w:sz="6" w:space="0" w:color="7BA0CD" w:themeColor="accent1" w:themeTint="BF"/>
              <w:right w:val="single" w:sz="6" w:space="0" w:color="7BA0CD" w:themeColor="accent1" w:themeTint="BF"/>
            </w:tcBorders>
            <w:noWrap/>
            <w:vAlign w:val="center"/>
          </w:tcPr>
          <w:p w14:paraId="087B0E1D" w14:textId="77777777" w:rsidR="005552B2" w:rsidRPr="005552B2" w:rsidRDefault="005552B2" w:rsidP="00B77962">
            <w:pPr>
              <w:pStyle w:val="tabletext"/>
            </w:pPr>
            <w:r w:rsidRPr="005552B2">
              <w:t>Meat, Fish &amp; Eggs</w:t>
            </w:r>
          </w:p>
        </w:tc>
        <w:tc>
          <w:tcPr>
            <w:tcW w:w="1134"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73D9211C" w14:textId="77777777" w:rsidR="005552B2" w:rsidRPr="00B77962" w:rsidRDefault="005552B2" w:rsidP="00B77962">
            <w:pPr>
              <w:pStyle w:val="Tablenumbers"/>
              <w:cnfStyle w:val="000000100000" w:firstRow="0" w:lastRow="0" w:firstColumn="0" w:lastColumn="0" w:oddVBand="0" w:evenVBand="0" w:oddHBand="1" w:evenHBand="0" w:firstRowFirstColumn="0" w:firstRowLastColumn="0" w:lastRowFirstColumn="0" w:lastRowLastColumn="0"/>
            </w:pPr>
            <w:r w:rsidRPr="00B77962">
              <w:rPr>
                <w:cs/>
              </w:rPr>
              <w:t>‎</w:t>
            </w:r>
            <w:r w:rsidRPr="00B77962">
              <w:t>10</w:t>
            </w:r>
            <w:r w:rsidRPr="00B77962">
              <w:rPr>
                <w:cs/>
              </w:rPr>
              <w:t>‎</w:t>
            </w:r>
          </w:p>
        </w:tc>
        <w:tc>
          <w:tcPr>
            <w:tcW w:w="1418"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6BD82EB0" w14:textId="77777777" w:rsidR="005552B2" w:rsidRPr="00B77962" w:rsidRDefault="005552B2" w:rsidP="00B77962">
            <w:pPr>
              <w:pStyle w:val="Tablenumbers"/>
              <w:cnfStyle w:val="000000100000" w:firstRow="0" w:lastRow="0" w:firstColumn="0" w:lastColumn="0" w:oddVBand="0" w:evenVBand="0" w:oddHBand="1" w:evenHBand="0" w:firstRowFirstColumn="0" w:firstRowLastColumn="0" w:lastRowFirstColumn="0" w:lastRowLastColumn="0"/>
            </w:pPr>
            <w:r w:rsidRPr="00B77962">
              <w:rPr>
                <w:cs/>
              </w:rPr>
              <w:t>‎</w:t>
            </w:r>
            <w:r w:rsidRPr="00B77962">
              <w:t>2</w:t>
            </w:r>
            <w:r w:rsidRPr="00B77962">
              <w:rPr>
                <w:cs/>
              </w:rPr>
              <w:t>‎</w:t>
            </w:r>
          </w:p>
        </w:tc>
        <w:tc>
          <w:tcPr>
            <w:tcW w:w="99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5F840CD9" w14:textId="77777777" w:rsidR="005552B2" w:rsidRPr="00B77962" w:rsidRDefault="005552B2" w:rsidP="00B77962">
            <w:pPr>
              <w:pStyle w:val="Tablenumbers"/>
              <w:cnfStyle w:val="000000100000" w:firstRow="0" w:lastRow="0" w:firstColumn="0" w:lastColumn="0" w:oddVBand="0" w:evenVBand="0" w:oddHBand="1" w:evenHBand="0" w:firstRowFirstColumn="0" w:firstRowLastColumn="0" w:lastRowFirstColumn="0" w:lastRowLastColumn="0"/>
            </w:pPr>
            <w:r w:rsidRPr="00B77962">
              <w:rPr>
                <w:cs/>
              </w:rPr>
              <w:t>‎</w:t>
            </w:r>
            <w:r w:rsidRPr="00B77962">
              <w:t>13</w:t>
            </w:r>
            <w:r w:rsidRPr="00B77962">
              <w:rPr>
                <w:cs/>
              </w:rPr>
              <w:t>‎</w:t>
            </w:r>
          </w:p>
        </w:tc>
        <w:tc>
          <w:tcPr>
            <w:tcW w:w="1276"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67EDC4DC" w14:textId="77777777" w:rsidR="005552B2" w:rsidRPr="00B77962" w:rsidRDefault="005552B2" w:rsidP="00B77962">
            <w:pPr>
              <w:pStyle w:val="Tablenumbers"/>
              <w:cnfStyle w:val="000000100000" w:firstRow="0" w:lastRow="0" w:firstColumn="0" w:lastColumn="0" w:oddVBand="0" w:evenVBand="0" w:oddHBand="1" w:evenHBand="0" w:firstRowFirstColumn="0" w:firstRowLastColumn="0" w:lastRowFirstColumn="0" w:lastRowLastColumn="0"/>
            </w:pPr>
            <w:r w:rsidRPr="00B77962">
              <w:rPr>
                <w:cs/>
              </w:rPr>
              <w:t>‎</w:t>
            </w:r>
            <w:r w:rsidRPr="00B77962">
              <w:t>47</w:t>
            </w:r>
            <w:r w:rsidRPr="00B77962">
              <w:rPr>
                <w:cs/>
              </w:rPr>
              <w:t>‎</w:t>
            </w:r>
          </w:p>
        </w:tc>
        <w:tc>
          <w:tcPr>
            <w:tcW w:w="1417"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27A61892" w14:textId="77777777" w:rsidR="005552B2" w:rsidRPr="00B77962" w:rsidRDefault="005552B2" w:rsidP="00B77962">
            <w:pPr>
              <w:pStyle w:val="Tablenumbers"/>
              <w:cnfStyle w:val="000000100000" w:firstRow="0" w:lastRow="0" w:firstColumn="0" w:lastColumn="0" w:oddVBand="0" w:evenVBand="0" w:oddHBand="1" w:evenHBand="0" w:firstRowFirstColumn="0" w:firstRowLastColumn="0" w:lastRowFirstColumn="0" w:lastRowLastColumn="0"/>
            </w:pPr>
            <w:r w:rsidRPr="00B77962">
              <w:rPr>
                <w:cs/>
              </w:rPr>
              <w:t>‎</w:t>
            </w:r>
            <w:r w:rsidRPr="00B77962">
              <w:t>102</w:t>
            </w:r>
            <w:r w:rsidRPr="00B77962">
              <w:rPr>
                <w:cs/>
              </w:rPr>
              <w:t>‎</w:t>
            </w:r>
          </w:p>
        </w:tc>
        <w:tc>
          <w:tcPr>
            <w:tcW w:w="851" w:type="dxa"/>
            <w:tcBorders>
              <w:top w:val="single" w:sz="6" w:space="0" w:color="7BA0CD" w:themeColor="accent1" w:themeTint="BF"/>
              <w:left w:val="single" w:sz="6" w:space="0" w:color="7BA0CD" w:themeColor="accent1" w:themeTint="BF"/>
              <w:bottom w:val="single" w:sz="6" w:space="0" w:color="7BA0CD" w:themeColor="accent1" w:themeTint="BF"/>
            </w:tcBorders>
            <w:noWrap/>
          </w:tcPr>
          <w:p w14:paraId="2A095B0D" w14:textId="77777777" w:rsidR="005552B2" w:rsidRPr="00B77962" w:rsidRDefault="005552B2" w:rsidP="00B77962">
            <w:pPr>
              <w:pStyle w:val="Tablenumbers"/>
              <w:cnfStyle w:val="000000100000" w:firstRow="0" w:lastRow="0" w:firstColumn="0" w:lastColumn="0" w:oddVBand="0" w:evenVBand="0" w:oddHBand="1" w:evenHBand="0" w:firstRowFirstColumn="0" w:firstRowLastColumn="0" w:lastRowFirstColumn="0" w:lastRowLastColumn="0"/>
            </w:pPr>
            <w:r w:rsidRPr="00B77962">
              <w:rPr>
                <w:cs/>
              </w:rPr>
              <w:t>‎</w:t>
            </w:r>
            <w:r w:rsidRPr="00B77962">
              <w:t>174</w:t>
            </w:r>
            <w:r w:rsidRPr="00B77962">
              <w:rPr>
                <w:cs/>
              </w:rPr>
              <w:t>‎</w:t>
            </w:r>
          </w:p>
        </w:tc>
      </w:tr>
      <w:tr w:rsidR="005552B2" w:rsidRPr="003456E8" w14:paraId="7666F50F" w14:textId="77777777" w:rsidTr="003676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0" w:type="dxa"/>
            <w:tcBorders>
              <w:top w:val="single" w:sz="6" w:space="0" w:color="7BA0CD" w:themeColor="accent1" w:themeTint="BF"/>
              <w:bottom w:val="single" w:sz="6" w:space="0" w:color="7BA0CD" w:themeColor="accent1" w:themeTint="BF"/>
              <w:right w:val="single" w:sz="6" w:space="0" w:color="7BA0CD" w:themeColor="accent1" w:themeTint="BF"/>
            </w:tcBorders>
            <w:noWrap/>
            <w:vAlign w:val="center"/>
          </w:tcPr>
          <w:p w14:paraId="7077534D" w14:textId="77777777" w:rsidR="005552B2" w:rsidRPr="005552B2" w:rsidRDefault="005552B2" w:rsidP="00B77962">
            <w:pPr>
              <w:pStyle w:val="tabletext"/>
            </w:pPr>
            <w:r w:rsidRPr="005552B2">
              <w:t>Milk &amp; Dairy</w:t>
            </w:r>
          </w:p>
        </w:tc>
        <w:tc>
          <w:tcPr>
            <w:tcW w:w="1134"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2CC3A184" w14:textId="77777777" w:rsidR="005552B2" w:rsidRPr="00B77962" w:rsidRDefault="005552B2" w:rsidP="00B77962">
            <w:pPr>
              <w:pStyle w:val="Tablenumbers"/>
              <w:cnfStyle w:val="000000010000" w:firstRow="0" w:lastRow="0" w:firstColumn="0" w:lastColumn="0" w:oddVBand="0" w:evenVBand="0" w:oddHBand="0" w:evenHBand="1" w:firstRowFirstColumn="0" w:firstRowLastColumn="0" w:lastRowFirstColumn="0" w:lastRowLastColumn="0"/>
            </w:pPr>
            <w:r w:rsidRPr="00B77962">
              <w:rPr>
                <w:cs/>
              </w:rPr>
              <w:t>‎</w:t>
            </w:r>
            <w:r w:rsidRPr="00B77962">
              <w:t>4</w:t>
            </w:r>
            <w:r w:rsidRPr="00B77962">
              <w:rPr>
                <w:cs/>
              </w:rPr>
              <w:t>‎</w:t>
            </w:r>
          </w:p>
        </w:tc>
        <w:tc>
          <w:tcPr>
            <w:tcW w:w="1418"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68181832" w14:textId="77777777" w:rsidR="005552B2" w:rsidRPr="00B77962" w:rsidRDefault="005552B2" w:rsidP="00B77962">
            <w:pPr>
              <w:pStyle w:val="Tablenumbers"/>
              <w:cnfStyle w:val="000000010000" w:firstRow="0" w:lastRow="0" w:firstColumn="0" w:lastColumn="0" w:oddVBand="0" w:evenVBand="0" w:oddHBand="0" w:evenHBand="1" w:firstRowFirstColumn="0" w:firstRowLastColumn="0" w:lastRowFirstColumn="0" w:lastRowLastColumn="0"/>
            </w:pPr>
            <w:r w:rsidRPr="00B77962">
              <w:rPr>
                <w:cs/>
              </w:rPr>
              <w:t>‎</w:t>
            </w:r>
            <w:r w:rsidRPr="00B77962">
              <w:t>1</w:t>
            </w:r>
            <w:r w:rsidRPr="00B77962">
              <w:rPr>
                <w:cs/>
              </w:rPr>
              <w:t>‎</w:t>
            </w:r>
          </w:p>
        </w:tc>
        <w:tc>
          <w:tcPr>
            <w:tcW w:w="99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7F652ECC" w14:textId="77777777" w:rsidR="005552B2" w:rsidRPr="00B77962" w:rsidRDefault="005552B2" w:rsidP="00B77962">
            <w:pPr>
              <w:pStyle w:val="Tablenumbers"/>
              <w:cnfStyle w:val="000000010000" w:firstRow="0" w:lastRow="0" w:firstColumn="0" w:lastColumn="0" w:oddVBand="0" w:evenVBand="0" w:oddHBand="0" w:evenHBand="1" w:firstRowFirstColumn="0" w:firstRowLastColumn="0" w:lastRowFirstColumn="0" w:lastRowLastColumn="0"/>
            </w:pPr>
            <w:r w:rsidRPr="00B77962">
              <w:rPr>
                <w:cs/>
              </w:rPr>
              <w:t>‎</w:t>
            </w:r>
            <w:r w:rsidRPr="00B77962">
              <w:t>1</w:t>
            </w:r>
            <w:r w:rsidRPr="00B77962">
              <w:rPr>
                <w:cs/>
              </w:rPr>
              <w:t>‎</w:t>
            </w:r>
          </w:p>
        </w:tc>
        <w:tc>
          <w:tcPr>
            <w:tcW w:w="1276"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67C132E1" w14:textId="77777777" w:rsidR="005552B2" w:rsidRPr="00B77962" w:rsidRDefault="005552B2" w:rsidP="00B77962">
            <w:pPr>
              <w:pStyle w:val="Tablenumbers"/>
              <w:cnfStyle w:val="000000010000" w:firstRow="0" w:lastRow="0" w:firstColumn="0" w:lastColumn="0" w:oddVBand="0" w:evenVBand="0" w:oddHBand="0" w:evenHBand="1" w:firstRowFirstColumn="0" w:firstRowLastColumn="0" w:lastRowFirstColumn="0" w:lastRowLastColumn="0"/>
            </w:pPr>
            <w:r w:rsidRPr="00B77962">
              <w:rPr>
                <w:cs/>
              </w:rPr>
              <w:t>‎</w:t>
            </w:r>
            <w:r w:rsidRPr="00B77962">
              <w:t>5</w:t>
            </w:r>
            <w:r w:rsidRPr="00B77962">
              <w:rPr>
                <w:cs/>
              </w:rPr>
              <w:t>‎</w:t>
            </w:r>
          </w:p>
        </w:tc>
        <w:tc>
          <w:tcPr>
            <w:tcW w:w="1417"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79C9DBCB" w14:textId="77777777" w:rsidR="005552B2" w:rsidRPr="00B77962" w:rsidRDefault="005552B2" w:rsidP="00B77962">
            <w:pPr>
              <w:pStyle w:val="Tablenumbers"/>
              <w:cnfStyle w:val="000000010000" w:firstRow="0" w:lastRow="0" w:firstColumn="0" w:lastColumn="0" w:oddVBand="0" w:evenVBand="0" w:oddHBand="0" w:evenHBand="1" w:firstRowFirstColumn="0" w:firstRowLastColumn="0" w:lastRowFirstColumn="0" w:lastRowLastColumn="0"/>
            </w:pPr>
            <w:r w:rsidRPr="00B77962">
              <w:rPr>
                <w:cs/>
              </w:rPr>
              <w:t>‎</w:t>
            </w:r>
            <w:r w:rsidRPr="00B77962">
              <w:t>17</w:t>
            </w:r>
            <w:r w:rsidRPr="00B77962">
              <w:rPr>
                <w:cs/>
              </w:rPr>
              <w:t>‎</w:t>
            </w:r>
          </w:p>
        </w:tc>
        <w:tc>
          <w:tcPr>
            <w:tcW w:w="851" w:type="dxa"/>
            <w:tcBorders>
              <w:top w:val="single" w:sz="6" w:space="0" w:color="7BA0CD" w:themeColor="accent1" w:themeTint="BF"/>
              <w:left w:val="single" w:sz="6" w:space="0" w:color="7BA0CD" w:themeColor="accent1" w:themeTint="BF"/>
              <w:bottom w:val="single" w:sz="6" w:space="0" w:color="7BA0CD" w:themeColor="accent1" w:themeTint="BF"/>
            </w:tcBorders>
            <w:noWrap/>
          </w:tcPr>
          <w:p w14:paraId="5001F6D4" w14:textId="77777777" w:rsidR="005552B2" w:rsidRPr="00B77962" w:rsidRDefault="005552B2" w:rsidP="00B77962">
            <w:pPr>
              <w:pStyle w:val="Tablenumbers"/>
              <w:cnfStyle w:val="000000010000" w:firstRow="0" w:lastRow="0" w:firstColumn="0" w:lastColumn="0" w:oddVBand="0" w:evenVBand="0" w:oddHBand="0" w:evenHBand="1" w:firstRowFirstColumn="0" w:firstRowLastColumn="0" w:lastRowFirstColumn="0" w:lastRowLastColumn="0"/>
            </w:pPr>
            <w:r w:rsidRPr="00B77962">
              <w:rPr>
                <w:cs/>
              </w:rPr>
              <w:t>‎</w:t>
            </w:r>
            <w:r w:rsidRPr="00B77962">
              <w:t>27</w:t>
            </w:r>
            <w:r w:rsidRPr="00B77962">
              <w:rPr>
                <w:cs/>
              </w:rPr>
              <w:t>‎</w:t>
            </w:r>
          </w:p>
        </w:tc>
      </w:tr>
      <w:tr w:rsidR="005552B2" w:rsidRPr="003456E8" w14:paraId="468C2052" w14:textId="77777777" w:rsidTr="003676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0" w:type="dxa"/>
            <w:tcBorders>
              <w:top w:val="single" w:sz="6" w:space="0" w:color="7BA0CD" w:themeColor="accent1" w:themeTint="BF"/>
              <w:bottom w:val="single" w:sz="8" w:space="0" w:color="7BA0CD" w:themeColor="accent1" w:themeTint="BF"/>
              <w:right w:val="single" w:sz="6" w:space="0" w:color="7BA0CD" w:themeColor="accent1" w:themeTint="BF"/>
            </w:tcBorders>
            <w:noWrap/>
            <w:vAlign w:val="center"/>
          </w:tcPr>
          <w:p w14:paraId="66D43CAE" w14:textId="77777777" w:rsidR="005552B2" w:rsidRPr="005552B2" w:rsidRDefault="005552B2" w:rsidP="00B77962">
            <w:pPr>
              <w:pStyle w:val="tabletext"/>
            </w:pPr>
            <w:r w:rsidRPr="00B77962">
              <w:rPr>
                <w:b/>
                <w:bCs/>
              </w:rPr>
              <w:t>Total</w:t>
            </w:r>
            <w:r w:rsidRPr="005552B2">
              <w:t xml:space="preserve"> </w:t>
            </w:r>
          </w:p>
        </w:tc>
        <w:tc>
          <w:tcPr>
            <w:tcW w:w="1134" w:type="dxa"/>
            <w:tcBorders>
              <w:top w:val="single" w:sz="6" w:space="0" w:color="7BA0CD" w:themeColor="accent1" w:themeTint="BF"/>
              <w:left w:val="single" w:sz="6" w:space="0" w:color="7BA0CD" w:themeColor="accent1" w:themeTint="BF"/>
              <w:bottom w:val="single" w:sz="8" w:space="0" w:color="7BA0CD" w:themeColor="accent1" w:themeTint="BF"/>
              <w:right w:val="single" w:sz="6" w:space="0" w:color="7BA0CD" w:themeColor="accent1" w:themeTint="BF"/>
            </w:tcBorders>
            <w:noWrap/>
          </w:tcPr>
          <w:p w14:paraId="7728BF57" w14:textId="77777777" w:rsidR="005552B2" w:rsidRPr="00B77962" w:rsidRDefault="005552B2" w:rsidP="00B77962">
            <w:pPr>
              <w:pStyle w:val="Tablenumbers"/>
              <w:cnfStyle w:val="000000100000" w:firstRow="0" w:lastRow="0" w:firstColumn="0" w:lastColumn="0" w:oddVBand="0" w:evenVBand="0" w:oddHBand="1" w:evenHBand="0" w:firstRowFirstColumn="0" w:firstRowLastColumn="0" w:lastRowFirstColumn="0" w:lastRowLastColumn="0"/>
              <w:rPr>
                <w:b/>
                <w:bCs/>
              </w:rPr>
            </w:pPr>
            <w:r w:rsidRPr="00B77962">
              <w:rPr>
                <w:b/>
                <w:bCs/>
                <w:cs/>
              </w:rPr>
              <w:t>‎</w:t>
            </w:r>
            <w:r w:rsidRPr="00B77962">
              <w:rPr>
                <w:b/>
                <w:bCs/>
              </w:rPr>
              <w:t>83</w:t>
            </w:r>
            <w:r w:rsidRPr="00B77962">
              <w:rPr>
                <w:b/>
                <w:bCs/>
                <w:cs/>
              </w:rPr>
              <w:t>‎</w:t>
            </w:r>
          </w:p>
        </w:tc>
        <w:tc>
          <w:tcPr>
            <w:tcW w:w="1418" w:type="dxa"/>
            <w:tcBorders>
              <w:top w:val="single" w:sz="6" w:space="0" w:color="7BA0CD" w:themeColor="accent1" w:themeTint="BF"/>
              <w:left w:val="single" w:sz="6" w:space="0" w:color="7BA0CD" w:themeColor="accent1" w:themeTint="BF"/>
              <w:bottom w:val="single" w:sz="8" w:space="0" w:color="7BA0CD" w:themeColor="accent1" w:themeTint="BF"/>
              <w:right w:val="single" w:sz="6" w:space="0" w:color="7BA0CD" w:themeColor="accent1" w:themeTint="BF"/>
            </w:tcBorders>
            <w:noWrap/>
          </w:tcPr>
          <w:p w14:paraId="71416E87" w14:textId="77777777" w:rsidR="005552B2" w:rsidRPr="00B77962" w:rsidRDefault="005552B2" w:rsidP="00B77962">
            <w:pPr>
              <w:pStyle w:val="Tablenumbers"/>
              <w:cnfStyle w:val="000000100000" w:firstRow="0" w:lastRow="0" w:firstColumn="0" w:lastColumn="0" w:oddVBand="0" w:evenVBand="0" w:oddHBand="1" w:evenHBand="0" w:firstRowFirstColumn="0" w:firstRowLastColumn="0" w:lastRowFirstColumn="0" w:lastRowLastColumn="0"/>
              <w:rPr>
                <w:b/>
                <w:bCs/>
              </w:rPr>
            </w:pPr>
            <w:r w:rsidRPr="00B77962">
              <w:rPr>
                <w:b/>
                <w:bCs/>
                <w:cs/>
              </w:rPr>
              <w:t>‎</w:t>
            </w:r>
            <w:r w:rsidRPr="00B77962">
              <w:rPr>
                <w:b/>
                <w:bCs/>
              </w:rPr>
              <w:t>27</w:t>
            </w:r>
            <w:r w:rsidRPr="00B77962">
              <w:rPr>
                <w:b/>
                <w:bCs/>
                <w:cs/>
              </w:rPr>
              <w:t>‎</w:t>
            </w:r>
          </w:p>
        </w:tc>
        <w:tc>
          <w:tcPr>
            <w:tcW w:w="992" w:type="dxa"/>
            <w:tcBorders>
              <w:top w:val="single" w:sz="6" w:space="0" w:color="7BA0CD" w:themeColor="accent1" w:themeTint="BF"/>
              <w:left w:val="single" w:sz="6" w:space="0" w:color="7BA0CD" w:themeColor="accent1" w:themeTint="BF"/>
              <w:bottom w:val="single" w:sz="8" w:space="0" w:color="7BA0CD" w:themeColor="accent1" w:themeTint="BF"/>
              <w:right w:val="single" w:sz="6" w:space="0" w:color="7BA0CD" w:themeColor="accent1" w:themeTint="BF"/>
            </w:tcBorders>
            <w:noWrap/>
          </w:tcPr>
          <w:p w14:paraId="763A300B" w14:textId="77777777" w:rsidR="005552B2" w:rsidRPr="00B77962" w:rsidRDefault="005552B2" w:rsidP="00B77962">
            <w:pPr>
              <w:pStyle w:val="Tablenumbers"/>
              <w:cnfStyle w:val="000000100000" w:firstRow="0" w:lastRow="0" w:firstColumn="0" w:lastColumn="0" w:oddVBand="0" w:evenVBand="0" w:oddHBand="1" w:evenHBand="0" w:firstRowFirstColumn="0" w:firstRowLastColumn="0" w:lastRowFirstColumn="0" w:lastRowLastColumn="0"/>
              <w:rPr>
                <w:b/>
                <w:bCs/>
              </w:rPr>
            </w:pPr>
            <w:r w:rsidRPr="00B77962">
              <w:rPr>
                <w:b/>
                <w:bCs/>
                <w:cs/>
              </w:rPr>
              <w:t>‎</w:t>
            </w:r>
            <w:r w:rsidRPr="00B77962">
              <w:rPr>
                <w:b/>
                <w:bCs/>
              </w:rPr>
              <w:t>17</w:t>
            </w:r>
            <w:r w:rsidRPr="00B77962">
              <w:rPr>
                <w:b/>
                <w:bCs/>
                <w:cs/>
              </w:rPr>
              <w:t>‎</w:t>
            </w:r>
          </w:p>
        </w:tc>
        <w:tc>
          <w:tcPr>
            <w:tcW w:w="1276" w:type="dxa"/>
            <w:tcBorders>
              <w:top w:val="single" w:sz="6" w:space="0" w:color="7BA0CD" w:themeColor="accent1" w:themeTint="BF"/>
              <w:left w:val="single" w:sz="6" w:space="0" w:color="7BA0CD" w:themeColor="accent1" w:themeTint="BF"/>
              <w:bottom w:val="single" w:sz="8" w:space="0" w:color="7BA0CD" w:themeColor="accent1" w:themeTint="BF"/>
              <w:right w:val="single" w:sz="6" w:space="0" w:color="7BA0CD" w:themeColor="accent1" w:themeTint="BF"/>
            </w:tcBorders>
            <w:noWrap/>
          </w:tcPr>
          <w:p w14:paraId="315211B4" w14:textId="77777777" w:rsidR="005552B2" w:rsidRPr="00B77962" w:rsidRDefault="005552B2" w:rsidP="00B77962">
            <w:pPr>
              <w:pStyle w:val="Tablenumbers"/>
              <w:cnfStyle w:val="000000100000" w:firstRow="0" w:lastRow="0" w:firstColumn="0" w:lastColumn="0" w:oddVBand="0" w:evenVBand="0" w:oddHBand="1" w:evenHBand="0" w:firstRowFirstColumn="0" w:firstRowLastColumn="0" w:lastRowFirstColumn="0" w:lastRowLastColumn="0"/>
              <w:rPr>
                <w:b/>
                <w:bCs/>
              </w:rPr>
            </w:pPr>
            <w:r w:rsidRPr="00B77962">
              <w:rPr>
                <w:b/>
                <w:bCs/>
                <w:cs/>
              </w:rPr>
              <w:t>‎</w:t>
            </w:r>
            <w:r w:rsidRPr="00B77962">
              <w:rPr>
                <w:b/>
                <w:bCs/>
              </w:rPr>
              <w:t>142</w:t>
            </w:r>
            <w:r w:rsidRPr="00B77962">
              <w:rPr>
                <w:b/>
                <w:bCs/>
                <w:cs/>
              </w:rPr>
              <w:t>‎</w:t>
            </w:r>
          </w:p>
        </w:tc>
        <w:tc>
          <w:tcPr>
            <w:tcW w:w="1417" w:type="dxa"/>
            <w:tcBorders>
              <w:top w:val="single" w:sz="6" w:space="0" w:color="7BA0CD" w:themeColor="accent1" w:themeTint="BF"/>
              <w:left w:val="single" w:sz="6" w:space="0" w:color="7BA0CD" w:themeColor="accent1" w:themeTint="BF"/>
              <w:bottom w:val="single" w:sz="8" w:space="0" w:color="7BA0CD" w:themeColor="accent1" w:themeTint="BF"/>
              <w:right w:val="single" w:sz="6" w:space="0" w:color="7BA0CD" w:themeColor="accent1" w:themeTint="BF"/>
            </w:tcBorders>
            <w:noWrap/>
          </w:tcPr>
          <w:p w14:paraId="347DFC09" w14:textId="77777777" w:rsidR="005552B2" w:rsidRPr="00B77962" w:rsidRDefault="005552B2" w:rsidP="00B77962">
            <w:pPr>
              <w:pStyle w:val="Tablenumbers"/>
              <w:cnfStyle w:val="000000100000" w:firstRow="0" w:lastRow="0" w:firstColumn="0" w:lastColumn="0" w:oddVBand="0" w:evenVBand="0" w:oddHBand="1" w:evenHBand="0" w:firstRowFirstColumn="0" w:firstRowLastColumn="0" w:lastRowFirstColumn="0" w:lastRowLastColumn="0"/>
              <w:rPr>
                <w:b/>
                <w:bCs/>
              </w:rPr>
            </w:pPr>
            <w:r w:rsidRPr="00B77962">
              <w:rPr>
                <w:b/>
                <w:bCs/>
                <w:cs/>
              </w:rPr>
              <w:t>‎</w:t>
            </w:r>
            <w:r w:rsidRPr="00B77962">
              <w:rPr>
                <w:b/>
                <w:bCs/>
              </w:rPr>
              <w:t>381</w:t>
            </w:r>
            <w:r w:rsidRPr="00B77962">
              <w:rPr>
                <w:b/>
                <w:bCs/>
                <w:cs/>
              </w:rPr>
              <w:t>‎</w:t>
            </w:r>
          </w:p>
        </w:tc>
        <w:tc>
          <w:tcPr>
            <w:tcW w:w="851" w:type="dxa"/>
            <w:tcBorders>
              <w:top w:val="single" w:sz="6" w:space="0" w:color="7BA0CD" w:themeColor="accent1" w:themeTint="BF"/>
              <w:left w:val="single" w:sz="6" w:space="0" w:color="7BA0CD" w:themeColor="accent1" w:themeTint="BF"/>
              <w:bottom w:val="single" w:sz="8" w:space="0" w:color="7BA0CD" w:themeColor="accent1" w:themeTint="BF"/>
            </w:tcBorders>
            <w:noWrap/>
          </w:tcPr>
          <w:p w14:paraId="603AB059" w14:textId="77777777" w:rsidR="005552B2" w:rsidRPr="00B77962" w:rsidRDefault="005552B2" w:rsidP="00B77962">
            <w:pPr>
              <w:pStyle w:val="Tablenumbers"/>
              <w:cnfStyle w:val="000000100000" w:firstRow="0" w:lastRow="0" w:firstColumn="0" w:lastColumn="0" w:oddVBand="0" w:evenVBand="0" w:oddHBand="1" w:evenHBand="0" w:firstRowFirstColumn="0" w:firstRowLastColumn="0" w:lastRowFirstColumn="0" w:lastRowLastColumn="0"/>
              <w:rPr>
                <w:b/>
                <w:bCs/>
              </w:rPr>
            </w:pPr>
            <w:r w:rsidRPr="00B77962">
              <w:rPr>
                <w:b/>
                <w:bCs/>
                <w:cs/>
              </w:rPr>
              <w:t>‎</w:t>
            </w:r>
            <w:r w:rsidRPr="00B77962">
              <w:rPr>
                <w:b/>
                <w:bCs/>
              </w:rPr>
              <w:t>650</w:t>
            </w:r>
            <w:r w:rsidRPr="00B77962">
              <w:rPr>
                <w:b/>
                <w:bCs/>
                <w:cs/>
              </w:rPr>
              <w:t>‎</w:t>
            </w:r>
          </w:p>
        </w:tc>
      </w:tr>
    </w:tbl>
    <w:p w14:paraId="08C0C967" w14:textId="77777777" w:rsidR="003456E8" w:rsidRPr="003456E8" w:rsidRDefault="005552B2" w:rsidP="004E2385">
      <w:pPr>
        <w:pStyle w:val="BodyText"/>
      </w:pPr>
      <w:r>
        <w:rPr>
          <w:noProof/>
        </w:rPr>
        <w:lastRenderedPageBreak/>
        <w:drawing>
          <wp:inline distT="0" distB="0" distL="0" distR="0" wp14:anchorId="557FEFA4" wp14:editId="28195B8B">
            <wp:extent cx="5734050" cy="1390650"/>
            <wp:effectExtent l="0" t="0" r="0" b="0"/>
            <wp:docPr id="3"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FB1F33" w14:textId="77777777" w:rsidR="003456E8" w:rsidRPr="003456E8" w:rsidRDefault="00B06200" w:rsidP="00B06200">
      <w:pPr>
        <w:pStyle w:val="Graphnote"/>
        <w:ind w:right="-471"/>
      </w:pPr>
      <w:r w:rsidRPr="00B06200">
        <w:rPr>
          <w:b/>
          <w:bCs/>
          <w:color w:val="0070C0"/>
        </w:rPr>
        <w:t>Blue:</w:t>
      </w:r>
      <w:r>
        <w:t xml:space="preserve"> </w:t>
      </w:r>
      <w:commentRangeStart w:id="5"/>
      <w:r w:rsidR="003456E8" w:rsidRPr="003456E8">
        <w:t>Food waste, up to and including the industrial stage</w:t>
      </w:r>
      <w:r>
        <w:t xml:space="preserve"> </w:t>
      </w:r>
      <w:r w:rsidRPr="00B06200">
        <w:rPr>
          <w:b/>
          <w:bCs/>
          <w:color w:val="C00000"/>
        </w:rPr>
        <w:t>Red:</w:t>
      </w:r>
      <w:r w:rsidRPr="00B06200">
        <w:rPr>
          <w:color w:val="C00000"/>
        </w:rPr>
        <w:t xml:space="preserve"> </w:t>
      </w:r>
      <w:r w:rsidR="003456E8" w:rsidRPr="003456E8">
        <w:t>Food waste during distribution and consumption</w:t>
      </w:r>
      <w:commentRangeEnd w:id="5"/>
      <w:r w:rsidR="003456E8" w:rsidRPr="003456E8">
        <w:commentReference w:id="5"/>
      </w:r>
    </w:p>
    <w:p w14:paraId="4AE8DCDD" w14:textId="77777777" w:rsidR="003456E8" w:rsidRPr="00EA243A" w:rsidRDefault="003456E8" w:rsidP="00F06929">
      <w:pPr>
        <w:pStyle w:val="BodyText"/>
      </w:pPr>
      <w:r w:rsidRPr="00EA243A">
        <w:t xml:space="preserve">Food waste, up to and including the industrial stage: NIS </w:t>
      </w:r>
      <w:r w:rsidR="005552B2" w:rsidRPr="00EA243A">
        <w:t>3.8</w:t>
      </w:r>
      <w:r w:rsidRPr="00EA243A">
        <w:t xml:space="preserve"> billion</w:t>
      </w:r>
    </w:p>
    <w:p w14:paraId="626DF55B" w14:textId="77777777" w:rsidR="003456E8" w:rsidRDefault="003456E8" w:rsidP="00F06929">
      <w:pPr>
        <w:pStyle w:val="BodyText"/>
      </w:pPr>
      <w:r w:rsidRPr="00EA243A">
        <w:t>Food waste during distribution and consumption: NIS 15.5 billion</w:t>
      </w:r>
    </w:p>
    <w:p w14:paraId="2F6A938E" w14:textId="77777777" w:rsidR="00F06929" w:rsidRPr="00EA243A" w:rsidRDefault="00F06929" w:rsidP="00F06929">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7"/>
        <w:gridCol w:w="630"/>
      </w:tblGrid>
      <w:tr w:rsidR="00F06929" w:rsidRPr="00F06929" w14:paraId="3B55EBB1" w14:textId="77777777" w:rsidTr="00F06929">
        <w:tc>
          <w:tcPr>
            <w:tcW w:w="8613" w:type="dxa"/>
          </w:tcPr>
          <w:p w14:paraId="26AB6CDA" w14:textId="77777777" w:rsidR="00F06929" w:rsidRPr="00F06929" w:rsidRDefault="00F06929" w:rsidP="00F06929">
            <w:pPr>
              <w:pStyle w:val="Graphnote"/>
            </w:pPr>
            <w:r w:rsidRPr="00F06929">
              <w:t xml:space="preserve">Food waste in the marketing stage, out of the total value of food consumed: </w:t>
            </w:r>
          </w:p>
        </w:tc>
        <w:tc>
          <w:tcPr>
            <w:tcW w:w="630" w:type="dxa"/>
          </w:tcPr>
          <w:p w14:paraId="197BBEDD" w14:textId="77777777" w:rsidR="00F06929" w:rsidRPr="00F06929" w:rsidRDefault="00F06929" w:rsidP="00716703">
            <w:pPr>
              <w:pStyle w:val="Graphnote"/>
            </w:pPr>
            <w:r w:rsidRPr="00F06929">
              <w:t>20%</w:t>
            </w:r>
          </w:p>
        </w:tc>
      </w:tr>
      <w:tr w:rsidR="00F06929" w:rsidRPr="00F06929" w14:paraId="766F2057" w14:textId="77777777" w:rsidTr="00F06929">
        <w:tc>
          <w:tcPr>
            <w:tcW w:w="8613" w:type="dxa"/>
          </w:tcPr>
          <w:p w14:paraId="6A3FC31C" w14:textId="77777777" w:rsidR="00F06929" w:rsidRPr="00F06929" w:rsidRDefault="00F06929" w:rsidP="00F06929">
            <w:pPr>
              <w:pStyle w:val="Graphnote"/>
            </w:pPr>
            <w:r w:rsidRPr="00F06929">
              <w:t xml:space="preserve">Food waste out of GNP: </w:t>
            </w:r>
          </w:p>
        </w:tc>
        <w:tc>
          <w:tcPr>
            <w:tcW w:w="630" w:type="dxa"/>
          </w:tcPr>
          <w:p w14:paraId="2B2CF2E6" w14:textId="77777777" w:rsidR="00F06929" w:rsidRPr="00F06929" w:rsidRDefault="00F06929" w:rsidP="00716703">
            <w:pPr>
              <w:pStyle w:val="Graphnote"/>
            </w:pPr>
            <w:r w:rsidRPr="00F06929">
              <w:t>1.6%</w:t>
            </w:r>
          </w:p>
        </w:tc>
      </w:tr>
      <w:tr w:rsidR="00F06929" w:rsidRPr="00F06929" w14:paraId="1665133F" w14:textId="77777777" w:rsidTr="00F06929">
        <w:tc>
          <w:tcPr>
            <w:tcW w:w="8613" w:type="dxa"/>
          </w:tcPr>
          <w:p w14:paraId="2038B20D" w14:textId="77777777" w:rsidR="00F06929" w:rsidRPr="00F06929" w:rsidRDefault="00F06929" w:rsidP="00F06929">
            <w:pPr>
              <w:pStyle w:val="Graphnote"/>
            </w:pPr>
            <w:r w:rsidRPr="00F06929">
              <w:t xml:space="preserve">Food waste, up to and including the industrial stage, out of the total value of agricultural production: </w:t>
            </w:r>
          </w:p>
        </w:tc>
        <w:tc>
          <w:tcPr>
            <w:tcW w:w="630" w:type="dxa"/>
          </w:tcPr>
          <w:p w14:paraId="3A136DB9" w14:textId="77777777" w:rsidR="00F06929" w:rsidRPr="00F06929" w:rsidRDefault="00F06929" w:rsidP="00716703">
            <w:pPr>
              <w:pStyle w:val="Graphnote"/>
            </w:pPr>
            <w:r w:rsidRPr="00F06929">
              <w:t>13%</w:t>
            </w:r>
          </w:p>
        </w:tc>
      </w:tr>
    </w:tbl>
    <w:p w14:paraId="3EA024D7" w14:textId="77777777" w:rsidR="00F06929" w:rsidRDefault="00F06929" w:rsidP="00B06200">
      <w:pPr>
        <w:pStyle w:val="Graphtitle"/>
      </w:pPr>
    </w:p>
    <w:p w14:paraId="20B2147D" w14:textId="77777777" w:rsidR="003456E8" w:rsidRPr="003456E8" w:rsidRDefault="003456E8" w:rsidP="00B06200">
      <w:pPr>
        <w:pStyle w:val="Graphtitle"/>
      </w:pPr>
      <w:r w:rsidRPr="003456E8">
        <w:t>Food Value Chain in Israel (1000 tons) and Percentage of Food Waste at All Stages</w:t>
      </w:r>
    </w:p>
    <w:tbl>
      <w:tblPr>
        <w:tblW w:w="4813" w:type="pct"/>
        <w:jc w:val="center"/>
        <w:tblLayout w:type="fixed"/>
        <w:tblLook w:val="04A0" w:firstRow="1" w:lastRow="0" w:firstColumn="1" w:lastColumn="0" w:noHBand="0" w:noVBand="1"/>
      </w:tblPr>
      <w:tblGrid>
        <w:gridCol w:w="2597"/>
        <w:gridCol w:w="1247"/>
        <w:gridCol w:w="1385"/>
        <w:gridCol w:w="1246"/>
        <w:gridCol w:w="1246"/>
        <w:gridCol w:w="968"/>
      </w:tblGrid>
      <w:tr w:rsidR="003456E8" w:rsidRPr="00EA243A" w14:paraId="6BFE952C" w14:textId="77777777" w:rsidTr="008C4715">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6AC8C4B7" w14:textId="77777777" w:rsidR="003456E8" w:rsidRPr="00B06200" w:rsidRDefault="003456E8" w:rsidP="00B06200">
            <w:pPr>
              <w:pStyle w:val="tabletext"/>
              <w:rPr>
                <w:b w:val="0"/>
                <w:bCs w:val="0"/>
              </w:rPr>
            </w:pPr>
            <w:r w:rsidRPr="00B06200">
              <w:rPr>
                <w:b w:val="0"/>
                <w:bCs w:val="0"/>
              </w:rPr>
              <w:t> </w:t>
            </w:r>
          </w:p>
        </w:tc>
        <w:tc>
          <w:tcPr>
            <w:tcW w:w="717" w:type="pct"/>
            <w:tcBorders>
              <w:top w:val="single" w:sz="4" w:space="0" w:color="4F81BD"/>
              <w:left w:val="nil"/>
              <w:bottom w:val="nil"/>
              <w:right w:val="nil"/>
            </w:tcBorders>
            <w:shd w:val="clear" w:color="4F81BD" w:fill="4F81BD"/>
            <w:noWrap/>
            <w:vAlign w:val="bottom"/>
            <w:hideMark/>
          </w:tcPr>
          <w:p w14:paraId="332FA15C" w14:textId="77777777" w:rsidR="003456E8" w:rsidRPr="00EA243A" w:rsidRDefault="003456E8" w:rsidP="00B06200">
            <w:pPr>
              <w:pStyle w:val="Tableheader"/>
            </w:pPr>
            <w:r w:rsidRPr="00EA243A">
              <w:t>Fruits &amp; vegetables</w:t>
            </w:r>
            <w:r w:rsidRPr="00EA243A">
              <w:rPr>
                <w:rtl/>
              </w:rPr>
              <w:t xml:space="preserve"> </w:t>
            </w:r>
          </w:p>
        </w:tc>
        <w:tc>
          <w:tcPr>
            <w:tcW w:w="797" w:type="pct"/>
            <w:tcBorders>
              <w:top w:val="single" w:sz="4" w:space="0" w:color="4F81BD"/>
              <w:left w:val="nil"/>
              <w:bottom w:val="nil"/>
              <w:right w:val="nil"/>
            </w:tcBorders>
            <w:shd w:val="clear" w:color="4F81BD" w:fill="4F81BD"/>
            <w:noWrap/>
            <w:vAlign w:val="bottom"/>
            <w:hideMark/>
          </w:tcPr>
          <w:p w14:paraId="454E0A15" w14:textId="77777777" w:rsidR="003456E8" w:rsidRPr="00EA243A" w:rsidRDefault="003456E8" w:rsidP="00B06200">
            <w:pPr>
              <w:pStyle w:val="Tableheader"/>
            </w:pPr>
            <w:r w:rsidRPr="00EA243A">
              <w:t>Grains &amp; legumes</w:t>
            </w:r>
          </w:p>
        </w:tc>
        <w:tc>
          <w:tcPr>
            <w:tcW w:w="717" w:type="pct"/>
            <w:tcBorders>
              <w:top w:val="single" w:sz="4" w:space="0" w:color="4F81BD"/>
              <w:left w:val="nil"/>
              <w:bottom w:val="nil"/>
              <w:right w:val="nil"/>
            </w:tcBorders>
            <w:shd w:val="clear" w:color="4F81BD" w:fill="4F81BD"/>
            <w:noWrap/>
            <w:vAlign w:val="bottom"/>
            <w:hideMark/>
          </w:tcPr>
          <w:p w14:paraId="5DE5A24A" w14:textId="77777777" w:rsidR="003456E8" w:rsidRPr="00EA243A" w:rsidRDefault="003456E8" w:rsidP="00B06200">
            <w:pPr>
              <w:pStyle w:val="Tableheader"/>
            </w:pPr>
            <w:r w:rsidRPr="00EA243A">
              <w:t>Meat, eggs &amp; fish</w:t>
            </w:r>
          </w:p>
        </w:tc>
        <w:tc>
          <w:tcPr>
            <w:tcW w:w="717" w:type="pct"/>
            <w:tcBorders>
              <w:top w:val="single" w:sz="4" w:space="0" w:color="4F81BD"/>
              <w:left w:val="nil"/>
              <w:bottom w:val="nil"/>
              <w:right w:val="nil"/>
            </w:tcBorders>
            <w:shd w:val="clear" w:color="4F81BD" w:fill="4F81BD"/>
            <w:noWrap/>
            <w:vAlign w:val="bottom"/>
            <w:hideMark/>
          </w:tcPr>
          <w:p w14:paraId="4D8FE8D8" w14:textId="77777777" w:rsidR="003456E8" w:rsidRPr="00EA243A" w:rsidRDefault="003456E8" w:rsidP="00B06200">
            <w:pPr>
              <w:pStyle w:val="Tableheader"/>
            </w:pPr>
            <w:r w:rsidRPr="00EA243A">
              <w:t>Milk &amp; dairy</w:t>
            </w:r>
          </w:p>
        </w:tc>
        <w:tc>
          <w:tcPr>
            <w:tcW w:w="557" w:type="pct"/>
            <w:tcBorders>
              <w:top w:val="single" w:sz="4" w:space="0" w:color="4F81BD"/>
              <w:left w:val="nil"/>
              <w:bottom w:val="nil"/>
              <w:right w:val="nil"/>
            </w:tcBorders>
            <w:shd w:val="clear" w:color="4F81BD" w:fill="4F81BD"/>
            <w:noWrap/>
            <w:vAlign w:val="bottom"/>
            <w:hideMark/>
          </w:tcPr>
          <w:p w14:paraId="24E478E4" w14:textId="77777777" w:rsidR="003456E8" w:rsidRPr="00EA243A" w:rsidRDefault="003456E8" w:rsidP="00B06200">
            <w:pPr>
              <w:pStyle w:val="Tableheader"/>
            </w:pPr>
            <w:r w:rsidRPr="00EA243A">
              <w:t>Total</w:t>
            </w:r>
          </w:p>
        </w:tc>
      </w:tr>
      <w:tr w:rsidR="008C4715" w:rsidRPr="00EA243A" w14:paraId="3F58C603"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20ADAABA" w14:textId="77777777" w:rsidR="008C4715" w:rsidRPr="00652F66" w:rsidRDefault="008C4715" w:rsidP="00B06200">
            <w:pPr>
              <w:pStyle w:val="tabletext"/>
              <w:rPr>
                <w:b w:val="0"/>
                <w:bCs w:val="0"/>
                <w:color w:val="FFFFFF" w:themeColor="background1"/>
              </w:rPr>
            </w:pPr>
            <w:r w:rsidRPr="00652F66">
              <w:rPr>
                <w:b w:val="0"/>
                <w:bCs w:val="0"/>
                <w:color w:val="FFFFFF" w:themeColor="background1"/>
              </w:rPr>
              <w:t>Agricultural production, quantity</w:t>
            </w:r>
          </w:p>
        </w:tc>
        <w:tc>
          <w:tcPr>
            <w:tcW w:w="717" w:type="pct"/>
            <w:tcBorders>
              <w:top w:val="single" w:sz="4" w:space="0" w:color="4F81BD"/>
              <w:left w:val="nil"/>
              <w:right w:val="nil"/>
            </w:tcBorders>
            <w:shd w:val="clear" w:color="auto" w:fill="auto"/>
            <w:noWrap/>
            <w:vAlign w:val="center"/>
          </w:tcPr>
          <w:p w14:paraId="417B7138" w14:textId="77777777" w:rsidR="008C4715" w:rsidRPr="008C4715" w:rsidRDefault="008C4715" w:rsidP="00B06200">
            <w:pPr>
              <w:pStyle w:val="Tablenumbers"/>
              <w:jc w:val="center"/>
            </w:pPr>
            <w:r w:rsidRPr="008C4715">
              <w:t>4,342</w:t>
            </w:r>
          </w:p>
        </w:tc>
        <w:tc>
          <w:tcPr>
            <w:tcW w:w="797" w:type="pct"/>
            <w:tcBorders>
              <w:top w:val="single" w:sz="4" w:space="0" w:color="4F81BD"/>
              <w:left w:val="nil"/>
              <w:right w:val="nil"/>
            </w:tcBorders>
            <w:shd w:val="clear" w:color="auto" w:fill="auto"/>
            <w:noWrap/>
            <w:vAlign w:val="center"/>
          </w:tcPr>
          <w:p w14:paraId="37B34E68" w14:textId="77777777" w:rsidR="008C4715" w:rsidRPr="008C4715" w:rsidRDefault="008C4715" w:rsidP="00B06200">
            <w:pPr>
              <w:pStyle w:val="Tablenumbers"/>
              <w:jc w:val="center"/>
            </w:pPr>
            <w:r w:rsidRPr="008C4715">
              <w:t>486</w:t>
            </w:r>
          </w:p>
        </w:tc>
        <w:tc>
          <w:tcPr>
            <w:tcW w:w="717" w:type="pct"/>
            <w:tcBorders>
              <w:top w:val="single" w:sz="4" w:space="0" w:color="4F81BD"/>
              <w:left w:val="nil"/>
              <w:right w:val="nil"/>
            </w:tcBorders>
            <w:shd w:val="clear" w:color="auto" w:fill="auto"/>
            <w:noWrap/>
            <w:vAlign w:val="center"/>
          </w:tcPr>
          <w:p w14:paraId="74D3B62F" w14:textId="77777777" w:rsidR="008C4715" w:rsidRPr="008C4715" w:rsidRDefault="008C4715" w:rsidP="00B06200">
            <w:pPr>
              <w:pStyle w:val="Tablenumbers"/>
              <w:jc w:val="center"/>
            </w:pPr>
            <w:r w:rsidRPr="008C4715">
              <w:t>723</w:t>
            </w:r>
          </w:p>
        </w:tc>
        <w:tc>
          <w:tcPr>
            <w:tcW w:w="717" w:type="pct"/>
            <w:tcBorders>
              <w:top w:val="single" w:sz="4" w:space="0" w:color="4F81BD"/>
              <w:left w:val="nil"/>
              <w:right w:val="single" w:sz="2" w:space="0" w:color="4F81BD" w:themeColor="accent1"/>
            </w:tcBorders>
            <w:shd w:val="clear" w:color="auto" w:fill="auto"/>
            <w:noWrap/>
            <w:vAlign w:val="center"/>
          </w:tcPr>
          <w:p w14:paraId="79011112" w14:textId="77777777" w:rsidR="008C4715" w:rsidRPr="008C4715" w:rsidRDefault="008C4715" w:rsidP="00B06200">
            <w:pPr>
              <w:pStyle w:val="Tablenumbers"/>
              <w:jc w:val="center"/>
            </w:pPr>
            <w:r w:rsidRPr="008C4715">
              <w:t>1,598</w:t>
            </w:r>
          </w:p>
        </w:tc>
        <w:tc>
          <w:tcPr>
            <w:tcW w:w="557" w:type="pct"/>
            <w:tcBorders>
              <w:top w:val="single" w:sz="4" w:space="0" w:color="4F81BD"/>
              <w:left w:val="single" w:sz="2" w:space="0" w:color="4F81BD" w:themeColor="accent1"/>
              <w:right w:val="single" w:sz="2" w:space="0" w:color="4F81BD" w:themeColor="accent1"/>
            </w:tcBorders>
            <w:shd w:val="clear" w:color="auto" w:fill="auto"/>
            <w:noWrap/>
            <w:vAlign w:val="center"/>
          </w:tcPr>
          <w:p w14:paraId="38F8E43D" w14:textId="77777777" w:rsidR="008C4715" w:rsidRPr="008C4715" w:rsidRDefault="008C4715" w:rsidP="00B06200">
            <w:pPr>
              <w:pStyle w:val="Tablenumbers"/>
              <w:jc w:val="center"/>
              <w:rPr>
                <w:b/>
                <w:bCs/>
              </w:rPr>
            </w:pPr>
            <w:r w:rsidRPr="008C4715">
              <w:t>7,149</w:t>
            </w:r>
          </w:p>
        </w:tc>
      </w:tr>
      <w:tr w:rsidR="008C4715" w:rsidRPr="00EA243A" w14:paraId="7981BD99"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4BB1305D" w14:textId="77777777" w:rsidR="008C4715" w:rsidRPr="00652F66" w:rsidRDefault="008C4715" w:rsidP="00B06200">
            <w:pPr>
              <w:pStyle w:val="tabletext"/>
              <w:rPr>
                <w:b w:val="0"/>
                <w:bCs w:val="0"/>
                <w:color w:val="FFFFFF" w:themeColor="background1"/>
              </w:rPr>
            </w:pPr>
            <w:r w:rsidRPr="00652F66">
              <w:rPr>
                <w:b w:val="0"/>
                <w:bCs w:val="0"/>
                <w:color w:val="FFFFFF" w:themeColor="background1"/>
              </w:rPr>
              <w:t>Waste during agricultural production</w:t>
            </w:r>
          </w:p>
        </w:tc>
        <w:tc>
          <w:tcPr>
            <w:tcW w:w="717" w:type="pct"/>
            <w:tcBorders>
              <w:left w:val="nil"/>
            </w:tcBorders>
            <w:shd w:val="clear" w:color="auto" w:fill="auto"/>
            <w:noWrap/>
            <w:vAlign w:val="center"/>
          </w:tcPr>
          <w:p w14:paraId="6799405E" w14:textId="77777777" w:rsidR="008C4715" w:rsidRPr="008C4715" w:rsidRDefault="008C4715" w:rsidP="00B06200">
            <w:pPr>
              <w:pStyle w:val="Tablenumbers"/>
              <w:jc w:val="center"/>
            </w:pPr>
            <w:r w:rsidRPr="008C4715">
              <w:t>565</w:t>
            </w:r>
          </w:p>
        </w:tc>
        <w:tc>
          <w:tcPr>
            <w:tcW w:w="797" w:type="pct"/>
            <w:shd w:val="clear" w:color="auto" w:fill="auto"/>
            <w:noWrap/>
            <w:vAlign w:val="center"/>
          </w:tcPr>
          <w:p w14:paraId="7D473527" w14:textId="77777777" w:rsidR="008C4715" w:rsidRPr="008C4715" w:rsidRDefault="008C4715" w:rsidP="00B06200">
            <w:pPr>
              <w:pStyle w:val="Tablenumbers"/>
              <w:jc w:val="center"/>
            </w:pPr>
            <w:r w:rsidRPr="008C4715">
              <w:t>24</w:t>
            </w:r>
          </w:p>
        </w:tc>
        <w:tc>
          <w:tcPr>
            <w:tcW w:w="717" w:type="pct"/>
            <w:shd w:val="clear" w:color="auto" w:fill="auto"/>
            <w:noWrap/>
            <w:vAlign w:val="center"/>
          </w:tcPr>
          <w:p w14:paraId="2FCF25A9" w14:textId="77777777" w:rsidR="008C4715" w:rsidRPr="008C4715" w:rsidRDefault="008C4715" w:rsidP="00B06200">
            <w:pPr>
              <w:pStyle w:val="Tablenumbers"/>
              <w:jc w:val="center"/>
            </w:pPr>
            <w:r w:rsidRPr="008C4715">
              <w:t>31</w:t>
            </w:r>
          </w:p>
        </w:tc>
        <w:tc>
          <w:tcPr>
            <w:tcW w:w="717" w:type="pct"/>
            <w:tcBorders>
              <w:right w:val="single" w:sz="2" w:space="0" w:color="4F81BD" w:themeColor="accent1"/>
            </w:tcBorders>
            <w:shd w:val="clear" w:color="auto" w:fill="auto"/>
            <w:noWrap/>
            <w:vAlign w:val="center"/>
          </w:tcPr>
          <w:p w14:paraId="38E48E0D" w14:textId="77777777" w:rsidR="008C4715" w:rsidRPr="008C4715" w:rsidRDefault="008C4715" w:rsidP="00B06200">
            <w:pPr>
              <w:pStyle w:val="Tablenumbers"/>
              <w:jc w:val="center"/>
            </w:pPr>
            <w:r w:rsidRPr="008C4715">
              <w:t>56</w:t>
            </w:r>
          </w:p>
        </w:tc>
        <w:tc>
          <w:tcPr>
            <w:tcW w:w="557" w:type="pct"/>
            <w:tcBorders>
              <w:left w:val="single" w:sz="2" w:space="0" w:color="4F81BD" w:themeColor="accent1"/>
              <w:right w:val="single" w:sz="2" w:space="0" w:color="4F81BD" w:themeColor="accent1"/>
            </w:tcBorders>
            <w:shd w:val="clear" w:color="auto" w:fill="auto"/>
            <w:noWrap/>
            <w:vAlign w:val="center"/>
          </w:tcPr>
          <w:p w14:paraId="332A5167" w14:textId="77777777" w:rsidR="008C4715" w:rsidRPr="008C4715" w:rsidRDefault="008C4715" w:rsidP="00B06200">
            <w:pPr>
              <w:pStyle w:val="Tablenumbers"/>
              <w:jc w:val="center"/>
              <w:rPr>
                <w:b/>
                <w:bCs/>
              </w:rPr>
            </w:pPr>
            <w:r w:rsidRPr="008C4715">
              <w:t>676</w:t>
            </w:r>
          </w:p>
        </w:tc>
      </w:tr>
      <w:tr w:rsidR="008C4715" w:rsidRPr="00EA243A" w14:paraId="43BAF096"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015386FB" w14:textId="77777777" w:rsidR="008C4715" w:rsidRPr="00652F66" w:rsidRDefault="008C4715" w:rsidP="00B06200">
            <w:pPr>
              <w:pStyle w:val="tabletext"/>
              <w:rPr>
                <w:b w:val="0"/>
                <w:bCs w:val="0"/>
                <w:color w:val="FFFFFF" w:themeColor="background1"/>
              </w:rPr>
            </w:pPr>
            <w:r w:rsidRPr="00652F66">
              <w:rPr>
                <w:b w:val="0"/>
                <w:bCs w:val="0"/>
                <w:color w:val="FFFFFF" w:themeColor="background1"/>
              </w:rPr>
              <w:t>Percent wasted</w:t>
            </w:r>
          </w:p>
        </w:tc>
        <w:tc>
          <w:tcPr>
            <w:tcW w:w="717" w:type="pct"/>
            <w:tcBorders>
              <w:left w:val="nil"/>
              <w:bottom w:val="single" w:sz="18" w:space="0" w:color="4F81BD" w:themeColor="accent1"/>
              <w:right w:val="nil"/>
            </w:tcBorders>
            <w:shd w:val="clear" w:color="auto" w:fill="auto"/>
            <w:noWrap/>
            <w:vAlign w:val="center"/>
          </w:tcPr>
          <w:p w14:paraId="7C6DE9FA" w14:textId="77777777" w:rsidR="008C4715" w:rsidRPr="008C4715" w:rsidRDefault="008C4715" w:rsidP="00B06200">
            <w:pPr>
              <w:pStyle w:val="Tablenumbers"/>
              <w:jc w:val="center"/>
            </w:pPr>
            <w:r w:rsidRPr="008C4715">
              <w:t>13%</w:t>
            </w:r>
          </w:p>
        </w:tc>
        <w:tc>
          <w:tcPr>
            <w:tcW w:w="797" w:type="pct"/>
            <w:tcBorders>
              <w:left w:val="nil"/>
              <w:bottom w:val="single" w:sz="18" w:space="0" w:color="4F81BD" w:themeColor="accent1"/>
              <w:right w:val="nil"/>
            </w:tcBorders>
            <w:shd w:val="clear" w:color="auto" w:fill="auto"/>
            <w:noWrap/>
            <w:vAlign w:val="center"/>
          </w:tcPr>
          <w:p w14:paraId="1FB60EC4" w14:textId="77777777" w:rsidR="008C4715" w:rsidRPr="008C4715" w:rsidRDefault="008C4715" w:rsidP="00B06200">
            <w:pPr>
              <w:pStyle w:val="Tablenumbers"/>
              <w:jc w:val="center"/>
            </w:pPr>
            <w:r w:rsidRPr="008C4715">
              <w:t>5%</w:t>
            </w:r>
          </w:p>
        </w:tc>
        <w:tc>
          <w:tcPr>
            <w:tcW w:w="717" w:type="pct"/>
            <w:tcBorders>
              <w:left w:val="nil"/>
              <w:bottom w:val="single" w:sz="18" w:space="0" w:color="4F81BD" w:themeColor="accent1"/>
              <w:right w:val="nil"/>
            </w:tcBorders>
            <w:shd w:val="clear" w:color="auto" w:fill="auto"/>
            <w:noWrap/>
            <w:vAlign w:val="center"/>
          </w:tcPr>
          <w:p w14:paraId="26612648" w14:textId="77777777" w:rsidR="008C4715" w:rsidRPr="008C4715" w:rsidRDefault="008C4715" w:rsidP="00B06200">
            <w:pPr>
              <w:pStyle w:val="Tablenumbers"/>
              <w:jc w:val="center"/>
            </w:pPr>
            <w:r w:rsidRPr="008C4715">
              <w:t>4%</w:t>
            </w:r>
          </w:p>
        </w:tc>
        <w:tc>
          <w:tcPr>
            <w:tcW w:w="717" w:type="pct"/>
            <w:tcBorders>
              <w:left w:val="nil"/>
              <w:bottom w:val="single" w:sz="18" w:space="0" w:color="4F81BD" w:themeColor="accent1"/>
              <w:right w:val="single" w:sz="2" w:space="0" w:color="4F81BD" w:themeColor="accent1"/>
            </w:tcBorders>
            <w:shd w:val="clear" w:color="auto" w:fill="auto"/>
            <w:noWrap/>
            <w:vAlign w:val="center"/>
          </w:tcPr>
          <w:p w14:paraId="78067105" w14:textId="77777777" w:rsidR="008C4715" w:rsidRPr="008C4715" w:rsidRDefault="008C4715" w:rsidP="00B06200">
            <w:pPr>
              <w:pStyle w:val="Tablenumbers"/>
              <w:jc w:val="center"/>
            </w:pPr>
            <w:r w:rsidRPr="008C4715">
              <w:t>4%</w:t>
            </w:r>
          </w:p>
        </w:tc>
        <w:tc>
          <w:tcPr>
            <w:tcW w:w="557" w:type="pct"/>
            <w:tcBorders>
              <w:left w:val="single" w:sz="2" w:space="0" w:color="4F81BD" w:themeColor="accent1"/>
              <w:bottom w:val="single" w:sz="18" w:space="0" w:color="4F81BD" w:themeColor="accent1"/>
              <w:right w:val="single" w:sz="2" w:space="0" w:color="4F81BD" w:themeColor="accent1"/>
            </w:tcBorders>
            <w:shd w:val="clear" w:color="auto" w:fill="auto"/>
            <w:noWrap/>
            <w:vAlign w:val="center"/>
          </w:tcPr>
          <w:p w14:paraId="2A2AB6FE" w14:textId="77777777" w:rsidR="008C4715" w:rsidRPr="008C4715" w:rsidRDefault="008C4715" w:rsidP="00B06200">
            <w:pPr>
              <w:pStyle w:val="Tablenumbers"/>
              <w:jc w:val="center"/>
              <w:rPr>
                <w:b/>
                <w:bCs/>
              </w:rPr>
            </w:pPr>
            <w:r w:rsidRPr="008C4715">
              <w:t>9%</w:t>
            </w:r>
          </w:p>
        </w:tc>
      </w:tr>
      <w:tr w:rsidR="008C4715" w:rsidRPr="00EA243A" w14:paraId="4BFBD894"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75AC7AD0" w14:textId="77777777" w:rsidR="008C4715" w:rsidRPr="00652F66" w:rsidRDefault="008C4715" w:rsidP="00B06200">
            <w:pPr>
              <w:pStyle w:val="tabletext"/>
              <w:rPr>
                <w:b w:val="0"/>
                <w:bCs w:val="0"/>
                <w:color w:val="FFFFFF" w:themeColor="background1"/>
              </w:rPr>
            </w:pPr>
            <w:r w:rsidRPr="00652F66">
              <w:rPr>
                <w:b w:val="0"/>
                <w:bCs w:val="0"/>
                <w:color w:val="FFFFFF" w:themeColor="background1"/>
              </w:rPr>
              <w:t>Quantity after harvesting and storage</w:t>
            </w:r>
            <w:r w:rsidRPr="00652F66">
              <w:rPr>
                <w:b w:val="0"/>
                <w:bCs w:val="0"/>
                <w:color w:val="FFFFFF" w:themeColor="background1"/>
                <w:rtl/>
              </w:rPr>
              <w:t xml:space="preserve"> </w:t>
            </w:r>
          </w:p>
        </w:tc>
        <w:tc>
          <w:tcPr>
            <w:tcW w:w="717" w:type="pct"/>
            <w:tcBorders>
              <w:top w:val="single" w:sz="18" w:space="0" w:color="4F81BD" w:themeColor="accent1"/>
              <w:left w:val="nil"/>
              <w:right w:val="nil"/>
            </w:tcBorders>
            <w:shd w:val="clear" w:color="auto" w:fill="auto"/>
            <w:noWrap/>
            <w:vAlign w:val="center"/>
          </w:tcPr>
          <w:p w14:paraId="74F072F9" w14:textId="77777777" w:rsidR="008C4715" w:rsidRPr="008C4715" w:rsidRDefault="008C4715" w:rsidP="00B06200">
            <w:pPr>
              <w:pStyle w:val="Tablenumbers"/>
              <w:jc w:val="center"/>
            </w:pPr>
            <w:r w:rsidRPr="008C4715">
              <w:t>3,776</w:t>
            </w:r>
          </w:p>
        </w:tc>
        <w:tc>
          <w:tcPr>
            <w:tcW w:w="797" w:type="pct"/>
            <w:tcBorders>
              <w:top w:val="single" w:sz="18" w:space="0" w:color="4F81BD" w:themeColor="accent1"/>
              <w:left w:val="nil"/>
              <w:right w:val="nil"/>
            </w:tcBorders>
            <w:shd w:val="clear" w:color="auto" w:fill="auto"/>
            <w:noWrap/>
            <w:vAlign w:val="center"/>
          </w:tcPr>
          <w:p w14:paraId="4777AC93" w14:textId="77777777" w:rsidR="008C4715" w:rsidRPr="008C4715" w:rsidRDefault="008C4715" w:rsidP="00B06200">
            <w:pPr>
              <w:pStyle w:val="Tablenumbers"/>
              <w:jc w:val="center"/>
            </w:pPr>
            <w:r w:rsidRPr="008C4715">
              <w:t>462</w:t>
            </w:r>
          </w:p>
        </w:tc>
        <w:tc>
          <w:tcPr>
            <w:tcW w:w="717" w:type="pct"/>
            <w:tcBorders>
              <w:top w:val="single" w:sz="18" w:space="0" w:color="4F81BD" w:themeColor="accent1"/>
              <w:left w:val="nil"/>
              <w:right w:val="nil"/>
            </w:tcBorders>
            <w:shd w:val="clear" w:color="auto" w:fill="auto"/>
            <w:noWrap/>
            <w:vAlign w:val="center"/>
          </w:tcPr>
          <w:p w14:paraId="55244F74" w14:textId="77777777" w:rsidR="008C4715" w:rsidRPr="008C4715" w:rsidRDefault="008C4715" w:rsidP="00B06200">
            <w:pPr>
              <w:pStyle w:val="Tablenumbers"/>
              <w:jc w:val="center"/>
            </w:pPr>
            <w:r w:rsidRPr="008C4715">
              <w:t>692</w:t>
            </w:r>
          </w:p>
        </w:tc>
        <w:tc>
          <w:tcPr>
            <w:tcW w:w="717" w:type="pct"/>
            <w:tcBorders>
              <w:top w:val="single" w:sz="18" w:space="0" w:color="4F81BD" w:themeColor="accent1"/>
              <w:left w:val="nil"/>
              <w:right w:val="single" w:sz="2" w:space="0" w:color="4F81BD" w:themeColor="accent1"/>
            </w:tcBorders>
            <w:shd w:val="clear" w:color="auto" w:fill="auto"/>
            <w:noWrap/>
            <w:vAlign w:val="center"/>
          </w:tcPr>
          <w:p w14:paraId="6D08FCFD" w14:textId="77777777" w:rsidR="008C4715" w:rsidRPr="008C4715" w:rsidRDefault="008C4715" w:rsidP="00B06200">
            <w:pPr>
              <w:pStyle w:val="Tablenumbers"/>
              <w:jc w:val="center"/>
            </w:pPr>
            <w:r w:rsidRPr="008C4715">
              <w:t>1,542</w:t>
            </w:r>
          </w:p>
        </w:tc>
        <w:tc>
          <w:tcPr>
            <w:tcW w:w="557" w:type="pct"/>
            <w:tcBorders>
              <w:top w:val="single" w:sz="18" w:space="0" w:color="4F81BD" w:themeColor="accent1"/>
              <w:left w:val="single" w:sz="2" w:space="0" w:color="4F81BD" w:themeColor="accent1"/>
              <w:right w:val="single" w:sz="2" w:space="0" w:color="4F81BD" w:themeColor="accent1"/>
            </w:tcBorders>
            <w:shd w:val="clear" w:color="auto" w:fill="auto"/>
            <w:noWrap/>
            <w:vAlign w:val="center"/>
          </w:tcPr>
          <w:p w14:paraId="0CDE6CAD" w14:textId="77777777" w:rsidR="008C4715" w:rsidRPr="008C4715" w:rsidRDefault="008C4715" w:rsidP="00B06200">
            <w:pPr>
              <w:pStyle w:val="Tablenumbers"/>
              <w:jc w:val="center"/>
              <w:rPr>
                <w:b/>
                <w:bCs/>
              </w:rPr>
            </w:pPr>
            <w:r w:rsidRPr="008C4715">
              <w:t>6,472</w:t>
            </w:r>
          </w:p>
        </w:tc>
      </w:tr>
      <w:tr w:rsidR="008C4715" w:rsidRPr="00EA243A" w14:paraId="084D80F4"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17B0744B" w14:textId="77777777" w:rsidR="008C4715" w:rsidRPr="00652F66" w:rsidRDefault="008C4715" w:rsidP="00B06200">
            <w:pPr>
              <w:pStyle w:val="tabletext"/>
              <w:rPr>
                <w:b w:val="0"/>
                <w:bCs w:val="0"/>
                <w:color w:val="FFFFFF" w:themeColor="background1"/>
              </w:rPr>
            </w:pPr>
            <w:r w:rsidRPr="00652F66">
              <w:rPr>
                <w:b w:val="0"/>
                <w:bCs w:val="0"/>
                <w:color w:val="FFFFFF" w:themeColor="background1"/>
              </w:rPr>
              <w:t>Waste after harvesting and storage</w:t>
            </w:r>
          </w:p>
        </w:tc>
        <w:tc>
          <w:tcPr>
            <w:tcW w:w="717" w:type="pct"/>
            <w:tcBorders>
              <w:left w:val="nil"/>
            </w:tcBorders>
            <w:shd w:val="clear" w:color="auto" w:fill="auto"/>
            <w:noWrap/>
            <w:vAlign w:val="center"/>
          </w:tcPr>
          <w:p w14:paraId="676A2282" w14:textId="77777777" w:rsidR="008C4715" w:rsidRPr="008C4715" w:rsidRDefault="008C4715" w:rsidP="00B06200">
            <w:pPr>
              <w:pStyle w:val="Tablenumbers"/>
              <w:jc w:val="center"/>
            </w:pPr>
            <w:r w:rsidRPr="008C4715">
              <w:t>197</w:t>
            </w:r>
          </w:p>
        </w:tc>
        <w:tc>
          <w:tcPr>
            <w:tcW w:w="797" w:type="pct"/>
            <w:shd w:val="clear" w:color="auto" w:fill="auto"/>
            <w:noWrap/>
            <w:vAlign w:val="center"/>
          </w:tcPr>
          <w:p w14:paraId="6DBAB715" w14:textId="77777777" w:rsidR="008C4715" w:rsidRPr="008C4715" w:rsidRDefault="008C4715" w:rsidP="00B06200">
            <w:pPr>
              <w:pStyle w:val="Tablenumbers"/>
              <w:jc w:val="center"/>
            </w:pPr>
            <w:r w:rsidRPr="008C4715">
              <w:t>17</w:t>
            </w:r>
          </w:p>
        </w:tc>
        <w:tc>
          <w:tcPr>
            <w:tcW w:w="717" w:type="pct"/>
            <w:shd w:val="clear" w:color="auto" w:fill="auto"/>
            <w:noWrap/>
            <w:vAlign w:val="center"/>
          </w:tcPr>
          <w:p w14:paraId="2F0E8303" w14:textId="77777777" w:rsidR="008C4715" w:rsidRPr="008C4715" w:rsidRDefault="008C4715" w:rsidP="00B06200">
            <w:pPr>
              <w:pStyle w:val="Tablenumbers"/>
              <w:jc w:val="center"/>
            </w:pPr>
            <w:r w:rsidRPr="008C4715">
              <w:t>5</w:t>
            </w:r>
          </w:p>
        </w:tc>
        <w:tc>
          <w:tcPr>
            <w:tcW w:w="717" w:type="pct"/>
            <w:tcBorders>
              <w:right w:val="single" w:sz="2" w:space="0" w:color="4F81BD" w:themeColor="accent1"/>
            </w:tcBorders>
            <w:shd w:val="clear" w:color="auto" w:fill="auto"/>
            <w:noWrap/>
            <w:vAlign w:val="center"/>
          </w:tcPr>
          <w:p w14:paraId="5AC4D099" w14:textId="77777777" w:rsidR="008C4715" w:rsidRPr="008C4715" w:rsidRDefault="008C4715" w:rsidP="00B06200">
            <w:pPr>
              <w:pStyle w:val="Tablenumbers"/>
              <w:jc w:val="center"/>
            </w:pPr>
            <w:r w:rsidRPr="008C4715">
              <w:t>8</w:t>
            </w:r>
          </w:p>
        </w:tc>
        <w:tc>
          <w:tcPr>
            <w:tcW w:w="557" w:type="pct"/>
            <w:tcBorders>
              <w:left w:val="single" w:sz="2" w:space="0" w:color="4F81BD" w:themeColor="accent1"/>
              <w:right w:val="single" w:sz="2" w:space="0" w:color="4F81BD" w:themeColor="accent1"/>
            </w:tcBorders>
            <w:shd w:val="clear" w:color="auto" w:fill="auto"/>
            <w:noWrap/>
            <w:vAlign w:val="center"/>
          </w:tcPr>
          <w:p w14:paraId="4B835480" w14:textId="77777777" w:rsidR="008C4715" w:rsidRPr="008C4715" w:rsidRDefault="008C4715" w:rsidP="00B06200">
            <w:pPr>
              <w:pStyle w:val="Tablenumbers"/>
              <w:jc w:val="center"/>
              <w:rPr>
                <w:b/>
                <w:bCs/>
              </w:rPr>
            </w:pPr>
            <w:r w:rsidRPr="008C4715">
              <w:t>226</w:t>
            </w:r>
          </w:p>
        </w:tc>
      </w:tr>
      <w:tr w:rsidR="008C4715" w:rsidRPr="00EA243A" w14:paraId="7FCCDD4D"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2058CAF0" w14:textId="77777777" w:rsidR="008C4715" w:rsidRPr="00652F66" w:rsidRDefault="008C4715" w:rsidP="00B06200">
            <w:pPr>
              <w:pStyle w:val="tabletext"/>
              <w:rPr>
                <w:b w:val="0"/>
                <w:bCs w:val="0"/>
                <w:color w:val="FFFFFF" w:themeColor="background1"/>
              </w:rPr>
            </w:pPr>
            <w:r w:rsidRPr="00652F66">
              <w:rPr>
                <w:b w:val="0"/>
                <w:bCs w:val="0"/>
                <w:color w:val="FFFFFF" w:themeColor="background1"/>
              </w:rPr>
              <w:t>Percent wasted</w:t>
            </w:r>
          </w:p>
        </w:tc>
        <w:tc>
          <w:tcPr>
            <w:tcW w:w="717" w:type="pct"/>
            <w:tcBorders>
              <w:left w:val="nil"/>
              <w:bottom w:val="single" w:sz="18" w:space="0" w:color="4F81BD" w:themeColor="accent1"/>
              <w:right w:val="nil"/>
            </w:tcBorders>
            <w:shd w:val="clear" w:color="auto" w:fill="auto"/>
            <w:noWrap/>
            <w:vAlign w:val="center"/>
          </w:tcPr>
          <w:p w14:paraId="096E18CE" w14:textId="77777777" w:rsidR="008C4715" w:rsidRPr="008C4715" w:rsidRDefault="008C4715" w:rsidP="00B06200">
            <w:pPr>
              <w:pStyle w:val="Tablenumbers"/>
              <w:jc w:val="center"/>
            </w:pPr>
            <w:r w:rsidRPr="008C4715">
              <w:t>5%</w:t>
            </w:r>
          </w:p>
        </w:tc>
        <w:tc>
          <w:tcPr>
            <w:tcW w:w="797" w:type="pct"/>
            <w:tcBorders>
              <w:left w:val="nil"/>
              <w:bottom w:val="single" w:sz="18" w:space="0" w:color="4F81BD" w:themeColor="accent1"/>
              <w:right w:val="nil"/>
            </w:tcBorders>
            <w:shd w:val="clear" w:color="auto" w:fill="auto"/>
            <w:noWrap/>
            <w:vAlign w:val="center"/>
          </w:tcPr>
          <w:p w14:paraId="5FBA527A" w14:textId="77777777" w:rsidR="008C4715" w:rsidRPr="008C4715" w:rsidRDefault="008C4715" w:rsidP="00B06200">
            <w:pPr>
              <w:pStyle w:val="Tablenumbers"/>
              <w:jc w:val="center"/>
            </w:pPr>
            <w:r w:rsidRPr="008C4715">
              <w:t>4%</w:t>
            </w:r>
          </w:p>
        </w:tc>
        <w:tc>
          <w:tcPr>
            <w:tcW w:w="717" w:type="pct"/>
            <w:tcBorders>
              <w:left w:val="nil"/>
              <w:bottom w:val="single" w:sz="18" w:space="0" w:color="4F81BD" w:themeColor="accent1"/>
              <w:right w:val="nil"/>
            </w:tcBorders>
            <w:shd w:val="clear" w:color="auto" w:fill="auto"/>
            <w:noWrap/>
            <w:vAlign w:val="center"/>
          </w:tcPr>
          <w:p w14:paraId="09FB02A4" w14:textId="77777777" w:rsidR="008C4715" w:rsidRPr="008C4715" w:rsidRDefault="008C4715" w:rsidP="00B06200">
            <w:pPr>
              <w:pStyle w:val="Tablenumbers"/>
              <w:jc w:val="center"/>
            </w:pPr>
            <w:r w:rsidRPr="008C4715">
              <w:t>1%</w:t>
            </w:r>
          </w:p>
        </w:tc>
        <w:tc>
          <w:tcPr>
            <w:tcW w:w="717" w:type="pct"/>
            <w:tcBorders>
              <w:left w:val="nil"/>
              <w:bottom w:val="single" w:sz="18" w:space="0" w:color="4F81BD" w:themeColor="accent1"/>
              <w:right w:val="single" w:sz="2" w:space="0" w:color="4F81BD" w:themeColor="accent1"/>
            </w:tcBorders>
            <w:shd w:val="clear" w:color="auto" w:fill="auto"/>
            <w:noWrap/>
            <w:vAlign w:val="center"/>
          </w:tcPr>
          <w:p w14:paraId="7DA10BC4" w14:textId="77777777" w:rsidR="008C4715" w:rsidRPr="008C4715" w:rsidRDefault="008C4715" w:rsidP="00B06200">
            <w:pPr>
              <w:pStyle w:val="Tablenumbers"/>
              <w:jc w:val="center"/>
            </w:pPr>
            <w:r w:rsidRPr="008C4715">
              <w:t>1%</w:t>
            </w:r>
          </w:p>
        </w:tc>
        <w:tc>
          <w:tcPr>
            <w:tcW w:w="557" w:type="pct"/>
            <w:tcBorders>
              <w:left w:val="single" w:sz="2" w:space="0" w:color="4F81BD" w:themeColor="accent1"/>
              <w:bottom w:val="single" w:sz="18" w:space="0" w:color="4F81BD" w:themeColor="accent1"/>
              <w:right w:val="single" w:sz="2" w:space="0" w:color="4F81BD" w:themeColor="accent1"/>
            </w:tcBorders>
            <w:shd w:val="clear" w:color="auto" w:fill="auto"/>
            <w:noWrap/>
            <w:vAlign w:val="center"/>
          </w:tcPr>
          <w:p w14:paraId="264D5544" w14:textId="77777777" w:rsidR="008C4715" w:rsidRPr="008C4715" w:rsidRDefault="008C4715" w:rsidP="00B06200">
            <w:pPr>
              <w:pStyle w:val="Tablenumbers"/>
              <w:jc w:val="center"/>
              <w:rPr>
                <w:b/>
                <w:bCs/>
              </w:rPr>
            </w:pPr>
            <w:r w:rsidRPr="008C4715">
              <w:t>3%</w:t>
            </w:r>
          </w:p>
        </w:tc>
      </w:tr>
      <w:tr w:rsidR="008C4715" w:rsidRPr="00EA243A" w14:paraId="6BEDE4C9"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7152DDBD" w14:textId="77777777" w:rsidR="008C4715" w:rsidRPr="00652F66" w:rsidRDefault="008C4715" w:rsidP="00B06200">
            <w:pPr>
              <w:pStyle w:val="tabletext"/>
              <w:rPr>
                <w:b w:val="0"/>
                <w:bCs w:val="0"/>
                <w:color w:val="FFFFFF" w:themeColor="background1"/>
              </w:rPr>
            </w:pPr>
            <w:r w:rsidRPr="00652F66">
              <w:rPr>
                <w:b w:val="0"/>
                <w:bCs w:val="0"/>
                <w:color w:val="FFFFFF" w:themeColor="background1"/>
              </w:rPr>
              <w:t>Industrial usage</w:t>
            </w:r>
          </w:p>
        </w:tc>
        <w:tc>
          <w:tcPr>
            <w:tcW w:w="717" w:type="pct"/>
            <w:tcBorders>
              <w:top w:val="single" w:sz="18" w:space="0" w:color="4F81BD" w:themeColor="accent1"/>
              <w:left w:val="nil"/>
              <w:right w:val="nil"/>
            </w:tcBorders>
            <w:shd w:val="clear" w:color="auto" w:fill="auto"/>
            <w:noWrap/>
            <w:vAlign w:val="center"/>
          </w:tcPr>
          <w:p w14:paraId="131184CA" w14:textId="77777777" w:rsidR="008C4715" w:rsidRPr="008C4715" w:rsidRDefault="008C4715" w:rsidP="00B06200">
            <w:pPr>
              <w:pStyle w:val="Tablenumbers"/>
              <w:jc w:val="center"/>
            </w:pPr>
            <w:r w:rsidRPr="008C4715">
              <w:t>574</w:t>
            </w:r>
          </w:p>
        </w:tc>
        <w:tc>
          <w:tcPr>
            <w:tcW w:w="797" w:type="pct"/>
            <w:tcBorders>
              <w:top w:val="single" w:sz="18" w:space="0" w:color="4F81BD" w:themeColor="accent1"/>
              <w:left w:val="nil"/>
              <w:right w:val="nil"/>
            </w:tcBorders>
            <w:shd w:val="clear" w:color="auto" w:fill="auto"/>
            <w:noWrap/>
            <w:vAlign w:val="center"/>
          </w:tcPr>
          <w:p w14:paraId="221FE6DE" w14:textId="77777777" w:rsidR="008C4715" w:rsidRPr="008C4715" w:rsidRDefault="008C4715" w:rsidP="00B06200">
            <w:pPr>
              <w:pStyle w:val="Tablenumbers"/>
              <w:jc w:val="center"/>
            </w:pPr>
            <w:r w:rsidRPr="008C4715">
              <w:t>442</w:t>
            </w:r>
          </w:p>
        </w:tc>
        <w:tc>
          <w:tcPr>
            <w:tcW w:w="717" w:type="pct"/>
            <w:tcBorders>
              <w:top w:val="single" w:sz="18" w:space="0" w:color="4F81BD" w:themeColor="accent1"/>
              <w:left w:val="nil"/>
              <w:right w:val="nil"/>
            </w:tcBorders>
            <w:shd w:val="clear" w:color="auto" w:fill="auto"/>
            <w:noWrap/>
            <w:vAlign w:val="center"/>
          </w:tcPr>
          <w:p w14:paraId="3CE88FF1" w14:textId="77777777" w:rsidR="008C4715" w:rsidRPr="008C4715" w:rsidRDefault="008C4715" w:rsidP="00B06200">
            <w:pPr>
              <w:pStyle w:val="Tablenumbers"/>
              <w:jc w:val="center"/>
            </w:pPr>
            <w:r w:rsidRPr="008C4715">
              <w:t>571</w:t>
            </w:r>
          </w:p>
        </w:tc>
        <w:tc>
          <w:tcPr>
            <w:tcW w:w="717" w:type="pct"/>
            <w:tcBorders>
              <w:top w:val="single" w:sz="18" w:space="0" w:color="4F81BD" w:themeColor="accent1"/>
              <w:left w:val="nil"/>
              <w:right w:val="single" w:sz="2" w:space="0" w:color="4F81BD" w:themeColor="accent1"/>
            </w:tcBorders>
            <w:shd w:val="clear" w:color="auto" w:fill="auto"/>
            <w:noWrap/>
            <w:vAlign w:val="center"/>
          </w:tcPr>
          <w:p w14:paraId="40E6DA5B" w14:textId="77777777" w:rsidR="008C4715" w:rsidRPr="008C4715" w:rsidRDefault="008C4715" w:rsidP="00B06200">
            <w:pPr>
              <w:pStyle w:val="Tablenumbers"/>
              <w:jc w:val="center"/>
            </w:pPr>
            <w:r w:rsidRPr="008C4715">
              <w:t>1,499</w:t>
            </w:r>
          </w:p>
        </w:tc>
        <w:tc>
          <w:tcPr>
            <w:tcW w:w="557" w:type="pct"/>
            <w:tcBorders>
              <w:top w:val="single" w:sz="18" w:space="0" w:color="4F81BD" w:themeColor="accent1"/>
              <w:left w:val="single" w:sz="2" w:space="0" w:color="4F81BD" w:themeColor="accent1"/>
              <w:right w:val="single" w:sz="2" w:space="0" w:color="4F81BD" w:themeColor="accent1"/>
            </w:tcBorders>
            <w:shd w:val="clear" w:color="auto" w:fill="auto"/>
            <w:noWrap/>
            <w:vAlign w:val="center"/>
          </w:tcPr>
          <w:p w14:paraId="7353ABAC" w14:textId="77777777" w:rsidR="008C4715" w:rsidRPr="008C4715" w:rsidRDefault="008C4715" w:rsidP="00B06200">
            <w:pPr>
              <w:pStyle w:val="Tablenumbers"/>
              <w:jc w:val="center"/>
              <w:rPr>
                <w:b/>
                <w:bCs/>
              </w:rPr>
            </w:pPr>
            <w:r w:rsidRPr="008C4715">
              <w:t>3,085</w:t>
            </w:r>
          </w:p>
        </w:tc>
      </w:tr>
      <w:tr w:rsidR="008C4715" w:rsidRPr="00EA243A" w14:paraId="65143CE6"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206EE43D" w14:textId="77777777" w:rsidR="008C4715" w:rsidRPr="00652F66" w:rsidRDefault="008C4715" w:rsidP="00B06200">
            <w:pPr>
              <w:pStyle w:val="tabletext"/>
              <w:rPr>
                <w:b w:val="0"/>
                <w:bCs w:val="0"/>
                <w:color w:val="FFFFFF" w:themeColor="background1"/>
              </w:rPr>
            </w:pPr>
            <w:r w:rsidRPr="00652F66">
              <w:rPr>
                <w:b w:val="0"/>
                <w:bCs w:val="0"/>
                <w:color w:val="FFFFFF" w:themeColor="background1"/>
              </w:rPr>
              <w:t>Lost during industrial usage</w:t>
            </w:r>
          </w:p>
        </w:tc>
        <w:tc>
          <w:tcPr>
            <w:tcW w:w="717" w:type="pct"/>
            <w:tcBorders>
              <w:left w:val="nil"/>
            </w:tcBorders>
            <w:shd w:val="clear" w:color="auto" w:fill="auto"/>
            <w:noWrap/>
            <w:vAlign w:val="center"/>
          </w:tcPr>
          <w:p w14:paraId="5936BD51" w14:textId="77777777" w:rsidR="008C4715" w:rsidRPr="008C4715" w:rsidRDefault="008C4715" w:rsidP="00B06200">
            <w:pPr>
              <w:pStyle w:val="Tablenumbers"/>
              <w:jc w:val="center"/>
            </w:pPr>
            <w:r w:rsidRPr="008C4715">
              <w:t>20</w:t>
            </w:r>
          </w:p>
        </w:tc>
        <w:tc>
          <w:tcPr>
            <w:tcW w:w="797" w:type="pct"/>
            <w:shd w:val="clear" w:color="auto" w:fill="auto"/>
            <w:noWrap/>
            <w:vAlign w:val="center"/>
          </w:tcPr>
          <w:p w14:paraId="2409BF5E" w14:textId="77777777" w:rsidR="008C4715" w:rsidRPr="008C4715" w:rsidRDefault="008C4715" w:rsidP="00B06200">
            <w:pPr>
              <w:pStyle w:val="Tablenumbers"/>
              <w:jc w:val="center"/>
            </w:pPr>
            <w:r w:rsidRPr="008C4715">
              <w:t>9</w:t>
            </w:r>
          </w:p>
        </w:tc>
        <w:tc>
          <w:tcPr>
            <w:tcW w:w="717" w:type="pct"/>
            <w:shd w:val="clear" w:color="auto" w:fill="auto"/>
            <w:noWrap/>
            <w:vAlign w:val="center"/>
          </w:tcPr>
          <w:p w14:paraId="24FF450E" w14:textId="77777777" w:rsidR="008C4715" w:rsidRPr="008C4715" w:rsidRDefault="008C4715" w:rsidP="00B06200">
            <w:pPr>
              <w:pStyle w:val="Tablenumbers"/>
              <w:jc w:val="center"/>
            </w:pPr>
            <w:r w:rsidRPr="008C4715">
              <w:t>29</w:t>
            </w:r>
          </w:p>
        </w:tc>
        <w:tc>
          <w:tcPr>
            <w:tcW w:w="717" w:type="pct"/>
            <w:tcBorders>
              <w:right w:val="single" w:sz="2" w:space="0" w:color="4F81BD" w:themeColor="accent1"/>
            </w:tcBorders>
            <w:shd w:val="clear" w:color="auto" w:fill="auto"/>
            <w:noWrap/>
            <w:vAlign w:val="center"/>
          </w:tcPr>
          <w:p w14:paraId="7008DDA2" w14:textId="77777777" w:rsidR="008C4715" w:rsidRPr="008C4715" w:rsidRDefault="008C4715" w:rsidP="00B06200">
            <w:pPr>
              <w:pStyle w:val="Tablenumbers"/>
              <w:jc w:val="center"/>
            </w:pPr>
            <w:r w:rsidRPr="008C4715">
              <w:t>18</w:t>
            </w:r>
          </w:p>
        </w:tc>
        <w:tc>
          <w:tcPr>
            <w:tcW w:w="557" w:type="pct"/>
            <w:tcBorders>
              <w:left w:val="single" w:sz="2" w:space="0" w:color="4F81BD" w:themeColor="accent1"/>
              <w:right w:val="single" w:sz="2" w:space="0" w:color="4F81BD" w:themeColor="accent1"/>
            </w:tcBorders>
            <w:shd w:val="clear" w:color="auto" w:fill="auto"/>
            <w:noWrap/>
            <w:vAlign w:val="center"/>
          </w:tcPr>
          <w:p w14:paraId="1F2B8EDB" w14:textId="77777777" w:rsidR="008C4715" w:rsidRPr="008C4715" w:rsidRDefault="008C4715" w:rsidP="00B06200">
            <w:pPr>
              <w:pStyle w:val="Tablenumbers"/>
              <w:jc w:val="center"/>
              <w:rPr>
                <w:b/>
                <w:bCs/>
              </w:rPr>
            </w:pPr>
            <w:r w:rsidRPr="008C4715">
              <w:t>76</w:t>
            </w:r>
          </w:p>
        </w:tc>
      </w:tr>
      <w:tr w:rsidR="008C4715" w:rsidRPr="00EA243A" w14:paraId="561B7D63"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54713F7C" w14:textId="77777777" w:rsidR="008C4715" w:rsidRPr="00652F66" w:rsidRDefault="008C4715" w:rsidP="00B06200">
            <w:pPr>
              <w:pStyle w:val="tabletext"/>
              <w:rPr>
                <w:b w:val="0"/>
                <w:bCs w:val="0"/>
                <w:color w:val="FFFFFF" w:themeColor="background1"/>
              </w:rPr>
            </w:pPr>
            <w:r w:rsidRPr="00652F66">
              <w:rPr>
                <w:b w:val="0"/>
                <w:bCs w:val="0"/>
                <w:color w:val="FFFFFF" w:themeColor="background1"/>
              </w:rPr>
              <w:t>Percent wasted</w:t>
            </w:r>
          </w:p>
        </w:tc>
        <w:tc>
          <w:tcPr>
            <w:tcW w:w="717" w:type="pct"/>
            <w:tcBorders>
              <w:left w:val="nil"/>
              <w:bottom w:val="single" w:sz="18" w:space="0" w:color="4F81BD" w:themeColor="accent1"/>
              <w:right w:val="nil"/>
            </w:tcBorders>
            <w:shd w:val="clear" w:color="auto" w:fill="auto"/>
            <w:noWrap/>
            <w:vAlign w:val="center"/>
          </w:tcPr>
          <w:p w14:paraId="179D6286" w14:textId="77777777" w:rsidR="008C4715" w:rsidRPr="008C4715" w:rsidRDefault="008C4715" w:rsidP="00B06200">
            <w:pPr>
              <w:pStyle w:val="Tablenumbers"/>
              <w:jc w:val="center"/>
            </w:pPr>
            <w:r w:rsidRPr="008C4715">
              <w:t>4%</w:t>
            </w:r>
          </w:p>
        </w:tc>
        <w:tc>
          <w:tcPr>
            <w:tcW w:w="797" w:type="pct"/>
            <w:tcBorders>
              <w:left w:val="nil"/>
              <w:bottom w:val="single" w:sz="18" w:space="0" w:color="4F81BD" w:themeColor="accent1"/>
              <w:right w:val="nil"/>
            </w:tcBorders>
            <w:shd w:val="clear" w:color="auto" w:fill="auto"/>
            <w:noWrap/>
            <w:vAlign w:val="center"/>
          </w:tcPr>
          <w:p w14:paraId="0BD9666E" w14:textId="77777777" w:rsidR="008C4715" w:rsidRPr="008C4715" w:rsidRDefault="008C4715" w:rsidP="00B06200">
            <w:pPr>
              <w:pStyle w:val="Tablenumbers"/>
              <w:jc w:val="center"/>
            </w:pPr>
            <w:r w:rsidRPr="008C4715">
              <w:t>2%</w:t>
            </w:r>
          </w:p>
        </w:tc>
        <w:tc>
          <w:tcPr>
            <w:tcW w:w="717" w:type="pct"/>
            <w:tcBorders>
              <w:left w:val="nil"/>
              <w:bottom w:val="single" w:sz="18" w:space="0" w:color="4F81BD" w:themeColor="accent1"/>
              <w:right w:val="nil"/>
            </w:tcBorders>
            <w:shd w:val="clear" w:color="auto" w:fill="auto"/>
            <w:noWrap/>
            <w:vAlign w:val="center"/>
          </w:tcPr>
          <w:p w14:paraId="2E3B42D5" w14:textId="77777777" w:rsidR="008C4715" w:rsidRPr="008C4715" w:rsidRDefault="008C4715" w:rsidP="00B06200">
            <w:pPr>
              <w:pStyle w:val="Tablenumbers"/>
              <w:jc w:val="center"/>
            </w:pPr>
            <w:r w:rsidRPr="008C4715">
              <w:t>5%</w:t>
            </w:r>
          </w:p>
        </w:tc>
        <w:tc>
          <w:tcPr>
            <w:tcW w:w="717" w:type="pct"/>
            <w:tcBorders>
              <w:left w:val="nil"/>
              <w:bottom w:val="single" w:sz="18" w:space="0" w:color="4F81BD" w:themeColor="accent1"/>
              <w:right w:val="single" w:sz="2" w:space="0" w:color="4F81BD" w:themeColor="accent1"/>
            </w:tcBorders>
            <w:shd w:val="clear" w:color="auto" w:fill="auto"/>
            <w:noWrap/>
            <w:vAlign w:val="center"/>
          </w:tcPr>
          <w:p w14:paraId="327FBA0D" w14:textId="77777777" w:rsidR="008C4715" w:rsidRPr="008C4715" w:rsidRDefault="008C4715" w:rsidP="00B06200">
            <w:pPr>
              <w:pStyle w:val="Tablenumbers"/>
              <w:jc w:val="center"/>
            </w:pPr>
            <w:r w:rsidRPr="008C4715">
              <w:t>1%</w:t>
            </w:r>
          </w:p>
        </w:tc>
        <w:tc>
          <w:tcPr>
            <w:tcW w:w="557" w:type="pct"/>
            <w:tcBorders>
              <w:left w:val="single" w:sz="2" w:space="0" w:color="4F81BD" w:themeColor="accent1"/>
              <w:bottom w:val="single" w:sz="18" w:space="0" w:color="4F81BD" w:themeColor="accent1"/>
              <w:right w:val="single" w:sz="2" w:space="0" w:color="4F81BD" w:themeColor="accent1"/>
            </w:tcBorders>
            <w:shd w:val="clear" w:color="auto" w:fill="auto"/>
            <w:noWrap/>
            <w:vAlign w:val="center"/>
          </w:tcPr>
          <w:p w14:paraId="691141F0" w14:textId="77777777" w:rsidR="008C4715" w:rsidRPr="008C4715" w:rsidRDefault="008C4715" w:rsidP="00B06200">
            <w:pPr>
              <w:pStyle w:val="Tablenumbers"/>
              <w:jc w:val="center"/>
              <w:rPr>
                <w:b/>
                <w:bCs/>
              </w:rPr>
            </w:pPr>
            <w:r w:rsidRPr="008C4715">
              <w:t>2%</w:t>
            </w:r>
          </w:p>
        </w:tc>
      </w:tr>
      <w:tr w:rsidR="008C4715" w:rsidRPr="00EA243A" w14:paraId="2C7384F5"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77A619B3" w14:textId="77777777" w:rsidR="008C4715" w:rsidRPr="00652F66" w:rsidRDefault="008C4715" w:rsidP="00B06200">
            <w:pPr>
              <w:pStyle w:val="tabletext"/>
              <w:rPr>
                <w:b w:val="0"/>
                <w:bCs w:val="0"/>
                <w:color w:val="FFFFFF" w:themeColor="background1"/>
              </w:rPr>
            </w:pPr>
            <w:r w:rsidRPr="00652F66">
              <w:rPr>
                <w:b w:val="0"/>
                <w:bCs w:val="0"/>
                <w:color w:val="FFFFFF" w:themeColor="background1"/>
              </w:rPr>
              <w:t>Net imports, minus other uses</w:t>
            </w:r>
          </w:p>
        </w:tc>
        <w:tc>
          <w:tcPr>
            <w:tcW w:w="717" w:type="pct"/>
            <w:tcBorders>
              <w:top w:val="single" w:sz="18" w:space="0" w:color="4F81BD" w:themeColor="accent1"/>
              <w:left w:val="nil"/>
              <w:bottom w:val="single" w:sz="18" w:space="0" w:color="4F81BD" w:themeColor="accent1"/>
              <w:right w:val="nil"/>
            </w:tcBorders>
            <w:shd w:val="clear" w:color="auto" w:fill="auto"/>
            <w:noWrap/>
            <w:vAlign w:val="center"/>
          </w:tcPr>
          <w:p w14:paraId="3A34E6F5" w14:textId="77777777" w:rsidR="008C4715" w:rsidRPr="008C4715" w:rsidRDefault="008C4715" w:rsidP="00B06200">
            <w:pPr>
              <w:pStyle w:val="Tablenumbers"/>
              <w:jc w:val="center"/>
            </w:pPr>
            <w:r w:rsidRPr="008C4715">
              <w:t>-197</w:t>
            </w:r>
          </w:p>
        </w:tc>
        <w:tc>
          <w:tcPr>
            <w:tcW w:w="797" w:type="pct"/>
            <w:tcBorders>
              <w:top w:val="single" w:sz="18" w:space="0" w:color="4F81BD" w:themeColor="accent1"/>
              <w:left w:val="nil"/>
              <w:bottom w:val="single" w:sz="18" w:space="0" w:color="4F81BD" w:themeColor="accent1"/>
              <w:right w:val="nil"/>
            </w:tcBorders>
            <w:shd w:val="clear" w:color="auto" w:fill="auto"/>
            <w:noWrap/>
            <w:vAlign w:val="center"/>
          </w:tcPr>
          <w:p w14:paraId="1A8D1375" w14:textId="77777777" w:rsidR="008C4715" w:rsidRPr="008C4715" w:rsidRDefault="008C4715" w:rsidP="00B06200">
            <w:pPr>
              <w:pStyle w:val="Tablenumbers"/>
              <w:jc w:val="center"/>
            </w:pPr>
            <w:r w:rsidRPr="008C4715">
              <w:t>974</w:t>
            </w:r>
          </w:p>
        </w:tc>
        <w:tc>
          <w:tcPr>
            <w:tcW w:w="717" w:type="pct"/>
            <w:tcBorders>
              <w:top w:val="single" w:sz="18" w:space="0" w:color="4F81BD" w:themeColor="accent1"/>
              <w:left w:val="nil"/>
              <w:bottom w:val="single" w:sz="18" w:space="0" w:color="4F81BD" w:themeColor="accent1"/>
              <w:right w:val="nil"/>
            </w:tcBorders>
            <w:shd w:val="clear" w:color="auto" w:fill="auto"/>
            <w:noWrap/>
            <w:vAlign w:val="center"/>
          </w:tcPr>
          <w:p w14:paraId="313029CD" w14:textId="77777777" w:rsidR="008C4715" w:rsidRPr="008C4715" w:rsidRDefault="008C4715" w:rsidP="00B06200">
            <w:pPr>
              <w:pStyle w:val="Tablenumbers"/>
              <w:jc w:val="center"/>
            </w:pPr>
            <w:r w:rsidRPr="008C4715">
              <w:t>109</w:t>
            </w:r>
          </w:p>
        </w:tc>
        <w:tc>
          <w:tcPr>
            <w:tcW w:w="717" w:type="pct"/>
            <w:tcBorders>
              <w:top w:val="single" w:sz="18" w:space="0" w:color="4F81BD" w:themeColor="accent1"/>
              <w:left w:val="nil"/>
              <w:bottom w:val="single" w:sz="18" w:space="0" w:color="4F81BD" w:themeColor="accent1"/>
              <w:right w:val="single" w:sz="2" w:space="0" w:color="4F81BD" w:themeColor="accent1"/>
            </w:tcBorders>
            <w:shd w:val="clear" w:color="auto" w:fill="auto"/>
            <w:noWrap/>
            <w:vAlign w:val="center"/>
          </w:tcPr>
          <w:p w14:paraId="1FC05D17" w14:textId="77777777" w:rsidR="008C4715" w:rsidRPr="008C4715" w:rsidRDefault="008C4715" w:rsidP="00B06200">
            <w:pPr>
              <w:pStyle w:val="Tablenumbers"/>
              <w:jc w:val="center"/>
            </w:pPr>
            <w:r w:rsidRPr="008C4715">
              <w:t>128</w:t>
            </w:r>
          </w:p>
        </w:tc>
        <w:tc>
          <w:tcPr>
            <w:tcW w:w="557" w:type="pct"/>
            <w:tcBorders>
              <w:top w:val="single" w:sz="18" w:space="0" w:color="4F81BD" w:themeColor="accent1"/>
              <w:left w:val="single" w:sz="2" w:space="0" w:color="4F81BD" w:themeColor="accent1"/>
              <w:bottom w:val="single" w:sz="18" w:space="0" w:color="4F81BD" w:themeColor="accent1"/>
              <w:right w:val="single" w:sz="2" w:space="0" w:color="4F81BD" w:themeColor="accent1"/>
            </w:tcBorders>
            <w:shd w:val="clear" w:color="auto" w:fill="auto"/>
            <w:noWrap/>
            <w:vAlign w:val="center"/>
          </w:tcPr>
          <w:p w14:paraId="31BFF700" w14:textId="77777777" w:rsidR="008C4715" w:rsidRPr="008C4715" w:rsidRDefault="008C4715" w:rsidP="00B06200">
            <w:pPr>
              <w:pStyle w:val="Tablenumbers"/>
              <w:jc w:val="center"/>
              <w:rPr>
                <w:b/>
                <w:bCs/>
              </w:rPr>
            </w:pPr>
            <w:r w:rsidRPr="008C4715">
              <w:t>1,015</w:t>
            </w:r>
          </w:p>
        </w:tc>
      </w:tr>
      <w:tr w:rsidR="008C4715" w:rsidRPr="00EA243A" w14:paraId="5BDE8858"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66C06931" w14:textId="77777777" w:rsidR="008C4715" w:rsidRPr="00652F66" w:rsidRDefault="008C4715" w:rsidP="00B06200">
            <w:pPr>
              <w:pStyle w:val="tabletext"/>
              <w:rPr>
                <w:b w:val="0"/>
                <w:bCs w:val="0"/>
                <w:color w:val="FFFFFF" w:themeColor="background1"/>
              </w:rPr>
            </w:pPr>
            <w:r w:rsidRPr="00652F66">
              <w:rPr>
                <w:b w:val="0"/>
                <w:bCs w:val="0"/>
                <w:color w:val="FFFFFF" w:themeColor="background1"/>
              </w:rPr>
              <w:t>Distribution and retail</w:t>
            </w:r>
          </w:p>
        </w:tc>
        <w:tc>
          <w:tcPr>
            <w:tcW w:w="717" w:type="pct"/>
            <w:tcBorders>
              <w:top w:val="single" w:sz="18" w:space="0" w:color="4F81BD" w:themeColor="accent1"/>
              <w:left w:val="nil"/>
              <w:right w:val="nil"/>
            </w:tcBorders>
            <w:shd w:val="clear" w:color="auto" w:fill="auto"/>
            <w:noWrap/>
            <w:vAlign w:val="center"/>
          </w:tcPr>
          <w:p w14:paraId="7E9073DC" w14:textId="77777777" w:rsidR="008C4715" w:rsidRPr="008C4715" w:rsidRDefault="008C4715" w:rsidP="00B06200">
            <w:pPr>
              <w:pStyle w:val="Tablenumbers"/>
              <w:jc w:val="center"/>
            </w:pPr>
            <w:r w:rsidRPr="008C4715">
              <w:t>3,362</w:t>
            </w:r>
          </w:p>
        </w:tc>
        <w:tc>
          <w:tcPr>
            <w:tcW w:w="797" w:type="pct"/>
            <w:tcBorders>
              <w:top w:val="single" w:sz="18" w:space="0" w:color="4F81BD" w:themeColor="accent1"/>
              <w:left w:val="nil"/>
              <w:right w:val="nil"/>
            </w:tcBorders>
            <w:shd w:val="clear" w:color="auto" w:fill="auto"/>
            <w:noWrap/>
            <w:vAlign w:val="center"/>
          </w:tcPr>
          <w:p w14:paraId="06B9B0D1" w14:textId="77777777" w:rsidR="008C4715" w:rsidRPr="008C4715" w:rsidRDefault="008C4715" w:rsidP="00B06200">
            <w:pPr>
              <w:pStyle w:val="Tablenumbers"/>
              <w:jc w:val="center"/>
            </w:pPr>
            <w:r w:rsidRPr="008C4715">
              <w:t>1,410</w:t>
            </w:r>
          </w:p>
        </w:tc>
        <w:tc>
          <w:tcPr>
            <w:tcW w:w="717" w:type="pct"/>
            <w:tcBorders>
              <w:top w:val="single" w:sz="18" w:space="0" w:color="4F81BD" w:themeColor="accent1"/>
              <w:left w:val="nil"/>
              <w:right w:val="nil"/>
            </w:tcBorders>
            <w:shd w:val="clear" w:color="auto" w:fill="auto"/>
            <w:noWrap/>
            <w:vAlign w:val="center"/>
          </w:tcPr>
          <w:p w14:paraId="1CC0F900" w14:textId="77777777" w:rsidR="008C4715" w:rsidRPr="008C4715" w:rsidRDefault="008C4715" w:rsidP="00B06200">
            <w:pPr>
              <w:pStyle w:val="Tablenumbers"/>
              <w:jc w:val="center"/>
            </w:pPr>
            <w:r w:rsidRPr="008C4715">
              <w:t>768</w:t>
            </w:r>
          </w:p>
        </w:tc>
        <w:tc>
          <w:tcPr>
            <w:tcW w:w="717" w:type="pct"/>
            <w:tcBorders>
              <w:top w:val="single" w:sz="18" w:space="0" w:color="4F81BD" w:themeColor="accent1"/>
              <w:left w:val="nil"/>
              <w:right w:val="single" w:sz="2" w:space="0" w:color="4F81BD" w:themeColor="accent1"/>
            </w:tcBorders>
            <w:shd w:val="clear" w:color="auto" w:fill="auto"/>
            <w:noWrap/>
            <w:vAlign w:val="center"/>
          </w:tcPr>
          <w:p w14:paraId="321D3BE2" w14:textId="77777777" w:rsidR="008C4715" w:rsidRPr="008C4715" w:rsidRDefault="008C4715" w:rsidP="00B06200">
            <w:pPr>
              <w:pStyle w:val="Tablenumbers"/>
              <w:jc w:val="center"/>
            </w:pPr>
            <w:r w:rsidRPr="008C4715">
              <w:t>1,645</w:t>
            </w:r>
          </w:p>
        </w:tc>
        <w:tc>
          <w:tcPr>
            <w:tcW w:w="557" w:type="pct"/>
            <w:tcBorders>
              <w:top w:val="single" w:sz="18" w:space="0" w:color="4F81BD" w:themeColor="accent1"/>
              <w:left w:val="single" w:sz="2" w:space="0" w:color="4F81BD" w:themeColor="accent1"/>
              <w:right w:val="single" w:sz="2" w:space="0" w:color="4F81BD" w:themeColor="accent1"/>
            </w:tcBorders>
            <w:shd w:val="clear" w:color="auto" w:fill="auto"/>
            <w:noWrap/>
            <w:vAlign w:val="center"/>
          </w:tcPr>
          <w:p w14:paraId="268F2080" w14:textId="77777777" w:rsidR="008C4715" w:rsidRPr="008C4715" w:rsidRDefault="008C4715" w:rsidP="00B06200">
            <w:pPr>
              <w:pStyle w:val="Tablenumbers"/>
              <w:jc w:val="center"/>
              <w:rPr>
                <w:b/>
                <w:bCs/>
              </w:rPr>
            </w:pPr>
            <w:r w:rsidRPr="008C4715">
              <w:t>7,185</w:t>
            </w:r>
          </w:p>
        </w:tc>
      </w:tr>
      <w:tr w:rsidR="008C4715" w:rsidRPr="00EA243A" w14:paraId="750595A0"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03217A81" w14:textId="77777777" w:rsidR="008C4715" w:rsidRPr="00652F66" w:rsidRDefault="008C4715" w:rsidP="00B06200">
            <w:pPr>
              <w:pStyle w:val="tabletext"/>
              <w:rPr>
                <w:b w:val="0"/>
                <w:bCs w:val="0"/>
                <w:color w:val="FFFFFF" w:themeColor="background1"/>
              </w:rPr>
            </w:pPr>
            <w:r w:rsidRPr="00652F66">
              <w:rPr>
                <w:b w:val="0"/>
                <w:bCs w:val="0"/>
                <w:color w:val="FFFFFF" w:themeColor="background1"/>
              </w:rPr>
              <w:t>Waste during distribution</w:t>
            </w:r>
          </w:p>
        </w:tc>
        <w:tc>
          <w:tcPr>
            <w:tcW w:w="717" w:type="pct"/>
            <w:tcBorders>
              <w:left w:val="nil"/>
            </w:tcBorders>
            <w:shd w:val="clear" w:color="auto" w:fill="auto"/>
            <w:noWrap/>
            <w:vAlign w:val="center"/>
          </w:tcPr>
          <w:p w14:paraId="366554DF" w14:textId="77777777" w:rsidR="008C4715" w:rsidRPr="008C4715" w:rsidRDefault="008C4715" w:rsidP="00B06200">
            <w:pPr>
              <w:pStyle w:val="Tablenumbers"/>
              <w:jc w:val="center"/>
            </w:pPr>
            <w:r w:rsidRPr="008C4715">
              <w:t>306</w:t>
            </w:r>
          </w:p>
        </w:tc>
        <w:tc>
          <w:tcPr>
            <w:tcW w:w="797" w:type="pct"/>
            <w:shd w:val="clear" w:color="auto" w:fill="auto"/>
            <w:noWrap/>
            <w:vAlign w:val="center"/>
          </w:tcPr>
          <w:p w14:paraId="6875B6B8" w14:textId="77777777" w:rsidR="008C4715" w:rsidRPr="008C4715" w:rsidRDefault="008C4715" w:rsidP="00B06200">
            <w:pPr>
              <w:pStyle w:val="Tablenumbers"/>
              <w:jc w:val="center"/>
            </w:pPr>
            <w:r w:rsidRPr="008C4715">
              <w:t>42</w:t>
            </w:r>
          </w:p>
        </w:tc>
        <w:tc>
          <w:tcPr>
            <w:tcW w:w="717" w:type="pct"/>
            <w:shd w:val="clear" w:color="auto" w:fill="auto"/>
            <w:noWrap/>
            <w:vAlign w:val="center"/>
          </w:tcPr>
          <w:p w14:paraId="06EF9B2C" w14:textId="77777777" w:rsidR="008C4715" w:rsidRPr="008C4715" w:rsidRDefault="008C4715" w:rsidP="00B06200">
            <w:pPr>
              <w:pStyle w:val="Tablenumbers"/>
              <w:jc w:val="center"/>
            </w:pPr>
            <w:r w:rsidRPr="008C4715">
              <w:t>37</w:t>
            </w:r>
          </w:p>
        </w:tc>
        <w:tc>
          <w:tcPr>
            <w:tcW w:w="717" w:type="pct"/>
            <w:tcBorders>
              <w:right w:val="single" w:sz="2" w:space="0" w:color="4F81BD" w:themeColor="accent1"/>
            </w:tcBorders>
            <w:shd w:val="clear" w:color="auto" w:fill="auto"/>
            <w:noWrap/>
            <w:vAlign w:val="center"/>
          </w:tcPr>
          <w:p w14:paraId="312090CC" w14:textId="77777777" w:rsidR="008C4715" w:rsidRPr="008C4715" w:rsidRDefault="008C4715" w:rsidP="00B06200">
            <w:pPr>
              <w:pStyle w:val="Tablenumbers"/>
              <w:jc w:val="center"/>
            </w:pPr>
            <w:r w:rsidRPr="008C4715">
              <w:t>27</w:t>
            </w:r>
          </w:p>
        </w:tc>
        <w:tc>
          <w:tcPr>
            <w:tcW w:w="557" w:type="pct"/>
            <w:tcBorders>
              <w:left w:val="single" w:sz="2" w:space="0" w:color="4F81BD" w:themeColor="accent1"/>
              <w:right w:val="single" w:sz="2" w:space="0" w:color="4F81BD" w:themeColor="accent1"/>
            </w:tcBorders>
            <w:shd w:val="clear" w:color="auto" w:fill="auto"/>
            <w:noWrap/>
            <w:vAlign w:val="center"/>
          </w:tcPr>
          <w:p w14:paraId="495FA339" w14:textId="77777777" w:rsidR="008C4715" w:rsidRPr="008C4715" w:rsidRDefault="008C4715" w:rsidP="00B06200">
            <w:pPr>
              <w:pStyle w:val="Tablenumbers"/>
              <w:jc w:val="center"/>
              <w:rPr>
                <w:b/>
                <w:bCs/>
              </w:rPr>
            </w:pPr>
            <w:r w:rsidRPr="008C4715">
              <w:t>413</w:t>
            </w:r>
          </w:p>
        </w:tc>
      </w:tr>
      <w:tr w:rsidR="008C4715" w:rsidRPr="00EA243A" w14:paraId="0596E13F"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724A05BF" w14:textId="77777777" w:rsidR="008C4715" w:rsidRPr="00652F66" w:rsidRDefault="008C4715" w:rsidP="00B06200">
            <w:pPr>
              <w:pStyle w:val="tabletext"/>
              <w:rPr>
                <w:b w:val="0"/>
                <w:bCs w:val="0"/>
                <w:color w:val="FFFFFF" w:themeColor="background1"/>
              </w:rPr>
            </w:pPr>
            <w:r w:rsidRPr="00652F66">
              <w:rPr>
                <w:b w:val="0"/>
                <w:bCs w:val="0"/>
                <w:color w:val="FFFFFF" w:themeColor="background1"/>
              </w:rPr>
              <w:t>Percent wasted</w:t>
            </w:r>
          </w:p>
        </w:tc>
        <w:tc>
          <w:tcPr>
            <w:tcW w:w="717" w:type="pct"/>
            <w:tcBorders>
              <w:left w:val="nil"/>
              <w:bottom w:val="single" w:sz="18" w:space="0" w:color="4F81BD" w:themeColor="accent1"/>
              <w:right w:val="nil"/>
            </w:tcBorders>
            <w:shd w:val="clear" w:color="auto" w:fill="auto"/>
            <w:noWrap/>
            <w:vAlign w:val="center"/>
          </w:tcPr>
          <w:p w14:paraId="1CCB5C83" w14:textId="77777777" w:rsidR="008C4715" w:rsidRPr="008C4715" w:rsidRDefault="008C4715" w:rsidP="00B06200">
            <w:pPr>
              <w:pStyle w:val="Tablenumbers"/>
              <w:jc w:val="center"/>
            </w:pPr>
            <w:r w:rsidRPr="008C4715">
              <w:t>9%</w:t>
            </w:r>
          </w:p>
        </w:tc>
        <w:tc>
          <w:tcPr>
            <w:tcW w:w="797" w:type="pct"/>
            <w:tcBorders>
              <w:left w:val="nil"/>
              <w:bottom w:val="single" w:sz="18" w:space="0" w:color="4F81BD" w:themeColor="accent1"/>
              <w:right w:val="nil"/>
            </w:tcBorders>
            <w:shd w:val="clear" w:color="auto" w:fill="auto"/>
            <w:noWrap/>
            <w:vAlign w:val="center"/>
          </w:tcPr>
          <w:p w14:paraId="40A8C543" w14:textId="77777777" w:rsidR="008C4715" w:rsidRPr="008C4715" w:rsidRDefault="008C4715" w:rsidP="00B06200">
            <w:pPr>
              <w:pStyle w:val="Tablenumbers"/>
              <w:jc w:val="center"/>
            </w:pPr>
            <w:r w:rsidRPr="008C4715">
              <w:t>3%</w:t>
            </w:r>
          </w:p>
        </w:tc>
        <w:tc>
          <w:tcPr>
            <w:tcW w:w="717" w:type="pct"/>
            <w:tcBorders>
              <w:left w:val="nil"/>
              <w:bottom w:val="single" w:sz="18" w:space="0" w:color="4F81BD" w:themeColor="accent1"/>
              <w:right w:val="nil"/>
            </w:tcBorders>
            <w:shd w:val="clear" w:color="auto" w:fill="auto"/>
            <w:noWrap/>
            <w:vAlign w:val="center"/>
          </w:tcPr>
          <w:p w14:paraId="25A4739B" w14:textId="77777777" w:rsidR="008C4715" w:rsidRPr="008C4715" w:rsidRDefault="008C4715" w:rsidP="00B06200">
            <w:pPr>
              <w:pStyle w:val="Tablenumbers"/>
              <w:jc w:val="center"/>
            </w:pPr>
            <w:r w:rsidRPr="008C4715">
              <w:t>5%</w:t>
            </w:r>
          </w:p>
        </w:tc>
        <w:tc>
          <w:tcPr>
            <w:tcW w:w="717" w:type="pct"/>
            <w:tcBorders>
              <w:left w:val="nil"/>
              <w:bottom w:val="single" w:sz="18" w:space="0" w:color="4F81BD" w:themeColor="accent1"/>
              <w:right w:val="single" w:sz="2" w:space="0" w:color="4F81BD" w:themeColor="accent1"/>
            </w:tcBorders>
            <w:shd w:val="clear" w:color="auto" w:fill="auto"/>
            <w:noWrap/>
            <w:vAlign w:val="center"/>
          </w:tcPr>
          <w:p w14:paraId="30F3DA1A" w14:textId="77777777" w:rsidR="008C4715" w:rsidRPr="008C4715" w:rsidRDefault="008C4715" w:rsidP="00B06200">
            <w:pPr>
              <w:pStyle w:val="Tablenumbers"/>
              <w:jc w:val="center"/>
            </w:pPr>
            <w:r w:rsidRPr="008C4715">
              <w:t>2%</w:t>
            </w:r>
          </w:p>
        </w:tc>
        <w:tc>
          <w:tcPr>
            <w:tcW w:w="557" w:type="pct"/>
            <w:tcBorders>
              <w:left w:val="single" w:sz="2" w:space="0" w:color="4F81BD" w:themeColor="accent1"/>
              <w:bottom w:val="single" w:sz="18" w:space="0" w:color="4F81BD" w:themeColor="accent1"/>
              <w:right w:val="single" w:sz="2" w:space="0" w:color="4F81BD" w:themeColor="accent1"/>
            </w:tcBorders>
            <w:shd w:val="clear" w:color="auto" w:fill="auto"/>
            <w:noWrap/>
            <w:vAlign w:val="center"/>
          </w:tcPr>
          <w:p w14:paraId="1602D44A" w14:textId="77777777" w:rsidR="008C4715" w:rsidRPr="008C4715" w:rsidRDefault="008C4715" w:rsidP="00B06200">
            <w:pPr>
              <w:pStyle w:val="Tablenumbers"/>
              <w:jc w:val="center"/>
              <w:rPr>
                <w:b/>
                <w:bCs/>
              </w:rPr>
            </w:pPr>
            <w:r w:rsidRPr="008C4715">
              <w:t>6%</w:t>
            </w:r>
          </w:p>
        </w:tc>
      </w:tr>
      <w:tr w:rsidR="008C4715" w:rsidRPr="00EA243A" w14:paraId="26717751"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084BD082" w14:textId="77777777" w:rsidR="008C4715" w:rsidRPr="00652F66" w:rsidRDefault="008C4715" w:rsidP="00B06200">
            <w:pPr>
              <w:pStyle w:val="tabletext"/>
              <w:rPr>
                <w:b w:val="0"/>
                <w:bCs w:val="0"/>
                <w:color w:val="FFFFFF" w:themeColor="background1"/>
              </w:rPr>
            </w:pPr>
            <w:r w:rsidRPr="00652F66">
              <w:rPr>
                <w:b w:val="0"/>
                <w:bCs w:val="0"/>
                <w:color w:val="FFFFFF" w:themeColor="background1"/>
              </w:rPr>
              <w:t>Consumption</w:t>
            </w:r>
          </w:p>
        </w:tc>
        <w:tc>
          <w:tcPr>
            <w:tcW w:w="717" w:type="pct"/>
            <w:tcBorders>
              <w:top w:val="single" w:sz="18" w:space="0" w:color="4F81BD" w:themeColor="accent1"/>
              <w:left w:val="nil"/>
              <w:right w:val="nil"/>
            </w:tcBorders>
            <w:shd w:val="clear" w:color="auto" w:fill="auto"/>
            <w:noWrap/>
            <w:vAlign w:val="center"/>
          </w:tcPr>
          <w:p w14:paraId="5F8ABB8E" w14:textId="77777777" w:rsidR="008C4715" w:rsidRPr="008C4715" w:rsidRDefault="008C4715" w:rsidP="00B06200">
            <w:pPr>
              <w:pStyle w:val="Tablenumbers"/>
              <w:jc w:val="center"/>
            </w:pPr>
            <w:r w:rsidRPr="008C4715">
              <w:t>3,056</w:t>
            </w:r>
          </w:p>
        </w:tc>
        <w:tc>
          <w:tcPr>
            <w:tcW w:w="797" w:type="pct"/>
            <w:tcBorders>
              <w:top w:val="single" w:sz="18" w:space="0" w:color="4F81BD" w:themeColor="accent1"/>
              <w:left w:val="nil"/>
              <w:right w:val="nil"/>
            </w:tcBorders>
            <w:shd w:val="clear" w:color="auto" w:fill="auto"/>
            <w:noWrap/>
            <w:vAlign w:val="center"/>
          </w:tcPr>
          <w:p w14:paraId="684A167E" w14:textId="77777777" w:rsidR="008C4715" w:rsidRPr="008C4715" w:rsidRDefault="008C4715" w:rsidP="00B06200">
            <w:pPr>
              <w:pStyle w:val="Tablenumbers"/>
              <w:jc w:val="center"/>
            </w:pPr>
            <w:r w:rsidRPr="008C4715">
              <w:t>1,368</w:t>
            </w:r>
          </w:p>
        </w:tc>
        <w:tc>
          <w:tcPr>
            <w:tcW w:w="717" w:type="pct"/>
            <w:tcBorders>
              <w:top w:val="single" w:sz="18" w:space="0" w:color="4F81BD" w:themeColor="accent1"/>
              <w:left w:val="nil"/>
              <w:right w:val="nil"/>
            </w:tcBorders>
            <w:shd w:val="clear" w:color="auto" w:fill="auto"/>
            <w:noWrap/>
            <w:vAlign w:val="center"/>
          </w:tcPr>
          <w:p w14:paraId="7D4DCCCA" w14:textId="77777777" w:rsidR="008C4715" w:rsidRPr="008C4715" w:rsidRDefault="008C4715" w:rsidP="00B06200">
            <w:pPr>
              <w:pStyle w:val="Tablenumbers"/>
              <w:jc w:val="center"/>
            </w:pPr>
            <w:r w:rsidRPr="008C4715">
              <w:t>731</w:t>
            </w:r>
          </w:p>
        </w:tc>
        <w:tc>
          <w:tcPr>
            <w:tcW w:w="717" w:type="pct"/>
            <w:tcBorders>
              <w:top w:val="single" w:sz="18" w:space="0" w:color="4F81BD" w:themeColor="accent1"/>
              <w:left w:val="nil"/>
              <w:right w:val="single" w:sz="2" w:space="0" w:color="4F81BD" w:themeColor="accent1"/>
            </w:tcBorders>
            <w:shd w:val="clear" w:color="auto" w:fill="auto"/>
            <w:noWrap/>
            <w:vAlign w:val="center"/>
          </w:tcPr>
          <w:p w14:paraId="2CB66C9A" w14:textId="77777777" w:rsidR="008C4715" w:rsidRPr="008C4715" w:rsidRDefault="008C4715" w:rsidP="00B06200">
            <w:pPr>
              <w:pStyle w:val="Tablenumbers"/>
              <w:jc w:val="center"/>
            </w:pPr>
            <w:r w:rsidRPr="008C4715">
              <w:t>1,617</w:t>
            </w:r>
          </w:p>
        </w:tc>
        <w:tc>
          <w:tcPr>
            <w:tcW w:w="557" w:type="pct"/>
            <w:tcBorders>
              <w:top w:val="single" w:sz="18" w:space="0" w:color="4F81BD" w:themeColor="accent1"/>
              <w:left w:val="single" w:sz="2" w:space="0" w:color="4F81BD" w:themeColor="accent1"/>
              <w:right w:val="single" w:sz="2" w:space="0" w:color="4F81BD" w:themeColor="accent1"/>
            </w:tcBorders>
            <w:shd w:val="clear" w:color="auto" w:fill="auto"/>
            <w:noWrap/>
            <w:vAlign w:val="center"/>
          </w:tcPr>
          <w:p w14:paraId="6D71164D" w14:textId="77777777" w:rsidR="008C4715" w:rsidRPr="008C4715" w:rsidRDefault="008C4715" w:rsidP="00B06200">
            <w:pPr>
              <w:pStyle w:val="Tablenumbers"/>
              <w:jc w:val="center"/>
              <w:rPr>
                <w:b/>
                <w:bCs/>
              </w:rPr>
            </w:pPr>
            <w:r w:rsidRPr="008C4715">
              <w:t>6,772</w:t>
            </w:r>
          </w:p>
        </w:tc>
      </w:tr>
      <w:tr w:rsidR="008C4715" w:rsidRPr="00EA243A" w14:paraId="5328C0B5" w14:textId="77777777" w:rsidTr="008A7333">
        <w:trPr>
          <w:trHeight w:val="255"/>
          <w:jc w:val="center"/>
        </w:trPr>
        <w:tc>
          <w:tcPr>
            <w:tcW w:w="1494" w:type="pct"/>
            <w:tcBorders>
              <w:top w:val="single" w:sz="4" w:space="0" w:color="4F81BD"/>
              <w:left w:val="nil"/>
              <w:bottom w:val="nil"/>
              <w:right w:val="nil"/>
            </w:tcBorders>
            <w:shd w:val="clear" w:color="4F81BD" w:fill="4F81BD"/>
            <w:noWrap/>
            <w:vAlign w:val="bottom"/>
            <w:hideMark/>
          </w:tcPr>
          <w:p w14:paraId="69FB3544" w14:textId="77777777" w:rsidR="008C4715" w:rsidRPr="00652F66" w:rsidRDefault="008C4715" w:rsidP="00B06200">
            <w:pPr>
              <w:pStyle w:val="tabletext"/>
              <w:rPr>
                <w:b w:val="0"/>
                <w:bCs w:val="0"/>
                <w:color w:val="FFFFFF" w:themeColor="background1"/>
              </w:rPr>
            </w:pPr>
            <w:r w:rsidRPr="00652F66">
              <w:rPr>
                <w:b w:val="0"/>
                <w:bCs w:val="0"/>
                <w:color w:val="FFFFFF" w:themeColor="background1"/>
              </w:rPr>
              <w:t>Waste during consumption</w:t>
            </w:r>
          </w:p>
        </w:tc>
        <w:tc>
          <w:tcPr>
            <w:tcW w:w="717" w:type="pct"/>
            <w:tcBorders>
              <w:left w:val="nil"/>
            </w:tcBorders>
            <w:shd w:val="clear" w:color="auto" w:fill="auto"/>
            <w:noWrap/>
            <w:vAlign w:val="center"/>
          </w:tcPr>
          <w:p w14:paraId="65375F8C" w14:textId="77777777" w:rsidR="008C4715" w:rsidRPr="008C4715" w:rsidRDefault="008C4715" w:rsidP="00B06200">
            <w:pPr>
              <w:pStyle w:val="Tablenumbers"/>
              <w:jc w:val="center"/>
            </w:pPr>
            <w:r w:rsidRPr="008C4715">
              <w:t>544</w:t>
            </w:r>
          </w:p>
        </w:tc>
        <w:tc>
          <w:tcPr>
            <w:tcW w:w="797" w:type="pct"/>
            <w:shd w:val="clear" w:color="auto" w:fill="auto"/>
            <w:noWrap/>
            <w:vAlign w:val="center"/>
          </w:tcPr>
          <w:p w14:paraId="185962A4" w14:textId="77777777" w:rsidR="008C4715" w:rsidRPr="008C4715" w:rsidRDefault="008C4715" w:rsidP="00B06200">
            <w:pPr>
              <w:pStyle w:val="Tablenumbers"/>
              <w:jc w:val="center"/>
            </w:pPr>
            <w:r w:rsidRPr="008C4715">
              <w:t>243</w:t>
            </w:r>
          </w:p>
        </w:tc>
        <w:tc>
          <w:tcPr>
            <w:tcW w:w="717" w:type="pct"/>
            <w:shd w:val="clear" w:color="auto" w:fill="auto"/>
            <w:noWrap/>
            <w:vAlign w:val="center"/>
          </w:tcPr>
          <w:p w14:paraId="3829ECD2" w14:textId="77777777" w:rsidR="008C4715" w:rsidRPr="008C4715" w:rsidRDefault="008C4715" w:rsidP="00B06200">
            <w:pPr>
              <w:pStyle w:val="Tablenumbers"/>
              <w:jc w:val="center"/>
            </w:pPr>
            <w:r w:rsidRPr="008C4715">
              <w:t>76</w:t>
            </w:r>
          </w:p>
        </w:tc>
        <w:tc>
          <w:tcPr>
            <w:tcW w:w="717" w:type="pct"/>
            <w:tcBorders>
              <w:right w:val="single" w:sz="2" w:space="0" w:color="4F81BD" w:themeColor="accent1"/>
            </w:tcBorders>
            <w:shd w:val="clear" w:color="auto" w:fill="auto"/>
            <w:noWrap/>
            <w:vAlign w:val="center"/>
          </w:tcPr>
          <w:p w14:paraId="3B6EF374" w14:textId="77777777" w:rsidR="008C4715" w:rsidRPr="008C4715" w:rsidRDefault="008C4715" w:rsidP="00B06200">
            <w:pPr>
              <w:pStyle w:val="Tablenumbers"/>
              <w:jc w:val="center"/>
            </w:pPr>
            <w:r w:rsidRPr="008C4715">
              <w:t>85</w:t>
            </w:r>
          </w:p>
        </w:tc>
        <w:tc>
          <w:tcPr>
            <w:tcW w:w="557" w:type="pct"/>
            <w:tcBorders>
              <w:left w:val="single" w:sz="2" w:space="0" w:color="4F81BD" w:themeColor="accent1"/>
              <w:right w:val="single" w:sz="2" w:space="0" w:color="4F81BD" w:themeColor="accent1"/>
            </w:tcBorders>
            <w:shd w:val="clear" w:color="auto" w:fill="auto"/>
            <w:noWrap/>
            <w:vAlign w:val="center"/>
          </w:tcPr>
          <w:p w14:paraId="2A7E87B4" w14:textId="77777777" w:rsidR="008C4715" w:rsidRPr="008C4715" w:rsidRDefault="008C4715" w:rsidP="00B06200">
            <w:pPr>
              <w:pStyle w:val="Tablenumbers"/>
              <w:jc w:val="center"/>
              <w:rPr>
                <w:b/>
                <w:bCs/>
              </w:rPr>
            </w:pPr>
            <w:r w:rsidRPr="008C4715">
              <w:t>948</w:t>
            </w:r>
          </w:p>
        </w:tc>
      </w:tr>
      <w:tr w:rsidR="008C4715" w:rsidRPr="00EA243A" w14:paraId="533E799E" w14:textId="77777777" w:rsidTr="008A7333">
        <w:trPr>
          <w:trHeight w:val="270"/>
          <w:jc w:val="center"/>
        </w:trPr>
        <w:tc>
          <w:tcPr>
            <w:tcW w:w="1494" w:type="pct"/>
            <w:tcBorders>
              <w:top w:val="single" w:sz="4" w:space="0" w:color="4F81BD"/>
              <w:left w:val="nil"/>
              <w:bottom w:val="nil"/>
              <w:right w:val="nil"/>
            </w:tcBorders>
            <w:shd w:val="clear" w:color="4F81BD" w:fill="4F81BD"/>
            <w:noWrap/>
            <w:vAlign w:val="bottom"/>
            <w:hideMark/>
          </w:tcPr>
          <w:p w14:paraId="5D75C20F" w14:textId="77777777" w:rsidR="008C4715" w:rsidRPr="00652F66" w:rsidRDefault="008C4715" w:rsidP="00B06200">
            <w:pPr>
              <w:pStyle w:val="tabletext"/>
              <w:rPr>
                <w:b w:val="0"/>
                <w:bCs w:val="0"/>
                <w:color w:val="FFFFFF" w:themeColor="background1"/>
              </w:rPr>
            </w:pPr>
            <w:r w:rsidRPr="00652F66">
              <w:rPr>
                <w:b w:val="0"/>
                <w:bCs w:val="0"/>
                <w:color w:val="FFFFFF" w:themeColor="background1"/>
              </w:rPr>
              <w:t>Percent wasted</w:t>
            </w:r>
            <w:r w:rsidRPr="00652F66">
              <w:rPr>
                <w:b w:val="0"/>
                <w:bCs w:val="0"/>
                <w:color w:val="FFFFFF" w:themeColor="background1"/>
                <w:rtl/>
              </w:rPr>
              <w:t xml:space="preserve"> </w:t>
            </w:r>
          </w:p>
        </w:tc>
        <w:tc>
          <w:tcPr>
            <w:tcW w:w="717" w:type="pct"/>
            <w:tcBorders>
              <w:left w:val="single" w:sz="4" w:space="0" w:color="4F81BD"/>
              <w:bottom w:val="single" w:sz="24" w:space="0" w:color="4F81BD" w:themeColor="accent1"/>
              <w:right w:val="nil"/>
            </w:tcBorders>
            <w:shd w:val="clear" w:color="auto" w:fill="auto"/>
            <w:noWrap/>
            <w:vAlign w:val="center"/>
          </w:tcPr>
          <w:p w14:paraId="09A29F48" w14:textId="77777777" w:rsidR="008C4715" w:rsidRPr="008C4715" w:rsidRDefault="008C4715" w:rsidP="00B06200">
            <w:pPr>
              <w:pStyle w:val="Tablenumbers"/>
              <w:jc w:val="center"/>
            </w:pPr>
            <w:r w:rsidRPr="008C4715">
              <w:t>18%</w:t>
            </w:r>
          </w:p>
        </w:tc>
        <w:tc>
          <w:tcPr>
            <w:tcW w:w="797" w:type="pct"/>
            <w:tcBorders>
              <w:left w:val="nil"/>
              <w:bottom w:val="single" w:sz="24" w:space="0" w:color="4F81BD" w:themeColor="accent1"/>
              <w:right w:val="nil"/>
            </w:tcBorders>
            <w:shd w:val="clear" w:color="auto" w:fill="auto"/>
            <w:noWrap/>
            <w:vAlign w:val="center"/>
          </w:tcPr>
          <w:p w14:paraId="3EC53ADD" w14:textId="77777777" w:rsidR="008C4715" w:rsidRPr="008C4715" w:rsidRDefault="008C4715" w:rsidP="00B06200">
            <w:pPr>
              <w:pStyle w:val="Tablenumbers"/>
              <w:jc w:val="center"/>
            </w:pPr>
            <w:r w:rsidRPr="008C4715">
              <w:t>18%</w:t>
            </w:r>
          </w:p>
        </w:tc>
        <w:tc>
          <w:tcPr>
            <w:tcW w:w="717" w:type="pct"/>
            <w:tcBorders>
              <w:left w:val="nil"/>
              <w:bottom w:val="single" w:sz="24" w:space="0" w:color="4F81BD" w:themeColor="accent1"/>
              <w:right w:val="nil"/>
            </w:tcBorders>
            <w:shd w:val="clear" w:color="auto" w:fill="auto"/>
            <w:noWrap/>
            <w:vAlign w:val="center"/>
          </w:tcPr>
          <w:p w14:paraId="2F70027C" w14:textId="77777777" w:rsidR="008C4715" w:rsidRPr="008C4715" w:rsidRDefault="008C4715" w:rsidP="00B06200">
            <w:pPr>
              <w:pStyle w:val="Tablenumbers"/>
              <w:jc w:val="center"/>
            </w:pPr>
            <w:r w:rsidRPr="008C4715">
              <w:t>10%</w:t>
            </w:r>
          </w:p>
        </w:tc>
        <w:tc>
          <w:tcPr>
            <w:tcW w:w="717" w:type="pct"/>
            <w:tcBorders>
              <w:left w:val="nil"/>
              <w:bottom w:val="single" w:sz="24" w:space="0" w:color="4F81BD" w:themeColor="accent1"/>
              <w:right w:val="single" w:sz="2" w:space="0" w:color="4F81BD" w:themeColor="accent1"/>
            </w:tcBorders>
            <w:shd w:val="clear" w:color="auto" w:fill="auto"/>
            <w:noWrap/>
            <w:vAlign w:val="center"/>
          </w:tcPr>
          <w:p w14:paraId="771C0C7C" w14:textId="77777777" w:rsidR="008C4715" w:rsidRPr="008C4715" w:rsidRDefault="008C4715" w:rsidP="00B06200">
            <w:pPr>
              <w:pStyle w:val="Tablenumbers"/>
              <w:jc w:val="center"/>
            </w:pPr>
            <w:r w:rsidRPr="008C4715">
              <w:t>5%</w:t>
            </w:r>
          </w:p>
        </w:tc>
        <w:tc>
          <w:tcPr>
            <w:tcW w:w="557" w:type="pct"/>
            <w:tcBorders>
              <w:left w:val="single" w:sz="2" w:space="0" w:color="4F81BD" w:themeColor="accent1"/>
              <w:bottom w:val="single" w:sz="24" w:space="0" w:color="4F81BD" w:themeColor="accent1"/>
              <w:right w:val="single" w:sz="2" w:space="0" w:color="4F81BD" w:themeColor="accent1"/>
            </w:tcBorders>
            <w:shd w:val="clear" w:color="auto" w:fill="auto"/>
            <w:noWrap/>
            <w:vAlign w:val="center"/>
          </w:tcPr>
          <w:p w14:paraId="0A17EF28" w14:textId="77777777" w:rsidR="008C4715" w:rsidRPr="008C4715" w:rsidRDefault="008C4715" w:rsidP="00B06200">
            <w:pPr>
              <w:pStyle w:val="Tablenumbers"/>
              <w:jc w:val="center"/>
              <w:rPr>
                <w:b/>
                <w:bCs/>
              </w:rPr>
            </w:pPr>
            <w:r w:rsidRPr="008C4715">
              <w:t>14%</w:t>
            </w:r>
          </w:p>
        </w:tc>
      </w:tr>
      <w:tr w:rsidR="008C4715" w:rsidRPr="00EA243A" w14:paraId="3ACE0842" w14:textId="77777777" w:rsidTr="008A7333">
        <w:trPr>
          <w:trHeight w:val="270"/>
          <w:jc w:val="center"/>
        </w:trPr>
        <w:tc>
          <w:tcPr>
            <w:tcW w:w="1494" w:type="pct"/>
            <w:tcBorders>
              <w:top w:val="single" w:sz="24" w:space="0" w:color="4F81BD" w:themeColor="accent1"/>
              <w:left w:val="single" w:sz="4" w:space="0" w:color="4F81BD"/>
              <w:bottom w:val="single" w:sz="24" w:space="0" w:color="4F81BD" w:themeColor="accent1"/>
              <w:right w:val="single" w:sz="4" w:space="0" w:color="4F81BD"/>
            </w:tcBorders>
            <w:shd w:val="clear" w:color="4F81BD" w:fill="4F81BD"/>
            <w:noWrap/>
            <w:vAlign w:val="bottom"/>
            <w:hideMark/>
          </w:tcPr>
          <w:p w14:paraId="1ECC830F" w14:textId="77777777" w:rsidR="008C4715" w:rsidRPr="00652F66" w:rsidRDefault="008C4715" w:rsidP="00B06200">
            <w:pPr>
              <w:pStyle w:val="tabletext"/>
              <w:rPr>
                <w:b w:val="0"/>
                <w:bCs w:val="0"/>
                <w:color w:val="FFFFFF" w:themeColor="background1"/>
              </w:rPr>
            </w:pPr>
            <w:r w:rsidRPr="00652F66">
              <w:rPr>
                <w:b w:val="0"/>
                <w:bCs w:val="0"/>
                <w:color w:val="FFFFFF" w:themeColor="background1"/>
              </w:rPr>
              <w:t>Total waste</w:t>
            </w:r>
          </w:p>
        </w:tc>
        <w:tc>
          <w:tcPr>
            <w:tcW w:w="717" w:type="pct"/>
            <w:tcBorders>
              <w:top w:val="single" w:sz="24" w:space="0" w:color="4F81BD" w:themeColor="accent1"/>
              <w:left w:val="single" w:sz="4" w:space="0" w:color="4F81BD"/>
              <w:right w:val="nil"/>
            </w:tcBorders>
            <w:shd w:val="clear" w:color="auto" w:fill="auto"/>
            <w:noWrap/>
            <w:vAlign w:val="center"/>
          </w:tcPr>
          <w:p w14:paraId="26CC9611" w14:textId="77777777" w:rsidR="008C4715" w:rsidRPr="008C4715" w:rsidRDefault="008C4715" w:rsidP="00B06200">
            <w:pPr>
              <w:pStyle w:val="Tablenumbers"/>
              <w:jc w:val="center"/>
              <w:rPr>
                <w:b/>
                <w:bCs/>
              </w:rPr>
            </w:pPr>
            <w:r w:rsidRPr="008C4715">
              <w:t>1,633</w:t>
            </w:r>
          </w:p>
        </w:tc>
        <w:tc>
          <w:tcPr>
            <w:tcW w:w="797" w:type="pct"/>
            <w:tcBorders>
              <w:top w:val="single" w:sz="24" w:space="0" w:color="4F81BD" w:themeColor="accent1"/>
              <w:left w:val="nil"/>
              <w:right w:val="nil"/>
            </w:tcBorders>
            <w:shd w:val="clear" w:color="auto" w:fill="auto"/>
            <w:noWrap/>
            <w:vAlign w:val="center"/>
          </w:tcPr>
          <w:p w14:paraId="11A5C5D2" w14:textId="77777777" w:rsidR="008C4715" w:rsidRPr="008C4715" w:rsidRDefault="008C4715" w:rsidP="00B06200">
            <w:pPr>
              <w:pStyle w:val="Tablenumbers"/>
              <w:jc w:val="center"/>
              <w:rPr>
                <w:b/>
                <w:bCs/>
              </w:rPr>
            </w:pPr>
            <w:r w:rsidRPr="008C4715">
              <w:t>335</w:t>
            </w:r>
          </w:p>
        </w:tc>
        <w:tc>
          <w:tcPr>
            <w:tcW w:w="717" w:type="pct"/>
            <w:tcBorders>
              <w:top w:val="single" w:sz="24" w:space="0" w:color="4F81BD" w:themeColor="accent1"/>
              <w:left w:val="nil"/>
              <w:right w:val="nil"/>
            </w:tcBorders>
            <w:shd w:val="clear" w:color="auto" w:fill="auto"/>
            <w:noWrap/>
            <w:vAlign w:val="center"/>
          </w:tcPr>
          <w:p w14:paraId="1FA2D33F" w14:textId="77777777" w:rsidR="008C4715" w:rsidRPr="008C4715" w:rsidRDefault="008C4715" w:rsidP="00B06200">
            <w:pPr>
              <w:pStyle w:val="Tablenumbers"/>
              <w:jc w:val="center"/>
              <w:rPr>
                <w:b/>
                <w:bCs/>
              </w:rPr>
            </w:pPr>
            <w:r w:rsidRPr="008C4715">
              <w:t>178</w:t>
            </w:r>
          </w:p>
        </w:tc>
        <w:tc>
          <w:tcPr>
            <w:tcW w:w="717" w:type="pct"/>
            <w:tcBorders>
              <w:top w:val="single" w:sz="24" w:space="0" w:color="4F81BD" w:themeColor="accent1"/>
              <w:left w:val="nil"/>
              <w:right w:val="single" w:sz="2" w:space="0" w:color="4F81BD" w:themeColor="accent1"/>
            </w:tcBorders>
            <w:shd w:val="clear" w:color="auto" w:fill="auto"/>
            <w:noWrap/>
            <w:vAlign w:val="center"/>
          </w:tcPr>
          <w:p w14:paraId="448ED614" w14:textId="77777777" w:rsidR="008C4715" w:rsidRPr="008C4715" w:rsidRDefault="008C4715" w:rsidP="00B06200">
            <w:pPr>
              <w:pStyle w:val="Tablenumbers"/>
              <w:jc w:val="center"/>
              <w:rPr>
                <w:b/>
                <w:bCs/>
              </w:rPr>
            </w:pPr>
            <w:r w:rsidRPr="008C4715">
              <w:t>194</w:t>
            </w:r>
          </w:p>
        </w:tc>
        <w:tc>
          <w:tcPr>
            <w:tcW w:w="557" w:type="pct"/>
            <w:tcBorders>
              <w:top w:val="single" w:sz="24" w:space="0" w:color="4F81BD" w:themeColor="accent1"/>
              <w:left w:val="single" w:sz="2" w:space="0" w:color="4F81BD" w:themeColor="accent1"/>
              <w:right w:val="single" w:sz="2" w:space="0" w:color="4F81BD" w:themeColor="accent1"/>
            </w:tcBorders>
            <w:shd w:val="clear" w:color="auto" w:fill="auto"/>
            <w:noWrap/>
            <w:vAlign w:val="center"/>
          </w:tcPr>
          <w:p w14:paraId="36B78DF7" w14:textId="77777777" w:rsidR="008C4715" w:rsidRPr="008C4715" w:rsidRDefault="008C4715" w:rsidP="00B06200">
            <w:pPr>
              <w:pStyle w:val="Tablenumbers"/>
              <w:jc w:val="center"/>
              <w:rPr>
                <w:b/>
                <w:bCs/>
              </w:rPr>
            </w:pPr>
            <w:r w:rsidRPr="008C4715">
              <w:t>2,339</w:t>
            </w:r>
          </w:p>
        </w:tc>
      </w:tr>
      <w:tr w:rsidR="008C4715" w:rsidRPr="00EA243A" w14:paraId="701D1111" w14:textId="77777777" w:rsidTr="008A7333">
        <w:trPr>
          <w:trHeight w:val="270"/>
          <w:jc w:val="center"/>
        </w:trPr>
        <w:tc>
          <w:tcPr>
            <w:tcW w:w="1494" w:type="pct"/>
            <w:tcBorders>
              <w:top w:val="single" w:sz="24" w:space="0" w:color="4F81BD" w:themeColor="accent1"/>
              <w:left w:val="single" w:sz="4" w:space="0" w:color="4F81BD"/>
              <w:bottom w:val="single" w:sz="4" w:space="0" w:color="4F81BD"/>
            </w:tcBorders>
            <w:shd w:val="clear" w:color="4F81BD" w:fill="4F81BD"/>
            <w:noWrap/>
            <w:vAlign w:val="bottom"/>
          </w:tcPr>
          <w:p w14:paraId="0D1FA96A" w14:textId="77777777" w:rsidR="008C4715" w:rsidRPr="00652F66" w:rsidRDefault="008C4715" w:rsidP="00B06200">
            <w:pPr>
              <w:pStyle w:val="tabletext"/>
              <w:rPr>
                <w:b w:val="0"/>
                <w:bCs w:val="0"/>
                <w:color w:val="FFFFFF" w:themeColor="background1"/>
                <w:rtl/>
              </w:rPr>
            </w:pPr>
            <w:r w:rsidRPr="00652F66">
              <w:rPr>
                <w:b w:val="0"/>
                <w:bCs w:val="0"/>
                <w:color w:val="FFFFFF" w:themeColor="background1"/>
              </w:rPr>
              <w:t>Percent wasted, out of agriculture production</w:t>
            </w:r>
          </w:p>
        </w:tc>
        <w:tc>
          <w:tcPr>
            <w:tcW w:w="717" w:type="pct"/>
            <w:tcBorders>
              <w:bottom w:val="single" w:sz="2" w:space="0" w:color="4F81BD" w:themeColor="accent1"/>
            </w:tcBorders>
            <w:shd w:val="clear" w:color="auto" w:fill="auto"/>
            <w:noWrap/>
            <w:vAlign w:val="center"/>
          </w:tcPr>
          <w:p w14:paraId="12B30E65" w14:textId="77777777" w:rsidR="008C4715" w:rsidRPr="008C4715" w:rsidRDefault="008C4715" w:rsidP="00B06200">
            <w:pPr>
              <w:pStyle w:val="Tablenumbers"/>
              <w:jc w:val="center"/>
              <w:rPr>
                <w:b/>
                <w:bCs/>
              </w:rPr>
            </w:pPr>
            <w:r w:rsidRPr="008C4715">
              <w:t>38%</w:t>
            </w:r>
          </w:p>
        </w:tc>
        <w:tc>
          <w:tcPr>
            <w:tcW w:w="797" w:type="pct"/>
            <w:tcBorders>
              <w:bottom w:val="single" w:sz="2" w:space="0" w:color="4F81BD" w:themeColor="accent1"/>
            </w:tcBorders>
            <w:shd w:val="clear" w:color="auto" w:fill="auto"/>
            <w:noWrap/>
            <w:vAlign w:val="center"/>
          </w:tcPr>
          <w:p w14:paraId="7A3BE5B8" w14:textId="77777777" w:rsidR="008C4715" w:rsidRPr="008C4715" w:rsidRDefault="008C4715" w:rsidP="00B06200">
            <w:pPr>
              <w:pStyle w:val="Tablenumbers"/>
              <w:jc w:val="center"/>
              <w:rPr>
                <w:b/>
                <w:bCs/>
              </w:rPr>
            </w:pPr>
            <w:r w:rsidRPr="008C4715">
              <w:t>69%</w:t>
            </w:r>
          </w:p>
        </w:tc>
        <w:tc>
          <w:tcPr>
            <w:tcW w:w="717" w:type="pct"/>
            <w:tcBorders>
              <w:bottom w:val="single" w:sz="2" w:space="0" w:color="4F81BD" w:themeColor="accent1"/>
            </w:tcBorders>
            <w:shd w:val="clear" w:color="auto" w:fill="auto"/>
            <w:noWrap/>
            <w:vAlign w:val="center"/>
          </w:tcPr>
          <w:p w14:paraId="66E8CA6A" w14:textId="77777777" w:rsidR="008C4715" w:rsidRPr="008C4715" w:rsidRDefault="008C4715" w:rsidP="00B06200">
            <w:pPr>
              <w:pStyle w:val="Tablenumbers"/>
              <w:jc w:val="center"/>
              <w:rPr>
                <w:b/>
                <w:bCs/>
              </w:rPr>
            </w:pPr>
            <w:r w:rsidRPr="008C4715">
              <w:t>25%</w:t>
            </w:r>
          </w:p>
        </w:tc>
        <w:tc>
          <w:tcPr>
            <w:tcW w:w="717" w:type="pct"/>
            <w:tcBorders>
              <w:bottom w:val="single" w:sz="2" w:space="0" w:color="4F81BD" w:themeColor="accent1"/>
              <w:right w:val="single" w:sz="2" w:space="0" w:color="4F81BD" w:themeColor="accent1"/>
            </w:tcBorders>
            <w:shd w:val="clear" w:color="auto" w:fill="auto"/>
            <w:noWrap/>
            <w:vAlign w:val="center"/>
          </w:tcPr>
          <w:p w14:paraId="0BAA270B" w14:textId="77777777" w:rsidR="008C4715" w:rsidRPr="008C4715" w:rsidRDefault="008C4715" w:rsidP="00B06200">
            <w:pPr>
              <w:pStyle w:val="Tablenumbers"/>
              <w:jc w:val="center"/>
              <w:rPr>
                <w:b/>
                <w:bCs/>
              </w:rPr>
            </w:pPr>
            <w:r w:rsidRPr="008C4715">
              <w:t>12%</w:t>
            </w:r>
          </w:p>
        </w:tc>
        <w:tc>
          <w:tcPr>
            <w:tcW w:w="557" w:type="pct"/>
            <w:tcBorders>
              <w:left w:val="single" w:sz="2" w:space="0" w:color="4F81BD" w:themeColor="accent1"/>
              <w:bottom w:val="single" w:sz="2" w:space="0" w:color="4F81BD" w:themeColor="accent1"/>
              <w:right w:val="single" w:sz="2" w:space="0" w:color="4F81BD" w:themeColor="accent1"/>
            </w:tcBorders>
            <w:shd w:val="clear" w:color="auto" w:fill="auto"/>
            <w:noWrap/>
            <w:vAlign w:val="center"/>
          </w:tcPr>
          <w:p w14:paraId="19A87F01" w14:textId="77777777" w:rsidR="008C4715" w:rsidRPr="008C4715" w:rsidRDefault="008C4715" w:rsidP="00B06200">
            <w:pPr>
              <w:pStyle w:val="Tablenumbers"/>
              <w:jc w:val="center"/>
              <w:rPr>
                <w:b/>
                <w:bCs/>
              </w:rPr>
            </w:pPr>
            <w:r w:rsidRPr="008C4715">
              <w:t>33%</w:t>
            </w:r>
          </w:p>
        </w:tc>
      </w:tr>
    </w:tbl>
    <w:p w14:paraId="2624B2DC" w14:textId="77777777" w:rsidR="003456E8" w:rsidRPr="00914209" w:rsidRDefault="003456E8" w:rsidP="00B06200">
      <w:pPr>
        <w:pStyle w:val="Graphnote"/>
      </w:pPr>
      <w:r w:rsidRPr="00914209">
        <w:t>Source: BDO estimates. Percentages of waste are rounded to the nearest percentile to facilitate presentation.</w:t>
      </w:r>
    </w:p>
    <w:p w14:paraId="68EE7B29" w14:textId="06771A1E" w:rsidR="003456E8" w:rsidRPr="003456E8" w:rsidRDefault="003456E8" w:rsidP="00FD7754">
      <w:pPr>
        <w:pStyle w:val="BodyText"/>
      </w:pPr>
      <w:r w:rsidRPr="003456E8">
        <w:lastRenderedPageBreak/>
        <w:t xml:space="preserve">In monetary </w:t>
      </w:r>
      <w:r w:rsidR="00FD7754">
        <w:t>terms</w:t>
      </w:r>
      <w:r w:rsidRPr="003456E8">
        <w:t>, some 20% of the value of</w:t>
      </w:r>
      <w:r w:rsidR="00F06929">
        <w:t xml:space="preserve"> food</w:t>
      </w:r>
      <w:r w:rsidRPr="003456E8">
        <w:t xml:space="preserve"> waste, worth approximately NIS </w:t>
      </w:r>
      <w:r w:rsidR="00914209">
        <w:t>3.8</w:t>
      </w:r>
      <w:r w:rsidRPr="003456E8">
        <w:t xml:space="preserve"> billion, occurs during the various stages of production, </w:t>
      </w:r>
      <w:r w:rsidR="00914209">
        <w:t xml:space="preserve">representing approximately 13% of the value of agricultural production in Israel. </w:t>
      </w:r>
      <w:r w:rsidR="00914209" w:rsidRPr="003456E8">
        <w:t xml:space="preserve">Nearly </w:t>
      </w:r>
      <w:r w:rsidRPr="003456E8">
        <w:t xml:space="preserve">80% of the waste, worth approximately NIS 15.5 billion, </w:t>
      </w:r>
      <w:r w:rsidR="00914209">
        <w:t xml:space="preserve">occurs </w:t>
      </w:r>
      <w:r w:rsidRPr="003456E8">
        <w:t>during distribution and consumption.</w:t>
      </w:r>
    </w:p>
    <w:p w14:paraId="1FF7BA8C" w14:textId="6F5DE50F" w:rsidR="003456E8" w:rsidRPr="00914209" w:rsidRDefault="003456E8" w:rsidP="00411F54">
      <w:pPr>
        <w:pStyle w:val="BodyText"/>
        <w:rPr>
          <w:rFonts w:cstheme="minorHAnsi"/>
        </w:rPr>
      </w:pPr>
      <w:r w:rsidRPr="003456E8">
        <w:t xml:space="preserve">A comprehensive value chain model for various food production and consumption stages was designed to assess food waste and the potential for food rescue in Israel. This model is based on a bottom-up approach, and includes analysis of data relevant to agricultural production, import, export, industry, distribution, and a sample of consumption patterns of 50 </w:t>
      </w:r>
      <w:r w:rsidR="00163ABF">
        <w:t>types</w:t>
      </w:r>
      <w:r w:rsidR="007054AA">
        <w:t xml:space="preserve"> of </w:t>
      </w:r>
      <w:r w:rsidRPr="00914209">
        <w:rPr>
          <w:rFonts w:cstheme="minorHAnsi"/>
        </w:rPr>
        <w:t>food.</w:t>
      </w:r>
      <w:r w:rsidRPr="00914209">
        <w:rPr>
          <w:rFonts w:cstheme="minorHAnsi"/>
          <w:vertAlign w:val="superscript"/>
          <w:rtl/>
        </w:rPr>
        <w:footnoteReference w:id="2"/>
      </w:r>
      <w:r w:rsidR="00914209">
        <w:rPr>
          <w:rFonts w:cstheme="minorHAnsi"/>
        </w:rPr>
        <w:t xml:space="preserve"> </w:t>
      </w:r>
      <w:r w:rsidR="00411F54">
        <w:rPr>
          <w:rFonts w:cstheme="minorHAnsi"/>
        </w:rPr>
        <w:t>P</w:t>
      </w:r>
      <w:r w:rsidR="007054AA">
        <w:rPr>
          <w:rFonts w:cstheme="minorHAnsi"/>
        </w:rPr>
        <w:t xml:space="preserve">rocessed produce included in the </w:t>
      </w:r>
      <w:r w:rsidR="00914209">
        <w:rPr>
          <w:rFonts w:cstheme="minorHAnsi"/>
        </w:rPr>
        <w:t xml:space="preserve">data </w:t>
      </w:r>
      <w:r w:rsidR="007054AA">
        <w:rPr>
          <w:rFonts w:cstheme="minorHAnsi"/>
        </w:rPr>
        <w:t xml:space="preserve">is </w:t>
      </w:r>
      <w:r w:rsidR="00914209">
        <w:rPr>
          <w:rFonts w:cstheme="minorHAnsi"/>
        </w:rPr>
        <w:t>translated into terms of fresh produce.</w:t>
      </w:r>
    </w:p>
    <w:p w14:paraId="7DBC60DA" w14:textId="65001D5A" w:rsidR="003456E8" w:rsidRPr="003456E8" w:rsidRDefault="003456E8" w:rsidP="00411F54">
      <w:pPr>
        <w:pStyle w:val="BodyText"/>
      </w:pPr>
      <w:r w:rsidRPr="003456E8">
        <w:t>For each type of food, the volume of input and output was measured in terms of gross agricultural product and loss rate for every stage of the value chain in the food production, distribution and consumption process. The loss assessment is based, in part, on agricultural waste surveys which were conducted and updated by the Volcani Center.</w:t>
      </w:r>
      <w:r w:rsidR="003676B4">
        <w:rPr>
          <w:rStyle w:val="FootnoteReference"/>
        </w:rPr>
        <w:footnoteReference w:id="3"/>
      </w:r>
      <w:r w:rsidRPr="003456E8">
        <w:t xml:space="preserve"> The estimated total loss of food </w:t>
      </w:r>
      <w:r w:rsidR="003676B4">
        <w:t xml:space="preserve">for the economy as a whole, </w:t>
      </w:r>
      <w:r w:rsidRPr="003456E8">
        <w:t xml:space="preserve">and </w:t>
      </w:r>
      <w:r w:rsidR="003676B4">
        <w:t xml:space="preserve">for </w:t>
      </w:r>
      <w:r w:rsidR="00163ABF">
        <w:lastRenderedPageBreak/>
        <w:t>each</w:t>
      </w:r>
      <w:r w:rsidRPr="003456E8">
        <w:t xml:space="preserve"> type of food</w:t>
      </w:r>
      <w:r w:rsidR="003676B4">
        <w:t>,</w:t>
      </w:r>
      <w:r w:rsidRPr="003456E8">
        <w:t xml:space="preserve"> </w:t>
      </w:r>
      <w:r w:rsidR="00411F54">
        <w:t xml:space="preserve">is </w:t>
      </w:r>
      <w:r w:rsidRPr="003456E8">
        <w:t xml:space="preserve">based on the total loss </w:t>
      </w:r>
      <w:r w:rsidR="007054AA">
        <w:t>for</w:t>
      </w:r>
      <w:r w:rsidRPr="003456E8">
        <w:t xml:space="preserve"> each product and stage. </w:t>
      </w:r>
    </w:p>
    <w:p w14:paraId="3EDC7CC9" w14:textId="6756B6CB" w:rsidR="00914209" w:rsidRPr="00D71E3C" w:rsidRDefault="003456E8" w:rsidP="00C46FCE">
      <w:pPr>
        <w:pStyle w:val="BodyText"/>
      </w:pPr>
      <w:r w:rsidRPr="003456E8">
        <w:t xml:space="preserve">One of the major challenges of analyzing food waste and the potential for food rescue in Israel is the lack of any data-gathering mechanisms, or monitoring of relevant data. This absence of data was </w:t>
      </w:r>
      <w:r w:rsidR="007054AA" w:rsidRPr="003456E8">
        <w:t xml:space="preserve">discussed </w:t>
      </w:r>
      <w:r w:rsidRPr="003456E8">
        <w:t>extensively in the 2015 State Comptroller's Report. The data regarding food waste presented in this report is based on estimates, weighing a wide range of information sources and statistics available</w:t>
      </w:r>
      <w:r w:rsidR="007054AA">
        <w:t>,</w:t>
      </w:r>
      <w:r w:rsidRPr="003456E8">
        <w:t xml:space="preserve"> including conversations and interviews with experts in the field, study findings and results </w:t>
      </w:r>
      <w:r w:rsidR="00163ABF">
        <w:t>from</w:t>
      </w:r>
      <w:r w:rsidRPr="003456E8">
        <w:t xml:space="preserve"> previous reviews, international compar</w:t>
      </w:r>
      <w:r w:rsidR="007054AA">
        <w:t>at</w:t>
      </w:r>
      <w:r w:rsidRPr="003456E8">
        <w:t>i</w:t>
      </w:r>
      <w:r w:rsidR="007054AA">
        <w:t>ve</w:t>
      </w:r>
      <w:r w:rsidRPr="003456E8">
        <w:t xml:space="preserve"> studies and more. </w:t>
      </w:r>
    </w:p>
    <w:p w14:paraId="2BAC12F2" w14:textId="7AFE6387" w:rsidR="003456E8" w:rsidRPr="003456E8" w:rsidRDefault="003456E8" w:rsidP="00C46FCE">
      <w:pPr>
        <w:pStyle w:val="BodyText"/>
        <w:spacing w:after="0"/>
      </w:pPr>
      <w:r w:rsidRPr="003456E8">
        <w:t>The 201</w:t>
      </w:r>
      <w:r w:rsidR="003676B4">
        <w:t>7</w:t>
      </w:r>
      <w:r w:rsidRPr="003456E8">
        <w:t xml:space="preserve"> National Food Waste and Rescue Report includes improvements in the statistical analysis and methodology that were made possible</w:t>
      </w:r>
      <w:r w:rsidR="003676B4">
        <w:t xml:space="preserve">, </w:t>
      </w:r>
      <w:r w:rsidR="00C46FCE" w:rsidRPr="00F93039">
        <w:t xml:space="preserve">among other things, </w:t>
      </w:r>
      <w:r w:rsidR="003676B4">
        <w:t xml:space="preserve">through the cooperation of </w:t>
      </w:r>
      <w:r w:rsidRPr="003456E8">
        <w:t>the Ministry of Agriculture</w:t>
      </w:r>
      <w:r w:rsidR="003676B4">
        <w:t xml:space="preserve"> and</w:t>
      </w:r>
      <w:r w:rsidRPr="003456E8">
        <w:t xml:space="preserve"> the Israeli Central Bureau of Statistics. </w:t>
      </w:r>
    </w:p>
    <w:p w14:paraId="035FA549" w14:textId="77777777" w:rsidR="003456E8" w:rsidRPr="0017340B" w:rsidRDefault="003456E8" w:rsidP="009E493B">
      <w:pPr>
        <w:pStyle w:val="Graphtitle"/>
        <w:spacing w:after="120" w:line="240" w:lineRule="auto"/>
        <w:rPr>
          <w:rtl/>
        </w:rPr>
      </w:pPr>
      <w:r w:rsidRPr="0017340B">
        <w:t>Food Waste Estimate in Israel (Thousands of Tons)</w:t>
      </w:r>
    </w:p>
    <w:tbl>
      <w:tblPr>
        <w:tblStyle w:val="MediumShading1-Accent13"/>
        <w:tblW w:w="8880" w:type="dxa"/>
        <w:tblInd w:w="108"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ayout w:type="fixed"/>
        <w:tblCellMar>
          <w:left w:w="57" w:type="dxa"/>
          <w:right w:w="57" w:type="dxa"/>
        </w:tblCellMar>
        <w:tblLook w:val="04A0" w:firstRow="1" w:lastRow="0" w:firstColumn="1" w:lastColumn="0" w:noHBand="0" w:noVBand="1"/>
      </w:tblPr>
      <w:tblGrid>
        <w:gridCol w:w="1976"/>
        <w:gridCol w:w="1285"/>
        <w:gridCol w:w="1275"/>
        <w:gridCol w:w="1019"/>
        <w:gridCol w:w="1249"/>
        <w:gridCol w:w="1367"/>
        <w:gridCol w:w="709"/>
      </w:tblGrid>
      <w:tr w:rsidR="003456E8" w:rsidRPr="00CD3DFC" w14:paraId="3E26C73D" w14:textId="77777777" w:rsidTr="008A7333">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976" w:type="dxa"/>
            <w:noWrap/>
            <w:hideMark/>
          </w:tcPr>
          <w:p w14:paraId="07548D0F" w14:textId="77777777" w:rsidR="003456E8" w:rsidRPr="007054AA" w:rsidRDefault="003456E8" w:rsidP="007054AA">
            <w:pPr>
              <w:pStyle w:val="Tableheader"/>
              <w:rPr>
                <w:b/>
                <w:bCs/>
                <w:rtl/>
              </w:rPr>
            </w:pPr>
            <w:r w:rsidRPr="007054AA">
              <w:rPr>
                <w:b/>
                <w:bCs/>
              </w:rPr>
              <w:t>Thousands/Tons</w:t>
            </w:r>
          </w:p>
        </w:tc>
        <w:tc>
          <w:tcPr>
            <w:tcW w:w="1285" w:type="dxa"/>
            <w:noWrap/>
            <w:hideMark/>
          </w:tcPr>
          <w:p w14:paraId="51B41A04" w14:textId="77777777" w:rsidR="003456E8" w:rsidRPr="007054AA" w:rsidRDefault="003676B4" w:rsidP="007054AA">
            <w:pPr>
              <w:pStyle w:val="Tableheader"/>
              <w:cnfStyle w:val="100000000000" w:firstRow="1" w:lastRow="0" w:firstColumn="0" w:lastColumn="0" w:oddVBand="0" w:evenVBand="0" w:oddHBand="0" w:evenHBand="0" w:firstRowFirstColumn="0" w:firstRowLastColumn="0" w:lastRowFirstColumn="0" w:lastRowLastColumn="0"/>
              <w:rPr>
                <w:b/>
                <w:bCs/>
              </w:rPr>
            </w:pPr>
            <w:r w:rsidRPr="007054AA">
              <w:rPr>
                <w:b/>
                <w:bCs/>
              </w:rPr>
              <w:t>Agriculture</w:t>
            </w:r>
          </w:p>
        </w:tc>
        <w:tc>
          <w:tcPr>
            <w:tcW w:w="1275" w:type="dxa"/>
            <w:noWrap/>
            <w:hideMark/>
          </w:tcPr>
          <w:p w14:paraId="0556F3AF" w14:textId="77777777" w:rsidR="003456E8" w:rsidRPr="007054AA" w:rsidRDefault="003456E8" w:rsidP="007054AA">
            <w:pPr>
              <w:pStyle w:val="Tableheader"/>
              <w:cnfStyle w:val="100000000000" w:firstRow="1" w:lastRow="0" w:firstColumn="0" w:lastColumn="0" w:oddVBand="0" w:evenVBand="0" w:oddHBand="0" w:evenHBand="0" w:firstRowFirstColumn="0" w:firstRowLastColumn="0" w:lastRowFirstColumn="0" w:lastRowLastColumn="0"/>
              <w:rPr>
                <w:b/>
                <w:bCs/>
              </w:rPr>
            </w:pPr>
            <w:r w:rsidRPr="007054AA">
              <w:rPr>
                <w:b/>
                <w:bCs/>
              </w:rPr>
              <w:t>Processing &amp; Packaging</w:t>
            </w:r>
          </w:p>
        </w:tc>
        <w:tc>
          <w:tcPr>
            <w:tcW w:w="1019" w:type="dxa"/>
            <w:noWrap/>
            <w:hideMark/>
          </w:tcPr>
          <w:p w14:paraId="73CF2716" w14:textId="77777777" w:rsidR="003456E8" w:rsidRPr="007054AA" w:rsidRDefault="003456E8" w:rsidP="007054AA">
            <w:pPr>
              <w:pStyle w:val="Tableheader"/>
              <w:cnfStyle w:val="100000000000" w:firstRow="1" w:lastRow="0" w:firstColumn="0" w:lastColumn="0" w:oddVBand="0" w:evenVBand="0" w:oddHBand="0" w:evenHBand="0" w:firstRowFirstColumn="0" w:firstRowLastColumn="0" w:lastRowFirstColumn="0" w:lastRowLastColumn="0"/>
              <w:rPr>
                <w:b/>
                <w:bCs/>
              </w:rPr>
            </w:pPr>
            <w:r w:rsidRPr="007054AA">
              <w:rPr>
                <w:b/>
                <w:bCs/>
              </w:rPr>
              <w:t>Industry</w:t>
            </w:r>
          </w:p>
        </w:tc>
        <w:tc>
          <w:tcPr>
            <w:tcW w:w="1249" w:type="dxa"/>
            <w:noWrap/>
            <w:hideMark/>
          </w:tcPr>
          <w:p w14:paraId="6D1B5EC4" w14:textId="77777777" w:rsidR="003456E8" w:rsidRPr="007054AA" w:rsidRDefault="003456E8" w:rsidP="007054AA">
            <w:pPr>
              <w:pStyle w:val="Tableheader"/>
              <w:cnfStyle w:val="100000000000" w:firstRow="1" w:lastRow="0" w:firstColumn="0" w:lastColumn="0" w:oddVBand="0" w:evenVBand="0" w:oddHBand="0" w:evenHBand="0" w:firstRowFirstColumn="0" w:firstRowLastColumn="0" w:lastRowFirstColumn="0" w:lastRowLastColumn="0"/>
              <w:rPr>
                <w:b/>
                <w:bCs/>
                <w:rtl/>
              </w:rPr>
            </w:pPr>
            <w:r w:rsidRPr="007054AA">
              <w:rPr>
                <w:b/>
                <w:bCs/>
              </w:rPr>
              <w:t>Distribution</w:t>
            </w:r>
          </w:p>
        </w:tc>
        <w:tc>
          <w:tcPr>
            <w:tcW w:w="1367" w:type="dxa"/>
            <w:noWrap/>
            <w:hideMark/>
          </w:tcPr>
          <w:p w14:paraId="4E0F7512" w14:textId="77777777" w:rsidR="003456E8" w:rsidRPr="007054AA" w:rsidRDefault="003456E8" w:rsidP="007054AA">
            <w:pPr>
              <w:pStyle w:val="Tableheader"/>
              <w:cnfStyle w:val="100000000000" w:firstRow="1" w:lastRow="0" w:firstColumn="0" w:lastColumn="0" w:oddVBand="0" w:evenVBand="0" w:oddHBand="0" w:evenHBand="0" w:firstRowFirstColumn="0" w:firstRowLastColumn="0" w:lastRowFirstColumn="0" w:lastRowLastColumn="0"/>
              <w:rPr>
                <w:b/>
                <w:bCs/>
              </w:rPr>
            </w:pPr>
            <w:r w:rsidRPr="007054AA">
              <w:rPr>
                <w:b/>
                <w:bCs/>
              </w:rPr>
              <w:t>Consumption</w:t>
            </w:r>
          </w:p>
        </w:tc>
        <w:tc>
          <w:tcPr>
            <w:tcW w:w="709" w:type="dxa"/>
            <w:noWrap/>
            <w:hideMark/>
          </w:tcPr>
          <w:p w14:paraId="420B14B9" w14:textId="77777777" w:rsidR="003456E8" w:rsidRPr="007054AA" w:rsidRDefault="003456E8" w:rsidP="007054AA">
            <w:pPr>
              <w:pStyle w:val="Tableheader"/>
              <w:cnfStyle w:val="100000000000" w:firstRow="1" w:lastRow="0" w:firstColumn="0" w:lastColumn="0" w:oddVBand="0" w:evenVBand="0" w:oddHBand="0" w:evenHBand="0" w:firstRowFirstColumn="0" w:firstRowLastColumn="0" w:lastRowFirstColumn="0" w:lastRowLastColumn="0"/>
              <w:rPr>
                <w:b/>
                <w:bCs/>
              </w:rPr>
            </w:pPr>
            <w:r w:rsidRPr="007054AA">
              <w:rPr>
                <w:b/>
                <w:bCs/>
              </w:rPr>
              <w:t>Total</w:t>
            </w:r>
          </w:p>
        </w:tc>
      </w:tr>
      <w:tr w:rsidR="003676B4" w:rsidRPr="00CD3DFC" w14:paraId="03E9E1DA" w14:textId="77777777" w:rsidTr="008A7333">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976" w:type="dxa"/>
            <w:noWrap/>
            <w:hideMark/>
          </w:tcPr>
          <w:p w14:paraId="70B63451" w14:textId="77777777" w:rsidR="003676B4" w:rsidRPr="007054AA" w:rsidRDefault="003676B4" w:rsidP="007054AA">
            <w:pPr>
              <w:pStyle w:val="tabletext"/>
            </w:pPr>
            <w:r w:rsidRPr="007054AA">
              <w:t>Fruit &amp; Vegetables</w:t>
            </w:r>
          </w:p>
        </w:tc>
        <w:tc>
          <w:tcPr>
            <w:tcW w:w="1285" w:type="dxa"/>
            <w:noWrap/>
          </w:tcPr>
          <w:p w14:paraId="1901FA5E"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pPr>
            <w:r w:rsidRPr="007054AA">
              <w:t>565</w:t>
            </w:r>
          </w:p>
        </w:tc>
        <w:tc>
          <w:tcPr>
            <w:tcW w:w="1275" w:type="dxa"/>
            <w:noWrap/>
          </w:tcPr>
          <w:p w14:paraId="7BEEB433"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pPr>
            <w:r w:rsidRPr="007054AA">
              <w:t>197</w:t>
            </w:r>
          </w:p>
        </w:tc>
        <w:tc>
          <w:tcPr>
            <w:tcW w:w="1019" w:type="dxa"/>
            <w:noWrap/>
          </w:tcPr>
          <w:p w14:paraId="0F83F062"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pPr>
            <w:r w:rsidRPr="007054AA">
              <w:t>20</w:t>
            </w:r>
          </w:p>
        </w:tc>
        <w:tc>
          <w:tcPr>
            <w:tcW w:w="1249" w:type="dxa"/>
            <w:noWrap/>
          </w:tcPr>
          <w:p w14:paraId="53A989C9"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pPr>
            <w:r w:rsidRPr="007054AA">
              <w:t>306</w:t>
            </w:r>
          </w:p>
        </w:tc>
        <w:tc>
          <w:tcPr>
            <w:tcW w:w="1367" w:type="dxa"/>
            <w:noWrap/>
          </w:tcPr>
          <w:p w14:paraId="2A17C7FA"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pPr>
            <w:r w:rsidRPr="007054AA">
              <w:t>544</w:t>
            </w:r>
          </w:p>
        </w:tc>
        <w:tc>
          <w:tcPr>
            <w:tcW w:w="709" w:type="dxa"/>
            <w:noWrap/>
          </w:tcPr>
          <w:p w14:paraId="6D5F8122" w14:textId="6189E39F" w:rsidR="003676B4" w:rsidRPr="007054AA" w:rsidRDefault="003676B4" w:rsidP="00652F66">
            <w:pPr>
              <w:pStyle w:val="Tablenumbers"/>
              <w:cnfStyle w:val="000000100000" w:firstRow="0" w:lastRow="0" w:firstColumn="0" w:lastColumn="0" w:oddVBand="0" w:evenVBand="0" w:oddHBand="1" w:evenHBand="0" w:firstRowFirstColumn="0" w:firstRowLastColumn="0" w:lastRowFirstColumn="0" w:lastRowLastColumn="0"/>
            </w:pPr>
            <w:r w:rsidRPr="007054AA">
              <w:t>1,</w:t>
            </w:r>
            <w:r w:rsidR="00652F66" w:rsidRPr="007054AA">
              <w:t>63</w:t>
            </w:r>
            <w:r w:rsidR="00652F66">
              <w:t>2</w:t>
            </w:r>
          </w:p>
        </w:tc>
      </w:tr>
      <w:tr w:rsidR="003676B4" w:rsidRPr="00CD3DFC" w14:paraId="429257F1" w14:textId="77777777" w:rsidTr="008A7333">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976" w:type="dxa"/>
            <w:noWrap/>
            <w:hideMark/>
          </w:tcPr>
          <w:p w14:paraId="3E8A1C45" w14:textId="77777777" w:rsidR="003676B4" w:rsidRPr="007054AA" w:rsidRDefault="003676B4" w:rsidP="007054AA">
            <w:pPr>
              <w:pStyle w:val="tabletext"/>
              <w:rPr>
                <w:rtl/>
              </w:rPr>
            </w:pPr>
            <w:r w:rsidRPr="007054AA">
              <w:t>Grains &amp; Legumes</w:t>
            </w:r>
          </w:p>
        </w:tc>
        <w:tc>
          <w:tcPr>
            <w:tcW w:w="1285" w:type="dxa"/>
            <w:noWrap/>
          </w:tcPr>
          <w:p w14:paraId="536B661F" w14:textId="77777777" w:rsidR="003676B4" w:rsidRPr="007054AA" w:rsidRDefault="003676B4" w:rsidP="007054AA">
            <w:pPr>
              <w:pStyle w:val="Tablenumbers"/>
              <w:cnfStyle w:val="000000010000" w:firstRow="0" w:lastRow="0" w:firstColumn="0" w:lastColumn="0" w:oddVBand="0" w:evenVBand="0" w:oddHBand="0" w:evenHBand="1" w:firstRowFirstColumn="0" w:firstRowLastColumn="0" w:lastRowFirstColumn="0" w:lastRowLastColumn="0"/>
            </w:pPr>
            <w:r w:rsidRPr="007054AA">
              <w:t>24</w:t>
            </w:r>
          </w:p>
        </w:tc>
        <w:tc>
          <w:tcPr>
            <w:tcW w:w="1275" w:type="dxa"/>
            <w:noWrap/>
          </w:tcPr>
          <w:p w14:paraId="5A39920B" w14:textId="77777777" w:rsidR="003676B4" w:rsidRPr="007054AA" w:rsidRDefault="003676B4" w:rsidP="007054AA">
            <w:pPr>
              <w:pStyle w:val="Tablenumbers"/>
              <w:cnfStyle w:val="000000010000" w:firstRow="0" w:lastRow="0" w:firstColumn="0" w:lastColumn="0" w:oddVBand="0" w:evenVBand="0" w:oddHBand="0" w:evenHBand="1" w:firstRowFirstColumn="0" w:firstRowLastColumn="0" w:lastRowFirstColumn="0" w:lastRowLastColumn="0"/>
            </w:pPr>
            <w:r w:rsidRPr="007054AA">
              <w:t>17</w:t>
            </w:r>
          </w:p>
        </w:tc>
        <w:tc>
          <w:tcPr>
            <w:tcW w:w="1019" w:type="dxa"/>
            <w:noWrap/>
          </w:tcPr>
          <w:p w14:paraId="6DA4A794" w14:textId="77777777" w:rsidR="003676B4" w:rsidRPr="007054AA" w:rsidRDefault="003676B4" w:rsidP="007054AA">
            <w:pPr>
              <w:pStyle w:val="Tablenumbers"/>
              <w:cnfStyle w:val="000000010000" w:firstRow="0" w:lastRow="0" w:firstColumn="0" w:lastColumn="0" w:oddVBand="0" w:evenVBand="0" w:oddHBand="0" w:evenHBand="1" w:firstRowFirstColumn="0" w:firstRowLastColumn="0" w:lastRowFirstColumn="0" w:lastRowLastColumn="0"/>
            </w:pPr>
            <w:r w:rsidRPr="007054AA">
              <w:t>9</w:t>
            </w:r>
          </w:p>
        </w:tc>
        <w:tc>
          <w:tcPr>
            <w:tcW w:w="1249" w:type="dxa"/>
            <w:noWrap/>
          </w:tcPr>
          <w:p w14:paraId="60BDD512" w14:textId="77777777" w:rsidR="003676B4" w:rsidRPr="007054AA" w:rsidRDefault="003676B4" w:rsidP="007054AA">
            <w:pPr>
              <w:pStyle w:val="Tablenumbers"/>
              <w:cnfStyle w:val="000000010000" w:firstRow="0" w:lastRow="0" w:firstColumn="0" w:lastColumn="0" w:oddVBand="0" w:evenVBand="0" w:oddHBand="0" w:evenHBand="1" w:firstRowFirstColumn="0" w:firstRowLastColumn="0" w:lastRowFirstColumn="0" w:lastRowLastColumn="0"/>
            </w:pPr>
            <w:r w:rsidRPr="007054AA">
              <w:t>42</w:t>
            </w:r>
          </w:p>
        </w:tc>
        <w:tc>
          <w:tcPr>
            <w:tcW w:w="1367" w:type="dxa"/>
            <w:noWrap/>
          </w:tcPr>
          <w:p w14:paraId="6DA3FA90" w14:textId="77777777" w:rsidR="003676B4" w:rsidRPr="007054AA" w:rsidRDefault="003676B4" w:rsidP="007054AA">
            <w:pPr>
              <w:pStyle w:val="Tablenumbers"/>
              <w:cnfStyle w:val="000000010000" w:firstRow="0" w:lastRow="0" w:firstColumn="0" w:lastColumn="0" w:oddVBand="0" w:evenVBand="0" w:oddHBand="0" w:evenHBand="1" w:firstRowFirstColumn="0" w:firstRowLastColumn="0" w:lastRowFirstColumn="0" w:lastRowLastColumn="0"/>
            </w:pPr>
            <w:r w:rsidRPr="007054AA">
              <w:t>243</w:t>
            </w:r>
          </w:p>
        </w:tc>
        <w:tc>
          <w:tcPr>
            <w:tcW w:w="709" w:type="dxa"/>
            <w:noWrap/>
          </w:tcPr>
          <w:p w14:paraId="46D05D26" w14:textId="77777777" w:rsidR="003676B4" w:rsidRPr="007054AA" w:rsidRDefault="003676B4" w:rsidP="007054AA">
            <w:pPr>
              <w:pStyle w:val="Tablenumbers"/>
              <w:cnfStyle w:val="000000010000" w:firstRow="0" w:lastRow="0" w:firstColumn="0" w:lastColumn="0" w:oddVBand="0" w:evenVBand="0" w:oddHBand="0" w:evenHBand="1" w:firstRowFirstColumn="0" w:firstRowLastColumn="0" w:lastRowFirstColumn="0" w:lastRowLastColumn="0"/>
            </w:pPr>
            <w:r w:rsidRPr="007054AA">
              <w:t>335</w:t>
            </w:r>
          </w:p>
        </w:tc>
      </w:tr>
      <w:tr w:rsidR="003676B4" w:rsidRPr="00CD3DFC" w14:paraId="5554D4F3" w14:textId="77777777" w:rsidTr="008A7333">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976" w:type="dxa"/>
            <w:noWrap/>
            <w:hideMark/>
          </w:tcPr>
          <w:p w14:paraId="034489ED" w14:textId="77777777" w:rsidR="003676B4" w:rsidRPr="007054AA" w:rsidRDefault="003676B4" w:rsidP="007054AA">
            <w:pPr>
              <w:pStyle w:val="tabletext"/>
            </w:pPr>
            <w:r w:rsidRPr="007054AA">
              <w:t>Meat, Fish &amp; Eggs</w:t>
            </w:r>
          </w:p>
        </w:tc>
        <w:tc>
          <w:tcPr>
            <w:tcW w:w="1285" w:type="dxa"/>
            <w:noWrap/>
          </w:tcPr>
          <w:p w14:paraId="776C069C"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pPr>
            <w:r w:rsidRPr="007054AA">
              <w:t>31</w:t>
            </w:r>
          </w:p>
        </w:tc>
        <w:tc>
          <w:tcPr>
            <w:tcW w:w="1275" w:type="dxa"/>
            <w:noWrap/>
          </w:tcPr>
          <w:p w14:paraId="064693C0"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pPr>
            <w:r w:rsidRPr="007054AA">
              <w:t>5</w:t>
            </w:r>
          </w:p>
        </w:tc>
        <w:tc>
          <w:tcPr>
            <w:tcW w:w="1019" w:type="dxa"/>
            <w:noWrap/>
          </w:tcPr>
          <w:p w14:paraId="5C9EE7B8"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pPr>
            <w:r w:rsidRPr="007054AA">
              <w:t>29</w:t>
            </w:r>
          </w:p>
        </w:tc>
        <w:tc>
          <w:tcPr>
            <w:tcW w:w="1249" w:type="dxa"/>
            <w:noWrap/>
          </w:tcPr>
          <w:p w14:paraId="572C55CF"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pPr>
            <w:r w:rsidRPr="007054AA">
              <w:t>37</w:t>
            </w:r>
          </w:p>
        </w:tc>
        <w:tc>
          <w:tcPr>
            <w:tcW w:w="1367" w:type="dxa"/>
            <w:noWrap/>
          </w:tcPr>
          <w:p w14:paraId="5AE4C97A"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pPr>
            <w:r w:rsidRPr="007054AA">
              <w:t>76</w:t>
            </w:r>
          </w:p>
        </w:tc>
        <w:tc>
          <w:tcPr>
            <w:tcW w:w="709" w:type="dxa"/>
            <w:noWrap/>
          </w:tcPr>
          <w:p w14:paraId="16124103"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pPr>
            <w:r w:rsidRPr="007054AA">
              <w:t>178</w:t>
            </w:r>
          </w:p>
        </w:tc>
      </w:tr>
      <w:tr w:rsidR="003676B4" w:rsidRPr="00CD3DFC" w14:paraId="3DF83B95" w14:textId="77777777" w:rsidTr="008A7333">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976" w:type="dxa"/>
            <w:noWrap/>
            <w:hideMark/>
          </w:tcPr>
          <w:p w14:paraId="327A4558" w14:textId="77777777" w:rsidR="003676B4" w:rsidRPr="007054AA" w:rsidRDefault="003676B4" w:rsidP="007054AA">
            <w:pPr>
              <w:pStyle w:val="tabletext"/>
            </w:pPr>
            <w:r w:rsidRPr="007054AA">
              <w:t>Milk &amp; Dairy</w:t>
            </w:r>
          </w:p>
        </w:tc>
        <w:tc>
          <w:tcPr>
            <w:tcW w:w="1285" w:type="dxa"/>
            <w:noWrap/>
          </w:tcPr>
          <w:p w14:paraId="17C31D5C" w14:textId="77777777" w:rsidR="003676B4" w:rsidRPr="007054AA" w:rsidRDefault="003676B4" w:rsidP="007054AA">
            <w:pPr>
              <w:pStyle w:val="Tablenumbers"/>
              <w:cnfStyle w:val="000000010000" w:firstRow="0" w:lastRow="0" w:firstColumn="0" w:lastColumn="0" w:oddVBand="0" w:evenVBand="0" w:oddHBand="0" w:evenHBand="1" w:firstRowFirstColumn="0" w:firstRowLastColumn="0" w:lastRowFirstColumn="0" w:lastRowLastColumn="0"/>
            </w:pPr>
            <w:r w:rsidRPr="007054AA">
              <w:t>56</w:t>
            </w:r>
          </w:p>
        </w:tc>
        <w:tc>
          <w:tcPr>
            <w:tcW w:w="1275" w:type="dxa"/>
            <w:noWrap/>
          </w:tcPr>
          <w:p w14:paraId="334A047A" w14:textId="77777777" w:rsidR="003676B4" w:rsidRPr="007054AA" w:rsidRDefault="003676B4" w:rsidP="007054AA">
            <w:pPr>
              <w:pStyle w:val="Tablenumbers"/>
              <w:cnfStyle w:val="000000010000" w:firstRow="0" w:lastRow="0" w:firstColumn="0" w:lastColumn="0" w:oddVBand="0" w:evenVBand="0" w:oddHBand="0" w:evenHBand="1" w:firstRowFirstColumn="0" w:firstRowLastColumn="0" w:lastRowFirstColumn="0" w:lastRowLastColumn="0"/>
            </w:pPr>
            <w:r w:rsidRPr="007054AA">
              <w:t>8</w:t>
            </w:r>
          </w:p>
        </w:tc>
        <w:tc>
          <w:tcPr>
            <w:tcW w:w="1019" w:type="dxa"/>
            <w:noWrap/>
          </w:tcPr>
          <w:p w14:paraId="399A7CAF" w14:textId="77777777" w:rsidR="003676B4" w:rsidRPr="007054AA" w:rsidRDefault="003676B4" w:rsidP="007054AA">
            <w:pPr>
              <w:pStyle w:val="Tablenumbers"/>
              <w:cnfStyle w:val="000000010000" w:firstRow="0" w:lastRow="0" w:firstColumn="0" w:lastColumn="0" w:oddVBand="0" w:evenVBand="0" w:oddHBand="0" w:evenHBand="1" w:firstRowFirstColumn="0" w:firstRowLastColumn="0" w:lastRowFirstColumn="0" w:lastRowLastColumn="0"/>
            </w:pPr>
            <w:r w:rsidRPr="007054AA">
              <w:t>18</w:t>
            </w:r>
          </w:p>
        </w:tc>
        <w:tc>
          <w:tcPr>
            <w:tcW w:w="1249" w:type="dxa"/>
            <w:noWrap/>
          </w:tcPr>
          <w:p w14:paraId="76AE2089" w14:textId="01EE34F0" w:rsidR="003676B4" w:rsidRPr="007054AA" w:rsidRDefault="00652F66" w:rsidP="007054AA">
            <w:pPr>
              <w:pStyle w:val="Tablenumbers"/>
              <w:cnfStyle w:val="000000010000" w:firstRow="0" w:lastRow="0" w:firstColumn="0" w:lastColumn="0" w:oddVBand="0" w:evenVBand="0" w:oddHBand="0" w:evenHBand="1" w:firstRowFirstColumn="0" w:firstRowLastColumn="0" w:lastRowFirstColumn="0" w:lastRowLastColumn="0"/>
            </w:pPr>
            <w:r>
              <w:t>28</w:t>
            </w:r>
          </w:p>
        </w:tc>
        <w:tc>
          <w:tcPr>
            <w:tcW w:w="1367" w:type="dxa"/>
            <w:noWrap/>
          </w:tcPr>
          <w:p w14:paraId="1123153E" w14:textId="77777777" w:rsidR="003676B4" w:rsidRPr="007054AA" w:rsidRDefault="003676B4" w:rsidP="007054AA">
            <w:pPr>
              <w:pStyle w:val="Tablenumbers"/>
              <w:cnfStyle w:val="000000010000" w:firstRow="0" w:lastRow="0" w:firstColumn="0" w:lastColumn="0" w:oddVBand="0" w:evenVBand="0" w:oddHBand="0" w:evenHBand="1" w:firstRowFirstColumn="0" w:firstRowLastColumn="0" w:lastRowFirstColumn="0" w:lastRowLastColumn="0"/>
            </w:pPr>
            <w:r w:rsidRPr="007054AA">
              <w:t>85</w:t>
            </w:r>
          </w:p>
        </w:tc>
        <w:tc>
          <w:tcPr>
            <w:tcW w:w="709" w:type="dxa"/>
            <w:noWrap/>
          </w:tcPr>
          <w:p w14:paraId="09F2AD8A" w14:textId="2A719D6D" w:rsidR="003676B4" w:rsidRPr="007054AA" w:rsidRDefault="00652F66" w:rsidP="007054AA">
            <w:pPr>
              <w:pStyle w:val="Tablenumbers"/>
              <w:cnfStyle w:val="000000010000" w:firstRow="0" w:lastRow="0" w:firstColumn="0" w:lastColumn="0" w:oddVBand="0" w:evenVBand="0" w:oddHBand="0" w:evenHBand="1" w:firstRowFirstColumn="0" w:firstRowLastColumn="0" w:lastRowFirstColumn="0" w:lastRowLastColumn="0"/>
            </w:pPr>
            <w:r>
              <w:t>195</w:t>
            </w:r>
          </w:p>
        </w:tc>
      </w:tr>
      <w:tr w:rsidR="003676B4" w:rsidRPr="00CD3DFC" w14:paraId="6A5B88B8" w14:textId="77777777" w:rsidTr="008A7333">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976" w:type="dxa"/>
            <w:noWrap/>
            <w:hideMark/>
          </w:tcPr>
          <w:p w14:paraId="7712A2A9" w14:textId="77777777" w:rsidR="003676B4" w:rsidRPr="007054AA" w:rsidRDefault="003676B4" w:rsidP="007054AA">
            <w:pPr>
              <w:pStyle w:val="tabletext"/>
              <w:rPr>
                <w:rFonts w:cstheme="minorHAnsi"/>
                <w:b/>
                <w:bCs/>
              </w:rPr>
            </w:pPr>
            <w:r w:rsidRPr="007054AA">
              <w:rPr>
                <w:rFonts w:cstheme="minorHAnsi"/>
                <w:b/>
                <w:bCs/>
              </w:rPr>
              <w:t xml:space="preserve">Total </w:t>
            </w:r>
          </w:p>
        </w:tc>
        <w:tc>
          <w:tcPr>
            <w:tcW w:w="1285" w:type="dxa"/>
            <w:noWrap/>
          </w:tcPr>
          <w:p w14:paraId="20F71DF0"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rPr>
                <w:b/>
                <w:bCs/>
              </w:rPr>
            </w:pPr>
            <w:r w:rsidRPr="007054AA">
              <w:rPr>
                <w:b/>
                <w:bCs/>
              </w:rPr>
              <w:t>676</w:t>
            </w:r>
          </w:p>
        </w:tc>
        <w:tc>
          <w:tcPr>
            <w:tcW w:w="1275" w:type="dxa"/>
            <w:noWrap/>
          </w:tcPr>
          <w:p w14:paraId="4344536F" w14:textId="63B127F4" w:rsidR="003676B4" w:rsidRPr="007054AA" w:rsidRDefault="00652F66" w:rsidP="007054AA">
            <w:pPr>
              <w:pStyle w:val="Tablenumbers"/>
              <w:cnfStyle w:val="000000100000" w:firstRow="0" w:lastRow="0" w:firstColumn="0" w:lastColumn="0" w:oddVBand="0" w:evenVBand="0" w:oddHBand="1" w:evenHBand="0" w:firstRowFirstColumn="0" w:firstRowLastColumn="0" w:lastRowFirstColumn="0" w:lastRowLastColumn="0"/>
              <w:rPr>
                <w:b/>
                <w:bCs/>
              </w:rPr>
            </w:pPr>
            <w:r>
              <w:rPr>
                <w:b/>
                <w:bCs/>
              </w:rPr>
              <w:t>227</w:t>
            </w:r>
          </w:p>
        </w:tc>
        <w:tc>
          <w:tcPr>
            <w:tcW w:w="1019" w:type="dxa"/>
            <w:noWrap/>
          </w:tcPr>
          <w:p w14:paraId="2F419B99"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rPr>
                <w:b/>
                <w:bCs/>
              </w:rPr>
            </w:pPr>
            <w:r w:rsidRPr="007054AA">
              <w:rPr>
                <w:b/>
                <w:bCs/>
              </w:rPr>
              <w:t>76</w:t>
            </w:r>
          </w:p>
        </w:tc>
        <w:tc>
          <w:tcPr>
            <w:tcW w:w="1249" w:type="dxa"/>
            <w:noWrap/>
          </w:tcPr>
          <w:p w14:paraId="02FB00FF"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rPr>
                <w:b/>
                <w:bCs/>
              </w:rPr>
            </w:pPr>
            <w:r w:rsidRPr="007054AA">
              <w:rPr>
                <w:b/>
                <w:bCs/>
              </w:rPr>
              <w:t>413</w:t>
            </w:r>
          </w:p>
        </w:tc>
        <w:tc>
          <w:tcPr>
            <w:tcW w:w="1367" w:type="dxa"/>
            <w:noWrap/>
          </w:tcPr>
          <w:p w14:paraId="7261E3E4" w14:textId="77777777" w:rsidR="003676B4" w:rsidRPr="007054AA" w:rsidRDefault="003676B4" w:rsidP="007054AA">
            <w:pPr>
              <w:pStyle w:val="Tablenumbers"/>
              <w:cnfStyle w:val="000000100000" w:firstRow="0" w:lastRow="0" w:firstColumn="0" w:lastColumn="0" w:oddVBand="0" w:evenVBand="0" w:oddHBand="1" w:evenHBand="0" w:firstRowFirstColumn="0" w:firstRowLastColumn="0" w:lastRowFirstColumn="0" w:lastRowLastColumn="0"/>
              <w:rPr>
                <w:b/>
                <w:bCs/>
              </w:rPr>
            </w:pPr>
            <w:r w:rsidRPr="007054AA">
              <w:rPr>
                <w:b/>
                <w:bCs/>
              </w:rPr>
              <w:t>948</w:t>
            </w:r>
          </w:p>
        </w:tc>
        <w:tc>
          <w:tcPr>
            <w:tcW w:w="709" w:type="dxa"/>
            <w:noWrap/>
          </w:tcPr>
          <w:p w14:paraId="307096F2" w14:textId="1E56A5D1" w:rsidR="003676B4" w:rsidRPr="007054AA" w:rsidRDefault="003676B4" w:rsidP="00652F66">
            <w:pPr>
              <w:pStyle w:val="Tablenumbers"/>
              <w:cnfStyle w:val="000000100000" w:firstRow="0" w:lastRow="0" w:firstColumn="0" w:lastColumn="0" w:oddVBand="0" w:evenVBand="0" w:oddHBand="1" w:evenHBand="0" w:firstRowFirstColumn="0" w:firstRowLastColumn="0" w:lastRowFirstColumn="0" w:lastRowLastColumn="0"/>
              <w:rPr>
                <w:b/>
                <w:bCs/>
              </w:rPr>
            </w:pPr>
            <w:r w:rsidRPr="007054AA">
              <w:rPr>
                <w:b/>
                <w:bCs/>
              </w:rPr>
              <w:t>2,</w:t>
            </w:r>
            <w:r w:rsidR="00652F66" w:rsidRPr="007054AA">
              <w:rPr>
                <w:b/>
                <w:bCs/>
              </w:rPr>
              <w:t>3</w:t>
            </w:r>
            <w:r w:rsidR="00652F66">
              <w:rPr>
                <w:b/>
                <w:bCs/>
              </w:rPr>
              <w:t>40</w:t>
            </w:r>
          </w:p>
        </w:tc>
      </w:tr>
    </w:tbl>
    <w:p w14:paraId="5498EDA2" w14:textId="77777777" w:rsidR="003456E8" w:rsidRPr="003456E8" w:rsidRDefault="003456E8" w:rsidP="007054AA">
      <w:pPr>
        <w:pStyle w:val="Graphnote"/>
      </w:pPr>
      <w:r w:rsidRPr="003456E8">
        <w:t>Source: BDO estimates</w:t>
      </w:r>
    </w:p>
    <w:p w14:paraId="09E1442F" w14:textId="77777777" w:rsidR="003456E8" w:rsidRPr="003456E8" w:rsidRDefault="003456E8" w:rsidP="008C6D72">
      <w:pPr>
        <w:pStyle w:val="BodyText"/>
      </w:pPr>
      <w:r w:rsidRPr="003456E8">
        <w:t xml:space="preserve">There is great variance in the volume of food waste among the different foods types reviewed, as well as in </w:t>
      </w:r>
      <w:r w:rsidR="007F458A">
        <w:t xml:space="preserve">each </w:t>
      </w:r>
      <w:r w:rsidRPr="003456E8">
        <w:t xml:space="preserve">stage </w:t>
      </w:r>
      <w:r w:rsidR="007F458A">
        <w:t xml:space="preserve">of </w:t>
      </w:r>
      <w:r w:rsidRPr="003456E8">
        <w:t xml:space="preserve">the value chain in which the waste occurs. The value of agricultural produce per ton increases as it progresses </w:t>
      </w:r>
      <w:r w:rsidR="008C6D72">
        <w:t>along</w:t>
      </w:r>
      <w:r w:rsidRPr="003456E8">
        <w:t xml:space="preserve"> the value chain of production and as additional inputs are invested—including those required by sorting, </w:t>
      </w:r>
      <w:r w:rsidRPr="003456E8">
        <w:lastRenderedPageBreak/>
        <w:t>processing, transport and distribution. Assessment of the value of waste in the early stages of production (growing, packaging and manufacturing) is bas</w:t>
      </w:r>
      <w:r w:rsidR="007F458A">
        <w:t xml:space="preserve">ed on the </w:t>
      </w:r>
      <w:r w:rsidRPr="003456E8">
        <w:t xml:space="preserve">wholesale prices paid to farmers. Waste during the later stages in the value chain is estimated based on retail food prices. </w:t>
      </w:r>
    </w:p>
    <w:p w14:paraId="22017ADF" w14:textId="77777777" w:rsidR="003456E8" w:rsidRPr="003456E8" w:rsidRDefault="003456E8" w:rsidP="007F458A">
      <w:pPr>
        <w:pStyle w:val="BodyText"/>
      </w:pPr>
      <w:r w:rsidRPr="007F458A">
        <w:rPr>
          <w:b/>
          <w:bCs/>
        </w:rPr>
        <w:t>The economic value of food waste in Israel is estimated at approximately NIS 19.5 billion, constituting 1.</w:t>
      </w:r>
      <w:r w:rsidR="00277290" w:rsidRPr="007F458A">
        <w:rPr>
          <w:b/>
          <w:bCs/>
        </w:rPr>
        <w:t>6</w:t>
      </w:r>
      <w:r w:rsidRPr="007F458A">
        <w:rPr>
          <w:b/>
          <w:bCs/>
        </w:rPr>
        <w:t>% of domestic production</w:t>
      </w:r>
      <w:r w:rsidRPr="003456E8">
        <w:t xml:space="preserve">. </w:t>
      </w:r>
    </w:p>
    <w:p w14:paraId="2DD36E8A" w14:textId="7D240529" w:rsidR="00277290" w:rsidRPr="00277290" w:rsidRDefault="00277290" w:rsidP="000829EA">
      <w:pPr>
        <w:pStyle w:val="Graphtitle"/>
        <w:bidi/>
        <w:rPr>
          <w:rtl/>
        </w:rPr>
      </w:pPr>
      <w:r w:rsidRPr="00277290">
        <w:t xml:space="preserve">Estimated </w:t>
      </w:r>
      <w:r w:rsidR="00371472">
        <w:rPr>
          <w:rFonts w:hint="cs"/>
        </w:rPr>
        <w:t>P</w:t>
      </w:r>
      <w:r w:rsidR="00371472" w:rsidRPr="00371472">
        <w:t>ercentage</w:t>
      </w:r>
      <w:r w:rsidRPr="00277290">
        <w:t xml:space="preserve"> of Food Waste in Israel</w:t>
      </w:r>
      <w:r>
        <w:t xml:space="preserve">, by </w:t>
      </w:r>
      <w:r w:rsidR="008D157A">
        <w:t>sector</w:t>
      </w:r>
    </w:p>
    <w:p w14:paraId="23448072" w14:textId="77777777" w:rsidR="00277290" w:rsidRPr="00277290" w:rsidRDefault="00277290" w:rsidP="00277290">
      <w:pPr>
        <w:rPr>
          <w:b/>
          <w:bCs/>
        </w:rPr>
      </w:pPr>
      <w:r>
        <w:rPr>
          <w:noProof/>
        </w:rPr>
        <w:drawing>
          <wp:inline distT="0" distB="0" distL="0" distR="0" wp14:anchorId="6FD9ABB9" wp14:editId="0C9DDC4F">
            <wp:extent cx="4626567" cy="2858669"/>
            <wp:effectExtent l="0" t="0" r="3175" b="0"/>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0066DD" w14:textId="77777777" w:rsidR="00277290" w:rsidRPr="00277290" w:rsidRDefault="00277290" w:rsidP="007F458A">
      <w:pPr>
        <w:pStyle w:val="Graphnote"/>
      </w:pPr>
      <w:r w:rsidRPr="00277290">
        <w:t>Source: BDO estimates</w:t>
      </w:r>
    </w:p>
    <w:p w14:paraId="2876F0C5" w14:textId="5A038B47" w:rsidR="00277290" w:rsidRPr="00277290" w:rsidRDefault="00277290" w:rsidP="00371472">
      <w:pPr>
        <w:pStyle w:val="Graphnote"/>
      </w:pPr>
      <w:r w:rsidRPr="00277290">
        <w:rPr>
          <w:b/>
          <w:bCs/>
        </w:rPr>
        <w:t>Caption</w:t>
      </w:r>
      <w:r>
        <w:rPr>
          <w:b/>
          <w:bCs/>
        </w:rPr>
        <w:t>s</w:t>
      </w:r>
      <w:r w:rsidRPr="00277290">
        <w:rPr>
          <w:b/>
          <w:bCs/>
        </w:rPr>
        <w:t xml:space="preserve"> for graph</w:t>
      </w:r>
      <w:r w:rsidRPr="008C6D72">
        <w:t>, from left to right:</w:t>
      </w:r>
      <w:r w:rsidRPr="00277290">
        <w:rPr>
          <w:b/>
          <w:bCs/>
        </w:rPr>
        <w:t xml:space="preserve"> </w:t>
      </w:r>
      <w:r w:rsidR="00371472">
        <w:t>P</w:t>
      </w:r>
      <w:r w:rsidR="00371472" w:rsidRPr="00371472">
        <w:t xml:space="preserve">ercentage </w:t>
      </w:r>
      <w:r w:rsidRPr="00277290">
        <w:t xml:space="preserve">of waste (vertical); Waste during </w:t>
      </w:r>
      <w:r w:rsidR="001E3583" w:rsidRPr="00277290">
        <w:t>agricultural production</w:t>
      </w:r>
      <w:r w:rsidRPr="00277290">
        <w:t xml:space="preserve">; Waste after </w:t>
      </w:r>
      <w:r w:rsidR="001E3583" w:rsidRPr="00277290">
        <w:t>harvest and storage</w:t>
      </w:r>
      <w:r w:rsidRPr="00277290">
        <w:t xml:space="preserve">; Waste during </w:t>
      </w:r>
      <w:r w:rsidR="001E3583" w:rsidRPr="00277290">
        <w:t xml:space="preserve">manufacture </w:t>
      </w:r>
      <w:r w:rsidRPr="00277290">
        <w:t xml:space="preserve">and </w:t>
      </w:r>
      <w:r w:rsidR="001E3583" w:rsidRPr="00277290">
        <w:t>pack</w:t>
      </w:r>
      <w:r w:rsidR="001E3583">
        <w:t>ag</w:t>
      </w:r>
      <w:r w:rsidR="001E3583" w:rsidRPr="00277290">
        <w:t>ing</w:t>
      </w:r>
      <w:r w:rsidRPr="00277290">
        <w:t xml:space="preserve">; Waste during </w:t>
      </w:r>
      <w:r w:rsidR="001E3583" w:rsidRPr="00277290">
        <w:t>distribution</w:t>
      </w:r>
      <w:r w:rsidRPr="00277290">
        <w:t xml:space="preserve">; Waste during </w:t>
      </w:r>
      <w:r w:rsidR="001E3583" w:rsidRPr="00277290">
        <w:t>consumption</w:t>
      </w:r>
    </w:p>
    <w:p w14:paraId="75FF9027" w14:textId="77777777" w:rsidR="003456E8" w:rsidRPr="00277290" w:rsidRDefault="003456E8" w:rsidP="004E2385">
      <w:pPr>
        <w:pStyle w:val="BodyText"/>
      </w:pPr>
      <w:r w:rsidRPr="00277290">
        <w:t xml:space="preserve">Food waste </w:t>
      </w:r>
      <w:r w:rsidR="00277290" w:rsidRPr="00277290">
        <w:t xml:space="preserve">is ordinarily </w:t>
      </w:r>
      <w:r w:rsidRPr="00277290">
        <w:t>divided into two stages of the food value chain:</w:t>
      </w:r>
    </w:p>
    <w:p w14:paraId="684A1928" w14:textId="77777777" w:rsidR="003456E8" w:rsidRPr="00277290" w:rsidRDefault="003456E8" w:rsidP="001E3583">
      <w:pPr>
        <w:pStyle w:val="ListParagraph"/>
        <w:numPr>
          <w:ilvl w:val="0"/>
          <w:numId w:val="34"/>
        </w:numPr>
      </w:pPr>
      <w:r w:rsidRPr="00277290">
        <w:t>From agricultural production to final stage of industrial food processing (food waste in production).</w:t>
      </w:r>
    </w:p>
    <w:p w14:paraId="7DB4106F" w14:textId="77777777" w:rsidR="003456E8" w:rsidRPr="00277290" w:rsidRDefault="003456E8" w:rsidP="001E3583">
      <w:pPr>
        <w:pStyle w:val="ListParagraph"/>
        <w:numPr>
          <w:ilvl w:val="0"/>
          <w:numId w:val="34"/>
        </w:numPr>
      </w:pPr>
      <w:r w:rsidRPr="00277290">
        <w:lastRenderedPageBreak/>
        <w:t xml:space="preserve">From </w:t>
      </w:r>
      <w:r w:rsidR="00277290" w:rsidRPr="00277290">
        <w:t>retailing</w:t>
      </w:r>
      <w:r w:rsidR="00277290">
        <w:t xml:space="preserve"> and </w:t>
      </w:r>
      <w:r w:rsidRPr="00277290">
        <w:t>distribution to final loss at the consumer level (food waste in consumption).</w:t>
      </w:r>
    </w:p>
    <w:tbl>
      <w:tblPr>
        <w:tblStyle w:val="MediumShading1-Accent14"/>
        <w:tblW w:w="0" w:type="auto"/>
        <w:jc w:val="cente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ook w:val="0480" w:firstRow="0" w:lastRow="0" w:firstColumn="1" w:lastColumn="0" w:noHBand="0" w:noVBand="1"/>
      </w:tblPr>
      <w:tblGrid>
        <w:gridCol w:w="6833"/>
        <w:gridCol w:w="2174"/>
      </w:tblGrid>
      <w:tr w:rsidR="003456E8" w:rsidRPr="003456E8" w14:paraId="7CF8752A" w14:textId="77777777" w:rsidTr="008C47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0" w:type="dxa"/>
            <w:tcBorders>
              <w:right w:val="none" w:sz="0" w:space="0" w:color="auto"/>
            </w:tcBorders>
          </w:tcPr>
          <w:p w14:paraId="7FE76AA8" w14:textId="77777777" w:rsidR="003456E8" w:rsidRPr="00103564" w:rsidRDefault="003456E8" w:rsidP="00103564">
            <w:pPr>
              <w:pStyle w:val="tabletext"/>
              <w:rPr>
                <w:b/>
                <w:bCs/>
                <w:rtl/>
              </w:rPr>
            </w:pPr>
            <w:r w:rsidRPr="00103564">
              <w:rPr>
                <w:b/>
                <w:bCs/>
              </w:rPr>
              <w:t>Food waste (value)</w:t>
            </w:r>
          </w:p>
        </w:tc>
        <w:tc>
          <w:tcPr>
            <w:tcW w:w="2199" w:type="dxa"/>
            <w:tcBorders>
              <w:left w:val="none" w:sz="0" w:space="0" w:color="auto"/>
            </w:tcBorders>
            <w:vAlign w:val="center"/>
          </w:tcPr>
          <w:p w14:paraId="6BF3A471" w14:textId="77777777" w:rsidR="003456E8" w:rsidRPr="00103564" w:rsidRDefault="003456E8" w:rsidP="00103564">
            <w:pPr>
              <w:pStyle w:val="Tablenumbers"/>
              <w:jc w:val="center"/>
              <w:cnfStyle w:val="000000100000" w:firstRow="0" w:lastRow="0" w:firstColumn="0" w:lastColumn="0" w:oddVBand="0" w:evenVBand="0" w:oddHBand="1" w:evenHBand="0" w:firstRowFirstColumn="0" w:firstRowLastColumn="0" w:lastRowFirstColumn="0" w:lastRowLastColumn="0"/>
              <w:rPr>
                <w:rtl/>
              </w:rPr>
            </w:pPr>
            <w:r w:rsidRPr="00103564">
              <w:t>NIS 19.5 billion</w:t>
            </w:r>
          </w:p>
        </w:tc>
      </w:tr>
      <w:tr w:rsidR="003456E8" w:rsidRPr="003456E8" w14:paraId="2A63F783" w14:textId="77777777" w:rsidTr="008C471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0" w:type="dxa"/>
            <w:tcBorders>
              <w:right w:val="none" w:sz="0" w:space="0" w:color="auto"/>
            </w:tcBorders>
          </w:tcPr>
          <w:p w14:paraId="62B3BEAC" w14:textId="77777777" w:rsidR="003456E8" w:rsidRPr="00103564" w:rsidRDefault="003456E8" w:rsidP="00103564">
            <w:pPr>
              <w:pStyle w:val="tabletext"/>
              <w:rPr>
                <w:b/>
                <w:bCs/>
                <w:rtl/>
              </w:rPr>
            </w:pPr>
            <w:r w:rsidRPr="00103564">
              <w:rPr>
                <w:b/>
                <w:bCs/>
              </w:rPr>
              <w:t>Food waste, out of GNP</w:t>
            </w:r>
          </w:p>
        </w:tc>
        <w:tc>
          <w:tcPr>
            <w:tcW w:w="2199" w:type="dxa"/>
            <w:tcBorders>
              <w:left w:val="none" w:sz="0" w:space="0" w:color="auto"/>
            </w:tcBorders>
            <w:vAlign w:val="center"/>
          </w:tcPr>
          <w:p w14:paraId="24A6B469" w14:textId="77777777" w:rsidR="003456E8" w:rsidRPr="00103564" w:rsidRDefault="003456E8" w:rsidP="00103564">
            <w:pPr>
              <w:pStyle w:val="Tablenumbers"/>
              <w:jc w:val="center"/>
              <w:cnfStyle w:val="000000010000" w:firstRow="0" w:lastRow="0" w:firstColumn="0" w:lastColumn="0" w:oddVBand="0" w:evenVBand="0" w:oddHBand="0" w:evenHBand="1" w:firstRowFirstColumn="0" w:firstRowLastColumn="0" w:lastRowFirstColumn="0" w:lastRowLastColumn="0"/>
              <w:rPr>
                <w:rtl/>
              </w:rPr>
            </w:pPr>
            <w:r w:rsidRPr="00103564">
              <w:t>1.</w:t>
            </w:r>
            <w:r w:rsidR="00277290" w:rsidRPr="00103564">
              <w:t>6</w:t>
            </w:r>
            <w:r w:rsidRPr="00103564">
              <w:t>%</w:t>
            </w:r>
          </w:p>
        </w:tc>
      </w:tr>
      <w:tr w:rsidR="003456E8" w:rsidRPr="003456E8" w14:paraId="334BA6D5" w14:textId="77777777" w:rsidTr="008C47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0" w:type="dxa"/>
            <w:tcBorders>
              <w:right w:val="none" w:sz="0" w:space="0" w:color="auto"/>
            </w:tcBorders>
          </w:tcPr>
          <w:p w14:paraId="581B2E7C" w14:textId="77777777" w:rsidR="003456E8" w:rsidRPr="00103564" w:rsidRDefault="003456E8" w:rsidP="00103564">
            <w:pPr>
              <w:pStyle w:val="tabletext"/>
              <w:rPr>
                <w:b/>
                <w:bCs/>
                <w:rtl/>
              </w:rPr>
            </w:pPr>
            <w:r w:rsidRPr="00103564">
              <w:rPr>
                <w:b/>
                <w:bCs/>
              </w:rPr>
              <w:t xml:space="preserve">Food </w:t>
            </w:r>
            <w:r w:rsidR="007315F5" w:rsidRPr="00103564">
              <w:rPr>
                <w:b/>
                <w:bCs/>
              </w:rPr>
              <w:t xml:space="preserve">waste </w:t>
            </w:r>
            <w:r w:rsidR="00277290" w:rsidRPr="00103564">
              <w:rPr>
                <w:b/>
                <w:bCs/>
              </w:rPr>
              <w:t>up to and including the industrial stage</w:t>
            </w:r>
          </w:p>
        </w:tc>
        <w:tc>
          <w:tcPr>
            <w:tcW w:w="2199" w:type="dxa"/>
            <w:tcBorders>
              <w:left w:val="none" w:sz="0" w:space="0" w:color="auto"/>
            </w:tcBorders>
            <w:vAlign w:val="center"/>
          </w:tcPr>
          <w:p w14:paraId="25D33958" w14:textId="77777777" w:rsidR="003456E8" w:rsidRPr="00103564" w:rsidRDefault="003456E8" w:rsidP="00103564">
            <w:pPr>
              <w:pStyle w:val="Tablenumbers"/>
              <w:jc w:val="center"/>
              <w:cnfStyle w:val="000000100000" w:firstRow="0" w:lastRow="0" w:firstColumn="0" w:lastColumn="0" w:oddVBand="0" w:evenVBand="0" w:oddHBand="1" w:evenHBand="0" w:firstRowFirstColumn="0" w:firstRowLastColumn="0" w:lastRowFirstColumn="0" w:lastRowLastColumn="0"/>
              <w:rPr>
                <w:rtl/>
              </w:rPr>
            </w:pPr>
            <w:r w:rsidRPr="00103564">
              <w:t xml:space="preserve">NIS </w:t>
            </w:r>
            <w:r w:rsidR="00277290" w:rsidRPr="00103564">
              <w:t>3.8</w:t>
            </w:r>
            <w:r w:rsidRPr="00103564">
              <w:t xml:space="preserve"> billion</w:t>
            </w:r>
          </w:p>
        </w:tc>
      </w:tr>
      <w:tr w:rsidR="003456E8" w:rsidRPr="003456E8" w14:paraId="5CF26CD5" w14:textId="77777777" w:rsidTr="008C471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0" w:type="dxa"/>
            <w:tcBorders>
              <w:right w:val="none" w:sz="0" w:space="0" w:color="auto"/>
            </w:tcBorders>
          </w:tcPr>
          <w:p w14:paraId="784C0641" w14:textId="77777777" w:rsidR="003456E8" w:rsidRPr="00103564" w:rsidRDefault="003456E8" w:rsidP="00103564">
            <w:pPr>
              <w:pStyle w:val="tabletext"/>
              <w:rPr>
                <w:b/>
                <w:bCs/>
                <w:rtl/>
              </w:rPr>
            </w:pPr>
            <w:r w:rsidRPr="00103564">
              <w:rPr>
                <w:b/>
                <w:bCs/>
              </w:rPr>
              <w:t xml:space="preserve">Food </w:t>
            </w:r>
            <w:r w:rsidR="007315F5" w:rsidRPr="00103564">
              <w:rPr>
                <w:b/>
                <w:bCs/>
              </w:rPr>
              <w:t>waste prior to the industrial</w:t>
            </w:r>
            <w:r w:rsidRPr="00103564">
              <w:rPr>
                <w:b/>
                <w:bCs/>
              </w:rPr>
              <w:t xml:space="preserve"> stage, from total agricultural production (%)</w:t>
            </w:r>
          </w:p>
        </w:tc>
        <w:tc>
          <w:tcPr>
            <w:tcW w:w="2199" w:type="dxa"/>
            <w:tcBorders>
              <w:left w:val="none" w:sz="0" w:space="0" w:color="auto"/>
            </w:tcBorders>
            <w:vAlign w:val="center"/>
          </w:tcPr>
          <w:p w14:paraId="1798D364" w14:textId="77777777" w:rsidR="003456E8" w:rsidRPr="00103564" w:rsidRDefault="003456E8" w:rsidP="00103564">
            <w:pPr>
              <w:pStyle w:val="Tablenumbers"/>
              <w:jc w:val="center"/>
              <w:cnfStyle w:val="000000010000" w:firstRow="0" w:lastRow="0" w:firstColumn="0" w:lastColumn="0" w:oddVBand="0" w:evenVBand="0" w:oddHBand="0" w:evenHBand="1" w:firstRowFirstColumn="0" w:firstRowLastColumn="0" w:lastRowFirstColumn="0" w:lastRowLastColumn="0"/>
              <w:rPr>
                <w:rtl/>
              </w:rPr>
            </w:pPr>
            <w:r w:rsidRPr="00103564">
              <w:t>1</w:t>
            </w:r>
            <w:r w:rsidR="00277290" w:rsidRPr="00103564">
              <w:t>3</w:t>
            </w:r>
            <w:r w:rsidRPr="00103564">
              <w:t>%</w:t>
            </w:r>
          </w:p>
        </w:tc>
      </w:tr>
      <w:tr w:rsidR="003456E8" w:rsidRPr="003456E8" w14:paraId="7827F93C" w14:textId="77777777" w:rsidTr="008C47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0" w:type="dxa"/>
            <w:tcBorders>
              <w:right w:val="none" w:sz="0" w:space="0" w:color="auto"/>
            </w:tcBorders>
          </w:tcPr>
          <w:p w14:paraId="5B46087C" w14:textId="77777777" w:rsidR="003456E8" w:rsidRPr="00103564" w:rsidRDefault="003456E8" w:rsidP="00103564">
            <w:pPr>
              <w:pStyle w:val="tabletext"/>
              <w:rPr>
                <w:b/>
                <w:bCs/>
              </w:rPr>
            </w:pPr>
            <w:r w:rsidRPr="00103564">
              <w:rPr>
                <w:b/>
                <w:bCs/>
              </w:rPr>
              <w:t xml:space="preserve">Food waste in the </w:t>
            </w:r>
            <w:r w:rsidR="007315F5" w:rsidRPr="00103564">
              <w:rPr>
                <w:b/>
                <w:bCs/>
              </w:rPr>
              <w:t xml:space="preserve">retail and </w:t>
            </w:r>
            <w:r w:rsidRPr="00103564">
              <w:rPr>
                <w:b/>
                <w:bCs/>
              </w:rPr>
              <w:t xml:space="preserve">distribution </w:t>
            </w:r>
            <w:r w:rsidR="007315F5" w:rsidRPr="00103564">
              <w:rPr>
                <w:b/>
                <w:bCs/>
              </w:rPr>
              <w:t xml:space="preserve">stages, up to </w:t>
            </w:r>
            <w:r w:rsidRPr="00103564">
              <w:rPr>
                <w:b/>
                <w:bCs/>
              </w:rPr>
              <w:t xml:space="preserve">consumption </w:t>
            </w:r>
          </w:p>
        </w:tc>
        <w:tc>
          <w:tcPr>
            <w:tcW w:w="2199" w:type="dxa"/>
            <w:tcBorders>
              <w:left w:val="none" w:sz="0" w:space="0" w:color="auto"/>
            </w:tcBorders>
            <w:vAlign w:val="center"/>
          </w:tcPr>
          <w:p w14:paraId="28C06679" w14:textId="77777777" w:rsidR="003456E8" w:rsidRPr="00103564" w:rsidRDefault="003456E8" w:rsidP="00103564">
            <w:pPr>
              <w:pStyle w:val="Tablenumbers"/>
              <w:jc w:val="center"/>
              <w:cnfStyle w:val="000000100000" w:firstRow="0" w:lastRow="0" w:firstColumn="0" w:lastColumn="0" w:oddVBand="0" w:evenVBand="0" w:oddHBand="1" w:evenHBand="0" w:firstRowFirstColumn="0" w:firstRowLastColumn="0" w:lastRowFirstColumn="0" w:lastRowLastColumn="0"/>
            </w:pPr>
            <w:r w:rsidRPr="00103564">
              <w:t>NIS 15.5 billion</w:t>
            </w:r>
          </w:p>
        </w:tc>
      </w:tr>
      <w:tr w:rsidR="003456E8" w:rsidRPr="003456E8" w14:paraId="40E26FA5" w14:textId="77777777" w:rsidTr="008C471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0" w:type="dxa"/>
            <w:tcBorders>
              <w:right w:val="none" w:sz="0" w:space="0" w:color="auto"/>
            </w:tcBorders>
          </w:tcPr>
          <w:p w14:paraId="3091655D" w14:textId="77777777" w:rsidR="003456E8" w:rsidRPr="00103564" w:rsidRDefault="003456E8" w:rsidP="00103564">
            <w:pPr>
              <w:pStyle w:val="tabletext"/>
              <w:rPr>
                <w:b/>
                <w:bCs/>
                <w:rtl/>
              </w:rPr>
            </w:pPr>
            <w:r w:rsidRPr="00103564">
              <w:rPr>
                <w:b/>
                <w:bCs/>
              </w:rPr>
              <w:t xml:space="preserve">Waste </w:t>
            </w:r>
            <w:r w:rsidR="007315F5" w:rsidRPr="00103564">
              <w:rPr>
                <w:b/>
                <w:bCs/>
              </w:rPr>
              <w:t xml:space="preserve">from the retails and </w:t>
            </w:r>
            <w:r w:rsidRPr="00103564">
              <w:rPr>
                <w:b/>
                <w:bCs/>
              </w:rPr>
              <w:t>distribution stage</w:t>
            </w:r>
            <w:r w:rsidR="007315F5" w:rsidRPr="00103564">
              <w:rPr>
                <w:b/>
                <w:bCs/>
              </w:rPr>
              <w:t>, from the value of food consumed</w:t>
            </w:r>
          </w:p>
        </w:tc>
        <w:tc>
          <w:tcPr>
            <w:tcW w:w="2199" w:type="dxa"/>
            <w:tcBorders>
              <w:left w:val="none" w:sz="0" w:space="0" w:color="auto"/>
            </w:tcBorders>
            <w:vAlign w:val="center"/>
          </w:tcPr>
          <w:p w14:paraId="54EA7048" w14:textId="77777777" w:rsidR="003456E8" w:rsidRPr="00103564" w:rsidRDefault="003456E8" w:rsidP="00103564">
            <w:pPr>
              <w:pStyle w:val="Tablenumbers"/>
              <w:jc w:val="center"/>
              <w:cnfStyle w:val="000000010000" w:firstRow="0" w:lastRow="0" w:firstColumn="0" w:lastColumn="0" w:oddVBand="0" w:evenVBand="0" w:oddHBand="0" w:evenHBand="1" w:firstRowFirstColumn="0" w:firstRowLastColumn="0" w:lastRowFirstColumn="0" w:lastRowLastColumn="0"/>
              <w:rPr>
                <w:rtl/>
              </w:rPr>
            </w:pPr>
            <w:r w:rsidRPr="00103564">
              <w:t>2</w:t>
            </w:r>
            <w:r w:rsidR="00277290" w:rsidRPr="00103564">
              <w:t>0</w:t>
            </w:r>
            <w:r w:rsidRPr="00103564">
              <w:t>%</w:t>
            </w:r>
          </w:p>
        </w:tc>
      </w:tr>
    </w:tbl>
    <w:p w14:paraId="49E1DF96" w14:textId="77777777" w:rsidR="003456E8" w:rsidRPr="007315F5" w:rsidRDefault="003456E8" w:rsidP="00103564">
      <w:pPr>
        <w:pStyle w:val="Graphnote"/>
      </w:pPr>
      <w:r w:rsidRPr="007315F5">
        <w:t>Source: BDO estimates</w:t>
      </w:r>
    </w:p>
    <w:p w14:paraId="794B64BD" w14:textId="7F346FB2" w:rsidR="003456E8" w:rsidRPr="003456E8" w:rsidRDefault="003456E8" w:rsidP="00411F54">
      <w:pPr>
        <w:pStyle w:val="BodyText"/>
      </w:pPr>
      <w:r w:rsidRPr="003456E8">
        <w:t xml:space="preserve">The large share of waste from fruits and vegetables in Israel stems both from their large share in domestic agricultural production, and from the high rate of waste (40%) during the value stages. </w:t>
      </w:r>
      <w:r w:rsidR="008C6D72">
        <w:t xml:space="preserve">The </w:t>
      </w:r>
      <w:r w:rsidRPr="003456E8">
        <w:t xml:space="preserve">high rate </w:t>
      </w:r>
      <w:r w:rsidR="00411F54">
        <w:t xml:space="preserve">of waste </w:t>
      </w:r>
      <w:r w:rsidR="008C6D72">
        <w:t xml:space="preserve">for </w:t>
      </w:r>
      <w:r w:rsidRPr="003456E8">
        <w:t>fruit</w:t>
      </w:r>
      <w:r w:rsidR="008C6D72">
        <w:t>s</w:t>
      </w:r>
      <w:r w:rsidRPr="003456E8">
        <w:t xml:space="preserve"> and vegetables is not exclusive to the Israeli economy. Compared to international data, Israel’s rate </w:t>
      </w:r>
      <w:r w:rsidR="00411F54">
        <w:t xml:space="preserve">of waste </w:t>
      </w:r>
      <w:r w:rsidRPr="003456E8">
        <w:t xml:space="preserve">in this category is similar to that in Europe. Compared to the US, the rate of loss is even lower, but is composed of a lower rate of loss during </w:t>
      </w:r>
      <w:r w:rsidR="00D915A8">
        <w:t xml:space="preserve">the </w:t>
      </w:r>
      <w:r w:rsidRPr="003456E8">
        <w:t xml:space="preserve">agricultural production and consumption stages, </w:t>
      </w:r>
      <w:r w:rsidR="00103564">
        <w:t>and</w:t>
      </w:r>
      <w:r w:rsidRPr="003456E8">
        <w:t xml:space="preserve"> greater waste in the intermediary stages. </w:t>
      </w:r>
    </w:p>
    <w:p w14:paraId="5C64B266" w14:textId="4195FDDA" w:rsidR="003456E8" w:rsidRPr="003456E8" w:rsidRDefault="003456E8" w:rsidP="00411F54">
      <w:pPr>
        <w:pStyle w:val="BodyText"/>
      </w:pPr>
      <w:r w:rsidRPr="003456E8">
        <w:t>Total food waste in all value chain stages translates to a loss of approximately NIS 6</w:t>
      </w:r>
      <w:r w:rsidR="00597D3F">
        <w:t>50</w:t>
      </w:r>
      <w:r w:rsidRPr="003456E8">
        <w:t xml:space="preserve"> </w:t>
      </w:r>
      <w:r w:rsidR="00103564">
        <w:t xml:space="preserve">per </w:t>
      </w:r>
      <w:r w:rsidRPr="003456E8">
        <w:t xml:space="preserve">month per household in Israel, </w:t>
      </w:r>
      <w:r w:rsidR="00411F54">
        <w:t xml:space="preserve">equivalent to </w:t>
      </w:r>
      <w:r w:rsidRPr="003456E8">
        <w:t>wasting approximately 8</w:t>
      </w:r>
      <w:r w:rsidR="00597D3F">
        <w:t>0</w:t>
      </w:r>
      <w:r w:rsidRPr="003456E8">
        <w:t xml:space="preserve"> kg of food </w:t>
      </w:r>
      <w:r w:rsidR="00D915A8">
        <w:t xml:space="preserve">per </w:t>
      </w:r>
      <w:r w:rsidRPr="003456E8">
        <w:t>month per household. Quantitatively speaking, approximately 6</w:t>
      </w:r>
      <w:r w:rsidR="00597D3F">
        <w:t>0</w:t>
      </w:r>
      <w:r w:rsidRPr="003456E8">
        <w:t xml:space="preserve">% of this waste is incurred during production, manufacturing and distribution, </w:t>
      </w:r>
      <w:r w:rsidR="008D157A">
        <w:t>before the food reaches</w:t>
      </w:r>
      <w:r w:rsidRPr="003456E8">
        <w:t xml:space="preserve"> household or institutional consumers. In monetary terms, roughly </w:t>
      </w:r>
      <w:r w:rsidR="00597D3F">
        <w:t>60</w:t>
      </w:r>
      <w:r w:rsidRPr="003456E8">
        <w:t xml:space="preserve">% is wasted during </w:t>
      </w:r>
      <w:r w:rsidR="00597D3F">
        <w:t xml:space="preserve">household or institutional </w:t>
      </w:r>
      <w:r w:rsidRPr="003456E8">
        <w:t xml:space="preserve">consumption. </w:t>
      </w:r>
    </w:p>
    <w:p w14:paraId="1E1CEA1E" w14:textId="77777777" w:rsidR="006C74A7" w:rsidRPr="008F3D9C" w:rsidRDefault="006C74A7" w:rsidP="004E2385">
      <w:pPr>
        <w:pStyle w:val="BodyText"/>
      </w:pPr>
    </w:p>
    <w:p w14:paraId="564E4C6D" w14:textId="77777777" w:rsidR="006C74A7" w:rsidRDefault="006C74A7" w:rsidP="004E2385">
      <w:pPr>
        <w:pStyle w:val="BodyText"/>
      </w:pPr>
    </w:p>
    <w:p w14:paraId="14D6CF09" w14:textId="77777777" w:rsidR="00147E6F" w:rsidRPr="008F3D9C" w:rsidRDefault="00147E6F" w:rsidP="004E2385">
      <w:pPr>
        <w:pStyle w:val="BodyText"/>
      </w:pPr>
    </w:p>
    <w:p w14:paraId="0FD15328" w14:textId="77777777" w:rsidR="00147E6F" w:rsidRDefault="00147E6F">
      <w:pPr>
        <w:rPr>
          <w:rFonts w:eastAsia="Calibri" w:cs="Times New Roman"/>
          <w:sz w:val="24"/>
          <w:szCs w:val="24"/>
        </w:rPr>
      </w:pPr>
      <w:r>
        <w:lastRenderedPageBreak/>
        <w:br w:type="page"/>
      </w:r>
    </w:p>
    <w:p w14:paraId="6C6FD290" w14:textId="77777777" w:rsidR="00485F60" w:rsidRDefault="00485F60" w:rsidP="0061604E">
      <w:pPr>
        <w:pStyle w:val="Heading1"/>
      </w:pPr>
      <w:bookmarkStart w:id="6" w:name="_Toc505547254"/>
      <w:r w:rsidRPr="008F3D9C">
        <w:lastRenderedPageBreak/>
        <w:t xml:space="preserve">Food </w:t>
      </w:r>
      <w:r w:rsidR="00AD79E9" w:rsidRPr="008F3D9C">
        <w:t xml:space="preserve">Rescue </w:t>
      </w:r>
      <w:r w:rsidRPr="008F3D9C">
        <w:t xml:space="preserve">= Alternative to </w:t>
      </w:r>
      <w:r w:rsidR="00AD79E9" w:rsidRPr="008F3D9C">
        <w:t>Food Production</w:t>
      </w:r>
      <w:bookmarkEnd w:id="6"/>
    </w:p>
    <w:p w14:paraId="18EDBE86" w14:textId="605FDB90" w:rsidR="00F52D61" w:rsidRPr="00103564" w:rsidRDefault="00EA134E" w:rsidP="00D915A8">
      <w:pPr>
        <w:pStyle w:val="BodyText"/>
        <w:rPr>
          <w:b/>
          <w:bCs/>
        </w:rPr>
      </w:pPr>
      <w:r w:rsidRPr="00103564">
        <w:rPr>
          <w:u w:val="single"/>
        </w:rPr>
        <w:t>Bold chapter head</w:t>
      </w:r>
      <w:r w:rsidRPr="00EA134E">
        <w:t xml:space="preserve">: </w:t>
      </w:r>
      <w:r w:rsidRPr="00103564">
        <w:rPr>
          <w:b/>
          <w:bCs/>
        </w:rPr>
        <w:t>Approximately 1</w:t>
      </w:r>
      <w:r w:rsidR="00BD61AE" w:rsidRPr="00103564">
        <w:rPr>
          <w:b/>
          <w:bCs/>
        </w:rPr>
        <w:t>.</w:t>
      </w:r>
      <w:r w:rsidRPr="00103564">
        <w:rPr>
          <w:b/>
          <w:bCs/>
        </w:rPr>
        <w:t>1 million tons of</w:t>
      </w:r>
      <w:r w:rsidR="00F52D61" w:rsidRPr="00103564">
        <w:rPr>
          <w:b/>
          <w:bCs/>
        </w:rPr>
        <w:t xml:space="preserve"> food can be </w:t>
      </w:r>
      <w:r w:rsidRPr="00103564">
        <w:rPr>
          <w:b/>
          <w:bCs/>
        </w:rPr>
        <w:t>re</w:t>
      </w:r>
      <w:r w:rsidR="00F52D61" w:rsidRPr="00103564">
        <w:rPr>
          <w:b/>
          <w:bCs/>
        </w:rPr>
        <w:t>s</w:t>
      </w:r>
      <w:r w:rsidRPr="00103564">
        <w:rPr>
          <w:b/>
          <w:bCs/>
        </w:rPr>
        <w:t>cu</w:t>
      </w:r>
      <w:r w:rsidR="00F52D61" w:rsidRPr="00103564">
        <w:rPr>
          <w:b/>
          <w:bCs/>
        </w:rPr>
        <w:t xml:space="preserve">ed </w:t>
      </w:r>
      <w:r w:rsidRPr="00103564">
        <w:rPr>
          <w:b/>
          <w:bCs/>
        </w:rPr>
        <w:t xml:space="preserve">// From an economic perspective food </w:t>
      </w:r>
      <w:r w:rsidR="00F52D61" w:rsidRPr="00103564">
        <w:rPr>
          <w:b/>
          <w:bCs/>
        </w:rPr>
        <w:t xml:space="preserve">rescue </w:t>
      </w:r>
      <w:r w:rsidR="00BD61AE" w:rsidRPr="00103564">
        <w:rPr>
          <w:b/>
          <w:bCs/>
        </w:rPr>
        <w:t xml:space="preserve">should be considered a </w:t>
      </w:r>
      <w:r w:rsidR="00D915A8">
        <w:rPr>
          <w:b/>
          <w:bCs/>
        </w:rPr>
        <w:t xml:space="preserve">viable </w:t>
      </w:r>
      <w:r w:rsidR="00BD61AE" w:rsidRPr="00103564">
        <w:rPr>
          <w:b/>
          <w:bCs/>
        </w:rPr>
        <w:t xml:space="preserve">alternative to </w:t>
      </w:r>
      <w:r w:rsidR="00D915A8">
        <w:rPr>
          <w:b/>
          <w:bCs/>
        </w:rPr>
        <w:t xml:space="preserve">additional </w:t>
      </w:r>
      <w:r w:rsidR="00F52D61" w:rsidRPr="00103564">
        <w:rPr>
          <w:b/>
          <w:bCs/>
        </w:rPr>
        <w:t xml:space="preserve">food </w:t>
      </w:r>
      <w:r w:rsidR="00BD61AE" w:rsidRPr="00103564">
        <w:rPr>
          <w:b/>
          <w:bCs/>
        </w:rPr>
        <w:t>production</w:t>
      </w:r>
    </w:p>
    <w:p w14:paraId="73B2D6D8" w14:textId="7B9A8321" w:rsidR="00BD61AE" w:rsidRDefault="008D157A" w:rsidP="004B71B7">
      <w:pPr>
        <w:pStyle w:val="BodyText"/>
      </w:pPr>
      <w:r>
        <w:t>During the</w:t>
      </w:r>
      <w:r w:rsidR="00485F60" w:rsidRPr="008F3D9C">
        <w:t xml:space="preserve"> </w:t>
      </w:r>
      <w:r>
        <w:t>growth</w:t>
      </w:r>
      <w:r w:rsidR="00485F60" w:rsidRPr="008F3D9C">
        <w:t>, production, distribution and marketing of food in Israel, approximatel</w:t>
      </w:r>
      <w:r w:rsidR="00CD7EDB" w:rsidRPr="008F3D9C">
        <w:t>y 3</w:t>
      </w:r>
      <w:r w:rsidR="00F933F2" w:rsidRPr="008F3D9C">
        <w:t>3%</w:t>
      </w:r>
      <w:r w:rsidR="00CD7EDB" w:rsidRPr="008F3D9C">
        <w:t xml:space="preserve"> of domestically</w:t>
      </w:r>
      <w:r w:rsidR="00485F60" w:rsidRPr="008F3D9C">
        <w:t xml:space="preserve"> produced food is lost</w:t>
      </w:r>
      <w:r w:rsidR="00A75172">
        <w:t>,</w:t>
      </w:r>
      <w:r w:rsidR="00485F60" w:rsidRPr="008F3D9C">
        <w:t xml:space="preserve"> </w:t>
      </w:r>
      <w:r>
        <w:t>becom</w:t>
      </w:r>
      <w:r w:rsidR="00411F54">
        <w:t>i</w:t>
      </w:r>
      <w:r>
        <w:t>ng</w:t>
      </w:r>
      <w:r w:rsidR="00485F60" w:rsidRPr="008F3D9C">
        <w:t xml:space="preserve"> waste or surplus.</w:t>
      </w:r>
      <w:r w:rsidR="0057048D" w:rsidRPr="008F3D9C">
        <w:t xml:space="preserve"> </w:t>
      </w:r>
      <w:r w:rsidR="00BD61AE">
        <w:t xml:space="preserve">Food rescue is an economic act </w:t>
      </w:r>
      <w:r w:rsidR="000F1987">
        <w:t xml:space="preserve">of transforming this surplus </w:t>
      </w:r>
      <w:r w:rsidR="00BD61AE" w:rsidRPr="00BD61AE">
        <w:t>food</w:t>
      </w:r>
      <w:r w:rsidR="000F1987">
        <w:t>, that would other</w:t>
      </w:r>
      <w:r>
        <w:t>wise</w:t>
      </w:r>
      <w:r w:rsidR="000F1987">
        <w:t xml:space="preserve"> have zero</w:t>
      </w:r>
      <w:r w:rsidR="008C7197">
        <w:t xml:space="preserve"> or negative</w:t>
      </w:r>
      <w:r w:rsidR="000F1987">
        <w:t xml:space="preserve"> value, into food that is </w:t>
      </w:r>
      <w:r w:rsidR="00BD61AE" w:rsidRPr="00BD61AE">
        <w:t>distribut</w:t>
      </w:r>
      <w:r w:rsidR="000F1987">
        <w:t xml:space="preserve">ed for the consumption of </w:t>
      </w:r>
      <w:r w:rsidR="004B71B7" w:rsidRPr="007F3027">
        <w:t>underprivileged populace</w:t>
      </w:r>
    </w:p>
    <w:p w14:paraId="2EE91734" w14:textId="4A0A0231" w:rsidR="00485F60" w:rsidRPr="008F3D9C" w:rsidRDefault="00485F60" w:rsidP="00D915A8">
      <w:pPr>
        <w:pStyle w:val="BodyText"/>
      </w:pPr>
      <w:r w:rsidRPr="000F1987">
        <w:rPr>
          <w:b/>
          <w:bCs/>
        </w:rPr>
        <w:t>Economically</w:t>
      </w:r>
      <w:r w:rsidR="00050DF7" w:rsidRPr="000F1987">
        <w:rPr>
          <w:b/>
          <w:bCs/>
        </w:rPr>
        <w:t xml:space="preserve"> speaking</w:t>
      </w:r>
      <w:r w:rsidRPr="000F1987">
        <w:rPr>
          <w:b/>
          <w:bCs/>
        </w:rPr>
        <w:t xml:space="preserve">, food rescue should be viewed as a </w:t>
      </w:r>
      <w:r w:rsidR="00D915A8">
        <w:rPr>
          <w:b/>
          <w:bCs/>
        </w:rPr>
        <w:t xml:space="preserve">viable </w:t>
      </w:r>
      <w:r w:rsidR="00050DF7" w:rsidRPr="000F1987">
        <w:rPr>
          <w:b/>
          <w:bCs/>
        </w:rPr>
        <w:t xml:space="preserve">alternative to excess food </w:t>
      </w:r>
      <w:r w:rsidRPr="000F1987">
        <w:rPr>
          <w:b/>
          <w:bCs/>
        </w:rPr>
        <w:t>production</w:t>
      </w:r>
      <w:r w:rsidRPr="00B00259">
        <w:t>.</w:t>
      </w:r>
      <w:r w:rsidR="0057048D" w:rsidRPr="008F3D9C">
        <w:t xml:space="preserve"> </w:t>
      </w:r>
      <w:r w:rsidRPr="008F3D9C">
        <w:t xml:space="preserve">However, in contrast to the usual food production processes, the raw materials </w:t>
      </w:r>
      <w:r w:rsidR="008D157A">
        <w:t>required</w:t>
      </w:r>
      <w:r w:rsidRPr="008F3D9C">
        <w:t xml:space="preserve"> for food rescue are surplu</w:t>
      </w:r>
      <w:r w:rsidR="00A75172">
        <w:t>se</w:t>
      </w:r>
      <w:r w:rsidRPr="008F3D9C">
        <w:t>s that would otherwise be wasted.</w:t>
      </w:r>
    </w:p>
    <w:p w14:paraId="3F2BEDBF" w14:textId="43C02201" w:rsidR="00485F60" w:rsidRPr="008F3D9C" w:rsidRDefault="00485F60" w:rsidP="00411F54">
      <w:pPr>
        <w:pStyle w:val="BodyText"/>
      </w:pPr>
      <w:r w:rsidRPr="008F3D9C">
        <w:t xml:space="preserve">Consequently, </w:t>
      </w:r>
      <w:r w:rsidRPr="000F1987">
        <w:t xml:space="preserve">food rescue </w:t>
      </w:r>
      <w:r w:rsidR="000F1987">
        <w:t>produces</w:t>
      </w:r>
      <w:r w:rsidRPr="000F1987">
        <w:t xml:space="preserve"> food without </w:t>
      </w:r>
      <w:r w:rsidR="000F1987">
        <w:t xml:space="preserve">utilizing </w:t>
      </w:r>
      <w:r w:rsidR="00411F54">
        <w:t xml:space="preserve">the </w:t>
      </w:r>
      <w:r w:rsidRPr="000F1987">
        <w:t>resources</w:t>
      </w:r>
      <w:r w:rsidR="00411F54">
        <w:t xml:space="preserve"> necessary during production</w:t>
      </w:r>
      <w:r w:rsidRPr="000F1987">
        <w:t xml:space="preserve">, while also preventing the majority of </w:t>
      </w:r>
      <w:r w:rsidR="00411F54">
        <w:t xml:space="preserve">the </w:t>
      </w:r>
      <w:r w:rsidRPr="000F1987">
        <w:t xml:space="preserve">detrimental </w:t>
      </w:r>
      <w:r w:rsidR="00CD7EDB" w:rsidRPr="000F1987">
        <w:t>environmental impact</w:t>
      </w:r>
      <w:r w:rsidR="008C6D72">
        <w:t xml:space="preserve"> </w:t>
      </w:r>
      <w:r w:rsidR="00411F54">
        <w:t xml:space="preserve">attributed to the </w:t>
      </w:r>
      <w:r w:rsidRPr="000F1987">
        <w:t>production</w:t>
      </w:r>
      <w:r w:rsidR="00CD7EDB" w:rsidRPr="000F1987">
        <w:t xml:space="preserve"> process</w:t>
      </w:r>
      <w:r w:rsidRPr="000F1987">
        <w:t>.</w:t>
      </w:r>
      <w:r w:rsidR="0057048D" w:rsidRPr="000F1987">
        <w:t xml:space="preserve"> </w:t>
      </w:r>
      <w:r w:rsidRPr="000F1987">
        <w:rPr>
          <w:b/>
          <w:bCs/>
        </w:rPr>
        <w:t xml:space="preserve">Food rescue is a </w:t>
      </w:r>
      <w:r w:rsidR="00B72CC5" w:rsidRPr="000F1987">
        <w:rPr>
          <w:b/>
          <w:bCs/>
        </w:rPr>
        <w:t xml:space="preserve">winning </w:t>
      </w:r>
      <w:r w:rsidRPr="000F1987">
        <w:rPr>
          <w:b/>
          <w:bCs/>
        </w:rPr>
        <w:t>formula for producing food without s</w:t>
      </w:r>
      <w:r w:rsidR="008C6D72">
        <w:rPr>
          <w:b/>
          <w:bCs/>
        </w:rPr>
        <w:t xml:space="preserve">ignificant </w:t>
      </w:r>
      <w:r w:rsidRPr="000F1987">
        <w:rPr>
          <w:b/>
          <w:bCs/>
        </w:rPr>
        <w:t xml:space="preserve">reliance on natural resources, land or water pollution, </w:t>
      </w:r>
      <w:r w:rsidR="004A792C" w:rsidRPr="000F1987">
        <w:rPr>
          <w:b/>
          <w:bCs/>
        </w:rPr>
        <w:t xml:space="preserve">and </w:t>
      </w:r>
      <w:r w:rsidRPr="000F1987">
        <w:rPr>
          <w:b/>
          <w:bCs/>
        </w:rPr>
        <w:t>use of fertilizers or pesticides</w:t>
      </w:r>
      <w:r w:rsidRPr="008F3D9C">
        <w:t>.</w:t>
      </w:r>
    </w:p>
    <w:p w14:paraId="134C99A6" w14:textId="77777777" w:rsidR="00B056B5" w:rsidRPr="008F3D9C" w:rsidRDefault="00B056B5" w:rsidP="00A75172">
      <w:pPr>
        <w:pStyle w:val="Graphtitle"/>
      </w:pPr>
      <w:r w:rsidRPr="008F3D9C">
        <w:t>Food Rescue Benefits</w:t>
      </w:r>
    </w:p>
    <w:tbl>
      <w:tblPr>
        <w:tblStyle w:val="MediumShading1-Accent11"/>
        <w:tblW w:w="833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ook w:val="04A0" w:firstRow="1" w:lastRow="0" w:firstColumn="1" w:lastColumn="0" w:noHBand="0" w:noVBand="1"/>
      </w:tblPr>
      <w:tblGrid>
        <w:gridCol w:w="3096"/>
        <w:gridCol w:w="2399"/>
        <w:gridCol w:w="2835"/>
      </w:tblGrid>
      <w:tr w:rsidR="00B056B5" w:rsidRPr="008F3D9C" w14:paraId="15204F95" w14:textId="77777777" w:rsidTr="000F1987">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3096" w:type="dxa"/>
            <w:tcBorders>
              <w:top w:val="none" w:sz="0" w:space="0" w:color="auto"/>
              <w:left w:val="none" w:sz="0" w:space="0" w:color="auto"/>
              <w:bottom w:val="none" w:sz="0" w:space="0" w:color="auto"/>
              <w:right w:val="none" w:sz="0" w:space="0" w:color="auto"/>
            </w:tcBorders>
          </w:tcPr>
          <w:p w14:paraId="7CAF1FEF" w14:textId="77777777" w:rsidR="00B056B5" w:rsidRPr="008F3D9C" w:rsidRDefault="00B056B5" w:rsidP="000F1987">
            <w:pPr>
              <w:spacing w:after="120"/>
              <w:jc w:val="center"/>
              <w:rPr>
                <w:rFonts w:eastAsia="Calibri" w:cs="Arial"/>
                <w:rtl/>
              </w:rPr>
            </w:pPr>
          </w:p>
        </w:tc>
        <w:tc>
          <w:tcPr>
            <w:tcW w:w="2399" w:type="dxa"/>
            <w:tcBorders>
              <w:top w:val="none" w:sz="0" w:space="0" w:color="auto"/>
              <w:left w:val="none" w:sz="0" w:space="0" w:color="auto"/>
              <w:bottom w:val="none" w:sz="0" w:space="0" w:color="auto"/>
              <w:right w:val="none" w:sz="0" w:space="0" w:color="auto"/>
            </w:tcBorders>
          </w:tcPr>
          <w:p w14:paraId="65692196" w14:textId="77777777" w:rsidR="00B056B5" w:rsidRPr="000F1987" w:rsidRDefault="00B056B5" w:rsidP="00A75172">
            <w:pPr>
              <w:pStyle w:val="Tableheader"/>
              <w:cnfStyle w:val="100000000000" w:firstRow="1" w:lastRow="0" w:firstColumn="0" w:lastColumn="0" w:oddVBand="0" w:evenVBand="0" w:oddHBand="0" w:evenHBand="0" w:firstRowFirstColumn="0" w:firstRowLastColumn="0" w:lastRowFirstColumn="0" w:lastRowLastColumn="0"/>
              <w:rPr>
                <w:rtl/>
              </w:rPr>
            </w:pPr>
            <w:r w:rsidRPr="000F1987">
              <w:t>Food Production</w:t>
            </w:r>
          </w:p>
        </w:tc>
        <w:tc>
          <w:tcPr>
            <w:tcW w:w="2835" w:type="dxa"/>
            <w:tcBorders>
              <w:top w:val="none" w:sz="0" w:space="0" w:color="auto"/>
              <w:left w:val="none" w:sz="0" w:space="0" w:color="auto"/>
              <w:bottom w:val="none" w:sz="0" w:space="0" w:color="auto"/>
              <w:right w:val="none" w:sz="0" w:space="0" w:color="auto"/>
            </w:tcBorders>
          </w:tcPr>
          <w:p w14:paraId="0D3A6ACF" w14:textId="77777777" w:rsidR="00B056B5" w:rsidRPr="000F1987" w:rsidRDefault="00B056B5" w:rsidP="00A75172">
            <w:pPr>
              <w:pStyle w:val="Tableheader"/>
              <w:cnfStyle w:val="100000000000" w:firstRow="1" w:lastRow="0" w:firstColumn="0" w:lastColumn="0" w:oddVBand="0" w:evenVBand="0" w:oddHBand="0" w:evenHBand="0" w:firstRowFirstColumn="0" w:firstRowLastColumn="0" w:lastRowFirstColumn="0" w:lastRowLastColumn="0"/>
            </w:pPr>
            <w:r w:rsidRPr="000F1987">
              <w:t>Food Rescue</w:t>
            </w:r>
          </w:p>
        </w:tc>
      </w:tr>
      <w:tr w:rsidR="00B056B5" w:rsidRPr="008F3D9C" w14:paraId="74AA88E2" w14:textId="77777777" w:rsidTr="000F1987">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14:paraId="1399CC71" w14:textId="77777777" w:rsidR="00B056B5" w:rsidRPr="00A75172" w:rsidRDefault="00B056B5" w:rsidP="00A75172">
            <w:pPr>
              <w:pStyle w:val="tabletext"/>
              <w:rPr>
                <w:b/>
                <w:bCs/>
                <w:rtl/>
              </w:rPr>
            </w:pPr>
            <w:r w:rsidRPr="00A75172">
              <w:rPr>
                <w:b/>
                <w:bCs/>
              </w:rPr>
              <w:t>Product</w:t>
            </w:r>
          </w:p>
        </w:tc>
        <w:tc>
          <w:tcPr>
            <w:tcW w:w="2399" w:type="dxa"/>
            <w:tcBorders>
              <w:left w:val="none" w:sz="0" w:space="0" w:color="auto"/>
              <w:right w:val="none" w:sz="0" w:space="0" w:color="auto"/>
            </w:tcBorders>
          </w:tcPr>
          <w:p w14:paraId="0E44BF34" w14:textId="77777777" w:rsidR="00B056B5" w:rsidRPr="00A75172" w:rsidRDefault="000F1987" w:rsidP="00A75172">
            <w:pPr>
              <w:pStyle w:val="tabletext"/>
              <w:cnfStyle w:val="000000100000" w:firstRow="0" w:lastRow="0" w:firstColumn="0" w:lastColumn="0" w:oddVBand="0" w:evenVBand="0" w:oddHBand="1" w:evenHBand="0" w:firstRowFirstColumn="0" w:firstRowLastColumn="0" w:lastRowFirstColumn="0" w:lastRowLastColumn="0"/>
              <w:rPr>
                <w:rtl/>
              </w:rPr>
            </w:pPr>
            <w:r w:rsidRPr="00A75172">
              <w:t xml:space="preserve">Fully </w:t>
            </w:r>
            <w:r w:rsidR="00B056B5" w:rsidRPr="00A75172">
              <w:t>Nutritional Food</w:t>
            </w:r>
          </w:p>
        </w:tc>
        <w:tc>
          <w:tcPr>
            <w:tcW w:w="2835" w:type="dxa"/>
            <w:tcBorders>
              <w:left w:val="none" w:sz="0" w:space="0" w:color="auto"/>
            </w:tcBorders>
          </w:tcPr>
          <w:p w14:paraId="7E67F18C" w14:textId="77777777" w:rsidR="00B056B5" w:rsidRPr="00A75172" w:rsidRDefault="004A792C" w:rsidP="00A75172">
            <w:pPr>
              <w:pStyle w:val="tabletext"/>
              <w:cnfStyle w:val="000000100000" w:firstRow="0" w:lastRow="0" w:firstColumn="0" w:lastColumn="0" w:oddVBand="0" w:evenVBand="0" w:oddHBand="1" w:evenHBand="0" w:firstRowFirstColumn="0" w:firstRowLastColumn="0" w:lastRowFirstColumn="0" w:lastRowLastColumn="0"/>
              <w:rPr>
                <w:rtl/>
              </w:rPr>
            </w:pPr>
            <w:r w:rsidRPr="00A75172">
              <w:t>Aesthetically F</w:t>
            </w:r>
            <w:r w:rsidR="00B056B5" w:rsidRPr="00A75172">
              <w:t xml:space="preserve">lawed </w:t>
            </w:r>
            <w:r w:rsidR="000F1987" w:rsidRPr="00A75172">
              <w:t xml:space="preserve">Fully </w:t>
            </w:r>
            <w:r w:rsidR="00B056B5" w:rsidRPr="00A75172">
              <w:t>Nutritional Foods</w:t>
            </w:r>
          </w:p>
        </w:tc>
      </w:tr>
      <w:tr w:rsidR="00B056B5" w:rsidRPr="008F3D9C" w14:paraId="44141F1E" w14:textId="77777777" w:rsidTr="000F1987">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14:paraId="4D523E36" w14:textId="77777777" w:rsidR="00B056B5" w:rsidRPr="00A75172" w:rsidRDefault="00B056B5" w:rsidP="00A75172">
            <w:pPr>
              <w:pStyle w:val="tabletext"/>
              <w:rPr>
                <w:b/>
                <w:bCs/>
                <w:rtl/>
              </w:rPr>
            </w:pPr>
            <w:r w:rsidRPr="00A75172">
              <w:rPr>
                <w:b/>
                <w:bCs/>
              </w:rPr>
              <w:t>Nutritional Value</w:t>
            </w:r>
          </w:p>
        </w:tc>
        <w:tc>
          <w:tcPr>
            <w:tcW w:w="2399" w:type="dxa"/>
            <w:tcBorders>
              <w:left w:val="none" w:sz="0" w:space="0" w:color="auto"/>
              <w:right w:val="none" w:sz="0" w:space="0" w:color="auto"/>
            </w:tcBorders>
          </w:tcPr>
          <w:p w14:paraId="67297E0C" w14:textId="77777777" w:rsidR="00B056B5" w:rsidRPr="00A75172" w:rsidRDefault="008A4815" w:rsidP="00A75172">
            <w:pPr>
              <w:pStyle w:val="tabletext"/>
              <w:jc w:val="center"/>
              <w:cnfStyle w:val="000000010000" w:firstRow="0" w:lastRow="0" w:firstColumn="0" w:lastColumn="0" w:oddVBand="0" w:evenVBand="0" w:oddHBand="0" w:evenHBand="1" w:firstRowFirstColumn="0" w:firstRowLastColumn="0" w:lastRowFirstColumn="0" w:lastRowLastColumn="0"/>
              <w:rPr>
                <w:b w:val="0"/>
                <w:bCs w:val="0"/>
                <w:rtl/>
              </w:rPr>
            </w:pPr>
            <w:r w:rsidRPr="00A75172">
              <w:rPr>
                <w:b w:val="0"/>
                <w:bCs w:val="0"/>
              </w:rPr>
              <w:t>100%</w:t>
            </w:r>
          </w:p>
        </w:tc>
        <w:tc>
          <w:tcPr>
            <w:tcW w:w="2835" w:type="dxa"/>
            <w:tcBorders>
              <w:left w:val="none" w:sz="0" w:space="0" w:color="auto"/>
            </w:tcBorders>
          </w:tcPr>
          <w:p w14:paraId="3DD589CC" w14:textId="77777777" w:rsidR="00B056B5" w:rsidRPr="00A75172" w:rsidRDefault="008A4815" w:rsidP="00A75172">
            <w:pPr>
              <w:pStyle w:val="tabletext"/>
              <w:jc w:val="center"/>
              <w:cnfStyle w:val="000000010000" w:firstRow="0" w:lastRow="0" w:firstColumn="0" w:lastColumn="0" w:oddVBand="0" w:evenVBand="0" w:oddHBand="0" w:evenHBand="1" w:firstRowFirstColumn="0" w:firstRowLastColumn="0" w:lastRowFirstColumn="0" w:lastRowLastColumn="0"/>
              <w:rPr>
                <w:b w:val="0"/>
                <w:bCs w:val="0"/>
                <w:rtl/>
              </w:rPr>
            </w:pPr>
            <w:r w:rsidRPr="00A75172">
              <w:rPr>
                <w:b w:val="0"/>
                <w:bCs w:val="0"/>
              </w:rPr>
              <w:t>100%</w:t>
            </w:r>
          </w:p>
        </w:tc>
      </w:tr>
      <w:tr w:rsidR="00B056B5" w:rsidRPr="008F3D9C" w14:paraId="0AD9D06B" w14:textId="77777777" w:rsidTr="000F1987">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14:paraId="52FA8ABA" w14:textId="77777777" w:rsidR="00B056B5" w:rsidRPr="00A75172" w:rsidRDefault="00B056B5" w:rsidP="00A75172">
            <w:pPr>
              <w:pStyle w:val="tabletext"/>
              <w:rPr>
                <w:b/>
                <w:bCs/>
                <w:rtl/>
              </w:rPr>
            </w:pPr>
            <w:r w:rsidRPr="00A75172">
              <w:rPr>
                <w:b/>
                <w:bCs/>
              </w:rPr>
              <w:t>Land Use</w:t>
            </w:r>
          </w:p>
        </w:tc>
        <w:tc>
          <w:tcPr>
            <w:tcW w:w="2399" w:type="dxa"/>
            <w:tcBorders>
              <w:left w:val="none" w:sz="0" w:space="0" w:color="auto"/>
              <w:right w:val="none" w:sz="0" w:space="0" w:color="auto"/>
            </w:tcBorders>
          </w:tcPr>
          <w:p w14:paraId="70A8F0B0" w14:textId="77777777" w:rsidR="00B056B5" w:rsidRPr="00A75172" w:rsidRDefault="00B056B5" w:rsidP="00A75172">
            <w:pPr>
              <w:pStyle w:val="tabletext"/>
              <w:jc w:val="center"/>
              <w:cnfStyle w:val="000000100000" w:firstRow="0" w:lastRow="0" w:firstColumn="0" w:lastColumn="0" w:oddVBand="0" w:evenVBand="0" w:oddHBand="1" w:evenHBand="0" w:firstRowFirstColumn="0" w:firstRowLastColumn="0" w:lastRowFirstColumn="0" w:lastRowLastColumn="0"/>
              <w:rPr>
                <w:b w:val="0"/>
                <w:bCs w:val="0"/>
                <w:rtl/>
              </w:rPr>
            </w:pPr>
            <w:r w:rsidRPr="00A75172">
              <w:rPr>
                <w:b w:val="0"/>
                <w:bCs w:val="0"/>
              </w:rPr>
              <w:t>Yes</w:t>
            </w:r>
          </w:p>
        </w:tc>
        <w:tc>
          <w:tcPr>
            <w:tcW w:w="2835" w:type="dxa"/>
            <w:tcBorders>
              <w:left w:val="none" w:sz="0" w:space="0" w:color="auto"/>
            </w:tcBorders>
          </w:tcPr>
          <w:p w14:paraId="1C267817" w14:textId="77777777" w:rsidR="00B056B5" w:rsidRPr="00A75172" w:rsidRDefault="00B72CC5" w:rsidP="00A75172">
            <w:pPr>
              <w:pStyle w:val="tabletext"/>
              <w:jc w:val="center"/>
              <w:cnfStyle w:val="000000100000" w:firstRow="0" w:lastRow="0" w:firstColumn="0" w:lastColumn="0" w:oddVBand="0" w:evenVBand="0" w:oddHBand="1" w:evenHBand="0" w:firstRowFirstColumn="0" w:firstRowLastColumn="0" w:lastRowFirstColumn="0" w:lastRowLastColumn="0"/>
              <w:rPr>
                <w:b w:val="0"/>
                <w:bCs w:val="0"/>
              </w:rPr>
            </w:pPr>
            <w:r w:rsidRPr="00A75172">
              <w:rPr>
                <w:b w:val="0"/>
                <w:bCs w:val="0"/>
              </w:rPr>
              <w:t>Negligible</w:t>
            </w:r>
          </w:p>
        </w:tc>
      </w:tr>
      <w:tr w:rsidR="00B056B5" w:rsidRPr="008F3D9C" w14:paraId="2069A01B" w14:textId="77777777" w:rsidTr="000F1987">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14:paraId="611D45FA" w14:textId="77777777" w:rsidR="00B056B5" w:rsidRPr="00A75172" w:rsidRDefault="00B056B5" w:rsidP="00A75172">
            <w:pPr>
              <w:pStyle w:val="tabletext"/>
              <w:rPr>
                <w:b/>
                <w:bCs/>
              </w:rPr>
            </w:pPr>
            <w:r w:rsidRPr="00A75172">
              <w:rPr>
                <w:b/>
                <w:bCs/>
              </w:rPr>
              <w:t>Water Use</w:t>
            </w:r>
          </w:p>
        </w:tc>
        <w:tc>
          <w:tcPr>
            <w:tcW w:w="2399" w:type="dxa"/>
            <w:tcBorders>
              <w:left w:val="none" w:sz="0" w:space="0" w:color="auto"/>
              <w:right w:val="none" w:sz="0" w:space="0" w:color="auto"/>
            </w:tcBorders>
          </w:tcPr>
          <w:p w14:paraId="3B126EFF" w14:textId="77777777" w:rsidR="00B056B5" w:rsidRPr="00A75172" w:rsidRDefault="00B056B5" w:rsidP="00A75172">
            <w:pPr>
              <w:pStyle w:val="tabletext"/>
              <w:jc w:val="center"/>
              <w:cnfStyle w:val="000000010000" w:firstRow="0" w:lastRow="0" w:firstColumn="0" w:lastColumn="0" w:oddVBand="0" w:evenVBand="0" w:oddHBand="0" w:evenHBand="1" w:firstRowFirstColumn="0" w:firstRowLastColumn="0" w:lastRowFirstColumn="0" w:lastRowLastColumn="0"/>
              <w:rPr>
                <w:b w:val="0"/>
                <w:bCs w:val="0"/>
              </w:rPr>
            </w:pPr>
            <w:r w:rsidRPr="00A75172">
              <w:rPr>
                <w:b w:val="0"/>
                <w:bCs w:val="0"/>
              </w:rPr>
              <w:t>Yes</w:t>
            </w:r>
          </w:p>
        </w:tc>
        <w:tc>
          <w:tcPr>
            <w:tcW w:w="2835" w:type="dxa"/>
            <w:tcBorders>
              <w:left w:val="none" w:sz="0" w:space="0" w:color="auto"/>
            </w:tcBorders>
          </w:tcPr>
          <w:p w14:paraId="4D390B0C" w14:textId="77777777" w:rsidR="00B056B5" w:rsidRPr="00A75172" w:rsidRDefault="00B72CC5" w:rsidP="00A75172">
            <w:pPr>
              <w:pStyle w:val="tabletext"/>
              <w:jc w:val="center"/>
              <w:cnfStyle w:val="000000010000" w:firstRow="0" w:lastRow="0" w:firstColumn="0" w:lastColumn="0" w:oddVBand="0" w:evenVBand="0" w:oddHBand="0" w:evenHBand="1" w:firstRowFirstColumn="0" w:firstRowLastColumn="0" w:lastRowFirstColumn="0" w:lastRowLastColumn="0"/>
              <w:rPr>
                <w:b w:val="0"/>
                <w:bCs w:val="0"/>
                <w:rtl/>
              </w:rPr>
            </w:pPr>
            <w:r w:rsidRPr="00A75172">
              <w:rPr>
                <w:b w:val="0"/>
                <w:bCs w:val="0"/>
              </w:rPr>
              <w:t>Negligible</w:t>
            </w:r>
          </w:p>
        </w:tc>
      </w:tr>
      <w:tr w:rsidR="00B056B5" w:rsidRPr="008F3D9C" w14:paraId="5D327D3E" w14:textId="77777777" w:rsidTr="000F1987">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14:paraId="0F2FEFFF" w14:textId="77777777" w:rsidR="00B056B5" w:rsidRPr="00A75172" w:rsidRDefault="00B056B5" w:rsidP="00A75172">
            <w:pPr>
              <w:pStyle w:val="tabletext"/>
              <w:rPr>
                <w:b/>
                <w:bCs/>
                <w:rtl/>
              </w:rPr>
            </w:pPr>
            <w:r w:rsidRPr="00A75172">
              <w:rPr>
                <w:b/>
                <w:bCs/>
              </w:rPr>
              <w:lastRenderedPageBreak/>
              <w:t>Greenhouse Gas Emissions During Production</w:t>
            </w:r>
          </w:p>
        </w:tc>
        <w:tc>
          <w:tcPr>
            <w:tcW w:w="2399" w:type="dxa"/>
            <w:tcBorders>
              <w:left w:val="none" w:sz="0" w:space="0" w:color="auto"/>
              <w:right w:val="none" w:sz="0" w:space="0" w:color="auto"/>
            </w:tcBorders>
          </w:tcPr>
          <w:p w14:paraId="3D16C85A" w14:textId="77777777" w:rsidR="00B056B5" w:rsidRPr="00A75172" w:rsidRDefault="00B056B5" w:rsidP="00A75172">
            <w:pPr>
              <w:pStyle w:val="tabletext"/>
              <w:jc w:val="center"/>
              <w:cnfStyle w:val="000000100000" w:firstRow="0" w:lastRow="0" w:firstColumn="0" w:lastColumn="0" w:oddVBand="0" w:evenVBand="0" w:oddHBand="1" w:evenHBand="0" w:firstRowFirstColumn="0" w:firstRowLastColumn="0" w:lastRowFirstColumn="0" w:lastRowLastColumn="0"/>
              <w:rPr>
                <w:b w:val="0"/>
                <w:bCs w:val="0"/>
                <w:rtl/>
              </w:rPr>
            </w:pPr>
            <w:r w:rsidRPr="00A75172">
              <w:rPr>
                <w:b w:val="0"/>
                <w:bCs w:val="0"/>
              </w:rPr>
              <w:t>Yes</w:t>
            </w:r>
          </w:p>
        </w:tc>
        <w:tc>
          <w:tcPr>
            <w:tcW w:w="2835" w:type="dxa"/>
            <w:tcBorders>
              <w:left w:val="none" w:sz="0" w:space="0" w:color="auto"/>
            </w:tcBorders>
          </w:tcPr>
          <w:p w14:paraId="2E10FFCF" w14:textId="77777777" w:rsidR="00B056B5" w:rsidRPr="00A75172" w:rsidRDefault="00B056B5" w:rsidP="00A75172">
            <w:pPr>
              <w:pStyle w:val="tabletext"/>
              <w:jc w:val="center"/>
              <w:cnfStyle w:val="000000100000" w:firstRow="0" w:lastRow="0" w:firstColumn="0" w:lastColumn="0" w:oddVBand="0" w:evenVBand="0" w:oddHBand="1" w:evenHBand="0" w:firstRowFirstColumn="0" w:firstRowLastColumn="0" w:lastRowFirstColumn="0" w:lastRowLastColumn="0"/>
              <w:rPr>
                <w:b w:val="0"/>
                <w:bCs w:val="0"/>
                <w:rtl/>
              </w:rPr>
            </w:pPr>
            <w:r w:rsidRPr="00A75172">
              <w:rPr>
                <w:b w:val="0"/>
                <w:bCs w:val="0"/>
              </w:rPr>
              <w:t>None</w:t>
            </w:r>
          </w:p>
        </w:tc>
      </w:tr>
      <w:tr w:rsidR="00B056B5" w:rsidRPr="008F3D9C" w14:paraId="16EF8732" w14:textId="77777777" w:rsidTr="000F1987">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14:paraId="74FB9394" w14:textId="77777777" w:rsidR="00B056B5" w:rsidRPr="00A75172" w:rsidRDefault="00B056B5" w:rsidP="00A75172">
            <w:pPr>
              <w:pStyle w:val="tabletext"/>
              <w:rPr>
                <w:b/>
                <w:bCs/>
              </w:rPr>
            </w:pPr>
            <w:r w:rsidRPr="00A75172">
              <w:rPr>
                <w:b/>
                <w:bCs/>
              </w:rPr>
              <w:t>Use of Fertilizers and Pesticides</w:t>
            </w:r>
          </w:p>
        </w:tc>
        <w:tc>
          <w:tcPr>
            <w:tcW w:w="2399" w:type="dxa"/>
            <w:tcBorders>
              <w:left w:val="none" w:sz="0" w:space="0" w:color="auto"/>
              <w:right w:val="none" w:sz="0" w:space="0" w:color="auto"/>
            </w:tcBorders>
          </w:tcPr>
          <w:p w14:paraId="72598FB8" w14:textId="77777777" w:rsidR="00B056B5" w:rsidRPr="00A75172" w:rsidRDefault="00B056B5" w:rsidP="00A75172">
            <w:pPr>
              <w:pStyle w:val="tabletext"/>
              <w:jc w:val="center"/>
              <w:cnfStyle w:val="000000010000" w:firstRow="0" w:lastRow="0" w:firstColumn="0" w:lastColumn="0" w:oddVBand="0" w:evenVBand="0" w:oddHBand="0" w:evenHBand="1" w:firstRowFirstColumn="0" w:firstRowLastColumn="0" w:lastRowFirstColumn="0" w:lastRowLastColumn="0"/>
              <w:rPr>
                <w:b w:val="0"/>
                <w:bCs w:val="0"/>
                <w:rtl/>
              </w:rPr>
            </w:pPr>
            <w:r w:rsidRPr="00A75172">
              <w:rPr>
                <w:b w:val="0"/>
                <w:bCs w:val="0"/>
              </w:rPr>
              <w:t>Yes</w:t>
            </w:r>
          </w:p>
        </w:tc>
        <w:tc>
          <w:tcPr>
            <w:tcW w:w="2835" w:type="dxa"/>
            <w:tcBorders>
              <w:left w:val="none" w:sz="0" w:space="0" w:color="auto"/>
            </w:tcBorders>
          </w:tcPr>
          <w:p w14:paraId="70EB88E4" w14:textId="77777777" w:rsidR="00B056B5" w:rsidRPr="00A75172" w:rsidRDefault="00B056B5" w:rsidP="00A75172">
            <w:pPr>
              <w:pStyle w:val="tabletext"/>
              <w:jc w:val="center"/>
              <w:cnfStyle w:val="000000010000" w:firstRow="0" w:lastRow="0" w:firstColumn="0" w:lastColumn="0" w:oddVBand="0" w:evenVBand="0" w:oddHBand="0" w:evenHBand="1" w:firstRowFirstColumn="0" w:firstRowLastColumn="0" w:lastRowFirstColumn="0" w:lastRowLastColumn="0"/>
              <w:rPr>
                <w:b w:val="0"/>
                <w:bCs w:val="0"/>
                <w:rtl/>
              </w:rPr>
            </w:pPr>
            <w:r w:rsidRPr="00A75172">
              <w:rPr>
                <w:b w:val="0"/>
                <w:bCs w:val="0"/>
              </w:rPr>
              <w:t>None</w:t>
            </w:r>
          </w:p>
        </w:tc>
      </w:tr>
      <w:tr w:rsidR="00B056B5" w:rsidRPr="008F3D9C" w14:paraId="4F1AF422" w14:textId="77777777" w:rsidTr="000F1987">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14:paraId="7E224015" w14:textId="77777777" w:rsidR="00B056B5" w:rsidRPr="00A75172" w:rsidRDefault="00B056B5" w:rsidP="00A75172">
            <w:pPr>
              <w:pStyle w:val="tabletext"/>
              <w:rPr>
                <w:b/>
                <w:bCs/>
                <w:rtl/>
              </w:rPr>
            </w:pPr>
            <w:r w:rsidRPr="00A75172">
              <w:rPr>
                <w:b/>
                <w:bCs/>
              </w:rPr>
              <w:t>Logistics, Distribution and Transportation Costs</w:t>
            </w:r>
          </w:p>
        </w:tc>
        <w:tc>
          <w:tcPr>
            <w:tcW w:w="2399" w:type="dxa"/>
            <w:tcBorders>
              <w:left w:val="none" w:sz="0" w:space="0" w:color="auto"/>
              <w:right w:val="none" w:sz="0" w:space="0" w:color="auto"/>
            </w:tcBorders>
          </w:tcPr>
          <w:p w14:paraId="03016B4E" w14:textId="77777777" w:rsidR="00B056B5" w:rsidRPr="00A75172" w:rsidRDefault="00B056B5" w:rsidP="00A75172">
            <w:pPr>
              <w:pStyle w:val="tabletext"/>
              <w:jc w:val="center"/>
              <w:cnfStyle w:val="000000100000" w:firstRow="0" w:lastRow="0" w:firstColumn="0" w:lastColumn="0" w:oddVBand="0" w:evenVBand="0" w:oddHBand="1" w:evenHBand="0" w:firstRowFirstColumn="0" w:firstRowLastColumn="0" w:lastRowFirstColumn="0" w:lastRowLastColumn="0"/>
              <w:rPr>
                <w:b w:val="0"/>
                <w:bCs w:val="0"/>
                <w:rtl/>
              </w:rPr>
            </w:pPr>
            <w:r w:rsidRPr="00A75172">
              <w:rPr>
                <w:b w:val="0"/>
                <w:bCs w:val="0"/>
              </w:rPr>
              <w:t>Yes</w:t>
            </w:r>
          </w:p>
        </w:tc>
        <w:tc>
          <w:tcPr>
            <w:tcW w:w="2835" w:type="dxa"/>
            <w:tcBorders>
              <w:left w:val="none" w:sz="0" w:space="0" w:color="auto"/>
            </w:tcBorders>
          </w:tcPr>
          <w:p w14:paraId="687E449C" w14:textId="77777777" w:rsidR="00B056B5" w:rsidRPr="00A75172" w:rsidRDefault="00B056B5" w:rsidP="00A75172">
            <w:pPr>
              <w:pStyle w:val="tabletext"/>
              <w:jc w:val="center"/>
              <w:cnfStyle w:val="000000100000" w:firstRow="0" w:lastRow="0" w:firstColumn="0" w:lastColumn="0" w:oddVBand="0" w:evenVBand="0" w:oddHBand="1" w:evenHBand="0" w:firstRowFirstColumn="0" w:firstRowLastColumn="0" w:lastRowFirstColumn="0" w:lastRowLastColumn="0"/>
              <w:rPr>
                <w:b w:val="0"/>
                <w:bCs w:val="0"/>
                <w:rtl/>
              </w:rPr>
            </w:pPr>
            <w:r w:rsidRPr="00A75172">
              <w:rPr>
                <w:b w:val="0"/>
                <w:bCs w:val="0"/>
              </w:rPr>
              <w:t>Yes</w:t>
            </w:r>
          </w:p>
        </w:tc>
      </w:tr>
    </w:tbl>
    <w:p w14:paraId="58149690" w14:textId="77777777" w:rsidR="00B056B5" w:rsidRPr="008F3D9C" w:rsidRDefault="00B056B5" w:rsidP="00CF3848">
      <w:pPr>
        <w:spacing w:after="0" w:line="240" w:lineRule="auto"/>
        <w:jc w:val="center"/>
        <w:rPr>
          <w:rFonts w:ascii="Calibri" w:eastAsia="Calibri" w:hAnsi="Calibri" w:cs="Arial"/>
          <w:b/>
          <w:bCs/>
        </w:rPr>
      </w:pPr>
    </w:p>
    <w:p w14:paraId="28E106D4" w14:textId="77777777" w:rsidR="00560E79" w:rsidRPr="008F3D9C" w:rsidRDefault="000F1987" w:rsidP="008C6D72">
      <w:pPr>
        <w:pStyle w:val="BodyText"/>
      </w:pPr>
      <w:r w:rsidRPr="00A75172">
        <w:rPr>
          <w:b/>
          <w:bCs/>
        </w:rPr>
        <w:t>Out of appro</w:t>
      </w:r>
      <w:r w:rsidR="00560E79" w:rsidRPr="00A75172">
        <w:rPr>
          <w:b/>
          <w:bCs/>
        </w:rPr>
        <w:t xml:space="preserve">ximately </w:t>
      </w:r>
      <w:r w:rsidRPr="00A75172">
        <w:rPr>
          <w:b/>
          <w:bCs/>
        </w:rPr>
        <w:t xml:space="preserve">2.3 million tons of the food wasted, nearly </w:t>
      </w:r>
      <w:r w:rsidR="00560E79" w:rsidRPr="00A75172">
        <w:rPr>
          <w:b/>
          <w:bCs/>
        </w:rPr>
        <w:t>50% is rescuable, equivalent to produc</w:t>
      </w:r>
      <w:r w:rsidR="008C6D72">
        <w:rPr>
          <w:b/>
          <w:bCs/>
        </w:rPr>
        <w:t xml:space="preserve">ing </w:t>
      </w:r>
      <w:r w:rsidR="00560E79" w:rsidRPr="00A75172">
        <w:rPr>
          <w:b/>
          <w:bCs/>
        </w:rPr>
        <w:t>1.</w:t>
      </w:r>
      <w:r w:rsidRPr="00A75172">
        <w:rPr>
          <w:b/>
          <w:bCs/>
        </w:rPr>
        <w:t>1</w:t>
      </w:r>
      <w:r w:rsidR="00560E79" w:rsidRPr="00A75172">
        <w:rPr>
          <w:b/>
          <w:bCs/>
        </w:rPr>
        <w:t xml:space="preserve"> million tons of </w:t>
      </w:r>
      <w:r w:rsidRPr="00A75172">
        <w:rPr>
          <w:b/>
          <w:bCs/>
        </w:rPr>
        <w:t xml:space="preserve">rescuable </w:t>
      </w:r>
      <w:r w:rsidR="00560E79" w:rsidRPr="00A75172">
        <w:rPr>
          <w:b/>
          <w:bCs/>
        </w:rPr>
        <w:t>food</w:t>
      </w:r>
      <w:r w:rsidR="00560E79" w:rsidRPr="008F3D9C">
        <w:t>.</w:t>
      </w:r>
    </w:p>
    <w:p w14:paraId="5BCFB7CC" w14:textId="059F5FD5" w:rsidR="00560E79" w:rsidRPr="00957C1E" w:rsidRDefault="00560E79" w:rsidP="000F6F7D">
      <w:pPr>
        <w:pStyle w:val="BodyText"/>
        <w:rPr>
          <w:b/>
          <w:bCs/>
          <w:rtl/>
        </w:rPr>
      </w:pPr>
      <w:r w:rsidRPr="008F3D9C">
        <w:t>Currently, the majority of food rescue in Israel and abroad is carried out by NPOs, supported by donations.</w:t>
      </w:r>
      <w:r w:rsidR="0057048D" w:rsidRPr="008F3D9C">
        <w:t xml:space="preserve"> </w:t>
      </w:r>
      <w:r w:rsidRPr="008F3D9C">
        <w:t xml:space="preserve">However, even if funding for food rescue is derived from donations, </w:t>
      </w:r>
      <w:r w:rsidRPr="00957C1E">
        <w:rPr>
          <w:b/>
          <w:bCs/>
        </w:rPr>
        <w:t>such activity is</w:t>
      </w:r>
      <w:r w:rsidR="004A792C" w:rsidRPr="00957C1E">
        <w:rPr>
          <w:b/>
          <w:bCs/>
        </w:rPr>
        <w:t xml:space="preserve"> not primarily philanthropic or charitable</w:t>
      </w:r>
      <w:r w:rsidRPr="00957C1E">
        <w:rPr>
          <w:b/>
          <w:bCs/>
        </w:rPr>
        <w:t xml:space="preserve">, but an </w:t>
      </w:r>
      <w:r w:rsidR="00957C1E">
        <w:rPr>
          <w:b/>
          <w:bCs/>
        </w:rPr>
        <w:t>alternative</w:t>
      </w:r>
      <w:r w:rsidRPr="00957C1E">
        <w:rPr>
          <w:b/>
          <w:bCs/>
        </w:rPr>
        <w:t xml:space="preserve"> economic </w:t>
      </w:r>
      <w:r w:rsidR="008D157A">
        <w:rPr>
          <w:b/>
          <w:bCs/>
        </w:rPr>
        <w:t>method</w:t>
      </w:r>
      <w:r w:rsidRPr="00957C1E">
        <w:rPr>
          <w:b/>
          <w:bCs/>
        </w:rPr>
        <w:t xml:space="preserve"> </w:t>
      </w:r>
      <w:r w:rsidR="008D157A">
        <w:rPr>
          <w:b/>
          <w:bCs/>
        </w:rPr>
        <w:t>of</w:t>
      </w:r>
      <w:r w:rsidRPr="00957C1E">
        <w:rPr>
          <w:b/>
          <w:bCs/>
        </w:rPr>
        <w:t xml:space="preserve"> food production, one that is clearly beneficial to the national economy, </w:t>
      </w:r>
      <w:r w:rsidR="00957C1E">
        <w:rPr>
          <w:b/>
          <w:bCs/>
        </w:rPr>
        <w:t xml:space="preserve">above </w:t>
      </w:r>
      <w:r w:rsidR="00FE4621" w:rsidRPr="00957C1E">
        <w:rPr>
          <w:b/>
          <w:bCs/>
        </w:rPr>
        <w:t xml:space="preserve">and </w:t>
      </w:r>
      <w:r w:rsidR="00957C1E">
        <w:rPr>
          <w:b/>
          <w:bCs/>
        </w:rPr>
        <w:t>beyond i</w:t>
      </w:r>
      <w:r w:rsidR="00A75172">
        <w:rPr>
          <w:b/>
          <w:bCs/>
        </w:rPr>
        <w:t>t</w:t>
      </w:r>
      <w:r w:rsidR="00957C1E">
        <w:rPr>
          <w:b/>
          <w:bCs/>
        </w:rPr>
        <w:t xml:space="preserve">s </w:t>
      </w:r>
      <w:r w:rsidR="00FE4621" w:rsidRPr="00957C1E">
        <w:rPr>
          <w:b/>
          <w:bCs/>
        </w:rPr>
        <w:t>contribut</w:t>
      </w:r>
      <w:r w:rsidR="00957C1E">
        <w:rPr>
          <w:b/>
          <w:bCs/>
        </w:rPr>
        <w:t>ion</w:t>
      </w:r>
      <w:r w:rsidR="00FE4621" w:rsidRPr="00957C1E">
        <w:rPr>
          <w:b/>
          <w:bCs/>
        </w:rPr>
        <w:t xml:space="preserve"> to</w:t>
      </w:r>
      <w:r w:rsidRPr="00957C1E">
        <w:rPr>
          <w:b/>
          <w:bCs/>
        </w:rPr>
        <w:t xml:space="preserve"> reducing </w:t>
      </w:r>
      <w:r w:rsidR="000F6F7D">
        <w:rPr>
          <w:b/>
          <w:bCs/>
        </w:rPr>
        <w:t xml:space="preserve">social </w:t>
      </w:r>
      <w:r w:rsidRPr="00957C1E">
        <w:rPr>
          <w:b/>
          <w:bCs/>
        </w:rPr>
        <w:t>inequality.</w:t>
      </w:r>
    </w:p>
    <w:p w14:paraId="4ACB0392" w14:textId="0BC5BB22" w:rsidR="00560E79" w:rsidRPr="008F3D9C" w:rsidRDefault="00560E79" w:rsidP="000F6F7D">
      <w:pPr>
        <w:pStyle w:val="BodyText"/>
      </w:pPr>
      <w:r w:rsidRPr="008F3D9C">
        <w:t xml:space="preserve">According to a study conducted in Australia, the multiplier </w:t>
      </w:r>
      <w:r w:rsidR="00562700" w:rsidRPr="008F3D9C">
        <w:t>for</w:t>
      </w:r>
      <w:r w:rsidRPr="008F3D9C">
        <w:t xml:space="preserve"> the value of rescued food relative to rescue costs is 5.7.</w:t>
      </w:r>
      <w:r w:rsidR="0057048D" w:rsidRPr="008F3D9C">
        <w:t xml:space="preserve"> </w:t>
      </w:r>
      <w:r w:rsidR="004A792C" w:rsidRPr="008F3D9C">
        <w:t>In other words</w:t>
      </w:r>
      <w:r w:rsidRPr="008F3D9C">
        <w:t xml:space="preserve">, every dollar </w:t>
      </w:r>
      <w:r w:rsidR="002F3D2F">
        <w:t xml:space="preserve">invested </w:t>
      </w:r>
      <w:r w:rsidR="000F6F7D">
        <w:t xml:space="preserve">in food rescue </w:t>
      </w:r>
      <w:r w:rsidR="002F3D2F">
        <w:t xml:space="preserve">enables </w:t>
      </w:r>
      <w:r w:rsidR="008D157A">
        <w:t xml:space="preserve">the </w:t>
      </w:r>
      <w:r w:rsidR="000F6F7D">
        <w:t xml:space="preserve">recovery </w:t>
      </w:r>
      <w:r w:rsidR="008D157A">
        <w:t>of</w:t>
      </w:r>
      <w:r w:rsidRPr="008F3D9C">
        <w:t xml:space="preserve"> </w:t>
      </w:r>
      <w:r w:rsidR="000F6F7D">
        <w:t xml:space="preserve">surplus </w:t>
      </w:r>
      <w:r w:rsidRPr="008F3D9C">
        <w:t>food</w:t>
      </w:r>
      <w:r w:rsidR="002F3D2F">
        <w:t xml:space="preserve"> worth </w:t>
      </w:r>
      <w:r w:rsidRPr="008F3D9C">
        <w:t>5.7 dollars.</w:t>
      </w:r>
      <w:r w:rsidR="0057048D" w:rsidRPr="008F3D9C">
        <w:t xml:space="preserve"> </w:t>
      </w:r>
      <w:r w:rsidR="002F3D2F">
        <w:t xml:space="preserve">Moreover, </w:t>
      </w:r>
      <w:r w:rsidR="002F3D2F" w:rsidRPr="008F3D9C">
        <w:t xml:space="preserve">food rescue </w:t>
      </w:r>
      <w:r w:rsidR="002F3D2F">
        <w:t xml:space="preserve">generates </w:t>
      </w:r>
      <w:r w:rsidRPr="008F3D9C">
        <w:t>additional environmental</w:t>
      </w:r>
      <w:r w:rsidR="002F3D2F">
        <w:t>,</w:t>
      </w:r>
      <w:r w:rsidRPr="008F3D9C">
        <w:t xml:space="preserve"> </w:t>
      </w:r>
      <w:r w:rsidR="008575EF" w:rsidRPr="008F3D9C">
        <w:t xml:space="preserve">social </w:t>
      </w:r>
      <w:r w:rsidR="002F3D2F">
        <w:t xml:space="preserve">and health </w:t>
      </w:r>
      <w:r w:rsidRPr="008F3D9C">
        <w:t>benefits.</w:t>
      </w:r>
    </w:p>
    <w:p w14:paraId="6954D88B" w14:textId="325C4A3D" w:rsidR="00560E79" w:rsidRPr="008F3D9C" w:rsidRDefault="00F933F2" w:rsidP="002D6795">
      <w:pPr>
        <w:pStyle w:val="BodyText"/>
      </w:pPr>
      <w:r w:rsidRPr="008F3D9C">
        <w:t xml:space="preserve">Based on </w:t>
      </w:r>
      <w:r w:rsidR="00D41B4A" w:rsidRPr="008F3D9C">
        <w:t xml:space="preserve">Leket Israel’s </w:t>
      </w:r>
      <w:r w:rsidRPr="008F3D9C">
        <w:t>experience</w:t>
      </w:r>
      <w:r w:rsidR="00560E79" w:rsidRPr="008F3D9C">
        <w:t xml:space="preserve">, the cost of </w:t>
      </w:r>
      <w:r w:rsidRPr="008F3D9C">
        <w:t xml:space="preserve">food </w:t>
      </w:r>
      <w:r w:rsidR="00560E79" w:rsidRPr="008F3D9C">
        <w:t xml:space="preserve">rescue is </w:t>
      </w:r>
      <w:r w:rsidRPr="008F3D9C">
        <w:t xml:space="preserve">approximately </w:t>
      </w:r>
      <w:r w:rsidR="00560E79" w:rsidRPr="008F3D9C">
        <w:t>NIS 1.</w:t>
      </w:r>
      <w:r w:rsidR="00D73DD0" w:rsidRPr="008F3D9C">
        <w:t xml:space="preserve">4 </w:t>
      </w:r>
      <w:r w:rsidR="00560E79" w:rsidRPr="008F3D9C">
        <w:t>for every</w:t>
      </w:r>
      <w:r w:rsidR="004A792C" w:rsidRPr="008F3D9C">
        <w:t xml:space="preserve"> </w:t>
      </w:r>
      <w:r w:rsidRPr="008F3D9C">
        <w:t>kilogram</w:t>
      </w:r>
      <w:r w:rsidR="00560E79" w:rsidRPr="008F3D9C">
        <w:t xml:space="preserve"> of food</w:t>
      </w:r>
      <w:r w:rsidR="00A260F4" w:rsidRPr="008F3D9C">
        <w:t>.</w:t>
      </w:r>
      <w:r w:rsidR="0057048D" w:rsidRPr="008F3D9C">
        <w:t xml:space="preserve"> </w:t>
      </w:r>
      <w:r w:rsidR="00A260F4" w:rsidRPr="008F3D9C">
        <w:t xml:space="preserve">The </w:t>
      </w:r>
      <w:r w:rsidR="00536A80" w:rsidRPr="008F3D9C">
        <w:t xml:space="preserve">direct </w:t>
      </w:r>
      <w:r w:rsidR="00A260F4" w:rsidRPr="008F3D9C">
        <w:t xml:space="preserve">value of the food is </w:t>
      </w:r>
      <w:r w:rsidR="00560E79" w:rsidRPr="008F3D9C">
        <w:t>NIS 5.1</w:t>
      </w:r>
      <w:r w:rsidR="00A260F4" w:rsidRPr="008F3D9C">
        <w:t xml:space="preserve"> per </w:t>
      </w:r>
      <w:r w:rsidRPr="008F3D9C">
        <w:t>kilogram</w:t>
      </w:r>
      <w:r w:rsidR="004A792C" w:rsidRPr="008F3D9C">
        <w:t>,</w:t>
      </w:r>
      <w:r w:rsidR="00A260F4" w:rsidRPr="008F3D9C">
        <w:t xml:space="preserve"> </w:t>
      </w:r>
      <w:r w:rsidR="0020476D" w:rsidRPr="008F3D9C">
        <w:t>yielding</w:t>
      </w:r>
      <w:r w:rsidR="004A792C" w:rsidRPr="008F3D9C">
        <w:t xml:space="preserve"> a multiplier</w:t>
      </w:r>
      <w:r w:rsidR="00A260F4" w:rsidRPr="008F3D9C">
        <w:t xml:space="preserve"> effect</w:t>
      </w:r>
      <w:r w:rsidR="004A792C" w:rsidRPr="008F3D9C">
        <w:t xml:space="preserve"> of </w:t>
      </w:r>
      <w:r w:rsidR="00A260F4" w:rsidRPr="008F3D9C">
        <w:t>3.</w:t>
      </w:r>
      <w:r w:rsidR="00D73DD0" w:rsidRPr="008F3D9C">
        <w:t>6</w:t>
      </w:r>
      <w:r w:rsidR="00FF17E4" w:rsidRPr="008F3D9C">
        <w:t>.</w:t>
      </w:r>
      <w:r w:rsidR="002F3D2F">
        <w:t xml:space="preserve"> </w:t>
      </w:r>
      <w:r w:rsidR="004A792C" w:rsidRPr="008F3D9C">
        <w:t>Therefore,</w:t>
      </w:r>
      <w:r w:rsidR="00560E79" w:rsidRPr="008F3D9C">
        <w:t xml:space="preserve"> each NIS 1.0 invested by </w:t>
      </w:r>
      <w:r w:rsidR="004A792C" w:rsidRPr="008F3D9C">
        <w:t xml:space="preserve">NPOs </w:t>
      </w:r>
      <w:r w:rsidR="008A4815" w:rsidRPr="008F3D9C">
        <w:t xml:space="preserve">in food rescue </w:t>
      </w:r>
      <w:r w:rsidR="004A792C" w:rsidRPr="008F3D9C">
        <w:t>provides</w:t>
      </w:r>
      <w:r w:rsidR="00560E79" w:rsidRPr="008F3D9C">
        <w:t xml:space="preserve"> NIS 3.</w:t>
      </w:r>
      <w:r w:rsidR="006A4291">
        <w:t>6</w:t>
      </w:r>
      <w:r w:rsidR="006A4291" w:rsidRPr="008F3D9C">
        <w:t xml:space="preserve"> </w:t>
      </w:r>
      <w:r w:rsidR="00560E79" w:rsidRPr="008F3D9C">
        <w:t>w</w:t>
      </w:r>
      <w:r w:rsidR="004A792C" w:rsidRPr="008F3D9C">
        <w:t xml:space="preserve">orth of food for </w:t>
      </w:r>
      <w:r w:rsidR="002D6795">
        <w:t>the underprivileged populace</w:t>
      </w:r>
      <w:r w:rsidR="00560E79" w:rsidRPr="008F3D9C">
        <w:t>.</w:t>
      </w:r>
      <w:r w:rsidR="0057048D" w:rsidRPr="008F3D9C">
        <w:t xml:space="preserve"> </w:t>
      </w:r>
      <w:r w:rsidR="00A75172" w:rsidRPr="008F3D9C">
        <w:t xml:space="preserve">Food </w:t>
      </w:r>
      <w:r w:rsidR="00560E79" w:rsidRPr="008F3D9C">
        <w:t xml:space="preserve">rescue in Israel is still in its infancy, </w:t>
      </w:r>
      <w:r w:rsidR="00A75172">
        <w:t xml:space="preserve">so </w:t>
      </w:r>
      <w:r w:rsidR="00560E79" w:rsidRPr="008F3D9C">
        <w:t xml:space="preserve">there </w:t>
      </w:r>
      <w:r w:rsidR="009F6D04" w:rsidRPr="008F3D9C">
        <w:t>is</w:t>
      </w:r>
      <w:r w:rsidR="00560E79" w:rsidRPr="008F3D9C">
        <w:t xml:space="preserve"> enormous potential for expan</w:t>
      </w:r>
      <w:r w:rsidR="00A260F4" w:rsidRPr="008F3D9C">
        <w:t>sion</w:t>
      </w:r>
      <w:r w:rsidR="00562700" w:rsidRPr="008F3D9C">
        <w:t xml:space="preserve">, </w:t>
      </w:r>
      <w:r w:rsidR="002C5146" w:rsidRPr="008F3D9C">
        <w:t>utilizing economies</w:t>
      </w:r>
      <w:r w:rsidR="00560E79" w:rsidRPr="008F3D9C">
        <w:t xml:space="preserve"> of scale </w:t>
      </w:r>
      <w:r w:rsidR="00A260F4" w:rsidRPr="008F3D9C">
        <w:t xml:space="preserve">to </w:t>
      </w:r>
      <w:r w:rsidR="00C023CD" w:rsidRPr="008F3D9C">
        <w:t>reduce</w:t>
      </w:r>
      <w:r w:rsidR="00560E79" w:rsidRPr="008F3D9C">
        <w:t xml:space="preserve"> the cost of food rescue</w:t>
      </w:r>
      <w:r w:rsidR="004A792C" w:rsidRPr="008F3D9C">
        <w:t>,</w:t>
      </w:r>
      <w:r w:rsidR="00560E79" w:rsidRPr="008F3D9C">
        <w:t xml:space="preserve"> and/or rais</w:t>
      </w:r>
      <w:r w:rsidR="00A260F4" w:rsidRPr="008F3D9C">
        <w:t>e</w:t>
      </w:r>
      <w:r w:rsidR="00560E79" w:rsidRPr="008F3D9C">
        <w:t xml:space="preserve"> the </w:t>
      </w:r>
      <w:r w:rsidR="00560E79" w:rsidRPr="008F3D9C">
        <w:lastRenderedPageBreak/>
        <w:t>value of rescued</w:t>
      </w:r>
      <w:r w:rsidR="004A792C" w:rsidRPr="008F3D9C">
        <w:t xml:space="preserve"> products</w:t>
      </w:r>
      <w:r w:rsidR="00562700" w:rsidRPr="008F3D9C">
        <w:t xml:space="preserve">, which </w:t>
      </w:r>
      <w:r w:rsidR="00560E79" w:rsidRPr="008F3D9C">
        <w:t xml:space="preserve">would in time </w:t>
      </w:r>
      <w:r w:rsidR="000F6F7D">
        <w:t xml:space="preserve">enable </w:t>
      </w:r>
      <w:r w:rsidR="00560E79" w:rsidRPr="008F3D9C">
        <w:t>the multiplier</w:t>
      </w:r>
      <w:r w:rsidR="000F6F7D">
        <w:t xml:space="preserve"> to increase</w:t>
      </w:r>
      <w:r w:rsidR="00560E79" w:rsidRPr="008F3D9C">
        <w:t>.</w:t>
      </w:r>
      <w:r w:rsidR="0057048D" w:rsidRPr="008F3D9C">
        <w:t xml:space="preserve"> </w:t>
      </w:r>
      <w:r w:rsidR="00560E79" w:rsidRPr="008F3D9C">
        <w:t xml:space="preserve">However, </w:t>
      </w:r>
      <w:r w:rsidR="009B1197" w:rsidRPr="008F3D9C">
        <w:t>to be conservative in our estimat</w:t>
      </w:r>
      <w:r w:rsidR="008C6D72">
        <w:t>e</w:t>
      </w:r>
      <w:r w:rsidR="009B1197" w:rsidRPr="008F3D9C">
        <w:t>s,</w:t>
      </w:r>
      <w:r w:rsidR="00560E79" w:rsidRPr="008F3D9C">
        <w:t xml:space="preserve"> we have based our assessments on the current cost structure. </w:t>
      </w:r>
    </w:p>
    <w:p w14:paraId="77044AE6" w14:textId="4548BE28" w:rsidR="00560E79" w:rsidRPr="008F3D9C" w:rsidRDefault="00560E79" w:rsidP="000F6F7D">
      <w:pPr>
        <w:pStyle w:val="BodyText"/>
      </w:pPr>
      <w:r w:rsidRPr="007D4905">
        <w:t xml:space="preserve">In terms of benefit to </w:t>
      </w:r>
      <w:r w:rsidR="008A4815" w:rsidRPr="007D4905">
        <w:t xml:space="preserve">the </w:t>
      </w:r>
      <w:r w:rsidRPr="007D4905">
        <w:t>national economy, it is also necessary to cons</w:t>
      </w:r>
      <w:r w:rsidR="004A792C" w:rsidRPr="007D4905">
        <w:t xml:space="preserve">ider the positive environmental and </w:t>
      </w:r>
      <w:r w:rsidR="009F6D04" w:rsidRPr="007D4905">
        <w:t>social</w:t>
      </w:r>
      <w:r w:rsidRPr="007D4905">
        <w:t xml:space="preserve"> contribution</w:t>
      </w:r>
      <w:r w:rsidR="004A792C" w:rsidRPr="007D4905">
        <w:t>s</w:t>
      </w:r>
      <w:r w:rsidRPr="008F3D9C">
        <w:t xml:space="preserve"> of food rescue.</w:t>
      </w:r>
      <w:r w:rsidR="0057048D" w:rsidRPr="008F3D9C">
        <w:t xml:space="preserve"> </w:t>
      </w:r>
      <w:r w:rsidR="008C76B6">
        <w:t>Th</w:t>
      </w:r>
      <w:r w:rsidR="007D4905">
        <w:t xml:space="preserve">is report does </w:t>
      </w:r>
      <w:r w:rsidR="008C76B6">
        <w:t xml:space="preserve">not </w:t>
      </w:r>
      <w:r w:rsidR="007D4905">
        <w:t xml:space="preserve">estimate </w:t>
      </w:r>
      <w:r w:rsidR="008D157A">
        <w:t>these</w:t>
      </w:r>
      <w:r w:rsidR="007D4905">
        <w:t xml:space="preserve"> influences </w:t>
      </w:r>
      <w:r w:rsidRPr="008F3D9C">
        <w:t>in the context of the Israeli economy</w:t>
      </w:r>
      <w:r w:rsidR="008D157A">
        <w:t>. However, assuming</w:t>
      </w:r>
      <w:r w:rsidR="008A4815" w:rsidRPr="008F3D9C">
        <w:t xml:space="preserve"> </w:t>
      </w:r>
      <w:r w:rsidR="00A75172">
        <w:t xml:space="preserve">that these </w:t>
      </w:r>
      <w:r w:rsidR="008A4815" w:rsidRPr="008F3D9C">
        <w:t xml:space="preserve">environmental and </w:t>
      </w:r>
      <w:r w:rsidR="009F6D04" w:rsidRPr="008F3D9C">
        <w:t>social</w:t>
      </w:r>
      <w:r w:rsidRPr="008F3D9C">
        <w:t xml:space="preserve"> benefits are similar to the average costs around the world, the multiplier would increase to 7.</w:t>
      </w:r>
      <w:r w:rsidR="00D73DD0" w:rsidRPr="008F3D9C">
        <w:t>2</w:t>
      </w:r>
      <w:r w:rsidRPr="008F3D9C">
        <w:t>.</w:t>
      </w:r>
      <w:r w:rsidR="0057048D" w:rsidRPr="008F3D9C">
        <w:t xml:space="preserve"> </w:t>
      </w:r>
      <w:r w:rsidR="009F6D04" w:rsidRPr="008F3D9C">
        <w:t>A</w:t>
      </w:r>
      <w:r w:rsidRPr="008F3D9C">
        <w:t xml:space="preserve"> calculation that includes environmental </w:t>
      </w:r>
      <w:r w:rsidR="008575EF" w:rsidRPr="008F3D9C">
        <w:t xml:space="preserve">benefits </w:t>
      </w:r>
      <w:r w:rsidR="004A792C" w:rsidRPr="008F3D9C">
        <w:t xml:space="preserve">would </w:t>
      </w:r>
      <w:r w:rsidR="009F6D04" w:rsidRPr="008F3D9C">
        <w:t xml:space="preserve">show </w:t>
      </w:r>
      <w:r w:rsidRPr="008F3D9C">
        <w:t>that every NIS 1.0 invested in food rescue generates NIS 7.</w:t>
      </w:r>
      <w:r w:rsidR="00D73DD0" w:rsidRPr="008F3D9C">
        <w:t xml:space="preserve">2 </w:t>
      </w:r>
      <w:r w:rsidRPr="008F3D9C">
        <w:t>to the national economy.</w:t>
      </w:r>
      <w:r w:rsidR="0057048D" w:rsidRPr="008F3D9C">
        <w:t xml:space="preserve"> </w:t>
      </w:r>
    </w:p>
    <w:p w14:paraId="7ABA43CD" w14:textId="77777777" w:rsidR="008C6D72" w:rsidRDefault="008C6D72">
      <w:pPr>
        <w:rPr>
          <w:rFonts w:eastAsia="Calibri" w:cs="Times New Roman"/>
          <w:b/>
          <w:bCs/>
          <w:sz w:val="24"/>
          <w:szCs w:val="24"/>
        </w:rPr>
      </w:pPr>
      <w:r>
        <w:br w:type="page"/>
      </w:r>
    </w:p>
    <w:p w14:paraId="56C7FF31" w14:textId="77777777" w:rsidR="00B056B5" w:rsidRPr="007D4905" w:rsidRDefault="00B056B5" w:rsidP="00A75172">
      <w:pPr>
        <w:pStyle w:val="Graphtitle"/>
      </w:pPr>
      <w:r w:rsidRPr="007D4905">
        <w:lastRenderedPageBreak/>
        <w:t>Food Rescue Feasibility Assessment</w:t>
      </w:r>
    </w:p>
    <w:p w14:paraId="5195CE0C" w14:textId="77777777" w:rsidR="00CF3848" w:rsidRPr="007D4905" w:rsidRDefault="00E1287E" w:rsidP="00A75172">
      <w:pPr>
        <w:pStyle w:val="Graphtitle"/>
      </w:pPr>
      <w:r w:rsidRPr="007D4905">
        <w:t xml:space="preserve">Food Cost / Benefit </w:t>
      </w:r>
      <w:r w:rsidR="00FF17E4" w:rsidRPr="007D4905">
        <w:t xml:space="preserve">NIS </w:t>
      </w:r>
      <w:r w:rsidRPr="007D4905">
        <w:t>(per kg.</w:t>
      </w:r>
      <w:r w:rsidR="007D4905" w:rsidRPr="007D4905">
        <w:t xml:space="preserve"> food</w:t>
      </w:r>
      <w:r w:rsidRPr="007D4905">
        <w:t>)</w:t>
      </w:r>
    </w:p>
    <w:tbl>
      <w:tblPr>
        <w:tblW w:w="9796" w:type="dxa"/>
        <w:tblInd w:w="93" w:type="dxa"/>
        <w:tblLayout w:type="fixed"/>
        <w:tblLook w:val="04A0" w:firstRow="1" w:lastRow="0" w:firstColumn="1" w:lastColumn="0" w:noHBand="0" w:noVBand="1"/>
      </w:tblPr>
      <w:tblGrid>
        <w:gridCol w:w="2000"/>
        <w:gridCol w:w="992"/>
        <w:gridCol w:w="1559"/>
        <w:gridCol w:w="1418"/>
        <w:gridCol w:w="850"/>
        <w:gridCol w:w="1134"/>
        <w:gridCol w:w="1843"/>
      </w:tblGrid>
      <w:tr w:rsidR="00D73DD0" w:rsidRPr="008F3D9C" w14:paraId="60CBFBA1" w14:textId="77777777" w:rsidTr="008C6D72">
        <w:trPr>
          <w:trHeight w:val="285"/>
        </w:trPr>
        <w:tc>
          <w:tcPr>
            <w:tcW w:w="2000" w:type="dxa"/>
            <w:tcBorders>
              <w:top w:val="single" w:sz="4" w:space="0" w:color="4F81BD"/>
              <w:left w:val="single" w:sz="4" w:space="0" w:color="4F81BD"/>
              <w:bottom w:val="nil"/>
              <w:right w:val="nil"/>
            </w:tcBorders>
            <w:shd w:val="clear" w:color="4F81BD" w:fill="4F81BD"/>
          </w:tcPr>
          <w:p w14:paraId="7B0E74A1" w14:textId="77777777" w:rsidR="00D73DD0" w:rsidRPr="007D4905" w:rsidRDefault="00D73DD0" w:rsidP="00B6579D">
            <w:pPr>
              <w:spacing w:after="0" w:line="240" w:lineRule="auto"/>
              <w:jc w:val="center"/>
              <w:rPr>
                <w:rFonts w:eastAsia="Times New Roman" w:cstheme="minorHAnsi"/>
                <w:b/>
                <w:bCs/>
                <w:color w:val="FFFFFF"/>
                <w:sz w:val="20"/>
                <w:szCs w:val="20"/>
                <w:rtl/>
              </w:rPr>
            </w:pPr>
          </w:p>
        </w:tc>
        <w:tc>
          <w:tcPr>
            <w:tcW w:w="992" w:type="dxa"/>
            <w:tcBorders>
              <w:top w:val="single" w:sz="4" w:space="0" w:color="4F81BD"/>
              <w:left w:val="single" w:sz="4" w:space="0" w:color="4F81BD"/>
              <w:bottom w:val="nil"/>
              <w:right w:val="nil"/>
            </w:tcBorders>
            <w:shd w:val="clear" w:color="4F81BD" w:fill="4F81BD"/>
            <w:noWrap/>
            <w:vAlign w:val="center"/>
            <w:hideMark/>
          </w:tcPr>
          <w:p w14:paraId="749D2F42" w14:textId="77777777" w:rsidR="00D73DD0" w:rsidRPr="007D4905" w:rsidRDefault="00D73DD0" w:rsidP="0017340B">
            <w:pPr>
              <w:spacing w:after="0" w:line="240" w:lineRule="auto"/>
              <w:jc w:val="center"/>
              <w:rPr>
                <w:rFonts w:eastAsia="Times New Roman" w:cstheme="minorHAnsi"/>
                <w:b/>
                <w:bCs/>
                <w:color w:val="FFFFFF" w:themeColor="background1"/>
                <w:sz w:val="20"/>
                <w:szCs w:val="20"/>
              </w:rPr>
            </w:pPr>
            <w:r w:rsidRPr="007D4905">
              <w:rPr>
                <w:rFonts w:eastAsia="Calibri" w:cstheme="minorHAnsi"/>
                <w:b/>
                <w:bCs/>
                <w:color w:val="FFFFFF" w:themeColor="background1"/>
                <w:sz w:val="20"/>
                <w:szCs w:val="20"/>
              </w:rPr>
              <w:t>Rescued Food Value</w:t>
            </w:r>
            <w:r w:rsidR="0017340B">
              <w:rPr>
                <w:rFonts w:eastAsia="Calibri" w:cstheme="minorHAnsi"/>
                <w:b/>
                <w:bCs/>
                <w:color w:val="FFFFFF" w:themeColor="background1"/>
                <w:sz w:val="20"/>
                <w:szCs w:val="20"/>
              </w:rPr>
              <w:t>*</w:t>
            </w:r>
          </w:p>
        </w:tc>
        <w:tc>
          <w:tcPr>
            <w:tcW w:w="1559" w:type="dxa"/>
            <w:tcBorders>
              <w:top w:val="single" w:sz="4" w:space="0" w:color="4F81BD"/>
              <w:left w:val="nil"/>
              <w:bottom w:val="nil"/>
              <w:right w:val="nil"/>
            </w:tcBorders>
            <w:shd w:val="clear" w:color="4F81BD" w:fill="4F81BD"/>
            <w:noWrap/>
            <w:vAlign w:val="center"/>
            <w:hideMark/>
          </w:tcPr>
          <w:p w14:paraId="4D2AF109" w14:textId="77777777" w:rsidR="00D73DD0" w:rsidRPr="007D4905" w:rsidRDefault="00D73DD0" w:rsidP="00B6579D">
            <w:pPr>
              <w:spacing w:after="0" w:line="240" w:lineRule="auto"/>
              <w:jc w:val="center"/>
              <w:rPr>
                <w:rFonts w:eastAsia="Times New Roman" w:cstheme="minorHAnsi"/>
                <w:b/>
                <w:bCs/>
                <w:color w:val="FFFFFF" w:themeColor="background1"/>
                <w:sz w:val="20"/>
                <w:szCs w:val="20"/>
              </w:rPr>
            </w:pPr>
            <w:r w:rsidRPr="007D4905">
              <w:rPr>
                <w:rFonts w:eastAsia="Calibri" w:cstheme="minorHAnsi"/>
                <w:b/>
                <w:bCs/>
                <w:color w:val="FFFFFF" w:themeColor="background1"/>
                <w:sz w:val="20"/>
                <w:szCs w:val="20"/>
              </w:rPr>
              <w:t>Environmental-Social Contribution (FAO)</w:t>
            </w:r>
          </w:p>
        </w:tc>
        <w:tc>
          <w:tcPr>
            <w:tcW w:w="1418" w:type="dxa"/>
            <w:tcBorders>
              <w:top w:val="single" w:sz="4" w:space="0" w:color="4F81BD"/>
              <w:left w:val="nil"/>
              <w:bottom w:val="nil"/>
              <w:right w:val="nil"/>
            </w:tcBorders>
            <w:shd w:val="clear" w:color="4F81BD" w:fill="4F81BD"/>
            <w:noWrap/>
            <w:vAlign w:val="center"/>
            <w:hideMark/>
          </w:tcPr>
          <w:p w14:paraId="036DBC11" w14:textId="77777777" w:rsidR="00D73DD0" w:rsidRPr="007D4905" w:rsidRDefault="00D73DD0" w:rsidP="00B6579D">
            <w:pPr>
              <w:spacing w:after="0" w:line="240" w:lineRule="auto"/>
              <w:jc w:val="center"/>
              <w:rPr>
                <w:rFonts w:eastAsia="Times New Roman" w:cstheme="minorHAnsi"/>
                <w:b/>
                <w:bCs/>
                <w:color w:val="FFFFFF" w:themeColor="background1"/>
                <w:sz w:val="20"/>
                <w:szCs w:val="20"/>
              </w:rPr>
            </w:pPr>
            <w:r w:rsidRPr="007D4905">
              <w:rPr>
                <w:rFonts w:eastAsia="Calibri" w:cstheme="minorHAnsi"/>
                <w:b/>
                <w:bCs/>
                <w:color w:val="FFFFFF" w:themeColor="background1"/>
                <w:sz w:val="20"/>
                <w:szCs w:val="20"/>
              </w:rPr>
              <w:t>Total Value to the National Economy</w:t>
            </w:r>
          </w:p>
        </w:tc>
        <w:tc>
          <w:tcPr>
            <w:tcW w:w="850" w:type="dxa"/>
            <w:tcBorders>
              <w:top w:val="single" w:sz="4" w:space="0" w:color="4F81BD"/>
              <w:left w:val="nil"/>
              <w:bottom w:val="nil"/>
              <w:right w:val="nil"/>
            </w:tcBorders>
            <w:shd w:val="clear" w:color="4F81BD" w:fill="4F81BD"/>
            <w:noWrap/>
            <w:vAlign w:val="center"/>
            <w:hideMark/>
          </w:tcPr>
          <w:p w14:paraId="23D48AD4" w14:textId="77777777" w:rsidR="00D73DD0" w:rsidRPr="007D4905" w:rsidRDefault="00D73DD0" w:rsidP="00B6579D">
            <w:pPr>
              <w:spacing w:after="0" w:line="240" w:lineRule="auto"/>
              <w:jc w:val="center"/>
              <w:rPr>
                <w:rFonts w:eastAsia="Calibri" w:cstheme="minorHAnsi"/>
                <w:b/>
                <w:bCs/>
                <w:color w:val="FFFFFF" w:themeColor="background1"/>
                <w:sz w:val="20"/>
                <w:szCs w:val="20"/>
              </w:rPr>
            </w:pPr>
            <w:r w:rsidRPr="007D4905">
              <w:rPr>
                <w:rFonts w:eastAsia="Calibri" w:cstheme="minorHAnsi"/>
                <w:b/>
                <w:bCs/>
                <w:color w:val="FFFFFF" w:themeColor="background1"/>
                <w:sz w:val="20"/>
                <w:szCs w:val="20"/>
              </w:rPr>
              <w:t>Rescue Cost</w:t>
            </w:r>
          </w:p>
        </w:tc>
        <w:tc>
          <w:tcPr>
            <w:tcW w:w="1134" w:type="dxa"/>
            <w:tcBorders>
              <w:top w:val="single" w:sz="4" w:space="0" w:color="4F81BD"/>
              <w:left w:val="nil"/>
              <w:bottom w:val="nil"/>
              <w:right w:val="nil"/>
            </w:tcBorders>
            <w:shd w:val="clear" w:color="4F81BD" w:fill="4F81BD"/>
            <w:noWrap/>
            <w:vAlign w:val="center"/>
            <w:hideMark/>
          </w:tcPr>
          <w:p w14:paraId="2BDEB8C4" w14:textId="77777777" w:rsidR="00D73DD0" w:rsidRPr="007D4905" w:rsidRDefault="00D73DD0" w:rsidP="00B6579D">
            <w:pPr>
              <w:spacing w:after="0" w:line="240" w:lineRule="auto"/>
              <w:jc w:val="center"/>
              <w:rPr>
                <w:rFonts w:eastAsia="Calibri" w:cstheme="minorHAnsi"/>
                <w:b/>
                <w:bCs/>
                <w:color w:val="FFFFFF" w:themeColor="background1"/>
                <w:sz w:val="20"/>
                <w:szCs w:val="20"/>
              </w:rPr>
            </w:pPr>
            <w:r w:rsidRPr="007D4905">
              <w:rPr>
                <w:rFonts w:eastAsia="Calibri" w:cstheme="minorHAnsi"/>
                <w:b/>
                <w:bCs/>
                <w:color w:val="FFFFFF" w:themeColor="background1"/>
                <w:sz w:val="20"/>
                <w:szCs w:val="20"/>
              </w:rPr>
              <w:t>Gain from Food Rescue</w:t>
            </w:r>
          </w:p>
        </w:tc>
        <w:tc>
          <w:tcPr>
            <w:tcW w:w="1843" w:type="dxa"/>
            <w:tcBorders>
              <w:top w:val="single" w:sz="4" w:space="0" w:color="4F81BD"/>
              <w:left w:val="nil"/>
              <w:bottom w:val="nil"/>
              <w:right w:val="single" w:sz="4" w:space="0" w:color="4F81BD"/>
            </w:tcBorders>
            <w:shd w:val="clear" w:color="4F81BD" w:fill="4F81BD"/>
            <w:noWrap/>
            <w:vAlign w:val="center"/>
            <w:hideMark/>
          </w:tcPr>
          <w:p w14:paraId="1A62F133" w14:textId="77777777" w:rsidR="00D73DD0" w:rsidRPr="007D4905" w:rsidRDefault="00D73DD0" w:rsidP="00B6579D">
            <w:pPr>
              <w:spacing w:after="0" w:line="240" w:lineRule="auto"/>
              <w:jc w:val="center"/>
              <w:rPr>
                <w:rFonts w:eastAsia="Calibri" w:cstheme="minorHAnsi"/>
                <w:b/>
                <w:bCs/>
                <w:color w:val="FFFFFF" w:themeColor="background1"/>
                <w:sz w:val="20"/>
                <w:szCs w:val="20"/>
              </w:rPr>
            </w:pPr>
            <w:r w:rsidRPr="007D4905">
              <w:rPr>
                <w:rFonts w:eastAsia="Calibri" w:cstheme="minorHAnsi"/>
                <w:b/>
                <w:bCs/>
                <w:color w:val="FFFFFF" w:themeColor="background1"/>
                <w:sz w:val="20"/>
                <w:szCs w:val="20"/>
              </w:rPr>
              <w:t>Multiplier value of rescued food/</w:t>
            </w:r>
            <w:r w:rsidR="008C6D72">
              <w:rPr>
                <w:rFonts w:eastAsia="Calibri" w:cstheme="minorHAnsi"/>
                <w:b/>
                <w:bCs/>
                <w:color w:val="FFFFFF" w:themeColor="background1"/>
                <w:sz w:val="20"/>
                <w:szCs w:val="20"/>
              </w:rPr>
              <w:t xml:space="preserve"> </w:t>
            </w:r>
            <w:r w:rsidRPr="007D4905">
              <w:rPr>
                <w:rFonts w:eastAsia="Calibri" w:cstheme="minorHAnsi"/>
                <w:b/>
                <w:bCs/>
                <w:color w:val="FFFFFF" w:themeColor="background1"/>
                <w:sz w:val="20"/>
                <w:szCs w:val="20"/>
              </w:rPr>
              <w:t>rescue cost</w:t>
            </w:r>
          </w:p>
        </w:tc>
      </w:tr>
      <w:tr w:rsidR="007D4905" w:rsidRPr="008F3D9C" w14:paraId="516EB8FF" w14:textId="77777777" w:rsidTr="008C6D72">
        <w:trPr>
          <w:trHeight w:val="285"/>
        </w:trPr>
        <w:tc>
          <w:tcPr>
            <w:tcW w:w="2000" w:type="dxa"/>
            <w:tcBorders>
              <w:top w:val="single" w:sz="4" w:space="0" w:color="4F81BD"/>
              <w:left w:val="single" w:sz="4" w:space="0" w:color="4F81BD"/>
              <w:bottom w:val="nil"/>
              <w:right w:val="nil"/>
            </w:tcBorders>
          </w:tcPr>
          <w:p w14:paraId="0C8141FB" w14:textId="77777777" w:rsidR="007D4905" w:rsidRPr="007D4905" w:rsidRDefault="007D4905" w:rsidP="00A75172">
            <w:pPr>
              <w:spacing w:after="0" w:line="240" w:lineRule="auto"/>
              <w:rPr>
                <w:rFonts w:cstheme="minorHAnsi"/>
                <w:color w:val="000000"/>
                <w:sz w:val="20"/>
                <w:szCs w:val="20"/>
              </w:rPr>
            </w:pPr>
            <w:r w:rsidRPr="007D4905">
              <w:rPr>
                <w:rFonts w:eastAsia="Calibri" w:cstheme="minorHAnsi"/>
                <w:sz w:val="20"/>
                <w:szCs w:val="20"/>
              </w:rPr>
              <w:t>Benefit to National Economy – Excluding External Factors</w:t>
            </w:r>
          </w:p>
        </w:tc>
        <w:tc>
          <w:tcPr>
            <w:tcW w:w="992" w:type="dxa"/>
            <w:tcBorders>
              <w:top w:val="single" w:sz="4" w:space="0" w:color="4F81BD"/>
              <w:left w:val="single" w:sz="4" w:space="0" w:color="4F81BD"/>
              <w:bottom w:val="nil"/>
              <w:right w:val="nil"/>
            </w:tcBorders>
            <w:shd w:val="clear" w:color="auto" w:fill="auto"/>
            <w:noWrap/>
            <w:vAlign w:val="center"/>
            <w:hideMark/>
          </w:tcPr>
          <w:p w14:paraId="55CD02A3" w14:textId="77777777" w:rsidR="007D4905" w:rsidRPr="007D4905" w:rsidRDefault="007D4905" w:rsidP="007D4905">
            <w:pPr>
              <w:spacing w:after="0" w:line="240" w:lineRule="auto"/>
              <w:jc w:val="center"/>
              <w:rPr>
                <w:rFonts w:eastAsia="Times New Roman" w:cstheme="minorHAnsi"/>
                <w:color w:val="000000"/>
                <w:sz w:val="20"/>
                <w:szCs w:val="20"/>
                <w:rtl/>
              </w:rPr>
            </w:pPr>
            <w:r w:rsidRPr="007D4905">
              <w:rPr>
                <w:rFonts w:cstheme="minorHAnsi"/>
                <w:color w:val="000000"/>
                <w:sz w:val="20"/>
                <w:szCs w:val="20"/>
              </w:rPr>
              <w:t>NIS 5.1</w:t>
            </w:r>
            <w:r w:rsidRPr="007D4905">
              <w:rPr>
                <w:rFonts w:cstheme="minorHAnsi"/>
                <w:color w:val="000000"/>
                <w:sz w:val="20"/>
                <w:szCs w:val="20"/>
                <w:rtl/>
              </w:rPr>
              <w:t xml:space="preserve"> </w:t>
            </w:r>
          </w:p>
        </w:tc>
        <w:tc>
          <w:tcPr>
            <w:tcW w:w="1559" w:type="dxa"/>
            <w:tcBorders>
              <w:top w:val="single" w:sz="4" w:space="0" w:color="4F81BD"/>
              <w:left w:val="nil"/>
              <w:bottom w:val="nil"/>
              <w:right w:val="nil"/>
            </w:tcBorders>
            <w:shd w:val="clear" w:color="auto" w:fill="auto"/>
            <w:noWrap/>
            <w:vAlign w:val="center"/>
          </w:tcPr>
          <w:p w14:paraId="34EB19DB" w14:textId="77777777" w:rsidR="007D4905" w:rsidRPr="007D4905" w:rsidRDefault="007D4905" w:rsidP="00B6579D">
            <w:pPr>
              <w:spacing w:after="0" w:line="240" w:lineRule="auto"/>
              <w:jc w:val="center"/>
              <w:rPr>
                <w:rFonts w:eastAsia="Times New Roman" w:cstheme="minorHAnsi"/>
                <w:color w:val="000000"/>
                <w:sz w:val="20"/>
                <w:szCs w:val="20"/>
              </w:rPr>
            </w:pPr>
            <w:r w:rsidRPr="007D4905">
              <w:rPr>
                <w:rFonts w:eastAsia="Times New Roman" w:cstheme="minorHAnsi"/>
                <w:color w:val="000000"/>
                <w:sz w:val="20"/>
                <w:szCs w:val="20"/>
              </w:rPr>
              <w:t>Not included</w:t>
            </w:r>
          </w:p>
        </w:tc>
        <w:tc>
          <w:tcPr>
            <w:tcW w:w="1418" w:type="dxa"/>
            <w:tcBorders>
              <w:top w:val="single" w:sz="4" w:space="0" w:color="4F81BD"/>
              <w:left w:val="nil"/>
              <w:bottom w:val="nil"/>
              <w:right w:val="nil"/>
            </w:tcBorders>
            <w:shd w:val="clear" w:color="auto" w:fill="auto"/>
            <w:noWrap/>
            <w:vAlign w:val="center"/>
            <w:hideMark/>
          </w:tcPr>
          <w:p w14:paraId="3A4BBCF4" w14:textId="77777777" w:rsidR="007D4905" w:rsidRPr="007D4905" w:rsidRDefault="007D4905" w:rsidP="002E14FC">
            <w:pPr>
              <w:spacing w:after="0" w:line="240" w:lineRule="auto"/>
              <w:jc w:val="center"/>
              <w:rPr>
                <w:rFonts w:eastAsia="Times New Roman" w:cstheme="minorHAnsi"/>
                <w:color w:val="000000"/>
                <w:sz w:val="20"/>
                <w:szCs w:val="20"/>
                <w:rtl/>
              </w:rPr>
            </w:pPr>
            <w:r w:rsidRPr="007D4905">
              <w:rPr>
                <w:rFonts w:cstheme="minorHAnsi"/>
                <w:color w:val="000000"/>
                <w:sz w:val="20"/>
                <w:szCs w:val="20"/>
              </w:rPr>
              <w:t>NIS 5.1</w:t>
            </w:r>
            <w:r w:rsidRPr="007D4905">
              <w:rPr>
                <w:rFonts w:cstheme="minorHAnsi"/>
                <w:color w:val="000000"/>
                <w:sz w:val="20"/>
                <w:szCs w:val="20"/>
                <w:rtl/>
              </w:rPr>
              <w:t xml:space="preserve"> </w:t>
            </w:r>
          </w:p>
        </w:tc>
        <w:tc>
          <w:tcPr>
            <w:tcW w:w="850" w:type="dxa"/>
            <w:tcBorders>
              <w:top w:val="single" w:sz="4" w:space="0" w:color="4F81BD"/>
              <w:left w:val="nil"/>
              <w:bottom w:val="nil"/>
              <w:right w:val="nil"/>
            </w:tcBorders>
            <w:shd w:val="clear" w:color="auto" w:fill="auto"/>
            <w:noWrap/>
            <w:vAlign w:val="center"/>
            <w:hideMark/>
          </w:tcPr>
          <w:p w14:paraId="069CA0AE" w14:textId="77777777" w:rsidR="007D4905" w:rsidRPr="007D4905" w:rsidRDefault="007D4905" w:rsidP="00B6579D">
            <w:pPr>
              <w:spacing w:after="0" w:line="240" w:lineRule="auto"/>
              <w:jc w:val="center"/>
              <w:rPr>
                <w:rFonts w:eastAsia="Times New Roman" w:cstheme="minorHAnsi"/>
                <w:color w:val="000000"/>
                <w:sz w:val="20"/>
                <w:szCs w:val="20"/>
              </w:rPr>
            </w:pPr>
            <w:r w:rsidRPr="007D4905">
              <w:rPr>
                <w:rFonts w:cstheme="minorHAnsi"/>
                <w:sz w:val="20"/>
                <w:szCs w:val="20"/>
              </w:rPr>
              <w:t xml:space="preserve">NIS </w:t>
            </w:r>
            <w:r w:rsidRPr="007D4905">
              <w:rPr>
                <w:rFonts w:eastAsia="Times New Roman" w:cstheme="minorHAnsi"/>
                <w:color w:val="000000"/>
                <w:sz w:val="20"/>
                <w:szCs w:val="20"/>
              </w:rPr>
              <w:t>1.4</w:t>
            </w:r>
          </w:p>
        </w:tc>
        <w:tc>
          <w:tcPr>
            <w:tcW w:w="1134" w:type="dxa"/>
            <w:tcBorders>
              <w:top w:val="single" w:sz="4" w:space="0" w:color="4F81BD"/>
              <w:left w:val="nil"/>
              <w:bottom w:val="nil"/>
              <w:right w:val="single" w:sz="2" w:space="0" w:color="4F81BD" w:themeColor="accent1"/>
            </w:tcBorders>
            <w:shd w:val="clear" w:color="auto" w:fill="auto"/>
            <w:noWrap/>
            <w:vAlign w:val="center"/>
            <w:hideMark/>
          </w:tcPr>
          <w:p w14:paraId="41CCE3FD" w14:textId="77777777" w:rsidR="007D4905" w:rsidRPr="007D4905" w:rsidRDefault="007D4905" w:rsidP="007D4905">
            <w:pPr>
              <w:spacing w:after="0" w:line="240" w:lineRule="auto"/>
              <w:jc w:val="center"/>
              <w:rPr>
                <w:rFonts w:eastAsia="Times New Roman" w:cstheme="minorHAnsi"/>
                <w:color w:val="000000"/>
                <w:sz w:val="20"/>
                <w:szCs w:val="20"/>
                <w:rtl/>
              </w:rPr>
            </w:pPr>
            <w:r w:rsidRPr="007D4905">
              <w:rPr>
                <w:rFonts w:cstheme="minorHAnsi"/>
                <w:sz w:val="20"/>
                <w:szCs w:val="20"/>
              </w:rPr>
              <w:t>NIS</w:t>
            </w:r>
            <w:r w:rsidRPr="007D4905">
              <w:rPr>
                <w:rFonts w:cstheme="minorHAnsi"/>
                <w:color w:val="000000"/>
                <w:sz w:val="20"/>
                <w:szCs w:val="20"/>
              </w:rPr>
              <w:t xml:space="preserve"> 3.7</w:t>
            </w:r>
          </w:p>
        </w:tc>
        <w:tc>
          <w:tcPr>
            <w:tcW w:w="1843" w:type="dxa"/>
            <w:tcBorders>
              <w:top w:val="single" w:sz="4" w:space="0" w:color="4F81BD"/>
              <w:left w:val="single" w:sz="2" w:space="0" w:color="4F81BD" w:themeColor="accent1"/>
              <w:bottom w:val="nil"/>
              <w:right w:val="single" w:sz="4" w:space="0" w:color="4F81BD"/>
            </w:tcBorders>
            <w:shd w:val="clear" w:color="auto" w:fill="auto"/>
            <w:noWrap/>
            <w:vAlign w:val="center"/>
            <w:hideMark/>
          </w:tcPr>
          <w:p w14:paraId="6C534443" w14:textId="77777777" w:rsidR="007D4905" w:rsidRPr="007D4905" w:rsidRDefault="007D4905" w:rsidP="00B6579D">
            <w:pPr>
              <w:spacing w:after="0" w:line="240" w:lineRule="auto"/>
              <w:jc w:val="center"/>
              <w:rPr>
                <w:rFonts w:eastAsia="Times New Roman" w:cstheme="minorHAnsi"/>
                <w:b/>
                <w:bCs/>
                <w:color w:val="000000"/>
                <w:sz w:val="20"/>
                <w:szCs w:val="20"/>
              </w:rPr>
            </w:pPr>
            <w:r w:rsidRPr="007D4905">
              <w:rPr>
                <w:rFonts w:cstheme="minorHAnsi"/>
                <w:b/>
                <w:bCs/>
                <w:color w:val="000000"/>
                <w:sz w:val="20"/>
                <w:szCs w:val="20"/>
              </w:rPr>
              <w:t>3.6</w:t>
            </w:r>
          </w:p>
        </w:tc>
      </w:tr>
      <w:tr w:rsidR="007D4905" w:rsidRPr="008F3D9C" w14:paraId="6F9C81DF" w14:textId="77777777" w:rsidTr="008C6D72">
        <w:trPr>
          <w:trHeight w:val="285"/>
        </w:trPr>
        <w:tc>
          <w:tcPr>
            <w:tcW w:w="2000" w:type="dxa"/>
            <w:tcBorders>
              <w:top w:val="single" w:sz="4" w:space="0" w:color="4F81BD"/>
              <w:left w:val="single" w:sz="4" w:space="0" w:color="4F81BD"/>
              <w:bottom w:val="single" w:sz="4" w:space="0" w:color="4F81BD"/>
              <w:right w:val="nil"/>
            </w:tcBorders>
          </w:tcPr>
          <w:p w14:paraId="1FBBF5D1" w14:textId="77777777" w:rsidR="007D4905" w:rsidRPr="007D4905" w:rsidRDefault="007D4905" w:rsidP="00A75172">
            <w:pPr>
              <w:spacing w:after="0" w:line="240" w:lineRule="auto"/>
              <w:rPr>
                <w:rFonts w:cstheme="minorHAnsi"/>
                <w:color w:val="000000"/>
                <w:sz w:val="20"/>
                <w:szCs w:val="20"/>
              </w:rPr>
            </w:pPr>
            <w:r w:rsidRPr="007D4905">
              <w:rPr>
                <w:rFonts w:eastAsia="Calibri" w:cstheme="minorHAnsi"/>
                <w:sz w:val="20"/>
                <w:szCs w:val="20"/>
              </w:rPr>
              <w:t>Benefit to National Economy – Including External Factors</w:t>
            </w:r>
          </w:p>
        </w:tc>
        <w:tc>
          <w:tcPr>
            <w:tcW w:w="992" w:type="dxa"/>
            <w:tcBorders>
              <w:top w:val="single" w:sz="4" w:space="0" w:color="4F81BD"/>
              <w:left w:val="single" w:sz="4" w:space="0" w:color="4F81BD"/>
              <w:bottom w:val="single" w:sz="4" w:space="0" w:color="4F81BD"/>
              <w:right w:val="nil"/>
            </w:tcBorders>
            <w:shd w:val="clear" w:color="auto" w:fill="auto"/>
            <w:noWrap/>
            <w:vAlign w:val="center"/>
            <w:hideMark/>
          </w:tcPr>
          <w:p w14:paraId="08D20AFA" w14:textId="77777777" w:rsidR="007D4905" w:rsidRPr="007D4905" w:rsidRDefault="007D4905" w:rsidP="002E14FC">
            <w:pPr>
              <w:spacing w:after="0" w:line="240" w:lineRule="auto"/>
              <w:jc w:val="center"/>
              <w:rPr>
                <w:rFonts w:eastAsia="Times New Roman" w:cstheme="minorHAnsi"/>
                <w:color w:val="000000"/>
                <w:sz w:val="20"/>
                <w:szCs w:val="20"/>
                <w:rtl/>
              </w:rPr>
            </w:pPr>
            <w:r w:rsidRPr="007D4905">
              <w:rPr>
                <w:rFonts w:cstheme="minorHAnsi"/>
                <w:color w:val="000000"/>
                <w:sz w:val="20"/>
                <w:szCs w:val="20"/>
              </w:rPr>
              <w:t>NIS 5.1</w:t>
            </w:r>
            <w:r w:rsidRPr="007D4905">
              <w:rPr>
                <w:rFonts w:cstheme="minorHAnsi"/>
                <w:color w:val="000000"/>
                <w:sz w:val="20"/>
                <w:szCs w:val="20"/>
                <w:rtl/>
              </w:rPr>
              <w:t xml:space="preserve"> </w:t>
            </w:r>
          </w:p>
        </w:tc>
        <w:tc>
          <w:tcPr>
            <w:tcW w:w="1559" w:type="dxa"/>
            <w:tcBorders>
              <w:top w:val="single" w:sz="4" w:space="0" w:color="4F81BD"/>
              <w:left w:val="nil"/>
              <w:bottom w:val="single" w:sz="4" w:space="0" w:color="4F81BD"/>
              <w:right w:val="nil"/>
            </w:tcBorders>
            <w:shd w:val="clear" w:color="auto" w:fill="auto"/>
            <w:noWrap/>
            <w:vAlign w:val="center"/>
            <w:hideMark/>
          </w:tcPr>
          <w:p w14:paraId="7CFBC733" w14:textId="77777777" w:rsidR="007D4905" w:rsidRPr="007D4905" w:rsidRDefault="007D4905" w:rsidP="007D4905">
            <w:pPr>
              <w:spacing w:after="0" w:line="240" w:lineRule="auto"/>
              <w:jc w:val="center"/>
              <w:rPr>
                <w:rFonts w:eastAsia="Times New Roman" w:cstheme="minorHAnsi"/>
                <w:color w:val="000000"/>
                <w:sz w:val="20"/>
                <w:szCs w:val="20"/>
                <w:rtl/>
              </w:rPr>
            </w:pPr>
            <w:r w:rsidRPr="007D4905">
              <w:rPr>
                <w:rFonts w:cstheme="minorHAnsi"/>
                <w:color w:val="000000"/>
                <w:sz w:val="20"/>
                <w:szCs w:val="20"/>
              </w:rPr>
              <w:t>NIS 5</w:t>
            </w:r>
            <w:r w:rsidRPr="007D4905">
              <w:rPr>
                <w:rFonts w:cstheme="minorHAnsi"/>
                <w:color w:val="000000"/>
                <w:sz w:val="20"/>
                <w:szCs w:val="20"/>
                <w:rtl/>
              </w:rPr>
              <w:t xml:space="preserve"> </w:t>
            </w:r>
          </w:p>
        </w:tc>
        <w:tc>
          <w:tcPr>
            <w:tcW w:w="1418" w:type="dxa"/>
            <w:tcBorders>
              <w:top w:val="single" w:sz="4" w:space="0" w:color="4F81BD"/>
              <w:left w:val="nil"/>
              <w:bottom w:val="single" w:sz="4" w:space="0" w:color="4F81BD"/>
              <w:right w:val="nil"/>
            </w:tcBorders>
            <w:shd w:val="clear" w:color="auto" w:fill="auto"/>
            <w:noWrap/>
            <w:vAlign w:val="center"/>
            <w:hideMark/>
          </w:tcPr>
          <w:p w14:paraId="6215DA13" w14:textId="77777777" w:rsidR="007D4905" w:rsidRPr="007D4905" w:rsidRDefault="007D4905" w:rsidP="007D4905">
            <w:pPr>
              <w:spacing w:after="0" w:line="240" w:lineRule="auto"/>
              <w:jc w:val="center"/>
              <w:rPr>
                <w:rFonts w:eastAsia="Times New Roman" w:cstheme="minorHAnsi"/>
                <w:color w:val="000000"/>
                <w:sz w:val="20"/>
                <w:szCs w:val="20"/>
              </w:rPr>
            </w:pPr>
            <w:r w:rsidRPr="007D4905">
              <w:rPr>
                <w:rFonts w:cstheme="minorHAnsi"/>
                <w:sz w:val="20"/>
                <w:szCs w:val="20"/>
              </w:rPr>
              <w:t>NIS</w:t>
            </w:r>
            <w:r w:rsidRPr="007D4905">
              <w:rPr>
                <w:rFonts w:cstheme="minorHAnsi"/>
                <w:color w:val="000000"/>
                <w:sz w:val="20"/>
                <w:szCs w:val="20"/>
              </w:rPr>
              <w:t xml:space="preserve"> 10.1 </w:t>
            </w:r>
          </w:p>
        </w:tc>
        <w:tc>
          <w:tcPr>
            <w:tcW w:w="850" w:type="dxa"/>
            <w:tcBorders>
              <w:top w:val="single" w:sz="4" w:space="0" w:color="4F81BD"/>
              <w:left w:val="nil"/>
              <w:bottom w:val="single" w:sz="4" w:space="0" w:color="4F81BD"/>
              <w:right w:val="nil"/>
            </w:tcBorders>
            <w:shd w:val="clear" w:color="auto" w:fill="auto"/>
            <w:noWrap/>
            <w:vAlign w:val="center"/>
            <w:hideMark/>
          </w:tcPr>
          <w:p w14:paraId="7B5BF021" w14:textId="77777777" w:rsidR="007D4905" w:rsidRPr="007D4905" w:rsidRDefault="007D4905" w:rsidP="007D4905">
            <w:pPr>
              <w:spacing w:after="0" w:line="240" w:lineRule="auto"/>
              <w:jc w:val="center"/>
              <w:rPr>
                <w:rFonts w:eastAsia="Times New Roman" w:cstheme="minorHAnsi"/>
                <w:color w:val="000000"/>
                <w:sz w:val="20"/>
                <w:szCs w:val="20"/>
              </w:rPr>
            </w:pPr>
            <w:r w:rsidRPr="007D4905">
              <w:rPr>
                <w:rFonts w:cstheme="minorHAnsi"/>
                <w:sz w:val="20"/>
                <w:szCs w:val="20"/>
              </w:rPr>
              <w:t>NIS</w:t>
            </w:r>
            <w:r w:rsidRPr="007D4905">
              <w:rPr>
                <w:rFonts w:eastAsia="Times New Roman" w:cstheme="minorHAnsi"/>
                <w:color w:val="000000"/>
                <w:sz w:val="20"/>
                <w:szCs w:val="20"/>
              </w:rPr>
              <w:t xml:space="preserve"> 1.4</w:t>
            </w:r>
          </w:p>
        </w:tc>
        <w:tc>
          <w:tcPr>
            <w:tcW w:w="1134" w:type="dxa"/>
            <w:tcBorders>
              <w:top w:val="single" w:sz="4" w:space="0" w:color="4F81BD"/>
              <w:left w:val="nil"/>
              <w:bottom w:val="single" w:sz="4" w:space="0" w:color="4F81BD"/>
              <w:right w:val="single" w:sz="2" w:space="0" w:color="4F81BD" w:themeColor="accent1"/>
            </w:tcBorders>
            <w:shd w:val="clear" w:color="auto" w:fill="auto"/>
            <w:noWrap/>
            <w:vAlign w:val="center"/>
            <w:hideMark/>
          </w:tcPr>
          <w:p w14:paraId="11180B0A" w14:textId="77777777" w:rsidR="007D4905" w:rsidRPr="007D4905" w:rsidRDefault="007D4905" w:rsidP="007D4905">
            <w:pPr>
              <w:spacing w:after="0" w:line="240" w:lineRule="auto"/>
              <w:jc w:val="center"/>
              <w:rPr>
                <w:rFonts w:eastAsia="Times New Roman" w:cstheme="minorHAnsi"/>
                <w:color w:val="000000"/>
                <w:sz w:val="20"/>
                <w:szCs w:val="20"/>
              </w:rPr>
            </w:pPr>
            <w:r w:rsidRPr="007D4905">
              <w:rPr>
                <w:rFonts w:cstheme="minorHAnsi"/>
                <w:sz w:val="20"/>
                <w:szCs w:val="20"/>
              </w:rPr>
              <w:t>NIS</w:t>
            </w:r>
            <w:r w:rsidRPr="007D4905">
              <w:rPr>
                <w:rFonts w:cstheme="minorHAnsi"/>
                <w:sz w:val="20"/>
                <w:szCs w:val="20"/>
                <w:rtl/>
              </w:rPr>
              <w:t xml:space="preserve"> </w:t>
            </w:r>
            <w:r w:rsidRPr="007D4905">
              <w:rPr>
                <w:rFonts w:cstheme="minorHAnsi"/>
                <w:color w:val="000000"/>
                <w:sz w:val="20"/>
                <w:szCs w:val="20"/>
              </w:rPr>
              <w:t>8.7</w:t>
            </w:r>
            <w:r w:rsidRPr="007D4905">
              <w:rPr>
                <w:rFonts w:eastAsia="Times New Roman" w:cstheme="minorHAnsi"/>
                <w:color w:val="000000"/>
                <w:sz w:val="20"/>
                <w:szCs w:val="20"/>
                <w:rtl/>
              </w:rPr>
              <w:t xml:space="preserve"> </w:t>
            </w:r>
          </w:p>
        </w:tc>
        <w:tc>
          <w:tcPr>
            <w:tcW w:w="1843" w:type="dxa"/>
            <w:tcBorders>
              <w:top w:val="single" w:sz="4" w:space="0" w:color="4F81BD"/>
              <w:left w:val="single" w:sz="2" w:space="0" w:color="4F81BD" w:themeColor="accent1"/>
              <w:bottom w:val="single" w:sz="4" w:space="0" w:color="4F81BD"/>
              <w:right w:val="single" w:sz="4" w:space="0" w:color="4F81BD"/>
            </w:tcBorders>
            <w:shd w:val="clear" w:color="auto" w:fill="auto"/>
            <w:noWrap/>
            <w:vAlign w:val="center"/>
            <w:hideMark/>
          </w:tcPr>
          <w:p w14:paraId="626C4B95" w14:textId="77777777" w:rsidR="007D4905" w:rsidRPr="007D4905" w:rsidRDefault="007D4905" w:rsidP="00B6579D">
            <w:pPr>
              <w:spacing w:after="0" w:line="240" w:lineRule="auto"/>
              <w:jc w:val="center"/>
              <w:rPr>
                <w:rFonts w:eastAsia="Times New Roman" w:cstheme="minorHAnsi"/>
                <w:b/>
                <w:bCs/>
                <w:color w:val="000000"/>
                <w:sz w:val="20"/>
                <w:szCs w:val="20"/>
              </w:rPr>
            </w:pPr>
            <w:r w:rsidRPr="007D4905">
              <w:rPr>
                <w:rFonts w:cstheme="minorHAnsi"/>
                <w:b/>
                <w:bCs/>
                <w:color w:val="000000"/>
                <w:sz w:val="20"/>
                <w:szCs w:val="20"/>
              </w:rPr>
              <w:t>7.2</w:t>
            </w:r>
          </w:p>
        </w:tc>
      </w:tr>
    </w:tbl>
    <w:p w14:paraId="622F33AF" w14:textId="77777777" w:rsidR="0017340B" w:rsidRDefault="0017340B" w:rsidP="0017340B">
      <w:pPr>
        <w:pStyle w:val="Graphnote"/>
      </w:pPr>
      <w:r>
        <w:t xml:space="preserve">* </w:t>
      </w:r>
      <w:r w:rsidRPr="0017340B">
        <w:t>Market price of alternative product with similar nutritional value.</w:t>
      </w:r>
    </w:p>
    <w:p w14:paraId="47DE9B2A" w14:textId="77777777" w:rsidR="00D73DD0" w:rsidRPr="008F3D9C" w:rsidRDefault="00D73DD0" w:rsidP="00A75172">
      <w:pPr>
        <w:pStyle w:val="Graphnote"/>
      </w:pPr>
      <w:r w:rsidRPr="008F3D9C">
        <w:t>Source: BDO estimates</w:t>
      </w:r>
    </w:p>
    <w:p w14:paraId="41F364E3" w14:textId="77777777" w:rsidR="00737085" w:rsidRPr="008F3D9C" w:rsidRDefault="00737085" w:rsidP="002E14FC"/>
    <w:p w14:paraId="31722F02" w14:textId="77777777" w:rsidR="007D4905" w:rsidRDefault="007D4905">
      <w:pPr>
        <w:rPr>
          <w:rFonts w:ascii="Calibri" w:eastAsia="Calibri" w:hAnsi="Calibri" w:cs="Arial"/>
          <w:color w:val="FF0000"/>
          <w:sz w:val="28"/>
          <w:szCs w:val="28"/>
        </w:rPr>
      </w:pPr>
      <w:r>
        <w:br w:type="page"/>
      </w:r>
    </w:p>
    <w:p w14:paraId="048231B4" w14:textId="35F0D3AF" w:rsidR="00737085" w:rsidRDefault="00737085" w:rsidP="00C87D85">
      <w:pPr>
        <w:pStyle w:val="Heading1"/>
      </w:pPr>
      <w:bookmarkStart w:id="7" w:name="_Toc505547255"/>
      <w:r w:rsidRPr="002A0903">
        <w:lastRenderedPageBreak/>
        <w:t xml:space="preserve">Food </w:t>
      </w:r>
      <w:r w:rsidR="00AD79E9" w:rsidRPr="002A0903">
        <w:t xml:space="preserve">Waste </w:t>
      </w:r>
      <w:r w:rsidRPr="002A0903">
        <w:t xml:space="preserve">and </w:t>
      </w:r>
      <w:r w:rsidR="00AD79E9" w:rsidRPr="002A0903">
        <w:t xml:space="preserve">Rescue </w:t>
      </w:r>
      <w:r w:rsidRPr="002A0903">
        <w:t xml:space="preserve">in </w:t>
      </w:r>
      <w:r w:rsidR="007D4905" w:rsidRPr="002A0903">
        <w:t xml:space="preserve">the </w:t>
      </w:r>
      <w:r w:rsidR="00AD79E9" w:rsidRPr="002A0903">
        <w:t xml:space="preserve">Retail </w:t>
      </w:r>
      <w:r w:rsidR="007D4905" w:rsidRPr="002A0903">
        <w:t xml:space="preserve">and </w:t>
      </w:r>
      <w:r w:rsidR="00AD79E9" w:rsidRPr="002A0903">
        <w:t xml:space="preserve">Distribution </w:t>
      </w:r>
      <w:r w:rsidR="008D157A">
        <w:t>Sector</w:t>
      </w:r>
      <w:r w:rsidR="002D6795">
        <w:t>s</w:t>
      </w:r>
      <w:bookmarkEnd w:id="7"/>
    </w:p>
    <w:p w14:paraId="11B96EEE" w14:textId="1719DB7A" w:rsidR="001C156E" w:rsidRPr="00A75172" w:rsidRDefault="002A0903" w:rsidP="00F17FB4">
      <w:pPr>
        <w:pStyle w:val="BodyText"/>
        <w:rPr>
          <w:b/>
          <w:bCs/>
        </w:rPr>
      </w:pPr>
      <w:r w:rsidRPr="00A75172">
        <w:rPr>
          <w:u w:val="single"/>
        </w:rPr>
        <w:t xml:space="preserve">Bold </w:t>
      </w:r>
      <w:r w:rsidR="00F17FB4">
        <w:rPr>
          <w:u w:val="single"/>
        </w:rPr>
        <w:t xml:space="preserve">chapter </w:t>
      </w:r>
      <w:r w:rsidRPr="00A75172">
        <w:rPr>
          <w:u w:val="single"/>
        </w:rPr>
        <w:t>head</w:t>
      </w:r>
      <w:r w:rsidRPr="00A75172">
        <w:t xml:space="preserve">: </w:t>
      </w:r>
      <w:r w:rsidR="001C156E" w:rsidRPr="00A75172">
        <w:rPr>
          <w:b/>
          <w:bCs/>
        </w:rPr>
        <w:t xml:space="preserve">NIS 4.2 billion worth of food </w:t>
      </w:r>
      <w:r w:rsidR="00844741">
        <w:rPr>
          <w:b/>
          <w:bCs/>
        </w:rPr>
        <w:t>waste</w:t>
      </w:r>
      <w:r w:rsidR="001C156E" w:rsidRPr="00A75172">
        <w:rPr>
          <w:b/>
          <w:bCs/>
        </w:rPr>
        <w:t xml:space="preserve"> in the retail and distribution </w:t>
      </w:r>
      <w:r w:rsidR="008D157A">
        <w:rPr>
          <w:b/>
          <w:bCs/>
        </w:rPr>
        <w:t>sector</w:t>
      </w:r>
      <w:r w:rsidR="00832A7D" w:rsidRPr="00A75172">
        <w:rPr>
          <w:b/>
          <w:bCs/>
        </w:rPr>
        <w:t xml:space="preserve"> // </w:t>
      </w:r>
      <w:r w:rsidR="001C156E" w:rsidRPr="00A75172">
        <w:rPr>
          <w:b/>
          <w:bCs/>
        </w:rPr>
        <w:t xml:space="preserve">About half of the </w:t>
      </w:r>
      <w:r w:rsidR="00832A7D" w:rsidRPr="00A75172">
        <w:rPr>
          <w:b/>
          <w:bCs/>
        </w:rPr>
        <w:t xml:space="preserve">rescuable </w:t>
      </w:r>
      <w:r w:rsidR="001C156E" w:rsidRPr="00A75172">
        <w:rPr>
          <w:b/>
          <w:bCs/>
        </w:rPr>
        <w:t>food</w:t>
      </w:r>
      <w:r w:rsidR="00832A7D" w:rsidRPr="00A75172">
        <w:rPr>
          <w:b/>
          <w:bCs/>
        </w:rPr>
        <w:t>, by value,</w:t>
      </w:r>
      <w:r w:rsidR="001C156E" w:rsidRPr="00A75172">
        <w:rPr>
          <w:b/>
          <w:bCs/>
        </w:rPr>
        <w:t xml:space="preserve"> is in </w:t>
      </w:r>
      <w:r w:rsidR="000440EF">
        <w:rPr>
          <w:b/>
          <w:bCs/>
        </w:rPr>
        <w:t xml:space="preserve">these </w:t>
      </w:r>
      <w:r w:rsidR="008D157A">
        <w:rPr>
          <w:b/>
          <w:bCs/>
        </w:rPr>
        <w:t>sector</w:t>
      </w:r>
      <w:r w:rsidR="00D81B5D">
        <w:rPr>
          <w:b/>
          <w:bCs/>
        </w:rPr>
        <w:t>s</w:t>
      </w:r>
    </w:p>
    <w:p w14:paraId="11E15E34" w14:textId="13AB2885" w:rsidR="00832A7D" w:rsidRPr="00832A7D" w:rsidRDefault="001C156E" w:rsidP="00844741">
      <w:pPr>
        <w:pStyle w:val="BodyText"/>
      </w:pPr>
      <w:r w:rsidRPr="00832A7D">
        <w:t xml:space="preserve">The volume of food sales in Israel is about NIS 77 billion a year, marketed to consumers in </w:t>
      </w:r>
      <w:r w:rsidR="00844741">
        <w:t>supermarkets</w:t>
      </w:r>
      <w:r w:rsidRPr="00832A7D">
        <w:t xml:space="preserve">, open markets, grocery stores, small retailers and the institutional sector. The total loss in the retail and distribution </w:t>
      </w:r>
      <w:r w:rsidR="008D157A">
        <w:t>sector</w:t>
      </w:r>
      <w:r w:rsidR="00055E2B">
        <w:t>s</w:t>
      </w:r>
      <w:r w:rsidR="00C87D85">
        <w:rPr>
          <w:rStyle w:val="FootnoteReference"/>
          <w:b/>
          <w:bCs/>
        </w:rPr>
        <w:footnoteReference w:id="4"/>
      </w:r>
      <w:r w:rsidRPr="00832A7D">
        <w:t xml:space="preserve"> is about 400,000 tons of food, valued at approximately NIS 4.2 billion, which constitutes about 6% of the retail sales of food. Of this</w:t>
      </w:r>
      <w:r w:rsidR="00832A7D" w:rsidRPr="00832A7D">
        <w:t xml:space="preserve"> amount</w:t>
      </w:r>
      <w:r w:rsidRPr="00832A7D">
        <w:t xml:space="preserve">, the </w:t>
      </w:r>
      <w:r w:rsidR="00832A7D" w:rsidRPr="00832A7D">
        <w:t xml:space="preserve">value </w:t>
      </w:r>
      <w:r w:rsidRPr="00832A7D">
        <w:t xml:space="preserve">of </w:t>
      </w:r>
      <w:r w:rsidR="00832A7D" w:rsidRPr="00832A7D">
        <w:t>the</w:t>
      </w:r>
      <w:r w:rsidR="004B64F6">
        <w:t xml:space="preserve"> </w:t>
      </w:r>
      <w:r w:rsidR="00832A7D" w:rsidRPr="00832A7D">
        <w:t xml:space="preserve">rescuable </w:t>
      </w:r>
      <w:r w:rsidRPr="00832A7D">
        <w:t xml:space="preserve">food is </w:t>
      </w:r>
      <w:r w:rsidR="00832A7D" w:rsidRPr="00832A7D">
        <w:t xml:space="preserve">approximately </w:t>
      </w:r>
      <w:r w:rsidRPr="00832A7D">
        <w:t>NIS 3 billion.</w:t>
      </w:r>
    </w:p>
    <w:p w14:paraId="0DE7BE25" w14:textId="71C30E9A" w:rsidR="00832A7D" w:rsidRDefault="00832A7D" w:rsidP="00F741FF">
      <w:pPr>
        <w:pStyle w:val="Graphtitle"/>
      </w:pPr>
      <w:r w:rsidRPr="00832A7D">
        <w:t xml:space="preserve">Financial Loss in the </w:t>
      </w:r>
      <w:r w:rsidR="00F741FF" w:rsidRPr="002A0903">
        <w:t>Retail and Distribution</w:t>
      </w:r>
      <w:r w:rsidRPr="00832A7D">
        <w:t xml:space="preserve"> </w:t>
      </w:r>
      <w:r w:rsidR="008D157A">
        <w:t>Sector</w:t>
      </w:r>
      <w:r w:rsidR="00E04E64">
        <w:t>s</w:t>
      </w:r>
    </w:p>
    <w:tbl>
      <w:tblPr>
        <w:tblW w:w="9012" w:type="dxa"/>
        <w:tblInd w:w="26" w:type="dxa"/>
        <w:tblLayout w:type="fixed"/>
        <w:tblLook w:val="04A0" w:firstRow="1" w:lastRow="0" w:firstColumn="1" w:lastColumn="0" w:noHBand="0" w:noVBand="1"/>
      </w:tblPr>
      <w:tblGrid>
        <w:gridCol w:w="2776"/>
        <w:gridCol w:w="2268"/>
        <w:gridCol w:w="1984"/>
        <w:gridCol w:w="1984"/>
      </w:tblGrid>
      <w:tr w:rsidR="00832A7D" w:rsidRPr="00832A7D" w14:paraId="38D20FD8" w14:textId="77777777" w:rsidTr="00832A7D">
        <w:trPr>
          <w:trHeight w:val="615"/>
        </w:trPr>
        <w:tc>
          <w:tcPr>
            <w:tcW w:w="2776" w:type="dxa"/>
            <w:tcBorders>
              <w:top w:val="single" w:sz="4" w:space="0" w:color="4BACC6"/>
              <w:left w:val="single" w:sz="4" w:space="0" w:color="4BACC6"/>
              <w:bottom w:val="nil"/>
              <w:right w:val="nil"/>
            </w:tcBorders>
            <w:shd w:val="clear" w:color="000000" w:fill="4BACC6"/>
            <w:noWrap/>
            <w:vAlign w:val="center"/>
            <w:hideMark/>
          </w:tcPr>
          <w:p w14:paraId="0E764F56" w14:textId="77777777" w:rsidR="00832A7D" w:rsidRPr="00832A7D" w:rsidRDefault="00832A7D" w:rsidP="004E2385">
            <w:pPr>
              <w:spacing w:after="0" w:line="240" w:lineRule="auto"/>
              <w:rPr>
                <w:rFonts w:eastAsia="Times New Roman" w:cstheme="minorHAnsi"/>
                <w:b/>
                <w:bCs/>
                <w:color w:val="FFFFFF"/>
              </w:rPr>
            </w:pPr>
            <w:r w:rsidRPr="00832A7D">
              <w:rPr>
                <w:rFonts w:eastAsia="Times New Roman" w:cstheme="minorHAnsi"/>
                <w:b/>
                <w:bCs/>
                <w:color w:val="FFFFFF"/>
              </w:rPr>
              <w:t> </w:t>
            </w:r>
          </w:p>
        </w:tc>
        <w:tc>
          <w:tcPr>
            <w:tcW w:w="2268" w:type="dxa"/>
            <w:tcBorders>
              <w:top w:val="single" w:sz="4" w:space="0" w:color="4BACC6"/>
              <w:left w:val="nil"/>
              <w:bottom w:val="nil"/>
              <w:right w:val="nil"/>
            </w:tcBorders>
            <w:shd w:val="clear" w:color="000000" w:fill="4BACC6"/>
            <w:noWrap/>
            <w:vAlign w:val="center"/>
            <w:hideMark/>
          </w:tcPr>
          <w:p w14:paraId="6BCE4B10" w14:textId="77777777" w:rsidR="00832A7D" w:rsidRPr="00832A7D" w:rsidRDefault="00832A7D" w:rsidP="004E2385">
            <w:pPr>
              <w:spacing w:after="0" w:line="240" w:lineRule="auto"/>
              <w:jc w:val="center"/>
              <w:rPr>
                <w:rFonts w:eastAsia="Times New Roman" w:cstheme="minorHAnsi"/>
                <w:color w:val="FFFFFF"/>
              </w:rPr>
            </w:pPr>
            <w:r>
              <w:rPr>
                <w:rFonts w:eastAsia="Times New Roman" w:cstheme="minorHAnsi"/>
                <w:b/>
                <w:bCs/>
                <w:color w:val="FFFFFF"/>
              </w:rPr>
              <w:t>Market value</w:t>
            </w:r>
            <w:r>
              <w:rPr>
                <w:rFonts w:eastAsia="Times New Roman" w:cstheme="minorHAnsi"/>
                <w:b/>
                <w:bCs/>
                <w:color w:val="FFFFFF"/>
              </w:rPr>
              <w:br/>
            </w:r>
            <w:r>
              <w:rPr>
                <w:rFonts w:eastAsia="Times New Roman" w:cstheme="minorHAnsi"/>
                <w:color w:val="FFFFFF"/>
              </w:rPr>
              <w:t>(NIS millions)</w:t>
            </w:r>
          </w:p>
        </w:tc>
        <w:tc>
          <w:tcPr>
            <w:tcW w:w="1984" w:type="dxa"/>
            <w:tcBorders>
              <w:top w:val="single" w:sz="4" w:space="0" w:color="4BACC6"/>
              <w:left w:val="nil"/>
              <w:bottom w:val="nil"/>
              <w:right w:val="nil"/>
            </w:tcBorders>
            <w:shd w:val="clear" w:color="000000" w:fill="4BACC6"/>
            <w:noWrap/>
            <w:vAlign w:val="center"/>
          </w:tcPr>
          <w:p w14:paraId="6422A730" w14:textId="77777777" w:rsidR="00832A7D" w:rsidRPr="00832A7D" w:rsidRDefault="00832A7D" w:rsidP="004E2385">
            <w:pPr>
              <w:spacing w:after="0" w:line="240" w:lineRule="auto"/>
              <w:jc w:val="center"/>
              <w:rPr>
                <w:rFonts w:eastAsia="Times New Roman" w:cstheme="minorHAnsi"/>
                <w:b/>
                <w:bCs/>
                <w:color w:val="FFFFFF"/>
                <w:rtl/>
              </w:rPr>
            </w:pPr>
            <w:r>
              <w:rPr>
                <w:rFonts w:eastAsia="Times New Roman" w:cstheme="minorHAnsi"/>
                <w:b/>
                <w:bCs/>
                <w:color w:val="FFFFFF"/>
              </w:rPr>
              <w:t>% Waste</w:t>
            </w:r>
          </w:p>
        </w:tc>
        <w:tc>
          <w:tcPr>
            <w:tcW w:w="1984" w:type="dxa"/>
            <w:tcBorders>
              <w:top w:val="single" w:sz="4" w:space="0" w:color="4BACC6"/>
              <w:left w:val="nil"/>
              <w:bottom w:val="nil"/>
              <w:right w:val="single" w:sz="4" w:space="0" w:color="4BACC6"/>
            </w:tcBorders>
            <w:shd w:val="clear" w:color="000000" w:fill="4BACC6"/>
            <w:vAlign w:val="center"/>
          </w:tcPr>
          <w:p w14:paraId="2074B860" w14:textId="77777777" w:rsidR="00832A7D" w:rsidRPr="00832A7D" w:rsidRDefault="00832A7D" w:rsidP="004E2385">
            <w:pPr>
              <w:spacing w:after="0" w:line="240" w:lineRule="auto"/>
              <w:jc w:val="center"/>
              <w:rPr>
                <w:rFonts w:eastAsia="Times New Roman" w:cstheme="minorHAnsi"/>
                <w:b/>
                <w:bCs/>
                <w:color w:val="FFFFFF"/>
                <w:rtl/>
              </w:rPr>
            </w:pPr>
            <w:r>
              <w:rPr>
                <w:rFonts w:eastAsia="Times New Roman" w:cstheme="minorHAnsi"/>
                <w:b/>
                <w:bCs/>
                <w:color w:val="FFFFFF"/>
              </w:rPr>
              <w:t>Value of Waste</w:t>
            </w:r>
            <w:r>
              <w:rPr>
                <w:rFonts w:eastAsia="Times New Roman" w:cstheme="minorHAnsi"/>
                <w:b/>
                <w:bCs/>
                <w:color w:val="FFFFFF"/>
              </w:rPr>
              <w:br/>
            </w:r>
            <w:r>
              <w:rPr>
                <w:rFonts w:eastAsia="Times New Roman" w:cstheme="minorHAnsi"/>
                <w:color w:val="FFFFFF"/>
              </w:rPr>
              <w:t>(NIS millions)</w:t>
            </w:r>
          </w:p>
        </w:tc>
      </w:tr>
      <w:tr w:rsidR="00832A7D" w:rsidRPr="00832A7D" w14:paraId="687A8980" w14:textId="77777777" w:rsidTr="00832A7D">
        <w:trPr>
          <w:trHeight w:val="300"/>
        </w:trPr>
        <w:tc>
          <w:tcPr>
            <w:tcW w:w="2776" w:type="dxa"/>
            <w:tcBorders>
              <w:top w:val="single" w:sz="8" w:space="0" w:color="92CDDC"/>
              <w:left w:val="single" w:sz="4" w:space="0" w:color="4BACC6"/>
              <w:bottom w:val="nil"/>
              <w:right w:val="nil"/>
            </w:tcBorders>
            <w:shd w:val="clear" w:color="000000" w:fill="DAEEF3"/>
            <w:noWrap/>
            <w:vAlign w:val="center"/>
          </w:tcPr>
          <w:p w14:paraId="6DB6AA8E" w14:textId="77777777" w:rsidR="00832A7D" w:rsidRPr="00832A7D" w:rsidRDefault="00832A7D" w:rsidP="004E2385">
            <w:pPr>
              <w:spacing w:after="0" w:line="240" w:lineRule="auto"/>
              <w:rPr>
                <w:rFonts w:eastAsia="Times New Roman" w:cstheme="minorHAnsi"/>
                <w:color w:val="000000"/>
                <w:rtl/>
              </w:rPr>
            </w:pPr>
            <w:r w:rsidRPr="00832A7D">
              <w:rPr>
                <w:rFonts w:eastAsia="Times New Roman" w:cstheme="minorHAnsi"/>
                <w:color w:val="000000"/>
              </w:rPr>
              <w:t>Fresh fruit and vegetables</w:t>
            </w:r>
          </w:p>
        </w:tc>
        <w:tc>
          <w:tcPr>
            <w:tcW w:w="2268" w:type="dxa"/>
            <w:tcBorders>
              <w:top w:val="single" w:sz="8" w:space="0" w:color="92CDDC"/>
              <w:left w:val="nil"/>
              <w:bottom w:val="nil"/>
              <w:right w:val="nil"/>
            </w:tcBorders>
            <w:shd w:val="clear" w:color="000000" w:fill="DAEEF3"/>
            <w:noWrap/>
            <w:vAlign w:val="center"/>
            <w:hideMark/>
          </w:tcPr>
          <w:p w14:paraId="13BA08AB"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17,600</w:t>
            </w:r>
          </w:p>
        </w:tc>
        <w:tc>
          <w:tcPr>
            <w:tcW w:w="1984" w:type="dxa"/>
            <w:tcBorders>
              <w:top w:val="single" w:sz="8" w:space="0" w:color="92CDDC"/>
              <w:left w:val="nil"/>
              <w:bottom w:val="nil"/>
              <w:right w:val="nil"/>
            </w:tcBorders>
            <w:shd w:val="clear" w:color="000000" w:fill="DAEEF3"/>
            <w:noWrap/>
            <w:vAlign w:val="center"/>
            <w:hideMark/>
          </w:tcPr>
          <w:p w14:paraId="62EB3DFE"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11%</w:t>
            </w:r>
          </w:p>
        </w:tc>
        <w:tc>
          <w:tcPr>
            <w:tcW w:w="1984" w:type="dxa"/>
            <w:tcBorders>
              <w:top w:val="single" w:sz="8" w:space="0" w:color="92CDDC"/>
              <w:left w:val="nil"/>
              <w:bottom w:val="nil"/>
              <w:right w:val="nil"/>
            </w:tcBorders>
            <w:shd w:val="clear" w:color="000000" w:fill="DAEEF3"/>
            <w:noWrap/>
            <w:vAlign w:val="center"/>
            <w:hideMark/>
          </w:tcPr>
          <w:p w14:paraId="75B62A1D"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2,000</w:t>
            </w:r>
          </w:p>
        </w:tc>
      </w:tr>
      <w:tr w:rsidR="00832A7D" w:rsidRPr="00832A7D" w14:paraId="44B99CBC" w14:textId="77777777" w:rsidTr="00832A7D">
        <w:trPr>
          <w:trHeight w:val="300"/>
        </w:trPr>
        <w:tc>
          <w:tcPr>
            <w:tcW w:w="2776" w:type="dxa"/>
            <w:tcBorders>
              <w:top w:val="single" w:sz="8" w:space="0" w:color="92CDDC"/>
              <w:left w:val="single" w:sz="4" w:space="0" w:color="4BACC6"/>
              <w:bottom w:val="nil"/>
              <w:right w:val="nil"/>
            </w:tcBorders>
            <w:shd w:val="clear" w:color="auto" w:fill="auto"/>
            <w:noWrap/>
            <w:vAlign w:val="center"/>
          </w:tcPr>
          <w:p w14:paraId="3FF9F427" w14:textId="77777777" w:rsidR="00832A7D" w:rsidRPr="00832A7D" w:rsidRDefault="00832A7D" w:rsidP="004E2385">
            <w:pPr>
              <w:spacing w:after="0" w:line="240" w:lineRule="auto"/>
              <w:rPr>
                <w:rFonts w:eastAsia="Times New Roman" w:cstheme="minorHAnsi"/>
                <w:color w:val="000000"/>
              </w:rPr>
            </w:pPr>
            <w:r>
              <w:rPr>
                <w:rFonts w:eastAsia="Times New Roman" w:cstheme="minorHAnsi"/>
                <w:color w:val="000000"/>
              </w:rPr>
              <w:t>Bread and baked goods</w:t>
            </w:r>
          </w:p>
        </w:tc>
        <w:tc>
          <w:tcPr>
            <w:tcW w:w="2268" w:type="dxa"/>
            <w:tcBorders>
              <w:top w:val="single" w:sz="8" w:space="0" w:color="92CDDC"/>
              <w:left w:val="nil"/>
              <w:bottom w:val="nil"/>
              <w:right w:val="nil"/>
            </w:tcBorders>
            <w:shd w:val="clear" w:color="auto" w:fill="auto"/>
            <w:noWrap/>
            <w:vAlign w:val="center"/>
            <w:hideMark/>
          </w:tcPr>
          <w:p w14:paraId="73185149" w14:textId="77777777" w:rsidR="00832A7D" w:rsidRPr="00832A7D" w:rsidRDefault="00832A7D" w:rsidP="004E2385">
            <w:pPr>
              <w:spacing w:after="0" w:line="240" w:lineRule="auto"/>
              <w:jc w:val="center"/>
              <w:rPr>
                <w:rFonts w:eastAsia="Times New Roman" w:cstheme="minorHAnsi"/>
                <w:color w:val="000000"/>
                <w:rtl/>
              </w:rPr>
            </w:pPr>
            <w:r w:rsidRPr="00832A7D">
              <w:rPr>
                <w:rFonts w:cstheme="minorHAnsi"/>
                <w:color w:val="000000"/>
              </w:rPr>
              <w:t>2,500</w:t>
            </w:r>
          </w:p>
        </w:tc>
        <w:tc>
          <w:tcPr>
            <w:tcW w:w="1984" w:type="dxa"/>
            <w:tcBorders>
              <w:top w:val="single" w:sz="8" w:space="0" w:color="92CDDC"/>
              <w:left w:val="nil"/>
              <w:bottom w:val="nil"/>
              <w:right w:val="nil"/>
            </w:tcBorders>
            <w:shd w:val="clear" w:color="auto" w:fill="auto"/>
            <w:noWrap/>
            <w:vAlign w:val="center"/>
            <w:hideMark/>
          </w:tcPr>
          <w:p w14:paraId="06F3448D"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11%</w:t>
            </w:r>
          </w:p>
        </w:tc>
        <w:tc>
          <w:tcPr>
            <w:tcW w:w="1984" w:type="dxa"/>
            <w:tcBorders>
              <w:top w:val="single" w:sz="8" w:space="0" w:color="92CDDC"/>
              <w:left w:val="nil"/>
              <w:bottom w:val="nil"/>
              <w:right w:val="nil"/>
            </w:tcBorders>
            <w:shd w:val="clear" w:color="auto" w:fill="auto"/>
            <w:noWrap/>
            <w:vAlign w:val="center"/>
            <w:hideMark/>
          </w:tcPr>
          <w:p w14:paraId="3D997F68"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275</w:t>
            </w:r>
          </w:p>
        </w:tc>
      </w:tr>
      <w:tr w:rsidR="00832A7D" w:rsidRPr="00832A7D" w14:paraId="79D79E71" w14:textId="77777777" w:rsidTr="00832A7D">
        <w:trPr>
          <w:trHeight w:val="300"/>
        </w:trPr>
        <w:tc>
          <w:tcPr>
            <w:tcW w:w="2776" w:type="dxa"/>
            <w:tcBorders>
              <w:top w:val="single" w:sz="8" w:space="0" w:color="92CDDC"/>
              <w:left w:val="single" w:sz="4" w:space="0" w:color="4BACC6"/>
              <w:bottom w:val="nil"/>
              <w:right w:val="nil"/>
            </w:tcBorders>
            <w:shd w:val="clear" w:color="000000" w:fill="DAEEF3"/>
            <w:noWrap/>
            <w:vAlign w:val="center"/>
          </w:tcPr>
          <w:p w14:paraId="1FBEBDFA" w14:textId="77777777" w:rsidR="00832A7D" w:rsidRPr="00832A7D" w:rsidRDefault="00832A7D" w:rsidP="004E2385">
            <w:pPr>
              <w:spacing w:after="0" w:line="240" w:lineRule="auto"/>
              <w:rPr>
                <w:rFonts w:eastAsia="Times New Roman" w:cstheme="minorHAnsi"/>
                <w:color w:val="000000"/>
              </w:rPr>
            </w:pPr>
            <w:r>
              <w:rPr>
                <w:rFonts w:eastAsia="Times New Roman" w:cstheme="minorHAnsi"/>
                <w:color w:val="000000"/>
              </w:rPr>
              <w:t>Grains &amp; legumes</w:t>
            </w:r>
          </w:p>
        </w:tc>
        <w:tc>
          <w:tcPr>
            <w:tcW w:w="2268" w:type="dxa"/>
            <w:tcBorders>
              <w:top w:val="single" w:sz="8" w:space="0" w:color="92CDDC"/>
              <w:left w:val="nil"/>
              <w:bottom w:val="nil"/>
              <w:right w:val="nil"/>
            </w:tcBorders>
            <w:shd w:val="clear" w:color="000000" w:fill="DAEEF3"/>
            <w:noWrap/>
            <w:vAlign w:val="center"/>
            <w:hideMark/>
          </w:tcPr>
          <w:p w14:paraId="738AE5F3" w14:textId="77777777" w:rsidR="00832A7D" w:rsidRPr="00832A7D" w:rsidRDefault="00832A7D" w:rsidP="004E2385">
            <w:pPr>
              <w:spacing w:after="0" w:line="240" w:lineRule="auto"/>
              <w:jc w:val="center"/>
              <w:rPr>
                <w:rFonts w:eastAsia="Times New Roman" w:cstheme="minorHAnsi"/>
                <w:color w:val="000000"/>
                <w:rtl/>
              </w:rPr>
            </w:pPr>
            <w:r w:rsidRPr="00832A7D">
              <w:rPr>
                <w:rFonts w:cstheme="minorHAnsi"/>
                <w:color w:val="000000"/>
              </w:rPr>
              <w:t>17,200</w:t>
            </w:r>
          </w:p>
        </w:tc>
        <w:tc>
          <w:tcPr>
            <w:tcW w:w="1984" w:type="dxa"/>
            <w:tcBorders>
              <w:top w:val="single" w:sz="8" w:space="0" w:color="92CDDC"/>
              <w:left w:val="nil"/>
              <w:bottom w:val="nil"/>
              <w:right w:val="nil"/>
            </w:tcBorders>
            <w:shd w:val="clear" w:color="000000" w:fill="DAEEF3"/>
            <w:noWrap/>
            <w:vAlign w:val="center"/>
            <w:hideMark/>
          </w:tcPr>
          <w:p w14:paraId="32A49C15"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2%</w:t>
            </w:r>
          </w:p>
        </w:tc>
        <w:tc>
          <w:tcPr>
            <w:tcW w:w="1984" w:type="dxa"/>
            <w:tcBorders>
              <w:top w:val="single" w:sz="8" w:space="0" w:color="92CDDC"/>
              <w:left w:val="nil"/>
              <w:bottom w:val="nil"/>
              <w:right w:val="nil"/>
            </w:tcBorders>
            <w:shd w:val="clear" w:color="000000" w:fill="DAEEF3"/>
            <w:noWrap/>
            <w:vAlign w:val="center"/>
            <w:hideMark/>
          </w:tcPr>
          <w:p w14:paraId="70048E65"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350</w:t>
            </w:r>
          </w:p>
        </w:tc>
      </w:tr>
      <w:tr w:rsidR="00832A7D" w:rsidRPr="00832A7D" w14:paraId="220C09FA" w14:textId="77777777" w:rsidTr="00832A7D">
        <w:trPr>
          <w:trHeight w:val="300"/>
        </w:trPr>
        <w:tc>
          <w:tcPr>
            <w:tcW w:w="2776" w:type="dxa"/>
            <w:tcBorders>
              <w:top w:val="single" w:sz="8" w:space="0" w:color="92CDDC"/>
              <w:left w:val="single" w:sz="4" w:space="0" w:color="4BACC6"/>
              <w:bottom w:val="nil"/>
              <w:right w:val="nil"/>
            </w:tcBorders>
            <w:shd w:val="clear" w:color="auto" w:fill="auto"/>
            <w:noWrap/>
            <w:vAlign w:val="center"/>
          </w:tcPr>
          <w:p w14:paraId="5FE648AA" w14:textId="77777777" w:rsidR="00832A7D" w:rsidRPr="00832A7D" w:rsidRDefault="00832A7D" w:rsidP="004E2385">
            <w:pPr>
              <w:spacing w:after="0" w:line="240" w:lineRule="auto"/>
              <w:rPr>
                <w:rFonts w:eastAsia="Times New Roman" w:cstheme="minorHAnsi"/>
                <w:color w:val="000000"/>
              </w:rPr>
            </w:pPr>
            <w:r>
              <w:rPr>
                <w:rFonts w:eastAsia="Times New Roman" w:cstheme="minorHAnsi"/>
                <w:color w:val="000000"/>
              </w:rPr>
              <w:t>Meat, eggs, &amp; fish</w:t>
            </w:r>
          </w:p>
        </w:tc>
        <w:tc>
          <w:tcPr>
            <w:tcW w:w="2268" w:type="dxa"/>
            <w:tcBorders>
              <w:top w:val="single" w:sz="8" w:space="0" w:color="92CDDC"/>
              <w:left w:val="nil"/>
              <w:bottom w:val="nil"/>
              <w:right w:val="nil"/>
            </w:tcBorders>
            <w:shd w:val="clear" w:color="auto" w:fill="auto"/>
            <w:noWrap/>
            <w:vAlign w:val="center"/>
            <w:hideMark/>
          </w:tcPr>
          <w:p w14:paraId="207E8617" w14:textId="77777777" w:rsidR="00832A7D" w:rsidRPr="00832A7D" w:rsidRDefault="00832A7D" w:rsidP="004E2385">
            <w:pPr>
              <w:spacing w:after="0" w:line="240" w:lineRule="auto"/>
              <w:jc w:val="center"/>
              <w:rPr>
                <w:rFonts w:eastAsia="Times New Roman" w:cstheme="minorHAnsi"/>
                <w:color w:val="000000"/>
                <w:rtl/>
              </w:rPr>
            </w:pPr>
            <w:r w:rsidRPr="00832A7D">
              <w:rPr>
                <w:rFonts w:cstheme="minorHAnsi"/>
                <w:color w:val="000000"/>
              </w:rPr>
              <w:t>24,900</w:t>
            </w:r>
          </w:p>
        </w:tc>
        <w:tc>
          <w:tcPr>
            <w:tcW w:w="1984" w:type="dxa"/>
            <w:tcBorders>
              <w:top w:val="single" w:sz="8" w:space="0" w:color="92CDDC"/>
              <w:left w:val="nil"/>
              <w:bottom w:val="nil"/>
              <w:right w:val="nil"/>
            </w:tcBorders>
            <w:shd w:val="clear" w:color="auto" w:fill="auto"/>
            <w:noWrap/>
            <w:vAlign w:val="center"/>
            <w:hideMark/>
          </w:tcPr>
          <w:p w14:paraId="30EADC26"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5%</w:t>
            </w:r>
          </w:p>
        </w:tc>
        <w:tc>
          <w:tcPr>
            <w:tcW w:w="1984" w:type="dxa"/>
            <w:tcBorders>
              <w:top w:val="single" w:sz="8" w:space="0" w:color="92CDDC"/>
              <w:left w:val="nil"/>
              <w:bottom w:val="nil"/>
              <w:right w:val="nil"/>
            </w:tcBorders>
            <w:shd w:val="clear" w:color="auto" w:fill="auto"/>
            <w:noWrap/>
            <w:vAlign w:val="center"/>
            <w:hideMark/>
          </w:tcPr>
          <w:p w14:paraId="3D0C75B2"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1,350</w:t>
            </w:r>
          </w:p>
        </w:tc>
      </w:tr>
      <w:tr w:rsidR="00832A7D" w:rsidRPr="00832A7D" w14:paraId="67DE4357" w14:textId="77777777" w:rsidTr="00832A7D">
        <w:trPr>
          <w:trHeight w:val="300"/>
        </w:trPr>
        <w:tc>
          <w:tcPr>
            <w:tcW w:w="2776" w:type="dxa"/>
            <w:tcBorders>
              <w:top w:val="single" w:sz="8" w:space="0" w:color="92CDDC"/>
              <w:left w:val="single" w:sz="4" w:space="0" w:color="4BACC6"/>
              <w:bottom w:val="nil"/>
              <w:right w:val="nil"/>
            </w:tcBorders>
            <w:shd w:val="clear" w:color="000000" w:fill="DAEEF3"/>
            <w:noWrap/>
            <w:vAlign w:val="center"/>
          </w:tcPr>
          <w:p w14:paraId="42E78D44" w14:textId="77777777" w:rsidR="00832A7D" w:rsidRPr="00832A7D" w:rsidRDefault="00832A7D" w:rsidP="004E2385">
            <w:pPr>
              <w:spacing w:after="0" w:line="240" w:lineRule="auto"/>
              <w:rPr>
                <w:rFonts w:eastAsia="Times New Roman" w:cstheme="minorHAnsi"/>
                <w:color w:val="000000"/>
              </w:rPr>
            </w:pPr>
            <w:r>
              <w:rPr>
                <w:rFonts w:eastAsia="Times New Roman" w:cstheme="minorHAnsi"/>
                <w:color w:val="000000"/>
              </w:rPr>
              <w:t>Milk &amp; dairy products</w:t>
            </w:r>
          </w:p>
        </w:tc>
        <w:tc>
          <w:tcPr>
            <w:tcW w:w="2268" w:type="dxa"/>
            <w:tcBorders>
              <w:top w:val="single" w:sz="8" w:space="0" w:color="92CDDC"/>
              <w:left w:val="nil"/>
              <w:bottom w:val="nil"/>
              <w:right w:val="nil"/>
            </w:tcBorders>
            <w:shd w:val="clear" w:color="000000" w:fill="DAEEF3"/>
            <w:noWrap/>
            <w:vAlign w:val="center"/>
            <w:hideMark/>
          </w:tcPr>
          <w:p w14:paraId="4823548D" w14:textId="77777777" w:rsidR="00832A7D" w:rsidRPr="00832A7D" w:rsidRDefault="00832A7D" w:rsidP="004E2385">
            <w:pPr>
              <w:spacing w:after="0" w:line="240" w:lineRule="auto"/>
              <w:jc w:val="center"/>
              <w:rPr>
                <w:rFonts w:eastAsia="Times New Roman" w:cstheme="minorHAnsi"/>
                <w:color w:val="000000"/>
                <w:rtl/>
              </w:rPr>
            </w:pPr>
            <w:r w:rsidRPr="00832A7D">
              <w:rPr>
                <w:rFonts w:cstheme="minorHAnsi"/>
                <w:color w:val="000000"/>
              </w:rPr>
              <w:t>9,000</w:t>
            </w:r>
          </w:p>
        </w:tc>
        <w:tc>
          <w:tcPr>
            <w:tcW w:w="1984" w:type="dxa"/>
            <w:tcBorders>
              <w:top w:val="single" w:sz="8" w:space="0" w:color="92CDDC"/>
              <w:left w:val="nil"/>
              <w:bottom w:val="nil"/>
              <w:right w:val="nil"/>
            </w:tcBorders>
            <w:shd w:val="clear" w:color="000000" w:fill="DAEEF3"/>
            <w:noWrap/>
            <w:vAlign w:val="center"/>
            <w:hideMark/>
          </w:tcPr>
          <w:p w14:paraId="0E6F7FD0"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2%</w:t>
            </w:r>
          </w:p>
        </w:tc>
        <w:tc>
          <w:tcPr>
            <w:tcW w:w="1984" w:type="dxa"/>
            <w:tcBorders>
              <w:top w:val="single" w:sz="8" w:space="0" w:color="92CDDC"/>
              <w:left w:val="nil"/>
              <w:bottom w:val="nil"/>
              <w:right w:val="nil"/>
            </w:tcBorders>
            <w:shd w:val="clear" w:color="000000" w:fill="DAEEF3"/>
            <w:noWrap/>
            <w:vAlign w:val="center"/>
            <w:hideMark/>
          </w:tcPr>
          <w:p w14:paraId="66871930"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200</w:t>
            </w:r>
          </w:p>
        </w:tc>
      </w:tr>
      <w:tr w:rsidR="00832A7D" w:rsidRPr="00832A7D" w14:paraId="77E84AF2" w14:textId="77777777" w:rsidTr="00832A7D">
        <w:trPr>
          <w:trHeight w:val="300"/>
        </w:trPr>
        <w:tc>
          <w:tcPr>
            <w:tcW w:w="2776" w:type="dxa"/>
            <w:tcBorders>
              <w:top w:val="single" w:sz="8" w:space="0" w:color="92CDDC"/>
              <w:left w:val="single" w:sz="4" w:space="0" w:color="4BACC6"/>
              <w:bottom w:val="nil"/>
              <w:right w:val="nil"/>
            </w:tcBorders>
            <w:shd w:val="clear" w:color="auto" w:fill="auto"/>
            <w:noWrap/>
            <w:vAlign w:val="center"/>
          </w:tcPr>
          <w:p w14:paraId="54CA58F0" w14:textId="77777777" w:rsidR="00832A7D" w:rsidRPr="00832A7D" w:rsidRDefault="00832A7D" w:rsidP="004E2385">
            <w:pPr>
              <w:spacing w:after="0" w:line="240" w:lineRule="auto"/>
              <w:rPr>
                <w:rFonts w:eastAsia="Times New Roman" w:cstheme="minorHAnsi"/>
                <w:color w:val="000000"/>
              </w:rPr>
            </w:pPr>
            <w:r>
              <w:rPr>
                <w:rFonts w:eastAsia="Times New Roman" w:cstheme="minorHAnsi"/>
                <w:color w:val="000000"/>
              </w:rPr>
              <w:t>Frozen &amp; other</w:t>
            </w:r>
          </w:p>
        </w:tc>
        <w:tc>
          <w:tcPr>
            <w:tcW w:w="2268" w:type="dxa"/>
            <w:tcBorders>
              <w:top w:val="single" w:sz="8" w:space="0" w:color="92CDDC"/>
              <w:left w:val="nil"/>
              <w:bottom w:val="nil"/>
              <w:right w:val="nil"/>
            </w:tcBorders>
            <w:shd w:val="clear" w:color="auto" w:fill="auto"/>
            <w:noWrap/>
            <w:vAlign w:val="center"/>
            <w:hideMark/>
          </w:tcPr>
          <w:p w14:paraId="71C2E473" w14:textId="77777777" w:rsidR="00832A7D" w:rsidRPr="00832A7D" w:rsidRDefault="00832A7D" w:rsidP="004E2385">
            <w:pPr>
              <w:spacing w:after="0" w:line="240" w:lineRule="auto"/>
              <w:jc w:val="center"/>
              <w:rPr>
                <w:rFonts w:eastAsia="Times New Roman" w:cstheme="minorHAnsi"/>
                <w:color w:val="000000"/>
                <w:rtl/>
              </w:rPr>
            </w:pPr>
            <w:r w:rsidRPr="00832A7D">
              <w:rPr>
                <w:rFonts w:cstheme="minorHAnsi"/>
                <w:color w:val="000000"/>
              </w:rPr>
              <w:t>5,300</w:t>
            </w:r>
          </w:p>
        </w:tc>
        <w:tc>
          <w:tcPr>
            <w:tcW w:w="1984" w:type="dxa"/>
            <w:tcBorders>
              <w:top w:val="single" w:sz="8" w:space="0" w:color="92CDDC"/>
              <w:left w:val="nil"/>
              <w:bottom w:val="nil"/>
              <w:right w:val="nil"/>
            </w:tcBorders>
            <w:shd w:val="clear" w:color="auto" w:fill="auto"/>
            <w:noWrap/>
            <w:vAlign w:val="center"/>
            <w:hideMark/>
          </w:tcPr>
          <w:p w14:paraId="5CC2F3E1"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1%</w:t>
            </w:r>
          </w:p>
        </w:tc>
        <w:tc>
          <w:tcPr>
            <w:tcW w:w="1984" w:type="dxa"/>
            <w:tcBorders>
              <w:top w:val="single" w:sz="8" w:space="0" w:color="92CDDC"/>
              <w:left w:val="nil"/>
              <w:bottom w:val="nil"/>
              <w:right w:val="nil"/>
            </w:tcBorders>
            <w:shd w:val="clear" w:color="auto" w:fill="auto"/>
            <w:noWrap/>
            <w:vAlign w:val="center"/>
            <w:hideMark/>
          </w:tcPr>
          <w:p w14:paraId="3E12F25A"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60</w:t>
            </w:r>
          </w:p>
        </w:tc>
      </w:tr>
      <w:tr w:rsidR="00832A7D" w:rsidRPr="00832A7D" w14:paraId="67B4F408" w14:textId="77777777" w:rsidTr="00832A7D">
        <w:trPr>
          <w:trHeight w:val="285"/>
        </w:trPr>
        <w:tc>
          <w:tcPr>
            <w:tcW w:w="2776" w:type="dxa"/>
            <w:tcBorders>
              <w:top w:val="single" w:sz="8" w:space="0" w:color="92CDDC"/>
              <w:left w:val="single" w:sz="4" w:space="0" w:color="4BACC6"/>
              <w:bottom w:val="single" w:sz="4" w:space="0" w:color="92CDDC"/>
              <w:right w:val="nil"/>
            </w:tcBorders>
            <w:shd w:val="clear" w:color="000000" w:fill="DAEEF3"/>
            <w:noWrap/>
            <w:vAlign w:val="center"/>
          </w:tcPr>
          <w:p w14:paraId="25902778" w14:textId="77777777" w:rsidR="00832A7D" w:rsidRPr="00832A7D" w:rsidRDefault="00832A7D" w:rsidP="004E2385">
            <w:pPr>
              <w:spacing w:after="0" w:line="240" w:lineRule="auto"/>
              <w:rPr>
                <w:rFonts w:eastAsia="Times New Roman" w:cstheme="minorHAnsi"/>
                <w:color w:val="000000"/>
              </w:rPr>
            </w:pPr>
            <w:r>
              <w:rPr>
                <w:rFonts w:eastAsia="Times New Roman" w:cstheme="minorHAnsi"/>
                <w:color w:val="000000"/>
              </w:rPr>
              <w:t>Total</w:t>
            </w:r>
          </w:p>
        </w:tc>
        <w:tc>
          <w:tcPr>
            <w:tcW w:w="2268" w:type="dxa"/>
            <w:tcBorders>
              <w:top w:val="single" w:sz="8" w:space="0" w:color="92CDDC"/>
              <w:left w:val="nil"/>
              <w:bottom w:val="single" w:sz="4" w:space="0" w:color="92CDDC"/>
              <w:right w:val="nil"/>
            </w:tcBorders>
            <w:shd w:val="clear" w:color="000000" w:fill="DAEEF3"/>
            <w:noWrap/>
            <w:vAlign w:val="center"/>
            <w:hideMark/>
          </w:tcPr>
          <w:p w14:paraId="2646DC52" w14:textId="77777777" w:rsidR="00832A7D" w:rsidRPr="00832A7D" w:rsidRDefault="00832A7D" w:rsidP="004E2385">
            <w:pPr>
              <w:spacing w:after="0" w:line="240" w:lineRule="auto"/>
              <w:jc w:val="center"/>
              <w:rPr>
                <w:rFonts w:eastAsia="Times New Roman" w:cstheme="minorHAnsi"/>
                <w:color w:val="000000"/>
                <w:rtl/>
              </w:rPr>
            </w:pPr>
            <w:r w:rsidRPr="00832A7D">
              <w:rPr>
                <w:rFonts w:cstheme="minorHAnsi"/>
                <w:color w:val="000000"/>
              </w:rPr>
              <w:t>76,500</w:t>
            </w:r>
          </w:p>
        </w:tc>
        <w:tc>
          <w:tcPr>
            <w:tcW w:w="1984" w:type="dxa"/>
            <w:tcBorders>
              <w:top w:val="single" w:sz="8" w:space="0" w:color="92CDDC"/>
              <w:left w:val="nil"/>
              <w:bottom w:val="single" w:sz="4" w:space="0" w:color="92CDDC"/>
              <w:right w:val="nil"/>
            </w:tcBorders>
            <w:shd w:val="clear" w:color="000000" w:fill="DAEEF3"/>
            <w:noWrap/>
            <w:vAlign w:val="center"/>
            <w:hideMark/>
          </w:tcPr>
          <w:p w14:paraId="077EF256"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6%</w:t>
            </w:r>
          </w:p>
        </w:tc>
        <w:tc>
          <w:tcPr>
            <w:tcW w:w="1984" w:type="dxa"/>
            <w:tcBorders>
              <w:top w:val="single" w:sz="8" w:space="0" w:color="92CDDC"/>
              <w:left w:val="nil"/>
              <w:bottom w:val="single" w:sz="4" w:space="0" w:color="92CDDC"/>
              <w:right w:val="nil"/>
            </w:tcBorders>
            <w:shd w:val="clear" w:color="000000" w:fill="DAEEF3"/>
            <w:noWrap/>
            <w:vAlign w:val="center"/>
            <w:hideMark/>
          </w:tcPr>
          <w:p w14:paraId="2C2377BA" w14:textId="77777777" w:rsidR="00832A7D" w:rsidRPr="00832A7D" w:rsidRDefault="00832A7D" w:rsidP="004E2385">
            <w:pPr>
              <w:spacing w:after="0" w:line="240" w:lineRule="auto"/>
              <w:jc w:val="center"/>
              <w:rPr>
                <w:rFonts w:eastAsia="Times New Roman" w:cstheme="minorHAnsi"/>
                <w:color w:val="000000"/>
              </w:rPr>
            </w:pPr>
            <w:r w:rsidRPr="00832A7D">
              <w:rPr>
                <w:rFonts w:cstheme="minorHAnsi"/>
                <w:color w:val="000000"/>
              </w:rPr>
              <w:t>4,2</w:t>
            </w:r>
            <w:r w:rsidRPr="00832A7D">
              <w:rPr>
                <w:rFonts w:cstheme="minorHAnsi"/>
                <w:color w:val="000000"/>
                <w:rtl/>
              </w:rPr>
              <w:t>00</w:t>
            </w:r>
          </w:p>
        </w:tc>
      </w:tr>
    </w:tbl>
    <w:p w14:paraId="2402D277" w14:textId="77777777" w:rsidR="00832A7D" w:rsidRDefault="00832A7D" w:rsidP="00844741">
      <w:pPr>
        <w:pStyle w:val="Graphnote"/>
      </w:pPr>
      <w:r>
        <w:t xml:space="preserve">*Numbers are </w:t>
      </w:r>
      <w:r w:rsidRPr="00832A7D">
        <w:t xml:space="preserve">rounded for ease of presentation </w:t>
      </w:r>
    </w:p>
    <w:p w14:paraId="1B50E6DD" w14:textId="22A4F94A" w:rsidR="00832A7D" w:rsidRPr="00EA4134" w:rsidRDefault="00832A7D" w:rsidP="00844741">
      <w:pPr>
        <w:pStyle w:val="BodyText"/>
      </w:pPr>
      <w:r w:rsidRPr="00EA4134">
        <w:t xml:space="preserve">The main causes of food </w:t>
      </w:r>
      <w:r w:rsidR="008C7197">
        <w:t>waste</w:t>
      </w:r>
      <w:r w:rsidR="008C7197" w:rsidRPr="00EA4134">
        <w:t xml:space="preserve"> </w:t>
      </w:r>
      <w:r w:rsidRPr="00EA4134">
        <w:t xml:space="preserve">in the retail and distribution </w:t>
      </w:r>
      <w:r w:rsidR="008D157A">
        <w:t>sector</w:t>
      </w:r>
      <w:r w:rsidRPr="00EA4134">
        <w:t xml:space="preserve"> are </w:t>
      </w:r>
      <w:r w:rsidR="00EA4134">
        <w:t xml:space="preserve">food that has reached, or will soon reach, its </w:t>
      </w:r>
      <w:r w:rsidRPr="00EA4134">
        <w:t>expir</w:t>
      </w:r>
      <w:r w:rsidR="00EA4134">
        <w:t>ation date,</w:t>
      </w:r>
      <w:r w:rsidRPr="00EA4134">
        <w:t xml:space="preserve"> food</w:t>
      </w:r>
      <w:r w:rsidR="00EA4134">
        <w:t xml:space="preserve"> with</w:t>
      </w:r>
      <w:r w:rsidRPr="00EA4134">
        <w:t xml:space="preserve"> </w:t>
      </w:r>
      <w:r w:rsidRPr="00EA4134">
        <w:lastRenderedPageBreak/>
        <w:t xml:space="preserve">aesthetic defects in </w:t>
      </w:r>
      <w:r w:rsidR="00EA4134">
        <w:t xml:space="preserve">the </w:t>
      </w:r>
      <w:r w:rsidRPr="00EA4134">
        <w:t xml:space="preserve">packaging or product, and food damaged in the marketing process. Food manufacturers, distributors, and retailers have a clear economic incentive to </w:t>
      </w:r>
      <w:r w:rsidRPr="004E2385">
        <w:t>minimize</w:t>
      </w:r>
      <w:r w:rsidRPr="00EA4134">
        <w:t xml:space="preserve"> food </w:t>
      </w:r>
      <w:r w:rsidR="008C7197">
        <w:t>waste</w:t>
      </w:r>
      <w:r w:rsidR="008C7197" w:rsidRPr="00EA4134">
        <w:t xml:space="preserve"> </w:t>
      </w:r>
      <w:r w:rsidRPr="00EA4134">
        <w:t>by effectively managing the supply chain, maintaining proper storage conditions, and planning inventory.</w:t>
      </w:r>
    </w:p>
    <w:p w14:paraId="09B578A4" w14:textId="02A4310F" w:rsidR="00832A7D" w:rsidRPr="00EA4134" w:rsidRDefault="00832A7D" w:rsidP="00055E2B">
      <w:pPr>
        <w:pStyle w:val="BodyText"/>
      </w:pPr>
      <w:r w:rsidRPr="00EA4134">
        <w:t xml:space="preserve">Nevertheless, surplus food in the retail and distribution </w:t>
      </w:r>
      <w:r w:rsidR="008D157A">
        <w:t>sector</w:t>
      </w:r>
      <w:r w:rsidRPr="00EA4134">
        <w:t xml:space="preserve"> is inevitable, even </w:t>
      </w:r>
      <w:r w:rsidR="00EA4134">
        <w:t xml:space="preserve">with </w:t>
      </w:r>
      <w:r w:rsidRPr="00EA4134">
        <w:t xml:space="preserve">optimal planning of </w:t>
      </w:r>
      <w:r w:rsidR="00EA4134">
        <w:t xml:space="preserve">the </w:t>
      </w:r>
      <w:r w:rsidRPr="00EA4134">
        <w:t xml:space="preserve">distribution and marketing systems. This is because retailers are required to ensure a wide, varied and available food supply at all times. Food consumers </w:t>
      </w:r>
      <w:r w:rsidR="00563447">
        <w:t xml:space="preserve">will </w:t>
      </w:r>
      <w:r w:rsidRPr="00EA4134">
        <w:t>not tolerat</w:t>
      </w:r>
      <w:r w:rsidR="00563447">
        <w:t xml:space="preserve">e </w:t>
      </w:r>
      <w:r w:rsidRPr="00EA4134">
        <w:t xml:space="preserve">a shortage of </w:t>
      </w:r>
      <w:r w:rsidR="00563447">
        <w:t xml:space="preserve">the </w:t>
      </w:r>
      <w:r w:rsidRPr="00EA4134">
        <w:t xml:space="preserve">food items they </w:t>
      </w:r>
      <w:r w:rsidR="00563447">
        <w:t>seek</w:t>
      </w:r>
      <w:r w:rsidRPr="00EA4134">
        <w:t xml:space="preserve">, so the loss </w:t>
      </w:r>
      <w:r w:rsidR="00563447">
        <w:t xml:space="preserve">potentially </w:t>
      </w:r>
      <w:r w:rsidRPr="00EA4134">
        <w:t xml:space="preserve">caused to retailers </w:t>
      </w:r>
      <w:r w:rsidR="00563447">
        <w:t>because food products are not immediately a</w:t>
      </w:r>
      <w:r w:rsidRPr="00EA4134">
        <w:t>vailabl</w:t>
      </w:r>
      <w:r w:rsidR="00563447">
        <w:t xml:space="preserve">e </w:t>
      </w:r>
      <w:r w:rsidRPr="00EA4134">
        <w:t xml:space="preserve">is far higher than the cost of </w:t>
      </w:r>
      <w:r w:rsidR="00055E2B">
        <w:t xml:space="preserve">offering </w:t>
      </w:r>
      <w:r w:rsidRPr="00EA4134">
        <w:t xml:space="preserve">surpluses. In other words, excess food is an </w:t>
      </w:r>
      <w:r w:rsidRPr="0090500B">
        <w:t>inherent</w:t>
      </w:r>
      <w:r w:rsidRPr="00EA4134">
        <w:t xml:space="preserve"> part of the retail sale process.</w:t>
      </w:r>
    </w:p>
    <w:p w14:paraId="11E1E294" w14:textId="77777777" w:rsidR="00832A7D" w:rsidRPr="00832A7D" w:rsidRDefault="00832A7D" w:rsidP="004E2385">
      <w:pPr>
        <w:pStyle w:val="BodyText"/>
      </w:pPr>
      <w:r w:rsidRPr="00832A7D">
        <w:t xml:space="preserve">The fact that excess food is </w:t>
      </w:r>
      <w:r w:rsidR="00563447">
        <w:t xml:space="preserve">discarded rather than rescued represents a </w:t>
      </w:r>
      <w:r w:rsidR="008D157A">
        <w:t>market failure</w:t>
      </w:r>
      <w:r w:rsidRPr="00832A7D">
        <w:t>, and therefore one of the government's policy challenges is to create a system of incentives that will save these surpluses and transfer them to the needy.</w:t>
      </w:r>
    </w:p>
    <w:p w14:paraId="21BE07AE" w14:textId="77777777" w:rsidR="00563447" w:rsidRDefault="00832A7D" w:rsidP="00D107CA">
      <w:pPr>
        <w:pStyle w:val="BodyText"/>
      </w:pPr>
      <w:r w:rsidRPr="00832A7D">
        <w:t>Naturally, the rate of loss is higher in fresh products and short shelf life products</w:t>
      </w:r>
      <w:r w:rsidR="00D107CA">
        <w:t>,</w:t>
      </w:r>
      <w:r w:rsidRPr="00832A7D">
        <w:t xml:space="preserve"> </w:t>
      </w:r>
      <w:r w:rsidR="00D107CA" w:rsidRPr="00832A7D">
        <w:t xml:space="preserve">such </w:t>
      </w:r>
      <w:r w:rsidRPr="00832A7D">
        <w:t xml:space="preserve">as fruits, vegetables, bread and </w:t>
      </w:r>
      <w:r w:rsidR="0090500B">
        <w:t>baked goods</w:t>
      </w:r>
      <w:r w:rsidRPr="00832A7D">
        <w:t>.</w:t>
      </w:r>
      <w:r w:rsidR="00563447">
        <w:t xml:space="preserve"> </w:t>
      </w:r>
    </w:p>
    <w:p w14:paraId="123975BB" w14:textId="4153832A" w:rsidR="0090500B" w:rsidRPr="004E2385" w:rsidRDefault="00251B17" w:rsidP="00251B17">
      <w:pPr>
        <w:pStyle w:val="BodyText"/>
        <w:jc w:val="center"/>
        <w:rPr>
          <w:b/>
          <w:bCs/>
        </w:rPr>
      </w:pPr>
      <w:r>
        <w:rPr>
          <w:b/>
          <w:bCs/>
        </w:rPr>
        <w:t>P</w:t>
      </w:r>
      <w:r w:rsidRPr="00251B17">
        <w:rPr>
          <w:b/>
          <w:bCs/>
        </w:rPr>
        <w:t>ercentage</w:t>
      </w:r>
      <w:r w:rsidR="0090500B" w:rsidRPr="004E2385">
        <w:rPr>
          <w:b/>
          <w:bCs/>
        </w:rPr>
        <w:t xml:space="preserve"> of Waste in the</w:t>
      </w:r>
      <w:r w:rsidR="00525E60">
        <w:rPr>
          <w:b/>
          <w:bCs/>
        </w:rPr>
        <w:t xml:space="preserve"> Retail</w:t>
      </w:r>
      <w:r w:rsidR="00E04E64" w:rsidRPr="004E2385">
        <w:rPr>
          <w:b/>
          <w:bCs/>
        </w:rPr>
        <w:t xml:space="preserve"> </w:t>
      </w:r>
      <w:r w:rsidR="0090500B" w:rsidRPr="004E2385">
        <w:rPr>
          <w:b/>
          <w:bCs/>
        </w:rPr>
        <w:t xml:space="preserve">and Distribution </w:t>
      </w:r>
      <w:r w:rsidR="008D157A">
        <w:rPr>
          <w:b/>
          <w:bCs/>
        </w:rPr>
        <w:t>Sector</w:t>
      </w:r>
      <w:r w:rsidR="00055E2B">
        <w:rPr>
          <w:b/>
          <w:bCs/>
        </w:rPr>
        <w:t>s</w:t>
      </w:r>
      <w:r w:rsidR="0090500B" w:rsidRPr="004E2385">
        <w:rPr>
          <w:b/>
          <w:bCs/>
        </w:rPr>
        <w:t xml:space="preserve">, for Selected Food </w:t>
      </w:r>
      <w:r>
        <w:rPr>
          <w:b/>
          <w:bCs/>
        </w:rPr>
        <w:t>Items</w:t>
      </w:r>
    </w:p>
    <w:p w14:paraId="41664067" w14:textId="77777777" w:rsidR="0090500B" w:rsidRPr="004E2385" w:rsidRDefault="0090500B" w:rsidP="00D107CA">
      <w:pPr>
        <w:pStyle w:val="Graphnote"/>
      </w:pPr>
      <w:r w:rsidRPr="00D107CA">
        <w:rPr>
          <w:b/>
          <w:bCs/>
          <w:noProof/>
        </w:rPr>
        <w:lastRenderedPageBreak/>
        <w:drawing>
          <wp:anchor distT="0" distB="0" distL="114300" distR="114300" simplePos="0" relativeHeight="251670528" behindDoc="0" locked="0" layoutInCell="1" allowOverlap="1" wp14:anchorId="1F197F2B" wp14:editId="30305E80">
            <wp:simplePos x="0" y="0"/>
            <wp:positionH relativeFrom="column">
              <wp:posOffset>581025</wp:posOffset>
            </wp:positionH>
            <wp:positionV relativeFrom="paragraph">
              <wp:posOffset>1270</wp:posOffset>
            </wp:positionV>
            <wp:extent cx="4572000" cy="2743200"/>
            <wp:effectExtent l="0" t="0" r="0" b="0"/>
            <wp:wrapTopAndBottom/>
            <wp:docPr id="5" name="תרשים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D107CA">
        <w:rPr>
          <w:b/>
          <w:bCs/>
        </w:rPr>
        <w:t>Column captions</w:t>
      </w:r>
      <w:r w:rsidR="00D107CA">
        <w:t>, from left to right</w:t>
      </w:r>
      <w:r w:rsidRPr="004E2385">
        <w:t>: Tomatoes, Peppers, Bread &amp; baked goods, Cucumbers, Bananas, Apples, Potatoes, Meat, eggs, &amp; fish, Grains &amp; legumes, Milk &amp; dairy products, Frozen</w:t>
      </w:r>
      <w:r w:rsidR="004B64F6">
        <w:t xml:space="preserve"> </w:t>
      </w:r>
    </w:p>
    <w:p w14:paraId="0AC19579" w14:textId="56684721" w:rsidR="004E2385" w:rsidRDefault="0090500B" w:rsidP="00100BFD">
      <w:pPr>
        <w:pStyle w:val="BodyText"/>
      </w:pPr>
      <w:r w:rsidRPr="0090500B">
        <w:t xml:space="preserve">Compared to international data, Israel’s rate </w:t>
      </w:r>
      <w:r w:rsidR="0065538E">
        <w:t xml:space="preserve">of waste </w:t>
      </w:r>
      <w:r w:rsidRPr="0090500B">
        <w:t xml:space="preserve">in </w:t>
      </w:r>
      <w:r w:rsidR="0065538E">
        <w:t xml:space="preserve">the </w:t>
      </w:r>
      <w:r>
        <w:t xml:space="preserve">retail and distribution </w:t>
      </w:r>
      <w:r w:rsidR="008D157A">
        <w:t>sector</w:t>
      </w:r>
      <w:r>
        <w:t xml:space="preserve"> is </w:t>
      </w:r>
      <w:r w:rsidRPr="0090500B">
        <w:t xml:space="preserve">similar to </w:t>
      </w:r>
      <w:r>
        <w:t xml:space="preserve">the accepted level in the developed world, despite the potential for higher losses because of Israel’s warmer climate. This is evidence that </w:t>
      </w:r>
      <w:r w:rsidR="004E2385">
        <w:t xml:space="preserve">the retail and distribution </w:t>
      </w:r>
      <w:r w:rsidR="008D157A">
        <w:t>sector</w:t>
      </w:r>
      <w:r w:rsidR="004E2385">
        <w:t xml:space="preserve"> in Israel manage </w:t>
      </w:r>
      <w:r w:rsidR="00B35A68">
        <w:t>their</w:t>
      </w:r>
      <w:r w:rsidR="004E2385">
        <w:t xml:space="preserve"> inventories according to a relatively high standard. </w:t>
      </w:r>
      <w:r w:rsidR="00100BFD">
        <w:t xml:space="preserve">The percentage </w:t>
      </w:r>
      <w:r w:rsidR="004E2385">
        <w:t>of food waste in developing countries</w:t>
      </w:r>
      <w:r w:rsidR="00100BFD">
        <w:t xml:space="preserve"> is higher</w:t>
      </w:r>
      <w:r w:rsidR="004E2385">
        <w:t xml:space="preserve">, primarily </w:t>
      </w:r>
      <w:r w:rsidR="00100BFD">
        <w:t xml:space="preserve">due to the </w:t>
      </w:r>
      <w:r w:rsidR="004E2385">
        <w:t>poor conditions during distribution, storage and marketing.</w:t>
      </w:r>
    </w:p>
    <w:p w14:paraId="3F900592" w14:textId="77777777" w:rsidR="004E2385" w:rsidRDefault="004E2385">
      <w:pPr>
        <w:rPr>
          <w:rFonts w:eastAsia="Calibri" w:cs="Times New Roman"/>
          <w:b/>
          <w:bCs/>
          <w:sz w:val="24"/>
          <w:szCs w:val="24"/>
        </w:rPr>
      </w:pPr>
      <w:r>
        <w:rPr>
          <w:b/>
          <w:bCs/>
        </w:rPr>
        <w:br w:type="page"/>
      </w:r>
    </w:p>
    <w:p w14:paraId="133277E0" w14:textId="4F7035E1" w:rsidR="004E2385" w:rsidRDefault="004E2385" w:rsidP="00455992">
      <w:pPr>
        <w:pStyle w:val="Graphtitle"/>
      </w:pPr>
      <w:r>
        <w:lastRenderedPageBreak/>
        <w:t xml:space="preserve">International Comparison: </w:t>
      </w:r>
      <w:r w:rsidRPr="004E2385">
        <w:t xml:space="preserve">Rate of Waste in the </w:t>
      </w:r>
      <w:r w:rsidR="00455992">
        <w:t>Retail</w:t>
      </w:r>
      <w:r w:rsidR="00455992" w:rsidRPr="004E2385">
        <w:t xml:space="preserve"> </w:t>
      </w:r>
      <w:r w:rsidRPr="004E2385">
        <w:t xml:space="preserve">and Distribution </w:t>
      </w:r>
      <w:r w:rsidR="008D157A">
        <w:t>Sector</w:t>
      </w:r>
      <w:r w:rsidR="00055E2B">
        <w:t>s</w:t>
      </w:r>
    </w:p>
    <w:p w14:paraId="122D8AF1" w14:textId="10BBF8CF" w:rsidR="004E2385" w:rsidRPr="004E2385" w:rsidRDefault="00072532" w:rsidP="004E2385">
      <w:pPr>
        <w:pStyle w:val="BodyText"/>
        <w:jc w:val="center"/>
        <w:rPr>
          <w:b/>
          <w:bCs/>
        </w:rPr>
      </w:pPr>
      <w:r w:rsidRPr="00072532">
        <w:rPr>
          <w:noProof/>
        </w:rPr>
        <w:t xml:space="preserve"> </w:t>
      </w:r>
      <w:r>
        <w:rPr>
          <w:noProof/>
        </w:rPr>
        <w:drawing>
          <wp:inline distT="0" distB="0" distL="0" distR="0" wp14:anchorId="269F23FD" wp14:editId="3824AF71">
            <wp:extent cx="4038600" cy="2743200"/>
            <wp:effectExtent l="0" t="0" r="0" b="0"/>
            <wp:docPr id="9" name="תרשים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8380CB9" w14:textId="77777777" w:rsidR="004E2385" w:rsidRDefault="004E2385" w:rsidP="00FD6C0F">
      <w:pPr>
        <w:pStyle w:val="Graphnote"/>
      </w:pPr>
      <w:r>
        <w:t>Source: FAO data, processed by BDO</w:t>
      </w:r>
    </w:p>
    <w:p w14:paraId="194D18DC" w14:textId="77777777" w:rsidR="004E2385" w:rsidRDefault="0090500B" w:rsidP="00D107CA">
      <w:pPr>
        <w:pStyle w:val="Graphnote"/>
      </w:pPr>
      <w:r w:rsidRPr="00FD6C0F">
        <w:rPr>
          <w:b/>
          <w:bCs/>
        </w:rPr>
        <w:t>Column captions</w:t>
      </w:r>
      <w:r w:rsidR="00D107CA">
        <w:t>, from left to right:</w:t>
      </w:r>
      <w:r w:rsidRPr="004E2385">
        <w:t xml:space="preserve"> </w:t>
      </w:r>
      <w:r w:rsidR="004E2385">
        <w:t xml:space="preserve">Africa; North Africa &amp; western Asia; South America; Southeast Asia; North America; Israel; Europe; Japan, China &amp; South Korea </w:t>
      </w:r>
    </w:p>
    <w:p w14:paraId="3DBF68F1" w14:textId="4D7BEC36" w:rsidR="004E2385" w:rsidRDefault="00FD6C0F" w:rsidP="003E5C55">
      <w:pPr>
        <w:pStyle w:val="BodyText"/>
      </w:pPr>
      <w:r>
        <w:t xml:space="preserve">Food </w:t>
      </w:r>
      <w:r w:rsidR="00897ABF">
        <w:t>marketers</w:t>
      </w:r>
      <w:r>
        <w:t>’</w:t>
      </w:r>
      <w:r w:rsidR="00897ABF">
        <w:t xml:space="preserve"> in</w:t>
      </w:r>
      <w:r w:rsidR="004E2385">
        <w:t>vest</w:t>
      </w:r>
      <w:r>
        <w:t xml:space="preserve">ment </w:t>
      </w:r>
      <w:r w:rsidR="004E2385">
        <w:t xml:space="preserve">in </w:t>
      </w:r>
      <w:r w:rsidR="00897ABF">
        <w:t xml:space="preserve">establishing </w:t>
      </w:r>
      <w:r w:rsidR="004E2385">
        <w:t>advanced logistic</w:t>
      </w:r>
      <w:r w:rsidR="00897ABF">
        <w:t>al</w:t>
      </w:r>
      <w:r w:rsidR="004E2385">
        <w:t xml:space="preserve"> centers, </w:t>
      </w:r>
      <w:r w:rsidR="00897ABF">
        <w:t xml:space="preserve">online </w:t>
      </w:r>
      <w:r w:rsidR="004E2385">
        <w:t xml:space="preserve">inventory </w:t>
      </w:r>
      <w:r w:rsidR="00897ABF">
        <w:t xml:space="preserve">and demand </w:t>
      </w:r>
      <w:r w:rsidR="004E2385">
        <w:t xml:space="preserve">management systems, and </w:t>
      </w:r>
      <w:r w:rsidR="003E5C55">
        <w:t xml:space="preserve">keeping an </w:t>
      </w:r>
      <w:r w:rsidR="003E5C55" w:rsidRPr="003E5C55">
        <w:t>unbroken cold chain</w:t>
      </w:r>
      <w:r w:rsidR="003E5C55">
        <w:t xml:space="preserve"> </w:t>
      </w:r>
      <w:r>
        <w:t xml:space="preserve"> have </w:t>
      </w:r>
      <w:r w:rsidR="004E2385">
        <w:t xml:space="preserve">contributed to reducing the volume of loss in the </w:t>
      </w:r>
      <w:r w:rsidR="00455992">
        <w:t xml:space="preserve">retail and  distribution </w:t>
      </w:r>
      <w:r w:rsidR="008D157A">
        <w:t>sector</w:t>
      </w:r>
      <w:r w:rsidR="00455992">
        <w:t>s</w:t>
      </w:r>
      <w:r w:rsidR="004E2385">
        <w:t>.</w:t>
      </w:r>
    </w:p>
    <w:p w14:paraId="7329C827" w14:textId="5A73A539" w:rsidR="0085798B" w:rsidRDefault="00897ABF" w:rsidP="00072532">
      <w:pPr>
        <w:pStyle w:val="BodyText"/>
      </w:pPr>
      <w:r>
        <w:t>Simultaneously</w:t>
      </w:r>
      <w:r w:rsidR="004E2385">
        <w:t>, change</w:t>
      </w:r>
      <w:r>
        <w:t>s</w:t>
      </w:r>
      <w:r w:rsidR="004E2385">
        <w:t xml:space="preserve"> in consumer preferences</w:t>
      </w:r>
      <w:r>
        <w:t xml:space="preserve"> have </w:t>
      </w:r>
      <w:r w:rsidR="004E2385">
        <w:t>increased the volume of food purchase</w:t>
      </w:r>
      <w:r>
        <w:t xml:space="preserve">d from </w:t>
      </w:r>
      <w:r w:rsidR="004E2385">
        <w:t>the large retail chains, and the transition from open markets to indoor</w:t>
      </w:r>
      <w:r>
        <w:t xml:space="preserve">, </w:t>
      </w:r>
      <w:r w:rsidR="00B35A68">
        <w:t>air-conditioned</w:t>
      </w:r>
      <w:r>
        <w:t xml:space="preserve"> </w:t>
      </w:r>
      <w:r w:rsidR="00455992">
        <w:t xml:space="preserve">retails and distribution </w:t>
      </w:r>
      <w:r w:rsidR="004E2385">
        <w:t xml:space="preserve">channels also </w:t>
      </w:r>
      <w:r w:rsidR="00B35A68">
        <w:t>has contributed to a reduce in waste</w:t>
      </w:r>
      <w:r w:rsidR="004E2385">
        <w:t xml:space="preserve">. </w:t>
      </w:r>
      <w:r>
        <w:t>Moreover</w:t>
      </w:r>
      <w:r w:rsidR="004E2385">
        <w:t xml:space="preserve">, research shows that </w:t>
      </w:r>
      <w:r>
        <w:t xml:space="preserve">the transition </w:t>
      </w:r>
      <w:r w:rsidR="004E2385">
        <w:t xml:space="preserve">to large stores with </w:t>
      </w:r>
      <w:r w:rsidR="00FD6C0F">
        <w:t xml:space="preserve">a </w:t>
      </w:r>
      <w:r w:rsidR="004E2385">
        <w:t xml:space="preserve">high volume of activity also contributes to </w:t>
      </w:r>
      <w:r w:rsidR="00B35A68">
        <w:t>waste reduction</w:t>
      </w:r>
      <w:r w:rsidR="004E2385">
        <w:t xml:space="preserve">. </w:t>
      </w:r>
      <w:r>
        <w:t>Even more r</w:t>
      </w:r>
      <w:r w:rsidR="004E2385">
        <w:t xml:space="preserve">ecently, there </w:t>
      </w:r>
      <w:r w:rsidR="00D107CA">
        <w:t xml:space="preserve">is nascent </w:t>
      </w:r>
      <w:r w:rsidR="004E2385">
        <w:t xml:space="preserve">trend </w:t>
      </w:r>
      <w:r>
        <w:t xml:space="preserve">towards </w:t>
      </w:r>
      <w:r w:rsidR="00B35A68">
        <w:t>purchasing food on the internet</w:t>
      </w:r>
      <w:r w:rsidR="004E2385">
        <w:t xml:space="preserve">. The </w:t>
      </w:r>
      <w:r w:rsidR="004E2385">
        <w:lastRenderedPageBreak/>
        <w:t xml:space="preserve">development of direct purchase channels, in which food </w:t>
      </w:r>
      <w:r w:rsidR="00211605">
        <w:t xml:space="preserve">is transported </w:t>
      </w:r>
      <w:r w:rsidR="004E2385">
        <w:t xml:space="preserve">directly </w:t>
      </w:r>
      <w:r w:rsidR="00211605">
        <w:t xml:space="preserve">to the end customer </w:t>
      </w:r>
      <w:r w:rsidR="004E2385">
        <w:t>from a dedicated e-fulfillment center</w:t>
      </w:r>
      <w:r w:rsidR="00211605">
        <w:t>,</w:t>
      </w:r>
      <w:r w:rsidR="004E2385">
        <w:t xml:space="preserve"> </w:t>
      </w:r>
      <w:r w:rsidR="00211605">
        <w:t xml:space="preserve">bypassing the retail </w:t>
      </w:r>
      <w:r w:rsidR="004E2385">
        <w:t xml:space="preserve">branch, may provide </w:t>
      </w:r>
      <w:r w:rsidR="00211605">
        <w:t xml:space="preserve">an </w:t>
      </w:r>
      <w:r w:rsidR="004E2385">
        <w:t xml:space="preserve">additional contribution to </w:t>
      </w:r>
      <w:r w:rsidR="00072532">
        <w:t xml:space="preserve">a reduction in food waste levels </w:t>
      </w:r>
      <w:r w:rsidR="00211605">
        <w:t>in the future</w:t>
      </w:r>
      <w:r w:rsidR="004E2385">
        <w:t>.</w:t>
      </w:r>
      <w:r w:rsidR="0090500B" w:rsidRPr="004E2385">
        <w:t xml:space="preserve"> </w:t>
      </w:r>
    </w:p>
    <w:p w14:paraId="24F081DF" w14:textId="77777777" w:rsidR="0085798B" w:rsidRDefault="0085798B">
      <w:pPr>
        <w:rPr>
          <w:rFonts w:eastAsia="Calibri" w:cs="Times New Roman"/>
          <w:sz w:val="24"/>
          <w:szCs w:val="24"/>
        </w:rPr>
      </w:pPr>
      <w:r>
        <w:br w:type="page"/>
      </w:r>
    </w:p>
    <w:p w14:paraId="39B30BAC" w14:textId="212E5895" w:rsidR="0090500B" w:rsidRDefault="0022614E" w:rsidP="00072532">
      <w:pPr>
        <w:pStyle w:val="Graphtitle"/>
      </w:pPr>
      <w:r>
        <w:lastRenderedPageBreak/>
        <w:t xml:space="preserve">Consumers Transition to Purchasing </w:t>
      </w:r>
      <w:r w:rsidR="00072532">
        <w:t xml:space="preserve">to </w:t>
      </w:r>
      <w:r>
        <w:t xml:space="preserve">Stores with Lower </w:t>
      </w:r>
      <w:r w:rsidR="00072532">
        <w:t xml:space="preserve">Percentages </w:t>
      </w:r>
      <w:r>
        <w:t xml:space="preserve">of Waste </w:t>
      </w:r>
    </w:p>
    <w:p w14:paraId="24D3A026" w14:textId="3D708D9E" w:rsidR="0022614E" w:rsidRPr="004E2385" w:rsidRDefault="008C7197" w:rsidP="00211605">
      <w:pPr>
        <w:pStyle w:val="BodyText"/>
      </w:pPr>
      <w:r w:rsidRPr="0022614E">
        <w:rPr>
          <w:noProof/>
          <w:sz w:val="20"/>
          <w:szCs w:val="20"/>
        </w:rPr>
        <mc:AlternateContent>
          <mc:Choice Requires="wps">
            <w:drawing>
              <wp:anchor distT="0" distB="0" distL="114300" distR="114300" simplePos="0" relativeHeight="251672576" behindDoc="0" locked="0" layoutInCell="1" allowOverlap="1" wp14:anchorId="586F3553" wp14:editId="3574160B">
                <wp:simplePos x="0" y="0"/>
                <wp:positionH relativeFrom="column">
                  <wp:posOffset>1103376</wp:posOffset>
                </wp:positionH>
                <wp:positionV relativeFrom="paragraph">
                  <wp:posOffset>454660</wp:posOffset>
                </wp:positionV>
                <wp:extent cx="1475232" cy="609600"/>
                <wp:effectExtent l="0" t="0" r="107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232" cy="609600"/>
                        </a:xfrm>
                        <a:prstGeom prst="rect">
                          <a:avLst/>
                        </a:prstGeom>
                        <a:solidFill>
                          <a:srgbClr val="FFFFFF">
                            <a:alpha val="50000"/>
                          </a:srgbClr>
                        </a:solidFill>
                        <a:ln w="15875" cap="rnd">
                          <a:solidFill>
                            <a:srgbClr val="C00000">
                              <a:alpha val="99000"/>
                            </a:srgbClr>
                          </a:solidFill>
                          <a:round/>
                          <a:headEnd/>
                          <a:tailEnd/>
                        </a:ln>
                      </wps:spPr>
                      <wps:txbx>
                        <w:txbxContent>
                          <w:p w14:paraId="44A617FF" w14:textId="0F303725" w:rsidR="00942FD1" w:rsidRDefault="00942FD1" w:rsidP="0022614E">
                            <w:r>
                              <w:t>Higher rate of waste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F3553" id="_x0000_t202" coordsize="21600,21600" o:spt="202" path="m,l,21600r21600,l21600,xe">
                <v:stroke joinstyle="miter"/>
                <v:path gradientshapeok="t" o:connecttype="rect"/>
              </v:shapetype>
              <v:shape id="Text Box 2" o:spid="_x0000_s1026" type="#_x0000_t202" style="position:absolute;left:0;text-align:left;margin-left:86.9pt;margin-top:35.8pt;width:116.1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" strokecolor="#c00000" strokeweight="1.25pt">
                <v:fill opacity="32896f"/>
                <v:stroke opacity="64764f" joinstyle="round" endcap="round"/>
                <v:textbox>
                  <w:txbxContent>
                    <w:p w14:paraId="44A617FF" w14:textId="0F303725" w:rsidR="00942FD1" w:rsidRDefault="00942FD1" w:rsidP="0022614E">
                      <w:r>
                        <w:t>Higher rate of waste</w:t>
                      </w:r>
                    </w:p>
                  </w:txbxContent>
                </v:textbox>
              </v:shape>
            </w:pict>
          </mc:Fallback>
        </mc:AlternateContent>
      </w:r>
      <w:r w:rsidR="0022614E" w:rsidRPr="0022614E">
        <w:rPr>
          <w:noProof/>
          <w:sz w:val="20"/>
          <w:szCs w:val="20"/>
        </w:rPr>
        <mc:AlternateContent>
          <mc:Choice Requires="wps">
            <w:drawing>
              <wp:anchor distT="0" distB="0" distL="114300" distR="114300" simplePos="0" relativeHeight="251674624" behindDoc="0" locked="0" layoutInCell="1" allowOverlap="1" wp14:anchorId="722ED8B6" wp14:editId="2C7082CC">
                <wp:simplePos x="0" y="0"/>
                <wp:positionH relativeFrom="column">
                  <wp:posOffset>3206496</wp:posOffset>
                </wp:positionH>
                <wp:positionV relativeFrom="paragraph">
                  <wp:posOffset>1283716</wp:posOffset>
                </wp:positionV>
                <wp:extent cx="1304925" cy="652272"/>
                <wp:effectExtent l="0" t="0" r="28575" b="146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652272"/>
                        </a:xfrm>
                        <a:prstGeom prst="rect">
                          <a:avLst/>
                        </a:prstGeom>
                        <a:solidFill>
                          <a:srgbClr val="FFFFFF">
                            <a:alpha val="50000"/>
                          </a:srgbClr>
                        </a:solidFill>
                        <a:ln w="15875" cap="rnd">
                          <a:solidFill>
                            <a:srgbClr val="00B050"/>
                          </a:solidFill>
                          <a:round/>
                          <a:headEnd/>
                          <a:tailEnd/>
                        </a:ln>
                      </wps:spPr>
                      <wps:txbx>
                        <w:txbxContent>
                          <w:p w14:paraId="4DAA2D0A" w14:textId="47C03126" w:rsidR="00942FD1" w:rsidRDefault="00942FD1" w:rsidP="0022614E">
                            <w:r>
                              <w:t>Lower rate of waste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ED8B6" id="_x0000_s1027" type="#_x0000_t202" style="position:absolute;left:0;text-align:left;margin-left:252.5pt;margin-top:101.1pt;width:102.75pt;height:5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" strokecolor="#00b050" strokeweight="1.25pt">
                <v:fill opacity="32896f"/>
                <v:stroke joinstyle="round" endcap="round"/>
                <v:textbox>
                  <w:txbxContent>
                    <w:p w14:paraId="4DAA2D0A" w14:textId="47C03126" w:rsidR="00942FD1" w:rsidRDefault="00942FD1" w:rsidP="0022614E">
                      <w:r>
                        <w:t>Lower rate of waste</w:t>
                      </w:r>
                    </w:p>
                  </w:txbxContent>
                </v:textbox>
              </v:shape>
            </w:pict>
          </mc:Fallback>
        </mc:AlternateContent>
      </w:r>
      <w:r w:rsidR="0022614E">
        <w:rPr>
          <w:noProof/>
        </w:rPr>
        <w:drawing>
          <wp:inline distT="0" distB="0" distL="0" distR="0" wp14:anchorId="49819A3F" wp14:editId="0C073A1B">
            <wp:extent cx="5731510" cy="3238500"/>
            <wp:effectExtent l="0" t="0" r="2540" b="0"/>
            <wp:docPr id="45" name="תרשים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5B3A366" w14:textId="77777777" w:rsidR="004E2385" w:rsidRDefault="00FE7882" w:rsidP="00FE7882">
      <w:pPr>
        <w:rPr>
          <w:rFonts w:eastAsia="Calibri" w:cs="Times New Roman"/>
          <w:sz w:val="20"/>
          <w:szCs w:val="20"/>
        </w:rPr>
      </w:pPr>
      <w:r>
        <w:rPr>
          <w:rFonts w:eastAsia="Calibri" w:cs="Times New Roman"/>
          <w:sz w:val="20"/>
          <w:szCs w:val="20"/>
        </w:rPr>
        <w:t>Source: CBS</w:t>
      </w:r>
    </w:p>
    <w:p w14:paraId="379078D7" w14:textId="77777777" w:rsidR="00CD45AF" w:rsidRDefault="0022614E" w:rsidP="0090418F">
      <w:pPr>
        <w:rPr>
          <w:rFonts w:eastAsia="Calibri" w:cs="Times New Roman"/>
          <w:sz w:val="20"/>
          <w:szCs w:val="20"/>
        </w:rPr>
      </w:pPr>
      <w:r w:rsidRPr="0090418F">
        <w:rPr>
          <w:rFonts w:eastAsia="Calibri" w:cs="Times New Roman"/>
          <w:b/>
          <w:bCs/>
          <w:sz w:val="20"/>
          <w:szCs w:val="20"/>
        </w:rPr>
        <w:t>Blue</w:t>
      </w:r>
      <w:r>
        <w:rPr>
          <w:rFonts w:eastAsia="Calibri" w:cs="Times New Roman"/>
          <w:sz w:val="20"/>
          <w:szCs w:val="20"/>
        </w:rPr>
        <w:t xml:space="preserve">: Supermarkets </w:t>
      </w:r>
      <w:r w:rsidRPr="0090418F">
        <w:rPr>
          <w:rFonts w:eastAsia="Calibri" w:cs="Times New Roman"/>
          <w:b/>
          <w:bCs/>
          <w:color w:val="C00000"/>
          <w:sz w:val="20"/>
          <w:szCs w:val="20"/>
        </w:rPr>
        <w:t>Red</w:t>
      </w:r>
      <w:r>
        <w:rPr>
          <w:rFonts w:eastAsia="Calibri" w:cs="Times New Roman"/>
          <w:sz w:val="20"/>
          <w:szCs w:val="20"/>
        </w:rPr>
        <w:t xml:space="preserve">: Grocery stores </w:t>
      </w:r>
      <w:r w:rsidRPr="0090418F">
        <w:rPr>
          <w:rFonts w:eastAsia="Calibri" w:cs="Times New Roman"/>
          <w:b/>
          <w:bCs/>
          <w:color w:val="92D050"/>
          <w:sz w:val="20"/>
          <w:szCs w:val="20"/>
        </w:rPr>
        <w:t>Green</w:t>
      </w:r>
      <w:r>
        <w:rPr>
          <w:rFonts w:eastAsia="Calibri" w:cs="Times New Roman"/>
          <w:sz w:val="20"/>
          <w:szCs w:val="20"/>
        </w:rPr>
        <w:t xml:space="preserve">: Open markets </w:t>
      </w:r>
      <w:r w:rsidRPr="0090418F">
        <w:rPr>
          <w:rFonts w:eastAsia="Calibri" w:cs="Times New Roman"/>
          <w:b/>
          <w:bCs/>
          <w:color w:val="7030A0"/>
          <w:sz w:val="20"/>
          <w:szCs w:val="20"/>
        </w:rPr>
        <w:t>Purple</w:t>
      </w:r>
      <w:r>
        <w:rPr>
          <w:rFonts w:eastAsia="Calibri" w:cs="Times New Roman"/>
          <w:sz w:val="20"/>
          <w:szCs w:val="20"/>
        </w:rPr>
        <w:t xml:space="preserve">: Other stores (vegetable stores, butcher shops, specialty shops and stalls) </w:t>
      </w:r>
    </w:p>
    <w:p w14:paraId="3C78A274" w14:textId="5256693E" w:rsidR="0022614E" w:rsidRPr="0022614E" w:rsidRDefault="00B35A68" w:rsidP="007243E6">
      <w:pPr>
        <w:pStyle w:val="BodyText"/>
      </w:pPr>
      <w:r>
        <w:t>Waste</w:t>
      </w:r>
      <w:r w:rsidR="00FE7882">
        <w:t xml:space="preserve"> </w:t>
      </w:r>
      <w:r w:rsidR="0022614E" w:rsidRPr="0022614E">
        <w:t xml:space="preserve">in the retail and distribution </w:t>
      </w:r>
      <w:r w:rsidR="008D157A">
        <w:t>sector</w:t>
      </w:r>
      <w:r w:rsidR="0065538E">
        <w:t>s</w:t>
      </w:r>
      <w:r w:rsidR="0022614E" w:rsidRPr="0022614E">
        <w:t xml:space="preserve"> </w:t>
      </w:r>
      <w:r w:rsidR="00FE7882">
        <w:t xml:space="preserve">has </w:t>
      </w:r>
      <w:r w:rsidR="0022614E" w:rsidRPr="0022614E">
        <w:t xml:space="preserve">the highest economic value </w:t>
      </w:r>
      <w:r w:rsidR="00FE7882">
        <w:t xml:space="preserve">because </w:t>
      </w:r>
      <w:r w:rsidR="0022614E" w:rsidRPr="0022614E">
        <w:t xml:space="preserve">it includes the entire </w:t>
      </w:r>
      <w:r w:rsidR="00FE7882">
        <w:t xml:space="preserve">previous </w:t>
      </w:r>
      <w:r w:rsidR="0022614E" w:rsidRPr="0022614E">
        <w:t xml:space="preserve">investment </w:t>
      </w:r>
      <w:r w:rsidR="00FE7882">
        <w:t xml:space="preserve">in </w:t>
      </w:r>
      <w:r w:rsidR="0022614E" w:rsidRPr="0022614E">
        <w:t xml:space="preserve">growth, </w:t>
      </w:r>
      <w:r w:rsidR="00FE7882">
        <w:t>manufacturing</w:t>
      </w:r>
      <w:r w:rsidR="0022614E" w:rsidRPr="0022614E">
        <w:t>, packaging and transportation. It is food that is ready for marketing and consumption</w:t>
      </w:r>
      <w:r w:rsidR="0090418F">
        <w:t xml:space="preserve"> that </w:t>
      </w:r>
      <w:r w:rsidR="0022614E" w:rsidRPr="0022614E">
        <w:t xml:space="preserve">is lost before reaching the end consumer. In addition, due to the characteristics of </w:t>
      </w:r>
      <w:r w:rsidR="00FE7882">
        <w:t xml:space="preserve">waste </w:t>
      </w:r>
      <w:r w:rsidR="0022614E" w:rsidRPr="0022614E">
        <w:t xml:space="preserve">at this stage, the vast majority of </w:t>
      </w:r>
      <w:r w:rsidR="00055E2B">
        <w:t>the food at this stage</w:t>
      </w:r>
      <w:r w:rsidR="0022614E" w:rsidRPr="0022614E">
        <w:t xml:space="preserve"> is </w:t>
      </w:r>
      <w:r w:rsidR="00FE7882">
        <w:t xml:space="preserve">rescuable, whose loss </w:t>
      </w:r>
      <w:r w:rsidR="0022614E" w:rsidRPr="0022614E">
        <w:t xml:space="preserve">can be prevented. As a result, </w:t>
      </w:r>
      <w:r w:rsidR="00E04E64">
        <w:t>these</w:t>
      </w:r>
      <w:r w:rsidR="0022614E" w:rsidRPr="0022614E">
        <w:t xml:space="preserve"> </w:t>
      </w:r>
      <w:r w:rsidR="008D157A">
        <w:t>sector</w:t>
      </w:r>
      <w:r w:rsidR="00E04E64">
        <w:t>s</w:t>
      </w:r>
      <w:r w:rsidR="0022614E" w:rsidRPr="0022614E">
        <w:t xml:space="preserve"> constitute about 50% of the potential </w:t>
      </w:r>
      <w:r w:rsidR="00FE7882">
        <w:t xml:space="preserve">for rescue </w:t>
      </w:r>
      <w:r w:rsidR="0022614E" w:rsidRPr="0022614E">
        <w:t xml:space="preserve">in monetary value, about NIS 3 billion, out of </w:t>
      </w:r>
      <w:r w:rsidR="00FE7882">
        <w:t xml:space="preserve">total </w:t>
      </w:r>
      <w:r w:rsidR="0022614E" w:rsidRPr="0022614E">
        <w:t xml:space="preserve">potential </w:t>
      </w:r>
      <w:r w:rsidR="00FE7882">
        <w:t xml:space="preserve">for rescue worth </w:t>
      </w:r>
      <w:r w:rsidR="0022614E" w:rsidRPr="0022614E">
        <w:t xml:space="preserve">NIS 7 billion </w:t>
      </w:r>
      <w:r w:rsidR="00FE7882">
        <w:t xml:space="preserve">to </w:t>
      </w:r>
      <w:r w:rsidR="0022614E" w:rsidRPr="0022614E">
        <w:t>the economy.</w:t>
      </w:r>
    </w:p>
    <w:p w14:paraId="7AFD0784" w14:textId="167F8BEC" w:rsidR="0022614E" w:rsidRPr="0022614E" w:rsidRDefault="00D81B5D" w:rsidP="0022614E">
      <w:pPr>
        <w:pStyle w:val="BodyText"/>
      </w:pPr>
      <w:r>
        <w:t>Food waste</w:t>
      </w:r>
      <w:r w:rsidR="0022614E" w:rsidRPr="0022614E">
        <w:t xml:space="preserve"> in the retail and distribution </w:t>
      </w:r>
      <w:r w:rsidR="008D157A">
        <w:t>sector</w:t>
      </w:r>
      <w:r w:rsidR="00455992">
        <w:t>s</w:t>
      </w:r>
      <w:r w:rsidR="0022614E" w:rsidRPr="0022614E">
        <w:t xml:space="preserve"> stems from three main factors:</w:t>
      </w:r>
    </w:p>
    <w:p w14:paraId="581648D0" w14:textId="77777777" w:rsidR="0022614E" w:rsidRPr="00FE7882" w:rsidRDefault="0022614E" w:rsidP="00FE7882">
      <w:pPr>
        <w:pStyle w:val="BodyText"/>
        <w:rPr>
          <w:b/>
          <w:bCs/>
        </w:rPr>
      </w:pPr>
      <w:r w:rsidRPr="0022614E">
        <w:lastRenderedPageBreak/>
        <w:t xml:space="preserve">1. </w:t>
      </w:r>
      <w:r w:rsidRPr="00FE7882">
        <w:rPr>
          <w:b/>
          <w:bCs/>
        </w:rPr>
        <w:t xml:space="preserve">Short </w:t>
      </w:r>
      <w:r w:rsidR="00FE7882">
        <w:rPr>
          <w:b/>
          <w:bCs/>
        </w:rPr>
        <w:t>expiry dates</w:t>
      </w:r>
    </w:p>
    <w:p w14:paraId="69F4491F" w14:textId="040B7CA9" w:rsidR="0022614E" w:rsidRPr="0022614E" w:rsidRDefault="0022614E" w:rsidP="00D107CA">
      <w:pPr>
        <w:pStyle w:val="BodyText"/>
      </w:pPr>
      <w:r w:rsidRPr="0022614E">
        <w:t xml:space="preserve">Food products by nature have limited </w:t>
      </w:r>
      <w:r w:rsidR="00B35A68">
        <w:t>shelf lives</w:t>
      </w:r>
      <w:r w:rsidRPr="0022614E">
        <w:t xml:space="preserve"> and</w:t>
      </w:r>
      <w:r w:rsidR="00B35A68">
        <w:t>,</w:t>
      </w:r>
      <w:r w:rsidRPr="0022614E">
        <w:t xml:space="preserve"> therefore, </w:t>
      </w:r>
      <w:r w:rsidR="00FE7882">
        <w:t xml:space="preserve">it </w:t>
      </w:r>
      <w:r w:rsidR="00FE7882" w:rsidRPr="0022614E">
        <w:t xml:space="preserve">is inevitable </w:t>
      </w:r>
      <w:r w:rsidR="00FE7882">
        <w:t xml:space="preserve">that some </w:t>
      </w:r>
      <w:r w:rsidRPr="0022614E">
        <w:t xml:space="preserve">products </w:t>
      </w:r>
      <w:r w:rsidR="00FE7882">
        <w:t xml:space="preserve">will </w:t>
      </w:r>
      <w:r w:rsidRPr="0022614E">
        <w:t xml:space="preserve">reach their expiration date before being sold. Therefore, </w:t>
      </w:r>
      <w:r w:rsidR="00FE7882">
        <w:t xml:space="preserve">rescuing </w:t>
      </w:r>
      <w:r w:rsidRPr="0022614E">
        <w:t xml:space="preserve">food in the retail and distribution </w:t>
      </w:r>
      <w:r w:rsidR="008D157A">
        <w:t>sector</w:t>
      </w:r>
      <w:r w:rsidRPr="0022614E">
        <w:t xml:space="preserve"> requires creatin</w:t>
      </w:r>
      <w:r w:rsidR="00FE7882">
        <w:t>g</w:t>
      </w:r>
      <w:r w:rsidRPr="0022614E">
        <w:t xml:space="preserve"> incentives that will </w:t>
      </w:r>
      <w:r w:rsidR="00FE7882" w:rsidRPr="0022614E">
        <w:t>facilitate</w:t>
      </w:r>
      <w:r w:rsidRPr="0022614E">
        <w:t xml:space="preserve"> </w:t>
      </w:r>
      <w:r w:rsidR="00FE7882" w:rsidRPr="0022614E">
        <w:t xml:space="preserve">inventory </w:t>
      </w:r>
      <w:r w:rsidRPr="0022614E">
        <w:t>management t</w:t>
      </w:r>
      <w:r w:rsidR="00D107CA">
        <w:t>o</w:t>
      </w:r>
      <w:r w:rsidRPr="0022614E">
        <w:t xml:space="preserve"> </w:t>
      </w:r>
      <w:r w:rsidR="00FE7882">
        <w:t xml:space="preserve">ensure that </w:t>
      </w:r>
      <w:r w:rsidRPr="0022614E">
        <w:t>short-</w:t>
      </w:r>
      <w:r w:rsidR="00FE7882">
        <w:t xml:space="preserve">dated </w:t>
      </w:r>
      <w:r w:rsidRPr="0022614E">
        <w:t xml:space="preserve">food </w:t>
      </w:r>
      <w:r w:rsidR="007D48B1">
        <w:t xml:space="preserve">is distributed to </w:t>
      </w:r>
      <w:r w:rsidRPr="0022614E">
        <w:t xml:space="preserve">the needy before </w:t>
      </w:r>
      <w:r w:rsidR="00FE7882">
        <w:t>i</w:t>
      </w:r>
      <w:r w:rsidR="007D48B1">
        <w:t>t</w:t>
      </w:r>
      <w:r w:rsidR="00FE7882">
        <w:t xml:space="preserve"> </w:t>
      </w:r>
      <w:r w:rsidRPr="0022614E">
        <w:t>reach</w:t>
      </w:r>
      <w:r w:rsidR="007D48B1">
        <w:t>es its</w:t>
      </w:r>
      <w:r w:rsidRPr="0022614E">
        <w:t xml:space="preserve"> expiry date. Such inventory management is</w:t>
      </w:r>
      <w:r w:rsidR="00D107CA" w:rsidRPr="00D107CA">
        <w:t xml:space="preserve"> </w:t>
      </w:r>
      <w:r w:rsidR="00D107CA">
        <w:t>workable</w:t>
      </w:r>
      <w:r w:rsidRPr="0022614E">
        <w:t xml:space="preserve">, </w:t>
      </w:r>
      <w:r w:rsidR="00670086">
        <w:t xml:space="preserve">now that </w:t>
      </w:r>
      <w:r w:rsidRPr="0022614E">
        <w:t xml:space="preserve">it is possible to </w:t>
      </w:r>
      <w:r w:rsidR="00670086" w:rsidRPr="0022614E">
        <w:t xml:space="preserve">estimate </w:t>
      </w:r>
      <w:r w:rsidRPr="0022614E">
        <w:t xml:space="preserve">statistically the amount </w:t>
      </w:r>
      <w:r w:rsidR="007D48B1">
        <w:t xml:space="preserve">likely to be </w:t>
      </w:r>
      <w:r w:rsidRPr="0022614E">
        <w:t>consum</w:t>
      </w:r>
      <w:r w:rsidR="007D48B1">
        <w:t xml:space="preserve">ed, </w:t>
      </w:r>
      <w:r w:rsidRPr="0022614E">
        <w:t>compare</w:t>
      </w:r>
      <w:r w:rsidR="007D48B1">
        <w:t xml:space="preserve"> it to current inventory, and donate </w:t>
      </w:r>
      <w:r w:rsidR="00670086">
        <w:t xml:space="preserve">any </w:t>
      </w:r>
      <w:r w:rsidRPr="0022614E">
        <w:t>surplus at an earlier stage</w:t>
      </w:r>
      <w:r w:rsidR="007D48B1">
        <w:t xml:space="preserve">, </w:t>
      </w:r>
      <w:r w:rsidRPr="0022614E">
        <w:t xml:space="preserve">and certainly before the food </w:t>
      </w:r>
      <w:r w:rsidR="007D48B1">
        <w:t xml:space="preserve">reaches its </w:t>
      </w:r>
      <w:r w:rsidRPr="0022614E">
        <w:t>expir</w:t>
      </w:r>
      <w:r w:rsidR="007D48B1">
        <w:t>y date</w:t>
      </w:r>
      <w:r w:rsidRPr="0022614E">
        <w:t xml:space="preserve">. In addition, a review of food </w:t>
      </w:r>
      <w:r w:rsidR="00E04E64">
        <w:t xml:space="preserve">expiration </w:t>
      </w:r>
      <w:r w:rsidRPr="0022614E">
        <w:t>classification policy is required.</w:t>
      </w:r>
    </w:p>
    <w:p w14:paraId="5BA62A3D" w14:textId="77777777" w:rsidR="0022614E" w:rsidRPr="007D48B1" w:rsidRDefault="0022614E" w:rsidP="0022614E">
      <w:pPr>
        <w:pStyle w:val="BodyText"/>
        <w:rPr>
          <w:b/>
          <w:bCs/>
        </w:rPr>
      </w:pPr>
      <w:r w:rsidRPr="0022614E">
        <w:t xml:space="preserve">2. </w:t>
      </w:r>
      <w:r w:rsidRPr="007D48B1">
        <w:rPr>
          <w:b/>
          <w:bCs/>
        </w:rPr>
        <w:t>Aesthetic defects in the product and defects in packaging</w:t>
      </w:r>
    </w:p>
    <w:p w14:paraId="10AF494B" w14:textId="7AC8DED0" w:rsidR="0022614E" w:rsidRPr="0022614E" w:rsidRDefault="0022614E" w:rsidP="007243E6">
      <w:pPr>
        <w:pStyle w:val="BodyText"/>
      </w:pPr>
      <w:r w:rsidRPr="0022614E">
        <w:t xml:space="preserve">Aesthetic defects damage the market value of </w:t>
      </w:r>
      <w:r w:rsidR="007243E6">
        <w:t xml:space="preserve">food </w:t>
      </w:r>
      <w:r w:rsidRPr="0022614E">
        <w:t>product</w:t>
      </w:r>
      <w:r w:rsidR="007243E6">
        <w:t>s</w:t>
      </w:r>
      <w:r w:rsidRPr="0022614E">
        <w:t>, but in most cases do</w:t>
      </w:r>
      <w:r w:rsidR="0065538E">
        <w:t>es</w:t>
      </w:r>
      <w:r w:rsidRPr="0022614E">
        <w:t xml:space="preserve"> not represent an impairment of the nutritional value of </w:t>
      </w:r>
      <w:r w:rsidR="007243E6">
        <w:t>such</w:t>
      </w:r>
      <w:r w:rsidR="007243E6" w:rsidRPr="0022614E">
        <w:t xml:space="preserve"> </w:t>
      </w:r>
      <w:r w:rsidRPr="0022614E">
        <w:t>product</w:t>
      </w:r>
      <w:r w:rsidR="007243E6">
        <w:t>s</w:t>
      </w:r>
      <w:r w:rsidRPr="0022614E">
        <w:t>. Loss of this food reflects a market failure since</w:t>
      </w:r>
      <w:r w:rsidR="00D107CA" w:rsidRPr="00D107CA">
        <w:t xml:space="preserve"> </w:t>
      </w:r>
      <w:r w:rsidR="00D107CA">
        <w:t xml:space="preserve">the </w:t>
      </w:r>
      <w:r w:rsidR="00D107CA" w:rsidRPr="0022614E">
        <w:t xml:space="preserve">defective </w:t>
      </w:r>
      <w:r w:rsidR="00D107CA">
        <w:t xml:space="preserve">food </w:t>
      </w:r>
      <w:r w:rsidR="00D107CA" w:rsidRPr="0022614E">
        <w:t>product</w:t>
      </w:r>
      <w:r w:rsidR="007243E6">
        <w:t>s</w:t>
      </w:r>
      <w:r w:rsidR="00D107CA" w:rsidRPr="0022614E">
        <w:t xml:space="preserve"> </w:t>
      </w:r>
      <w:r w:rsidR="007243E6">
        <w:t xml:space="preserve">maintain </w:t>
      </w:r>
      <w:r w:rsidR="00D107CA">
        <w:t xml:space="preserve">full </w:t>
      </w:r>
      <w:r w:rsidR="00D107CA" w:rsidRPr="0022614E">
        <w:t>nutritional value for the needy</w:t>
      </w:r>
      <w:r w:rsidRPr="0022614E">
        <w:t xml:space="preserve">, </w:t>
      </w:r>
      <w:r w:rsidR="00D107CA">
        <w:t xml:space="preserve">despite its low </w:t>
      </w:r>
      <w:r w:rsidRPr="0022614E">
        <w:t>market price.</w:t>
      </w:r>
    </w:p>
    <w:p w14:paraId="2F9B81A3" w14:textId="77777777" w:rsidR="0022614E" w:rsidRPr="0022614E" w:rsidRDefault="0022614E" w:rsidP="007D48B1">
      <w:pPr>
        <w:pStyle w:val="BodyText"/>
      </w:pPr>
      <w:r w:rsidRPr="0022614E">
        <w:t xml:space="preserve">3. </w:t>
      </w:r>
      <w:r w:rsidRPr="007D48B1">
        <w:rPr>
          <w:b/>
          <w:bCs/>
        </w:rPr>
        <w:t>Damaged</w:t>
      </w:r>
      <w:r w:rsidR="007D48B1">
        <w:rPr>
          <w:b/>
          <w:bCs/>
        </w:rPr>
        <w:t xml:space="preserve"> </w:t>
      </w:r>
      <w:r w:rsidRPr="007D48B1">
        <w:rPr>
          <w:b/>
          <w:bCs/>
        </w:rPr>
        <w:t>food</w:t>
      </w:r>
    </w:p>
    <w:p w14:paraId="7BC91750" w14:textId="541404DD" w:rsidR="0022614E" w:rsidRPr="0022614E" w:rsidRDefault="006B0963" w:rsidP="006B0963">
      <w:pPr>
        <w:pStyle w:val="BodyText"/>
      </w:pPr>
      <w:r w:rsidRPr="0022614E">
        <w:t xml:space="preserve">Food damaged </w:t>
      </w:r>
      <w:r>
        <w:t xml:space="preserve">during </w:t>
      </w:r>
      <w:r w:rsidRPr="0022614E">
        <w:t>logistic</w:t>
      </w:r>
      <w:r>
        <w:t xml:space="preserve">al </w:t>
      </w:r>
      <w:r w:rsidRPr="0022614E">
        <w:t>process</w:t>
      </w:r>
      <w:r>
        <w:t>es is a</w:t>
      </w:r>
      <w:r w:rsidRPr="0022614E">
        <w:t xml:space="preserve"> </w:t>
      </w:r>
      <w:r w:rsidR="0022614E" w:rsidRPr="0022614E">
        <w:t xml:space="preserve">relatively </w:t>
      </w:r>
      <w:r>
        <w:t xml:space="preserve">minor cause of </w:t>
      </w:r>
      <w:r w:rsidR="00B35A68">
        <w:t>food waste</w:t>
      </w:r>
      <w:r w:rsidR="0022614E" w:rsidRPr="0022614E">
        <w:t xml:space="preserve">. Damage can be caused at various stages in the retail and distribution process. Damaged food includes broken eggs, spilled products, fallen or damaged fruits and vegetables, </w:t>
      </w:r>
      <w:r>
        <w:t xml:space="preserve">remains in butcher </w:t>
      </w:r>
      <w:r>
        <w:lastRenderedPageBreak/>
        <w:t>shops and delis</w:t>
      </w:r>
      <w:r w:rsidR="0022614E" w:rsidRPr="0022614E">
        <w:t xml:space="preserve">, etc. This food is not </w:t>
      </w:r>
      <w:r>
        <w:t>rescuable</w:t>
      </w:r>
      <w:r w:rsidR="0022614E" w:rsidRPr="0022614E">
        <w:t xml:space="preserve">, </w:t>
      </w:r>
      <w:r>
        <w:t xml:space="preserve">but the amount </w:t>
      </w:r>
      <w:r w:rsidR="0022614E" w:rsidRPr="0022614E">
        <w:t xml:space="preserve">is relatively small, </w:t>
      </w:r>
      <w:r>
        <w:t xml:space="preserve">because </w:t>
      </w:r>
      <w:r w:rsidR="0022614E" w:rsidRPr="0022614E">
        <w:t>maxim</w:t>
      </w:r>
      <w:r>
        <w:t>al</w:t>
      </w:r>
      <w:r w:rsidR="0022614E" w:rsidRPr="0022614E">
        <w:t xml:space="preserve"> effort</w:t>
      </w:r>
      <w:r>
        <w:t xml:space="preserve">s are </w:t>
      </w:r>
      <w:r w:rsidR="0022614E" w:rsidRPr="0022614E">
        <w:t xml:space="preserve">being made to reduce </w:t>
      </w:r>
      <w:r>
        <w:t>damage</w:t>
      </w:r>
      <w:r w:rsidR="007243E6">
        <w:t xml:space="preserve"> and waste</w:t>
      </w:r>
      <w:r w:rsidR="0022614E" w:rsidRPr="0022614E">
        <w:t>.</w:t>
      </w:r>
    </w:p>
    <w:p w14:paraId="6C9054BE" w14:textId="515D0B02" w:rsidR="0022614E" w:rsidRPr="006B0963" w:rsidRDefault="0022614E" w:rsidP="006B0963">
      <w:pPr>
        <w:pStyle w:val="BodyText"/>
        <w:rPr>
          <w:b/>
          <w:bCs/>
        </w:rPr>
      </w:pPr>
      <w:r w:rsidRPr="006B0963">
        <w:rPr>
          <w:b/>
          <w:bCs/>
        </w:rPr>
        <w:t xml:space="preserve">Rescue operations in the retail and distribution </w:t>
      </w:r>
      <w:r w:rsidR="008D157A">
        <w:rPr>
          <w:b/>
          <w:bCs/>
        </w:rPr>
        <w:t>sector</w:t>
      </w:r>
    </w:p>
    <w:p w14:paraId="780FE073" w14:textId="31A266E5" w:rsidR="0022614E" w:rsidRPr="0022614E" w:rsidRDefault="0022614E" w:rsidP="0065538E">
      <w:pPr>
        <w:pStyle w:val="BodyText"/>
      </w:pPr>
      <w:r w:rsidRPr="0022614E">
        <w:t xml:space="preserve">Retailers and food manufacturers are working to reduce loss and </w:t>
      </w:r>
      <w:r w:rsidR="00670086">
        <w:t>rescue</w:t>
      </w:r>
      <w:r w:rsidR="00670086" w:rsidRPr="0022614E">
        <w:t xml:space="preserve"> </w:t>
      </w:r>
      <w:r w:rsidRPr="0022614E">
        <w:t xml:space="preserve">food </w:t>
      </w:r>
      <w:r w:rsidR="0065538E">
        <w:t xml:space="preserve">due to </w:t>
      </w:r>
      <w:r w:rsidRPr="0022614E">
        <w:t xml:space="preserve">economic considerations. </w:t>
      </w:r>
      <w:r w:rsidR="006B0963" w:rsidRPr="0022614E">
        <w:t xml:space="preserve">Surplus food </w:t>
      </w:r>
      <w:r w:rsidR="006B0963">
        <w:t xml:space="preserve">can be donated </w:t>
      </w:r>
      <w:r w:rsidRPr="0022614E">
        <w:t>in several ways:</w:t>
      </w:r>
    </w:p>
    <w:p w14:paraId="14229D7B" w14:textId="19A1082F" w:rsidR="0022614E" w:rsidRPr="0022614E" w:rsidRDefault="006B0963" w:rsidP="00BF28E2">
      <w:pPr>
        <w:pStyle w:val="BodyText"/>
        <w:numPr>
          <w:ilvl w:val="0"/>
          <w:numId w:val="20"/>
        </w:numPr>
        <w:spacing w:line="300" w:lineRule="auto"/>
        <w:ind w:left="357" w:hanging="357"/>
      </w:pPr>
      <w:r w:rsidRPr="0022614E">
        <w:t>S</w:t>
      </w:r>
      <w:r>
        <w:t>elling</w:t>
      </w:r>
      <w:r w:rsidRPr="0022614E">
        <w:t xml:space="preserve"> of surpluses </w:t>
      </w:r>
      <w:r>
        <w:t xml:space="preserve">at reduced prices – </w:t>
      </w:r>
      <w:r w:rsidR="0022614E" w:rsidRPr="0022614E">
        <w:t>when the</w:t>
      </w:r>
      <w:r w:rsidR="00BF28E2">
        <w:t xml:space="preserve">re are </w:t>
      </w:r>
      <w:r w:rsidR="0022614E" w:rsidRPr="0022614E">
        <w:t>products</w:t>
      </w:r>
      <w:r w:rsidR="00CD45AF">
        <w:t xml:space="preserve"> that have short expiry dates or are damaged</w:t>
      </w:r>
      <w:r w:rsidR="0022614E" w:rsidRPr="0022614E">
        <w:t>, retailers sometimes offer the</w:t>
      </w:r>
      <w:r w:rsidR="00CD45AF">
        <w:t>m</w:t>
      </w:r>
      <w:r w:rsidR="0022614E" w:rsidRPr="0022614E">
        <w:t xml:space="preserve"> at a reduced price. Economically, the transfer of these products to the needy reduces the fear of </w:t>
      </w:r>
      <w:r w:rsidR="00CD45AF">
        <w:t xml:space="preserve">reduced </w:t>
      </w:r>
      <w:r w:rsidR="0022614E" w:rsidRPr="0022614E">
        <w:t>sales.</w:t>
      </w:r>
    </w:p>
    <w:p w14:paraId="0F003B59" w14:textId="1F884C98" w:rsidR="0022614E" w:rsidRPr="0022614E" w:rsidRDefault="0022614E" w:rsidP="0065538E">
      <w:pPr>
        <w:pStyle w:val="BodyText"/>
        <w:numPr>
          <w:ilvl w:val="0"/>
          <w:numId w:val="20"/>
        </w:numPr>
        <w:spacing w:line="300" w:lineRule="auto"/>
        <w:ind w:left="357" w:hanging="357"/>
      </w:pPr>
      <w:r w:rsidRPr="0022614E">
        <w:t xml:space="preserve">Contribution of food </w:t>
      </w:r>
      <w:r w:rsidR="00CD45AF">
        <w:t xml:space="preserve">– centralized and </w:t>
      </w:r>
      <w:r w:rsidRPr="0022614E">
        <w:t>co</w:t>
      </w:r>
      <w:r w:rsidR="00CD45AF">
        <w:t xml:space="preserve">ordinated </w:t>
      </w:r>
      <w:r w:rsidRPr="0022614E">
        <w:t>on the basis of agreements with food</w:t>
      </w:r>
      <w:r w:rsidR="00CD45AF">
        <w:t xml:space="preserve"> rescue </w:t>
      </w:r>
      <w:r w:rsidR="0065538E">
        <w:t>initiatives</w:t>
      </w:r>
      <w:r w:rsidR="0065538E" w:rsidRPr="0022614E">
        <w:t xml:space="preserve"> </w:t>
      </w:r>
      <w:r w:rsidRPr="0022614E">
        <w:t>and</w:t>
      </w:r>
      <w:r w:rsidR="00CD45AF">
        <w:t xml:space="preserve">/or </w:t>
      </w:r>
      <w:r w:rsidRPr="0022614E">
        <w:t xml:space="preserve">as a local initiative </w:t>
      </w:r>
      <w:r w:rsidR="00CD45AF">
        <w:t xml:space="preserve">on </w:t>
      </w:r>
      <w:r w:rsidRPr="0022614E">
        <w:t>the branch</w:t>
      </w:r>
      <w:r w:rsidR="00CD45AF">
        <w:t xml:space="preserve"> level</w:t>
      </w:r>
      <w:r w:rsidRPr="0022614E">
        <w:t>.</w:t>
      </w:r>
    </w:p>
    <w:p w14:paraId="16F179A3" w14:textId="77777777" w:rsidR="0022614E" w:rsidRPr="004E2385" w:rsidRDefault="0022614E" w:rsidP="00670086">
      <w:pPr>
        <w:pStyle w:val="BodyText"/>
      </w:pPr>
      <w:r w:rsidRPr="0022614E">
        <w:t>Food producers a</w:t>
      </w:r>
      <w:r w:rsidR="00CD45AF">
        <w:t>re a</w:t>
      </w:r>
      <w:r w:rsidRPr="0022614E">
        <w:t xml:space="preserve">lso </w:t>
      </w:r>
      <w:r w:rsidR="00CD45AF">
        <w:t xml:space="preserve">involved in </w:t>
      </w:r>
      <w:r w:rsidRPr="0022614E">
        <w:t xml:space="preserve">food rescue: </w:t>
      </w:r>
      <w:r w:rsidR="00CD45AF">
        <w:t xml:space="preserve">some </w:t>
      </w:r>
      <w:r w:rsidRPr="0022614E">
        <w:t xml:space="preserve">food manufacturers </w:t>
      </w:r>
      <w:r w:rsidR="00670086">
        <w:t xml:space="preserve">contract </w:t>
      </w:r>
      <w:r w:rsidRPr="0022614E">
        <w:t xml:space="preserve">with </w:t>
      </w:r>
      <w:r w:rsidR="00DC7FA5">
        <w:t>NPO</w:t>
      </w:r>
      <w:r w:rsidR="00CD45AF">
        <w:t xml:space="preserve">s </w:t>
      </w:r>
      <w:r w:rsidRPr="0022614E">
        <w:t xml:space="preserve">and </w:t>
      </w:r>
      <w:r w:rsidR="00CD45AF">
        <w:t xml:space="preserve">donate </w:t>
      </w:r>
      <w:r w:rsidRPr="0022614E">
        <w:t xml:space="preserve">food </w:t>
      </w:r>
      <w:r w:rsidR="00CD45AF">
        <w:t xml:space="preserve">with short expiry dates or </w:t>
      </w:r>
      <w:r w:rsidRPr="0022614E">
        <w:t>production</w:t>
      </w:r>
      <w:r w:rsidR="00CD45AF">
        <w:t xml:space="preserve"> surpluses</w:t>
      </w:r>
      <w:r w:rsidRPr="0022614E">
        <w:t xml:space="preserve">. In addition, products </w:t>
      </w:r>
      <w:r w:rsidR="00670086">
        <w:t>with</w:t>
      </w:r>
      <w:r w:rsidR="00CD45AF">
        <w:t xml:space="preserve"> </w:t>
      </w:r>
      <w:r w:rsidRPr="0022614E">
        <w:t>defect</w:t>
      </w:r>
      <w:r w:rsidR="00CD45AF">
        <w:t xml:space="preserve">ive </w:t>
      </w:r>
      <w:r w:rsidRPr="0022614E">
        <w:t>packaging or an aesthetic defect in the product</w:t>
      </w:r>
      <w:r w:rsidR="00670086" w:rsidRPr="00670086">
        <w:t xml:space="preserve"> </w:t>
      </w:r>
      <w:r w:rsidR="00670086" w:rsidRPr="0022614E">
        <w:t>are so</w:t>
      </w:r>
      <w:r w:rsidR="00670086">
        <w:t xml:space="preserve">ld in various secondary markets, if the flaws are </w:t>
      </w:r>
      <w:r w:rsidR="00CD45AF">
        <w:t>detected in the factory</w:t>
      </w:r>
      <w:r w:rsidRPr="0022614E">
        <w:t xml:space="preserve"> </w:t>
      </w:r>
      <w:r w:rsidR="00670086">
        <w:t xml:space="preserve">and the food </w:t>
      </w:r>
      <w:r w:rsidRPr="0022614E">
        <w:t>still safe and fit for human consumption</w:t>
      </w:r>
      <w:r w:rsidR="00670086">
        <w:t>.</w:t>
      </w:r>
      <w:r w:rsidRPr="0022614E">
        <w:t xml:space="preserve"> </w:t>
      </w:r>
    </w:p>
    <w:p w14:paraId="48D40D73" w14:textId="77777777" w:rsidR="002A0903" w:rsidRPr="0090500B" w:rsidRDefault="004E2385" w:rsidP="004E2385">
      <w:pPr>
        <w:pStyle w:val="BodyText"/>
        <w:rPr>
          <w:sz w:val="22"/>
          <w:szCs w:val="22"/>
        </w:rPr>
      </w:pPr>
      <w:r>
        <w:t xml:space="preserve"> </w:t>
      </w:r>
    </w:p>
    <w:p w14:paraId="0A14C734" w14:textId="77777777" w:rsidR="0074481C" w:rsidRDefault="0074481C" w:rsidP="0061604E">
      <w:pPr>
        <w:pStyle w:val="Heading1"/>
      </w:pPr>
      <w:bookmarkStart w:id="8" w:name="_Toc505547256"/>
      <w:r w:rsidRPr="008F3D9C">
        <w:lastRenderedPageBreak/>
        <w:t xml:space="preserve">Food </w:t>
      </w:r>
      <w:r w:rsidR="00AD79E9" w:rsidRPr="008F3D9C">
        <w:t xml:space="preserve">Waste </w:t>
      </w:r>
      <w:r w:rsidRPr="008F3D9C">
        <w:t xml:space="preserve">and </w:t>
      </w:r>
      <w:r w:rsidR="00AD79E9" w:rsidRPr="008F3D9C">
        <w:t xml:space="preserve">Rescue </w:t>
      </w:r>
      <w:r w:rsidRPr="008F3D9C">
        <w:t xml:space="preserve">in </w:t>
      </w:r>
      <w:r w:rsidR="00AD79E9" w:rsidRPr="008F3D9C">
        <w:t>Institutional Consumption</w:t>
      </w:r>
      <w:bookmarkEnd w:id="8"/>
    </w:p>
    <w:p w14:paraId="5A2AC1DF" w14:textId="77777777" w:rsidR="0074481C" w:rsidRPr="00670086" w:rsidRDefault="0074481C" w:rsidP="00670086">
      <w:pPr>
        <w:pStyle w:val="BodyText"/>
        <w:rPr>
          <w:b/>
          <w:bCs/>
        </w:rPr>
      </w:pPr>
      <w:r w:rsidRPr="00670086">
        <w:rPr>
          <w:u w:val="single"/>
        </w:rPr>
        <w:t>Bold chapter head</w:t>
      </w:r>
      <w:r w:rsidRPr="00740FC1">
        <w:t>:</w:t>
      </w:r>
      <w:r>
        <w:t xml:space="preserve"> </w:t>
      </w:r>
      <w:r w:rsidRPr="00670086">
        <w:rPr>
          <w:b/>
          <w:bCs/>
        </w:rPr>
        <w:t xml:space="preserve">Nearly 1/3 of waste from institutional consumption is rescuable // </w:t>
      </w:r>
      <w:r w:rsidR="00740FC1" w:rsidRPr="00670086">
        <w:rPr>
          <w:b/>
          <w:bCs/>
        </w:rPr>
        <w:t xml:space="preserve">Approximately </w:t>
      </w:r>
      <w:r w:rsidRPr="00670086">
        <w:rPr>
          <w:b/>
          <w:bCs/>
        </w:rPr>
        <w:t xml:space="preserve">70,000 tons of food </w:t>
      </w:r>
      <w:r w:rsidR="00740FC1" w:rsidRPr="00670086">
        <w:rPr>
          <w:b/>
          <w:bCs/>
        </w:rPr>
        <w:t>could be saved each year</w:t>
      </w:r>
      <w:r w:rsidRPr="00670086">
        <w:rPr>
          <w:b/>
          <w:bCs/>
        </w:rPr>
        <w:t xml:space="preserve">, worth NIS 1.2 billion. </w:t>
      </w:r>
    </w:p>
    <w:p w14:paraId="355C79C1" w14:textId="6C1592E7" w:rsidR="00737085" w:rsidRPr="008F3D9C" w:rsidRDefault="00737085" w:rsidP="00670086">
      <w:pPr>
        <w:pStyle w:val="BodyText"/>
      </w:pPr>
      <w:r w:rsidRPr="008F3D9C">
        <w:t>Approximately 20% of the food consumed in Israel is served in institutional catering</w:t>
      </w:r>
      <w:r w:rsidR="00670086">
        <w:t xml:space="preserve"> operations</w:t>
      </w:r>
      <w:r w:rsidRPr="008F3D9C">
        <w:t xml:space="preserve">: meals served at factories, workplaces, </w:t>
      </w:r>
      <w:r w:rsidR="00670086">
        <w:t>security forces (</w:t>
      </w:r>
      <w:r w:rsidR="0065538E">
        <w:t xml:space="preserve">Israel Defense Forces </w:t>
      </w:r>
      <w:r w:rsidR="00E04E64">
        <w:t>[</w:t>
      </w:r>
      <w:r w:rsidRPr="008F3D9C">
        <w:t>IDF</w:t>
      </w:r>
      <w:r w:rsidR="00E04E64">
        <w:t>]</w:t>
      </w:r>
      <w:r w:rsidR="0065538E">
        <w:t xml:space="preserve"> bases</w:t>
      </w:r>
      <w:r w:rsidRPr="008F3D9C">
        <w:t xml:space="preserve">, police stations, </w:t>
      </w:r>
      <w:r w:rsidR="0074481C">
        <w:t>prisons</w:t>
      </w:r>
      <w:r w:rsidR="00670086">
        <w:t>)</w:t>
      </w:r>
      <w:r w:rsidR="0074481C">
        <w:t xml:space="preserve">, </w:t>
      </w:r>
      <w:r w:rsidRPr="008F3D9C">
        <w:t>hotels, catering halls, restaurants, schools, hospitals, etc.</w:t>
      </w:r>
      <w:r w:rsidRPr="008F3D9C">
        <w:rPr>
          <w:rStyle w:val="FootnoteReference"/>
        </w:rPr>
        <w:footnoteReference w:id="5"/>
      </w:r>
    </w:p>
    <w:p w14:paraId="37B7B09D" w14:textId="75B56992" w:rsidR="00740FC1" w:rsidRDefault="00737085" w:rsidP="00C02AD4">
      <w:pPr>
        <w:pStyle w:val="BodyText"/>
      </w:pPr>
      <w:r w:rsidRPr="008F3D9C">
        <w:t>According to BDO estimates, on an average day in 201</w:t>
      </w:r>
      <w:r w:rsidR="00740FC1">
        <w:t>7</w:t>
      </w:r>
      <w:r w:rsidRPr="008F3D9C">
        <w:t xml:space="preserve"> approximately 1.</w:t>
      </w:r>
      <w:r w:rsidR="00740FC1">
        <w:t>9</w:t>
      </w:r>
      <w:r w:rsidRPr="008F3D9C">
        <w:t xml:space="preserve"> million people ate one meal outside of the home, </w:t>
      </w:r>
      <w:r w:rsidR="0065538E">
        <w:t>equivalent to</w:t>
      </w:r>
      <w:r w:rsidRPr="008F3D9C">
        <w:t xml:space="preserve"> 6</w:t>
      </w:r>
      <w:r w:rsidR="00740FC1">
        <w:t>5</w:t>
      </w:r>
      <w:r w:rsidRPr="008F3D9C">
        <w:t>0 million meals</w:t>
      </w:r>
      <w:r w:rsidR="00B03FD8">
        <w:t xml:space="preserve"> annually</w:t>
      </w:r>
      <w:r w:rsidRPr="008F3D9C">
        <w:t>. Approximately 7</w:t>
      </w:r>
      <w:r w:rsidR="00740FC1">
        <w:t>50</w:t>
      </w:r>
      <w:r w:rsidRPr="008F3D9C">
        <w:t xml:space="preserve">,000 tons of food </w:t>
      </w:r>
      <w:r w:rsidR="0065538E">
        <w:t>is</w:t>
      </w:r>
      <w:r w:rsidR="0065538E" w:rsidRPr="008F3D9C">
        <w:t xml:space="preserve"> </w:t>
      </w:r>
      <w:r w:rsidRPr="008F3D9C">
        <w:t xml:space="preserve">used to prepare these meals. </w:t>
      </w:r>
    </w:p>
    <w:p w14:paraId="1CFF4629" w14:textId="77777777" w:rsidR="00737085" w:rsidRPr="008F3D9C" w:rsidRDefault="00737085" w:rsidP="004E2385">
      <w:pPr>
        <w:pStyle w:val="BodyText"/>
      </w:pPr>
      <w:r w:rsidRPr="008F3D9C">
        <w:t xml:space="preserve">The value of food used in meals eaten by consumers outside of </w:t>
      </w:r>
      <w:r w:rsidR="00B35A68">
        <w:t>their</w:t>
      </w:r>
      <w:r w:rsidRPr="008F3D9C">
        <w:t xml:space="preserve"> home</w:t>
      </w:r>
      <w:r w:rsidR="00B35A68">
        <w:t>s</w:t>
      </w:r>
      <w:r w:rsidRPr="008F3D9C">
        <w:t xml:space="preserve"> is estimated to be NIS </w:t>
      </w:r>
      <w:r w:rsidR="00740FC1">
        <w:t>13</w:t>
      </w:r>
      <w:r w:rsidRPr="008F3D9C">
        <w:t xml:space="preserve"> billion annually, equivalent to approximately 17% of the total expenditure for food in Israel, and approximately 11% of the food consumed in quantitative terms.</w:t>
      </w:r>
    </w:p>
    <w:p w14:paraId="0833658B" w14:textId="77777777" w:rsidR="00737085" w:rsidRPr="008F3D9C" w:rsidRDefault="00740FC1" w:rsidP="00670086">
      <w:pPr>
        <w:pStyle w:val="BodyText"/>
      </w:pPr>
      <w:r>
        <w:t>T</w:t>
      </w:r>
      <w:r w:rsidR="00737085" w:rsidRPr="008F3D9C">
        <w:t>he total food wasted in the institutional sector amounts to 2</w:t>
      </w:r>
      <w:r>
        <w:t>20</w:t>
      </w:r>
      <w:r w:rsidR="00737085" w:rsidRPr="008F3D9C">
        <w:t>,000 tons annually, representing 30% of institutional food consumption</w:t>
      </w:r>
      <w:r>
        <w:t xml:space="preserve">, at a </w:t>
      </w:r>
      <w:r w:rsidR="00737085" w:rsidRPr="008F3D9C">
        <w:t>cost of approximately NIS 3.5 billion annually.</w:t>
      </w:r>
    </w:p>
    <w:p w14:paraId="36CB4663" w14:textId="77777777" w:rsidR="00737085" w:rsidRPr="008F3D9C" w:rsidRDefault="00737085" w:rsidP="00670086">
      <w:pPr>
        <w:pStyle w:val="Graphtitle"/>
      </w:pPr>
      <w:r w:rsidRPr="008F3D9C">
        <w:lastRenderedPageBreak/>
        <w:t>Estimated Food Waste in Institutional Consumption</w:t>
      </w:r>
    </w:p>
    <w:tbl>
      <w:tblPr>
        <w:tblStyle w:val="MediumShading1-Accent18"/>
        <w:tblW w:w="8174" w:type="dxa"/>
        <w:jc w:val="center"/>
        <w:tblLayout w:type="fixed"/>
        <w:tblLook w:val="04A0" w:firstRow="1" w:lastRow="0" w:firstColumn="1" w:lastColumn="0" w:noHBand="0" w:noVBand="1"/>
      </w:tblPr>
      <w:tblGrid>
        <w:gridCol w:w="1417"/>
        <w:gridCol w:w="1527"/>
        <w:gridCol w:w="1046"/>
        <w:gridCol w:w="1113"/>
        <w:gridCol w:w="979"/>
        <w:gridCol w:w="1046"/>
        <w:gridCol w:w="1046"/>
      </w:tblGrid>
      <w:tr w:rsidR="006A4291" w:rsidRPr="0074481C" w14:paraId="5A715ED5" w14:textId="77777777" w:rsidTr="00A4038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2F5802FB" w14:textId="77777777" w:rsidR="006A4291" w:rsidRPr="00670086" w:rsidRDefault="006A4291" w:rsidP="00670086">
            <w:pPr>
              <w:rPr>
                <w:b w:val="0"/>
                <w:bCs w:val="0"/>
                <w:rtl/>
              </w:rPr>
            </w:pPr>
          </w:p>
        </w:tc>
        <w:tc>
          <w:tcPr>
            <w:tcW w:w="1527" w:type="dxa"/>
            <w:tcMar>
              <w:left w:w="57" w:type="dxa"/>
              <w:right w:w="57" w:type="dxa"/>
            </w:tcMar>
            <w:vAlign w:val="center"/>
          </w:tcPr>
          <w:p w14:paraId="5E7727CE" w14:textId="77777777" w:rsidR="006A4291" w:rsidRPr="00670086" w:rsidRDefault="006A4291" w:rsidP="00670086">
            <w:pPr>
              <w:pStyle w:val="Tableheader"/>
              <w:cnfStyle w:val="100000000000" w:firstRow="1" w:lastRow="0" w:firstColumn="0" w:lastColumn="0" w:oddVBand="0" w:evenVBand="0" w:oddHBand="0" w:evenHBand="0" w:firstRowFirstColumn="0" w:firstRowLastColumn="0" w:lastRowFirstColumn="0" w:lastRowLastColumn="0"/>
              <w:rPr>
                <w:b/>
                <w:bCs/>
                <w:rtl/>
              </w:rPr>
            </w:pPr>
            <w:r w:rsidRPr="00670086">
              <w:rPr>
                <w:b/>
                <w:bCs/>
              </w:rPr>
              <w:t>Relevant population</w:t>
            </w:r>
            <w:r w:rsidRPr="00670086">
              <w:rPr>
                <w:b/>
                <w:bCs/>
                <w:rtl/>
              </w:rPr>
              <w:t xml:space="preserve"> </w:t>
            </w:r>
            <w:r w:rsidRPr="00670086">
              <w:rPr>
                <w:rFonts w:cstheme="minorHAnsi"/>
                <w:b/>
                <w:bCs/>
                <w:vertAlign w:val="superscript"/>
                <w:rtl/>
              </w:rPr>
              <w:footnoteReference w:id="6"/>
            </w:r>
          </w:p>
        </w:tc>
        <w:tc>
          <w:tcPr>
            <w:tcW w:w="1046" w:type="dxa"/>
            <w:tcMar>
              <w:left w:w="57" w:type="dxa"/>
              <w:right w:w="57" w:type="dxa"/>
            </w:tcMar>
            <w:vAlign w:val="center"/>
          </w:tcPr>
          <w:p w14:paraId="1C3EF4C3" w14:textId="77777777" w:rsidR="006A4291" w:rsidRPr="00670086" w:rsidRDefault="006A4291" w:rsidP="00670086">
            <w:pPr>
              <w:pStyle w:val="Tableheader"/>
              <w:cnfStyle w:val="100000000000" w:firstRow="1" w:lastRow="0" w:firstColumn="0" w:lastColumn="0" w:oddVBand="0" w:evenVBand="0" w:oddHBand="0" w:evenHBand="0" w:firstRowFirstColumn="0" w:firstRowLastColumn="0" w:lastRowFirstColumn="0" w:lastRowLastColumn="0"/>
              <w:rPr>
                <w:b/>
                <w:bCs/>
                <w:rtl/>
              </w:rPr>
            </w:pPr>
            <w:r w:rsidRPr="00670086">
              <w:rPr>
                <w:b/>
                <w:bCs/>
              </w:rPr>
              <w:t>Meals served (yearly)</w:t>
            </w:r>
          </w:p>
        </w:tc>
        <w:tc>
          <w:tcPr>
            <w:tcW w:w="1113" w:type="dxa"/>
            <w:tcMar>
              <w:left w:w="57" w:type="dxa"/>
              <w:right w:w="57" w:type="dxa"/>
            </w:tcMar>
            <w:vAlign w:val="center"/>
          </w:tcPr>
          <w:p w14:paraId="36409809" w14:textId="77777777" w:rsidR="006A4291" w:rsidRPr="00670086" w:rsidRDefault="006A4291" w:rsidP="00670086">
            <w:pPr>
              <w:pStyle w:val="Tableheader"/>
              <w:cnfStyle w:val="100000000000" w:firstRow="1" w:lastRow="0" w:firstColumn="0" w:lastColumn="0" w:oddVBand="0" w:evenVBand="0" w:oddHBand="0" w:evenHBand="0" w:firstRowFirstColumn="0" w:firstRowLastColumn="0" w:lastRowFirstColumn="0" w:lastRowLastColumn="0"/>
              <w:rPr>
                <w:b/>
                <w:bCs/>
                <w:rtl/>
              </w:rPr>
            </w:pPr>
            <w:r w:rsidRPr="00670086">
              <w:rPr>
                <w:b/>
                <w:bCs/>
              </w:rPr>
              <w:t>Food consumed (yearly)</w:t>
            </w:r>
          </w:p>
        </w:tc>
        <w:tc>
          <w:tcPr>
            <w:tcW w:w="979" w:type="dxa"/>
            <w:tcMar>
              <w:left w:w="57" w:type="dxa"/>
              <w:right w:w="57" w:type="dxa"/>
            </w:tcMar>
            <w:vAlign w:val="center"/>
          </w:tcPr>
          <w:p w14:paraId="671557C6" w14:textId="77777777" w:rsidR="006A4291" w:rsidRPr="00670086" w:rsidRDefault="006A4291" w:rsidP="00670086">
            <w:pPr>
              <w:pStyle w:val="Tableheader"/>
              <w:cnfStyle w:val="100000000000" w:firstRow="1" w:lastRow="0" w:firstColumn="0" w:lastColumn="0" w:oddVBand="0" w:evenVBand="0" w:oddHBand="0" w:evenHBand="0" w:firstRowFirstColumn="0" w:firstRowLastColumn="0" w:lastRowFirstColumn="0" w:lastRowLastColumn="0"/>
              <w:rPr>
                <w:b/>
                <w:bCs/>
                <w:rtl/>
              </w:rPr>
            </w:pPr>
            <w:r w:rsidRPr="00670086">
              <w:rPr>
                <w:b/>
                <w:bCs/>
              </w:rPr>
              <w:t>Annual waste</w:t>
            </w:r>
          </w:p>
        </w:tc>
        <w:tc>
          <w:tcPr>
            <w:tcW w:w="1046" w:type="dxa"/>
            <w:tcMar>
              <w:left w:w="57" w:type="dxa"/>
              <w:right w:w="57" w:type="dxa"/>
            </w:tcMar>
            <w:vAlign w:val="center"/>
          </w:tcPr>
          <w:p w14:paraId="38D54436" w14:textId="77777777" w:rsidR="006A4291" w:rsidRPr="00670086" w:rsidRDefault="006A4291" w:rsidP="00670086">
            <w:pPr>
              <w:pStyle w:val="Tableheader"/>
              <w:cnfStyle w:val="100000000000" w:firstRow="1" w:lastRow="0" w:firstColumn="0" w:lastColumn="0" w:oddVBand="0" w:evenVBand="0" w:oddHBand="0" w:evenHBand="0" w:firstRowFirstColumn="0" w:firstRowLastColumn="0" w:lastRowFirstColumn="0" w:lastRowLastColumn="0"/>
              <w:rPr>
                <w:b/>
                <w:bCs/>
                <w:rtl/>
              </w:rPr>
            </w:pPr>
            <w:r w:rsidRPr="00670086">
              <w:rPr>
                <w:b/>
                <w:bCs/>
              </w:rPr>
              <w:t>Rate of waste</w:t>
            </w:r>
          </w:p>
        </w:tc>
        <w:tc>
          <w:tcPr>
            <w:tcW w:w="1046" w:type="dxa"/>
            <w:tcMar>
              <w:left w:w="57" w:type="dxa"/>
              <w:right w:w="57" w:type="dxa"/>
            </w:tcMar>
            <w:vAlign w:val="center"/>
          </w:tcPr>
          <w:p w14:paraId="68A69A11" w14:textId="77777777" w:rsidR="006A4291" w:rsidRPr="00670086" w:rsidRDefault="006A4291" w:rsidP="00670086">
            <w:pPr>
              <w:pStyle w:val="Tableheader"/>
              <w:cnfStyle w:val="100000000000" w:firstRow="1" w:lastRow="0" w:firstColumn="0" w:lastColumn="0" w:oddVBand="0" w:evenVBand="0" w:oddHBand="0" w:evenHBand="0" w:firstRowFirstColumn="0" w:firstRowLastColumn="0" w:lastRowFirstColumn="0" w:lastRowLastColumn="0"/>
              <w:rPr>
                <w:b/>
                <w:bCs/>
                <w:rtl/>
              </w:rPr>
            </w:pPr>
            <w:r w:rsidRPr="00670086">
              <w:rPr>
                <w:b/>
                <w:bCs/>
              </w:rPr>
              <w:t>Rescuable waste</w:t>
            </w:r>
          </w:p>
        </w:tc>
      </w:tr>
      <w:tr w:rsidR="006A4291" w:rsidRPr="0074481C" w14:paraId="7E7EECB8" w14:textId="77777777" w:rsidTr="00A403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4A4FF75B" w14:textId="77777777" w:rsidR="006A4291" w:rsidRPr="00670086" w:rsidRDefault="006A4291" w:rsidP="00670086">
            <w:pPr>
              <w:rPr>
                <w:b w:val="0"/>
                <w:bCs w:val="0"/>
                <w:rtl/>
              </w:rPr>
            </w:pPr>
          </w:p>
        </w:tc>
        <w:tc>
          <w:tcPr>
            <w:tcW w:w="1527" w:type="dxa"/>
          </w:tcPr>
          <w:p w14:paraId="78D14010" w14:textId="77777777" w:rsidR="006A4291" w:rsidRPr="0037552C" w:rsidRDefault="006A4291" w:rsidP="0037552C">
            <w:pPr>
              <w:pStyle w:val="tabletext"/>
              <w:cnfStyle w:val="000000100000" w:firstRow="0" w:lastRow="0" w:firstColumn="0" w:lastColumn="0" w:oddVBand="0" w:evenVBand="0" w:oddHBand="1" w:evenHBand="0" w:firstRowFirstColumn="0" w:firstRowLastColumn="0" w:lastRowFirstColumn="0" w:lastRowLastColumn="0"/>
              <w:rPr>
                <w:b w:val="0"/>
                <w:bCs w:val="0"/>
                <w:i/>
                <w:iCs/>
                <w:rtl/>
              </w:rPr>
            </w:pPr>
            <w:r w:rsidRPr="0037552C">
              <w:rPr>
                <w:b w:val="0"/>
                <w:bCs w:val="0"/>
                <w:i/>
                <w:iCs/>
              </w:rPr>
              <w:t>1000 people</w:t>
            </w:r>
          </w:p>
        </w:tc>
        <w:tc>
          <w:tcPr>
            <w:tcW w:w="1046" w:type="dxa"/>
          </w:tcPr>
          <w:p w14:paraId="0E939622" w14:textId="77777777" w:rsidR="006A4291" w:rsidRPr="0037552C" w:rsidRDefault="006A4291" w:rsidP="0037552C">
            <w:pPr>
              <w:pStyle w:val="tabletext"/>
              <w:cnfStyle w:val="000000100000" w:firstRow="0" w:lastRow="0" w:firstColumn="0" w:lastColumn="0" w:oddVBand="0" w:evenVBand="0" w:oddHBand="1" w:evenHBand="0" w:firstRowFirstColumn="0" w:firstRowLastColumn="0" w:lastRowFirstColumn="0" w:lastRowLastColumn="0"/>
              <w:rPr>
                <w:b w:val="0"/>
                <w:bCs w:val="0"/>
                <w:i/>
                <w:iCs/>
                <w:rtl/>
              </w:rPr>
            </w:pPr>
            <w:r w:rsidRPr="0037552C">
              <w:rPr>
                <w:b w:val="0"/>
                <w:bCs w:val="0"/>
                <w:i/>
                <w:iCs/>
              </w:rPr>
              <w:t>Million meals</w:t>
            </w:r>
          </w:p>
        </w:tc>
        <w:tc>
          <w:tcPr>
            <w:tcW w:w="1113" w:type="dxa"/>
          </w:tcPr>
          <w:p w14:paraId="4EF3549E" w14:textId="77777777" w:rsidR="006A4291" w:rsidRPr="0037552C" w:rsidRDefault="006A4291" w:rsidP="0037552C">
            <w:pPr>
              <w:pStyle w:val="tabletext"/>
              <w:cnfStyle w:val="000000100000" w:firstRow="0" w:lastRow="0" w:firstColumn="0" w:lastColumn="0" w:oddVBand="0" w:evenVBand="0" w:oddHBand="1" w:evenHBand="0" w:firstRowFirstColumn="0" w:firstRowLastColumn="0" w:lastRowFirstColumn="0" w:lastRowLastColumn="0"/>
              <w:rPr>
                <w:b w:val="0"/>
                <w:bCs w:val="0"/>
                <w:i/>
                <w:iCs/>
              </w:rPr>
            </w:pPr>
            <w:r w:rsidRPr="0037552C">
              <w:rPr>
                <w:b w:val="0"/>
                <w:bCs w:val="0"/>
                <w:i/>
                <w:iCs/>
              </w:rPr>
              <w:t>1000</w:t>
            </w:r>
          </w:p>
          <w:p w14:paraId="68020910" w14:textId="77777777" w:rsidR="006A4291" w:rsidRPr="0037552C" w:rsidRDefault="006A4291" w:rsidP="0037552C">
            <w:pPr>
              <w:pStyle w:val="tabletext"/>
              <w:cnfStyle w:val="000000100000" w:firstRow="0" w:lastRow="0" w:firstColumn="0" w:lastColumn="0" w:oddVBand="0" w:evenVBand="0" w:oddHBand="1" w:evenHBand="0" w:firstRowFirstColumn="0" w:firstRowLastColumn="0" w:lastRowFirstColumn="0" w:lastRowLastColumn="0"/>
              <w:rPr>
                <w:b w:val="0"/>
                <w:bCs w:val="0"/>
                <w:i/>
                <w:iCs/>
                <w:rtl/>
              </w:rPr>
            </w:pPr>
            <w:r w:rsidRPr="0037552C">
              <w:rPr>
                <w:b w:val="0"/>
                <w:bCs w:val="0"/>
                <w:i/>
                <w:iCs/>
              </w:rPr>
              <w:t>tons</w:t>
            </w:r>
          </w:p>
        </w:tc>
        <w:tc>
          <w:tcPr>
            <w:tcW w:w="979" w:type="dxa"/>
          </w:tcPr>
          <w:p w14:paraId="31229895" w14:textId="77777777" w:rsidR="006A4291" w:rsidRPr="0037552C" w:rsidRDefault="006A4291" w:rsidP="0037552C">
            <w:pPr>
              <w:pStyle w:val="tabletext"/>
              <w:cnfStyle w:val="000000100000" w:firstRow="0" w:lastRow="0" w:firstColumn="0" w:lastColumn="0" w:oddVBand="0" w:evenVBand="0" w:oddHBand="1" w:evenHBand="0" w:firstRowFirstColumn="0" w:firstRowLastColumn="0" w:lastRowFirstColumn="0" w:lastRowLastColumn="0"/>
              <w:rPr>
                <w:b w:val="0"/>
                <w:bCs w:val="0"/>
                <w:i/>
                <w:iCs/>
              </w:rPr>
            </w:pPr>
            <w:r w:rsidRPr="0037552C">
              <w:rPr>
                <w:b w:val="0"/>
                <w:bCs w:val="0"/>
                <w:i/>
                <w:iCs/>
              </w:rPr>
              <w:t>1000</w:t>
            </w:r>
          </w:p>
          <w:p w14:paraId="174469F1" w14:textId="77777777" w:rsidR="006A4291" w:rsidRPr="0037552C" w:rsidRDefault="006A4291" w:rsidP="0037552C">
            <w:pPr>
              <w:pStyle w:val="tabletext"/>
              <w:cnfStyle w:val="000000100000" w:firstRow="0" w:lastRow="0" w:firstColumn="0" w:lastColumn="0" w:oddVBand="0" w:evenVBand="0" w:oddHBand="1" w:evenHBand="0" w:firstRowFirstColumn="0" w:firstRowLastColumn="0" w:lastRowFirstColumn="0" w:lastRowLastColumn="0"/>
              <w:rPr>
                <w:b w:val="0"/>
                <w:bCs w:val="0"/>
                <w:i/>
                <w:iCs/>
                <w:rtl/>
              </w:rPr>
            </w:pPr>
            <w:r w:rsidRPr="0037552C">
              <w:rPr>
                <w:b w:val="0"/>
                <w:bCs w:val="0"/>
                <w:i/>
                <w:iCs/>
              </w:rPr>
              <w:t>tons</w:t>
            </w:r>
          </w:p>
        </w:tc>
        <w:tc>
          <w:tcPr>
            <w:tcW w:w="1046" w:type="dxa"/>
          </w:tcPr>
          <w:p w14:paraId="36A105EA" w14:textId="77777777" w:rsidR="006A4291" w:rsidRPr="0037552C" w:rsidRDefault="006A4291" w:rsidP="0037552C">
            <w:pPr>
              <w:pStyle w:val="tabletext"/>
              <w:cnfStyle w:val="000000100000" w:firstRow="0" w:lastRow="0" w:firstColumn="0" w:lastColumn="0" w:oddVBand="0" w:evenVBand="0" w:oddHBand="1" w:evenHBand="0" w:firstRowFirstColumn="0" w:firstRowLastColumn="0" w:lastRowFirstColumn="0" w:lastRowLastColumn="0"/>
              <w:rPr>
                <w:b w:val="0"/>
                <w:bCs w:val="0"/>
                <w:i/>
                <w:iCs/>
                <w:rtl/>
              </w:rPr>
            </w:pPr>
            <w:r w:rsidRPr="0037552C">
              <w:rPr>
                <w:b w:val="0"/>
                <w:bCs w:val="0"/>
                <w:i/>
                <w:iCs/>
              </w:rPr>
              <w:t>%</w:t>
            </w:r>
          </w:p>
        </w:tc>
        <w:tc>
          <w:tcPr>
            <w:tcW w:w="1046" w:type="dxa"/>
          </w:tcPr>
          <w:p w14:paraId="5A6CA0CC" w14:textId="77777777" w:rsidR="006A4291" w:rsidRPr="0037552C" w:rsidRDefault="006A4291" w:rsidP="0037552C">
            <w:pPr>
              <w:pStyle w:val="tabletext"/>
              <w:cnfStyle w:val="000000100000" w:firstRow="0" w:lastRow="0" w:firstColumn="0" w:lastColumn="0" w:oddVBand="0" w:evenVBand="0" w:oddHBand="1" w:evenHBand="0" w:firstRowFirstColumn="0" w:firstRowLastColumn="0" w:lastRowFirstColumn="0" w:lastRowLastColumn="0"/>
              <w:rPr>
                <w:b w:val="0"/>
                <w:bCs w:val="0"/>
                <w:i/>
                <w:iCs/>
              </w:rPr>
            </w:pPr>
            <w:r w:rsidRPr="0037552C">
              <w:rPr>
                <w:b w:val="0"/>
                <w:bCs w:val="0"/>
                <w:i/>
                <w:iCs/>
              </w:rPr>
              <w:t>1000</w:t>
            </w:r>
          </w:p>
          <w:p w14:paraId="14619432" w14:textId="77777777" w:rsidR="006A4291" w:rsidRPr="0037552C" w:rsidRDefault="006A4291" w:rsidP="0037552C">
            <w:pPr>
              <w:pStyle w:val="tabletext"/>
              <w:cnfStyle w:val="000000100000" w:firstRow="0" w:lastRow="0" w:firstColumn="0" w:lastColumn="0" w:oddVBand="0" w:evenVBand="0" w:oddHBand="1" w:evenHBand="0" w:firstRowFirstColumn="0" w:firstRowLastColumn="0" w:lastRowFirstColumn="0" w:lastRowLastColumn="0"/>
              <w:rPr>
                <w:b w:val="0"/>
                <w:bCs w:val="0"/>
                <w:i/>
                <w:iCs/>
                <w:rtl/>
              </w:rPr>
            </w:pPr>
            <w:r w:rsidRPr="0037552C">
              <w:rPr>
                <w:b w:val="0"/>
                <w:bCs w:val="0"/>
                <w:i/>
                <w:iCs/>
              </w:rPr>
              <w:t>tons</w:t>
            </w:r>
          </w:p>
        </w:tc>
      </w:tr>
      <w:tr w:rsidR="00A4038D" w:rsidRPr="0074481C" w14:paraId="050F8EC8" w14:textId="77777777" w:rsidTr="002E14F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664C55A3" w14:textId="77777777" w:rsidR="00A4038D" w:rsidRPr="0037552C" w:rsidRDefault="00A4038D" w:rsidP="00670086">
            <w:pPr>
              <w:pStyle w:val="tabletext"/>
              <w:rPr>
                <w:b/>
                <w:bCs/>
                <w:rtl/>
              </w:rPr>
            </w:pPr>
            <w:r w:rsidRPr="0037552C">
              <w:rPr>
                <w:b/>
                <w:bCs/>
              </w:rPr>
              <w:t>Events</w:t>
            </w:r>
          </w:p>
        </w:tc>
        <w:tc>
          <w:tcPr>
            <w:tcW w:w="1527" w:type="dxa"/>
            <w:vAlign w:val="center"/>
          </w:tcPr>
          <w:p w14:paraId="197E45BA"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141</w:t>
            </w:r>
          </w:p>
        </w:tc>
        <w:tc>
          <w:tcPr>
            <w:tcW w:w="1046" w:type="dxa"/>
            <w:vAlign w:val="center"/>
          </w:tcPr>
          <w:p w14:paraId="1C45BF8C"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54</w:t>
            </w:r>
          </w:p>
        </w:tc>
        <w:tc>
          <w:tcPr>
            <w:tcW w:w="1113" w:type="dxa"/>
            <w:vAlign w:val="center"/>
          </w:tcPr>
          <w:p w14:paraId="3AD22292"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113</w:t>
            </w:r>
          </w:p>
        </w:tc>
        <w:tc>
          <w:tcPr>
            <w:tcW w:w="979" w:type="dxa"/>
            <w:vAlign w:val="center"/>
          </w:tcPr>
          <w:p w14:paraId="2A85042C"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49</w:t>
            </w:r>
          </w:p>
        </w:tc>
        <w:tc>
          <w:tcPr>
            <w:tcW w:w="1046" w:type="dxa"/>
            <w:vAlign w:val="center"/>
          </w:tcPr>
          <w:p w14:paraId="4BFDCA40"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43%</w:t>
            </w:r>
          </w:p>
        </w:tc>
        <w:tc>
          <w:tcPr>
            <w:tcW w:w="1046" w:type="dxa"/>
            <w:vAlign w:val="center"/>
          </w:tcPr>
          <w:p w14:paraId="6244D0EA"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20</w:t>
            </w:r>
          </w:p>
        </w:tc>
      </w:tr>
      <w:tr w:rsidR="00A4038D" w:rsidRPr="0074481C" w14:paraId="7965E51E" w14:textId="77777777" w:rsidTr="002E14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40E5461A" w14:textId="77777777" w:rsidR="00A4038D" w:rsidRPr="0037552C" w:rsidRDefault="00A4038D" w:rsidP="00670086">
            <w:pPr>
              <w:pStyle w:val="tabletext"/>
              <w:rPr>
                <w:b/>
                <w:bCs/>
                <w:rtl/>
              </w:rPr>
            </w:pPr>
            <w:r w:rsidRPr="0037552C">
              <w:rPr>
                <w:b/>
                <w:bCs/>
              </w:rPr>
              <w:t>Hotels</w:t>
            </w:r>
          </w:p>
        </w:tc>
        <w:tc>
          <w:tcPr>
            <w:tcW w:w="1527" w:type="dxa"/>
            <w:vAlign w:val="center"/>
          </w:tcPr>
          <w:p w14:paraId="36BF3D2C"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91</w:t>
            </w:r>
          </w:p>
        </w:tc>
        <w:tc>
          <w:tcPr>
            <w:tcW w:w="1046" w:type="dxa"/>
            <w:vAlign w:val="center"/>
          </w:tcPr>
          <w:p w14:paraId="619A7FC6"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49</w:t>
            </w:r>
          </w:p>
        </w:tc>
        <w:tc>
          <w:tcPr>
            <w:tcW w:w="1113" w:type="dxa"/>
            <w:vAlign w:val="center"/>
          </w:tcPr>
          <w:p w14:paraId="7F24B102"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85</w:t>
            </w:r>
          </w:p>
        </w:tc>
        <w:tc>
          <w:tcPr>
            <w:tcW w:w="979" w:type="dxa"/>
            <w:vAlign w:val="center"/>
          </w:tcPr>
          <w:p w14:paraId="3DA79103"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32</w:t>
            </w:r>
          </w:p>
        </w:tc>
        <w:tc>
          <w:tcPr>
            <w:tcW w:w="1046" w:type="dxa"/>
            <w:vAlign w:val="center"/>
          </w:tcPr>
          <w:p w14:paraId="60730085"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38%</w:t>
            </w:r>
          </w:p>
        </w:tc>
        <w:tc>
          <w:tcPr>
            <w:tcW w:w="1046" w:type="dxa"/>
            <w:vAlign w:val="center"/>
          </w:tcPr>
          <w:p w14:paraId="36E7E5C1"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7</w:t>
            </w:r>
          </w:p>
        </w:tc>
      </w:tr>
      <w:tr w:rsidR="00A4038D" w:rsidRPr="0074481C" w14:paraId="1D40FEBC" w14:textId="77777777" w:rsidTr="002E14F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55139F17" w14:textId="77777777" w:rsidR="00A4038D" w:rsidRPr="0037552C" w:rsidRDefault="00A4038D" w:rsidP="00670086">
            <w:pPr>
              <w:pStyle w:val="tabletext"/>
              <w:rPr>
                <w:b/>
                <w:bCs/>
                <w:rtl/>
              </w:rPr>
            </w:pPr>
            <w:r w:rsidRPr="0037552C">
              <w:rPr>
                <w:b/>
                <w:bCs/>
              </w:rPr>
              <w:t>Hospitals</w:t>
            </w:r>
          </w:p>
        </w:tc>
        <w:tc>
          <w:tcPr>
            <w:tcW w:w="1527" w:type="dxa"/>
            <w:vAlign w:val="center"/>
          </w:tcPr>
          <w:p w14:paraId="6CCB2479"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190</w:t>
            </w:r>
          </w:p>
        </w:tc>
        <w:tc>
          <w:tcPr>
            <w:tcW w:w="1046" w:type="dxa"/>
            <w:vAlign w:val="center"/>
          </w:tcPr>
          <w:p w14:paraId="48431E1B"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94</w:t>
            </w:r>
          </w:p>
        </w:tc>
        <w:tc>
          <w:tcPr>
            <w:tcW w:w="1113" w:type="dxa"/>
            <w:vAlign w:val="center"/>
          </w:tcPr>
          <w:p w14:paraId="51E6DE3B"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75</w:t>
            </w:r>
          </w:p>
        </w:tc>
        <w:tc>
          <w:tcPr>
            <w:tcW w:w="979" w:type="dxa"/>
            <w:vAlign w:val="center"/>
          </w:tcPr>
          <w:p w14:paraId="20E850E8"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24</w:t>
            </w:r>
          </w:p>
        </w:tc>
        <w:tc>
          <w:tcPr>
            <w:tcW w:w="1046" w:type="dxa"/>
            <w:vAlign w:val="center"/>
          </w:tcPr>
          <w:p w14:paraId="0B749519"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32%</w:t>
            </w:r>
          </w:p>
        </w:tc>
        <w:tc>
          <w:tcPr>
            <w:tcW w:w="1046" w:type="dxa"/>
            <w:vAlign w:val="center"/>
          </w:tcPr>
          <w:p w14:paraId="12889822"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7</w:t>
            </w:r>
          </w:p>
        </w:tc>
      </w:tr>
      <w:tr w:rsidR="00A4038D" w:rsidRPr="0074481C" w14:paraId="2BB430C0" w14:textId="77777777" w:rsidTr="002E14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6179367B" w14:textId="77777777" w:rsidR="00A4038D" w:rsidRPr="0037552C" w:rsidRDefault="00A4038D" w:rsidP="00670086">
            <w:pPr>
              <w:pStyle w:val="tabletext"/>
              <w:rPr>
                <w:b/>
                <w:bCs/>
                <w:rtl/>
              </w:rPr>
            </w:pPr>
            <w:r w:rsidRPr="0037552C">
              <w:rPr>
                <w:b/>
                <w:bCs/>
              </w:rPr>
              <w:t>Security forces</w:t>
            </w:r>
          </w:p>
        </w:tc>
        <w:tc>
          <w:tcPr>
            <w:tcW w:w="1527" w:type="dxa"/>
            <w:vAlign w:val="center"/>
          </w:tcPr>
          <w:p w14:paraId="022BF1C4"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249</w:t>
            </w:r>
          </w:p>
        </w:tc>
        <w:tc>
          <w:tcPr>
            <w:tcW w:w="1046" w:type="dxa"/>
            <w:vAlign w:val="center"/>
          </w:tcPr>
          <w:p w14:paraId="6AE6A0F3"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134</w:t>
            </w:r>
          </w:p>
        </w:tc>
        <w:tc>
          <w:tcPr>
            <w:tcW w:w="1113" w:type="dxa"/>
            <w:vAlign w:val="center"/>
          </w:tcPr>
          <w:p w14:paraId="2CB985B0"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153</w:t>
            </w:r>
          </w:p>
        </w:tc>
        <w:tc>
          <w:tcPr>
            <w:tcW w:w="979" w:type="dxa"/>
            <w:vAlign w:val="center"/>
          </w:tcPr>
          <w:p w14:paraId="644A81A2"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46</w:t>
            </w:r>
          </w:p>
        </w:tc>
        <w:tc>
          <w:tcPr>
            <w:tcW w:w="1046" w:type="dxa"/>
            <w:vAlign w:val="center"/>
          </w:tcPr>
          <w:p w14:paraId="195C15BF"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30%</w:t>
            </w:r>
          </w:p>
        </w:tc>
        <w:tc>
          <w:tcPr>
            <w:tcW w:w="1046" w:type="dxa"/>
            <w:vAlign w:val="center"/>
          </w:tcPr>
          <w:p w14:paraId="7CBAF775"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17</w:t>
            </w:r>
          </w:p>
        </w:tc>
      </w:tr>
      <w:tr w:rsidR="00A4038D" w:rsidRPr="0074481C" w14:paraId="7AC75040" w14:textId="77777777" w:rsidTr="002E14F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3ABF094C" w14:textId="77777777" w:rsidR="00A4038D" w:rsidRPr="0037552C" w:rsidRDefault="00A4038D" w:rsidP="00670086">
            <w:pPr>
              <w:pStyle w:val="tabletext"/>
              <w:rPr>
                <w:b/>
                <w:bCs/>
                <w:rtl/>
              </w:rPr>
            </w:pPr>
            <w:r w:rsidRPr="0037552C">
              <w:rPr>
                <w:b/>
                <w:bCs/>
              </w:rPr>
              <w:t xml:space="preserve">Workplaces </w:t>
            </w:r>
          </w:p>
        </w:tc>
        <w:tc>
          <w:tcPr>
            <w:tcW w:w="1527" w:type="dxa"/>
            <w:vAlign w:val="center"/>
          </w:tcPr>
          <w:p w14:paraId="4DD47064"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410</w:t>
            </w:r>
          </w:p>
        </w:tc>
        <w:tc>
          <w:tcPr>
            <w:tcW w:w="1046" w:type="dxa"/>
            <w:vAlign w:val="center"/>
          </w:tcPr>
          <w:p w14:paraId="69E8869D"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99</w:t>
            </w:r>
          </w:p>
        </w:tc>
        <w:tc>
          <w:tcPr>
            <w:tcW w:w="1113" w:type="dxa"/>
            <w:vAlign w:val="center"/>
          </w:tcPr>
          <w:p w14:paraId="18813085"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173</w:t>
            </w:r>
          </w:p>
        </w:tc>
        <w:tc>
          <w:tcPr>
            <w:tcW w:w="979" w:type="dxa"/>
            <w:vAlign w:val="center"/>
          </w:tcPr>
          <w:p w14:paraId="2F2F1EFB"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50</w:t>
            </w:r>
          </w:p>
        </w:tc>
        <w:tc>
          <w:tcPr>
            <w:tcW w:w="1046" w:type="dxa"/>
            <w:vAlign w:val="center"/>
          </w:tcPr>
          <w:p w14:paraId="3DC453A8"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29%</w:t>
            </w:r>
          </w:p>
        </w:tc>
        <w:tc>
          <w:tcPr>
            <w:tcW w:w="1046" w:type="dxa"/>
            <w:vAlign w:val="center"/>
          </w:tcPr>
          <w:p w14:paraId="2FCA3105"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17</w:t>
            </w:r>
          </w:p>
        </w:tc>
      </w:tr>
      <w:tr w:rsidR="00A4038D" w:rsidRPr="0074481C" w14:paraId="730C6EAE" w14:textId="77777777" w:rsidTr="002E14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4B5E935F" w14:textId="77777777" w:rsidR="00A4038D" w:rsidRPr="0037552C" w:rsidRDefault="00A4038D" w:rsidP="00670086">
            <w:pPr>
              <w:pStyle w:val="tabletext"/>
              <w:rPr>
                <w:b/>
                <w:bCs/>
                <w:rtl/>
              </w:rPr>
            </w:pPr>
            <w:r w:rsidRPr="0037552C">
              <w:rPr>
                <w:b/>
                <w:bCs/>
              </w:rPr>
              <w:t>Educational institutions</w:t>
            </w:r>
          </w:p>
        </w:tc>
        <w:tc>
          <w:tcPr>
            <w:tcW w:w="1527" w:type="dxa"/>
            <w:vAlign w:val="center"/>
          </w:tcPr>
          <w:p w14:paraId="0648818D"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368</w:t>
            </w:r>
          </w:p>
        </w:tc>
        <w:tc>
          <w:tcPr>
            <w:tcW w:w="1046" w:type="dxa"/>
            <w:vAlign w:val="center"/>
          </w:tcPr>
          <w:p w14:paraId="269EB020"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66</w:t>
            </w:r>
          </w:p>
        </w:tc>
        <w:tc>
          <w:tcPr>
            <w:tcW w:w="1113" w:type="dxa"/>
            <w:vAlign w:val="center"/>
          </w:tcPr>
          <w:p w14:paraId="30D7946B"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33</w:t>
            </w:r>
          </w:p>
        </w:tc>
        <w:tc>
          <w:tcPr>
            <w:tcW w:w="979" w:type="dxa"/>
            <w:vAlign w:val="center"/>
          </w:tcPr>
          <w:p w14:paraId="596589B6"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5</w:t>
            </w:r>
          </w:p>
        </w:tc>
        <w:tc>
          <w:tcPr>
            <w:tcW w:w="1046" w:type="dxa"/>
            <w:vAlign w:val="center"/>
          </w:tcPr>
          <w:p w14:paraId="2760F7D7"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16%</w:t>
            </w:r>
          </w:p>
        </w:tc>
        <w:tc>
          <w:tcPr>
            <w:tcW w:w="1046" w:type="dxa"/>
            <w:vAlign w:val="center"/>
          </w:tcPr>
          <w:p w14:paraId="4E10BC16"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1</w:t>
            </w:r>
          </w:p>
        </w:tc>
      </w:tr>
      <w:tr w:rsidR="00A4038D" w:rsidRPr="0074481C" w14:paraId="27B95FE0" w14:textId="77777777" w:rsidTr="002E14F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3EFF0F7C" w14:textId="77777777" w:rsidR="00A4038D" w:rsidRPr="0037552C" w:rsidRDefault="00A4038D" w:rsidP="00670086">
            <w:pPr>
              <w:pStyle w:val="tabletext"/>
              <w:rPr>
                <w:b/>
                <w:bCs/>
                <w:rtl/>
              </w:rPr>
            </w:pPr>
            <w:r w:rsidRPr="0037552C">
              <w:rPr>
                <w:b/>
                <w:bCs/>
              </w:rPr>
              <w:t>Restaurants</w:t>
            </w:r>
          </w:p>
        </w:tc>
        <w:tc>
          <w:tcPr>
            <w:tcW w:w="1527" w:type="dxa"/>
            <w:vAlign w:val="center"/>
          </w:tcPr>
          <w:p w14:paraId="5A01CEB4"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427</w:t>
            </w:r>
          </w:p>
        </w:tc>
        <w:tc>
          <w:tcPr>
            <w:tcW w:w="1046" w:type="dxa"/>
            <w:vAlign w:val="center"/>
          </w:tcPr>
          <w:p w14:paraId="1263B43F"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156</w:t>
            </w:r>
          </w:p>
        </w:tc>
        <w:tc>
          <w:tcPr>
            <w:tcW w:w="1113" w:type="dxa"/>
            <w:vAlign w:val="center"/>
          </w:tcPr>
          <w:p w14:paraId="16069B19"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117</w:t>
            </w:r>
          </w:p>
        </w:tc>
        <w:tc>
          <w:tcPr>
            <w:tcW w:w="979" w:type="dxa"/>
            <w:vAlign w:val="center"/>
          </w:tcPr>
          <w:p w14:paraId="1678C921"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17</w:t>
            </w:r>
          </w:p>
        </w:tc>
        <w:tc>
          <w:tcPr>
            <w:tcW w:w="1046" w:type="dxa"/>
            <w:vAlign w:val="center"/>
          </w:tcPr>
          <w:p w14:paraId="32C8AF8F"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14%</w:t>
            </w:r>
          </w:p>
        </w:tc>
        <w:tc>
          <w:tcPr>
            <w:tcW w:w="1046" w:type="dxa"/>
            <w:vAlign w:val="center"/>
          </w:tcPr>
          <w:p w14:paraId="5803E01B" w14:textId="77777777" w:rsidR="00A4038D" w:rsidRPr="00670086" w:rsidRDefault="00A4038D" w:rsidP="00670086">
            <w:pPr>
              <w:pStyle w:val="Tablenumbers"/>
              <w:cnfStyle w:val="000000010000" w:firstRow="0" w:lastRow="0" w:firstColumn="0" w:lastColumn="0" w:oddVBand="0" w:evenVBand="0" w:oddHBand="0" w:evenHBand="1" w:firstRowFirstColumn="0" w:firstRowLastColumn="0" w:lastRowFirstColumn="0" w:lastRowLastColumn="0"/>
            </w:pPr>
            <w:r w:rsidRPr="00670086">
              <w:t>3</w:t>
            </w:r>
          </w:p>
        </w:tc>
      </w:tr>
      <w:tr w:rsidR="00A4038D" w:rsidRPr="0074481C" w14:paraId="5C0BCF10" w14:textId="77777777" w:rsidTr="002E14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0D9FD5B7" w14:textId="77777777" w:rsidR="00A4038D" w:rsidRPr="0037552C" w:rsidRDefault="00A4038D" w:rsidP="00670086">
            <w:pPr>
              <w:pStyle w:val="tabletext"/>
              <w:rPr>
                <w:b/>
                <w:bCs/>
                <w:rtl/>
              </w:rPr>
            </w:pPr>
            <w:r w:rsidRPr="0037552C">
              <w:rPr>
                <w:b/>
                <w:bCs/>
              </w:rPr>
              <w:t>Total</w:t>
            </w:r>
          </w:p>
        </w:tc>
        <w:tc>
          <w:tcPr>
            <w:tcW w:w="1527" w:type="dxa"/>
            <w:vAlign w:val="center"/>
          </w:tcPr>
          <w:p w14:paraId="47D68FF1"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1886</w:t>
            </w:r>
          </w:p>
        </w:tc>
        <w:tc>
          <w:tcPr>
            <w:tcW w:w="1046" w:type="dxa"/>
            <w:vAlign w:val="center"/>
          </w:tcPr>
          <w:p w14:paraId="0D5CEED0"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653</w:t>
            </w:r>
          </w:p>
        </w:tc>
        <w:tc>
          <w:tcPr>
            <w:tcW w:w="1113" w:type="dxa"/>
            <w:vAlign w:val="center"/>
          </w:tcPr>
          <w:p w14:paraId="4142685F"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749</w:t>
            </w:r>
          </w:p>
        </w:tc>
        <w:tc>
          <w:tcPr>
            <w:tcW w:w="979" w:type="dxa"/>
            <w:vAlign w:val="center"/>
          </w:tcPr>
          <w:p w14:paraId="2BAAD0F1"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223</w:t>
            </w:r>
          </w:p>
        </w:tc>
        <w:tc>
          <w:tcPr>
            <w:tcW w:w="1046" w:type="dxa"/>
            <w:vAlign w:val="center"/>
          </w:tcPr>
          <w:p w14:paraId="531E6B84"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30%</w:t>
            </w:r>
          </w:p>
        </w:tc>
        <w:tc>
          <w:tcPr>
            <w:tcW w:w="1046" w:type="dxa"/>
            <w:vAlign w:val="center"/>
          </w:tcPr>
          <w:p w14:paraId="510F891C" w14:textId="77777777" w:rsidR="00A4038D" w:rsidRPr="00670086" w:rsidRDefault="00A4038D" w:rsidP="00670086">
            <w:pPr>
              <w:pStyle w:val="Tablenumbers"/>
              <w:cnfStyle w:val="000000100000" w:firstRow="0" w:lastRow="0" w:firstColumn="0" w:lastColumn="0" w:oddVBand="0" w:evenVBand="0" w:oddHBand="1" w:evenHBand="0" w:firstRowFirstColumn="0" w:firstRowLastColumn="0" w:lastRowFirstColumn="0" w:lastRowLastColumn="0"/>
            </w:pPr>
            <w:r w:rsidRPr="00670086">
              <w:t>73</w:t>
            </w:r>
          </w:p>
        </w:tc>
      </w:tr>
    </w:tbl>
    <w:p w14:paraId="4C137520" w14:textId="77777777" w:rsidR="00737085" w:rsidRPr="008F3D9C" w:rsidRDefault="00737085" w:rsidP="004F3A44"/>
    <w:p w14:paraId="21811E13" w14:textId="3BA20D13" w:rsidR="00737085" w:rsidRPr="008F3D9C" w:rsidRDefault="00737085" w:rsidP="00C02AD4">
      <w:pPr>
        <w:pStyle w:val="BodyText"/>
      </w:pPr>
      <w:r w:rsidRPr="008F3D9C">
        <w:t xml:space="preserve">Approximately one-third of institutional meals wasted are rescuable, meaning that it would be possible to save approximately 70,000 tons of food annually, </w:t>
      </w:r>
      <w:r w:rsidR="00A4038D" w:rsidRPr="008F3D9C">
        <w:t>with a total value of approximately NIS 1</w:t>
      </w:r>
      <w:r w:rsidR="00A4038D">
        <w:t>.2</w:t>
      </w:r>
      <w:r w:rsidR="00A4038D" w:rsidRPr="008F3D9C">
        <w:t xml:space="preserve"> billion each year</w:t>
      </w:r>
      <w:r w:rsidR="00A4038D">
        <w:t>,</w:t>
      </w:r>
      <w:r w:rsidR="00A4038D" w:rsidRPr="008F3D9C">
        <w:t xml:space="preserve"> </w:t>
      </w:r>
      <w:r w:rsidRPr="008F3D9C">
        <w:t xml:space="preserve">equivalent to approximately </w:t>
      </w:r>
      <w:r w:rsidR="00A31021" w:rsidRPr="008F3D9C">
        <w:t>6</w:t>
      </w:r>
      <w:r w:rsidR="00A4038D">
        <w:t>6</w:t>
      </w:r>
      <w:r w:rsidR="00A31021" w:rsidRPr="008F3D9C">
        <w:t xml:space="preserve"> </w:t>
      </w:r>
      <w:r w:rsidRPr="008F3D9C">
        <w:t>million meals</w:t>
      </w:r>
      <w:r w:rsidR="00B35A68">
        <w:t>.</w:t>
      </w:r>
    </w:p>
    <w:p w14:paraId="716B8362" w14:textId="6B43DF08" w:rsidR="00737085" w:rsidRPr="008F3D9C" w:rsidRDefault="00737085" w:rsidP="003B2D12">
      <w:pPr>
        <w:pStyle w:val="BodyText"/>
      </w:pPr>
      <w:r w:rsidRPr="00A4038D">
        <w:t xml:space="preserve">Food waste in institutional kitchens is an inevitable part of the economic planning of meals for a large number of </w:t>
      </w:r>
      <w:r w:rsidR="003B2D12">
        <w:t xml:space="preserve">patrons </w:t>
      </w:r>
      <w:r w:rsidR="00C02AD4">
        <w:t>in congregant settings</w:t>
      </w:r>
      <w:r w:rsidRPr="00A4038D">
        <w:t>, while guaranteeing that the supply and variety meet the requirements of many diverse patrons, and taking into account the inherent elements of uncertainty</w:t>
      </w:r>
      <w:r w:rsidR="00C02AD4">
        <w:t xml:space="preserve"> as well</w:t>
      </w:r>
      <w:r w:rsidRPr="008F3D9C">
        <w:t>.</w:t>
      </w:r>
    </w:p>
    <w:p w14:paraId="449C478E" w14:textId="5E3A4E75" w:rsidR="00737085" w:rsidRPr="008F3D9C" w:rsidRDefault="00737085" w:rsidP="00FA478D">
      <w:pPr>
        <w:pStyle w:val="BodyText"/>
      </w:pPr>
      <w:r w:rsidRPr="008F3D9C">
        <w:t xml:space="preserve">In recent years, most institutional kitchens </w:t>
      </w:r>
      <w:r w:rsidR="00C02AD4">
        <w:t xml:space="preserve">are being </w:t>
      </w:r>
      <w:r w:rsidRPr="008F3D9C">
        <w:t>operated by external companies with a high level of expertise in the field. Th</w:t>
      </w:r>
      <w:r w:rsidR="00FA478D">
        <w:t xml:space="preserve">ose </w:t>
      </w:r>
      <w:r w:rsidR="00FA478D" w:rsidRPr="008F3D9C">
        <w:t xml:space="preserve">companies </w:t>
      </w:r>
      <w:r w:rsidRPr="008F3D9C">
        <w:t xml:space="preserve">strive for maximal economic efficiency and reduction of waste. Despite this, catering cannot be planned on the basis of averages alone. Rather, it is necessary to provide appropriate supplies of food even </w:t>
      </w:r>
      <w:r w:rsidR="00A4038D">
        <w:t>for</w:t>
      </w:r>
      <w:r w:rsidRPr="008F3D9C">
        <w:t xml:space="preserve"> non-average days. Therefore, food preparation must allow </w:t>
      </w:r>
      <w:r w:rsidRPr="008F3D9C">
        <w:lastRenderedPageBreak/>
        <w:t>for sufficient margins to accommodate the risk of variance, rather than relying solely on statistical averages.</w:t>
      </w:r>
    </w:p>
    <w:p w14:paraId="3A71DD4A" w14:textId="1CF39C5A" w:rsidR="00737085" w:rsidRPr="008F3D9C" w:rsidRDefault="00A4038D" w:rsidP="003B2D12">
      <w:pPr>
        <w:pStyle w:val="BodyText"/>
      </w:pPr>
      <w:r>
        <w:t>The analysis in the report shows that, a</w:t>
      </w:r>
      <w:r w:rsidR="00737085" w:rsidRPr="008F3D9C">
        <w:t xml:space="preserve">s a general rule, a kitchen characterized </w:t>
      </w:r>
      <w:r w:rsidR="00B35A68">
        <w:t>by</w:t>
      </w:r>
      <w:r w:rsidR="00737085" w:rsidRPr="008F3D9C">
        <w:t xml:space="preserve"> a higher level of uncertainty regarding the number of </w:t>
      </w:r>
      <w:r w:rsidR="003B2D12">
        <w:t>patrons</w:t>
      </w:r>
      <w:r w:rsidR="003B2D12" w:rsidRPr="008F3D9C">
        <w:t xml:space="preserve"> </w:t>
      </w:r>
      <w:r w:rsidR="00737085" w:rsidRPr="008F3D9C">
        <w:t xml:space="preserve">can be expected to produce a higher level of waste. For example, </w:t>
      </w:r>
      <w:r w:rsidR="0037552C">
        <w:t xml:space="preserve">at </w:t>
      </w:r>
      <w:r w:rsidR="00737085" w:rsidRPr="008F3D9C">
        <w:t>open IDF bases and workplaces, where there are accessible alternatives</w:t>
      </w:r>
      <w:r w:rsidR="00C02AD4">
        <w:t xml:space="preserve"> (e.g.</w:t>
      </w:r>
      <w:r w:rsidR="00E04E64">
        <w:t>,</w:t>
      </w:r>
      <w:r w:rsidR="00C02AD4">
        <w:t xml:space="preserve"> soldiers and employees are able to eat offsite)</w:t>
      </w:r>
      <w:r w:rsidR="00737085" w:rsidRPr="008F3D9C">
        <w:t xml:space="preserve">, the food waste will be higher than in schools and prisons, </w:t>
      </w:r>
      <w:r w:rsidR="00F75A92">
        <w:t>where there is</w:t>
      </w:r>
      <w:r w:rsidR="00737085" w:rsidRPr="008F3D9C">
        <w:t xml:space="preserve"> less uncertainty about the number of meals to be served.</w:t>
      </w:r>
    </w:p>
    <w:p w14:paraId="3D433D65" w14:textId="7E0F99CC" w:rsidR="00737085" w:rsidRPr="008F3D9C" w:rsidRDefault="00737085" w:rsidP="003B2D12">
      <w:pPr>
        <w:pStyle w:val="BodyText"/>
      </w:pPr>
      <w:r w:rsidRPr="008F3D9C">
        <w:t xml:space="preserve">In addition, the more varied the menu, the greater the amount of waste that can be expected due to the uncertainty regarding which choices </w:t>
      </w:r>
      <w:r w:rsidR="003B2D12">
        <w:t>patrons</w:t>
      </w:r>
      <w:r w:rsidRPr="008F3D9C">
        <w:t xml:space="preserve"> will prefer. Accordingly, a higher level of waste can be expected at events and in hotels, where a wide variety of choices is offered, rather than workplaces, IDF </w:t>
      </w:r>
      <w:r w:rsidR="00F75A92">
        <w:t xml:space="preserve">bases </w:t>
      </w:r>
      <w:r w:rsidRPr="008F3D9C">
        <w:t xml:space="preserve">and police </w:t>
      </w:r>
      <w:r w:rsidR="00F75A92">
        <w:t>stations</w:t>
      </w:r>
      <w:r w:rsidRPr="008F3D9C">
        <w:t>.</w:t>
      </w:r>
    </w:p>
    <w:p w14:paraId="5797198A" w14:textId="77777777" w:rsidR="00737085" w:rsidRPr="008F3D9C" w:rsidRDefault="00737085" w:rsidP="004E2385">
      <w:pPr>
        <w:pStyle w:val="BodyText"/>
      </w:pPr>
      <w:r w:rsidRPr="008F3D9C">
        <w:t>The style of service and payment can also influence the amount of waste. In restaurants, for example, where food is prepared only after it is ordered, less waste is expected than at a buffet where food must be prepared in advance. In situations where the consumer pays only for what is eaten, the amount of waste will be lower than it is in restaurants that charge an all-inclusive price.</w:t>
      </w:r>
    </w:p>
    <w:p w14:paraId="5ABBB8C5" w14:textId="77777777" w:rsidR="00737085" w:rsidRPr="008F3D9C" w:rsidRDefault="00737085" w:rsidP="00FC6589">
      <w:pPr>
        <w:pStyle w:val="BodyText"/>
      </w:pPr>
      <w:r w:rsidRPr="008F3D9C">
        <w:t xml:space="preserve">The table </w:t>
      </w:r>
      <w:r w:rsidR="00F75A92">
        <w:t>above</w:t>
      </w:r>
      <w:r w:rsidRPr="008F3D9C">
        <w:t xml:space="preserve"> presents a summary, in quantitative terms, of the estimat</w:t>
      </w:r>
      <w:r w:rsidR="00FC6589">
        <w:t xml:space="preserve">ed </w:t>
      </w:r>
      <w:r w:rsidRPr="008F3D9C">
        <w:t>food waste in the institutional sector.</w:t>
      </w:r>
    </w:p>
    <w:p w14:paraId="6EAC3E25" w14:textId="77777777" w:rsidR="00737085" w:rsidRPr="008F3D9C" w:rsidRDefault="00737085" w:rsidP="00FC6589">
      <w:pPr>
        <w:pStyle w:val="Graphtitle"/>
      </w:pPr>
      <w:r w:rsidRPr="008F3D9C">
        <w:lastRenderedPageBreak/>
        <w:t>Rate of Food Waste by Category of Institutional Consumption</w:t>
      </w:r>
    </w:p>
    <w:p w14:paraId="60D916D0" w14:textId="77777777" w:rsidR="00737085" w:rsidRPr="00FC6589" w:rsidRDefault="00737085" w:rsidP="00FC6589">
      <w:pPr>
        <w:pStyle w:val="Graphtitle"/>
        <w:rPr>
          <w:b w:val="0"/>
          <w:bCs w:val="0"/>
        </w:rPr>
      </w:pPr>
      <w:r w:rsidRPr="00FC6589">
        <w:rPr>
          <w:b w:val="0"/>
          <w:bCs w:val="0"/>
        </w:rPr>
        <w:t>Rescuable and Non-rescuable waste</w:t>
      </w:r>
    </w:p>
    <w:p w14:paraId="034D0FB2" w14:textId="77777777" w:rsidR="00737085" w:rsidRPr="008F3D9C" w:rsidRDefault="00F75A92" w:rsidP="004E2385">
      <w:pPr>
        <w:pStyle w:val="BodyText"/>
      </w:pPr>
      <w:r>
        <w:rPr>
          <w:noProof/>
        </w:rPr>
        <w:drawing>
          <wp:inline distT="0" distB="0" distL="0" distR="0" wp14:anchorId="0C4CE1C6" wp14:editId="7C7E12BC">
            <wp:extent cx="4572000" cy="2743200"/>
            <wp:effectExtent l="0" t="0" r="0" b="0"/>
            <wp:docPr id="14" name="תרשים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E5FC2E1" w14:textId="77777777" w:rsidR="00737085" w:rsidRPr="008F3D9C" w:rsidRDefault="00FC6589" w:rsidP="00860D90">
      <w:pPr>
        <w:pStyle w:val="Graphnote"/>
        <w:ind w:left="426"/>
      </w:pPr>
      <w:r w:rsidRPr="00FC6589">
        <w:rPr>
          <w:b/>
          <w:bCs/>
        </w:rPr>
        <w:t>Column captions</w:t>
      </w:r>
      <w:r w:rsidR="00860D90">
        <w:t>, from left to right</w:t>
      </w:r>
      <w:r>
        <w:t xml:space="preserve">: </w:t>
      </w:r>
      <w:r w:rsidR="00737085" w:rsidRPr="008F3D9C">
        <w:t xml:space="preserve">Restaurants, Educational institutions, Workplaces, </w:t>
      </w:r>
      <w:r w:rsidR="00F75A92">
        <w:t>Security forces</w:t>
      </w:r>
      <w:r w:rsidR="00737085" w:rsidRPr="008F3D9C">
        <w:t>, Hospitals, Hotels, Events</w:t>
      </w:r>
    </w:p>
    <w:p w14:paraId="7AC419D0" w14:textId="77777777" w:rsidR="00737085" w:rsidRPr="008F3D9C" w:rsidRDefault="00FC6589" w:rsidP="00737085">
      <w:pPr>
        <w:pStyle w:val="Graphnote"/>
        <w:ind w:left="426"/>
        <w:rPr>
          <w:sz w:val="22"/>
          <w:szCs w:val="22"/>
        </w:rPr>
      </w:pPr>
      <w:r w:rsidRPr="00FC6589">
        <w:rPr>
          <w:b/>
          <w:bCs/>
          <w:color w:val="0070C0"/>
        </w:rPr>
        <w:t>Blue</w:t>
      </w:r>
      <w:r>
        <w:t xml:space="preserve">: </w:t>
      </w:r>
      <w:r w:rsidR="00737085" w:rsidRPr="008F3D9C">
        <w:t xml:space="preserve">Rescuable waste; </w:t>
      </w:r>
      <w:r w:rsidRPr="00FC6589">
        <w:rPr>
          <w:b/>
          <w:bCs/>
          <w:color w:val="FF0000"/>
        </w:rPr>
        <w:t>Red</w:t>
      </w:r>
      <w:r>
        <w:t xml:space="preserve">: </w:t>
      </w:r>
      <w:r w:rsidR="00737085" w:rsidRPr="008F3D9C">
        <w:t>Non-rescuable waste</w:t>
      </w:r>
    </w:p>
    <w:p w14:paraId="501F3CDE" w14:textId="77777777" w:rsidR="00737085" w:rsidRPr="008F3D9C" w:rsidRDefault="00737085" w:rsidP="00AF2C48">
      <w:pPr>
        <w:pStyle w:val="BodyText"/>
      </w:pPr>
      <w:r w:rsidRPr="008F3D9C">
        <w:t xml:space="preserve">The total amount of food </w:t>
      </w:r>
      <w:r w:rsidR="00AF2C48">
        <w:t xml:space="preserve">that can be </w:t>
      </w:r>
      <w:r w:rsidRPr="008F3D9C">
        <w:t>rescu</w:t>
      </w:r>
      <w:r w:rsidR="00AF2C48">
        <w:t xml:space="preserve">ed </w:t>
      </w:r>
      <w:r w:rsidRPr="008F3D9C">
        <w:t>from the institutional sector is valued at approximately NIS 1.</w:t>
      </w:r>
      <w:r w:rsidR="00F75A92">
        <w:t>2</w:t>
      </w:r>
      <w:r w:rsidRPr="008F3D9C">
        <w:t xml:space="preserve"> billion. Approximately half of this amount is from events, from which it is likely possible to rescue approximately </w:t>
      </w:r>
      <w:r w:rsidR="00F75A92">
        <w:t>20</w:t>
      </w:r>
      <w:r w:rsidRPr="008F3D9C">
        <w:t xml:space="preserve">,000 tons of food, with a monetary value of NIS 0.5 billion, annually. Hotels, IDF bases and workplaces are other important focal points for food rescue, and it is </w:t>
      </w:r>
      <w:r w:rsidR="00AF2C48" w:rsidRPr="008F3D9C">
        <w:t>probable</w:t>
      </w:r>
      <w:r w:rsidRPr="008F3D9C">
        <w:t xml:space="preserve"> </w:t>
      </w:r>
      <w:r w:rsidR="00AF2C48">
        <w:t xml:space="preserve">that </w:t>
      </w:r>
      <w:r w:rsidRPr="008F3D9C">
        <w:t>food worth NIS 1</w:t>
      </w:r>
      <w:r w:rsidR="00F75A92">
        <w:t>2</w:t>
      </w:r>
      <w:r w:rsidRPr="008F3D9C">
        <w:t xml:space="preserve">0-180 million </w:t>
      </w:r>
      <w:r w:rsidR="00AF2C48">
        <w:t xml:space="preserve">can be rescued </w:t>
      </w:r>
      <w:r w:rsidRPr="008F3D9C">
        <w:t>annually from each of these sources. The value of rescuable food from restaurants is similar; approximately NIS 1</w:t>
      </w:r>
      <w:r w:rsidR="00F75A92">
        <w:t>15</w:t>
      </w:r>
      <w:r w:rsidRPr="008F3D9C">
        <w:t xml:space="preserve"> million, but the broader geographical distribution and the lack of a critical mass in any single location generally reduces the economic feasibility of rescuing food from restaurants.</w:t>
      </w:r>
    </w:p>
    <w:p w14:paraId="596EF7AC" w14:textId="77777777" w:rsidR="00F75A92" w:rsidRDefault="00F75A92">
      <w:pPr>
        <w:rPr>
          <w:rFonts w:eastAsia="Calibri" w:cs="Times New Roman"/>
          <w:b/>
          <w:bCs/>
          <w:sz w:val="24"/>
          <w:szCs w:val="24"/>
        </w:rPr>
      </w:pPr>
      <w:r>
        <w:rPr>
          <w:b/>
          <w:bCs/>
        </w:rPr>
        <w:br w:type="page"/>
      </w:r>
    </w:p>
    <w:p w14:paraId="11207853" w14:textId="77777777" w:rsidR="00737085" w:rsidRPr="008F3D9C" w:rsidRDefault="00737085" w:rsidP="00AF2C48">
      <w:pPr>
        <w:pStyle w:val="Graphtitle"/>
      </w:pPr>
      <w:r w:rsidRPr="008F3D9C">
        <w:lastRenderedPageBreak/>
        <w:t xml:space="preserve">Annual </w:t>
      </w:r>
      <w:r w:rsidR="00860D90" w:rsidRPr="008F3D9C">
        <w:t>Summary</w:t>
      </w:r>
      <w:r w:rsidRPr="008F3D9C">
        <w:t xml:space="preserve">: Rescuable Food from the Institutional Sector </w:t>
      </w:r>
    </w:p>
    <w:p w14:paraId="25B4BEC7" w14:textId="77777777" w:rsidR="00737085" w:rsidRPr="00AF2C48" w:rsidRDefault="00AF2C48" w:rsidP="00AF2C48">
      <w:pPr>
        <w:pStyle w:val="Graphtitle"/>
        <w:rPr>
          <w:b w:val="0"/>
          <w:bCs w:val="0"/>
        </w:rPr>
      </w:pPr>
      <w:r w:rsidRPr="00AF2C48">
        <w:rPr>
          <w:b w:val="0"/>
          <w:bCs w:val="0"/>
        </w:rPr>
        <w:t>(</w:t>
      </w:r>
      <w:r w:rsidR="00737085" w:rsidRPr="00AF2C48">
        <w:rPr>
          <w:b w:val="0"/>
          <w:bCs w:val="0"/>
        </w:rPr>
        <w:t>NIS millions</w:t>
      </w:r>
      <w:r w:rsidRPr="00AF2C48">
        <w:rPr>
          <w:b w:val="0"/>
          <w:bCs w:val="0"/>
        </w:rPr>
        <w:t>)</w:t>
      </w:r>
    </w:p>
    <w:tbl>
      <w:tblPr>
        <w:tblStyle w:val="MediumShading1-Accent1"/>
        <w:tblW w:w="0" w:type="auto"/>
        <w:jc w:val="center"/>
        <w:tblLook w:val="04A0" w:firstRow="1" w:lastRow="0" w:firstColumn="1" w:lastColumn="0" w:noHBand="0" w:noVBand="1"/>
      </w:tblPr>
      <w:tblGrid>
        <w:gridCol w:w="1346"/>
        <w:gridCol w:w="1693"/>
        <w:gridCol w:w="1270"/>
        <w:gridCol w:w="1270"/>
        <w:gridCol w:w="1508"/>
      </w:tblGrid>
      <w:tr w:rsidR="004F3A44" w:rsidRPr="008F3D9C" w14:paraId="2AF8BCF5" w14:textId="77777777" w:rsidTr="00B12A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22079BBB" w14:textId="77777777" w:rsidR="004F3A44" w:rsidRPr="00AF2C48" w:rsidRDefault="004F3A44" w:rsidP="00AF2C48">
            <w:pPr>
              <w:rPr>
                <w:b w:val="0"/>
                <w:bCs w:val="0"/>
                <w:rtl/>
              </w:rPr>
            </w:pPr>
          </w:p>
        </w:tc>
        <w:tc>
          <w:tcPr>
            <w:tcW w:w="1693" w:type="dxa"/>
            <w:vAlign w:val="center"/>
          </w:tcPr>
          <w:p w14:paraId="18EE1AB2" w14:textId="77777777" w:rsidR="004F3A44" w:rsidRPr="00AF2C48" w:rsidRDefault="004F3A44" w:rsidP="00AF2C48">
            <w:pPr>
              <w:pStyle w:val="Tableheader"/>
              <w:cnfStyle w:val="100000000000" w:firstRow="1" w:lastRow="0" w:firstColumn="0" w:lastColumn="0" w:oddVBand="0" w:evenVBand="0" w:oddHBand="0" w:evenHBand="0" w:firstRowFirstColumn="0" w:firstRowLastColumn="0" w:lastRowFirstColumn="0" w:lastRowLastColumn="0"/>
              <w:rPr>
                <w:b/>
                <w:bCs/>
                <w:rtl/>
              </w:rPr>
            </w:pPr>
            <w:r w:rsidRPr="00AF2C48">
              <w:rPr>
                <w:b/>
                <w:bCs/>
              </w:rPr>
              <w:t>Meals/year</w:t>
            </w:r>
          </w:p>
        </w:tc>
        <w:tc>
          <w:tcPr>
            <w:tcW w:w="1270" w:type="dxa"/>
            <w:vAlign w:val="center"/>
          </w:tcPr>
          <w:p w14:paraId="0182D644" w14:textId="77777777" w:rsidR="004F3A44" w:rsidRPr="00AF2C48" w:rsidRDefault="004F3A44" w:rsidP="00AF2C48">
            <w:pPr>
              <w:pStyle w:val="Tableheader"/>
              <w:cnfStyle w:val="100000000000" w:firstRow="1" w:lastRow="0" w:firstColumn="0" w:lastColumn="0" w:oddVBand="0" w:evenVBand="0" w:oddHBand="0" w:evenHBand="0" w:firstRowFirstColumn="0" w:firstRowLastColumn="0" w:lastRowFirstColumn="0" w:lastRowLastColumn="0"/>
              <w:rPr>
                <w:b/>
                <w:bCs/>
                <w:rtl/>
              </w:rPr>
            </w:pPr>
            <w:r w:rsidRPr="00AF2C48">
              <w:rPr>
                <w:b/>
                <w:bCs/>
              </w:rPr>
              <w:t>Market size</w:t>
            </w:r>
          </w:p>
        </w:tc>
        <w:tc>
          <w:tcPr>
            <w:tcW w:w="1270" w:type="dxa"/>
            <w:vAlign w:val="center"/>
          </w:tcPr>
          <w:p w14:paraId="136299A4" w14:textId="77777777" w:rsidR="004F3A44" w:rsidRPr="00AF2C48" w:rsidRDefault="004F3A44" w:rsidP="00AF2C48">
            <w:pPr>
              <w:pStyle w:val="Tableheader"/>
              <w:cnfStyle w:val="100000000000" w:firstRow="1" w:lastRow="0" w:firstColumn="0" w:lastColumn="0" w:oddVBand="0" w:evenVBand="0" w:oddHBand="0" w:evenHBand="0" w:firstRowFirstColumn="0" w:firstRowLastColumn="0" w:lastRowFirstColumn="0" w:lastRowLastColumn="0"/>
              <w:rPr>
                <w:b/>
                <w:bCs/>
                <w:rtl/>
              </w:rPr>
            </w:pPr>
            <w:r w:rsidRPr="00AF2C48">
              <w:rPr>
                <w:b/>
                <w:bCs/>
              </w:rPr>
              <w:t>Total waste in NIS</w:t>
            </w:r>
          </w:p>
        </w:tc>
        <w:tc>
          <w:tcPr>
            <w:tcW w:w="1508" w:type="dxa"/>
            <w:vAlign w:val="center"/>
          </w:tcPr>
          <w:p w14:paraId="48ACDF20" w14:textId="77777777" w:rsidR="004F3A44" w:rsidRPr="00AF2C48" w:rsidRDefault="004F3A44" w:rsidP="00AF2C48">
            <w:pPr>
              <w:pStyle w:val="Tableheader"/>
              <w:cnfStyle w:val="100000000000" w:firstRow="1" w:lastRow="0" w:firstColumn="0" w:lastColumn="0" w:oddVBand="0" w:evenVBand="0" w:oddHBand="0" w:evenHBand="0" w:firstRowFirstColumn="0" w:firstRowLastColumn="0" w:lastRowFirstColumn="0" w:lastRowLastColumn="0"/>
              <w:rPr>
                <w:b/>
                <w:bCs/>
                <w:rtl/>
              </w:rPr>
            </w:pPr>
            <w:r w:rsidRPr="00AF2C48">
              <w:rPr>
                <w:b/>
                <w:bCs/>
              </w:rPr>
              <w:t>Rescuable waste in NIS</w:t>
            </w:r>
          </w:p>
        </w:tc>
      </w:tr>
      <w:tr w:rsidR="004F3A44" w:rsidRPr="008F3D9C" w14:paraId="63AD9790" w14:textId="77777777" w:rsidTr="00B12A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2375DB92" w14:textId="77777777" w:rsidR="004F3A44" w:rsidRPr="00AF2C48" w:rsidRDefault="004F3A44" w:rsidP="00AF2C48">
            <w:pPr>
              <w:rPr>
                <w:b w:val="0"/>
                <w:bCs w:val="0"/>
                <w:rtl/>
              </w:rPr>
            </w:pPr>
          </w:p>
        </w:tc>
        <w:tc>
          <w:tcPr>
            <w:tcW w:w="1693" w:type="dxa"/>
          </w:tcPr>
          <w:p w14:paraId="7B753E56" w14:textId="77777777" w:rsidR="004F3A44" w:rsidRPr="00AF2C48" w:rsidRDefault="004F3A44" w:rsidP="00AF2C48">
            <w:pPr>
              <w:pStyle w:val="tabletext"/>
              <w:jc w:val="center"/>
              <w:cnfStyle w:val="000000100000" w:firstRow="0" w:lastRow="0" w:firstColumn="0" w:lastColumn="0" w:oddVBand="0" w:evenVBand="0" w:oddHBand="1" w:evenHBand="0" w:firstRowFirstColumn="0" w:firstRowLastColumn="0" w:lastRowFirstColumn="0" w:lastRowLastColumn="0"/>
              <w:rPr>
                <w:rtl/>
              </w:rPr>
            </w:pPr>
            <w:r w:rsidRPr="00AF2C48">
              <w:t>Million meals</w:t>
            </w:r>
          </w:p>
        </w:tc>
        <w:tc>
          <w:tcPr>
            <w:tcW w:w="1270" w:type="dxa"/>
          </w:tcPr>
          <w:p w14:paraId="5BE56253" w14:textId="77777777" w:rsidR="004F3A44" w:rsidRPr="00AF2C48" w:rsidRDefault="004F3A44" w:rsidP="00AF2C48">
            <w:pPr>
              <w:pStyle w:val="tabletext"/>
              <w:jc w:val="center"/>
              <w:cnfStyle w:val="000000100000" w:firstRow="0" w:lastRow="0" w:firstColumn="0" w:lastColumn="0" w:oddVBand="0" w:evenVBand="0" w:oddHBand="1" w:evenHBand="0" w:firstRowFirstColumn="0" w:firstRowLastColumn="0" w:lastRowFirstColumn="0" w:lastRowLastColumn="0"/>
              <w:rPr>
                <w:rtl/>
              </w:rPr>
            </w:pPr>
            <w:r w:rsidRPr="00AF2C48">
              <w:t>NIS million</w:t>
            </w:r>
          </w:p>
        </w:tc>
        <w:tc>
          <w:tcPr>
            <w:tcW w:w="1270" w:type="dxa"/>
          </w:tcPr>
          <w:p w14:paraId="09F9F860" w14:textId="77777777" w:rsidR="004F3A44" w:rsidRPr="00AF2C48" w:rsidRDefault="004F3A44" w:rsidP="00AF2C48">
            <w:pPr>
              <w:pStyle w:val="tabletext"/>
              <w:jc w:val="center"/>
              <w:cnfStyle w:val="000000100000" w:firstRow="0" w:lastRow="0" w:firstColumn="0" w:lastColumn="0" w:oddVBand="0" w:evenVBand="0" w:oddHBand="1" w:evenHBand="0" w:firstRowFirstColumn="0" w:firstRowLastColumn="0" w:lastRowFirstColumn="0" w:lastRowLastColumn="0"/>
            </w:pPr>
            <w:r w:rsidRPr="00AF2C48">
              <w:t>NIS million</w:t>
            </w:r>
          </w:p>
        </w:tc>
        <w:tc>
          <w:tcPr>
            <w:tcW w:w="1508" w:type="dxa"/>
          </w:tcPr>
          <w:p w14:paraId="55BA35C5" w14:textId="77777777" w:rsidR="004F3A44" w:rsidRPr="00AF2C48" w:rsidRDefault="004F3A44" w:rsidP="00AF2C48">
            <w:pPr>
              <w:pStyle w:val="tabletext"/>
              <w:jc w:val="center"/>
              <w:cnfStyle w:val="000000100000" w:firstRow="0" w:lastRow="0" w:firstColumn="0" w:lastColumn="0" w:oddVBand="0" w:evenVBand="0" w:oddHBand="1" w:evenHBand="0" w:firstRowFirstColumn="0" w:firstRowLastColumn="0" w:lastRowFirstColumn="0" w:lastRowLastColumn="0"/>
            </w:pPr>
            <w:r w:rsidRPr="00AF2C48">
              <w:t>NIS million</w:t>
            </w:r>
          </w:p>
        </w:tc>
      </w:tr>
      <w:tr w:rsidR="004F3A44" w:rsidRPr="008F3D9C" w14:paraId="7496800B" w14:textId="77777777" w:rsidTr="00B12A9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159C56B7" w14:textId="77777777" w:rsidR="004F3A44" w:rsidRPr="00AF2C48" w:rsidRDefault="004F3A44" w:rsidP="00AF2C48">
            <w:pPr>
              <w:pStyle w:val="tabletext"/>
              <w:rPr>
                <w:b/>
                <w:bCs/>
                <w:rtl/>
              </w:rPr>
            </w:pPr>
            <w:r w:rsidRPr="00AF2C48">
              <w:rPr>
                <w:b/>
                <w:bCs/>
              </w:rPr>
              <w:t xml:space="preserve">Restaurants </w:t>
            </w:r>
          </w:p>
        </w:tc>
        <w:tc>
          <w:tcPr>
            <w:tcW w:w="1693" w:type="dxa"/>
            <w:vAlign w:val="center"/>
          </w:tcPr>
          <w:p w14:paraId="29B7776F"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156 </w:t>
            </w:r>
          </w:p>
        </w:tc>
        <w:tc>
          <w:tcPr>
            <w:tcW w:w="1270" w:type="dxa"/>
            <w:vAlign w:val="center"/>
          </w:tcPr>
          <w:p w14:paraId="7E6DA5B4"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4,228 </w:t>
            </w:r>
          </w:p>
        </w:tc>
        <w:tc>
          <w:tcPr>
            <w:tcW w:w="1270" w:type="dxa"/>
            <w:vAlign w:val="center"/>
          </w:tcPr>
          <w:p w14:paraId="4F7AD610"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601 </w:t>
            </w:r>
          </w:p>
        </w:tc>
        <w:tc>
          <w:tcPr>
            <w:tcW w:w="1508" w:type="dxa"/>
            <w:vAlign w:val="center"/>
          </w:tcPr>
          <w:p w14:paraId="3672FE67"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115 </w:t>
            </w:r>
          </w:p>
        </w:tc>
      </w:tr>
      <w:tr w:rsidR="004F3A44" w:rsidRPr="008F3D9C" w14:paraId="55631DB4" w14:textId="77777777" w:rsidTr="00B12A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4CBB22E7" w14:textId="77777777" w:rsidR="004F3A44" w:rsidRPr="00AF2C48" w:rsidRDefault="004F3A44" w:rsidP="00AF2C48">
            <w:pPr>
              <w:pStyle w:val="tabletext"/>
              <w:rPr>
                <w:b/>
                <w:bCs/>
                <w:rtl/>
              </w:rPr>
            </w:pPr>
            <w:r w:rsidRPr="00AF2C48">
              <w:rPr>
                <w:b/>
                <w:bCs/>
              </w:rPr>
              <w:t xml:space="preserve">Events </w:t>
            </w:r>
          </w:p>
        </w:tc>
        <w:tc>
          <w:tcPr>
            <w:tcW w:w="1693" w:type="dxa"/>
            <w:vAlign w:val="center"/>
          </w:tcPr>
          <w:p w14:paraId="4236C9F7"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54 </w:t>
            </w:r>
          </w:p>
        </w:tc>
        <w:tc>
          <w:tcPr>
            <w:tcW w:w="1270" w:type="dxa"/>
            <w:vAlign w:val="center"/>
          </w:tcPr>
          <w:p w14:paraId="4AEEDE99"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2,868 </w:t>
            </w:r>
          </w:p>
        </w:tc>
        <w:tc>
          <w:tcPr>
            <w:tcW w:w="1270" w:type="dxa"/>
            <w:vAlign w:val="center"/>
          </w:tcPr>
          <w:p w14:paraId="48DE7391"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1,226 </w:t>
            </w:r>
          </w:p>
        </w:tc>
        <w:tc>
          <w:tcPr>
            <w:tcW w:w="1508" w:type="dxa"/>
            <w:vAlign w:val="center"/>
          </w:tcPr>
          <w:p w14:paraId="19044F4E"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518 </w:t>
            </w:r>
          </w:p>
        </w:tc>
      </w:tr>
      <w:tr w:rsidR="004F3A44" w:rsidRPr="008F3D9C" w14:paraId="5A8E50C4" w14:textId="77777777" w:rsidTr="00B12A9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56776F56" w14:textId="77777777" w:rsidR="004F3A44" w:rsidRPr="00AF2C48" w:rsidRDefault="004F3A44" w:rsidP="00AF2C48">
            <w:pPr>
              <w:pStyle w:val="tabletext"/>
              <w:rPr>
                <w:b/>
                <w:bCs/>
                <w:rtl/>
              </w:rPr>
            </w:pPr>
            <w:r w:rsidRPr="00AF2C48">
              <w:rPr>
                <w:b/>
                <w:bCs/>
              </w:rPr>
              <w:t xml:space="preserve">Workplaces </w:t>
            </w:r>
          </w:p>
        </w:tc>
        <w:tc>
          <w:tcPr>
            <w:tcW w:w="1693" w:type="dxa"/>
            <w:vAlign w:val="center"/>
          </w:tcPr>
          <w:p w14:paraId="3EF71421"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99 </w:t>
            </w:r>
          </w:p>
        </w:tc>
        <w:tc>
          <w:tcPr>
            <w:tcW w:w="1270" w:type="dxa"/>
            <w:vAlign w:val="center"/>
          </w:tcPr>
          <w:p w14:paraId="27CC0052"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1,824 </w:t>
            </w:r>
          </w:p>
        </w:tc>
        <w:tc>
          <w:tcPr>
            <w:tcW w:w="1270" w:type="dxa"/>
            <w:vAlign w:val="center"/>
          </w:tcPr>
          <w:p w14:paraId="58350475"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528 </w:t>
            </w:r>
          </w:p>
        </w:tc>
        <w:tc>
          <w:tcPr>
            <w:tcW w:w="1508" w:type="dxa"/>
            <w:vAlign w:val="center"/>
          </w:tcPr>
          <w:p w14:paraId="04F8DEF7"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183 </w:t>
            </w:r>
          </w:p>
        </w:tc>
      </w:tr>
      <w:tr w:rsidR="004F3A44" w:rsidRPr="008F3D9C" w14:paraId="088C78A8" w14:textId="77777777" w:rsidTr="00B12A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20BD6165" w14:textId="77777777" w:rsidR="004F3A44" w:rsidRPr="00AF2C48" w:rsidRDefault="004F3A44" w:rsidP="00AF2C48">
            <w:pPr>
              <w:pStyle w:val="tabletext"/>
              <w:rPr>
                <w:b/>
                <w:bCs/>
                <w:rtl/>
              </w:rPr>
            </w:pPr>
            <w:r w:rsidRPr="00AF2C48">
              <w:rPr>
                <w:b/>
                <w:bCs/>
              </w:rPr>
              <w:t>Hotels</w:t>
            </w:r>
          </w:p>
        </w:tc>
        <w:tc>
          <w:tcPr>
            <w:tcW w:w="1693" w:type="dxa"/>
            <w:vAlign w:val="center"/>
          </w:tcPr>
          <w:p w14:paraId="1C4E32A4"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49 </w:t>
            </w:r>
          </w:p>
        </w:tc>
        <w:tc>
          <w:tcPr>
            <w:tcW w:w="1270" w:type="dxa"/>
            <w:vAlign w:val="center"/>
          </w:tcPr>
          <w:p w14:paraId="7EF973F9"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1,792 </w:t>
            </w:r>
          </w:p>
        </w:tc>
        <w:tc>
          <w:tcPr>
            <w:tcW w:w="1270" w:type="dxa"/>
            <w:vAlign w:val="center"/>
          </w:tcPr>
          <w:p w14:paraId="42E312B7"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678 </w:t>
            </w:r>
          </w:p>
        </w:tc>
        <w:tc>
          <w:tcPr>
            <w:tcW w:w="1508" w:type="dxa"/>
            <w:vAlign w:val="center"/>
          </w:tcPr>
          <w:p w14:paraId="1C51C8AE"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150 </w:t>
            </w:r>
          </w:p>
        </w:tc>
      </w:tr>
      <w:tr w:rsidR="004F3A44" w:rsidRPr="008F3D9C" w14:paraId="4EB0ABFA" w14:textId="77777777" w:rsidTr="00B12A9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0FFD766A" w14:textId="77777777" w:rsidR="004F3A44" w:rsidRPr="00AF2C48" w:rsidRDefault="004F3A44" w:rsidP="00AF2C48">
            <w:pPr>
              <w:pStyle w:val="tabletext"/>
              <w:rPr>
                <w:b/>
                <w:bCs/>
                <w:rtl/>
              </w:rPr>
            </w:pPr>
            <w:r w:rsidRPr="00AF2C48">
              <w:rPr>
                <w:b/>
                <w:bCs/>
              </w:rPr>
              <w:t>Security forces</w:t>
            </w:r>
          </w:p>
        </w:tc>
        <w:tc>
          <w:tcPr>
            <w:tcW w:w="1693" w:type="dxa"/>
            <w:vAlign w:val="center"/>
          </w:tcPr>
          <w:p w14:paraId="09B46886"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134 </w:t>
            </w:r>
          </w:p>
        </w:tc>
        <w:tc>
          <w:tcPr>
            <w:tcW w:w="1270" w:type="dxa"/>
            <w:vAlign w:val="center"/>
          </w:tcPr>
          <w:p w14:paraId="691A9001"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1,213 </w:t>
            </w:r>
          </w:p>
        </w:tc>
        <w:tc>
          <w:tcPr>
            <w:tcW w:w="1270" w:type="dxa"/>
            <w:vAlign w:val="center"/>
          </w:tcPr>
          <w:p w14:paraId="3B136076"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366</w:t>
            </w:r>
          </w:p>
        </w:tc>
        <w:tc>
          <w:tcPr>
            <w:tcW w:w="1508" w:type="dxa"/>
            <w:vAlign w:val="center"/>
          </w:tcPr>
          <w:p w14:paraId="7168707F"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136</w:t>
            </w:r>
          </w:p>
        </w:tc>
      </w:tr>
      <w:tr w:rsidR="004F3A44" w:rsidRPr="008F3D9C" w14:paraId="467B6512" w14:textId="77777777" w:rsidTr="00B12A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6AC268C3" w14:textId="77777777" w:rsidR="004F3A44" w:rsidRPr="00AF2C48" w:rsidRDefault="004F3A44" w:rsidP="00AF2C48">
            <w:pPr>
              <w:pStyle w:val="tabletext"/>
              <w:rPr>
                <w:b/>
                <w:bCs/>
                <w:rtl/>
              </w:rPr>
            </w:pPr>
            <w:r w:rsidRPr="00AF2C48">
              <w:rPr>
                <w:b/>
                <w:bCs/>
              </w:rPr>
              <w:t>Hospitals</w:t>
            </w:r>
          </w:p>
        </w:tc>
        <w:tc>
          <w:tcPr>
            <w:tcW w:w="1693" w:type="dxa"/>
            <w:vAlign w:val="center"/>
          </w:tcPr>
          <w:p w14:paraId="3F3A03F7"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94 </w:t>
            </w:r>
          </w:p>
        </w:tc>
        <w:tc>
          <w:tcPr>
            <w:tcW w:w="1270" w:type="dxa"/>
            <w:vAlign w:val="center"/>
          </w:tcPr>
          <w:p w14:paraId="2FB6EFA0"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584 </w:t>
            </w:r>
          </w:p>
        </w:tc>
        <w:tc>
          <w:tcPr>
            <w:tcW w:w="1270" w:type="dxa"/>
            <w:vAlign w:val="center"/>
          </w:tcPr>
          <w:p w14:paraId="18139F40"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187 </w:t>
            </w:r>
          </w:p>
        </w:tc>
        <w:tc>
          <w:tcPr>
            <w:tcW w:w="1508" w:type="dxa"/>
            <w:vAlign w:val="center"/>
          </w:tcPr>
          <w:p w14:paraId="43D110B9"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57 </w:t>
            </w:r>
          </w:p>
        </w:tc>
      </w:tr>
      <w:tr w:rsidR="004F3A44" w:rsidRPr="008F3D9C" w14:paraId="4EC5B896" w14:textId="77777777" w:rsidTr="00B12A9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06E1318B" w14:textId="77777777" w:rsidR="004F3A44" w:rsidRPr="00AF2C48" w:rsidRDefault="004F3A44" w:rsidP="00AF2C48">
            <w:pPr>
              <w:pStyle w:val="tabletext"/>
              <w:rPr>
                <w:b/>
                <w:bCs/>
                <w:rtl/>
              </w:rPr>
            </w:pPr>
            <w:r w:rsidRPr="00AF2C48">
              <w:rPr>
                <w:b/>
                <w:bCs/>
              </w:rPr>
              <w:t xml:space="preserve">Educational institutions </w:t>
            </w:r>
          </w:p>
        </w:tc>
        <w:tc>
          <w:tcPr>
            <w:tcW w:w="1693" w:type="dxa"/>
            <w:vAlign w:val="center"/>
          </w:tcPr>
          <w:p w14:paraId="08365859"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66 </w:t>
            </w:r>
          </w:p>
        </w:tc>
        <w:tc>
          <w:tcPr>
            <w:tcW w:w="1270" w:type="dxa"/>
            <w:vAlign w:val="center"/>
          </w:tcPr>
          <w:p w14:paraId="27E80050"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499 </w:t>
            </w:r>
          </w:p>
        </w:tc>
        <w:tc>
          <w:tcPr>
            <w:tcW w:w="1270" w:type="dxa"/>
            <w:vAlign w:val="center"/>
          </w:tcPr>
          <w:p w14:paraId="0A60B676"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82 </w:t>
            </w:r>
          </w:p>
        </w:tc>
        <w:tc>
          <w:tcPr>
            <w:tcW w:w="1508" w:type="dxa"/>
            <w:vAlign w:val="center"/>
          </w:tcPr>
          <w:p w14:paraId="3B448597" w14:textId="77777777" w:rsidR="004F3A44" w:rsidRPr="00AF2C48" w:rsidRDefault="004F3A44" w:rsidP="00AF2C48">
            <w:pPr>
              <w:pStyle w:val="Tablenumbers"/>
              <w:cnfStyle w:val="000000010000" w:firstRow="0" w:lastRow="0" w:firstColumn="0" w:lastColumn="0" w:oddVBand="0" w:evenVBand="0" w:oddHBand="0" w:evenHBand="1" w:firstRowFirstColumn="0" w:firstRowLastColumn="0" w:lastRowFirstColumn="0" w:lastRowLastColumn="0"/>
              <w:rPr>
                <w:rtl/>
              </w:rPr>
            </w:pPr>
            <w:r w:rsidRPr="00AF2C48">
              <w:t xml:space="preserve">14 </w:t>
            </w:r>
          </w:p>
        </w:tc>
      </w:tr>
      <w:tr w:rsidR="004F3A44" w:rsidRPr="008F3D9C" w14:paraId="2473253E" w14:textId="77777777" w:rsidTr="00B12A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12473E51" w14:textId="77777777" w:rsidR="004F3A44" w:rsidRPr="00AF2C48" w:rsidRDefault="004F3A44" w:rsidP="00AF2C48">
            <w:pPr>
              <w:pStyle w:val="tabletext"/>
              <w:rPr>
                <w:b/>
                <w:bCs/>
                <w:rtl/>
              </w:rPr>
            </w:pPr>
            <w:r w:rsidRPr="00AF2C48">
              <w:rPr>
                <w:b/>
                <w:bCs/>
              </w:rPr>
              <w:t>Total</w:t>
            </w:r>
          </w:p>
        </w:tc>
        <w:tc>
          <w:tcPr>
            <w:tcW w:w="1693" w:type="dxa"/>
            <w:vAlign w:val="center"/>
          </w:tcPr>
          <w:p w14:paraId="522E6B83"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645 </w:t>
            </w:r>
          </w:p>
        </w:tc>
        <w:tc>
          <w:tcPr>
            <w:tcW w:w="1270" w:type="dxa"/>
            <w:vAlign w:val="center"/>
          </w:tcPr>
          <w:p w14:paraId="59DF625F"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12,911 </w:t>
            </w:r>
          </w:p>
        </w:tc>
        <w:tc>
          <w:tcPr>
            <w:tcW w:w="1270" w:type="dxa"/>
            <w:vAlign w:val="center"/>
          </w:tcPr>
          <w:p w14:paraId="69CDB1EC"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3,639 </w:t>
            </w:r>
          </w:p>
        </w:tc>
        <w:tc>
          <w:tcPr>
            <w:tcW w:w="1508" w:type="dxa"/>
            <w:vAlign w:val="center"/>
          </w:tcPr>
          <w:p w14:paraId="132F9BA8" w14:textId="77777777" w:rsidR="004F3A44" w:rsidRPr="00AF2C48" w:rsidRDefault="004F3A44" w:rsidP="00AF2C48">
            <w:pPr>
              <w:pStyle w:val="Tablenumbers"/>
              <w:cnfStyle w:val="000000100000" w:firstRow="0" w:lastRow="0" w:firstColumn="0" w:lastColumn="0" w:oddVBand="0" w:evenVBand="0" w:oddHBand="1" w:evenHBand="0" w:firstRowFirstColumn="0" w:firstRowLastColumn="0" w:lastRowFirstColumn="0" w:lastRowLastColumn="0"/>
              <w:rPr>
                <w:rtl/>
              </w:rPr>
            </w:pPr>
            <w:r w:rsidRPr="00AF2C48">
              <w:t xml:space="preserve">1,163 </w:t>
            </w:r>
          </w:p>
        </w:tc>
      </w:tr>
    </w:tbl>
    <w:p w14:paraId="7068919D" w14:textId="77777777" w:rsidR="00A37F4C" w:rsidRPr="008F3D9C" w:rsidRDefault="00A37F4C" w:rsidP="004E2385">
      <w:pPr>
        <w:pStyle w:val="BodyText"/>
      </w:pPr>
    </w:p>
    <w:p w14:paraId="76A728EC" w14:textId="77777777" w:rsidR="007652D2" w:rsidRPr="004F3A44" w:rsidRDefault="007652D2" w:rsidP="001B5551">
      <w:pPr>
        <w:pStyle w:val="BodyText"/>
        <w:rPr>
          <w:rtl/>
        </w:rPr>
      </w:pPr>
      <w:r w:rsidRPr="004F3A44">
        <w:t xml:space="preserve">The high return on investment for food rescue in the institutional sector is a consequence of the relatively high value of the rescued product, </w:t>
      </w:r>
      <w:r w:rsidR="00487574">
        <w:t xml:space="preserve">combined with </w:t>
      </w:r>
      <w:r w:rsidRPr="004F3A44">
        <w:t xml:space="preserve">the relatively low logistical costs of collecting food from large kitchens with </w:t>
      </w:r>
      <w:r w:rsidR="001B5551">
        <w:t>dense</w:t>
      </w:r>
      <w:r w:rsidRPr="004F3A44">
        <w:t xml:space="preserve"> geographic distribution, concentrated in city centers and industrial areas. </w:t>
      </w:r>
    </w:p>
    <w:p w14:paraId="05D9CD5D" w14:textId="77777777" w:rsidR="00F75A92" w:rsidRPr="00A4038D" w:rsidRDefault="00F75A92" w:rsidP="004E2385">
      <w:pPr>
        <w:pStyle w:val="BodyText"/>
      </w:pPr>
    </w:p>
    <w:p w14:paraId="0FA8245B" w14:textId="77777777" w:rsidR="00A4038D" w:rsidRDefault="00A4038D">
      <w:pPr>
        <w:rPr>
          <w:rFonts w:eastAsia="Calibri" w:cs="Times New Roman"/>
          <w:sz w:val="24"/>
          <w:szCs w:val="24"/>
        </w:rPr>
      </w:pPr>
      <w:r>
        <w:br w:type="page"/>
      </w:r>
    </w:p>
    <w:p w14:paraId="40877A0B" w14:textId="77777777" w:rsidR="00810D67" w:rsidRDefault="00810D67" w:rsidP="006E7B72">
      <w:pPr>
        <w:autoSpaceDE w:val="0"/>
        <w:autoSpaceDN w:val="0"/>
        <w:bidi/>
        <w:adjustRightInd w:val="0"/>
        <w:spacing w:after="0" w:line="240" w:lineRule="auto"/>
        <w:rPr>
          <w:rFonts w:ascii="FbSpoiler-Light" w:cs="FbSpoiler-Light"/>
          <w:color w:val="4D4D4F"/>
          <w:sz w:val="24"/>
          <w:szCs w:val="24"/>
          <w:rtl/>
        </w:rPr>
      </w:pPr>
    </w:p>
    <w:p w14:paraId="2861E0AC" w14:textId="77777777" w:rsidR="00560E79" w:rsidRDefault="00560E79" w:rsidP="0061604E">
      <w:pPr>
        <w:pStyle w:val="Heading1"/>
      </w:pPr>
      <w:bookmarkStart w:id="9" w:name="_Toc505547257"/>
      <w:r w:rsidRPr="008F3D9C">
        <w:t xml:space="preserve">Food </w:t>
      </w:r>
      <w:r w:rsidR="00AD79E9" w:rsidRPr="008F3D9C">
        <w:t>Rescue</w:t>
      </w:r>
      <w:r w:rsidR="0020476D" w:rsidRPr="008F3D9C">
        <w:t>:</w:t>
      </w:r>
      <w:r w:rsidR="001F3E16" w:rsidRPr="008F3D9C">
        <w:t xml:space="preserve"> </w:t>
      </w:r>
      <w:r w:rsidRPr="008F3D9C">
        <w:t xml:space="preserve">Feasibility to </w:t>
      </w:r>
      <w:r w:rsidR="004A792C" w:rsidRPr="008F3D9C">
        <w:t xml:space="preserve">the </w:t>
      </w:r>
      <w:r w:rsidR="00AD79E9" w:rsidRPr="008F3D9C">
        <w:t>National Economy</w:t>
      </w:r>
      <w:bookmarkEnd w:id="9"/>
    </w:p>
    <w:p w14:paraId="4DF4F6CF" w14:textId="77777777" w:rsidR="00C206DA" w:rsidRPr="001B5551" w:rsidRDefault="004F3A44" w:rsidP="00E4342E">
      <w:pPr>
        <w:pStyle w:val="BodyText"/>
        <w:rPr>
          <w:b/>
          <w:bCs/>
        </w:rPr>
      </w:pPr>
      <w:r w:rsidRPr="001B5551">
        <w:rPr>
          <w:u w:val="single"/>
        </w:rPr>
        <w:t xml:space="preserve">Bold </w:t>
      </w:r>
      <w:r w:rsidR="001B5551" w:rsidRPr="001B5551">
        <w:rPr>
          <w:u w:val="single"/>
        </w:rPr>
        <w:t xml:space="preserve">chapter </w:t>
      </w:r>
      <w:r w:rsidRPr="001B5551">
        <w:rPr>
          <w:u w:val="single"/>
        </w:rPr>
        <w:t>head</w:t>
      </w:r>
      <w:r w:rsidRPr="005A159F">
        <w:t xml:space="preserve">: </w:t>
      </w:r>
      <w:r w:rsidR="00C206DA" w:rsidRPr="001B5551">
        <w:rPr>
          <w:b/>
          <w:bCs/>
        </w:rPr>
        <w:t>NIS 4.</w:t>
      </w:r>
      <w:r w:rsidRPr="001B5551">
        <w:rPr>
          <w:b/>
          <w:bCs/>
        </w:rPr>
        <w:t>5</w:t>
      </w:r>
      <w:r w:rsidR="00C206DA" w:rsidRPr="001B5551">
        <w:rPr>
          <w:b/>
          <w:bCs/>
        </w:rPr>
        <w:t xml:space="preserve"> billion potential </w:t>
      </w:r>
      <w:r w:rsidRPr="001B5551">
        <w:rPr>
          <w:b/>
          <w:bCs/>
        </w:rPr>
        <w:t xml:space="preserve">profit for </w:t>
      </w:r>
      <w:r w:rsidR="00C206DA" w:rsidRPr="001B5551">
        <w:rPr>
          <w:b/>
          <w:bCs/>
        </w:rPr>
        <w:t xml:space="preserve">the national economy </w:t>
      </w:r>
      <w:r w:rsidRPr="001B5551">
        <w:rPr>
          <w:b/>
          <w:bCs/>
        </w:rPr>
        <w:t xml:space="preserve">from </w:t>
      </w:r>
      <w:r w:rsidR="00C206DA" w:rsidRPr="001B5551">
        <w:rPr>
          <w:b/>
          <w:bCs/>
        </w:rPr>
        <w:t>food rescue</w:t>
      </w:r>
      <w:r w:rsidRPr="001B5551">
        <w:rPr>
          <w:b/>
          <w:bCs/>
        </w:rPr>
        <w:t xml:space="preserve"> // Rescuing 20% of the food </w:t>
      </w:r>
      <w:r w:rsidR="001B5551">
        <w:rPr>
          <w:b/>
          <w:bCs/>
        </w:rPr>
        <w:t>waste</w:t>
      </w:r>
      <w:r w:rsidRPr="001B5551">
        <w:rPr>
          <w:b/>
          <w:bCs/>
        </w:rPr>
        <w:t xml:space="preserve"> </w:t>
      </w:r>
      <w:r w:rsidR="00E4342E">
        <w:rPr>
          <w:b/>
          <w:bCs/>
        </w:rPr>
        <w:t>c</w:t>
      </w:r>
      <w:r w:rsidRPr="001B5551">
        <w:rPr>
          <w:b/>
          <w:bCs/>
        </w:rPr>
        <w:t xml:space="preserve">ould close the food insecurity gap in </w:t>
      </w:r>
      <w:r w:rsidR="005A159F" w:rsidRPr="001B5551">
        <w:rPr>
          <w:b/>
          <w:bCs/>
        </w:rPr>
        <w:t>Israel</w:t>
      </w:r>
      <w:r w:rsidRPr="001B5551">
        <w:rPr>
          <w:b/>
          <w:bCs/>
        </w:rPr>
        <w:t xml:space="preserve"> </w:t>
      </w:r>
    </w:p>
    <w:p w14:paraId="49AD3240" w14:textId="24E77074" w:rsidR="00655328" w:rsidRPr="008F3D9C" w:rsidRDefault="004D23A8" w:rsidP="00DC790C">
      <w:pPr>
        <w:pStyle w:val="BodyText"/>
      </w:pPr>
      <w:r w:rsidRPr="002E14FC">
        <w:t xml:space="preserve">The rescue of </w:t>
      </w:r>
      <w:r w:rsidR="00F933F2" w:rsidRPr="002E14FC">
        <w:t>4</w:t>
      </w:r>
      <w:r w:rsidR="004F3A44" w:rsidRPr="002E14FC">
        <w:t>7</w:t>
      </w:r>
      <w:r w:rsidR="002A1489" w:rsidRPr="002E14FC">
        <w:t>0</w:t>
      </w:r>
      <w:r w:rsidRPr="002E14FC">
        <w:t xml:space="preserve">,000 tons of </w:t>
      </w:r>
      <w:r w:rsidR="00655328" w:rsidRPr="002E14FC">
        <w:t>food</w:t>
      </w:r>
      <w:r w:rsidRPr="002E14FC">
        <w:t xml:space="preserve"> annually, constituting </w:t>
      </w:r>
      <w:r w:rsidR="002E14FC" w:rsidRPr="002E14FC">
        <w:t>20</w:t>
      </w:r>
      <w:r w:rsidRPr="002E14FC">
        <w:t>% of all food waste</w:t>
      </w:r>
      <w:r w:rsidR="00655328" w:rsidRPr="002E14FC">
        <w:t xml:space="preserve"> in Israel,</w:t>
      </w:r>
      <w:r w:rsidR="00655328" w:rsidRPr="008F3D9C">
        <w:t xml:space="preserve"> would fully bridge the food consumption gap between the normative expenditure of the general population and those suffering from food insecurity.</w:t>
      </w:r>
      <w:r w:rsidR="0057048D" w:rsidRPr="008F3D9C">
        <w:t xml:space="preserve"> </w:t>
      </w:r>
      <w:r w:rsidR="00E43B65" w:rsidRPr="008F3D9C">
        <w:t xml:space="preserve">According </w:t>
      </w:r>
      <w:r w:rsidR="005870FC">
        <w:t xml:space="preserve">to </w:t>
      </w:r>
      <w:r w:rsidR="00037CE9" w:rsidRPr="008F3D9C">
        <w:t>BDO and Leket Israel estimates,</w:t>
      </w:r>
      <w:r w:rsidR="00E43B65" w:rsidRPr="008F3D9C">
        <w:t xml:space="preserve"> the current rescue multiplier is 3.6, meaning</w:t>
      </w:r>
      <w:r w:rsidR="005F7C9A" w:rsidRPr="008F3D9C">
        <w:t xml:space="preserve"> </w:t>
      </w:r>
      <w:r w:rsidR="00E4342E">
        <w:t>that</w:t>
      </w:r>
      <w:r w:rsidR="005F7C9A" w:rsidRPr="008F3D9C">
        <w:t xml:space="preserve"> </w:t>
      </w:r>
      <w:r w:rsidR="00E43B65" w:rsidRPr="008F3D9C">
        <w:t>every shekel</w:t>
      </w:r>
      <w:r w:rsidR="00DC790C">
        <w:t xml:space="preserve"> (NIS 1.0)</w:t>
      </w:r>
      <w:r w:rsidR="00E43B65" w:rsidRPr="008F3D9C">
        <w:t xml:space="preserve"> spent on food rescue saves food </w:t>
      </w:r>
      <w:r w:rsidR="002E14FC">
        <w:t xml:space="preserve">worth </w:t>
      </w:r>
      <w:r w:rsidR="00037CE9" w:rsidRPr="008F3D9C">
        <w:t xml:space="preserve">NIS 3.6. </w:t>
      </w:r>
      <w:r w:rsidR="00E43B65" w:rsidRPr="008F3D9C">
        <w:t>According to the conservative assumption that this ratio w</w:t>
      </w:r>
      <w:r w:rsidR="002E14FC">
        <w:t xml:space="preserve">ould </w:t>
      </w:r>
      <w:r w:rsidR="00E43B65" w:rsidRPr="008F3D9C">
        <w:t xml:space="preserve">be maintained even when the scope of food rescue </w:t>
      </w:r>
      <w:r w:rsidR="00037CE9" w:rsidRPr="008F3D9C">
        <w:t>is expanded,</w:t>
      </w:r>
      <w:r w:rsidR="00E43B65" w:rsidRPr="008F3D9C">
        <w:t xml:space="preserve"> </w:t>
      </w:r>
      <w:r w:rsidR="00037CE9" w:rsidRPr="008F3D9C">
        <w:t xml:space="preserve">the cost of rescuing NIS 3 billion </w:t>
      </w:r>
      <w:r w:rsidR="002E14FC">
        <w:t xml:space="preserve">worth of food </w:t>
      </w:r>
      <w:r w:rsidR="00037CE9" w:rsidRPr="008F3D9C">
        <w:t>w</w:t>
      </w:r>
      <w:r w:rsidR="00E4342E">
        <w:t>ould</w:t>
      </w:r>
      <w:r w:rsidR="00E43B65" w:rsidRPr="008F3D9C">
        <w:t xml:space="preserve"> be </w:t>
      </w:r>
      <w:r w:rsidR="00037CE9" w:rsidRPr="008F3D9C">
        <w:t xml:space="preserve">NIS </w:t>
      </w:r>
      <w:r w:rsidR="00E43B65" w:rsidRPr="008F3D9C">
        <w:t>8</w:t>
      </w:r>
      <w:r w:rsidR="002E14FC">
        <w:t>3</w:t>
      </w:r>
      <w:r w:rsidR="00E43B65" w:rsidRPr="008F3D9C">
        <w:t xml:space="preserve">0 million. </w:t>
      </w:r>
      <w:r w:rsidR="00037CE9" w:rsidRPr="008F3D9C">
        <w:t>This</w:t>
      </w:r>
      <w:r w:rsidR="00E43B65" w:rsidRPr="008F3D9C">
        <w:t xml:space="preserve"> is equivalent to the full value of the gap in spending on food consumption </w:t>
      </w:r>
      <w:r w:rsidR="00037CE9" w:rsidRPr="008F3D9C">
        <w:rPr>
          <w:lang w:bidi="ar-EG"/>
        </w:rPr>
        <w:t>by</w:t>
      </w:r>
      <w:r w:rsidR="00E43B65" w:rsidRPr="008F3D9C">
        <w:t xml:space="preserve"> the population </w:t>
      </w:r>
      <w:r w:rsidR="00037CE9" w:rsidRPr="008F3D9C">
        <w:t>suffering from food</w:t>
      </w:r>
      <w:r w:rsidR="00E43B65" w:rsidRPr="008F3D9C">
        <w:t xml:space="preserve"> insecurity </w:t>
      </w:r>
      <w:r w:rsidR="00037CE9" w:rsidRPr="008F3D9C">
        <w:t>in relation to the</w:t>
      </w:r>
      <w:r w:rsidR="00E43B65" w:rsidRPr="008F3D9C">
        <w:t xml:space="preserve"> normative level of </w:t>
      </w:r>
      <w:r w:rsidR="00E43B65" w:rsidRPr="005A159F">
        <w:t>consumption.</w:t>
      </w:r>
      <w:r w:rsidR="00E43B65" w:rsidRPr="008F3D9C">
        <w:t xml:space="preserve"> </w:t>
      </w:r>
    </w:p>
    <w:p w14:paraId="146D8CEE" w14:textId="77777777" w:rsidR="004D23A8" w:rsidRPr="008B5FC2" w:rsidRDefault="008B5FC2" w:rsidP="00860D90">
      <w:pPr>
        <w:pStyle w:val="BodyText"/>
        <w:rPr>
          <w:b/>
          <w:bCs/>
        </w:rPr>
      </w:pPr>
      <w:r w:rsidRPr="008F3D9C">
        <w:t>Without food rescue, it would require an annual cost of NIS 3 billion to fully finance this gap.</w:t>
      </w:r>
      <w:r>
        <w:t xml:space="preserve"> Therefore, f</w:t>
      </w:r>
      <w:r w:rsidR="00655328" w:rsidRPr="008F3D9C">
        <w:t>ood rescue is clearly preferable to the alternat</w:t>
      </w:r>
      <w:r w:rsidR="004D23A8" w:rsidRPr="008F3D9C">
        <w:t xml:space="preserve">ive of </w:t>
      </w:r>
      <w:r w:rsidR="009E55E8" w:rsidRPr="008F3D9C">
        <w:t>attempting to bridge</w:t>
      </w:r>
      <w:r w:rsidR="004D23A8" w:rsidRPr="008F3D9C">
        <w:t xml:space="preserve"> th</w:t>
      </w:r>
      <w:r>
        <w:t>e</w:t>
      </w:r>
      <w:r w:rsidR="004D23A8" w:rsidRPr="008F3D9C">
        <w:t xml:space="preserve"> food</w:t>
      </w:r>
      <w:r w:rsidR="00655328" w:rsidRPr="008F3D9C">
        <w:t xml:space="preserve"> insecurity gap by means of allocations, donations, subsidies or support for the needy.</w:t>
      </w:r>
      <w:r w:rsidR="0057048D" w:rsidRPr="008F3D9C">
        <w:t xml:space="preserve"> </w:t>
      </w:r>
      <w:r w:rsidR="00655328" w:rsidRPr="008F3D9C">
        <w:t xml:space="preserve">Food rescue allows for reaching </w:t>
      </w:r>
      <w:r>
        <w:t xml:space="preserve">the same </w:t>
      </w:r>
      <w:r w:rsidR="00655328" w:rsidRPr="008F3D9C">
        <w:t>social goal at a significantly lower cost</w:t>
      </w:r>
      <w:r>
        <w:t xml:space="preserve">, approximately </w:t>
      </w:r>
      <w:r w:rsidR="00655328" w:rsidRPr="008F3D9C">
        <w:t xml:space="preserve">NIS </w:t>
      </w:r>
      <w:r w:rsidR="00D73DD0" w:rsidRPr="008F3D9C">
        <w:t>8</w:t>
      </w:r>
      <w:r>
        <w:t>3</w:t>
      </w:r>
      <w:r w:rsidR="00D73DD0" w:rsidRPr="008F3D9C">
        <w:t xml:space="preserve">0 </w:t>
      </w:r>
      <w:r w:rsidR="00655328" w:rsidRPr="008F3D9C">
        <w:t>million annually.</w:t>
      </w:r>
      <w:r w:rsidR="0057048D" w:rsidRPr="008F3D9C">
        <w:t xml:space="preserve"> </w:t>
      </w:r>
      <w:r w:rsidR="00655328" w:rsidRPr="008F3D9C">
        <w:t xml:space="preserve">Specifically, </w:t>
      </w:r>
      <w:r w:rsidR="00655328" w:rsidRPr="008B5FC2">
        <w:rPr>
          <w:b/>
          <w:bCs/>
        </w:rPr>
        <w:t xml:space="preserve">food </w:t>
      </w:r>
      <w:r w:rsidR="00655328" w:rsidRPr="008B5FC2">
        <w:rPr>
          <w:b/>
          <w:bCs/>
        </w:rPr>
        <w:lastRenderedPageBreak/>
        <w:t xml:space="preserve">rescue </w:t>
      </w:r>
      <w:r w:rsidR="004D23A8" w:rsidRPr="008B5FC2">
        <w:rPr>
          <w:b/>
          <w:bCs/>
        </w:rPr>
        <w:t>alleviates food</w:t>
      </w:r>
      <w:r w:rsidR="00655328" w:rsidRPr="008B5FC2">
        <w:rPr>
          <w:b/>
          <w:bCs/>
        </w:rPr>
        <w:t xml:space="preserve"> insecurity </w:t>
      </w:r>
      <w:r>
        <w:rPr>
          <w:b/>
          <w:bCs/>
        </w:rPr>
        <w:t xml:space="preserve">at </w:t>
      </w:r>
      <w:r w:rsidR="00655328" w:rsidRPr="008B5FC2">
        <w:rPr>
          <w:b/>
          <w:bCs/>
        </w:rPr>
        <w:t xml:space="preserve">a </w:t>
      </w:r>
      <w:r w:rsidR="00D73DD0" w:rsidRPr="008B5FC2">
        <w:rPr>
          <w:b/>
          <w:bCs/>
        </w:rPr>
        <w:t>7</w:t>
      </w:r>
      <w:r>
        <w:rPr>
          <w:b/>
          <w:bCs/>
        </w:rPr>
        <w:t>2</w:t>
      </w:r>
      <w:r w:rsidR="00D253CF" w:rsidRPr="008B5FC2">
        <w:rPr>
          <w:b/>
          <w:bCs/>
        </w:rPr>
        <w:t xml:space="preserve">% </w:t>
      </w:r>
      <w:r w:rsidR="004D23A8" w:rsidRPr="008B5FC2">
        <w:rPr>
          <w:b/>
          <w:bCs/>
        </w:rPr>
        <w:t>cost</w:t>
      </w:r>
      <w:r w:rsidR="00D253CF" w:rsidRPr="008B5FC2">
        <w:rPr>
          <w:b/>
          <w:bCs/>
        </w:rPr>
        <w:t xml:space="preserve"> </w:t>
      </w:r>
      <w:r w:rsidR="004D23A8" w:rsidRPr="008B5FC2">
        <w:rPr>
          <w:b/>
          <w:bCs/>
        </w:rPr>
        <w:t>s</w:t>
      </w:r>
      <w:r w:rsidR="00D253CF" w:rsidRPr="008B5FC2">
        <w:rPr>
          <w:b/>
          <w:bCs/>
        </w:rPr>
        <w:t>avings</w:t>
      </w:r>
      <w:r w:rsidR="004A792C" w:rsidRPr="008B5FC2">
        <w:rPr>
          <w:b/>
          <w:bCs/>
        </w:rPr>
        <w:t>, and</w:t>
      </w:r>
      <w:r w:rsidR="004D23A8" w:rsidRPr="008B5FC2">
        <w:rPr>
          <w:b/>
          <w:bCs/>
        </w:rPr>
        <w:t xml:space="preserve"> also</w:t>
      </w:r>
      <w:r w:rsidR="00655328" w:rsidRPr="008B5FC2">
        <w:rPr>
          <w:b/>
          <w:bCs/>
        </w:rPr>
        <w:t xml:space="preserve"> </w:t>
      </w:r>
      <w:r w:rsidR="004D23A8" w:rsidRPr="008B5FC2">
        <w:rPr>
          <w:b/>
          <w:bCs/>
        </w:rPr>
        <w:t>prov</w:t>
      </w:r>
      <w:r w:rsidR="009E55E8" w:rsidRPr="008B5FC2">
        <w:rPr>
          <w:b/>
          <w:bCs/>
        </w:rPr>
        <w:t>ides</w:t>
      </w:r>
      <w:r w:rsidR="00AC2E1E" w:rsidRPr="008B5FC2">
        <w:rPr>
          <w:b/>
          <w:bCs/>
        </w:rPr>
        <w:t xml:space="preserve"> significant </w:t>
      </w:r>
      <w:r w:rsidR="00655328" w:rsidRPr="008B5FC2">
        <w:rPr>
          <w:b/>
          <w:bCs/>
        </w:rPr>
        <w:t>soc</w:t>
      </w:r>
      <w:r w:rsidR="004D23A8" w:rsidRPr="008B5FC2">
        <w:rPr>
          <w:b/>
          <w:bCs/>
        </w:rPr>
        <w:t>ial and environmental benefits</w:t>
      </w:r>
      <w:r w:rsidR="00655328" w:rsidRPr="008B5FC2">
        <w:rPr>
          <w:b/>
          <w:bCs/>
        </w:rPr>
        <w:t>.</w:t>
      </w:r>
      <w:r w:rsidR="0057048D" w:rsidRPr="008B5FC2">
        <w:rPr>
          <w:b/>
          <w:bCs/>
        </w:rPr>
        <w:t xml:space="preserve"> </w:t>
      </w:r>
    </w:p>
    <w:p w14:paraId="49C44B78" w14:textId="77777777" w:rsidR="00D73DD0" w:rsidRPr="00E4342E" w:rsidRDefault="00D73DD0" w:rsidP="00E4342E">
      <w:pPr>
        <w:pStyle w:val="Graphtitle"/>
        <w:spacing w:line="240" w:lineRule="auto"/>
        <w:rPr>
          <w:b w:val="0"/>
          <w:bCs w:val="0"/>
        </w:rPr>
      </w:pPr>
      <w:r w:rsidRPr="008B5FC2">
        <w:t xml:space="preserve">Food Rescue: Summary of Estimated Feasibility to National Economy </w:t>
      </w:r>
      <w:r w:rsidR="008B5FC2">
        <w:br/>
      </w:r>
      <w:r w:rsidRPr="00E4342E">
        <w:rPr>
          <w:b w:val="0"/>
          <w:bCs w:val="0"/>
        </w:rPr>
        <w:t xml:space="preserve">(NIS </w:t>
      </w:r>
      <w:r w:rsidR="00E4342E" w:rsidRPr="00E4342E">
        <w:rPr>
          <w:b w:val="0"/>
          <w:bCs w:val="0"/>
        </w:rPr>
        <w:t>millions</w:t>
      </w:r>
      <w:r w:rsidR="00E4342E">
        <w:rPr>
          <w:b w:val="0"/>
          <w:bCs w:val="0"/>
        </w:rPr>
        <w:t>/year</w:t>
      </w:r>
      <w:r w:rsidRPr="00E4342E">
        <w:rPr>
          <w:b w:val="0"/>
          <w:bCs w:val="0"/>
        </w:rPr>
        <w:t>)</w:t>
      </w:r>
    </w:p>
    <w:tbl>
      <w:tblPr>
        <w:tblStyle w:val="MediumShading1-Accent1"/>
        <w:tblW w:w="9242" w:type="dxa"/>
        <w:tblBorders>
          <w:insideH w:val="single" w:sz="6" w:space="0" w:color="7BA0CD" w:themeColor="accent1" w:themeTint="BF"/>
          <w:insideV w:val="single" w:sz="6" w:space="0" w:color="7BA0CD" w:themeColor="accent1" w:themeTint="BF"/>
        </w:tblBorders>
        <w:tblLook w:val="04A0" w:firstRow="1" w:lastRow="0" w:firstColumn="1" w:lastColumn="0" w:noHBand="0" w:noVBand="1"/>
      </w:tblPr>
      <w:tblGrid>
        <w:gridCol w:w="3369"/>
        <w:gridCol w:w="1317"/>
        <w:gridCol w:w="1519"/>
        <w:gridCol w:w="1518"/>
        <w:gridCol w:w="1519"/>
      </w:tblGrid>
      <w:tr w:rsidR="00D73DD0" w:rsidRPr="00E4342E" w14:paraId="29B754D4" w14:textId="77777777" w:rsidTr="00E434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14:paraId="0A901F9A" w14:textId="77777777" w:rsidR="00D73DD0" w:rsidRPr="00E4342E" w:rsidRDefault="00D73DD0" w:rsidP="00E4342E">
            <w:pPr>
              <w:pStyle w:val="Tableheader"/>
              <w:rPr>
                <w:b/>
                <w:bCs/>
                <w:rtl/>
              </w:rPr>
            </w:pPr>
            <w:r w:rsidRPr="00E4342E">
              <w:rPr>
                <w:b/>
                <w:bCs/>
              </w:rPr>
              <w:t>Percentage of Rescued Food from Food Waste</w:t>
            </w:r>
          </w:p>
        </w:tc>
        <w:tc>
          <w:tcPr>
            <w:tcW w:w="1317" w:type="dxa"/>
            <w:vAlign w:val="center"/>
          </w:tcPr>
          <w:p w14:paraId="561904BA" w14:textId="77777777" w:rsidR="00D73DD0" w:rsidRPr="00E4342E" w:rsidRDefault="00D73DD0" w:rsidP="00E4342E">
            <w:pPr>
              <w:pStyle w:val="Tableheader"/>
              <w:cnfStyle w:val="100000000000" w:firstRow="1" w:lastRow="0" w:firstColumn="0" w:lastColumn="0" w:oddVBand="0" w:evenVBand="0" w:oddHBand="0" w:evenHBand="0" w:firstRowFirstColumn="0" w:firstRowLastColumn="0" w:lastRowFirstColumn="0" w:lastRowLastColumn="0"/>
              <w:rPr>
                <w:b/>
                <w:bCs/>
              </w:rPr>
            </w:pPr>
            <w:r w:rsidRPr="00E4342E">
              <w:rPr>
                <w:b/>
                <w:bCs/>
              </w:rPr>
              <w:t>1</w:t>
            </w:r>
            <w:r w:rsidRPr="00E4342E">
              <w:rPr>
                <w:b/>
                <w:bCs/>
                <w:rtl/>
              </w:rPr>
              <w:t>%</w:t>
            </w:r>
            <w:r w:rsidRPr="00E4342E">
              <w:rPr>
                <w:b/>
                <w:bCs/>
              </w:rPr>
              <w:t xml:space="preserve"> </w:t>
            </w:r>
            <w:r w:rsidRPr="00E4342E">
              <w:t>(currently)</w:t>
            </w:r>
          </w:p>
        </w:tc>
        <w:tc>
          <w:tcPr>
            <w:tcW w:w="1519" w:type="dxa"/>
            <w:vAlign w:val="center"/>
          </w:tcPr>
          <w:p w14:paraId="18D72CBD" w14:textId="77777777" w:rsidR="00D73DD0" w:rsidRPr="00E4342E" w:rsidRDefault="00D73DD0" w:rsidP="00E4342E">
            <w:pPr>
              <w:pStyle w:val="Tableheader"/>
              <w:cnfStyle w:val="100000000000" w:firstRow="1" w:lastRow="0" w:firstColumn="0" w:lastColumn="0" w:oddVBand="0" w:evenVBand="0" w:oddHBand="0" w:evenHBand="0" w:firstRowFirstColumn="0" w:firstRowLastColumn="0" w:lastRowFirstColumn="0" w:lastRowLastColumn="0"/>
              <w:rPr>
                <w:b/>
                <w:bCs/>
              </w:rPr>
            </w:pPr>
            <w:r w:rsidRPr="00E4342E">
              <w:rPr>
                <w:b/>
                <w:bCs/>
              </w:rPr>
              <w:t>5</w:t>
            </w:r>
            <w:r w:rsidRPr="00E4342E">
              <w:rPr>
                <w:b/>
                <w:bCs/>
                <w:rtl/>
              </w:rPr>
              <w:t>%</w:t>
            </w:r>
          </w:p>
        </w:tc>
        <w:tc>
          <w:tcPr>
            <w:tcW w:w="1518" w:type="dxa"/>
            <w:vAlign w:val="center"/>
          </w:tcPr>
          <w:p w14:paraId="11DC07FC" w14:textId="77777777" w:rsidR="00D73DD0" w:rsidRPr="00E4342E" w:rsidRDefault="00D73DD0" w:rsidP="00E4342E">
            <w:pPr>
              <w:pStyle w:val="Tableheader"/>
              <w:cnfStyle w:val="100000000000" w:firstRow="1" w:lastRow="0" w:firstColumn="0" w:lastColumn="0" w:oddVBand="0" w:evenVBand="0" w:oddHBand="0" w:evenHBand="0" w:firstRowFirstColumn="0" w:firstRowLastColumn="0" w:lastRowFirstColumn="0" w:lastRowLastColumn="0"/>
              <w:rPr>
                <w:b/>
                <w:bCs/>
              </w:rPr>
            </w:pPr>
            <w:r w:rsidRPr="00E4342E">
              <w:rPr>
                <w:b/>
                <w:bCs/>
              </w:rPr>
              <w:t>10</w:t>
            </w:r>
            <w:r w:rsidRPr="00E4342E">
              <w:rPr>
                <w:b/>
                <w:bCs/>
                <w:rtl/>
              </w:rPr>
              <w:t>%</w:t>
            </w:r>
          </w:p>
        </w:tc>
        <w:tc>
          <w:tcPr>
            <w:tcW w:w="1519" w:type="dxa"/>
            <w:vAlign w:val="center"/>
          </w:tcPr>
          <w:p w14:paraId="412B004D" w14:textId="77777777" w:rsidR="00D73DD0" w:rsidRPr="00E4342E" w:rsidRDefault="002E14FC" w:rsidP="00E4342E">
            <w:pPr>
              <w:pStyle w:val="Tableheader"/>
              <w:cnfStyle w:val="100000000000" w:firstRow="1" w:lastRow="0" w:firstColumn="0" w:lastColumn="0" w:oddVBand="0" w:evenVBand="0" w:oddHBand="0" w:evenHBand="0" w:firstRowFirstColumn="0" w:firstRowLastColumn="0" w:lastRowFirstColumn="0" w:lastRowLastColumn="0"/>
              <w:rPr>
                <w:b/>
                <w:bCs/>
              </w:rPr>
            </w:pPr>
            <w:r w:rsidRPr="00E4342E">
              <w:rPr>
                <w:b/>
                <w:bCs/>
              </w:rPr>
              <w:t>20</w:t>
            </w:r>
            <w:r w:rsidR="00D73DD0" w:rsidRPr="00E4342E">
              <w:rPr>
                <w:b/>
                <w:bCs/>
                <w:rtl/>
              </w:rPr>
              <w:t>%</w:t>
            </w:r>
          </w:p>
        </w:tc>
      </w:tr>
      <w:tr w:rsidR="002E14FC" w:rsidRPr="00E4342E" w14:paraId="35FAF8DF" w14:textId="77777777" w:rsidTr="00E43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793E0E19" w14:textId="77777777" w:rsidR="002E14FC" w:rsidRPr="00E4342E" w:rsidRDefault="002E14FC" w:rsidP="00E4342E">
            <w:pPr>
              <w:pStyle w:val="tabletext"/>
              <w:rPr>
                <w:b/>
                <w:bCs/>
              </w:rPr>
            </w:pPr>
            <w:r w:rsidRPr="00E4342E">
              <w:rPr>
                <w:b/>
                <w:bCs/>
              </w:rPr>
              <w:t>Rescued Food (in 1,000 tons)</w:t>
            </w:r>
          </w:p>
        </w:tc>
        <w:tc>
          <w:tcPr>
            <w:tcW w:w="1317" w:type="dxa"/>
            <w:vAlign w:val="center"/>
          </w:tcPr>
          <w:p w14:paraId="5CAFC10D"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28.0</w:t>
            </w:r>
          </w:p>
        </w:tc>
        <w:tc>
          <w:tcPr>
            <w:tcW w:w="1519" w:type="dxa"/>
            <w:vAlign w:val="center"/>
          </w:tcPr>
          <w:p w14:paraId="5D8E062F"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120</w:t>
            </w:r>
          </w:p>
        </w:tc>
        <w:tc>
          <w:tcPr>
            <w:tcW w:w="1518" w:type="dxa"/>
            <w:vAlign w:val="center"/>
          </w:tcPr>
          <w:p w14:paraId="2C901995"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230</w:t>
            </w:r>
          </w:p>
        </w:tc>
        <w:tc>
          <w:tcPr>
            <w:tcW w:w="1519" w:type="dxa"/>
            <w:vAlign w:val="center"/>
          </w:tcPr>
          <w:p w14:paraId="2F32412C"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470</w:t>
            </w:r>
          </w:p>
        </w:tc>
      </w:tr>
      <w:tr w:rsidR="002E14FC" w:rsidRPr="00E4342E" w14:paraId="6641FD98" w14:textId="77777777" w:rsidTr="00E434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782A4C37" w14:textId="77777777" w:rsidR="002E14FC" w:rsidRPr="00E4342E" w:rsidRDefault="002E14FC" w:rsidP="00E4342E">
            <w:pPr>
              <w:pStyle w:val="tabletext"/>
              <w:rPr>
                <w:b/>
                <w:bCs/>
                <w:rtl/>
              </w:rPr>
            </w:pPr>
            <w:r w:rsidRPr="00E4342E">
              <w:rPr>
                <w:b/>
                <w:bCs/>
              </w:rPr>
              <w:t>Part of Food Rescued from Food Insecurity Gap</w:t>
            </w:r>
          </w:p>
        </w:tc>
        <w:tc>
          <w:tcPr>
            <w:tcW w:w="1317" w:type="dxa"/>
            <w:vAlign w:val="center"/>
          </w:tcPr>
          <w:p w14:paraId="09BAC595" w14:textId="77777777" w:rsidR="002E14FC" w:rsidRPr="00E4342E" w:rsidRDefault="002E14FC" w:rsidP="00E4342E">
            <w:pPr>
              <w:pStyle w:val="Tablenumbers"/>
              <w:cnfStyle w:val="000000010000" w:firstRow="0" w:lastRow="0" w:firstColumn="0" w:lastColumn="0" w:oddVBand="0" w:evenVBand="0" w:oddHBand="0" w:evenHBand="1" w:firstRowFirstColumn="0" w:firstRowLastColumn="0" w:lastRowFirstColumn="0" w:lastRowLastColumn="0"/>
            </w:pPr>
            <w:r w:rsidRPr="00E4342E">
              <w:t>6%</w:t>
            </w:r>
          </w:p>
        </w:tc>
        <w:tc>
          <w:tcPr>
            <w:tcW w:w="1519" w:type="dxa"/>
            <w:vAlign w:val="center"/>
          </w:tcPr>
          <w:p w14:paraId="5D3A924F" w14:textId="77777777" w:rsidR="002E14FC" w:rsidRPr="00E4342E" w:rsidRDefault="002E14FC" w:rsidP="00E4342E">
            <w:pPr>
              <w:pStyle w:val="Tablenumbers"/>
              <w:cnfStyle w:val="000000010000" w:firstRow="0" w:lastRow="0" w:firstColumn="0" w:lastColumn="0" w:oddVBand="0" w:evenVBand="0" w:oddHBand="0" w:evenHBand="1" w:firstRowFirstColumn="0" w:firstRowLastColumn="0" w:lastRowFirstColumn="0" w:lastRowLastColumn="0"/>
            </w:pPr>
            <w:r w:rsidRPr="00E4342E">
              <w:t>25%</w:t>
            </w:r>
          </w:p>
        </w:tc>
        <w:tc>
          <w:tcPr>
            <w:tcW w:w="1518" w:type="dxa"/>
            <w:vAlign w:val="center"/>
          </w:tcPr>
          <w:p w14:paraId="2B0BCED8" w14:textId="77777777" w:rsidR="002E14FC" w:rsidRPr="00E4342E" w:rsidRDefault="002E14FC" w:rsidP="00E4342E">
            <w:pPr>
              <w:pStyle w:val="Tablenumbers"/>
              <w:cnfStyle w:val="000000010000" w:firstRow="0" w:lastRow="0" w:firstColumn="0" w:lastColumn="0" w:oddVBand="0" w:evenVBand="0" w:oddHBand="0" w:evenHBand="1" w:firstRowFirstColumn="0" w:firstRowLastColumn="0" w:lastRowFirstColumn="0" w:lastRowLastColumn="0"/>
            </w:pPr>
            <w:r w:rsidRPr="00E4342E">
              <w:t>50%</w:t>
            </w:r>
          </w:p>
        </w:tc>
        <w:tc>
          <w:tcPr>
            <w:tcW w:w="1519" w:type="dxa"/>
            <w:vAlign w:val="center"/>
          </w:tcPr>
          <w:p w14:paraId="7F0B0EC1" w14:textId="77777777" w:rsidR="002E14FC" w:rsidRPr="00E4342E" w:rsidRDefault="002E14FC" w:rsidP="00E4342E">
            <w:pPr>
              <w:pStyle w:val="Tablenumbers"/>
              <w:cnfStyle w:val="000000010000" w:firstRow="0" w:lastRow="0" w:firstColumn="0" w:lastColumn="0" w:oddVBand="0" w:evenVBand="0" w:oddHBand="0" w:evenHBand="1" w:firstRowFirstColumn="0" w:firstRowLastColumn="0" w:lastRowFirstColumn="0" w:lastRowLastColumn="0"/>
            </w:pPr>
            <w:r w:rsidRPr="00E4342E">
              <w:t>100%</w:t>
            </w:r>
          </w:p>
        </w:tc>
      </w:tr>
      <w:tr w:rsidR="002E14FC" w:rsidRPr="00E4342E" w14:paraId="4020C86D" w14:textId="77777777" w:rsidTr="00E43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0CAA9740" w14:textId="77777777" w:rsidR="002E14FC" w:rsidRPr="00E4342E" w:rsidRDefault="002E14FC" w:rsidP="00E4342E">
            <w:pPr>
              <w:pStyle w:val="tabletext"/>
              <w:rPr>
                <w:b/>
                <w:bCs/>
              </w:rPr>
            </w:pPr>
            <w:r w:rsidRPr="00E4342E">
              <w:rPr>
                <w:b/>
                <w:bCs/>
              </w:rPr>
              <w:t>Value of Rescued Food</w:t>
            </w:r>
          </w:p>
        </w:tc>
        <w:tc>
          <w:tcPr>
            <w:tcW w:w="1317" w:type="dxa"/>
            <w:vAlign w:val="center"/>
          </w:tcPr>
          <w:p w14:paraId="07791C5D"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140</w:t>
            </w:r>
          </w:p>
        </w:tc>
        <w:tc>
          <w:tcPr>
            <w:tcW w:w="1519" w:type="dxa"/>
            <w:vAlign w:val="center"/>
          </w:tcPr>
          <w:p w14:paraId="4C41D268"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760</w:t>
            </w:r>
          </w:p>
        </w:tc>
        <w:tc>
          <w:tcPr>
            <w:tcW w:w="1518" w:type="dxa"/>
            <w:vAlign w:val="center"/>
          </w:tcPr>
          <w:p w14:paraId="1431C995"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1,460</w:t>
            </w:r>
          </w:p>
        </w:tc>
        <w:tc>
          <w:tcPr>
            <w:tcW w:w="1519" w:type="dxa"/>
            <w:vAlign w:val="center"/>
          </w:tcPr>
          <w:p w14:paraId="550F1EE3"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3,000</w:t>
            </w:r>
          </w:p>
        </w:tc>
      </w:tr>
      <w:tr w:rsidR="002E14FC" w:rsidRPr="00E4342E" w14:paraId="2480DC5C" w14:textId="77777777" w:rsidTr="00E434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44B5CEE5" w14:textId="77777777" w:rsidR="002E14FC" w:rsidRPr="00E4342E" w:rsidRDefault="002E14FC" w:rsidP="00E4342E">
            <w:pPr>
              <w:pStyle w:val="tabletext"/>
              <w:rPr>
                <w:b/>
                <w:bCs/>
              </w:rPr>
            </w:pPr>
            <w:r w:rsidRPr="00E4342E">
              <w:rPr>
                <w:b/>
                <w:bCs/>
              </w:rPr>
              <w:t>Cost of Food Rescue</w:t>
            </w:r>
          </w:p>
        </w:tc>
        <w:tc>
          <w:tcPr>
            <w:tcW w:w="1317" w:type="dxa"/>
            <w:vAlign w:val="center"/>
          </w:tcPr>
          <w:p w14:paraId="0DCF041B" w14:textId="77777777" w:rsidR="002E14FC" w:rsidRPr="00E4342E" w:rsidRDefault="002E14FC" w:rsidP="00E4342E">
            <w:pPr>
              <w:pStyle w:val="Tablenumbers"/>
              <w:cnfStyle w:val="000000010000" w:firstRow="0" w:lastRow="0" w:firstColumn="0" w:lastColumn="0" w:oddVBand="0" w:evenVBand="0" w:oddHBand="0" w:evenHBand="1" w:firstRowFirstColumn="0" w:firstRowLastColumn="0" w:lastRowFirstColumn="0" w:lastRowLastColumn="0"/>
            </w:pPr>
            <w:r w:rsidRPr="00E4342E">
              <w:t>30</w:t>
            </w:r>
          </w:p>
        </w:tc>
        <w:tc>
          <w:tcPr>
            <w:tcW w:w="1519" w:type="dxa"/>
            <w:vAlign w:val="center"/>
          </w:tcPr>
          <w:p w14:paraId="59DD3C46" w14:textId="77777777" w:rsidR="002E14FC" w:rsidRPr="00E4342E" w:rsidRDefault="002E14FC" w:rsidP="00E4342E">
            <w:pPr>
              <w:pStyle w:val="Tablenumbers"/>
              <w:cnfStyle w:val="000000010000" w:firstRow="0" w:lastRow="0" w:firstColumn="0" w:lastColumn="0" w:oddVBand="0" w:evenVBand="0" w:oddHBand="0" w:evenHBand="1" w:firstRowFirstColumn="0" w:firstRowLastColumn="0" w:lastRowFirstColumn="0" w:lastRowLastColumn="0"/>
            </w:pPr>
            <w:r w:rsidRPr="00E4342E">
              <w:t>210</w:t>
            </w:r>
          </w:p>
        </w:tc>
        <w:tc>
          <w:tcPr>
            <w:tcW w:w="1518" w:type="dxa"/>
            <w:vAlign w:val="center"/>
          </w:tcPr>
          <w:p w14:paraId="175E39AD" w14:textId="77777777" w:rsidR="002E14FC" w:rsidRPr="00E4342E" w:rsidRDefault="002E14FC" w:rsidP="00E4342E">
            <w:pPr>
              <w:pStyle w:val="Tablenumbers"/>
              <w:cnfStyle w:val="000000010000" w:firstRow="0" w:lastRow="0" w:firstColumn="0" w:lastColumn="0" w:oddVBand="0" w:evenVBand="0" w:oddHBand="0" w:evenHBand="1" w:firstRowFirstColumn="0" w:firstRowLastColumn="0" w:lastRowFirstColumn="0" w:lastRowLastColumn="0"/>
            </w:pPr>
            <w:r w:rsidRPr="00E4342E">
              <w:t>400</w:t>
            </w:r>
          </w:p>
        </w:tc>
        <w:tc>
          <w:tcPr>
            <w:tcW w:w="1519" w:type="dxa"/>
            <w:vAlign w:val="center"/>
          </w:tcPr>
          <w:p w14:paraId="14D75913" w14:textId="77777777" w:rsidR="002E14FC" w:rsidRPr="00E4342E" w:rsidRDefault="002E14FC" w:rsidP="00E4342E">
            <w:pPr>
              <w:pStyle w:val="Tablenumbers"/>
              <w:cnfStyle w:val="000000010000" w:firstRow="0" w:lastRow="0" w:firstColumn="0" w:lastColumn="0" w:oddVBand="0" w:evenVBand="0" w:oddHBand="0" w:evenHBand="1" w:firstRowFirstColumn="0" w:firstRowLastColumn="0" w:lastRowFirstColumn="0" w:lastRowLastColumn="0"/>
            </w:pPr>
            <w:r w:rsidRPr="00E4342E">
              <w:t>830</w:t>
            </w:r>
          </w:p>
        </w:tc>
      </w:tr>
      <w:tr w:rsidR="002E14FC" w:rsidRPr="00E4342E" w14:paraId="271730C7" w14:textId="77777777" w:rsidTr="00E43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7E928092" w14:textId="77777777" w:rsidR="002E14FC" w:rsidRPr="00E4342E" w:rsidRDefault="002E14FC" w:rsidP="00E4342E">
            <w:pPr>
              <w:pStyle w:val="tabletext"/>
              <w:rPr>
                <w:b/>
                <w:bCs/>
                <w:rtl/>
              </w:rPr>
            </w:pPr>
            <w:r w:rsidRPr="00E4342E">
              <w:rPr>
                <w:b/>
                <w:bCs/>
              </w:rPr>
              <w:t>Benefit to National Economy (before externalities)</w:t>
            </w:r>
          </w:p>
        </w:tc>
        <w:tc>
          <w:tcPr>
            <w:tcW w:w="1317" w:type="dxa"/>
            <w:vAlign w:val="center"/>
          </w:tcPr>
          <w:p w14:paraId="555B685C"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110</w:t>
            </w:r>
          </w:p>
        </w:tc>
        <w:tc>
          <w:tcPr>
            <w:tcW w:w="1519" w:type="dxa"/>
            <w:vAlign w:val="center"/>
          </w:tcPr>
          <w:p w14:paraId="2EBF6D10"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550</w:t>
            </w:r>
          </w:p>
        </w:tc>
        <w:tc>
          <w:tcPr>
            <w:tcW w:w="1518" w:type="dxa"/>
            <w:vAlign w:val="center"/>
          </w:tcPr>
          <w:p w14:paraId="00C7B7E9"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1,060</w:t>
            </w:r>
          </w:p>
        </w:tc>
        <w:tc>
          <w:tcPr>
            <w:tcW w:w="1519" w:type="dxa"/>
            <w:vAlign w:val="center"/>
          </w:tcPr>
          <w:p w14:paraId="08E728DC"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2,170</w:t>
            </w:r>
          </w:p>
        </w:tc>
      </w:tr>
      <w:tr w:rsidR="002E14FC" w:rsidRPr="00E4342E" w14:paraId="033971A0" w14:textId="77777777" w:rsidTr="00E434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3FB711C1" w14:textId="77777777" w:rsidR="002E14FC" w:rsidRPr="00E4342E" w:rsidRDefault="002E14FC" w:rsidP="00E4342E">
            <w:pPr>
              <w:pStyle w:val="tabletext"/>
              <w:rPr>
                <w:b/>
                <w:bCs/>
                <w:rtl/>
              </w:rPr>
            </w:pPr>
            <w:r w:rsidRPr="00E4342E">
              <w:rPr>
                <w:b/>
                <w:bCs/>
              </w:rPr>
              <w:t>Environmental-Social Contribution (FAO)</w:t>
            </w:r>
          </w:p>
        </w:tc>
        <w:tc>
          <w:tcPr>
            <w:tcW w:w="1317" w:type="dxa"/>
            <w:vAlign w:val="center"/>
          </w:tcPr>
          <w:p w14:paraId="6D30F7EF" w14:textId="77777777" w:rsidR="002E14FC" w:rsidRPr="00E4342E" w:rsidRDefault="002E14FC" w:rsidP="00E4342E">
            <w:pPr>
              <w:pStyle w:val="Tablenumbers"/>
              <w:cnfStyle w:val="000000010000" w:firstRow="0" w:lastRow="0" w:firstColumn="0" w:lastColumn="0" w:oddVBand="0" w:evenVBand="0" w:oddHBand="0" w:evenHBand="1" w:firstRowFirstColumn="0" w:firstRowLastColumn="0" w:lastRowFirstColumn="0" w:lastRowLastColumn="0"/>
            </w:pPr>
            <w:r w:rsidRPr="00E4342E">
              <w:t>140</w:t>
            </w:r>
          </w:p>
        </w:tc>
        <w:tc>
          <w:tcPr>
            <w:tcW w:w="1519" w:type="dxa"/>
            <w:vAlign w:val="center"/>
          </w:tcPr>
          <w:p w14:paraId="0AA473AE" w14:textId="77777777" w:rsidR="002E14FC" w:rsidRPr="00E4342E" w:rsidRDefault="002E14FC" w:rsidP="00E4342E">
            <w:pPr>
              <w:pStyle w:val="Tablenumbers"/>
              <w:cnfStyle w:val="000000010000" w:firstRow="0" w:lastRow="0" w:firstColumn="0" w:lastColumn="0" w:oddVBand="0" w:evenVBand="0" w:oddHBand="0" w:evenHBand="1" w:firstRowFirstColumn="0" w:firstRowLastColumn="0" w:lastRowFirstColumn="0" w:lastRowLastColumn="0"/>
            </w:pPr>
            <w:r w:rsidRPr="00E4342E">
              <w:t>600</w:t>
            </w:r>
          </w:p>
        </w:tc>
        <w:tc>
          <w:tcPr>
            <w:tcW w:w="1518" w:type="dxa"/>
            <w:vAlign w:val="center"/>
          </w:tcPr>
          <w:p w14:paraId="61F68465" w14:textId="77777777" w:rsidR="002E14FC" w:rsidRPr="00E4342E" w:rsidRDefault="002E14FC" w:rsidP="00E4342E">
            <w:pPr>
              <w:pStyle w:val="Tablenumbers"/>
              <w:cnfStyle w:val="000000010000" w:firstRow="0" w:lastRow="0" w:firstColumn="0" w:lastColumn="0" w:oddVBand="0" w:evenVBand="0" w:oddHBand="0" w:evenHBand="1" w:firstRowFirstColumn="0" w:firstRowLastColumn="0" w:lastRowFirstColumn="0" w:lastRowLastColumn="0"/>
            </w:pPr>
            <w:r w:rsidRPr="00E4342E">
              <w:t>1,150</w:t>
            </w:r>
          </w:p>
        </w:tc>
        <w:tc>
          <w:tcPr>
            <w:tcW w:w="1519" w:type="dxa"/>
            <w:vAlign w:val="center"/>
          </w:tcPr>
          <w:p w14:paraId="4941FAA5" w14:textId="77777777" w:rsidR="002E14FC" w:rsidRPr="00E4342E" w:rsidRDefault="002E14FC" w:rsidP="00E4342E">
            <w:pPr>
              <w:pStyle w:val="Tablenumbers"/>
              <w:cnfStyle w:val="000000010000" w:firstRow="0" w:lastRow="0" w:firstColumn="0" w:lastColumn="0" w:oddVBand="0" w:evenVBand="0" w:oddHBand="0" w:evenHBand="1" w:firstRowFirstColumn="0" w:firstRowLastColumn="0" w:lastRowFirstColumn="0" w:lastRowLastColumn="0"/>
            </w:pPr>
            <w:r w:rsidRPr="00E4342E">
              <w:t>2,350</w:t>
            </w:r>
          </w:p>
        </w:tc>
      </w:tr>
      <w:tr w:rsidR="002E14FC" w:rsidRPr="00E4342E" w14:paraId="4B5B3F6E" w14:textId="77777777" w:rsidTr="00E43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4DC8A6E5" w14:textId="77777777" w:rsidR="002E14FC" w:rsidRPr="00E4342E" w:rsidRDefault="002E14FC" w:rsidP="00E4342E">
            <w:pPr>
              <w:rPr>
                <w:b w:val="0"/>
                <w:bCs w:val="0"/>
                <w:rtl/>
              </w:rPr>
            </w:pPr>
            <w:r w:rsidRPr="00E4342E">
              <w:rPr>
                <w:b w:val="0"/>
                <w:bCs w:val="0"/>
              </w:rPr>
              <w:t>Total Value of Food Rescue to National Economy (Million NIS)</w:t>
            </w:r>
          </w:p>
        </w:tc>
        <w:tc>
          <w:tcPr>
            <w:tcW w:w="1317" w:type="dxa"/>
            <w:vAlign w:val="center"/>
          </w:tcPr>
          <w:p w14:paraId="25B779A2"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250</w:t>
            </w:r>
          </w:p>
        </w:tc>
        <w:tc>
          <w:tcPr>
            <w:tcW w:w="1519" w:type="dxa"/>
            <w:vAlign w:val="center"/>
          </w:tcPr>
          <w:p w14:paraId="0AC20F8D"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1,150</w:t>
            </w:r>
          </w:p>
        </w:tc>
        <w:tc>
          <w:tcPr>
            <w:tcW w:w="1518" w:type="dxa"/>
            <w:vAlign w:val="center"/>
          </w:tcPr>
          <w:p w14:paraId="51DB4394"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2,210</w:t>
            </w:r>
          </w:p>
        </w:tc>
        <w:tc>
          <w:tcPr>
            <w:tcW w:w="1519" w:type="dxa"/>
            <w:vAlign w:val="center"/>
          </w:tcPr>
          <w:p w14:paraId="63BC56CF" w14:textId="77777777" w:rsidR="002E14FC" w:rsidRPr="00E4342E" w:rsidRDefault="002E14FC" w:rsidP="00E4342E">
            <w:pPr>
              <w:pStyle w:val="Tablenumbers"/>
              <w:cnfStyle w:val="000000100000" w:firstRow="0" w:lastRow="0" w:firstColumn="0" w:lastColumn="0" w:oddVBand="0" w:evenVBand="0" w:oddHBand="1" w:evenHBand="0" w:firstRowFirstColumn="0" w:firstRowLastColumn="0" w:lastRowFirstColumn="0" w:lastRowLastColumn="0"/>
            </w:pPr>
            <w:r w:rsidRPr="00E4342E">
              <w:t>4,520</w:t>
            </w:r>
          </w:p>
        </w:tc>
      </w:tr>
    </w:tbl>
    <w:p w14:paraId="069D3EF3" w14:textId="77777777" w:rsidR="00D73DD0" w:rsidRPr="008F3D9C" w:rsidRDefault="00D73DD0" w:rsidP="00D73DD0">
      <w:pPr>
        <w:pStyle w:val="Graphnote"/>
        <w:rPr>
          <w:rtl/>
        </w:rPr>
      </w:pPr>
      <w:r w:rsidRPr="008F3D9C">
        <w:t>Source: BDO estimates</w:t>
      </w:r>
    </w:p>
    <w:p w14:paraId="5984978A" w14:textId="0A725ECC" w:rsidR="007D7143" w:rsidRDefault="00E50FD8" w:rsidP="00A45C19">
      <w:pPr>
        <w:pStyle w:val="BodyText"/>
        <w:rPr>
          <w:b/>
          <w:bCs/>
        </w:rPr>
      </w:pPr>
      <w:r w:rsidRPr="00E50FD8">
        <w:t xml:space="preserve">The </w:t>
      </w:r>
      <w:r>
        <w:t xml:space="preserve">problem of food insecurity is not </w:t>
      </w:r>
      <w:r w:rsidR="00A45C19">
        <w:t xml:space="preserve">expressed by </w:t>
      </w:r>
      <w:r w:rsidR="00A17BF0">
        <w:t xml:space="preserve"> the amount of money expended </w:t>
      </w:r>
      <w:r w:rsidR="00B35A68">
        <w:t>on</w:t>
      </w:r>
      <w:r w:rsidR="00A17BF0">
        <w:t xml:space="preserve"> food purchases</w:t>
      </w:r>
      <w:r w:rsidR="00B35A68">
        <w:t>; it also</w:t>
      </w:r>
      <w:r w:rsidR="00A17BF0">
        <w:t xml:space="preserve"> </w:t>
      </w:r>
      <w:r w:rsidR="00A45C19">
        <w:t xml:space="preserve">affects </w:t>
      </w:r>
      <w:r w:rsidR="00B35A68">
        <w:t>the types of</w:t>
      </w:r>
      <w:r w:rsidR="00A17BF0">
        <w:t xml:space="preserve"> food consumed. </w:t>
      </w:r>
      <w:r w:rsidR="00A17BF0" w:rsidRPr="000D0066">
        <w:t>A</w:t>
      </w:r>
      <w:r w:rsidR="000D0066">
        <w:t>n a</w:t>
      </w:r>
      <w:r w:rsidR="00A17BF0" w:rsidRPr="000D0066">
        <w:t xml:space="preserve">nalysis </w:t>
      </w:r>
      <w:r w:rsidR="000D0066" w:rsidRPr="000D0066">
        <w:t xml:space="preserve">of </w:t>
      </w:r>
      <w:r w:rsidR="00A17BF0" w:rsidRPr="000D0066">
        <w:t xml:space="preserve">average consumption basket </w:t>
      </w:r>
      <w:r w:rsidR="000D0066" w:rsidRPr="000D0066">
        <w:t xml:space="preserve">expenditures </w:t>
      </w:r>
      <w:r w:rsidR="00A17BF0" w:rsidRPr="000D0066">
        <w:t xml:space="preserve">by the </w:t>
      </w:r>
      <w:r w:rsidR="000D0066" w:rsidRPr="000D0066">
        <w:t xml:space="preserve">portion of the </w:t>
      </w:r>
      <w:r w:rsidR="00A17BF0" w:rsidRPr="000D0066">
        <w:t xml:space="preserve">population </w:t>
      </w:r>
      <w:r w:rsidR="000D0066" w:rsidRPr="000D0066">
        <w:t xml:space="preserve">experiencing </w:t>
      </w:r>
      <w:r w:rsidR="00A17BF0" w:rsidRPr="000D0066">
        <w:t xml:space="preserve">food insecurity reveals that </w:t>
      </w:r>
      <w:r w:rsidR="00A17BF0" w:rsidRPr="000D0066">
        <w:rPr>
          <w:b/>
          <w:bCs/>
        </w:rPr>
        <w:t xml:space="preserve">food insecurity is accompanied by low expenditures </w:t>
      </w:r>
      <w:r w:rsidR="000D0066">
        <w:rPr>
          <w:b/>
          <w:bCs/>
        </w:rPr>
        <w:t>particularly</w:t>
      </w:r>
      <w:r w:rsidR="000D0066" w:rsidRPr="000D0066">
        <w:rPr>
          <w:b/>
          <w:bCs/>
        </w:rPr>
        <w:t xml:space="preserve"> </w:t>
      </w:r>
      <w:r w:rsidR="00A17BF0" w:rsidRPr="000D0066">
        <w:rPr>
          <w:b/>
          <w:bCs/>
        </w:rPr>
        <w:t>for fruit, vegetables, meat and fish, which have high nutritional values.</w:t>
      </w:r>
      <w:r w:rsidR="00A17BF0">
        <w:rPr>
          <w:b/>
          <w:bCs/>
        </w:rPr>
        <w:t xml:space="preserve"> </w:t>
      </w:r>
    </w:p>
    <w:p w14:paraId="4EB669DD" w14:textId="77777777" w:rsidR="00A17BF0" w:rsidRDefault="00A17BF0" w:rsidP="00A17BF0">
      <w:pPr>
        <w:spacing w:after="0" w:line="300" w:lineRule="auto"/>
        <w:rPr>
          <w:rFonts w:cstheme="majorBidi"/>
          <w:b/>
          <w:bCs/>
          <w:sz w:val="24"/>
          <w:szCs w:val="24"/>
        </w:rPr>
      </w:pPr>
    </w:p>
    <w:p w14:paraId="4708303B" w14:textId="77777777" w:rsidR="00A17BF0" w:rsidRPr="00E4342E" w:rsidRDefault="00A17BF0" w:rsidP="007B64AD">
      <w:pPr>
        <w:spacing w:after="0" w:line="300" w:lineRule="auto"/>
        <w:jc w:val="center"/>
        <w:rPr>
          <w:rStyle w:val="GraphtitleChar"/>
        </w:rPr>
      </w:pPr>
      <w:r>
        <w:rPr>
          <w:rFonts w:cstheme="majorBidi"/>
          <w:b/>
          <w:bCs/>
          <w:sz w:val="24"/>
          <w:szCs w:val="24"/>
        </w:rPr>
        <w:t xml:space="preserve">Impact of Food </w:t>
      </w:r>
      <w:r w:rsidRPr="00E4342E">
        <w:rPr>
          <w:rStyle w:val="GraphtitleChar"/>
        </w:rPr>
        <w:t xml:space="preserve">Insecurity on the </w:t>
      </w:r>
      <w:r w:rsidR="007B64AD" w:rsidRPr="00E4342E">
        <w:rPr>
          <w:rStyle w:val="GraphtitleChar"/>
        </w:rPr>
        <w:t xml:space="preserve">Food Expenditure Pattern of </w:t>
      </w:r>
      <w:r w:rsidR="007B64AD" w:rsidRPr="00E4342E">
        <w:rPr>
          <w:rStyle w:val="GraphtitleChar"/>
        </w:rPr>
        <w:br/>
        <w:t>Households Experiencing Severe Food Insecurity</w:t>
      </w:r>
    </w:p>
    <w:p w14:paraId="202F2552" w14:textId="77777777" w:rsidR="007B64AD" w:rsidRDefault="007B64AD" w:rsidP="007B64AD">
      <w:pPr>
        <w:spacing w:after="0" w:line="300" w:lineRule="auto"/>
        <w:jc w:val="center"/>
        <w:rPr>
          <w:rFonts w:cstheme="majorBidi"/>
          <w:sz w:val="24"/>
          <w:szCs w:val="24"/>
        </w:rPr>
      </w:pPr>
      <w:r w:rsidRPr="007B64AD">
        <w:rPr>
          <w:rFonts w:cstheme="majorBidi"/>
          <w:sz w:val="24"/>
          <w:szCs w:val="24"/>
        </w:rPr>
        <w:t>(100% = Diet of the population with normative food expenditures)</w:t>
      </w:r>
    </w:p>
    <w:p w14:paraId="4BB7851E" w14:textId="77777777" w:rsidR="007B64AD" w:rsidRPr="007B64AD" w:rsidRDefault="007B64AD" w:rsidP="007B64AD">
      <w:pPr>
        <w:spacing w:after="0" w:line="300" w:lineRule="auto"/>
        <w:jc w:val="center"/>
        <w:rPr>
          <w:rFonts w:cstheme="majorBidi"/>
          <w:sz w:val="24"/>
          <w:szCs w:val="24"/>
          <w:rtl/>
        </w:rPr>
      </w:pPr>
      <w:r>
        <w:rPr>
          <w:noProof/>
        </w:rPr>
        <w:lastRenderedPageBreak/>
        <w:drawing>
          <wp:inline distT="0" distB="0" distL="0" distR="0" wp14:anchorId="0BA1C424" wp14:editId="57EE46B5">
            <wp:extent cx="4594412" cy="2768814"/>
            <wp:effectExtent l="0" t="0" r="0" b="0"/>
            <wp:docPr id="2" name="תרשים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A7AB0EE" w14:textId="77777777" w:rsidR="007B64AD" w:rsidRDefault="007B64AD" w:rsidP="007B64AD">
      <w:pPr>
        <w:pStyle w:val="Graphnote"/>
      </w:pPr>
      <w:r w:rsidRPr="008F3D9C">
        <w:t xml:space="preserve">Source: BDO </w:t>
      </w:r>
      <w:r>
        <w:t>analysis and Survey of Household Expenses, CBS</w:t>
      </w:r>
      <w:r w:rsidR="00E4342E">
        <w:t xml:space="preserve"> </w:t>
      </w:r>
    </w:p>
    <w:p w14:paraId="2FE27CEB" w14:textId="77777777" w:rsidR="00E4342E" w:rsidRDefault="00E4342E" w:rsidP="00E4342E">
      <w:pPr>
        <w:pStyle w:val="Graphnote"/>
      </w:pPr>
      <w:r w:rsidRPr="00B06200">
        <w:rPr>
          <w:b/>
          <w:bCs/>
          <w:color w:val="0070C0"/>
        </w:rPr>
        <w:t>Blue:</w:t>
      </w:r>
      <w:r>
        <w:t xml:space="preserve"> Actual expenditure</w:t>
      </w:r>
      <w:commentRangeStart w:id="10"/>
      <w:r>
        <w:t xml:space="preserve"> </w:t>
      </w:r>
      <w:r w:rsidRPr="00B06200">
        <w:rPr>
          <w:b/>
          <w:bCs/>
          <w:color w:val="C00000"/>
        </w:rPr>
        <w:t>Red:</w:t>
      </w:r>
      <w:r w:rsidRPr="00B06200">
        <w:rPr>
          <w:color w:val="C00000"/>
        </w:rPr>
        <w:t xml:space="preserve"> </w:t>
      </w:r>
      <w:r>
        <w:t xml:space="preserve">Gap from normative level </w:t>
      </w:r>
      <w:commentRangeEnd w:id="10"/>
      <w:r w:rsidRPr="003456E8">
        <w:commentReference w:id="10"/>
      </w:r>
    </w:p>
    <w:p w14:paraId="1EDF10C6" w14:textId="77777777" w:rsidR="00E30972" w:rsidRDefault="007B64AD" w:rsidP="00860D90">
      <w:pPr>
        <w:pStyle w:val="Graphnote"/>
      </w:pPr>
      <w:r w:rsidRPr="00E4342E">
        <w:rPr>
          <w:b/>
          <w:bCs/>
        </w:rPr>
        <w:t>Captions for graph</w:t>
      </w:r>
      <w:r w:rsidR="00860D90">
        <w:t>, from left to right</w:t>
      </w:r>
      <w:r>
        <w:t>: Bread and pita, Potatoes and sweet potatoes, Milk and dairy products, Fresh vegetables, Fresh fruit, Meat, poultry and fish</w:t>
      </w:r>
    </w:p>
    <w:p w14:paraId="6E9347C1" w14:textId="4812DFA4" w:rsidR="007B64AD" w:rsidRDefault="000D0066" w:rsidP="004E2385">
      <w:pPr>
        <w:pStyle w:val="BodyText"/>
      </w:pPr>
      <w:r>
        <w:t>T</w:t>
      </w:r>
      <w:r w:rsidR="006A65C7">
        <w:t xml:space="preserve">he gap in expenditure for highly nutritious food such as meat, poultry, fish, and fresh fruit and vegetables ranges from 55% to 70% of the normative expenditure, </w:t>
      </w:r>
      <w:r w:rsidR="00ED54BF">
        <w:t xml:space="preserve">while </w:t>
      </w:r>
      <w:r w:rsidR="006A65C7">
        <w:t>the gap for other products, like potatoes, bread and pita, is lower, from 15% to 25%.</w:t>
      </w:r>
      <w:r w:rsidR="004B64F6">
        <w:t xml:space="preserve"> </w:t>
      </w:r>
    </w:p>
    <w:p w14:paraId="2334B06D" w14:textId="2B5C8162" w:rsidR="00655328" w:rsidRPr="006A65C7" w:rsidRDefault="00BF02D1" w:rsidP="002F4CC7">
      <w:pPr>
        <w:pStyle w:val="BodyText"/>
      </w:pPr>
      <w:r>
        <w:rPr>
          <w:rFonts w:hint="cs"/>
        </w:rPr>
        <w:t>E</w:t>
      </w:r>
      <w:r>
        <w:t>conomic principles</w:t>
      </w:r>
      <w:r w:rsidR="00655328" w:rsidRPr="006A65C7">
        <w:t xml:space="preserve"> dictate that </w:t>
      </w:r>
      <w:r w:rsidR="002F4CC7">
        <w:t xml:space="preserve">income </w:t>
      </w:r>
      <w:r w:rsidR="007D7143" w:rsidRPr="006A65C7">
        <w:t>in goods</w:t>
      </w:r>
      <w:r w:rsidR="00655328" w:rsidRPr="006A65C7">
        <w:t xml:space="preserve"> is an inferior alternative to monetary </w:t>
      </w:r>
      <w:r w:rsidR="002F4CC7">
        <w:t xml:space="preserve">income </w:t>
      </w:r>
      <w:r w:rsidR="00655328" w:rsidRPr="006A65C7">
        <w:t xml:space="preserve">, </w:t>
      </w:r>
      <w:r w:rsidR="00B47DBD">
        <w:t xml:space="preserve">because </w:t>
      </w:r>
      <w:r w:rsidR="00655328" w:rsidRPr="006A65C7">
        <w:t>it deprives those receiving support the freedom to allocate resources according to their full range of needs.</w:t>
      </w:r>
      <w:r w:rsidR="0057048D" w:rsidRPr="006A65C7">
        <w:t xml:space="preserve"> </w:t>
      </w:r>
      <w:r w:rsidR="00655328" w:rsidRPr="006A65C7">
        <w:t xml:space="preserve">Therefore, in principle, the general tendency is to </w:t>
      </w:r>
      <w:r w:rsidR="00DC790C">
        <w:t>provide</w:t>
      </w:r>
      <w:r w:rsidR="00655328" w:rsidRPr="006A65C7">
        <w:t xml:space="preserve"> monetary support over </w:t>
      </w:r>
      <w:r w:rsidR="00DC790C">
        <w:t xml:space="preserve">the </w:t>
      </w:r>
      <w:r w:rsidR="004A792C" w:rsidRPr="006A65C7">
        <w:t xml:space="preserve">direct provision of </w:t>
      </w:r>
      <w:r w:rsidR="007D7143" w:rsidRPr="006A65C7">
        <w:t xml:space="preserve">products. </w:t>
      </w:r>
      <w:r w:rsidR="00B47DBD">
        <w:t xml:space="preserve">This economic principle is also </w:t>
      </w:r>
      <w:r w:rsidR="00F835B9">
        <w:t>summarized as</w:t>
      </w:r>
      <w:r w:rsidR="00B47DBD">
        <w:t xml:space="preserve">, </w:t>
      </w:r>
      <w:r w:rsidR="00F835B9">
        <w:t>“</w:t>
      </w:r>
      <w:r w:rsidR="00F835B9" w:rsidRPr="00F835B9">
        <w:t>Subsidize people, not products</w:t>
      </w:r>
      <w:r w:rsidR="00F835B9">
        <w:t>.”</w:t>
      </w:r>
      <w:r w:rsidR="00B47DBD">
        <w:t xml:space="preserve"> </w:t>
      </w:r>
      <w:r w:rsidR="00655328" w:rsidRPr="006A65C7">
        <w:t xml:space="preserve">However, </w:t>
      </w:r>
      <w:r w:rsidR="00655328" w:rsidRPr="006A65C7">
        <w:rPr>
          <w:b/>
          <w:bCs/>
        </w:rPr>
        <w:t xml:space="preserve">food rescue </w:t>
      </w:r>
      <w:r w:rsidR="000D0066">
        <w:rPr>
          <w:b/>
          <w:bCs/>
        </w:rPr>
        <w:t xml:space="preserve">offers </w:t>
      </w:r>
      <w:r w:rsidR="00ED54BF">
        <w:rPr>
          <w:b/>
          <w:bCs/>
        </w:rPr>
        <w:t>a</w:t>
      </w:r>
      <w:r w:rsidR="00655328" w:rsidRPr="006A65C7">
        <w:rPr>
          <w:b/>
          <w:bCs/>
        </w:rPr>
        <w:t xml:space="preserve"> unique </w:t>
      </w:r>
      <w:r>
        <w:rPr>
          <w:b/>
          <w:bCs/>
        </w:rPr>
        <w:t xml:space="preserve">set of </w:t>
      </w:r>
      <w:r w:rsidR="00655328" w:rsidRPr="006A65C7">
        <w:rPr>
          <w:b/>
          <w:bCs/>
        </w:rPr>
        <w:t>circumstances in which there is a clear economic preference for suppo</w:t>
      </w:r>
      <w:r w:rsidR="00AC2E1E" w:rsidRPr="006A65C7">
        <w:rPr>
          <w:b/>
          <w:bCs/>
        </w:rPr>
        <w:t>rting the needy with products over</w:t>
      </w:r>
      <w:r w:rsidR="00655328" w:rsidRPr="006A65C7">
        <w:rPr>
          <w:b/>
          <w:bCs/>
        </w:rPr>
        <w:t xml:space="preserve"> money.</w:t>
      </w:r>
      <w:r w:rsidR="0057048D" w:rsidRPr="006A65C7">
        <w:rPr>
          <w:b/>
          <w:bCs/>
        </w:rPr>
        <w:t xml:space="preserve"> </w:t>
      </w:r>
      <w:r w:rsidR="00655328" w:rsidRPr="006A65C7">
        <w:rPr>
          <w:b/>
          <w:bCs/>
        </w:rPr>
        <w:t>This advantage stems from the specific characteristics involved in transforming waste into food</w:t>
      </w:r>
      <w:r w:rsidR="000D0066">
        <w:rPr>
          <w:b/>
          <w:bCs/>
        </w:rPr>
        <w:t xml:space="preserve"> (</w:t>
      </w:r>
      <w:r>
        <w:rPr>
          <w:b/>
          <w:bCs/>
        </w:rPr>
        <w:t>i.e.,</w:t>
      </w:r>
      <w:r w:rsidR="00655328" w:rsidRPr="006A65C7">
        <w:rPr>
          <w:b/>
          <w:bCs/>
        </w:rPr>
        <w:t xml:space="preserve"> that every </w:t>
      </w:r>
      <w:r w:rsidR="00655328" w:rsidRPr="006A65C7">
        <w:rPr>
          <w:b/>
          <w:bCs/>
        </w:rPr>
        <w:lastRenderedPageBreak/>
        <w:t>shekel invested in food rescue generates a direct economic value 3.</w:t>
      </w:r>
      <w:r w:rsidR="00C4055C" w:rsidRPr="006A65C7">
        <w:rPr>
          <w:b/>
          <w:bCs/>
        </w:rPr>
        <w:t xml:space="preserve">6 </w:t>
      </w:r>
      <w:r w:rsidR="00655328" w:rsidRPr="006A65C7">
        <w:rPr>
          <w:b/>
          <w:bCs/>
        </w:rPr>
        <w:t>higher than the cost</w:t>
      </w:r>
      <w:r w:rsidR="000D0066">
        <w:rPr>
          <w:b/>
          <w:bCs/>
        </w:rPr>
        <w:t>)</w:t>
      </w:r>
      <w:r w:rsidR="00655328" w:rsidRPr="006A65C7">
        <w:t>.</w:t>
      </w:r>
      <w:r w:rsidR="0057048D" w:rsidRPr="006A65C7">
        <w:t xml:space="preserve"> </w:t>
      </w:r>
      <w:r w:rsidR="00655328" w:rsidRPr="006A65C7">
        <w:t>Moreover, taking into consideration the FAO</w:t>
      </w:r>
      <w:r w:rsidR="00ED54BF">
        <w:t>’s</w:t>
      </w:r>
      <w:r w:rsidR="00655328" w:rsidRPr="006A65C7">
        <w:t xml:space="preserve"> estimates of external environmental and social impact, the benefit to the economy </w:t>
      </w:r>
      <w:r w:rsidR="00ED54BF" w:rsidRPr="006A65C7">
        <w:t>increase</w:t>
      </w:r>
      <w:r w:rsidR="00655328" w:rsidRPr="006A65C7">
        <w:t xml:space="preserve">s </w:t>
      </w:r>
      <w:r w:rsidR="00ED54BF">
        <w:t xml:space="preserve">to </w:t>
      </w:r>
      <w:r w:rsidR="001F5486" w:rsidRPr="006A65C7">
        <w:t>7.</w:t>
      </w:r>
      <w:r w:rsidR="00C4055C" w:rsidRPr="006A65C7">
        <w:t xml:space="preserve">2 </w:t>
      </w:r>
      <w:r w:rsidR="00655328" w:rsidRPr="006A65C7">
        <w:t xml:space="preserve">times that of the cost. </w:t>
      </w:r>
    </w:p>
    <w:p w14:paraId="3760FC12" w14:textId="797FD059" w:rsidR="00655328" w:rsidRPr="006A65C7" w:rsidRDefault="00655328" w:rsidP="00ED54BF">
      <w:pPr>
        <w:pStyle w:val="BodyText"/>
      </w:pPr>
      <w:r w:rsidRPr="006A65C7">
        <w:t xml:space="preserve">In this context, it should be noted that </w:t>
      </w:r>
      <w:r w:rsidR="00BF02D1">
        <w:t>those suffering from</w:t>
      </w:r>
      <w:r w:rsidRPr="006A65C7">
        <w:t xml:space="preserve"> </w:t>
      </w:r>
      <w:r w:rsidR="00AC2E1E" w:rsidRPr="006A65C7">
        <w:t>food</w:t>
      </w:r>
      <w:r w:rsidRPr="006A65C7">
        <w:t xml:space="preserve"> </w:t>
      </w:r>
      <w:r w:rsidR="00BF02D1">
        <w:t>insecurity</w:t>
      </w:r>
      <w:r w:rsidRPr="006A65C7">
        <w:t xml:space="preserve"> </w:t>
      </w:r>
      <w:r w:rsidR="00331373" w:rsidRPr="006A65C7">
        <w:t>also suffer</w:t>
      </w:r>
      <w:r w:rsidRPr="006A65C7">
        <w:t xml:space="preserve"> from financial insecurity, evident in consumption gaps of other basic necessities (housing, health, education, etc.).</w:t>
      </w:r>
      <w:r w:rsidR="0057048D" w:rsidRPr="006A65C7">
        <w:t xml:space="preserve"> </w:t>
      </w:r>
      <w:r w:rsidRPr="006A65C7">
        <w:t>It is reasonable to assume that food rescue</w:t>
      </w:r>
      <w:r w:rsidR="00456601" w:rsidRPr="006A65C7">
        <w:t xml:space="preserve"> would enable </w:t>
      </w:r>
      <w:r w:rsidRPr="006A65C7">
        <w:t xml:space="preserve">households </w:t>
      </w:r>
      <w:r w:rsidR="00456601" w:rsidRPr="006A65C7">
        <w:t xml:space="preserve">to </w:t>
      </w:r>
      <w:r w:rsidRPr="006A65C7">
        <w:t xml:space="preserve">then choose to allocate some of the </w:t>
      </w:r>
      <w:r w:rsidR="00B85768" w:rsidRPr="006A65C7">
        <w:t xml:space="preserve">effective </w:t>
      </w:r>
      <w:r w:rsidRPr="006A65C7">
        <w:t xml:space="preserve">increase </w:t>
      </w:r>
      <w:r w:rsidR="00B85768" w:rsidRPr="006A65C7">
        <w:t xml:space="preserve">in </w:t>
      </w:r>
      <w:r w:rsidR="00ED54BF">
        <w:t xml:space="preserve">their </w:t>
      </w:r>
      <w:r w:rsidR="00B85768" w:rsidRPr="006A65C7">
        <w:t xml:space="preserve">disposable </w:t>
      </w:r>
      <w:r w:rsidRPr="006A65C7">
        <w:t>income to consum</w:t>
      </w:r>
      <w:r w:rsidR="00ED54BF">
        <w:t>ing</w:t>
      </w:r>
      <w:r w:rsidRPr="006A65C7">
        <w:t xml:space="preserve"> other goods.</w:t>
      </w:r>
      <w:r w:rsidR="0057048D" w:rsidRPr="006A65C7">
        <w:t xml:space="preserve"> </w:t>
      </w:r>
      <w:r w:rsidRPr="006A65C7">
        <w:t>Socially speaking, these households view consumption of such products as prerequisites for ens</w:t>
      </w:r>
      <w:r w:rsidR="00331373" w:rsidRPr="006A65C7">
        <w:t>uring their financial security.</w:t>
      </w:r>
      <w:r w:rsidR="0057048D" w:rsidRPr="006A65C7">
        <w:t xml:space="preserve"> </w:t>
      </w:r>
      <w:r w:rsidR="00331373" w:rsidRPr="006A65C7">
        <w:t>Therefore</w:t>
      </w:r>
      <w:r w:rsidRPr="006A65C7">
        <w:t xml:space="preserve">, beyond the direct value of the </w:t>
      </w:r>
      <w:r w:rsidR="007A5FCF" w:rsidRPr="006A65C7">
        <w:t xml:space="preserve">rescued </w:t>
      </w:r>
      <w:r w:rsidRPr="006A65C7">
        <w:t xml:space="preserve">food distributed to them, they also benefit from having </w:t>
      </w:r>
      <w:r w:rsidR="00ED54BF">
        <w:t xml:space="preserve">more </w:t>
      </w:r>
      <w:r w:rsidRPr="006A65C7">
        <w:t xml:space="preserve">resources </w:t>
      </w:r>
      <w:r w:rsidR="00AF6DF0" w:rsidRPr="006A65C7">
        <w:t xml:space="preserve">available </w:t>
      </w:r>
      <w:r w:rsidR="00BF02D1">
        <w:t>to</w:t>
      </w:r>
      <w:r w:rsidR="00ED54BF">
        <w:t xml:space="preserve"> </w:t>
      </w:r>
      <w:r w:rsidR="00BF02D1">
        <w:t>purchase</w:t>
      </w:r>
      <w:r w:rsidR="00ED54BF">
        <w:t xml:space="preserve"> </w:t>
      </w:r>
      <w:r w:rsidRPr="006A65C7">
        <w:t xml:space="preserve">other </w:t>
      </w:r>
      <w:r w:rsidR="000D0066">
        <w:t xml:space="preserve">goods and </w:t>
      </w:r>
      <w:r w:rsidRPr="006A65C7">
        <w:t>services.</w:t>
      </w:r>
    </w:p>
    <w:p w14:paraId="1EB31A67" w14:textId="034298B7" w:rsidR="00655328" w:rsidRPr="006A65C7" w:rsidRDefault="00655328" w:rsidP="000D0066">
      <w:pPr>
        <w:pStyle w:val="BodyText"/>
      </w:pPr>
      <w:r w:rsidRPr="006A65C7">
        <w:t>In September 201</w:t>
      </w:r>
      <w:r w:rsidR="001F5486" w:rsidRPr="006A65C7">
        <w:t>5</w:t>
      </w:r>
      <w:r w:rsidR="00CE526A" w:rsidRPr="006A65C7">
        <w:t>,</w:t>
      </w:r>
      <w:r w:rsidRPr="006A65C7">
        <w:t xml:space="preserve"> </w:t>
      </w:r>
      <w:r w:rsidR="00331373" w:rsidRPr="006A65C7">
        <w:t>the US government established</w:t>
      </w:r>
      <w:r w:rsidR="00D253CF" w:rsidRPr="006A65C7">
        <w:t xml:space="preserve"> a national food waste </w:t>
      </w:r>
      <w:r w:rsidRPr="006A65C7">
        <w:t>reduction goal of 50% within 15 years.</w:t>
      </w:r>
      <w:r w:rsidR="0057048D" w:rsidRPr="006A65C7">
        <w:t xml:space="preserve"> </w:t>
      </w:r>
      <w:r w:rsidR="00AF6DF0" w:rsidRPr="006A65C7">
        <w:t>A</w:t>
      </w:r>
      <w:r w:rsidRPr="006A65C7">
        <w:t>nalys</w:t>
      </w:r>
      <w:r w:rsidR="00D253CF" w:rsidRPr="006A65C7">
        <w:t xml:space="preserve">is </w:t>
      </w:r>
      <w:r w:rsidR="00AF6DF0" w:rsidRPr="006A65C7">
        <w:t xml:space="preserve">of the data </w:t>
      </w:r>
      <w:r w:rsidR="00F835B9">
        <w:t xml:space="preserve">in this report </w:t>
      </w:r>
      <w:r w:rsidR="00D253CF" w:rsidRPr="006A65C7">
        <w:t>shows that rescuing</w:t>
      </w:r>
      <w:r w:rsidR="0020537C" w:rsidRPr="006A65C7">
        <w:t xml:space="preserve"> even less than</w:t>
      </w:r>
      <w:r w:rsidR="00E47865" w:rsidRPr="006A65C7">
        <w:t xml:space="preserve"> half of the American goal</w:t>
      </w:r>
      <w:r w:rsidR="0020537C" w:rsidRPr="006A65C7">
        <w:t xml:space="preserve">, </w:t>
      </w:r>
      <w:r w:rsidR="00E47865" w:rsidRPr="006A65C7">
        <w:t xml:space="preserve">and contributing it to </w:t>
      </w:r>
      <w:r w:rsidR="00F835B9">
        <w:t xml:space="preserve">the approximately </w:t>
      </w:r>
      <w:r w:rsidRPr="006A65C7">
        <w:t>4</w:t>
      </w:r>
      <w:r w:rsidR="00F835B9">
        <w:t>6</w:t>
      </w:r>
      <w:r w:rsidRPr="006A65C7">
        <w:t>0,000 households suffering from food insecurity</w:t>
      </w:r>
      <w:r w:rsidR="00F835B9">
        <w:t xml:space="preserve"> in Israel</w:t>
      </w:r>
      <w:r w:rsidRPr="006A65C7">
        <w:t xml:space="preserve">, would </w:t>
      </w:r>
      <w:r w:rsidR="00177817" w:rsidRPr="006A65C7">
        <w:t xml:space="preserve">provide </w:t>
      </w:r>
      <w:r w:rsidR="008575EF" w:rsidRPr="006A65C7">
        <w:t xml:space="preserve">enough </w:t>
      </w:r>
      <w:r w:rsidR="00177817" w:rsidRPr="006A65C7">
        <w:t xml:space="preserve">food equivalent to </w:t>
      </w:r>
      <w:r w:rsidRPr="006A65C7">
        <w:t>fully cover</w:t>
      </w:r>
      <w:r w:rsidR="000218D1">
        <w:t xml:space="preserve"> the gap in</w:t>
      </w:r>
      <w:r w:rsidRPr="006A65C7">
        <w:t xml:space="preserve"> the</w:t>
      </w:r>
      <w:r w:rsidR="00177817" w:rsidRPr="006A65C7">
        <w:t xml:space="preserve">ir food intake </w:t>
      </w:r>
      <w:r w:rsidR="000218D1">
        <w:t xml:space="preserve">compared </w:t>
      </w:r>
      <w:r w:rsidR="000D0066">
        <w:t xml:space="preserve">to </w:t>
      </w:r>
      <w:r w:rsidR="00177817" w:rsidRPr="006A65C7">
        <w:t>the normative level</w:t>
      </w:r>
      <w:r w:rsidRPr="006A65C7">
        <w:t>.</w:t>
      </w:r>
      <w:r w:rsidR="0057048D" w:rsidRPr="006A65C7">
        <w:t xml:space="preserve"> </w:t>
      </w:r>
      <w:r w:rsidRPr="00F835B9">
        <w:rPr>
          <w:b/>
          <w:bCs/>
        </w:rPr>
        <w:t>For the national economy, such efforts would generate a value of NIS 2</w:t>
      </w:r>
      <w:r w:rsidR="00C17688" w:rsidRPr="00F835B9">
        <w:rPr>
          <w:b/>
          <w:bCs/>
        </w:rPr>
        <w:t xml:space="preserve"> </w:t>
      </w:r>
      <w:r w:rsidRPr="00F835B9">
        <w:rPr>
          <w:b/>
          <w:bCs/>
        </w:rPr>
        <w:t xml:space="preserve">billion annually, </w:t>
      </w:r>
      <w:r w:rsidR="00EC0773" w:rsidRPr="00F835B9">
        <w:rPr>
          <w:b/>
          <w:bCs/>
        </w:rPr>
        <w:t>bridging</w:t>
      </w:r>
      <w:r w:rsidRPr="00F835B9">
        <w:rPr>
          <w:b/>
          <w:bCs/>
        </w:rPr>
        <w:t xml:space="preserve"> the gap between the value of rescued food and food rescue costs</w:t>
      </w:r>
      <w:r w:rsidRPr="006A65C7">
        <w:t>.</w:t>
      </w:r>
      <w:r w:rsidR="0057048D" w:rsidRPr="006A65C7">
        <w:t xml:space="preserve"> </w:t>
      </w:r>
      <w:r w:rsidRPr="006A65C7">
        <w:t xml:space="preserve">This is even </w:t>
      </w:r>
      <w:r w:rsidR="000218D1">
        <w:t>before</w:t>
      </w:r>
      <w:r w:rsidRPr="006A65C7">
        <w:t xml:space="preserve"> considering the added benefits to the national economy </w:t>
      </w:r>
      <w:r w:rsidR="00860D90">
        <w:t>from</w:t>
      </w:r>
      <w:r w:rsidR="00EC0773" w:rsidRPr="006A65C7">
        <w:t xml:space="preserve"> </w:t>
      </w:r>
      <w:r w:rsidR="00F835B9">
        <w:t xml:space="preserve">reducing </w:t>
      </w:r>
      <w:r w:rsidRPr="006A65C7">
        <w:lastRenderedPageBreak/>
        <w:t xml:space="preserve">poverty and inequality, and </w:t>
      </w:r>
      <w:r w:rsidR="00946AC5">
        <w:t xml:space="preserve">were </w:t>
      </w:r>
      <w:r w:rsidRPr="006A65C7">
        <w:t xml:space="preserve">the external environmental </w:t>
      </w:r>
      <w:r w:rsidR="00611BF8" w:rsidRPr="006A65C7">
        <w:t>benefits</w:t>
      </w:r>
      <w:r w:rsidR="00EC0773" w:rsidRPr="006A65C7">
        <w:t xml:space="preserve"> </w:t>
      </w:r>
      <w:r w:rsidR="00946AC5">
        <w:t xml:space="preserve">to be </w:t>
      </w:r>
      <w:r w:rsidR="00EC0773" w:rsidRPr="006A65C7">
        <w:t>factored</w:t>
      </w:r>
      <w:r w:rsidR="00946AC5">
        <w:t xml:space="preserve"> as well</w:t>
      </w:r>
      <w:r w:rsidRPr="006A65C7">
        <w:t>.</w:t>
      </w:r>
    </w:p>
    <w:p w14:paraId="5808AF6B" w14:textId="77777777" w:rsidR="00655328" w:rsidRPr="00F835B9" w:rsidRDefault="00655328" w:rsidP="004E2385">
      <w:pPr>
        <w:pStyle w:val="BodyText"/>
      </w:pPr>
      <w:r w:rsidRPr="00F835B9">
        <w:t xml:space="preserve">It should be emphasized that </w:t>
      </w:r>
      <w:r w:rsidR="00FE3490" w:rsidRPr="00F835B9">
        <w:t xml:space="preserve">the </w:t>
      </w:r>
      <w:r w:rsidRPr="00F835B9">
        <w:t xml:space="preserve">incremental </w:t>
      </w:r>
      <w:r w:rsidR="00611BF8" w:rsidRPr="00F835B9">
        <w:t xml:space="preserve">realization </w:t>
      </w:r>
      <w:r w:rsidR="00331373" w:rsidRPr="00F835B9">
        <w:t>of a 50% national food waste</w:t>
      </w:r>
      <w:r w:rsidRPr="00F835B9">
        <w:t xml:space="preserve"> reduction goal, </w:t>
      </w:r>
      <w:r w:rsidR="00F835B9">
        <w:t>over</w:t>
      </w:r>
      <w:r w:rsidRPr="00F835B9">
        <w:t xml:space="preserve"> a 15-year period, is not expected to reduce the volume of agricultural production in Israel </w:t>
      </w:r>
      <w:r w:rsidR="00FE3490" w:rsidRPr="00F835B9">
        <w:t xml:space="preserve">for local consumption </w:t>
      </w:r>
      <w:r w:rsidRPr="00F835B9">
        <w:t>compared to current conditions</w:t>
      </w:r>
      <w:r w:rsidR="00BF02D1">
        <w:t>.</w:t>
      </w:r>
      <w:r w:rsidR="007652D2" w:rsidRPr="00F835B9">
        <w:t xml:space="preserve"> </w:t>
      </w:r>
      <w:r w:rsidR="00BF02D1">
        <w:t>R</w:t>
      </w:r>
      <w:r w:rsidR="00152D9B" w:rsidRPr="00F835B9">
        <w:t xml:space="preserve">ather </w:t>
      </w:r>
      <w:r w:rsidR="00F835B9">
        <w:t xml:space="preserve">it </w:t>
      </w:r>
      <w:r w:rsidR="007652D2" w:rsidRPr="00F835B9">
        <w:t xml:space="preserve">is expected to only </w:t>
      </w:r>
      <w:r w:rsidR="00F835B9">
        <w:t xml:space="preserve">slow </w:t>
      </w:r>
      <w:r w:rsidR="007652D2" w:rsidRPr="00F835B9">
        <w:t>the growth rate of local food production</w:t>
      </w:r>
      <w:r w:rsidRPr="00F835B9">
        <w:t xml:space="preserve">. </w:t>
      </w:r>
    </w:p>
    <w:p w14:paraId="603E7915" w14:textId="77777777" w:rsidR="00F835B9" w:rsidRDefault="00F835B9">
      <w:pPr>
        <w:rPr>
          <w:rFonts w:ascii="Calibri" w:eastAsia="Calibri" w:hAnsi="Calibri" w:cs="Arial"/>
          <w:color w:val="FF0000"/>
          <w:sz w:val="28"/>
          <w:szCs w:val="28"/>
        </w:rPr>
      </w:pPr>
      <w:r>
        <w:br w:type="page"/>
      </w:r>
    </w:p>
    <w:p w14:paraId="57B7F2F8" w14:textId="7F800742" w:rsidR="003C66BF" w:rsidRDefault="003C66BF" w:rsidP="0061604E">
      <w:pPr>
        <w:pStyle w:val="Heading1"/>
      </w:pPr>
      <w:bookmarkStart w:id="11" w:name="_Toc505547258"/>
      <w:r w:rsidRPr="008F3D9C">
        <w:lastRenderedPageBreak/>
        <w:t xml:space="preserve">Food Waste – How </w:t>
      </w:r>
      <w:r w:rsidR="00525E60">
        <w:t>M</w:t>
      </w:r>
      <w:r w:rsidRPr="008F3D9C">
        <w:t xml:space="preserve">uch </w:t>
      </w:r>
      <w:r w:rsidR="00AD79E9" w:rsidRPr="008F3D9C">
        <w:t xml:space="preserve">Food </w:t>
      </w:r>
      <w:r w:rsidR="005870FC">
        <w:t>C</w:t>
      </w:r>
      <w:r w:rsidRPr="008F3D9C">
        <w:t xml:space="preserve">an </w:t>
      </w:r>
      <w:r w:rsidR="00175541" w:rsidRPr="008F3D9C">
        <w:t>b</w:t>
      </w:r>
      <w:r w:rsidRPr="008F3D9C">
        <w:t xml:space="preserve">e </w:t>
      </w:r>
      <w:r w:rsidR="00AD79E9" w:rsidRPr="008F3D9C">
        <w:t>Rescued</w:t>
      </w:r>
      <w:r w:rsidRPr="008F3D9C">
        <w:t>?</w:t>
      </w:r>
      <w:bookmarkEnd w:id="11"/>
    </w:p>
    <w:p w14:paraId="46F0F3DA" w14:textId="413CFFD1" w:rsidR="00407287" w:rsidRPr="00407287" w:rsidRDefault="00407287" w:rsidP="00946AC5">
      <w:pPr>
        <w:pStyle w:val="BodyText"/>
      </w:pPr>
      <w:r w:rsidRPr="000218D1">
        <w:rPr>
          <w:u w:val="single"/>
        </w:rPr>
        <w:t xml:space="preserve">Bold </w:t>
      </w:r>
      <w:r w:rsidR="000218D1">
        <w:rPr>
          <w:u w:val="single"/>
        </w:rPr>
        <w:t xml:space="preserve">chapter </w:t>
      </w:r>
      <w:r w:rsidRPr="000218D1">
        <w:rPr>
          <w:u w:val="single"/>
        </w:rPr>
        <w:t>head</w:t>
      </w:r>
      <w:r>
        <w:t>:</w:t>
      </w:r>
      <w:r w:rsidR="004B64F6">
        <w:t xml:space="preserve"> </w:t>
      </w:r>
      <w:r w:rsidRPr="000218D1">
        <w:rPr>
          <w:b/>
          <w:bCs/>
        </w:rPr>
        <w:t>Roughly 50% of lost food is rescuable and can be used to feed disadvantaged population</w:t>
      </w:r>
      <w:r w:rsidR="00946AC5">
        <w:rPr>
          <w:b/>
          <w:bCs/>
        </w:rPr>
        <w:t>s</w:t>
      </w:r>
      <w:r w:rsidRPr="000218D1">
        <w:rPr>
          <w:b/>
          <w:bCs/>
        </w:rPr>
        <w:t xml:space="preserve"> experiencing food insecurity</w:t>
      </w:r>
      <w:r>
        <w:t>.</w:t>
      </w:r>
    </w:p>
    <w:p w14:paraId="24C7D148" w14:textId="3F99B398" w:rsidR="003C66BF" w:rsidRPr="008F3D9C" w:rsidRDefault="00407287" w:rsidP="008F742E">
      <w:pPr>
        <w:pStyle w:val="BodyText"/>
      </w:pPr>
      <w:r w:rsidRPr="008F3D9C">
        <w:t>Approximately</w:t>
      </w:r>
      <w:r w:rsidR="003C66BF" w:rsidRPr="008F3D9C">
        <w:t xml:space="preserve"> 3</w:t>
      </w:r>
      <w:r w:rsidR="00543971" w:rsidRPr="008F3D9C">
        <w:t>3</w:t>
      </w:r>
      <w:r w:rsidR="003C66BF" w:rsidRPr="008F3D9C">
        <w:t xml:space="preserve">% of food produced in Israel is lost or wasted </w:t>
      </w:r>
      <w:r w:rsidR="00D66969" w:rsidRPr="008F3D9C">
        <w:t>during</w:t>
      </w:r>
      <w:r w:rsidR="003C66BF" w:rsidRPr="008F3D9C">
        <w:t xml:space="preserve"> the production, distribution and consumption stages, totaling </w:t>
      </w:r>
      <w:r w:rsidR="00E37438" w:rsidRPr="008F3D9C">
        <w:t xml:space="preserve">approximately </w:t>
      </w:r>
      <w:r w:rsidR="003C66BF" w:rsidRPr="008F3D9C">
        <w:t>2.</w:t>
      </w:r>
      <w:r w:rsidR="002E14FC">
        <w:t>3</w:t>
      </w:r>
      <w:r w:rsidR="003C66BF" w:rsidRPr="008F3D9C">
        <w:t xml:space="preserve"> million tons annually.</w:t>
      </w:r>
      <w:r w:rsidR="0057048D" w:rsidRPr="008F3D9C">
        <w:t xml:space="preserve"> </w:t>
      </w:r>
      <w:r w:rsidR="003C66BF" w:rsidRPr="008F3D9C">
        <w:t xml:space="preserve">This translates to food </w:t>
      </w:r>
      <w:r w:rsidR="00393052" w:rsidRPr="008F3D9C">
        <w:t>waste</w:t>
      </w:r>
      <w:r w:rsidR="003C66BF" w:rsidRPr="008F3D9C">
        <w:t xml:space="preserve"> valued at NIS</w:t>
      </w:r>
      <w:r w:rsidR="005063A3" w:rsidRPr="008F3D9C">
        <w:t xml:space="preserve"> 19.5 </w:t>
      </w:r>
      <w:r w:rsidR="00393052" w:rsidRPr="008F3D9C">
        <w:t>billion</w:t>
      </w:r>
      <w:r w:rsidR="003C66BF" w:rsidRPr="008F3D9C">
        <w:t>, equivalent to 1.</w:t>
      </w:r>
      <w:r w:rsidR="002E14FC">
        <w:t>6</w:t>
      </w:r>
      <w:r w:rsidR="003C66BF" w:rsidRPr="008F3D9C">
        <w:t xml:space="preserve">% of </w:t>
      </w:r>
      <w:r w:rsidR="00393052" w:rsidRPr="008F3D9C">
        <w:t xml:space="preserve">the </w:t>
      </w:r>
      <w:r w:rsidR="003C66BF" w:rsidRPr="008F3D9C">
        <w:t>GNP.</w:t>
      </w:r>
      <w:r w:rsidR="0057048D" w:rsidRPr="008F3D9C">
        <w:t xml:space="preserve"> </w:t>
      </w:r>
      <w:r w:rsidR="003C66BF" w:rsidRPr="008F3D9C">
        <w:t xml:space="preserve">About half of this waste is considered </w:t>
      </w:r>
      <w:r w:rsidR="008F742E">
        <w:t>unfit for</w:t>
      </w:r>
      <w:r w:rsidR="003C66BF" w:rsidRPr="008F3D9C">
        <w:t xml:space="preserve"> human </w:t>
      </w:r>
      <w:r w:rsidR="00BF02D1" w:rsidRPr="008F3D9C">
        <w:t>consumption and</w:t>
      </w:r>
      <w:r w:rsidR="001F2C2D" w:rsidRPr="008F3D9C">
        <w:t xml:space="preserve"> is therefore</w:t>
      </w:r>
      <w:r w:rsidR="003C66BF" w:rsidRPr="008F3D9C">
        <w:t xml:space="preserve"> not considered potentially re</w:t>
      </w:r>
      <w:r w:rsidR="00EC0773" w:rsidRPr="008F3D9C">
        <w:t>scuable</w:t>
      </w:r>
      <w:r w:rsidR="003C66BF" w:rsidRPr="008F3D9C">
        <w:t>.</w:t>
      </w:r>
      <w:r w:rsidR="0057048D" w:rsidRPr="008F3D9C">
        <w:t xml:space="preserve"> </w:t>
      </w:r>
    </w:p>
    <w:p w14:paraId="20B47DE4" w14:textId="77777777" w:rsidR="00B706CD" w:rsidRPr="008F3D9C" w:rsidRDefault="003C66BF" w:rsidP="00C35729">
      <w:pPr>
        <w:pStyle w:val="BodyText"/>
        <w:rPr>
          <w:rtl/>
        </w:rPr>
      </w:pPr>
      <w:r w:rsidRPr="008F3D9C">
        <w:t xml:space="preserve">In terms of food rescue, the most important component </w:t>
      </w:r>
      <w:r w:rsidR="00E37438" w:rsidRPr="008F3D9C">
        <w:t xml:space="preserve">is </w:t>
      </w:r>
      <w:r w:rsidRPr="008F3D9C">
        <w:t>edible foods (fit for consumption with nutritional and health benefits</w:t>
      </w:r>
      <w:r w:rsidR="00E37438" w:rsidRPr="008F3D9C">
        <w:t>)</w:t>
      </w:r>
      <w:r w:rsidRPr="008F3D9C">
        <w:t xml:space="preserve"> </w:t>
      </w:r>
      <w:r w:rsidR="00356F19" w:rsidRPr="008F3D9C">
        <w:t xml:space="preserve">that do </w:t>
      </w:r>
      <w:r w:rsidRPr="008F3D9C">
        <w:t xml:space="preserve">not reach </w:t>
      </w:r>
      <w:r w:rsidR="00E37438" w:rsidRPr="008F3D9C">
        <w:t xml:space="preserve">the </w:t>
      </w:r>
      <w:r w:rsidRPr="008F3D9C">
        <w:t>consumer. There are vari</w:t>
      </w:r>
      <w:r w:rsidR="00D66969" w:rsidRPr="008F3D9C">
        <w:t>ous</w:t>
      </w:r>
      <w:r w:rsidRPr="008F3D9C">
        <w:t xml:space="preserve"> reasons for</w:t>
      </w:r>
      <w:r w:rsidR="00D66969" w:rsidRPr="008F3D9C">
        <w:t xml:space="preserve"> loss</w:t>
      </w:r>
      <w:r w:rsidRPr="008F3D9C">
        <w:t xml:space="preserve"> in each of the stages of the food value chain.</w:t>
      </w:r>
      <w:r w:rsidR="0057048D" w:rsidRPr="008F3D9C">
        <w:t xml:space="preserve"> </w:t>
      </w:r>
      <w:r w:rsidRPr="008F3D9C">
        <w:t xml:space="preserve">The common denominator is lack of economic viability </w:t>
      </w:r>
      <w:r w:rsidR="00407287">
        <w:t>for</w:t>
      </w:r>
      <w:r w:rsidRPr="008F3D9C">
        <w:t xml:space="preserve"> food producers (i.e. farmers, </w:t>
      </w:r>
      <w:r w:rsidR="009479BE">
        <w:t>manufacturers</w:t>
      </w:r>
      <w:r w:rsidRPr="008F3D9C">
        <w:t xml:space="preserve">, distributors, etc.) to invest additional resources in the </w:t>
      </w:r>
      <w:r w:rsidR="00D66969" w:rsidRPr="008F3D9C">
        <w:t xml:space="preserve">more advanced </w:t>
      </w:r>
      <w:r w:rsidRPr="008F3D9C">
        <w:t>stages of production and distribution</w:t>
      </w:r>
      <w:r w:rsidR="00D73BB5">
        <w:t xml:space="preserve">. </w:t>
      </w:r>
    </w:p>
    <w:tbl>
      <w:tblPr>
        <w:tblStyle w:val="MediumShading1-Accent15"/>
        <w:tblpPr w:leftFromText="180" w:rightFromText="180" w:vertAnchor="text" w:horzAnchor="margin" w:tblpY="227"/>
        <w:tblW w:w="937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508"/>
        <w:gridCol w:w="3870"/>
      </w:tblGrid>
      <w:tr w:rsidR="003C66BF" w:rsidRPr="008F3D9C" w14:paraId="673EC0C9" w14:textId="77777777" w:rsidTr="005063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left w:val="none" w:sz="0" w:space="0" w:color="auto"/>
              <w:right w:val="none" w:sz="0" w:space="0" w:color="auto"/>
            </w:tcBorders>
            <w:shd w:val="clear" w:color="auto" w:fill="FFFFFF" w:themeFill="background1"/>
            <w:vAlign w:val="center"/>
          </w:tcPr>
          <w:p w14:paraId="474E5949" w14:textId="77777777" w:rsidR="003C66BF" w:rsidRPr="008F3D9C" w:rsidRDefault="003C66BF" w:rsidP="003C66BF">
            <w:pPr>
              <w:spacing w:line="300" w:lineRule="auto"/>
              <w:jc w:val="center"/>
              <w:rPr>
                <w:rFonts w:ascii="Calibri" w:eastAsia="Calibri" w:hAnsi="Calibri" w:cs="Arial"/>
                <w:color w:val="244061" w:themeColor="accent1" w:themeShade="80"/>
                <w:rtl/>
              </w:rPr>
            </w:pPr>
            <w:r w:rsidRPr="008F3D9C">
              <w:rPr>
                <w:rFonts w:ascii="Calibri" w:eastAsia="Calibri" w:hAnsi="Calibri" w:cs="Arial"/>
                <w:color w:val="244061" w:themeColor="accent1" w:themeShade="80"/>
              </w:rPr>
              <w:t>Rescuable Food</w:t>
            </w:r>
          </w:p>
        </w:tc>
        <w:tc>
          <w:tcPr>
            <w:tcW w:w="3870" w:type="dxa"/>
            <w:tcBorders>
              <w:left w:val="none" w:sz="0" w:space="0" w:color="auto"/>
              <w:right w:val="none" w:sz="0" w:space="0" w:color="auto"/>
            </w:tcBorders>
            <w:shd w:val="clear" w:color="auto" w:fill="FFFFFF" w:themeFill="background1"/>
          </w:tcPr>
          <w:p w14:paraId="23C42DF9" w14:textId="497BE103" w:rsidR="003C66BF" w:rsidRPr="008F3D9C" w:rsidRDefault="003C66BF" w:rsidP="003C66BF">
            <w:pPr>
              <w:spacing w:line="30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color w:val="244061" w:themeColor="accent1" w:themeShade="80"/>
              </w:rPr>
            </w:pPr>
            <w:r w:rsidRPr="008F3D9C">
              <w:rPr>
                <w:rFonts w:ascii="Calibri" w:eastAsia="Calibri" w:hAnsi="Calibri" w:cs="Arial"/>
                <w:color w:val="244061" w:themeColor="accent1" w:themeShade="80"/>
              </w:rPr>
              <w:t xml:space="preserve">Food Waste </w:t>
            </w:r>
            <w:r w:rsidR="00E04E64">
              <w:rPr>
                <w:rFonts w:ascii="Calibri" w:eastAsia="Calibri" w:hAnsi="Calibri" w:cs="Arial"/>
                <w:color w:val="244061" w:themeColor="accent1" w:themeShade="80"/>
              </w:rPr>
              <w:t>Unfit</w:t>
            </w:r>
            <w:r w:rsidR="00E04E64" w:rsidRPr="008F3D9C">
              <w:rPr>
                <w:rFonts w:ascii="Calibri" w:eastAsia="Calibri" w:hAnsi="Calibri" w:cs="Arial"/>
                <w:color w:val="244061" w:themeColor="accent1" w:themeShade="80"/>
              </w:rPr>
              <w:t xml:space="preserve"> </w:t>
            </w:r>
          </w:p>
          <w:p w14:paraId="382464E0" w14:textId="307419E4" w:rsidR="003C66BF" w:rsidRPr="008F3D9C" w:rsidRDefault="008C7197" w:rsidP="003C66BF">
            <w:pPr>
              <w:spacing w:line="30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color w:val="244061" w:themeColor="accent1" w:themeShade="80"/>
                <w:rtl/>
              </w:rPr>
            </w:pPr>
            <w:r>
              <w:rPr>
                <w:rFonts w:ascii="Calibri" w:eastAsia="Calibri" w:hAnsi="Calibri" w:cs="Arial"/>
                <w:color w:val="244061" w:themeColor="accent1" w:themeShade="80"/>
              </w:rPr>
              <w:t>for</w:t>
            </w:r>
            <w:r w:rsidRPr="008F3D9C">
              <w:rPr>
                <w:rFonts w:ascii="Calibri" w:eastAsia="Calibri" w:hAnsi="Calibri" w:cs="Arial"/>
                <w:color w:val="244061" w:themeColor="accent1" w:themeShade="80"/>
              </w:rPr>
              <w:t xml:space="preserve"> </w:t>
            </w:r>
            <w:r w:rsidR="003C66BF" w:rsidRPr="008F3D9C">
              <w:rPr>
                <w:rFonts w:ascii="Calibri" w:eastAsia="Calibri" w:hAnsi="Calibri" w:cs="Arial"/>
                <w:color w:val="244061" w:themeColor="accent1" w:themeShade="80"/>
              </w:rPr>
              <w:t xml:space="preserve">Human Consumption </w:t>
            </w:r>
          </w:p>
        </w:tc>
      </w:tr>
      <w:tr w:rsidR="003C66BF" w:rsidRPr="008F3D9C" w14:paraId="53618415" w14:textId="77777777" w:rsidTr="0050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top w:val="single" w:sz="8" w:space="0" w:color="7BA0CD"/>
              <w:right w:val="none" w:sz="0" w:space="0" w:color="auto"/>
            </w:tcBorders>
          </w:tcPr>
          <w:p w14:paraId="6D76CFEF" w14:textId="77777777" w:rsidR="003C66BF" w:rsidRPr="008F3D9C" w:rsidRDefault="003C66BF" w:rsidP="003C66BF">
            <w:pPr>
              <w:numPr>
                <w:ilvl w:val="0"/>
                <w:numId w:val="1"/>
              </w:numPr>
              <w:spacing w:line="300" w:lineRule="auto"/>
              <w:contextualSpacing/>
              <w:rPr>
                <w:rFonts w:ascii="Calibri" w:eastAsia="Calibri" w:hAnsi="Calibri" w:cs="Arial"/>
                <w:rtl/>
              </w:rPr>
            </w:pPr>
            <w:r w:rsidRPr="008F3D9C">
              <w:rPr>
                <w:rFonts w:ascii="Calibri" w:eastAsia="Calibri" w:hAnsi="Calibri" w:cs="Arial"/>
              </w:rPr>
              <w:t>Pre-harvested edible agricultural produce</w:t>
            </w:r>
          </w:p>
        </w:tc>
        <w:tc>
          <w:tcPr>
            <w:tcW w:w="3870" w:type="dxa"/>
            <w:tcBorders>
              <w:top w:val="single" w:sz="8" w:space="0" w:color="7BA0CD"/>
              <w:left w:val="none" w:sz="0" w:space="0" w:color="auto"/>
            </w:tcBorders>
          </w:tcPr>
          <w:p w14:paraId="0213F9C4" w14:textId="77777777" w:rsidR="003C66BF" w:rsidRPr="008F3D9C" w:rsidRDefault="003C66BF" w:rsidP="003C66BF">
            <w:pPr>
              <w:numPr>
                <w:ilvl w:val="0"/>
                <w:numId w:val="2"/>
              </w:numPr>
              <w:spacing w:line="300"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r w:rsidRPr="008F3D9C">
              <w:rPr>
                <w:rFonts w:ascii="Calibri" w:eastAsia="Calibri" w:hAnsi="Calibri" w:cs="Arial"/>
              </w:rPr>
              <w:t>Sick livestock or carcasses</w:t>
            </w:r>
          </w:p>
        </w:tc>
      </w:tr>
      <w:tr w:rsidR="003C66BF" w:rsidRPr="008F3D9C" w14:paraId="0AA24091" w14:textId="77777777" w:rsidTr="005063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right w:val="none" w:sz="0" w:space="0" w:color="auto"/>
            </w:tcBorders>
          </w:tcPr>
          <w:p w14:paraId="5F14F617" w14:textId="77777777" w:rsidR="003C66BF" w:rsidRPr="008F3D9C" w:rsidRDefault="003C66BF" w:rsidP="003C66BF">
            <w:pPr>
              <w:numPr>
                <w:ilvl w:val="0"/>
                <w:numId w:val="1"/>
              </w:numPr>
              <w:spacing w:line="300" w:lineRule="auto"/>
              <w:contextualSpacing/>
              <w:rPr>
                <w:rFonts w:ascii="Calibri" w:eastAsia="Calibri" w:hAnsi="Calibri" w:cs="Arial"/>
                <w:rtl/>
              </w:rPr>
            </w:pPr>
            <w:r w:rsidRPr="008F3D9C">
              <w:rPr>
                <w:rFonts w:ascii="Calibri" w:eastAsia="Calibri" w:hAnsi="Calibri" w:cs="Arial"/>
              </w:rPr>
              <w:t xml:space="preserve">Aesthetically flawed agricultural produce </w:t>
            </w:r>
          </w:p>
        </w:tc>
        <w:tc>
          <w:tcPr>
            <w:tcW w:w="3870" w:type="dxa"/>
            <w:tcBorders>
              <w:left w:val="none" w:sz="0" w:space="0" w:color="auto"/>
            </w:tcBorders>
          </w:tcPr>
          <w:p w14:paraId="4231C6BE" w14:textId="77777777" w:rsidR="003C66BF" w:rsidRPr="008F3D9C" w:rsidRDefault="003C66BF" w:rsidP="003C66BF">
            <w:pPr>
              <w:numPr>
                <w:ilvl w:val="0"/>
                <w:numId w:val="2"/>
              </w:numPr>
              <w:spacing w:line="300" w:lineRule="auto"/>
              <w:contextualSpacing/>
              <w:cnfStyle w:val="000000010000" w:firstRow="0" w:lastRow="0" w:firstColumn="0" w:lastColumn="0" w:oddVBand="0" w:evenVBand="0" w:oddHBand="0" w:evenHBand="1" w:firstRowFirstColumn="0" w:firstRowLastColumn="0" w:lastRowFirstColumn="0" w:lastRowLastColumn="0"/>
              <w:rPr>
                <w:rFonts w:ascii="Calibri" w:eastAsia="Calibri" w:hAnsi="Calibri" w:cs="Arial"/>
                <w:rtl/>
              </w:rPr>
            </w:pPr>
            <w:r w:rsidRPr="008F3D9C">
              <w:rPr>
                <w:rFonts w:ascii="Calibri" w:eastAsia="Calibri" w:hAnsi="Calibri" w:cs="Arial"/>
              </w:rPr>
              <w:t>Diseased food</w:t>
            </w:r>
          </w:p>
        </w:tc>
      </w:tr>
      <w:tr w:rsidR="003C66BF" w:rsidRPr="008F3D9C" w14:paraId="12FAE71C" w14:textId="77777777" w:rsidTr="005063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08" w:type="dxa"/>
            <w:tcBorders>
              <w:right w:val="none" w:sz="0" w:space="0" w:color="auto"/>
            </w:tcBorders>
          </w:tcPr>
          <w:p w14:paraId="0D93B07A" w14:textId="77777777" w:rsidR="003C66BF" w:rsidRPr="008F3D9C" w:rsidRDefault="003C66BF" w:rsidP="003C66BF">
            <w:pPr>
              <w:numPr>
                <w:ilvl w:val="0"/>
                <w:numId w:val="1"/>
              </w:numPr>
              <w:spacing w:line="300" w:lineRule="auto"/>
              <w:contextualSpacing/>
              <w:rPr>
                <w:rFonts w:ascii="Calibri" w:eastAsia="Calibri" w:hAnsi="Calibri" w:cs="Arial"/>
                <w:rtl/>
              </w:rPr>
            </w:pPr>
            <w:r w:rsidRPr="008F3D9C">
              <w:rPr>
                <w:rFonts w:ascii="Calibri" w:eastAsia="Calibri" w:hAnsi="Calibri" w:cs="Arial"/>
              </w:rPr>
              <w:t>Agricultural produce not sold in wholesale markets</w:t>
            </w:r>
          </w:p>
        </w:tc>
        <w:tc>
          <w:tcPr>
            <w:tcW w:w="3870" w:type="dxa"/>
            <w:tcBorders>
              <w:left w:val="none" w:sz="0" w:space="0" w:color="auto"/>
            </w:tcBorders>
          </w:tcPr>
          <w:p w14:paraId="75E5FBD4" w14:textId="77777777" w:rsidR="003C66BF" w:rsidRPr="008F3D9C" w:rsidRDefault="003C66BF" w:rsidP="003C66BF">
            <w:pPr>
              <w:numPr>
                <w:ilvl w:val="0"/>
                <w:numId w:val="2"/>
              </w:numPr>
              <w:spacing w:line="300"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r w:rsidRPr="008F3D9C">
              <w:rPr>
                <w:rFonts w:ascii="Calibri" w:eastAsia="Calibri" w:hAnsi="Calibri" w:cs="Arial"/>
              </w:rPr>
              <w:t xml:space="preserve">Damaged or contaminated food </w:t>
            </w:r>
          </w:p>
        </w:tc>
      </w:tr>
      <w:tr w:rsidR="003C66BF" w:rsidRPr="008F3D9C" w14:paraId="6CDCED35" w14:textId="77777777" w:rsidTr="005063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right w:val="none" w:sz="0" w:space="0" w:color="auto"/>
            </w:tcBorders>
          </w:tcPr>
          <w:p w14:paraId="3E80D0A6" w14:textId="77777777" w:rsidR="003C66BF" w:rsidRPr="008F3D9C" w:rsidRDefault="003C66BF" w:rsidP="003C66BF">
            <w:pPr>
              <w:numPr>
                <w:ilvl w:val="0"/>
                <w:numId w:val="1"/>
              </w:numPr>
              <w:spacing w:line="300" w:lineRule="auto"/>
              <w:contextualSpacing/>
              <w:rPr>
                <w:rFonts w:ascii="Calibri" w:eastAsia="Calibri" w:hAnsi="Calibri" w:cs="Arial"/>
                <w:rtl/>
              </w:rPr>
            </w:pPr>
            <w:r w:rsidRPr="008F3D9C">
              <w:rPr>
                <w:rFonts w:ascii="Calibri" w:eastAsia="Calibri" w:hAnsi="Calibri" w:cs="Arial"/>
              </w:rPr>
              <w:t xml:space="preserve">Unsold food surplus in </w:t>
            </w:r>
            <w:r w:rsidR="00543971" w:rsidRPr="008F3D9C">
              <w:rPr>
                <w:rFonts w:ascii="Calibri" w:eastAsia="Calibri" w:hAnsi="Calibri" w:cs="Arial"/>
              </w:rPr>
              <w:t>super</w:t>
            </w:r>
            <w:r w:rsidRPr="008F3D9C">
              <w:rPr>
                <w:rFonts w:ascii="Calibri" w:eastAsia="Calibri" w:hAnsi="Calibri" w:cs="Arial"/>
              </w:rPr>
              <w:t xml:space="preserve">markets/stores </w:t>
            </w:r>
          </w:p>
        </w:tc>
        <w:tc>
          <w:tcPr>
            <w:tcW w:w="3870" w:type="dxa"/>
            <w:tcBorders>
              <w:left w:val="none" w:sz="0" w:space="0" w:color="auto"/>
            </w:tcBorders>
          </w:tcPr>
          <w:p w14:paraId="6ED141F9" w14:textId="77777777" w:rsidR="003C66BF" w:rsidRPr="008F3D9C" w:rsidRDefault="003C66BF" w:rsidP="00543971">
            <w:pPr>
              <w:numPr>
                <w:ilvl w:val="0"/>
                <w:numId w:val="2"/>
              </w:numPr>
              <w:spacing w:line="300" w:lineRule="auto"/>
              <w:contextualSpacing/>
              <w:cnfStyle w:val="000000010000" w:firstRow="0" w:lastRow="0" w:firstColumn="0" w:lastColumn="0" w:oddVBand="0" w:evenVBand="0" w:oddHBand="0" w:evenHBand="1" w:firstRowFirstColumn="0" w:firstRowLastColumn="0" w:lastRowFirstColumn="0" w:lastRowLastColumn="0"/>
              <w:rPr>
                <w:rFonts w:ascii="Calibri" w:eastAsia="Calibri" w:hAnsi="Calibri" w:cs="Arial"/>
                <w:rtl/>
              </w:rPr>
            </w:pPr>
            <w:r w:rsidRPr="008F3D9C">
              <w:rPr>
                <w:rFonts w:ascii="Calibri" w:eastAsia="Calibri" w:hAnsi="Calibri" w:cs="Arial"/>
              </w:rPr>
              <w:t>Spoiled food</w:t>
            </w:r>
          </w:p>
        </w:tc>
      </w:tr>
      <w:tr w:rsidR="003C66BF" w:rsidRPr="008F3D9C" w14:paraId="38F45085" w14:textId="77777777" w:rsidTr="0050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right w:val="none" w:sz="0" w:space="0" w:color="auto"/>
            </w:tcBorders>
          </w:tcPr>
          <w:p w14:paraId="7284FEEA" w14:textId="77777777" w:rsidR="003C66BF" w:rsidRPr="008F3D9C" w:rsidRDefault="003C66BF" w:rsidP="003C66BF">
            <w:pPr>
              <w:numPr>
                <w:ilvl w:val="0"/>
                <w:numId w:val="1"/>
              </w:numPr>
              <w:spacing w:line="300" w:lineRule="auto"/>
              <w:contextualSpacing/>
              <w:rPr>
                <w:rFonts w:ascii="Calibri" w:eastAsia="Calibri" w:hAnsi="Calibri" w:cs="Arial"/>
                <w:rtl/>
              </w:rPr>
            </w:pPr>
            <w:r w:rsidRPr="008F3D9C">
              <w:rPr>
                <w:rFonts w:ascii="Calibri" w:eastAsia="Calibri" w:hAnsi="Calibri" w:cs="Arial"/>
              </w:rPr>
              <w:t xml:space="preserve">Surplus prepared food from catering, industrial kitchens &amp; restaurants </w:t>
            </w:r>
          </w:p>
        </w:tc>
        <w:tc>
          <w:tcPr>
            <w:tcW w:w="3870" w:type="dxa"/>
            <w:tcBorders>
              <w:left w:val="none" w:sz="0" w:space="0" w:color="auto"/>
            </w:tcBorders>
          </w:tcPr>
          <w:p w14:paraId="7334502A" w14:textId="77777777" w:rsidR="003C66BF" w:rsidRPr="008F3D9C" w:rsidRDefault="003C66BF" w:rsidP="003C66BF">
            <w:pPr>
              <w:numPr>
                <w:ilvl w:val="0"/>
                <w:numId w:val="2"/>
              </w:numPr>
              <w:spacing w:line="300"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r w:rsidRPr="008F3D9C">
              <w:rPr>
                <w:rFonts w:ascii="Calibri" w:eastAsia="Calibri" w:hAnsi="Calibri" w:cs="Arial"/>
              </w:rPr>
              <w:t>Production leftovers (peels, seeds, skin, fat)</w:t>
            </w:r>
          </w:p>
        </w:tc>
      </w:tr>
      <w:tr w:rsidR="003C66BF" w:rsidRPr="008F3D9C" w14:paraId="5169E131" w14:textId="77777777" w:rsidTr="005063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right w:val="none" w:sz="0" w:space="0" w:color="auto"/>
            </w:tcBorders>
          </w:tcPr>
          <w:p w14:paraId="0FC1E280" w14:textId="77777777" w:rsidR="003C66BF" w:rsidRPr="008F3D9C" w:rsidRDefault="003C66BF" w:rsidP="00543971">
            <w:pPr>
              <w:numPr>
                <w:ilvl w:val="0"/>
                <w:numId w:val="1"/>
              </w:numPr>
              <w:spacing w:line="300" w:lineRule="auto"/>
              <w:contextualSpacing/>
              <w:rPr>
                <w:rFonts w:ascii="Calibri" w:eastAsia="Calibri" w:hAnsi="Calibri" w:cs="Arial"/>
                <w:rtl/>
              </w:rPr>
            </w:pPr>
            <w:r w:rsidRPr="008F3D9C">
              <w:rPr>
                <w:rFonts w:ascii="Calibri" w:eastAsia="Calibri" w:hAnsi="Calibri" w:cs="Arial"/>
              </w:rPr>
              <w:t>Packaged food with damaged packaging</w:t>
            </w:r>
            <w:r w:rsidR="00543971" w:rsidRPr="008F3D9C">
              <w:rPr>
                <w:rFonts w:ascii="Calibri" w:eastAsia="Calibri" w:hAnsi="Calibri" w:cs="Arial"/>
              </w:rPr>
              <w:t xml:space="preserve"> or misshaped </w:t>
            </w:r>
          </w:p>
        </w:tc>
        <w:tc>
          <w:tcPr>
            <w:tcW w:w="3870" w:type="dxa"/>
            <w:tcBorders>
              <w:left w:val="none" w:sz="0" w:space="0" w:color="auto"/>
            </w:tcBorders>
          </w:tcPr>
          <w:p w14:paraId="1C1AF65C" w14:textId="77777777" w:rsidR="003C66BF" w:rsidRPr="008F3D9C" w:rsidRDefault="003C66BF" w:rsidP="003C66BF">
            <w:pPr>
              <w:numPr>
                <w:ilvl w:val="0"/>
                <w:numId w:val="2"/>
              </w:numPr>
              <w:spacing w:line="300" w:lineRule="auto"/>
              <w:contextualSpacing/>
              <w:cnfStyle w:val="000000010000" w:firstRow="0" w:lastRow="0" w:firstColumn="0" w:lastColumn="0" w:oddVBand="0" w:evenVBand="0" w:oddHBand="0" w:evenHBand="1" w:firstRowFirstColumn="0" w:firstRowLastColumn="0" w:lastRowFirstColumn="0" w:lastRowLastColumn="0"/>
              <w:rPr>
                <w:rFonts w:ascii="Calibri" w:eastAsia="Calibri" w:hAnsi="Calibri" w:cs="Arial"/>
                <w:rtl/>
              </w:rPr>
            </w:pPr>
            <w:r w:rsidRPr="008F3D9C">
              <w:rPr>
                <w:rFonts w:ascii="Calibri" w:eastAsia="Calibri" w:hAnsi="Calibri" w:cs="Arial"/>
              </w:rPr>
              <w:t xml:space="preserve">Food already served and left unconsumed </w:t>
            </w:r>
          </w:p>
        </w:tc>
      </w:tr>
      <w:tr w:rsidR="003C66BF" w:rsidRPr="008F3D9C" w14:paraId="68DE831F" w14:textId="77777777" w:rsidTr="0050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bottom w:val="single" w:sz="8" w:space="0" w:color="7BA0CD"/>
              <w:right w:val="none" w:sz="0" w:space="0" w:color="auto"/>
            </w:tcBorders>
          </w:tcPr>
          <w:p w14:paraId="65F0F05C" w14:textId="77777777" w:rsidR="003C66BF" w:rsidRPr="008F3D9C" w:rsidRDefault="003C66BF" w:rsidP="003C66BF">
            <w:pPr>
              <w:numPr>
                <w:ilvl w:val="0"/>
                <w:numId w:val="1"/>
              </w:numPr>
              <w:spacing w:line="300" w:lineRule="auto"/>
              <w:contextualSpacing/>
              <w:rPr>
                <w:rFonts w:ascii="Calibri" w:eastAsia="Calibri" w:hAnsi="Calibri" w:cs="Arial"/>
                <w:rtl/>
              </w:rPr>
            </w:pPr>
            <w:r w:rsidRPr="008F3D9C">
              <w:rPr>
                <w:rFonts w:ascii="Calibri" w:eastAsia="Calibri" w:hAnsi="Calibri" w:cs="Arial"/>
              </w:rPr>
              <w:t>Food nearing its sell-by date that will not be sold</w:t>
            </w:r>
          </w:p>
        </w:tc>
        <w:tc>
          <w:tcPr>
            <w:tcW w:w="3870" w:type="dxa"/>
            <w:tcBorders>
              <w:left w:val="none" w:sz="0" w:space="0" w:color="auto"/>
              <w:bottom w:val="single" w:sz="8" w:space="0" w:color="7BA0CD"/>
            </w:tcBorders>
          </w:tcPr>
          <w:p w14:paraId="6741F846" w14:textId="77777777" w:rsidR="003C66BF" w:rsidRPr="008F3D9C" w:rsidRDefault="003C66BF" w:rsidP="003C66BF">
            <w:pPr>
              <w:spacing w:line="30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p>
        </w:tc>
      </w:tr>
    </w:tbl>
    <w:p w14:paraId="3B593978" w14:textId="77777777" w:rsidR="003C66BF" w:rsidRPr="008F3D9C" w:rsidRDefault="003C66BF" w:rsidP="003C66BF">
      <w:pPr>
        <w:spacing w:line="300" w:lineRule="auto"/>
        <w:rPr>
          <w:rFonts w:eastAsia="Calibri" w:cs="Times New Roman"/>
        </w:rPr>
      </w:pPr>
    </w:p>
    <w:p w14:paraId="68FE7813" w14:textId="6063E38C" w:rsidR="006C7E55" w:rsidRPr="008F3D9C" w:rsidRDefault="00407287" w:rsidP="008D6A0D">
      <w:pPr>
        <w:pStyle w:val="BodyText"/>
        <w:rPr>
          <w:rtl/>
        </w:rPr>
      </w:pPr>
      <w:r w:rsidRPr="008F3D9C">
        <w:lastRenderedPageBreak/>
        <w:t xml:space="preserve">Reducing </w:t>
      </w:r>
      <w:r w:rsidR="007E0F92" w:rsidRPr="008F3D9C">
        <w:t>food waste</w:t>
      </w:r>
      <w:r w:rsidR="006C7E55" w:rsidRPr="008F3D9C">
        <w:t xml:space="preserve">, either by prevention or by rescuing surplus, </w:t>
      </w:r>
      <w:r w:rsidR="00AB28CC">
        <w:t>is</w:t>
      </w:r>
      <w:r w:rsidR="00D66969" w:rsidRPr="008F3D9C">
        <w:t xml:space="preserve"> a</w:t>
      </w:r>
      <w:r w:rsidR="0057048D" w:rsidRPr="008F3D9C">
        <w:t xml:space="preserve"> </w:t>
      </w:r>
      <w:r w:rsidR="006C7E55" w:rsidRPr="008F3D9C">
        <w:t>primary</w:t>
      </w:r>
      <w:r w:rsidR="00D66969" w:rsidRPr="008F3D9C">
        <w:t xml:space="preserve"> public</w:t>
      </w:r>
      <w:r w:rsidR="006C7E55" w:rsidRPr="008F3D9C">
        <w:t xml:space="preserve"> objective</w:t>
      </w:r>
      <w:r w:rsidR="008D6A0D">
        <w:t xml:space="preserve"> and </w:t>
      </w:r>
      <w:r w:rsidR="00AB28CC">
        <w:t>a top priority on the international agenda</w:t>
      </w:r>
      <w:r w:rsidR="00D66969" w:rsidRPr="008F3D9C">
        <w:t>.</w:t>
      </w:r>
      <w:r w:rsidR="00942268">
        <w:t xml:space="preserve"> </w:t>
      </w:r>
      <w:r w:rsidR="00AB28CC">
        <w:t xml:space="preserve">The </w:t>
      </w:r>
      <w:r w:rsidR="00BF02D1">
        <w:t>estimated amount of</w:t>
      </w:r>
      <w:r w:rsidR="003C66BF" w:rsidRPr="008F3D9C">
        <w:t xml:space="preserve"> </w:t>
      </w:r>
      <w:r w:rsidR="006C7E55" w:rsidRPr="008F3D9C">
        <w:t xml:space="preserve">food </w:t>
      </w:r>
      <w:r w:rsidR="003C66BF" w:rsidRPr="008F3D9C">
        <w:t xml:space="preserve">fit for rescue </w:t>
      </w:r>
      <w:r w:rsidR="006C7E55" w:rsidRPr="008F3D9C">
        <w:t>is derived from the value chain model designed specifically for the food industry.</w:t>
      </w:r>
      <w:r w:rsidR="0057048D" w:rsidRPr="008F3D9C">
        <w:t xml:space="preserve"> </w:t>
      </w:r>
      <w:r w:rsidR="00C17CAF">
        <w:t xml:space="preserve">Every type of </w:t>
      </w:r>
      <w:r w:rsidR="00AB28CC" w:rsidRPr="008F3D9C">
        <w:t>food</w:t>
      </w:r>
      <w:r w:rsidR="00C17CAF">
        <w:t xml:space="preserve"> </w:t>
      </w:r>
      <w:r w:rsidR="00AB28CC" w:rsidRPr="008F3D9C">
        <w:t xml:space="preserve">and </w:t>
      </w:r>
      <w:r w:rsidR="008D6A0D">
        <w:t xml:space="preserve">its </w:t>
      </w:r>
      <w:r w:rsidR="00AB28CC" w:rsidRPr="008F3D9C">
        <w:t>loss</w:t>
      </w:r>
      <w:r w:rsidR="00C17CAF">
        <w:t xml:space="preserve">, at </w:t>
      </w:r>
      <w:r w:rsidR="00AB28CC" w:rsidRPr="008F3D9C">
        <w:t xml:space="preserve">each </w:t>
      </w:r>
      <w:r w:rsidR="00C17CAF">
        <w:t xml:space="preserve">stage </w:t>
      </w:r>
      <w:r w:rsidR="00AB28CC" w:rsidRPr="008F3D9C">
        <w:t>of the value chain</w:t>
      </w:r>
      <w:r w:rsidR="00BF02D1">
        <w:t>,</w:t>
      </w:r>
      <w:r w:rsidR="00AB28CC" w:rsidRPr="008F3D9C">
        <w:t xml:space="preserve"> </w:t>
      </w:r>
      <w:r w:rsidR="00C17CAF">
        <w:t>w</w:t>
      </w:r>
      <w:r w:rsidR="00C35729">
        <w:t xml:space="preserve">as </w:t>
      </w:r>
      <w:r w:rsidR="00C17CAF" w:rsidRPr="008F3D9C">
        <w:t xml:space="preserve">analyzed </w:t>
      </w:r>
      <w:r w:rsidR="00C17CAF">
        <w:t>and c</w:t>
      </w:r>
      <w:r w:rsidR="006C7E55" w:rsidRPr="008F3D9C">
        <w:t>lassifi</w:t>
      </w:r>
      <w:r w:rsidR="00C17CAF">
        <w:t xml:space="preserve">ed as </w:t>
      </w:r>
      <w:r w:rsidR="006C7E55" w:rsidRPr="008F3D9C">
        <w:t>re</w:t>
      </w:r>
      <w:r w:rsidR="003C66BF" w:rsidRPr="008F3D9C">
        <w:t>scuable</w:t>
      </w:r>
      <w:r w:rsidR="006C7E55" w:rsidRPr="008F3D9C">
        <w:t xml:space="preserve"> </w:t>
      </w:r>
      <w:r w:rsidR="00C17CAF">
        <w:t xml:space="preserve">or </w:t>
      </w:r>
      <w:r w:rsidR="00C17CAF" w:rsidRPr="008F3D9C">
        <w:t>un</w:t>
      </w:r>
      <w:r w:rsidR="00BF02D1">
        <w:t>-</w:t>
      </w:r>
      <w:r w:rsidR="00C17CAF" w:rsidRPr="008F3D9C">
        <w:t xml:space="preserve">rescuable </w:t>
      </w:r>
      <w:r w:rsidR="006C7E55" w:rsidRPr="008F3D9C">
        <w:t>(</w:t>
      </w:r>
      <w:r w:rsidR="00BF02D1">
        <w:t>unfit</w:t>
      </w:r>
      <w:r w:rsidR="006C7E55" w:rsidRPr="008F3D9C">
        <w:t xml:space="preserve"> </w:t>
      </w:r>
      <w:r w:rsidR="00BF02D1">
        <w:t>for</w:t>
      </w:r>
      <w:r w:rsidR="003C66BF" w:rsidRPr="008F3D9C">
        <w:t xml:space="preserve"> consumption)</w:t>
      </w:r>
      <w:r w:rsidR="006C7E55" w:rsidRPr="008F3D9C">
        <w:t>.</w:t>
      </w:r>
    </w:p>
    <w:p w14:paraId="055155AF" w14:textId="77777777" w:rsidR="006C7E55" w:rsidRPr="008F3D9C" w:rsidRDefault="006C7E55" w:rsidP="00C35729">
      <w:pPr>
        <w:pStyle w:val="BodyText"/>
      </w:pPr>
      <w:r w:rsidRPr="008F3D9C">
        <w:t>It is important to note th</w:t>
      </w:r>
      <w:r w:rsidR="003C66BF" w:rsidRPr="008F3D9C">
        <w:t>at classification of rescuable</w:t>
      </w:r>
      <w:r w:rsidRPr="008F3D9C">
        <w:t xml:space="preserve"> foods does not address economic </w:t>
      </w:r>
      <w:r w:rsidR="003C66BF" w:rsidRPr="008F3D9C">
        <w:t>viability</w:t>
      </w:r>
      <w:r w:rsidRPr="008F3D9C">
        <w:t xml:space="preserve"> of rescue, but rather the </w:t>
      </w:r>
      <w:r w:rsidR="005039F1" w:rsidRPr="008F3D9C">
        <w:t xml:space="preserve">feasibility </w:t>
      </w:r>
      <w:r w:rsidR="003C66BF" w:rsidRPr="008F3D9C">
        <w:t>o</w:t>
      </w:r>
      <w:r w:rsidR="00C17CAF">
        <w:t>f</w:t>
      </w:r>
      <w:r w:rsidR="003C66BF" w:rsidRPr="008F3D9C">
        <w:t xml:space="preserve"> us</w:t>
      </w:r>
      <w:r w:rsidR="00C17CAF">
        <w:t>ing</w:t>
      </w:r>
      <w:r w:rsidR="003C66BF" w:rsidRPr="008F3D9C">
        <w:t xml:space="preserve"> </w:t>
      </w:r>
      <w:r w:rsidR="00BF02D1">
        <w:t>wasted food</w:t>
      </w:r>
      <w:r w:rsidR="003C66BF" w:rsidRPr="008F3D9C">
        <w:t xml:space="preserve"> </w:t>
      </w:r>
      <w:r w:rsidRPr="008F3D9C">
        <w:t>to feed people.</w:t>
      </w:r>
      <w:r w:rsidR="0057048D" w:rsidRPr="008F3D9C">
        <w:t xml:space="preserve"> </w:t>
      </w:r>
      <w:r w:rsidRPr="008F3D9C">
        <w:t xml:space="preserve">According to </w:t>
      </w:r>
      <w:r w:rsidR="00C17CAF">
        <w:t xml:space="preserve">our </w:t>
      </w:r>
      <w:r w:rsidRPr="008F3D9C">
        <w:t>es</w:t>
      </w:r>
      <w:r w:rsidR="003C66BF" w:rsidRPr="008F3D9C">
        <w:t>timate, roughly 50% of food waste</w:t>
      </w:r>
      <w:r w:rsidRPr="008F3D9C">
        <w:t xml:space="preserve"> is re</w:t>
      </w:r>
      <w:r w:rsidR="003C66BF" w:rsidRPr="008F3D9C">
        <w:t>scuable</w:t>
      </w:r>
      <w:r w:rsidRPr="008F3D9C">
        <w:t xml:space="preserve"> and can, given </w:t>
      </w:r>
      <w:r w:rsidR="00C17CAF" w:rsidRPr="008F3D9C">
        <w:t xml:space="preserve">economic viability </w:t>
      </w:r>
      <w:r w:rsidR="00C17CAF">
        <w:t xml:space="preserve">and </w:t>
      </w:r>
      <w:r w:rsidRPr="008F3D9C">
        <w:t xml:space="preserve">appropriate resources, </w:t>
      </w:r>
      <w:r w:rsidR="00C35729">
        <w:t xml:space="preserve">be used </w:t>
      </w:r>
      <w:r w:rsidRPr="008F3D9C">
        <w:t xml:space="preserve">to feed needy populations suffering from food insecurity. </w:t>
      </w:r>
    </w:p>
    <w:p w14:paraId="1C50D9D1" w14:textId="5DC14777" w:rsidR="00176C3E" w:rsidRPr="00C35729" w:rsidRDefault="001D65D6" w:rsidP="00C35729">
      <w:pPr>
        <w:pStyle w:val="Graphtitle"/>
      </w:pPr>
      <w:r w:rsidRPr="008F3D9C">
        <w:t>Estimate</w:t>
      </w:r>
      <w:r w:rsidR="008D6A0D">
        <w:t>d</w:t>
      </w:r>
      <w:r w:rsidRPr="008F3D9C">
        <w:t xml:space="preserve"> Amounts of </w:t>
      </w:r>
      <w:r w:rsidR="003C66BF" w:rsidRPr="008F3D9C">
        <w:t>Rescuable</w:t>
      </w:r>
      <w:r w:rsidR="00176C3E" w:rsidRPr="008F3D9C">
        <w:t xml:space="preserve"> Food in Israel</w:t>
      </w:r>
      <w:r w:rsidR="0057048D" w:rsidRPr="008F3D9C">
        <w:t xml:space="preserve"> </w:t>
      </w:r>
      <w:r w:rsidR="00176C3E" w:rsidRPr="008F3D9C">
        <w:t>(thousands of tons)</w:t>
      </w:r>
    </w:p>
    <w:tbl>
      <w:tblPr>
        <w:tblStyle w:val="MediumShading1-Accent16"/>
        <w:tblW w:w="0" w:type="auto"/>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ayout w:type="fixed"/>
        <w:tblLook w:val="04A0" w:firstRow="1" w:lastRow="0" w:firstColumn="1" w:lastColumn="0" w:noHBand="0" w:noVBand="1"/>
      </w:tblPr>
      <w:tblGrid>
        <w:gridCol w:w="2268"/>
        <w:gridCol w:w="1538"/>
        <w:gridCol w:w="1359"/>
        <w:gridCol w:w="1359"/>
        <w:gridCol w:w="1359"/>
        <w:gridCol w:w="1359"/>
      </w:tblGrid>
      <w:tr w:rsidR="00176C3E" w:rsidRPr="008F3D9C" w14:paraId="40442466" w14:textId="77777777" w:rsidTr="00176C3E">
        <w:trPr>
          <w:cnfStyle w:val="100000000000" w:firstRow="1" w:lastRow="0" w:firstColumn="0" w:lastColumn="0" w:oddVBand="0" w:evenVBand="0" w:oddHBand="0"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tcPr>
          <w:p w14:paraId="64C0E617" w14:textId="77777777" w:rsidR="00176C3E" w:rsidRPr="008F3D9C" w:rsidRDefault="00176C3E" w:rsidP="001D65D6">
            <w:pPr>
              <w:spacing w:after="60"/>
              <w:jc w:val="center"/>
              <w:rPr>
                <w:rFonts w:eastAsia="Calibri" w:cstheme="minorHAnsi"/>
                <w:rtl/>
              </w:rPr>
            </w:pPr>
          </w:p>
        </w:tc>
        <w:tc>
          <w:tcPr>
            <w:tcW w:w="1538" w:type="dxa"/>
            <w:tcBorders>
              <w:top w:val="none" w:sz="0" w:space="0" w:color="auto"/>
              <w:left w:val="none" w:sz="0" w:space="0" w:color="auto"/>
              <w:bottom w:val="none" w:sz="0" w:space="0" w:color="auto"/>
              <w:right w:val="none" w:sz="0" w:space="0" w:color="auto"/>
            </w:tcBorders>
            <w:vAlign w:val="center"/>
          </w:tcPr>
          <w:p w14:paraId="5747DEEA" w14:textId="77777777" w:rsidR="00176C3E" w:rsidRPr="008F3D9C" w:rsidRDefault="00176C3E" w:rsidP="001D65D6">
            <w:pPr>
              <w:spacing w:after="60"/>
              <w:jc w:val="center"/>
              <w:cnfStyle w:val="100000000000" w:firstRow="1" w:lastRow="0" w:firstColumn="0" w:lastColumn="0" w:oddVBand="0" w:evenVBand="0" w:oddHBand="0" w:evenHBand="0" w:firstRowFirstColumn="0" w:firstRowLastColumn="0" w:lastRowFirstColumn="0" w:lastRowLastColumn="0"/>
              <w:rPr>
                <w:rFonts w:eastAsia="Calibri" w:cstheme="minorHAnsi"/>
                <w:rtl/>
              </w:rPr>
            </w:pPr>
            <w:r w:rsidRPr="008F3D9C">
              <w:rPr>
                <w:rFonts w:eastAsia="Calibri" w:cstheme="minorHAnsi"/>
              </w:rPr>
              <w:t xml:space="preserve">Total Consumption </w:t>
            </w:r>
          </w:p>
        </w:tc>
        <w:tc>
          <w:tcPr>
            <w:tcW w:w="1359" w:type="dxa"/>
            <w:tcBorders>
              <w:top w:val="none" w:sz="0" w:space="0" w:color="auto"/>
              <w:left w:val="none" w:sz="0" w:space="0" w:color="auto"/>
              <w:bottom w:val="none" w:sz="0" w:space="0" w:color="auto"/>
              <w:right w:val="none" w:sz="0" w:space="0" w:color="auto"/>
            </w:tcBorders>
            <w:vAlign w:val="center"/>
          </w:tcPr>
          <w:p w14:paraId="7B3F99AF" w14:textId="77777777" w:rsidR="00176C3E" w:rsidRPr="008F3D9C" w:rsidRDefault="00176C3E" w:rsidP="001D65D6">
            <w:pPr>
              <w:spacing w:after="60"/>
              <w:jc w:val="center"/>
              <w:cnfStyle w:val="100000000000" w:firstRow="1" w:lastRow="0" w:firstColumn="0" w:lastColumn="0" w:oddVBand="0" w:evenVBand="0" w:oddHBand="0" w:evenHBand="0" w:firstRowFirstColumn="0" w:firstRowLastColumn="0" w:lastRowFirstColumn="0" w:lastRowLastColumn="0"/>
              <w:rPr>
                <w:rFonts w:eastAsia="Calibri" w:cstheme="minorHAnsi"/>
                <w:rtl/>
              </w:rPr>
            </w:pPr>
            <w:r w:rsidRPr="008F3D9C">
              <w:rPr>
                <w:rFonts w:eastAsia="Calibri" w:cstheme="minorHAnsi"/>
              </w:rPr>
              <w:t xml:space="preserve">Total Local Production </w:t>
            </w:r>
          </w:p>
        </w:tc>
        <w:tc>
          <w:tcPr>
            <w:tcW w:w="1359" w:type="dxa"/>
            <w:tcBorders>
              <w:top w:val="none" w:sz="0" w:space="0" w:color="auto"/>
              <w:left w:val="none" w:sz="0" w:space="0" w:color="auto"/>
              <w:bottom w:val="none" w:sz="0" w:space="0" w:color="auto"/>
              <w:right w:val="none" w:sz="0" w:space="0" w:color="auto"/>
            </w:tcBorders>
            <w:vAlign w:val="center"/>
          </w:tcPr>
          <w:p w14:paraId="51F7D73E" w14:textId="77777777" w:rsidR="00176C3E" w:rsidRPr="008F3D9C" w:rsidRDefault="00176C3E" w:rsidP="001D65D6">
            <w:pPr>
              <w:spacing w:after="60"/>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8F3D9C">
              <w:rPr>
                <w:rFonts w:eastAsia="Calibri" w:cstheme="minorHAnsi"/>
              </w:rPr>
              <w:t xml:space="preserve">Loss </w:t>
            </w:r>
          </w:p>
        </w:tc>
        <w:tc>
          <w:tcPr>
            <w:tcW w:w="1359" w:type="dxa"/>
            <w:tcBorders>
              <w:top w:val="none" w:sz="0" w:space="0" w:color="auto"/>
              <w:left w:val="none" w:sz="0" w:space="0" w:color="auto"/>
              <w:bottom w:val="none" w:sz="0" w:space="0" w:color="auto"/>
              <w:right w:val="none" w:sz="0" w:space="0" w:color="auto"/>
            </w:tcBorders>
            <w:vAlign w:val="center"/>
          </w:tcPr>
          <w:p w14:paraId="2C094B5A" w14:textId="77777777" w:rsidR="00176C3E" w:rsidRPr="008F3D9C" w:rsidRDefault="00176C3E" w:rsidP="001D65D6">
            <w:pPr>
              <w:spacing w:after="60"/>
              <w:jc w:val="center"/>
              <w:cnfStyle w:val="100000000000" w:firstRow="1" w:lastRow="0" w:firstColumn="0" w:lastColumn="0" w:oddVBand="0" w:evenVBand="0" w:oddHBand="0" w:evenHBand="0" w:firstRowFirstColumn="0" w:firstRowLastColumn="0" w:lastRowFirstColumn="0" w:lastRowLastColumn="0"/>
              <w:rPr>
                <w:rFonts w:eastAsia="Calibri" w:cstheme="minorHAnsi"/>
                <w:rtl/>
              </w:rPr>
            </w:pPr>
            <w:r w:rsidRPr="008F3D9C">
              <w:rPr>
                <w:rFonts w:eastAsia="Calibri" w:cstheme="minorHAnsi"/>
              </w:rPr>
              <w:t>Percentage of Loss</w:t>
            </w:r>
          </w:p>
        </w:tc>
        <w:tc>
          <w:tcPr>
            <w:tcW w:w="1359" w:type="dxa"/>
            <w:tcBorders>
              <w:top w:val="none" w:sz="0" w:space="0" w:color="auto"/>
              <w:left w:val="none" w:sz="0" w:space="0" w:color="auto"/>
              <w:bottom w:val="none" w:sz="0" w:space="0" w:color="auto"/>
              <w:right w:val="none" w:sz="0" w:space="0" w:color="auto"/>
            </w:tcBorders>
            <w:vAlign w:val="center"/>
          </w:tcPr>
          <w:p w14:paraId="7B9C8FC3" w14:textId="77777777" w:rsidR="00176C3E" w:rsidRPr="008F3D9C" w:rsidRDefault="00176C3E" w:rsidP="001D65D6">
            <w:pPr>
              <w:spacing w:after="60"/>
              <w:jc w:val="center"/>
              <w:cnfStyle w:val="100000000000" w:firstRow="1" w:lastRow="0" w:firstColumn="0" w:lastColumn="0" w:oddVBand="0" w:evenVBand="0" w:oddHBand="0" w:evenHBand="0" w:firstRowFirstColumn="0" w:firstRowLastColumn="0" w:lastRowFirstColumn="0" w:lastRowLastColumn="0"/>
              <w:rPr>
                <w:rFonts w:eastAsia="Calibri" w:cstheme="minorHAnsi"/>
                <w:rtl/>
              </w:rPr>
            </w:pPr>
            <w:r w:rsidRPr="008F3D9C">
              <w:rPr>
                <w:rFonts w:eastAsia="Calibri" w:cstheme="minorHAnsi"/>
              </w:rPr>
              <w:t>Recoverable Loss</w:t>
            </w:r>
            <w:r w:rsidR="00D063C5" w:rsidRPr="008F3D9C">
              <w:rPr>
                <w:rStyle w:val="FootnoteReference"/>
                <w:rFonts w:eastAsia="Calibri" w:cstheme="minorHAnsi"/>
              </w:rPr>
              <w:footnoteReference w:id="7"/>
            </w:r>
            <w:r w:rsidRPr="008F3D9C">
              <w:rPr>
                <w:rFonts w:eastAsia="Calibri" w:cstheme="minorHAnsi"/>
              </w:rPr>
              <w:t xml:space="preserve"> </w:t>
            </w:r>
          </w:p>
        </w:tc>
      </w:tr>
      <w:tr w:rsidR="00942268" w:rsidRPr="008F3D9C" w14:paraId="0477E92E" w14:textId="77777777" w:rsidTr="00060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14:paraId="113540F0" w14:textId="77777777" w:rsidR="00942268" w:rsidRPr="008F3D9C" w:rsidRDefault="00942268" w:rsidP="001D65D6">
            <w:pPr>
              <w:spacing w:after="60"/>
              <w:rPr>
                <w:rFonts w:eastAsia="Calibri" w:cstheme="minorHAnsi"/>
                <w:rtl/>
              </w:rPr>
            </w:pPr>
            <w:r w:rsidRPr="008F3D9C">
              <w:rPr>
                <w:rFonts w:eastAsia="Calibri" w:cstheme="minorHAnsi"/>
              </w:rPr>
              <w:t xml:space="preserve">Fruit </w:t>
            </w:r>
          </w:p>
        </w:tc>
        <w:tc>
          <w:tcPr>
            <w:tcW w:w="1538" w:type="dxa"/>
            <w:tcBorders>
              <w:left w:val="none" w:sz="0" w:space="0" w:color="auto"/>
              <w:right w:val="none" w:sz="0" w:space="0" w:color="auto"/>
            </w:tcBorders>
            <w:vAlign w:val="bottom"/>
          </w:tcPr>
          <w:p w14:paraId="4308EF89"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1,227</w:t>
            </w:r>
          </w:p>
        </w:tc>
        <w:tc>
          <w:tcPr>
            <w:tcW w:w="1359" w:type="dxa"/>
            <w:tcBorders>
              <w:left w:val="none" w:sz="0" w:space="0" w:color="auto"/>
              <w:right w:val="none" w:sz="0" w:space="0" w:color="auto"/>
            </w:tcBorders>
            <w:vAlign w:val="bottom"/>
          </w:tcPr>
          <w:p w14:paraId="48DA2506"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1,502</w:t>
            </w:r>
          </w:p>
        </w:tc>
        <w:tc>
          <w:tcPr>
            <w:tcW w:w="1359" w:type="dxa"/>
            <w:tcBorders>
              <w:left w:val="none" w:sz="0" w:space="0" w:color="auto"/>
              <w:right w:val="none" w:sz="0" w:space="0" w:color="auto"/>
            </w:tcBorders>
            <w:vAlign w:val="bottom"/>
          </w:tcPr>
          <w:p w14:paraId="73CB313E"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483</w:t>
            </w:r>
          </w:p>
        </w:tc>
        <w:tc>
          <w:tcPr>
            <w:tcW w:w="1359" w:type="dxa"/>
            <w:tcBorders>
              <w:left w:val="none" w:sz="0" w:space="0" w:color="auto"/>
              <w:right w:val="none" w:sz="0" w:space="0" w:color="auto"/>
            </w:tcBorders>
            <w:vAlign w:val="bottom"/>
          </w:tcPr>
          <w:p w14:paraId="552CFE19"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153</w:t>
            </w:r>
          </w:p>
        </w:tc>
        <w:tc>
          <w:tcPr>
            <w:tcW w:w="1359" w:type="dxa"/>
            <w:tcBorders>
              <w:left w:val="none" w:sz="0" w:space="0" w:color="auto"/>
            </w:tcBorders>
            <w:vAlign w:val="bottom"/>
          </w:tcPr>
          <w:p w14:paraId="3A1CF88C"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32%</w:t>
            </w:r>
          </w:p>
        </w:tc>
      </w:tr>
      <w:tr w:rsidR="00942268" w:rsidRPr="008F3D9C" w14:paraId="767115B3" w14:textId="77777777" w:rsidTr="000604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14:paraId="073946C8" w14:textId="77777777" w:rsidR="00942268" w:rsidRPr="008F3D9C" w:rsidRDefault="00942268" w:rsidP="001D65D6">
            <w:pPr>
              <w:spacing w:after="60"/>
              <w:rPr>
                <w:rFonts w:eastAsia="Calibri" w:cstheme="minorHAnsi"/>
                <w:rtl/>
              </w:rPr>
            </w:pPr>
            <w:r w:rsidRPr="008F3D9C">
              <w:rPr>
                <w:rFonts w:eastAsia="Calibri" w:cstheme="minorHAnsi"/>
              </w:rPr>
              <w:t xml:space="preserve">Vegetables </w:t>
            </w:r>
          </w:p>
        </w:tc>
        <w:tc>
          <w:tcPr>
            <w:tcW w:w="1538" w:type="dxa"/>
            <w:tcBorders>
              <w:left w:val="none" w:sz="0" w:space="0" w:color="auto"/>
              <w:right w:val="none" w:sz="0" w:space="0" w:color="auto"/>
            </w:tcBorders>
            <w:vAlign w:val="bottom"/>
          </w:tcPr>
          <w:p w14:paraId="3B5D1B8E"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1,534</w:t>
            </w:r>
          </w:p>
        </w:tc>
        <w:tc>
          <w:tcPr>
            <w:tcW w:w="1359" w:type="dxa"/>
            <w:tcBorders>
              <w:left w:val="none" w:sz="0" w:space="0" w:color="auto"/>
              <w:right w:val="none" w:sz="0" w:space="0" w:color="auto"/>
            </w:tcBorders>
            <w:vAlign w:val="bottom"/>
          </w:tcPr>
          <w:p w14:paraId="7DF6F990"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2,082</w:t>
            </w:r>
          </w:p>
        </w:tc>
        <w:tc>
          <w:tcPr>
            <w:tcW w:w="1359" w:type="dxa"/>
            <w:tcBorders>
              <w:left w:val="none" w:sz="0" w:space="0" w:color="auto"/>
              <w:right w:val="none" w:sz="0" w:space="0" w:color="auto"/>
            </w:tcBorders>
            <w:vAlign w:val="bottom"/>
          </w:tcPr>
          <w:p w14:paraId="06D1077F"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909</w:t>
            </w:r>
          </w:p>
        </w:tc>
        <w:tc>
          <w:tcPr>
            <w:tcW w:w="1359" w:type="dxa"/>
            <w:tcBorders>
              <w:left w:val="none" w:sz="0" w:space="0" w:color="auto"/>
              <w:right w:val="none" w:sz="0" w:space="0" w:color="auto"/>
            </w:tcBorders>
            <w:vAlign w:val="bottom"/>
          </w:tcPr>
          <w:p w14:paraId="1C19421F"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570</w:t>
            </w:r>
          </w:p>
        </w:tc>
        <w:tc>
          <w:tcPr>
            <w:tcW w:w="1359" w:type="dxa"/>
            <w:tcBorders>
              <w:left w:val="none" w:sz="0" w:space="0" w:color="auto"/>
            </w:tcBorders>
            <w:vAlign w:val="bottom"/>
          </w:tcPr>
          <w:p w14:paraId="100A4E78"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44%</w:t>
            </w:r>
          </w:p>
        </w:tc>
      </w:tr>
      <w:tr w:rsidR="00942268" w:rsidRPr="008F3D9C" w14:paraId="7AFEF22D" w14:textId="77777777" w:rsidTr="00060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14:paraId="6B5A7880" w14:textId="77777777" w:rsidR="00942268" w:rsidRPr="008F3D9C" w:rsidRDefault="00942268" w:rsidP="001D65D6">
            <w:pPr>
              <w:spacing w:after="60"/>
              <w:rPr>
                <w:rFonts w:eastAsia="Calibri" w:cstheme="minorHAnsi"/>
                <w:rtl/>
              </w:rPr>
            </w:pPr>
            <w:r w:rsidRPr="008F3D9C">
              <w:rPr>
                <w:rFonts w:eastAsia="Calibri" w:cstheme="minorHAnsi"/>
              </w:rPr>
              <w:t>Potatoes &amp; Starch</w:t>
            </w:r>
          </w:p>
        </w:tc>
        <w:tc>
          <w:tcPr>
            <w:tcW w:w="1538" w:type="dxa"/>
            <w:tcBorders>
              <w:left w:val="none" w:sz="0" w:space="0" w:color="auto"/>
              <w:right w:val="none" w:sz="0" w:space="0" w:color="auto"/>
            </w:tcBorders>
            <w:vAlign w:val="bottom"/>
          </w:tcPr>
          <w:p w14:paraId="08CDA5BD"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295</w:t>
            </w:r>
          </w:p>
        </w:tc>
        <w:tc>
          <w:tcPr>
            <w:tcW w:w="1359" w:type="dxa"/>
            <w:tcBorders>
              <w:left w:val="none" w:sz="0" w:space="0" w:color="auto"/>
              <w:right w:val="none" w:sz="0" w:space="0" w:color="auto"/>
            </w:tcBorders>
            <w:vAlign w:val="bottom"/>
          </w:tcPr>
          <w:p w14:paraId="545BF20A"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758</w:t>
            </w:r>
          </w:p>
        </w:tc>
        <w:tc>
          <w:tcPr>
            <w:tcW w:w="1359" w:type="dxa"/>
            <w:tcBorders>
              <w:left w:val="none" w:sz="0" w:space="0" w:color="auto"/>
              <w:right w:val="none" w:sz="0" w:space="0" w:color="auto"/>
            </w:tcBorders>
            <w:vAlign w:val="bottom"/>
          </w:tcPr>
          <w:p w14:paraId="6661542E"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240</w:t>
            </w:r>
          </w:p>
        </w:tc>
        <w:tc>
          <w:tcPr>
            <w:tcW w:w="1359" w:type="dxa"/>
            <w:tcBorders>
              <w:left w:val="none" w:sz="0" w:space="0" w:color="auto"/>
              <w:right w:val="none" w:sz="0" w:space="0" w:color="auto"/>
            </w:tcBorders>
            <w:vAlign w:val="bottom"/>
          </w:tcPr>
          <w:p w14:paraId="3EE74DCA"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164</w:t>
            </w:r>
          </w:p>
        </w:tc>
        <w:tc>
          <w:tcPr>
            <w:tcW w:w="1359" w:type="dxa"/>
            <w:tcBorders>
              <w:left w:val="none" w:sz="0" w:space="0" w:color="auto"/>
            </w:tcBorders>
            <w:vAlign w:val="bottom"/>
          </w:tcPr>
          <w:p w14:paraId="4AA0197F"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32%</w:t>
            </w:r>
          </w:p>
        </w:tc>
      </w:tr>
      <w:tr w:rsidR="00942268" w:rsidRPr="008F3D9C" w14:paraId="72F2E0A5" w14:textId="77777777" w:rsidTr="000604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14:paraId="219DAEC5" w14:textId="77777777" w:rsidR="00942268" w:rsidRPr="008F3D9C" w:rsidRDefault="00942268" w:rsidP="001D65D6">
            <w:pPr>
              <w:spacing w:after="60"/>
              <w:rPr>
                <w:rFonts w:eastAsia="Calibri" w:cstheme="minorHAnsi"/>
              </w:rPr>
            </w:pPr>
            <w:r w:rsidRPr="008F3D9C">
              <w:rPr>
                <w:rFonts w:eastAsia="Calibri" w:cstheme="minorHAnsi"/>
              </w:rPr>
              <w:t>Grains &amp; Legumes</w:t>
            </w:r>
          </w:p>
        </w:tc>
        <w:tc>
          <w:tcPr>
            <w:tcW w:w="1538" w:type="dxa"/>
            <w:tcBorders>
              <w:left w:val="none" w:sz="0" w:space="0" w:color="auto"/>
              <w:right w:val="none" w:sz="0" w:space="0" w:color="auto"/>
            </w:tcBorders>
            <w:vAlign w:val="bottom"/>
          </w:tcPr>
          <w:p w14:paraId="39469050"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1,368</w:t>
            </w:r>
          </w:p>
        </w:tc>
        <w:tc>
          <w:tcPr>
            <w:tcW w:w="1359" w:type="dxa"/>
            <w:tcBorders>
              <w:left w:val="none" w:sz="0" w:space="0" w:color="auto"/>
              <w:right w:val="none" w:sz="0" w:space="0" w:color="auto"/>
            </w:tcBorders>
            <w:vAlign w:val="bottom"/>
          </w:tcPr>
          <w:p w14:paraId="631B113F"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486</w:t>
            </w:r>
          </w:p>
        </w:tc>
        <w:tc>
          <w:tcPr>
            <w:tcW w:w="1359" w:type="dxa"/>
            <w:tcBorders>
              <w:left w:val="none" w:sz="0" w:space="0" w:color="auto"/>
              <w:right w:val="none" w:sz="0" w:space="0" w:color="auto"/>
            </w:tcBorders>
            <w:vAlign w:val="bottom"/>
          </w:tcPr>
          <w:p w14:paraId="207182F8"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335</w:t>
            </w:r>
          </w:p>
        </w:tc>
        <w:tc>
          <w:tcPr>
            <w:tcW w:w="1359" w:type="dxa"/>
            <w:tcBorders>
              <w:left w:val="none" w:sz="0" w:space="0" w:color="auto"/>
              <w:right w:val="none" w:sz="0" w:space="0" w:color="auto"/>
            </w:tcBorders>
            <w:vAlign w:val="bottom"/>
          </w:tcPr>
          <w:p w14:paraId="3DBA18D8"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71</w:t>
            </w:r>
          </w:p>
        </w:tc>
        <w:tc>
          <w:tcPr>
            <w:tcW w:w="1359" w:type="dxa"/>
            <w:tcBorders>
              <w:left w:val="none" w:sz="0" w:space="0" w:color="auto"/>
            </w:tcBorders>
            <w:vAlign w:val="bottom"/>
          </w:tcPr>
          <w:p w14:paraId="2757EB84"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24%</w:t>
            </w:r>
          </w:p>
        </w:tc>
      </w:tr>
      <w:tr w:rsidR="00942268" w:rsidRPr="008F3D9C" w14:paraId="2CBF5DF5" w14:textId="77777777" w:rsidTr="00060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14:paraId="6AA114E5" w14:textId="77777777" w:rsidR="00942268" w:rsidRPr="008F3D9C" w:rsidRDefault="00942268" w:rsidP="001D65D6">
            <w:pPr>
              <w:spacing w:after="60"/>
              <w:rPr>
                <w:rFonts w:eastAsia="Calibri" w:cstheme="minorHAnsi"/>
              </w:rPr>
            </w:pPr>
            <w:r w:rsidRPr="008F3D9C">
              <w:rPr>
                <w:rFonts w:eastAsia="Calibri" w:cstheme="minorHAnsi"/>
              </w:rPr>
              <w:t>Meat, Fish &amp; Eggs</w:t>
            </w:r>
          </w:p>
        </w:tc>
        <w:tc>
          <w:tcPr>
            <w:tcW w:w="1538" w:type="dxa"/>
            <w:tcBorders>
              <w:left w:val="none" w:sz="0" w:space="0" w:color="auto"/>
              <w:right w:val="none" w:sz="0" w:space="0" w:color="auto"/>
            </w:tcBorders>
            <w:vAlign w:val="bottom"/>
          </w:tcPr>
          <w:p w14:paraId="40AB983E"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731</w:t>
            </w:r>
          </w:p>
        </w:tc>
        <w:tc>
          <w:tcPr>
            <w:tcW w:w="1359" w:type="dxa"/>
            <w:tcBorders>
              <w:left w:val="none" w:sz="0" w:space="0" w:color="auto"/>
              <w:right w:val="none" w:sz="0" w:space="0" w:color="auto"/>
            </w:tcBorders>
            <w:vAlign w:val="bottom"/>
          </w:tcPr>
          <w:p w14:paraId="11FC5074"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723</w:t>
            </w:r>
          </w:p>
        </w:tc>
        <w:tc>
          <w:tcPr>
            <w:tcW w:w="1359" w:type="dxa"/>
            <w:tcBorders>
              <w:left w:val="none" w:sz="0" w:space="0" w:color="auto"/>
              <w:right w:val="none" w:sz="0" w:space="0" w:color="auto"/>
            </w:tcBorders>
            <w:vAlign w:val="bottom"/>
          </w:tcPr>
          <w:p w14:paraId="17A72206"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178</w:t>
            </w:r>
          </w:p>
        </w:tc>
        <w:tc>
          <w:tcPr>
            <w:tcW w:w="1359" w:type="dxa"/>
            <w:tcBorders>
              <w:left w:val="none" w:sz="0" w:space="0" w:color="auto"/>
              <w:right w:val="none" w:sz="0" w:space="0" w:color="auto"/>
            </w:tcBorders>
            <w:vAlign w:val="bottom"/>
          </w:tcPr>
          <w:p w14:paraId="01D0F648"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58</w:t>
            </w:r>
          </w:p>
        </w:tc>
        <w:tc>
          <w:tcPr>
            <w:tcW w:w="1359" w:type="dxa"/>
            <w:tcBorders>
              <w:left w:val="none" w:sz="0" w:space="0" w:color="auto"/>
            </w:tcBorders>
            <w:vAlign w:val="bottom"/>
          </w:tcPr>
          <w:p w14:paraId="4884E12D"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25%</w:t>
            </w:r>
          </w:p>
        </w:tc>
      </w:tr>
      <w:tr w:rsidR="00942268" w:rsidRPr="008F3D9C" w14:paraId="40F871D7" w14:textId="77777777" w:rsidTr="000604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14:paraId="44844BFB" w14:textId="77777777" w:rsidR="00942268" w:rsidRPr="008F3D9C" w:rsidRDefault="00942268" w:rsidP="001D65D6">
            <w:pPr>
              <w:spacing w:after="60"/>
              <w:rPr>
                <w:rFonts w:eastAsia="Calibri" w:cstheme="minorHAnsi"/>
                <w:rtl/>
              </w:rPr>
            </w:pPr>
            <w:r w:rsidRPr="008F3D9C">
              <w:rPr>
                <w:rFonts w:eastAsia="Calibri" w:cstheme="minorHAnsi"/>
              </w:rPr>
              <w:t>Milk &amp; Dairy</w:t>
            </w:r>
          </w:p>
        </w:tc>
        <w:tc>
          <w:tcPr>
            <w:tcW w:w="1538" w:type="dxa"/>
            <w:tcBorders>
              <w:left w:val="none" w:sz="0" w:space="0" w:color="auto"/>
              <w:right w:val="none" w:sz="0" w:space="0" w:color="auto"/>
            </w:tcBorders>
            <w:vAlign w:val="bottom"/>
          </w:tcPr>
          <w:p w14:paraId="2263BD11"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1,617</w:t>
            </w:r>
          </w:p>
        </w:tc>
        <w:tc>
          <w:tcPr>
            <w:tcW w:w="1359" w:type="dxa"/>
            <w:tcBorders>
              <w:left w:val="none" w:sz="0" w:space="0" w:color="auto"/>
              <w:right w:val="none" w:sz="0" w:space="0" w:color="auto"/>
            </w:tcBorders>
            <w:vAlign w:val="bottom"/>
          </w:tcPr>
          <w:p w14:paraId="675909B1"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1,598</w:t>
            </w:r>
          </w:p>
        </w:tc>
        <w:tc>
          <w:tcPr>
            <w:tcW w:w="1359" w:type="dxa"/>
            <w:tcBorders>
              <w:left w:val="none" w:sz="0" w:space="0" w:color="auto"/>
              <w:right w:val="none" w:sz="0" w:space="0" w:color="auto"/>
            </w:tcBorders>
            <w:vAlign w:val="bottom"/>
          </w:tcPr>
          <w:p w14:paraId="5DD5C74E"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194</w:t>
            </w:r>
          </w:p>
        </w:tc>
        <w:tc>
          <w:tcPr>
            <w:tcW w:w="1359" w:type="dxa"/>
            <w:tcBorders>
              <w:left w:val="none" w:sz="0" w:space="0" w:color="auto"/>
              <w:right w:val="none" w:sz="0" w:space="0" w:color="auto"/>
            </w:tcBorders>
            <w:vAlign w:val="bottom"/>
          </w:tcPr>
          <w:p w14:paraId="6D4BECC6"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55</w:t>
            </w:r>
          </w:p>
        </w:tc>
        <w:tc>
          <w:tcPr>
            <w:tcW w:w="1359" w:type="dxa"/>
            <w:tcBorders>
              <w:left w:val="none" w:sz="0" w:space="0" w:color="auto"/>
            </w:tcBorders>
            <w:vAlign w:val="bottom"/>
          </w:tcPr>
          <w:p w14:paraId="14C76849" w14:textId="77777777" w:rsidR="00942268" w:rsidRDefault="00942268" w:rsidP="004072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w:t>
            </w:r>
          </w:p>
        </w:tc>
      </w:tr>
      <w:tr w:rsidR="00942268" w:rsidRPr="008F3D9C" w14:paraId="0CEB6A54" w14:textId="77777777" w:rsidTr="00060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14:paraId="16341D39" w14:textId="77777777" w:rsidR="00942268" w:rsidRPr="008F3D9C" w:rsidRDefault="00942268" w:rsidP="001D65D6">
            <w:pPr>
              <w:spacing w:after="60"/>
              <w:rPr>
                <w:rFonts w:eastAsia="Calibri" w:cstheme="minorHAnsi"/>
                <w:rtl/>
              </w:rPr>
            </w:pPr>
            <w:r w:rsidRPr="008F3D9C">
              <w:rPr>
                <w:rFonts w:eastAsia="Calibri" w:cstheme="minorHAnsi"/>
              </w:rPr>
              <w:t xml:space="preserve">Total </w:t>
            </w:r>
          </w:p>
        </w:tc>
        <w:tc>
          <w:tcPr>
            <w:tcW w:w="1538" w:type="dxa"/>
            <w:tcBorders>
              <w:left w:val="none" w:sz="0" w:space="0" w:color="auto"/>
              <w:right w:val="none" w:sz="0" w:space="0" w:color="auto"/>
            </w:tcBorders>
            <w:vAlign w:val="bottom"/>
          </w:tcPr>
          <w:p w14:paraId="6851DE8F" w14:textId="77777777" w:rsidR="00942268"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6,772</w:t>
            </w:r>
          </w:p>
        </w:tc>
        <w:tc>
          <w:tcPr>
            <w:tcW w:w="1359" w:type="dxa"/>
            <w:tcBorders>
              <w:left w:val="none" w:sz="0" w:space="0" w:color="auto"/>
              <w:right w:val="none" w:sz="0" w:space="0" w:color="auto"/>
            </w:tcBorders>
            <w:vAlign w:val="bottom"/>
          </w:tcPr>
          <w:p w14:paraId="27D3FF66" w14:textId="77777777" w:rsidR="00942268" w:rsidRPr="00E81F05"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7,149</w:t>
            </w:r>
          </w:p>
        </w:tc>
        <w:tc>
          <w:tcPr>
            <w:tcW w:w="1359" w:type="dxa"/>
            <w:tcBorders>
              <w:left w:val="none" w:sz="0" w:space="0" w:color="auto"/>
              <w:right w:val="none" w:sz="0" w:space="0" w:color="auto"/>
            </w:tcBorders>
            <w:vAlign w:val="bottom"/>
          </w:tcPr>
          <w:p w14:paraId="0AF9B1AB" w14:textId="77777777" w:rsidR="00942268" w:rsidRPr="00E81F05"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2,339</w:t>
            </w:r>
          </w:p>
        </w:tc>
        <w:tc>
          <w:tcPr>
            <w:tcW w:w="1359" w:type="dxa"/>
            <w:tcBorders>
              <w:left w:val="none" w:sz="0" w:space="0" w:color="auto"/>
              <w:right w:val="none" w:sz="0" w:space="0" w:color="auto"/>
            </w:tcBorders>
            <w:vAlign w:val="bottom"/>
          </w:tcPr>
          <w:p w14:paraId="282196C8" w14:textId="77777777" w:rsidR="00942268" w:rsidRPr="00E81F05"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1,073</w:t>
            </w:r>
          </w:p>
        </w:tc>
        <w:tc>
          <w:tcPr>
            <w:tcW w:w="1359" w:type="dxa"/>
            <w:tcBorders>
              <w:left w:val="none" w:sz="0" w:space="0" w:color="auto"/>
            </w:tcBorders>
            <w:vAlign w:val="bottom"/>
          </w:tcPr>
          <w:p w14:paraId="2BA25032" w14:textId="77777777" w:rsidR="00942268" w:rsidRPr="007C6B53" w:rsidRDefault="00942268" w:rsidP="0040728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color w:val="000000"/>
                <w:sz w:val="20"/>
                <w:szCs w:val="20"/>
              </w:rPr>
              <w:t>33%</w:t>
            </w:r>
          </w:p>
        </w:tc>
      </w:tr>
    </w:tbl>
    <w:p w14:paraId="3E5ADC07" w14:textId="77777777" w:rsidR="00C17CAF" w:rsidRPr="008F3D9C" w:rsidRDefault="00C17CAF" w:rsidP="00C35729">
      <w:pPr>
        <w:pStyle w:val="Graphnote"/>
        <w:rPr>
          <w:rtl/>
        </w:rPr>
      </w:pPr>
      <w:r w:rsidRPr="00C35729">
        <w:t>Source</w:t>
      </w:r>
      <w:r w:rsidRPr="008F3D9C">
        <w:t>: BDO estimates</w:t>
      </w:r>
    </w:p>
    <w:p w14:paraId="3EB7C545" w14:textId="74D5C6E3" w:rsidR="00DC401A" w:rsidRPr="008F3D9C" w:rsidRDefault="00A5740C" w:rsidP="00397466">
      <w:pPr>
        <w:pStyle w:val="BodyText"/>
      </w:pPr>
      <w:r>
        <w:t>F</w:t>
      </w:r>
      <w:r w:rsidR="00885373" w:rsidRPr="00D06CCF">
        <w:t>ood waste during household consumption was not classified</w:t>
      </w:r>
      <w:r w:rsidR="003C66BF" w:rsidRPr="00D06CCF">
        <w:t xml:space="preserve"> </w:t>
      </w:r>
      <w:r w:rsidR="006C7E55" w:rsidRPr="00D06CCF">
        <w:t>as re</w:t>
      </w:r>
      <w:r w:rsidR="003C66BF" w:rsidRPr="00D06CCF">
        <w:t>scuable</w:t>
      </w:r>
      <w:r w:rsidR="006C7E55" w:rsidRPr="00D06CCF">
        <w:t xml:space="preserve">. There are various approaches to the issue of food </w:t>
      </w:r>
      <w:r w:rsidR="003C66BF" w:rsidRPr="00D06CCF">
        <w:t>waste</w:t>
      </w:r>
      <w:r w:rsidR="006C7E55" w:rsidRPr="00D06CCF">
        <w:t xml:space="preserve"> in </w:t>
      </w:r>
      <w:r w:rsidR="006C7E55" w:rsidRPr="00D06CCF">
        <w:lastRenderedPageBreak/>
        <w:t>household consumption.</w:t>
      </w:r>
      <w:r w:rsidR="0057048D" w:rsidRPr="00D06CCF">
        <w:t xml:space="preserve"> </w:t>
      </w:r>
      <w:r w:rsidR="006C7E55" w:rsidRPr="00D06CCF">
        <w:t xml:space="preserve">Western culture is based on </w:t>
      </w:r>
      <w:r w:rsidR="00BF02D1">
        <w:t>a</w:t>
      </w:r>
      <w:r w:rsidR="006C7E55" w:rsidRPr="00D06CCF">
        <w:t xml:space="preserve"> notion of consumerism and prosperity, </w:t>
      </w:r>
      <w:r>
        <w:t xml:space="preserve">in which </w:t>
      </w:r>
      <w:r w:rsidR="006C7E55" w:rsidRPr="00D06CCF">
        <w:t>consumer</w:t>
      </w:r>
      <w:r>
        <w:t>s</w:t>
      </w:r>
      <w:r w:rsidR="006C7E55" w:rsidRPr="00D06CCF">
        <w:t xml:space="preserve"> extract benefit and enjoyment</w:t>
      </w:r>
      <w:r>
        <w:t>,</w:t>
      </w:r>
      <w:r w:rsidR="006C7E55" w:rsidRPr="00D06CCF">
        <w:t xml:space="preserve"> not only from food consumption, but also from </w:t>
      </w:r>
      <w:r w:rsidR="00C35729">
        <w:t xml:space="preserve">having </w:t>
      </w:r>
      <w:r w:rsidR="006C7E55" w:rsidRPr="00D06CCF">
        <w:t>a range of selections and even excess.</w:t>
      </w:r>
      <w:r w:rsidR="0057048D" w:rsidRPr="00D06CCF">
        <w:t xml:space="preserve"> </w:t>
      </w:r>
      <w:r w:rsidR="006C7E55" w:rsidRPr="00D06CCF">
        <w:t xml:space="preserve">Economically, as long as consumers pay the full </w:t>
      </w:r>
      <w:r>
        <w:t>amount for purchased products, there is n</w:t>
      </w:r>
      <w:r w:rsidR="006C7E55" w:rsidRPr="00D06CCF">
        <w:t xml:space="preserve">o </w:t>
      </w:r>
      <w:r>
        <w:t xml:space="preserve">justification for </w:t>
      </w:r>
      <w:r w:rsidR="006C7E55" w:rsidRPr="00D06CCF">
        <w:t>restrictin</w:t>
      </w:r>
      <w:r>
        <w:t xml:space="preserve">g </w:t>
      </w:r>
      <w:r w:rsidR="006C7E55" w:rsidRPr="00D06CCF">
        <w:t>consumption.</w:t>
      </w:r>
      <w:r w:rsidR="0057048D" w:rsidRPr="00D06CCF">
        <w:t xml:space="preserve"> </w:t>
      </w:r>
      <w:r w:rsidR="006C7E55" w:rsidRPr="00D06CCF">
        <w:t>The problem is that</w:t>
      </w:r>
      <w:r>
        <w:t xml:space="preserve"> food </w:t>
      </w:r>
      <w:r w:rsidR="006C7E55" w:rsidRPr="00D06CCF">
        <w:t xml:space="preserve">production entails </w:t>
      </w:r>
      <w:r w:rsidR="008C351C" w:rsidRPr="00D06CCF">
        <w:t xml:space="preserve">the </w:t>
      </w:r>
      <w:r w:rsidR="006C7E55" w:rsidRPr="00D06CCF">
        <w:t>us</w:t>
      </w:r>
      <w:r w:rsidR="008C351C" w:rsidRPr="00D06CCF">
        <w:t>e</w:t>
      </w:r>
      <w:r w:rsidR="006C7E55" w:rsidRPr="00D06CCF">
        <w:t xml:space="preserve"> </w:t>
      </w:r>
      <w:r w:rsidR="008C351C" w:rsidRPr="00D06CCF">
        <w:t xml:space="preserve">of </w:t>
      </w:r>
      <w:r w:rsidR="006C7E55" w:rsidRPr="00D06CCF">
        <w:t>natural</w:t>
      </w:r>
      <w:r w:rsidR="009C4CDA" w:rsidRPr="00D06CCF">
        <w:t xml:space="preserve"> </w:t>
      </w:r>
      <w:r w:rsidR="006C7E55" w:rsidRPr="00D06CCF">
        <w:t xml:space="preserve">resources and </w:t>
      </w:r>
      <w:r w:rsidR="00BF02D1">
        <w:t>has an</w:t>
      </w:r>
      <w:r w:rsidR="008C351C" w:rsidRPr="00D06CCF">
        <w:t xml:space="preserve"> </w:t>
      </w:r>
      <w:r w:rsidR="006C7E55" w:rsidRPr="00D06CCF">
        <w:t xml:space="preserve">environmental </w:t>
      </w:r>
      <w:r w:rsidR="003C66BF" w:rsidRPr="00D06CCF">
        <w:t>impact</w:t>
      </w:r>
      <w:r w:rsidR="006C7E55" w:rsidRPr="00D06CCF">
        <w:t xml:space="preserve">, </w:t>
      </w:r>
      <w:r w:rsidR="008D6A0D">
        <w:t xml:space="preserve">and such </w:t>
      </w:r>
      <w:r w:rsidR="006C7E55" w:rsidRPr="00D06CCF">
        <w:t>external costs are not calculated in the pr</w:t>
      </w:r>
      <w:r w:rsidR="009E55E8" w:rsidRPr="00D06CCF">
        <w:t>ice paid by consumers for food.</w:t>
      </w:r>
      <w:r w:rsidR="0057048D" w:rsidRPr="00D06CCF">
        <w:t xml:space="preserve"> </w:t>
      </w:r>
      <w:r>
        <w:t xml:space="preserve">We did not examine these </w:t>
      </w:r>
      <w:r w:rsidR="00397466">
        <w:t>aspects, h</w:t>
      </w:r>
      <w:r w:rsidR="006C7E55" w:rsidRPr="00D06CCF">
        <w:t>owever, these circumstances m</w:t>
      </w:r>
      <w:r>
        <w:t xml:space="preserve">ight </w:t>
      </w:r>
      <w:r w:rsidR="006C7E55" w:rsidRPr="00D06CCF">
        <w:t xml:space="preserve">justify actions to </w:t>
      </w:r>
      <w:r w:rsidR="00F2686D">
        <w:t>encourag</w:t>
      </w:r>
      <w:r w:rsidR="00C35729">
        <w:t>e</w:t>
      </w:r>
      <w:r w:rsidR="00F2686D">
        <w:t xml:space="preserve"> food</w:t>
      </w:r>
      <w:r w:rsidR="008D6A0D">
        <w:t xml:space="preserve"> recovery </w:t>
      </w:r>
      <w:r w:rsidR="00BF02D1">
        <w:t>—</w:t>
      </w:r>
      <w:r w:rsidR="00F2686D">
        <w:t xml:space="preserve"> perhaps with government</w:t>
      </w:r>
      <w:r w:rsidR="008F742E">
        <w:t>al sponsored</w:t>
      </w:r>
      <w:r w:rsidR="00F2686D">
        <w:t xml:space="preserve"> public relations campaign</w:t>
      </w:r>
      <w:r w:rsidR="008F742E">
        <w:t>s</w:t>
      </w:r>
      <w:r w:rsidR="00F2686D">
        <w:t xml:space="preserve">, as has been done in several </w:t>
      </w:r>
      <w:r w:rsidR="00BF02D1">
        <w:t>w</w:t>
      </w:r>
      <w:r w:rsidR="00F2686D">
        <w:t>estern countries</w:t>
      </w:r>
      <w:r w:rsidR="00BF02D1">
        <w:t>—</w:t>
      </w:r>
      <w:r w:rsidR="00F2686D">
        <w:t>to</w:t>
      </w:r>
      <w:r w:rsidR="006C7E55" w:rsidRPr="00D06CCF">
        <w:t xml:space="preserve"> rais</w:t>
      </w:r>
      <w:r w:rsidR="00F2686D">
        <w:t xml:space="preserve">e </w:t>
      </w:r>
      <w:r w:rsidR="006C7E55" w:rsidRPr="00D06CCF">
        <w:t xml:space="preserve">public awareness regarding the external </w:t>
      </w:r>
      <w:r w:rsidR="008F742E">
        <w:t>impact</w:t>
      </w:r>
      <w:r w:rsidR="008F742E" w:rsidRPr="00D06CCF">
        <w:t xml:space="preserve"> </w:t>
      </w:r>
      <w:r w:rsidR="00F2686D">
        <w:t>of</w:t>
      </w:r>
      <w:r w:rsidR="008C351C" w:rsidRPr="00D06CCF">
        <w:t xml:space="preserve"> </w:t>
      </w:r>
      <w:r w:rsidR="006C7E55" w:rsidRPr="00D06CCF">
        <w:t>produc</w:t>
      </w:r>
      <w:r w:rsidR="008C351C" w:rsidRPr="00D06CCF">
        <w:t>in</w:t>
      </w:r>
      <w:r w:rsidR="00F2686D">
        <w:t>g</w:t>
      </w:r>
      <w:r w:rsidR="008C351C" w:rsidRPr="00D06CCF">
        <w:t xml:space="preserve"> </w:t>
      </w:r>
      <w:r w:rsidR="006C7E55" w:rsidRPr="00D06CCF">
        <w:t>food that is left unconsumed</w:t>
      </w:r>
      <w:r w:rsidR="007652D2" w:rsidRPr="00D06CCF">
        <w:t xml:space="preserve">. </w:t>
      </w:r>
    </w:p>
    <w:p w14:paraId="2B17C1E8" w14:textId="483BD598" w:rsidR="009B5BF0" w:rsidRDefault="00F2686D" w:rsidP="007F3358">
      <w:pPr>
        <w:pStyle w:val="BodyText"/>
      </w:pPr>
      <w:r w:rsidRPr="00CD45AF">
        <w:rPr>
          <w:b/>
          <w:bCs/>
          <w:i/>
          <w:iCs/>
        </w:rPr>
        <w:t>The value of rescuable food is approximately NIS</w:t>
      </w:r>
      <w:r w:rsidR="004B64F6">
        <w:rPr>
          <w:b/>
          <w:bCs/>
          <w:i/>
          <w:iCs/>
        </w:rPr>
        <w:t xml:space="preserve"> </w:t>
      </w:r>
      <w:r w:rsidRPr="00CD45AF">
        <w:rPr>
          <w:b/>
          <w:bCs/>
          <w:i/>
          <w:iCs/>
        </w:rPr>
        <w:t>7 billion, with the value of the loss increasing at each stage along the length of the value chain, as more resources have been invested in raising, producing, packaging and transporting</w:t>
      </w:r>
      <w:r w:rsidR="00C35729">
        <w:rPr>
          <w:b/>
          <w:bCs/>
          <w:i/>
          <w:iCs/>
        </w:rPr>
        <w:t xml:space="preserve"> the food that is then wasted</w:t>
      </w:r>
      <w:r w:rsidR="009B5BF0" w:rsidRPr="00CD45AF">
        <w:rPr>
          <w:b/>
          <w:bCs/>
          <w:i/>
          <w:iCs/>
        </w:rPr>
        <w:t xml:space="preserve">. As can be </w:t>
      </w:r>
      <w:r w:rsidR="00397466" w:rsidRPr="00CD45AF">
        <w:rPr>
          <w:b/>
          <w:bCs/>
          <w:i/>
          <w:iCs/>
        </w:rPr>
        <w:t>seen in</w:t>
      </w:r>
      <w:r w:rsidR="009B5BF0" w:rsidRPr="00CD45AF">
        <w:rPr>
          <w:b/>
          <w:bCs/>
          <w:i/>
          <w:iCs/>
        </w:rPr>
        <w:t xml:space="preserve"> the following table, most of the value of food waste is concentrated in the retail and </w:t>
      </w:r>
      <w:r w:rsidR="00C35729">
        <w:rPr>
          <w:b/>
          <w:bCs/>
          <w:i/>
          <w:iCs/>
        </w:rPr>
        <w:t xml:space="preserve">distribution </w:t>
      </w:r>
      <w:r w:rsidR="008D157A">
        <w:rPr>
          <w:b/>
          <w:bCs/>
          <w:i/>
          <w:iCs/>
        </w:rPr>
        <w:t>sector</w:t>
      </w:r>
      <w:r w:rsidR="009B5BF0" w:rsidRPr="00CD45AF">
        <w:rPr>
          <w:b/>
          <w:bCs/>
          <w:i/>
          <w:iCs/>
        </w:rPr>
        <w:t xml:space="preserve">, because the food lost </w:t>
      </w:r>
      <w:r w:rsidR="008D6A0D">
        <w:rPr>
          <w:b/>
          <w:bCs/>
          <w:i/>
          <w:iCs/>
        </w:rPr>
        <w:t xml:space="preserve">during these </w:t>
      </w:r>
      <w:r w:rsidR="009B5BF0" w:rsidRPr="00CD45AF">
        <w:rPr>
          <w:b/>
          <w:bCs/>
          <w:i/>
          <w:iCs/>
        </w:rPr>
        <w:t>stage</w:t>
      </w:r>
      <w:r w:rsidR="008D6A0D">
        <w:rPr>
          <w:b/>
          <w:bCs/>
          <w:i/>
          <w:iCs/>
        </w:rPr>
        <w:t>s</w:t>
      </w:r>
      <w:r w:rsidR="009B5BF0" w:rsidRPr="00CD45AF">
        <w:rPr>
          <w:b/>
          <w:bCs/>
          <w:i/>
          <w:iCs/>
        </w:rPr>
        <w:t xml:space="preserve"> is ready for marketing and consumption,</w:t>
      </w:r>
      <w:r w:rsidR="00C35729">
        <w:rPr>
          <w:b/>
          <w:bCs/>
          <w:i/>
          <w:iCs/>
        </w:rPr>
        <w:t xml:space="preserve"> </w:t>
      </w:r>
      <w:r w:rsidR="007F3358">
        <w:rPr>
          <w:b/>
          <w:bCs/>
          <w:i/>
          <w:iCs/>
        </w:rPr>
        <w:t xml:space="preserve">that is </w:t>
      </w:r>
      <w:r w:rsidR="00C35729">
        <w:rPr>
          <w:b/>
          <w:bCs/>
          <w:i/>
          <w:iCs/>
        </w:rPr>
        <w:t xml:space="preserve">being </w:t>
      </w:r>
      <w:r w:rsidR="009B5BF0" w:rsidRPr="00CD45AF">
        <w:rPr>
          <w:b/>
          <w:bCs/>
          <w:i/>
          <w:iCs/>
        </w:rPr>
        <w:t>discarded before reaching the final consumer</w:t>
      </w:r>
      <w:r w:rsidR="009B5BF0">
        <w:t>.</w:t>
      </w:r>
    </w:p>
    <w:p w14:paraId="4976B2F4" w14:textId="739EA329" w:rsidR="009B5BF0" w:rsidRDefault="009B5BF0" w:rsidP="008D6A0D">
      <w:pPr>
        <w:pStyle w:val="Graphtitle"/>
      </w:pPr>
      <w:r w:rsidRPr="009B5BF0">
        <w:t>Value</w:t>
      </w:r>
      <w:r>
        <w:t xml:space="preserve"> </w:t>
      </w:r>
      <w:r w:rsidRPr="009B5BF0">
        <w:t xml:space="preserve">of </w:t>
      </w:r>
      <w:r>
        <w:t xml:space="preserve">Rescuable </w:t>
      </w:r>
      <w:r w:rsidRPr="009B5BF0">
        <w:t xml:space="preserve">Food </w:t>
      </w:r>
      <w:r>
        <w:t xml:space="preserve">in the </w:t>
      </w:r>
      <w:r w:rsidR="008D6A0D">
        <w:t xml:space="preserve">Food </w:t>
      </w:r>
      <w:r>
        <w:t>Chain</w:t>
      </w:r>
    </w:p>
    <w:p w14:paraId="69BC1407" w14:textId="77777777" w:rsidR="009B5BF0" w:rsidRPr="00C35729" w:rsidRDefault="009B5BF0" w:rsidP="00D5196F">
      <w:pPr>
        <w:pStyle w:val="Graphtitle"/>
        <w:spacing w:line="240" w:lineRule="auto"/>
        <w:rPr>
          <w:b w:val="0"/>
          <w:bCs w:val="0"/>
        </w:rPr>
      </w:pPr>
      <w:r w:rsidRPr="00C35729">
        <w:rPr>
          <w:b w:val="0"/>
          <w:bCs w:val="0"/>
        </w:rPr>
        <w:t>(In NIS millions</w:t>
      </w:r>
      <w:r w:rsidR="00A47670" w:rsidRPr="00C35729">
        <w:rPr>
          <w:b w:val="0"/>
          <w:bCs w:val="0"/>
        </w:rPr>
        <w:t>, rounded for ease of presentation</w:t>
      </w:r>
      <w:r w:rsidRPr="00C35729">
        <w:rPr>
          <w:b w:val="0"/>
          <w:bCs w:val="0"/>
        </w:rPr>
        <w:t>)</w:t>
      </w:r>
    </w:p>
    <w:tbl>
      <w:tblPr>
        <w:tblpPr w:leftFromText="180" w:rightFromText="180" w:vertAnchor="text" w:horzAnchor="page" w:tblpX="3733" w:tblpY="190"/>
        <w:tblW w:w="4386" w:type="dxa"/>
        <w:tblLook w:val="04A0" w:firstRow="1" w:lastRow="0" w:firstColumn="1" w:lastColumn="0" w:noHBand="0" w:noVBand="1"/>
      </w:tblPr>
      <w:tblGrid>
        <w:gridCol w:w="2093"/>
        <w:gridCol w:w="2293"/>
      </w:tblGrid>
      <w:tr w:rsidR="00A47670" w:rsidRPr="00A47670" w14:paraId="4C3C57C6" w14:textId="77777777" w:rsidTr="00C35729">
        <w:trPr>
          <w:trHeight w:val="430"/>
        </w:trPr>
        <w:tc>
          <w:tcPr>
            <w:tcW w:w="2093" w:type="dxa"/>
            <w:tcBorders>
              <w:top w:val="single" w:sz="4" w:space="0" w:color="95B3D7"/>
              <w:left w:val="single" w:sz="4" w:space="0" w:color="95B3D7"/>
              <w:bottom w:val="nil"/>
              <w:right w:val="nil"/>
            </w:tcBorders>
            <w:shd w:val="clear" w:color="4F81BD" w:fill="4F81BD"/>
            <w:noWrap/>
            <w:vAlign w:val="bottom"/>
            <w:hideMark/>
          </w:tcPr>
          <w:p w14:paraId="6F594521" w14:textId="24E40752" w:rsidR="00A47670" w:rsidRPr="00A47670" w:rsidRDefault="00A47670" w:rsidP="00A47670">
            <w:pPr>
              <w:spacing w:line="240" w:lineRule="auto"/>
              <w:jc w:val="center"/>
              <w:rPr>
                <w:b/>
                <w:bCs/>
              </w:rPr>
            </w:pPr>
            <w:r w:rsidRPr="00A47670">
              <w:rPr>
                <w:b/>
                <w:bCs/>
              </w:rPr>
              <w:t> </w:t>
            </w:r>
          </w:p>
          <w:p w14:paraId="4EBDF51A" w14:textId="77777777" w:rsidR="00A47670" w:rsidRPr="00A47670" w:rsidRDefault="00A47670" w:rsidP="00A47670">
            <w:pPr>
              <w:spacing w:line="240" w:lineRule="auto"/>
              <w:jc w:val="center"/>
              <w:rPr>
                <w:b/>
                <w:bCs/>
              </w:rPr>
            </w:pPr>
          </w:p>
        </w:tc>
        <w:tc>
          <w:tcPr>
            <w:tcW w:w="2293" w:type="dxa"/>
            <w:tcBorders>
              <w:top w:val="single" w:sz="4" w:space="0" w:color="95B3D7"/>
              <w:left w:val="nil"/>
              <w:bottom w:val="nil"/>
              <w:right w:val="single" w:sz="4" w:space="0" w:color="95B3D7"/>
            </w:tcBorders>
            <w:shd w:val="clear" w:color="4F81BD" w:fill="4F81BD"/>
            <w:noWrap/>
            <w:vAlign w:val="center"/>
            <w:hideMark/>
          </w:tcPr>
          <w:p w14:paraId="6870D8DC" w14:textId="77777777" w:rsidR="00A47670" w:rsidRPr="00A47670" w:rsidRDefault="00A47670" w:rsidP="00C35729">
            <w:pPr>
              <w:pStyle w:val="Tableheader"/>
            </w:pPr>
            <w:r w:rsidRPr="00A47670">
              <w:t xml:space="preserve">Value of </w:t>
            </w:r>
            <w:r w:rsidRPr="00A47670">
              <w:br/>
              <w:t>Rescuable Food</w:t>
            </w:r>
          </w:p>
        </w:tc>
      </w:tr>
      <w:tr w:rsidR="00A47670" w:rsidRPr="00A47670" w14:paraId="45729A53" w14:textId="77777777" w:rsidTr="00C35729">
        <w:trPr>
          <w:trHeight w:val="255"/>
        </w:trPr>
        <w:tc>
          <w:tcPr>
            <w:tcW w:w="2093" w:type="dxa"/>
            <w:tcBorders>
              <w:top w:val="single" w:sz="4" w:space="0" w:color="95B3D7"/>
              <w:left w:val="single" w:sz="4" w:space="0" w:color="95B3D7"/>
              <w:bottom w:val="nil"/>
              <w:right w:val="nil"/>
            </w:tcBorders>
            <w:shd w:val="clear" w:color="DCE6F1" w:fill="DCE6F1"/>
            <w:noWrap/>
            <w:vAlign w:val="bottom"/>
            <w:hideMark/>
          </w:tcPr>
          <w:p w14:paraId="42001754" w14:textId="77777777" w:rsidR="00A47670" w:rsidRPr="00A47670" w:rsidRDefault="00A47670" w:rsidP="00A47670">
            <w:pPr>
              <w:spacing w:line="240" w:lineRule="auto"/>
              <w:jc w:val="center"/>
              <w:rPr>
                <w:b/>
                <w:bCs/>
                <w:rtl/>
              </w:rPr>
            </w:pPr>
            <w:r w:rsidRPr="00A47670">
              <w:rPr>
                <w:b/>
                <w:bCs/>
              </w:rPr>
              <w:t>Agriculture</w:t>
            </w:r>
            <w:r w:rsidRPr="00A47670">
              <w:rPr>
                <w:b/>
                <w:bCs/>
                <w:rtl/>
              </w:rPr>
              <w:t xml:space="preserve"> </w:t>
            </w:r>
          </w:p>
        </w:tc>
        <w:tc>
          <w:tcPr>
            <w:tcW w:w="2293" w:type="dxa"/>
            <w:tcBorders>
              <w:top w:val="single" w:sz="4" w:space="0" w:color="95B3D7"/>
              <w:left w:val="nil"/>
              <w:bottom w:val="nil"/>
              <w:right w:val="single" w:sz="4" w:space="0" w:color="95B3D7"/>
            </w:tcBorders>
            <w:shd w:val="clear" w:color="DCE6F1" w:fill="DCE6F1"/>
            <w:noWrap/>
            <w:vAlign w:val="center"/>
            <w:hideMark/>
          </w:tcPr>
          <w:p w14:paraId="188BC789" w14:textId="77777777" w:rsidR="00A47670" w:rsidRPr="00A47670" w:rsidRDefault="00A47670" w:rsidP="00A47670">
            <w:pPr>
              <w:spacing w:line="240" w:lineRule="auto"/>
              <w:jc w:val="center"/>
              <w:rPr>
                <w:b/>
                <w:bCs/>
                <w:rtl/>
              </w:rPr>
            </w:pPr>
            <w:r w:rsidRPr="00A47670">
              <w:rPr>
                <w:b/>
                <w:bCs/>
              </w:rPr>
              <w:t>1,650</w:t>
            </w:r>
          </w:p>
        </w:tc>
      </w:tr>
      <w:tr w:rsidR="00A47670" w:rsidRPr="00A47670" w14:paraId="381C092C" w14:textId="77777777" w:rsidTr="00C35729">
        <w:trPr>
          <w:trHeight w:val="255"/>
        </w:trPr>
        <w:tc>
          <w:tcPr>
            <w:tcW w:w="2093" w:type="dxa"/>
            <w:tcBorders>
              <w:top w:val="single" w:sz="4" w:space="0" w:color="95B3D7"/>
              <w:left w:val="single" w:sz="4" w:space="0" w:color="95B3D7"/>
              <w:bottom w:val="nil"/>
              <w:right w:val="nil"/>
            </w:tcBorders>
            <w:shd w:val="clear" w:color="auto" w:fill="auto"/>
            <w:noWrap/>
            <w:vAlign w:val="bottom"/>
            <w:hideMark/>
          </w:tcPr>
          <w:p w14:paraId="58974DE6" w14:textId="77777777" w:rsidR="00A47670" w:rsidRPr="00A47670" w:rsidRDefault="00A47670" w:rsidP="00A47670">
            <w:pPr>
              <w:spacing w:line="240" w:lineRule="auto"/>
              <w:jc w:val="center"/>
              <w:rPr>
                <w:b/>
                <w:bCs/>
              </w:rPr>
            </w:pPr>
            <w:r w:rsidRPr="00A47670">
              <w:rPr>
                <w:b/>
                <w:bCs/>
              </w:rPr>
              <w:t>Sorting &amp; Packaging</w:t>
            </w:r>
          </w:p>
        </w:tc>
        <w:tc>
          <w:tcPr>
            <w:tcW w:w="2293" w:type="dxa"/>
            <w:tcBorders>
              <w:top w:val="single" w:sz="4" w:space="0" w:color="95B3D7"/>
              <w:left w:val="nil"/>
              <w:bottom w:val="nil"/>
              <w:right w:val="single" w:sz="4" w:space="0" w:color="95B3D7"/>
            </w:tcBorders>
            <w:shd w:val="clear" w:color="auto" w:fill="auto"/>
            <w:noWrap/>
            <w:vAlign w:val="center"/>
            <w:hideMark/>
          </w:tcPr>
          <w:p w14:paraId="3F945209" w14:textId="77777777" w:rsidR="00A47670" w:rsidRPr="00A47670" w:rsidRDefault="00A47670" w:rsidP="00A47670">
            <w:pPr>
              <w:spacing w:line="240" w:lineRule="auto"/>
              <w:jc w:val="center"/>
              <w:rPr>
                <w:b/>
                <w:bCs/>
                <w:rtl/>
              </w:rPr>
            </w:pPr>
            <w:r w:rsidRPr="00A47670">
              <w:rPr>
                <w:b/>
                <w:bCs/>
              </w:rPr>
              <w:t>450</w:t>
            </w:r>
          </w:p>
        </w:tc>
      </w:tr>
      <w:tr w:rsidR="00A47670" w:rsidRPr="00A47670" w14:paraId="4D897DCB" w14:textId="77777777" w:rsidTr="00C35729">
        <w:trPr>
          <w:trHeight w:val="255"/>
        </w:trPr>
        <w:tc>
          <w:tcPr>
            <w:tcW w:w="2093" w:type="dxa"/>
            <w:tcBorders>
              <w:top w:val="single" w:sz="4" w:space="0" w:color="95B3D7"/>
              <w:left w:val="single" w:sz="4" w:space="0" w:color="95B3D7"/>
              <w:bottom w:val="nil"/>
              <w:right w:val="nil"/>
            </w:tcBorders>
            <w:shd w:val="clear" w:color="DCE6F1" w:fill="DCE6F1"/>
            <w:noWrap/>
            <w:vAlign w:val="bottom"/>
            <w:hideMark/>
          </w:tcPr>
          <w:p w14:paraId="2698B806" w14:textId="77777777" w:rsidR="00A47670" w:rsidRPr="00A47670" w:rsidRDefault="00A47670" w:rsidP="00A47670">
            <w:pPr>
              <w:spacing w:line="240" w:lineRule="auto"/>
              <w:jc w:val="center"/>
              <w:rPr>
                <w:b/>
                <w:bCs/>
              </w:rPr>
            </w:pPr>
            <w:r w:rsidRPr="00A47670">
              <w:rPr>
                <w:b/>
                <w:bCs/>
              </w:rPr>
              <w:t xml:space="preserve">Industry </w:t>
            </w:r>
          </w:p>
        </w:tc>
        <w:tc>
          <w:tcPr>
            <w:tcW w:w="2293" w:type="dxa"/>
            <w:tcBorders>
              <w:top w:val="single" w:sz="4" w:space="0" w:color="95B3D7"/>
              <w:left w:val="nil"/>
              <w:bottom w:val="nil"/>
              <w:right w:val="single" w:sz="4" w:space="0" w:color="95B3D7"/>
            </w:tcBorders>
            <w:shd w:val="clear" w:color="DCE6F1" w:fill="DCE6F1"/>
            <w:noWrap/>
            <w:vAlign w:val="center"/>
            <w:hideMark/>
          </w:tcPr>
          <w:p w14:paraId="4BD88C41" w14:textId="77777777" w:rsidR="00A47670" w:rsidRPr="00A47670" w:rsidRDefault="00A47670" w:rsidP="00A47670">
            <w:pPr>
              <w:spacing w:line="240" w:lineRule="auto"/>
              <w:jc w:val="center"/>
              <w:rPr>
                <w:b/>
                <w:bCs/>
                <w:rtl/>
              </w:rPr>
            </w:pPr>
            <w:r w:rsidRPr="00A47670">
              <w:rPr>
                <w:b/>
                <w:bCs/>
              </w:rPr>
              <w:t>200</w:t>
            </w:r>
          </w:p>
        </w:tc>
      </w:tr>
      <w:tr w:rsidR="00A47670" w:rsidRPr="00A47670" w14:paraId="1BCE58DA" w14:textId="77777777" w:rsidTr="00C35729">
        <w:trPr>
          <w:trHeight w:val="255"/>
        </w:trPr>
        <w:tc>
          <w:tcPr>
            <w:tcW w:w="2093" w:type="dxa"/>
            <w:tcBorders>
              <w:top w:val="single" w:sz="4" w:space="0" w:color="95B3D7"/>
              <w:left w:val="single" w:sz="4" w:space="0" w:color="95B3D7"/>
              <w:bottom w:val="nil"/>
              <w:right w:val="nil"/>
            </w:tcBorders>
            <w:shd w:val="clear" w:color="auto" w:fill="auto"/>
            <w:noWrap/>
            <w:vAlign w:val="bottom"/>
            <w:hideMark/>
          </w:tcPr>
          <w:p w14:paraId="2EABA8F8" w14:textId="77777777" w:rsidR="00A47670" w:rsidRPr="00A47670" w:rsidRDefault="00A47670" w:rsidP="00A47670">
            <w:pPr>
              <w:spacing w:line="240" w:lineRule="auto"/>
              <w:jc w:val="center"/>
              <w:rPr>
                <w:b/>
                <w:bCs/>
              </w:rPr>
            </w:pPr>
            <w:r w:rsidRPr="00A47670">
              <w:rPr>
                <w:b/>
                <w:bCs/>
              </w:rPr>
              <w:t>Retail &amp; Distribution</w:t>
            </w:r>
          </w:p>
        </w:tc>
        <w:tc>
          <w:tcPr>
            <w:tcW w:w="2293" w:type="dxa"/>
            <w:tcBorders>
              <w:top w:val="single" w:sz="4" w:space="0" w:color="95B3D7"/>
              <w:left w:val="nil"/>
              <w:bottom w:val="nil"/>
              <w:right w:val="single" w:sz="4" w:space="0" w:color="95B3D7"/>
            </w:tcBorders>
            <w:shd w:val="clear" w:color="auto" w:fill="auto"/>
            <w:noWrap/>
            <w:vAlign w:val="center"/>
            <w:hideMark/>
          </w:tcPr>
          <w:p w14:paraId="0A7DEBDE" w14:textId="77777777" w:rsidR="00A47670" w:rsidRPr="00A47670" w:rsidRDefault="00A47670" w:rsidP="00A47670">
            <w:pPr>
              <w:spacing w:line="240" w:lineRule="auto"/>
              <w:jc w:val="center"/>
              <w:rPr>
                <w:b/>
                <w:bCs/>
                <w:rtl/>
              </w:rPr>
            </w:pPr>
            <w:r w:rsidRPr="00A47670">
              <w:rPr>
                <w:b/>
                <w:bCs/>
              </w:rPr>
              <w:t>3,500</w:t>
            </w:r>
          </w:p>
        </w:tc>
      </w:tr>
      <w:tr w:rsidR="00A47670" w:rsidRPr="00A47670" w14:paraId="308123E4" w14:textId="77777777" w:rsidTr="00C35729">
        <w:trPr>
          <w:trHeight w:val="255"/>
        </w:trPr>
        <w:tc>
          <w:tcPr>
            <w:tcW w:w="2093" w:type="dxa"/>
            <w:tcBorders>
              <w:top w:val="single" w:sz="4" w:space="0" w:color="95B3D7"/>
              <w:left w:val="single" w:sz="4" w:space="0" w:color="95B3D7"/>
              <w:bottom w:val="nil"/>
              <w:right w:val="nil"/>
            </w:tcBorders>
            <w:shd w:val="clear" w:color="DCE6F1" w:fill="DCE6F1"/>
            <w:noWrap/>
            <w:vAlign w:val="bottom"/>
            <w:hideMark/>
          </w:tcPr>
          <w:p w14:paraId="56335552" w14:textId="77777777" w:rsidR="00A47670" w:rsidRPr="00A47670" w:rsidRDefault="00A47670" w:rsidP="00A47670">
            <w:pPr>
              <w:spacing w:line="240" w:lineRule="auto"/>
              <w:jc w:val="center"/>
              <w:rPr>
                <w:b/>
                <w:bCs/>
              </w:rPr>
            </w:pPr>
            <w:r w:rsidRPr="00A47670">
              <w:rPr>
                <w:b/>
                <w:bCs/>
              </w:rPr>
              <w:t>Institutional</w:t>
            </w:r>
          </w:p>
        </w:tc>
        <w:tc>
          <w:tcPr>
            <w:tcW w:w="2293" w:type="dxa"/>
            <w:tcBorders>
              <w:top w:val="single" w:sz="4" w:space="0" w:color="95B3D7"/>
              <w:left w:val="nil"/>
              <w:bottom w:val="nil"/>
              <w:right w:val="single" w:sz="4" w:space="0" w:color="95B3D7"/>
            </w:tcBorders>
            <w:shd w:val="clear" w:color="DCE6F1" w:fill="DCE6F1"/>
            <w:noWrap/>
            <w:vAlign w:val="center"/>
            <w:hideMark/>
          </w:tcPr>
          <w:p w14:paraId="0A5D187D" w14:textId="77777777" w:rsidR="00A47670" w:rsidRPr="00A47670" w:rsidRDefault="00A47670" w:rsidP="00A47670">
            <w:pPr>
              <w:spacing w:line="240" w:lineRule="auto"/>
              <w:jc w:val="center"/>
              <w:rPr>
                <w:b/>
                <w:bCs/>
                <w:rtl/>
              </w:rPr>
            </w:pPr>
            <w:r w:rsidRPr="00A47670">
              <w:rPr>
                <w:b/>
                <w:bCs/>
              </w:rPr>
              <w:t>1,200</w:t>
            </w:r>
          </w:p>
        </w:tc>
      </w:tr>
      <w:tr w:rsidR="00A47670" w:rsidRPr="00A47670" w14:paraId="5C40CDEC" w14:textId="77777777" w:rsidTr="00C35729">
        <w:trPr>
          <w:trHeight w:val="255"/>
        </w:trPr>
        <w:tc>
          <w:tcPr>
            <w:tcW w:w="2093" w:type="dxa"/>
            <w:tcBorders>
              <w:top w:val="single" w:sz="4" w:space="0" w:color="95B3D7"/>
              <w:left w:val="single" w:sz="4" w:space="0" w:color="95B3D7"/>
              <w:bottom w:val="single" w:sz="4" w:space="0" w:color="95B3D7"/>
              <w:right w:val="nil"/>
            </w:tcBorders>
            <w:shd w:val="clear" w:color="auto" w:fill="auto"/>
            <w:noWrap/>
            <w:vAlign w:val="bottom"/>
            <w:hideMark/>
          </w:tcPr>
          <w:p w14:paraId="654AA94F" w14:textId="77777777" w:rsidR="00A47670" w:rsidRPr="00A47670" w:rsidRDefault="00A47670" w:rsidP="00A47670">
            <w:pPr>
              <w:spacing w:line="240" w:lineRule="auto"/>
              <w:jc w:val="center"/>
              <w:rPr>
                <w:b/>
                <w:bCs/>
              </w:rPr>
            </w:pPr>
            <w:r w:rsidRPr="00A47670">
              <w:rPr>
                <w:b/>
                <w:bCs/>
              </w:rPr>
              <w:t>Total</w:t>
            </w:r>
          </w:p>
        </w:tc>
        <w:tc>
          <w:tcPr>
            <w:tcW w:w="2293" w:type="dxa"/>
            <w:tcBorders>
              <w:top w:val="single" w:sz="4" w:space="0" w:color="95B3D7"/>
              <w:left w:val="nil"/>
              <w:bottom w:val="single" w:sz="4" w:space="0" w:color="95B3D7"/>
              <w:right w:val="single" w:sz="4" w:space="0" w:color="95B3D7"/>
            </w:tcBorders>
            <w:shd w:val="clear" w:color="auto" w:fill="auto"/>
            <w:noWrap/>
            <w:vAlign w:val="center"/>
            <w:hideMark/>
          </w:tcPr>
          <w:p w14:paraId="7C4E2079" w14:textId="77777777" w:rsidR="00A47670" w:rsidRPr="00A47670" w:rsidRDefault="00A47670" w:rsidP="00A47670">
            <w:pPr>
              <w:spacing w:line="240" w:lineRule="auto"/>
              <w:jc w:val="center"/>
              <w:rPr>
                <w:b/>
                <w:bCs/>
                <w:rtl/>
              </w:rPr>
            </w:pPr>
            <w:r w:rsidRPr="00A47670">
              <w:rPr>
                <w:b/>
                <w:bCs/>
              </w:rPr>
              <w:t>7,000</w:t>
            </w:r>
          </w:p>
        </w:tc>
      </w:tr>
    </w:tbl>
    <w:p w14:paraId="3D28BC43" w14:textId="77777777" w:rsidR="00A47670" w:rsidRDefault="00A47670" w:rsidP="009B5BF0">
      <w:pPr>
        <w:spacing w:line="240" w:lineRule="auto"/>
        <w:jc w:val="center"/>
      </w:pPr>
    </w:p>
    <w:p w14:paraId="5ECB34E6" w14:textId="77777777" w:rsidR="00A47670" w:rsidRPr="009B5BF0" w:rsidRDefault="00A47670" w:rsidP="009B5BF0">
      <w:pPr>
        <w:spacing w:line="240" w:lineRule="auto"/>
        <w:jc w:val="center"/>
      </w:pPr>
    </w:p>
    <w:p w14:paraId="34B93E3C" w14:textId="77777777" w:rsidR="00A47670" w:rsidRDefault="00A47670">
      <w:pPr>
        <w:rPr>
          <w:rFonts w:ascii="Calibri" w:eastAsia="Calibri" w:hAnsi="Calibri" w:cs="Arial"/>
          <w:color w:val="FF0000"/>
          <w:sz w:val="28"/>
          <w:szCs w:val="28"/>
        </w:rPr>
      </w:pPr>
    </w:p>
    <w:p w14:paraId="4195661A" w14:textId="77777777" w:rsidR="00A47670" w:rsidRDefault="00A47670">
      <w:pPr>
        <w:rPr>
          <w:rFonts w:ascii="Calibri" w:eastAsia="Calibri" w:hAnsi="Calibri" w:cs="Arial"/>
          <w:color w:val="FF0000"/>
          <w:sz w:val="28"/>
          <w:szCs w:val="28"/>
        </w:rPr>
      </w:pPr>
      <w:r>
        <w:br w:type="page"/>
      </w:r>
    </w:p>
    <w:p w14:paraId="1B7AD947" w14:textId="3A7E0E0C" w:rsidR="006C7E55" w:rsidRDefault="006C7E55" w:rsidP="0061604E">
      <w:pPr>
        <w:pStyle w:val="Heading1"/>
      </w:pPr>
      <w:bookmarkStart w:id="12" w:name="_Toc505547259"/>
      <w:r w:rsidRPr="008F3D9C">
        <w:t xml:space="preserve">Food </w:t>
      </w:r>
      <w:r w:rsidR="00AD79E9" w:rsidRPr="008F3D9C">
        <w:t xml:space="preserve">Security </w:t>
      </w:r>
      <w:r w:rsidRPr="008F3D9C">
        <w:t xml:space="preserve">– How </w:t>
      </w:r>
      <w:r w:rsidR="00AD79E9" w:rsidRPr="008F3D9C">
        <w:t xml:space="preserve">Much Food </w:t>
      </w:r>
      <w:r w:rsidR="00F971F7">
        <w:t>i</w:t>
      </w:r>
      <w:r w:rsidR="00AD79E9" w:rsidRPr="008F3D9C">
        <w:t xml:space="preserve">s Required to Close the Food Security Gap in </w:t>
      </w:r>
      <w:r w:rsidRPr="008F3D9C">
        <w:t>Israel?</w:t>
      </w:r>
      <w:bookmarkEnd w:id="12"/>
    </w:p>
    <w:p w14:paraId="52EE2680" w14:textId="2C1E4E9D" w:rsidR="00A47670" w:rsidRPr="00A47670" w:rsidRDefault="00A47670" w:rsidP="008D6A0D">
      <w:pPr>
        <w:rPr>
          <w:b/>
          <w:bCs/>
          <w:sz w:val="24"/>
          <w:szCs w:val="24"/>
        </w:rPr>
      </w:pPr>
      <w:r w:rsidRPr="00C35729">
        <w:rPr>
          <w:sz w:val="24"/>
          <w:szCs w:val="24"/>
          <w:u w:val="single"/>
        </w:rPr>
        <w:t>Bold chapter head</w:t>
      </w:r>
      <w:r w:rsidRPr="00A47670">
        <w:rPr>
          <w:sz w:val="24"/>
          <w:szCs w:val="24"/>
        </w:rPr>
        <w:t>:</w:t>
      </w:r>
      <w:r>
        <w:rPr>
          <w:sz w:val="24"/>
          <w:szCs w:val="24"/>
        </w:rPr>
        <w:t xml:space="preserve"> </w:t>
      </w:r>
      <w:r w:rsidRPr="00A47670">
        <w:rPr>
          <w:b/>
          <w:bCs/>
          <w:sz w:val="24"/>
          <w:szCs w:val="24"/>
        </w:rPr>
        <w:t>Foo</w:t>
      </w:r>
      <w:r>
        <w:rPr>
          <w:b/>
          <w:bCs/>
          <w:sz w:val="24"/>
          <w:szCs w:val="24"/>
        </w:rPr>
        <w:t>d accounts for a</w:t>
      </w:r>
      <w:r w:rsidRPr="00A47670">
        <w:rPr>
          <w:b/>
          <w:bCs/>
          <w:sz w:val="24"/>
          <w:szCs w:val="24"/>
        </w:rPr>
        <w:t>pproximately</w:t>
      </w:r>
      <w:r>
        <w:rPr>
          <w:b/>
          <w:bCs/>
          <w:sz w:val="24"/>
          <w:szCs w:val="24"/>
        </w:rPr>
        <w:t xml:space="preserve"> 16% of private consumption in Israel, among the highest ratio in the OECD.</w:t>
      </w:r>
    </w:p>
    <w:p w14:paraId="1547CEB3" w14:textId="31A54B1D" w:rsidR="00CF446A" w:rsidRPr="00346159" w:rsidRDefault="007977A4" w:rsidP="00247246">
      <w:pPr>
        <w:pStyle w:val="BodyText"/>
      </w:pPr>
      <w:r w:rsidRPr="00346159">
        <w:t>According OECD data</w:t>
      </w:r>
      <w:r w:rsidR="00130431" w:rsidRPr="00346159">
        <w:t xml:space="preserve"> that examines the extent of poverty after taxes and allocations (with the poverty line defined as 50% of median disposable income), Israel</w:t>
      </w:r>
      <w:r w:rsidR="00863888" w:rsidRPr="00346159">
        <w:t>’s</w:t>
      </w:r>
      <w:r w:rsidR="00130431" w:rsidRPr="00346159">
        <w:t xml:space="preserve"> situation </w:t>
      </w:r>
      <w:r w:rsidR="00863888" w:rsidRPr="00346159">
        <w:t>has deteriorated</w:t>
      </w:r>
      <w:r w:rsidR="00130431" w:rsidRPr="00346159">
        <w:t xml:space="preserve"> </w:t>
      </w:r>
      <w:r w:rsidR="00863888" w:rsidRPr="00346159">
        <w:t xml:space="preserve">in comparison to </w:t>
      </w:r>
      <w:r w:rsidR="00130431" w:rsidRPr="00346159">
        <w:t xml:space="preserve">last year. Israel remains </w:t>
      </w:r>
      <w:r w:rsidR="00863888" w:rsidRPr="00346159">
        <w:t>the OECD country with the highest poverty rate</w:t>
      </w:r>
      <w:r w:rsidR="0005123B" w:rsidRPr="00346159">
        <w:t>, with a significant gap</w:t>
      </w:r>
      <w:r w:rsidR="00DB1588" w:rsidRPr="00346159">
        <w:t xml:space="preserve"> of</w:t>
      </w:r>
      <w:r w:rsidR="0005123B" w:rsidRPr="00346159">
        <w:t xml:space="preserve"> approximately 2% between it and the next country</w:t>
      </w:r>
      <w:r w:rsidR="00BF02D1" w:rsidRPr="00346159">
        <w:t xml:space="preserve"> on the list,</w:t>
      </w:r>
      <w:r w:rsidR="0005123B" w:rsidRPr="00346159">
        <w:t xml:space="preserve"> Turkey. Conversely, the National Insurance Institute</w:t>
      </w:r>
      <w:r w:rsidR="00CF446A" w:rsidRPr="00346159">
        <w:t xml:space="preserve"> Poverty Report</w:t>
      </w:r>
      <w:r w:rsidR="004B64F6" w:rsidRPr="00346159">
        <w:t xml:space="preserve"> </w:t>
      </w:r>
      <w:r w:rsidR="00CF446A" w:rsidRPr="00346159">
        <w:t>contends that poverty among Israeli families decreased from</w:t>
      </w:r>
      <w:r w:rsidR="0035723F" w:rsidRPr="00346159">
        <w:t xml:space="preserve"> 19.1% in 2015 to 18.6% in 2016. This </w:t>
      </w:r>
      <w:r w:rsidR="00CF446A" w:rsidRPr="00346159">
        <w:t xml:space="preserve">gap </w:t>
      </w:r>
      <w:r w:rsidR="0035723F" w:rsidRPr="00346159">
        <w:t xml:space="preserve">is </w:t>
      </w:r>
      <w:r w:rsidR="008823B6" w:rsidRPr="00346159">
        <w:t xml:space="preserve">apparently </w:t>
      </w:r>
      <w:r w:rsidR="0035723F" w:rsidRPr="00346159">
        <w:t xml:space="preserve">the </w:t>
      </w:r>
      <w:r w:rsidR="00CF446A" w:rsidRPr="00346159">
        <w:t>result</w:t>
      </w:r>
      <w:r w:rsidR="0035723F" w:rsidRPr="00346159">
        <w:t xml:space="preserve"> of using </w:t>
      </w:r>
      <w:r w:rsidR="009A7155" w:rsidRPr="00346159">
        <w:t xml:space="preserve">a </w:t>
      </w:r>
      <w:r w:rsidR="00CF446A" w:rsidRPr="00346159">
        <w:t>different scale</w:t>
      </w:r>
      <w:r w:rsidR="00247246">
        <w:t>s</w:t>
      </w:r>
      <w:r w:rsidR="00CF446A" w:rsidRPr="00346159">
        <w:t xml:space="preserve"> for </w:t>
      </w:r>
      <w:r w:rsidR="0035723F" w:rsidRPr="00346159">
        <w:t xml:space="preserve">weighing and </w:t>
      </w:r>
      <w:r w:rsidR="00CF446A" w:rsidRPr="00346159">
        <w:t xml:space="preserve">presenting </w:t>
      </w:r>
      <w:r w:rsidR="0035723F" w:rsidRPr="00346159">
        <w:t xml:space="preserve">the </w:t>
      </w:r>
      <w:r w:rsidR="00CF446A" w:rsidRPr="00346159">
        <w:t xml:space="preserve">benefit of household size. </w:t>
      </w:r>
    </w:p>
    <w:p w14:paraId="7ED16677" w14:textId="504BBE5C" w:rsidR="008913E0" w:rsidRPr="00346159" w:rsidRDefault="00FA0D02" w:rsidP="008823B6">
      <w:pPr>
        <w:pStyle w:val="BodyText"/>
      </w:pPr>
      <w:r w:rsidRPr="00346159">
        <w:t xml:space="preserve">OECD data shows an improvement in the Gini Index of Inequality last year, even though Israel </w:t>
      </w:r>
      <w:r w:rsidR="00BF02D1" w:rsidRPr="00346159">
        <w:t>continues to suffer from</w:t>
      </w:r>
      <w:r w:rsidRPr="00346159">
        <w:t xml:space="preserve"> a high level of inequality. Israel and </w:t>
      </w:r>
      <w:r w:rsidR="00BF02D1" w:rsidRPr="00346159">
        <w:t>the United Kingdom</w:t>
      </w:r>
      <w:r w:rsidR="003B4475" w:rsidRPr="00346159">
        <w:t xml:space="preserve"> (UK)</w:t>
      </w:r>
      <w:r w:rsidRPr="00346159">
        <w:t xml:space="preserve"> were tied in fifth place for </w:t>
      </w:r>
      <w:r w:rsidR="006C7E55" w:rsidRPr="00346159">
        <w:t>inequality</w:t>
      </w:r>
      <w:r w:rsidRPr="00346159">
        <w:t xml:space="preserve">, after Mexico, Chile, Turkey, and the </w:t>
      </w:r>
      <w:r w:rsidR="006C7E55" w:rsidRPr="00346159">
        <w:t>US</w:t>
      </w:r>
      <w:r w:rsidRPr="00346159">
        <w:t>.</w:t>
      </w:r>
      <w:r w:rsidR="004B64F6" w:rsidRPr="00346159">
        <w:t xml:space="preserve"> </w:t>
      </w:r>
      <w:r w:rsidR="0035723F" w:rsidRPr="00346159">
        <w:t>I</w:t>
      </w:r>
      <w:r w:rsidR="008913E0" w:rsidRPr="00346159">
        <w:t xml:space="preserve">nequality in distribution of income is one of the greatest challenges facing the Israeli economy, and food insecurity is </w:t>
      </w:r>
      <w:r w:rsidR="0035723F" w:rsidRPr="00346159">
        <w:t>a</w:t>
      </w:r>
      <w:r w:rsidR="008913E0" w:rsidRPr="00346159">
        <w:t xml:space="preserve"> consequence of income inequality. </w:t>
      </w:r>
    </w:p>
    <w:p w14:paraId="4254E156" w14:textId="77777777" w:rsidR="006C7E55" w:rsidRPr="00C35729" w:rsidRDefault="00B915BA" w:rsidP="004E2385">
      <w:pPr>
        <w:pStyle w:val="BodyText"/>
        <w:rPr>
          <w:b/>
          <w:bCs/>
        </w:rPr>
      </w:pPr>
      <w:r w:rsidRPr="00346159">
        <w:t xml:space="preserve">Using </w:t>
      </w:r>
      <w:r w:rsidR="008913E0" w:rsidRPr="00346159">
        <w:t>the Food Security</w:t>
      </w:r>
      <w:r w:rsidRPr="00346159">
        <w:t xml:space="preserve"> Index as the basis for comparison, Israel dropped one place </w:t>
      </w:r>
      <w:r w:rsidR="008913E0" w:rsidRPr="00346159">
        <w:t xml:space="preserve">because Portugal </w:t>
      </w:r>
      <w:r w:rsidRPr="00346159">
        <w:t xml:space="preserve">was able to </w:t>
      </w:r>
      <w:r w:rsidR="008913E0" w:rsidRPr="00346159">
        <w:t>improve its</w:t>
      </w:r>
      <w:r w:rsidRPr="00346159">
        <w:t xml:space="preserve"> score while Israel’s remained almost unchanged. For food consumption as a share of expenditures, Israel moved up one rank, because of an increase in food’s share of consumption in Chile</w:t>
      </w:r>
      <w:r w:rsidRPr="00C35729">
        <w:rPr>
          <w:b/>
          <w:bCs/>
        </w:rPr>
        <w:t xml:space="preserve">. </w:t>
      </w:r>
    </w:p>
    <w:p w14:paraId="4D556EB1" w14:textId="77777777" w:rsidR="00CD3473" w:rsidRPr="00C61B68" w:rsidRDefault="00176C3E" w:rsidP="0035723F">
      <w:pPr>
        <w:spacing w:after="0" w:line="240" w:lineRule="auto"/>
        <w:jc w:val="center"/>
        <w:rPr>
          <w:rFonts w:ascii="Calibri" w:eastAsia="Calibri" w:hAnsi="Calibri" w:cs="Arial"/>
          <w:b/>
          <w:bCs/>
          <w:sz w:val="24"/>
          <w:szCs w:val="24"/>
        </w:rPr>
      </w:pPr>
      <w:r w:rsidRPr="00C61B68">
        <w:rPr>
          <w:rFonts w:ascii="Calibri" w:eastAsia="Calibri" w:hAnsi="Calibri" w:cs="Arial"/>
          <w:b/>
          <w:bCs/>
          <w:sz w:val="24"/>
          <w:szCs w:val="24"/>
        </w:rPr>
        <w:t>Israe</w:t>
      </w:r>
      <w:r w:rsidRPr="0035723F">
        <w:rPr>
          <w:rStyle w:val="GraphtitleChar"/>
        </w:rPr>
        <w:t>l</w:t>
      </w:r>
      <w:r w:rsidR="0035723F">
        <w:rPr>
          <w:rFonts w:ascii="Calibri" w:eastAsia="Calibri" w:hAnsi="Calibri" w:cs="Arial"/>
          <w:b/>
          <w:bCs/>
          <w:sz w:val="24"/>
          <w:szCs w:val="24"/>
        </w:rPr>
        <w:t>’</w:t>
      </w:r>
      <w:r w:rsidRPr="00C61B68">
        <w:rPr>
          <w:rFonts w:ascii="Calibri" w:eastAsia="Calibri" w:hAnsi="Calibri" w:cs="Arial"/>
          <w:b/>
          <w:bCs/>
          <w:sz w:val="24"/>
          <w:szCs w:val="24"/>
        </w:rPr>
        <w:t>s Rank in Inequality and Food Security</w:t>
      </w:r>
    </w:p>
    <w:p w14:paraId="61845CF5" w14:textId="77777777" w:rsidR="00176C3E" w:rsidRPr="008F3D9C" w:rsidRDefault="00176C3E" w:rsidP="00176C3E">
      <w:pPr>
        <w:spacing w:after="0" w:line="240" w:lineRule="auto"/>
        <w:jc w:val="center"/>
        <w:rPr>
          <w:rFonts w:ascii="Calibri" w:eastAsia="Calibri" w:hAnsi="Calibri" w:cs="Arial"/>
          <w:b/>
          <w:bCs/>
        </w:rPr>
      </w:pPr>
      <w:r w:rsidRPr="008F3D9C">
        <w:rPr>
          <w:rFonts w:ascii="Calibri" w:eastAsia="Calibri" w:hAnsi="Calibri" w:cs="Arial"/>
          <w:b/>
          <w:bCs/>
        </w:rPr>
        <w:t xml:space="preserve"> </w:t>
      </w:r>
    </w:p>
    <w:tbl>
      <w:tblPr>
        <w:tblStyle w:val="MediumShading1-Accent17"/>
        <w:tblW w:w="0" w:type="auto"/>
        <w:jc w:val="cente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ook w:val="04A0" w:firstRow="1" w:lastRow="0" w:firstColumn="1" w:lastColumn="0" w:noHBand="0" w:noVBand="1"/>
      </w:tblPr>
      <w:tblGrid>
        <w:gridCol w:w="2838"/>
        <w:gridCol w:w="1276"/>
        <w:gridCol w:w="1275"/>
        <w:gridCol w:w="1942"/>
      </w:tblGrid>
      <w:tr w:rsidR="00176C3E" w:rsidRPr="008F3D9C" w14:paraId="40F3ECF8" w14:textId="77777777" w:rsidTr="00B915BA">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2838" w:type="dxa"/>
            <w:tcBorders>
              <w:top w:val="none" w:sz="0" w:space="0" w:color="auto"/>
              <w:left w:val="none" w:sz="0" w:space="0" w:color="auto"/>
              <w:bottom w:val="none" w:sz="0" w:space="0" w:color="auto"/>
              <w:right w:val="none" w:sz="0" w:space="0" w:color="auto"/>
            </w:tcBorders>
          </w:tcPr>
          <w:p w14:paraId="2DEF08FC" w14:textId="77777777" w:rsidR="00176C3E" w:rsidRPr="00C61B68" w:rsidRDefault="00176C3E" w:rsidP="00C61B68">
            <w:pPr>
              <w:spacing w:after="120"/>
              <w:jc w:val="center"/>
              <w:rPr>
                <w:rFonts w:ascii="Calibri" w:eastAsia="Calibri" w:hAnsi="Calibri" w:cs="Arial"/>
                <w:rtl/>
              </w:rPr>
            </w:pPr>
          </w:p>
        </w:tc>
        <w:tc>
          <w:tcPr>
            <w:tcW w:w="1276" w:type="dxa"/>
            <w:tcBorders>
              <w:top w:val="none" w:sz="0" w:space="0" w:color="auto"/>
              <w:left w:val="none" w:sz="0" w:space="0" w:color="auto"/>
              <w:bottom w:val="none" w:sz="0" w:space="0" w:color="auto"/>
              <w:right w:val="none" w:sz="0" w:space="0" w:color="auto"/>
            </w:tcBorders>
          </w:tcPr>
          <w:p w14:paraId="46386731" w14:textId="77777777" w:rsidR="00176C3E" w:rsidRPr="00C61B68" w:rsidRDefault="00176C3E" w:rsidP="00C61B68">
            <w:pPr>
              <w:spacing w:after="12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rtl/>
              </w:rPr>
            </w:pPr>
            <w:r w:rsidRPr="00C61B68">
              <w:rPr>
                <w:rFonts w:ascii="Calibri" w:eastAsia="Calibri" w:hAnsi="Calibri" w:cs="Arial"/>
              </w:rPr>
              <w:t xml:space="preserve">Israel </w:t>
            </w:r>
          </w:p>
        </w:tc>
        <w:tc>
          <w:tcPr>
            <w:tcW w:w="1275" w:type="dxa"/>
            <w:tcBorders>
              <w:top w:val="none" w:sz="0" w:space="0" w:color="auto"/>
              <w:left w:val="none" w:sz="0" w:space="0" w:color="auto"/>
              <w:bottom w:val="none" w:sz="0" w:space="0" w:color="auto"/>
              <w:right w:val="none" w:sz="0" w:space="0" w:color="auto"/>
            </w:tcBorders>
          </w:tcPr>
          <w:p w14:paraId="7CDB8CC0" w14:textId="77777777" w:rsidR="00176C3E" w:rsidRPr="00C61B68" w:rsidRDefault="00176C3E" w:rsidP="00C61B68">
            <w:pPr>
              <w:spacing w:after="12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rtl/>
              </w:rPr>
            </w:pPr>
            <w:r w:rsidRPr="00C61B68">
              <w:rPr>
                <w:rFonts w:ascii="Calibri" w:eastAsia="Calibri" w:hAnsi="Calibri" w:cs="Arial"/>
              </w:rPr>
              <w:t xml:space="preserve">OECD </w:t>
            </w:r>
            <w:r w:rsidR="00B915BA" w:rsidRPr="00C61B68">
              <w:rPr>
                <w:rFonts w:ascii="Calibri" w:eastAsia="Calibri" w:hAnsi="Calibri" w:cs="Arial"/>
              </w:rPr>
              <w:t>average</w:t>
            </w:r>
          </w:p>
        </w:tc>
        <w:tc>
          <w:tcPr>
            <w:tcW w:w="1942" w:type="dxa"/>
            <w:tcBorders>
              <w:top w:val="none" w:sz="0" w:space="0" w:color="auto"/>
              <w:left w:val="none" w:sz="0" w:space="0" w:color="auto"/>
              <w:bottom w:val="none" w:sz="0" w:space="0" w:color="auto"/>
              <w:right w:val="none" w:sz="0" w:space="0" w:color="auto"/>
            </w:tcBorders>
          </w:tcPr>
          <w:p w14:paraId="0DB3ACAC" w14:textId="77777777" w:rsidR="00176C3E" w:rsidRPr="00C61B68" w:rsidRDefault="00B915BA" w:rsidP="00B915BA">
            <w:pPr>
              <w:spacing w:after="12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rtl/>
              </w:rPr>
            </w:pPr>
            <w:r>
              <w:rPr>
                <w:rFonts w:ascii="Calibri" w:eastAsia="Calibri" w:hAnsi="Calibri" w:cs="Arial"/>
              </w:rPr>
              <w:t>Israel’s rank in the OECD</w:t>
            </w:r>
          </w:p>
        </w:tc>
      </w:tr>
      <w:tr w:rsidR="00176C3E" w:rsidRPr="008F3D9C" w14:paraId="5B1BF4F9" w14:textId="77777777" w:rsidTr="00B915BA">
        <w:trPr>
          <w:cnfStyle w:val="000000100000" w:firstRow="0" w:lastRow="0" w:firstColumn="0" w:lastColumn="0" w:oddVBand="0" w:evenVBand="0" w:oddHBand="1" w:evenHBand="0"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2838" w:type="dxa"/>
            <w:tcBorders>
              <w:right w:val="none" w:sz="0" w:space="0" w:color="auto"/>
            </w:tcBorders>
          </w:tcPr>
          <w:p w14:paraId="68D6BF8E" w14:textId="77777777" w:rsidR="00176C3E" w:rsidRPr="00C61B68" w:rsidRDefault="00176C3E" w:rsidP="00C61B68">
            <w:pPr>
              <w:spacing w:after="120"/>
              <w:rPr>
                <w:rFonts w:ascii="Calibri" w:eastAsia="Calibri" w:hAnsi="Calibri" w:cs="Arial"/>
                <w:rtl/>
              </w:rPr>
            </w:pPr>
            <w:r w:rsidRPr="00C61B68">
              <w:rPr>
                <w:rFonts w:ascii="Calibri" w:eastAsia="Calibri" w:hAnsi="Calibri" w:cs="Arial"/>
              </w:rPr>
              <w:t>Gini Index (inequality)</w:t>
            </w:r>
          </w:p>
        </w:tc>
        <w:tc>
          <w:tcPr>
            <w:tcW w:w="1276" w:type="dxa"/>
            <w:tcBorders>
              <w:left w:val="none" w:sz="0" w:space="0" w:color="auto"/>
              <w:right w:val="none" w:sz="0" w:space="0" w:color="auto"/>
            </w:tcBorders>
            <w:vAlign w:val="center"/>
          </w:tcPr>
          <w:p w14:paraId="117FA625" w14:textId="77777777" w:rsidR="00176C3E" w:rsidRPr="00C61B68" w:rsidRDefault="00097572" w:rsidP="00C61B68">
            <w:pPr>
              <w:spacing w:after="120"/>
              <w:jc w:val="center"/>
              <w:cnfStyle w:val="000000100000" w:firstRow="0" w:lastRow="0" w:firstColumn="0" w:lastColumn="0" w:oddVBand="0" w:evenVBand="0" w:oddHBand="1" w:evenHBand="0" w:firstRowFirstColumn="0" w:firstRowLastColumn="0" w:lastRowFirstColumn="0" w:lastRowLastColumn="0"/>
              <w:rPr>
                <w:rFonts w:eastAsia="Calibri" w:cs="Arial"/>
                <w:rtl/>
              </w:rPr>
            </w:pPr>
            <w:r w:rsidRPr="00C61B68">
              <w:rPr>
                <w:rFonts w:eastAsia="Calibri" w:cs="Arial"/>
              </w:rPr>
              <w:t>0.3</w:t>
            </w:r>
            <w:r w:rsidR="00C61B68" w:rsidRPr="00C61B68">
              <w:rPr>
                <w:rFonts w:eastAsia="Calibri" w:cs="Arial"/>
              </w:rPr>
              <w:t>6</w:t>
            </w:r>
          </w:p>
        </w:tc>
        <w:tc>
          <w:tcPr>
            <w:tcW w:w="1275" w:type="dxa"/>
            <w:tcBorders>
              <w:left w:val="none" w:sz="0" w:space="0" w:color="auto"/>
              <w:right w:val="none" w:sz="0" w:space="0" w:color="auto"/>
            </w:tcBorders>
            <w:vAlign w:val="center"/>
          </w:tcPr>
          <w:p w14:paraId="6915A112" w14:textId="77777777" w:rsidR="00176C3E" w:rsidRPr="00C61B68" w:rsidRDefault="003C66BF" w:rsidP="00C61B68">
            <w:pPr>
              <w:spacing w:after="120"/>
              <w:jc w:val="center"/>
              <w:cnfStyle w:val="000000100000" w:firstRow="0" w:lastRow="0" w:firstColumn="0" w:lastColumn="0" w:oddVBand="0" w:evenVBand="0" w:oddHBand="1" w:evenHBand="0" w:firstRowFirstColumn="0" w:firstRowLastColumn="0" w:lastRowFirstColumn="0" w:lastRowLastColumn="0"/>
              <w:rPr>
                <w:rFonts w:eastAsia="Calibri" w:cs="Arial"/>
                <w:rtl/>
              </w:rPr>
            </w:pPr>
            <w:r w:rsidRPr="00C61B68">
              <w:rPr>
                <w:rFonts w:eastAsia="Calibri" w:cs="Arial"/>
              </w:rPr>
              <w:t>0.32</w:t>
            </w:r>
          </w:p>
        </w:tc>
        <w:tc>
          <w:tcPr>
            <w:tcW w:w="1942" w:type="dxa"/>
            <w:tcBorders>
              <w:left w:val="none" w:sz="0" w:space="0" w:color="auto"/>
            </w:tcBorders>
            <w:vAlign w:val="center"/>
          </w:tcPr>
          <w:p w14:paraId="7DD12240" w14:textId="77777777" w:rsidR="00176C3E" w:rsidRPr="00C61B68" w:rsidRDefault="003C66BF" w:rsidP="00C61B68">
            <w:pPr>
              <w:spacing w:after="120"/>
              <w:jc w:val="center"/>
              <w:cnfStyle w:val="000000100000" w:firstRow="0" w:lastRow="0" w:firstColumn="0" w:lastColumn="0" w:oddVBand="0" w:evenVBand="0" w:oddHBand="1" w:evenHBand="0" w:firstRowFirstColumn="0" w:firstRowLastColumn="0" w:lastRowFirstColumn="0" w:lastRowLastColumn="0"/>
              <w:rPr>
                <w:rFonts w:eastAsia="Calibri" w:cs="Arial"/>
                <w:rtl/>
              </w:rPr>
            </w:pPr>
            <w:r w:rsidRPr="00C61B68">
              <w:rPr>
                <w:rFonts w:eastAsia="Calibri" w:cs="Arial"/>
              </w:rPr>
              <w:t>5</w:t>
            </w:r>
          </w:p>
        </w:tc>
      </w:tr>
      <w:tr w:rsidR="00176C3E" w:rsidRPr="008F3D9C" w14:paraId="246BA4BD" w14:textId="77777777" w:rsidTr="00B915BA">
        <w:trPr>
          <w:cnfStyle w:val="000000010000" w:firstRow="0" w:lastRow="0" w:firstColumn="0" w:lastColumn="0" w:oddVBand="0" w:evenVBand="0" w:oddHBand="0" w:evenHBand="1"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2838" w:type="dxa"/>
            <w:tcBorders>
              <w:right w:val="none" w:sz="0" w:space="0" w:color="auto"/>
            </w:tcBorders>
          </w:tcPr>
          <w:p w14:paraId="5A91DAE2" w14:textId="77777777" w:rsidR="00176C3E" w:rsidRPr="00C61B68" w:rsidRDefault="00176C3E" w:rsidP="00C61B68">
            <w:pPr>
              <w:spacing w:after="120"/>
              <w:rPr>
                <w:rFonts w:ascii="Calibri" w:eastAsia="Calibri" w:hAnsi="Calibri" w:cs="Arial"/>
                <w:rtl/>
              </w:rPr>
            </w:pPr>
            <w:r w:rsidRPr="00C61B68">
              <w:rPr>
                <w:rFonts w:ascii="Calibri" w:eastAsia="Calibri" w:hAnsi="Calibri" w:cs="Arial"/>
              </w:rPr>
              <w:t>Poverty Rate</w:t>
            </w:r>
          </w:p>
        </w:tc>
        <w:tc>
          <w:tcPr>
            <w:tcW w:w="1276" w:type="dxa"/>
            <w:tcBorders>
              <w:left w:val="none" w:sz="0" w:space="0" w:color="auto"/>
              <w:right w:val="none" w:sz="0" w:space="0" w:color="auto"/>
            </w:tcBorders>
            <w:vAlign w:val="center"/>
          </w:tcPr>
          <w:p w14:paraId="2886F58E" w14:textId="77777777" w:rsidR="00176C3E" w:rsidRPr="00C61B68" w:rsidRDefault="00A131CE" w:rsidP="00C61B68">
            <w:pPr>
              <w:spacing w:after="120"/>
              <w:jc w:val="center"/>
              <w:cnfStyle w:val="000000010000" w:firstRow="0" w:lastRow="0" w:firstColumn="0" w:lastColumn="0" w:oddVBand="0" w:evenVBand="0" w:oddHBand="0" w:evenHBand="1" w:firstRowFirstColumn="0" w:firstRowLastColumn="0" w:lastRowFirstColumn="0" w:lastRowLastColumn="0"/>
              <w:rPr>
                <w:rFonts w:eastAsia="Calibri" w:cs="Arial"/>
                <w:rtl/>
              </w:rPr>
            </w:pPr>
            <w:r w:rsidRPr="00C61B68">
              <w:rPr>
                <w:rFonts w:eastAsia="Calibri" w:cs="Arial"/>
              </w:rPr>
              <w:t>19.</w:t>
            </w:r>
            <w:r w:rsidR="00C61B68" w:rsidRPr="00C61B68">
              <w:rPr>
                <w:rFonts w:eastAsia="Calibri" w:cs="Arial"/>
              </w:rPr>
              <w:t>5</w:t>
            </w:r>
            <w:r w:rsidR="003C66BF" w:rsidRPr="00C61B68">
              <w:rPr>
                <w:rFonts w:eastAsia="Calibri" w:cs="Arial"/>
              </w:rPr>
              <w:t>%</w:t>
            </w:r>
          </w:p>
        </w:tc>
        <w:tc>
          <w:tcPr>
            <w:tcW w:w="1275" w:type="dxa"/>
            <w:tcBorders>
              <w:left w:val="none" w:sz="0" w:space="0" w:color="auto"/>
              <w:right w:val="none" w:sz="0" w:space="0" w:color="auto"/>
            </w:tcBorders>
            <w:vAlign w:val="center"/>
          </w:tcPr>
          <w:p w14:paraId="5C87202D" w14:textId="77777777" w:rsidR="00176C3E" w:rsidRPr="00C61B68" w:rsidRDefault="003C66BF" w:rsidP="00C61B68">
            <w:pPr>
              <w:spacing w:after="120"/>
              <w:jc w:val="center"/>
              <w:cnfStyle w:val="000000010000" w:firstRow="0" w:lastRow="0" w:firstColumn="0" w:lastColumn="0" w:oddVBand="0" w:evenVBand="0" w:oddHBand="0" w:evenHBand="1" w:firstRowFirstColumn="0" w:firstRowLastColumn="0" w:lastRowFirstColumn="0" w:lastRowLastColumn="0"/>
              <w:rPr>
                <w:rFonts w:eastAsia="Calibri" w:cs="Arial"/>
                <w:rtl/>
              </w:rPr>
            </w:pPr>
            <w:r w:rsidRPr="00C61B68">
              <w:rPr>
                <w:rFonts w:eastAsia="Calibri" w:cs="Arial"/>
              </w:rPr>
              <w:t>1</w:t>
            </w:r>
            <w:r w:rsidR="00C61B68" w:rsidRPr="00C61B68">
              <w:rPr>
                <w:rFonts w:eastAsia="Calibri" w:cs="Arial"/>
              </w:rPr>
              <w:t>2</w:t>
            </w:r>
            <w:r w:rsidRPr="00C61B68">
              <w:rPr>
                <w:rFonts w:eastAsia="Calibri" w:cs="Arial"/>
              </w:rPr>
              <w:t>%</w:t>
            </w:r>
          </w:p>
        </w:tc>
        <w:tc>
          <w:tcPr>
            <w:tcW w:w="1942" w:type="dxa"/>
            <w:tcBorders>
              <w:left w:val="none" w:sz="0" w:space="0" w:color="auto"/>
            </w:tcBorders>
            <w:vAlign w:val="center"/>
          </w:tcPr>
          <w:p w14:paraId="46EA4526" w14:textId="77777777" w:rsidR="00176C3E" w:rsidRPr="00C61B68" w:rsidRDefault="00B8476B" w:rsidP="00C61B68">
            <w:pPr>
              <w:spacing w:after="120"/>
              <w:jc w:val="center"/>
              <w:cnfStyle w:val="000000010000" w:firstRow="0" w:lastRow="0" w:firstColumn="0" w:lastColumn="0" w:oddVBand="0" w:evenVBand="0" w:oddHBand="0" w:evenHBand="1" w:firstRowFirstColumn="0" w:firstRowLastColumn="0" w:lastRowFirstColumn="0" w:lastRowLastColumn="0"/>
              <w:rPr>
                <w:rFonts w:eastAsia="Calibri" w:cs="Arial"/>
                <w:rtl/>
              </w:rPr>
            </w:pPr>
            <w:r w:rsidRPr="00C61B68">
              <w:rPr>
                <w:rFonts w:eastAsia="Calibri" w:cs="Arial"/>
              </w:rPr>
              <w:t>1</w:t>
            </w:r>
          </w:p>
        </w:tc>
      </w:tr>
      <w:tr w:rsidR="00176C3E" w:rsidRPr="008F3D9C" w14:paraId="044F5FA8" w14:textId="77777777" w:rsidTr="00B915BA">
        <w:trPr>
          <w:cnfStyle w:val="000000100000" w:firstRow="0" w:lastRow="0" w:firstColumn="0" w:lastColumn="0" w:oddVBand="0" w:evenVBand="0" w:oddHBand="1" w:evenHBand="0" w:firstRowFirstColumn="0" w:firstRowLastColumn="0" w:lastRowFirstColumn="0" w:lastRowLastColumn="0"/>
          <w:trHeight w:val="93"/>
          <w:jc w:val="center"/>
        </w:trPr>
        <w:tc>
          <w:tcPr>
            <w:cnfStyle w:val="001000000000" w:firstRow="0" w:lastRow="0" w:firstColumn="1" w:lastColumn="0" w:oddVBand="0" w:evenVBand="0" w:oddHBand="0" w:evenHBand="0" w:firstRowFirstColumn="0" w:firstRowLastColumn="0" w:lastRowFirstColumn="0" w:lastRowLastColumn="0"/>
            <w:tcW w:w="2838" w:type="dxa"/>
            <w:tcBorders>
              <w:right w:val="none" w:sz="0" w:space="0" w:color="auto"/>
            </w:tcBorders>
          </w:tcPr>
          <w:p w14:paraId="509BA9A5" w14:textId="77777777" w:rsidR="00176C3E" w:rsidRPr="00C61B68" w:rsidRDefault="00176C3E" w:rsidP="00C61B68">
            <w:pPr>
              <w:spacing w:after="120"/>
              <w:rPr>
                <w:rFonts w:ascii="Calibri" w:eastAsia="Calibri" w:hAnsi="Calibri" w:cs="Arial"/>
                <w:rtl/>
              </w:rPr>
            </w:pPr>
            <w:r w:rsidRPr="00C61B68">
              <w:rPr>
                <w:rFonts w:ascii="Calibri" w:eastAsia="Calibri" w:hAnsi="Calibri" w:cs="Arial"/>
              </w:rPr>
              <w:t>Food Security Index</w:t>
            </w:r>
          </w:p>
        </w:tc>
        <w:tc>
          <w:tcPr>
            <w:tcW w:w="1276" w:type="dxa"/>
            <w:tcBorders>
              <w:left w:val="none" w:sz="0" w:space="0" w:color="auto"/>
              <w:right w:val="none" w:sz="0" w:space="0" w:color="auto"/>
            </w:tcBorders>
            <w:vAlign w:val="center"/>
          </w:tcPr>
          <w:p w14:paraId="7EC8079D" w14:textId="77777777" w:rsidR="00176C3E" w:rsidRPr="00C61B68" w:rsidRDefault="00B8476B" w:rsidP="00C61B68">
            <w:pPr>
              <w:spacing w:after="120"/>
              <w:jc w:val="center"/>
              <w:cnfStyle w:val="000000100000" w:firstRow="0" w:lastRow="0" w:firstColumn="0" w:lastColumn="0" w:oddVBand="0" w:evenVBand="0" w:oddHBand="1" w:evenHBand="0" w:firstRowFirstColumn="0" w:firstRowLastColumn="0" w:lastRowFirstColumn="0" w:lastRowLastColumn="0"/>
              <w:rPr>
                <w:rFonts w:eastAsia="Calibri" w:cs="Arial"/>
                <w:rtl/>
              </w:rPr>
            </w:pPr>
            <w:r w:rsidRPr="00C61B68">
              <w:rPr>
                <w:rFonts w:eastAsia="Calibri" w:cs="Arial"/>
              </w:rPr>
              <w:t>79</w:t>
            </w:r>
          </w:p>
        </w:tc>
        <w:tc>
          <w:tcPr>
            <w:tcW w:w="1275" w:type="dxa"/>
            <w:tcBorders>
              <w:left w:val="none" w:sz="0" w:space="0" w:color="auto"/>
              <w:right w:val="none" w:sz="0" w:space="0" w:color="auto"/>
            </w:tcBorders>
            <w:vAlign w:val="center"/>
          </w:tcPr>
          <w:p w14:paraId="5AD908B8" w14:textId="77777777" w:rsidR="00176C3E" w:rsidRPr="00C61B68" w:rsidRDefault="003C66BF" w:rsidP="00C61B68">
            <w:pPr>
              <w:spacing w:after="120"/>
              <w:jc w:val="center"/>
              <w:cnfStyle w:val="000000100000" w:firstRow="0" w:lastRow="0" w:firstColumn="0" w:lastColumn="0" w:oddVBand="0" w:evenVBand="0" w:oddHBand="1" w:evenHBand="0" w:firstRowFirstColumn="0" w:firstRowLastColumn="0" w:lastRowFirstColumn="0" w:lastRowLastColumn="0"/>
              <w:rPr>
                <w:rFonts w:eastAsia="Calibri" w:cs="Arial"/>
                <w:rtl/>
              </w:rPr>
            </w:pPr>
            <w:r w:rsidRPr="00C61B68">
              <w:rPr>
                <w:rFonts w:eastAsia="Calibri" w:cs="Arial"/>
              </w:rPr>
              <w:t>7</w:t>
            </w:r>
            <w:r w:rsidR="00B8476B" w:rsidRPr="00C61B68">
              <w:rPr>
                <w:rFonts w:eastAsia="Calibri" w:cs="Arial"/>
              </w:rPr>
              <w:t>8</w:t>
            </w:r>
          </w:p>
        </w:tc>
        <w:tc>
          <w:tcPr>
            <w:tcW w:w="1942" w:type="dxa"/>
            <w:tcBorders>
              <w:left w:val="none" w:sz="0" w:space="0" w:color="auto"/>
            </w:tcBorders>
            <w:vAlign w:val="center"/>
          </w:tcPr>
          <w:p w14:paraId="53307041" w14:textId="77777777" w:rsidR="00176C3E" w:rsidRPr="00C61B68" w:rsidRDefault="00500D86" w:rsidP="00C61B68">
            <w:pPr>
              <w:spacing w:after="120"/>
              <w:jc w:val="center"/>
              <w:cnfStyle w:val="000000100000" w:firstRow="0" w:lastRow="0" w:firstColumn="0" w:lastColumn="0" w:oddVBand="0" w:evenVBand="0" w:oddHBand="1" w:evenHBand="0" w:firstRowFirstColumn="0" w:firstRowLastColumn="0" w:lastRowFirstColumn="0" w:lastRowLastColumn="0"/>
              <w:rPr>
                <w:rFonts w:eastAsia="Calibri" w:cs="Arial"/>
                <w:rtl/>
              </w:rPr>
            </w:pPr>
            <w:r w:rsidRPr="00C61B68">
              <w:rPr>
                <w:rFonts w:eastAsia="Calibri" w:cs="Arial"/>
              </w:rPr>
              <w:t>1</w:t>
            </w:r>
            <w:r w:rsidR="00C61B68" w:rsidRPr="00C61B68">
              <w:rPr>
                <w:rFonts w:eastAsia="Calibri" w:cs="Arial"/>
              </w:rPr>
              <w:t>8</w:t>
            </w:r>
          </w:p>
        </w:tc>
      </w:tr>
      <w:tr w:rsidR="00176C3E" w:rsidRPr="008F3D9C" w14:paraId="711B960B" w14:textId="77777777" w:rsidTr="00B915BA">
        <w:trPr>
          <w:cnfStyle w:val="000000010000" w:firstRow="0" w:lastRow="0" w:firstColumn="0" w:lastColumn="0" w:oddVBand="0" w:evenVBand="0" w:oddHBand="0" w:evenHBand="1"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2838" w:type="dxa"/>
            <w:tcBorders>
              <w:right w:val="none" w:sz="0" w:space="0" w:color="auto"/>
            </w:tcBorders>
          </w:tcPr>
          <w:p w14:paraId="7415750A" w14:textId="77777777" w:rsidR="00176C3E" w:rsidRPr="00C61B68" w:rsidRDefault="00176C3E" w:rsidP="00C61B68">
            <w:pPr>
              <w:spacing w:after="120"/>
              <w:rPr>
                <w:rFonts w:ascii="Calibri" w:eastAsia="Calibri" w:hAnsi="Calibri" w:cs="Arial"/>
              </w:rPr>
            </w:pPr>
            <w:r w:rsidRPr="00C61B68">
              <w:rPr>
                <w:rFonts w:ascii="Calibri" w:eastAsia="Calibri" w:hAnsi="Calibri" w:cs="Arial"/>
              </w:rPr>
              <w:t>(%) Food E</w:t>
            </w:r>
            <w:r w:rsidR="00CD3473" w:rsidRPr="00C61B68">
              <w:rPr>
                <w:rFonts w:ascii="Calibri" w:eastAsia="Calibri" w:hAnsi="Calibri" w:cs="Arial"/>
              </w:rPr>
              <w:t xml:space="preserve">xpenditure </w:t>
            </w:r>
            <w:r w:rsidRPr="00C61B68">
              <w:rPr>
                <w:rFonts w:ascii="Calibri" w:eastAsia="Calibri" w:hAnsi="Calibri" w:cs="Arial"/>
              </w:rPr>
              <w:t>to PCE</w:t>
            </w:r>
          </w:p>
        </w:tc>
        <w:tc>
          <w:tcPr>
            <w:tcW w:w="1276" w:type="dxa"/>
            <w:tcBorders>
              <w:left w:val="none" w:sz="0" w:space="0" w:color="auto"/>
              <w:right w:val="none" w:sz="0" w:space="0" w:color="auto"/>
            </w:tcBorders>
            <w:vAlign w:val="center"/>
          </w:tcPr>
          <w:p w14:paraId="7637E5A2" w14:textId="77777777" w:rsidR="00176C3E" w:rsidRPr="00C61B68" w:rsidRDefault="003C66BF" w:rsidP="00C61B68">
            <w:pPr>
              <w:spacing w:after="120"/>
              <w:jc w:val="center"/>
              <w:cnfStyle w:val="000000010000" w:firstRow="0" w:lastRow="0" w:firstColumn="0" w:lastColumn="0" w:oddVBand="0" w:evenVBand="0" w:oddHBand="0" w:evenHBand="1" w:firstRowFirstColumn="0" w:firstRowLastColumn="0" w:lastRowFirstColumn="0" w:lastRowLastColumn="0"/>
              <w:rPr>
                <w:rFonts w:eastAsia="Calibri" w:cs="Arial"/>
                <w:rtl/>
              </w:rPr>
            </w:pPr>
            <w:r w:rsidRPr="00C61B68">
              <w:rPr>
                <w:rFonts w:eastAsia="Calibri" w:cs="Arial"/>
              </w:rPr>
              <w:t>16%</w:t>
            </w:r>
          </w:p>
        </w:tc>
        <w:tc>
          <w:tcPr>
            <w:tcW w:w="1275" w:type="dxa"/>
            <w:tcBorders>
              <w:left w:val="none" w:sz="0" w:space="0" w:color="auto"/>
              <w:right w:val="none" w:sz="0" w:space="0" w:color="auto"/>
            </w:tcBorders>
            <w:vAlign w:val="center"/>
          </w:tcPr>
          <w:p w14:paraId="5971725C" w14:textId="77777777" w:rsidR="00176C3E" w:rsidRPr="00C61B68" w:rsidRDefault="003C66BF" w:rsidP="00C61B68">
            <w:pPr>
              <w:spacing w:after="120"/>
              <w:jc w:val="center"/>
              <w:cnfStyle w:val="000000010000" w:firstRow="0" w:lastRow="0" w:firstColumn="0" w:lastColumn="0" w:oddVBand="0" w:evenVBand="0" w:oddHBand="0" w:evenHBand="1" w:firstRowFirstColumn="0" w:firstRowLastColumn="0" w:lastRowFirstColumn="0" w:lastRowLastColumn="0"/>
              <w:rPr>
                <w:rFonts w:eastAsia="Calibri" w:cs="Arial"/>
                <w:rtl/>
              </w:rPr>
            </w:pPr>
            <w:r w:rsidRPr="00C61B68">
              <w:rPr>
                <w:rFonts w:eastAsia="Calibri" w:cs="Arial"/>
              </w:rPr>
              <w:t>14%</w:t>
            </w:r>
          </w:p>
        </w:tc>
        <w:tc>
          <w:tcPr>
            <w:tcW w:w="1942" w:type="dxa"/>
            <w:tcBorders>
              <w:left w:val="none" w:sz="0" w:space="0" w:color="auto"/>
            </w:tcBorders>
            <w:vAlign w:val="center"/>
          </w:tcPr>
          <w:p w14:paraId="703D0CA9" w14:textId="77777777" w:rsidR="00176C3E" w:rsidRPr="00C61B68" w:rsidRDefault="00C61B68" w:rsidP="00C61B68">
            <w:pPr>
              <w:spacing w:after="120"/>
              <w:jc w:val="center"/>
              <w:cnfStyle w:val="000000010000" w:firstRow="0" w:lastRow="0" w:firstColumn="0" w:lastColumn="0" w:oddVBand="0" w:evenVBand="0" w:oddHBand="0" w:evenHBand="1" w:firstRowFirstColumn="0" w:firstRowLastColumn="0" w:lastRowFirstColumn="0" w:lastRowLastColumn="0"/>
              <w:rPr>
                <w:rFonts w:eastAsia="Calibri" w:cs="Arial"/>
                <w:rtl/>
              </w:rPr>
            </w:pPr>
            <w:r w:rsidRPr="00C61B68">
              <w:rPr>
                <w:rFonts w:eastAsia="Calibri" w:cs="Arial"/>
              </w:rPr>
              <w:t>9</w:t>
            </w:r>
          </w:p>
        </w:tc>
      </w:tr>
    </w:tbl>
    <w:p w14:paraId="4A581E81" w14:textId="77777777" w:rsidR="003C66BF" w:rsidRPr="0035723F" w:rsidRDefault="00F44DEA" w:rsidP="0035723F">
      <w:pPr>
        <w:pStyle w:val="Graphnote"/>
      </w:pPr>
      <w:r w:rsidRPr="0035723F">
        <w:t xml:space="preserve">* Israel’s rank among </w:t>
      </w:r>
      <w:r w:rsidR="00500D86" w:rsidRPr="0035723F">
        <w:t xml:space="preserve">OECD </w:t>
      </w:r>
      <w:r w:rsidRPr="0035723F">
        <w:t>countries.</w:t>
      </w:r>
    </w:p>
    <w:p w14:paraId="3197141B" w14:textId="77777777" w:rsidR="00F44DEA" w:rsidRPr="0035723F" w:rsidRDefault="00F44DEA" w:rsidP="0035723F">
      <w:pPr>
        <w:pStyle w:val="Graphnote"/>
      </w:pPr>
      <w:r w:rsidRPr="0035723F">
        <w:t>Source: USDA and Global Food Security Index</w:t>
      </w:r>
    </w:p>
    <w:p w14:paraId="0BEB101A" w14:textId="77777777" w:rsidR="00442363" w:rsidRPr="008F3D9C" w:rsidRDefault="00442363" w:rsidP="004E2385">
      <w:pPr>
        <w:pStyle w:val="BodyText"/>
      </w:pPr>
      <w:r w:rsidRPr="008F3D9C">
        <w:t>Relying on World Health Organization definitions, also used by the National Insurance Institute of Israel</w:t>
      </w:r>
      <w:r w:rsidR="009A06F8" w:rsidRPr="008F3D9C">
        <w:t xml:space="preserve"> (NII)</w:t>
      </w:r>
      <w:r w:rsidRPr="008F3D9C">
        <w:t>, food security is based on three key pillars:</w:t>
      </w:r>
    </w:p>
    <w:p w14:paraId="53D56313" w14:textId="77777777" w:rsidR="00442363" w:rsidRPr="008F3D9C" w:rsidRDefault="00097572" w:rsidP="00A84F53">
      <w:pPr>
        <w:numPr>
          <w:ilvl w:val="0"/>
          <w:numId w:val="6"/>
        </w:numPr>
        <w:spacing w:line="240" w:lineRule="auto"/>
        <w:jc w:val="both"/>
        <w:rPr>
          <w:rFonts w:ascii="Calibri" w:eastAsia="Calibri" w:hAnsi="Calibri" w:cs="Arial"/>
          <w:sz w:val="24"/>
          <w:szCs w:val="24"/>
        </w:rPr>
      </w:pPr>
      <w:r w:rsidRPr="008F3D9C">
        <w:rPr>
          <w:rFonts w:ascii="Calibri" w:eastAsia="Calibri" w:hAnsi="Calibri" w:cs="Arial"/>
          <w:b/>
          <w:bCs/>
          <w:sz w:val="24"/>
          <w:szCs w:val="24"/>
        </w:rPr>
        <w:t>Food A</w:t>
      </w:r>
      <w:r w:rsidR="00442363" w:rsidRPr="008F3D9C">
        <w:rPr>
          <w:rFonts w:ascii="Calibri" w:eastAsia="Calibri" w:hAnsi="Calibri" w:cs="Arial"/>
          <w:b/>
          <w:bCs/>
          <w:sz w:val="24"/>
          <w:szCs w:val="24"/>
        </w:rPr>
        <w:t>vailability</w:t>
      </w:r>
      <w:r w:rsidR="003C66BF" w:rsidRPr="008F3D9C">
        <w:rPr>
          <w:rFonts w:ascii="Calibri" w:eastAsia="Calibri" w:hAnsi="Calibri" w:cs="Arial"/>
          <w:sz w:val="24"/>
          <w:szCs w:val="24"/>
        </w:rPr>
        <w:t>: S</w:t>
      </w:r>
      <w:r w:rsidR="00442363" w:rsidRPr="008F3D9C">
        <w:rPr>
          <w:rFonts w:ascii="Calibri" w:eastAsia="Calibri" w:hAnsi="Calibri" w:cs="Arial"/>
          <w:sz w:val="24"/>
          <w:szCs w:val="24"/>
        </w:rPr>
        <w:t xml:space="preserve">ufficient quantities of food </w:t>
      </w:r>
      <w:r w:rsidR="003C66BF" w:rsidRPr="008F3D9C">
        <w:rPr>
          <w:rFonts w:ascii="Calibri" w:eastAsia="Calibri" w:hAnsi="Calibri" w:cs="Arial"/>
          <w:sz w:val="24"/>
          <w:szCs w:val="24"/>
        </w:rPr>
        <w:t>available on a consistent basis;</w:t>
      </w:r>
    </w:p>
    <w:p w14:paraId="3C46C17F" w14:textId="535C9882" w:rsidR="00442363" w:rsidRPr="008F3D9C" w:rsidRDefault="00097572" w:rsidP="00500D86">
      <w:pPr>
        <w:numPr>
          <w:ilvl w:val="0"/>
          <w:numId w:val="6"/>
        </w:numPr>
        <w:spacing w:line="240" w:lineRule="auto"/>
        <w:jc w:val="both"/>
        <w:rPr>
          <w:rFonts w:ascii="Calibri" w:eastAsia="Calibri" w:hAnsi="Calibri" w:cs="Arial"/>
          <w:sz w:val="24"/>
          <w:szCs w:val="24"/>
        </w:rPr>
      </w:pPr>
      <w:r w:rsidRPr="008F3D9C">
        <w:rPr>
          <w:rFonts w:ascii="Calibri" w:eastAsia="Calibri" w:hAnsi="Calibri" w:cs="Arial"/>
          <w:b/>
          <w:bCs/>
          <w:sz w:val="24"/>
          <w:szCs w:val="24"/>
        </w:rPr>
        <w:t>Food A</w:t>
      </w:r>
      <w:r w:rsidR="00442363" w:rsidRPr="008F3D9C">
        <w:rPr>
          <w:rFonts w:ascii="Calibri" w:eastAsia="Calibri" w:hAnsi="Calibri" w:cs="Arial"/>
          <w:b/>
          <w:bCs/>
          <w:sz w:val="24"/>
          <w:szCs w:val="24"/>
        </w:rPr>
        <w:t>ccess</w:t>
      </w:r>
      <w:r w:rsidR="003C66BF" w:rsidRPr="008F3D9C">
        <w:rPr>
          <w:rFonts w:ascii="Calibri" w:eastAsia="Calibri" w:hAnsi="Calibri" w:cs="Arial"/>
          <w:sz w:val="24"/>
          <w:szCs w:val="24"/>
        </w:rPr>
        <w:t>:</w:t>
      </w:r>
      <w:r w:rsidR="0057048D" w:rsidRPr="008F3D9C">
        <w:rPr>
          <w:rFonts w:ascii="Calibri" w:eastAsia="Calibri" w:hAnsi="Calibri" w:cs="Arial"/>
          <w:sz w:val="24"/>
          <w:szCs w:val="24"/>
        </w:rPr>
        <w:t xml:space="preserve"> </w:t>
      </w:r>
      <w:r w:rsidR="003C66BF" w:rsidRPr="008F3D9C">
        <w:rPr>
          <w:rFonts w:ascii="Calibri" w:eastAsia="Calibri" w:hAnsi="Calibri" w:cs="Arial"/>
          <w:sz w:val="24"/>
          <w:szCs w:val="24"/>
        </w:rPr>
        <w:t>S</w:t>
      </w:r>
      <w:r w:rsidR="00442363" w:rsidRPr="008F3D9C">
        <w:rPr>
          <w:rFonts w:ascii="Calibri" w:eastAsia="Calibri" w:hAnsi="Calibri" w:cs="Arial"/>
          <w:sz w:val="24"/>
          <w:szCs w:val="24"/>
        </w:rPr>
        <w:t>ufficient resources to obtain appropri</w:t>
      </w:r>
      <w:r w:rsidR="003C66BF" w:rsidRPr="008F3D9C">
        <w:rPr>
          <w:rFonts w:ascii="Calibri" w:eastAsia="Calibri" w:hAnsi="Calibri" w:cs="Arial"/>
          <w:sz w:val="24"/>
          <w:szCs w:val="24"/>
        </w:rPr>
        <w:t>ate foods for a nutritious diet;</w:t>
      </w:r>
    </w:p>
    <w:p w14:paraId="0179E6B4" w14:textId="77777777" w:rsidR="00442363" w:rsidRPr="008F3D9C" w:rsidRDefault="00097572" w:rsidP="0035723F">
      <w:pPr>
        <w:numPr>
          <w:ilvl w:val="0"/>
          <w:numId w:val="6"/>
        </w:numPr>
        <w:spacing w:line="240" w:lineRule="auto"/>
        <w:jc w:val="both"/>
        <w:rPr>
          <w:rFonts w:ascii="Calibri" w:eastAsia="Calibri" w:hAnsi="Calibri" w:cs="Arial"/>
          <w:sz w:val="24"/>
          <w:szCs w:val="24"/>
        </w:rPr>
      </w:pPr>
      <w:r w:rsidRPr="008F3D9C">
        <w:rPr>
          <w:rFonts w:ascii="Calibri" w:eastAsia="Calibri" w:hAnsi="Calibri" w:cs="Arial"/>
          <w:b/>
          <w:bCs/>
          <w:sz w:val="24"/>
          <w:szCs w:val="24"/>
        </w:rPr>
        <w:t>Food U</w:t>
      </w:r>
      <w:r w:rsidR="00442363" w:rsidRPr="008F3D9C">
        <w:rPr>
          <w:rFonts w:ascii="Calibri" w:eastAsia="Calibri" w:hAnsi="Calibri" w:cs="Arial"/>
          <w:b/>
          <w:bCs/>
          <w:sz w:val="24"/>
          <w:szCs w:val="24"/>
        </w:rPr>
        <w:t>se</w:t>
      </w:r>
      <w:r w:rsidR="00442363" w:rsidRPr="008F3D9C">
        <w:rPr>
          <w:rFonts w:ascii="Calibri" w:eastAsia="Calibri" w:hAnsi="Calibri" w:cs="Arial"/>
          <w:sz w:val="24"/>
          <w:szCs w:val="24"/>
        </w:rPr>
        <w:t>:</w:t>
      </w:r>
      <w:r w:rsidR="0057048D" w:rsidRPr="008F3D9C">
        <w:rPr>
          <w:rFonts w:ascii="Calibri" w:eastAsia="Calibri" w:hAnsi="Calibri" w:cs="Arial"/>
          <w:sz w:val="24"/>
          <w:szCs w:val="24"/>
        </w:rPr>
        <w:t xml:space="preserve"> </w:t>
      </w:r>
      <w:r w:rsidR="0035723F" w:rsidRPr="008F3D9C">
        <w:rPr>
          <w:rFonts w:ascii="Calibri" w:eastAsia="Calibri" w:hAnsi="Calibri" w:cs="Arial"/>
          <w:sz w:val="24"/>
          <w:szCs w:val="24"/>
        </w:rPr>
        <w:t>Adequate water and sanitation</w:t>
      </w:r>
      <w:r w:rsidR="0035723F">
        <w:rPr>
          <w:rFonts w:ascii="Calibri" w:eastAsia="Calibri" w:hAnsi="Calibri" w:cs="Arial"/>
          <w:sz w:val="24"/>
          <w:szCs w:val="24"/>
        </w:rPr>
        <w:t>; family’s a</w:t>
      </w:r>
      <w:r w:rsidR="00442363" w:rsidRPr="008F3D9C">
        <w:rPr>
          <w:rFonts w:ascii="Calibri" w:eastAsia="Calibri" w:hAnsi="Calibri" w:cs="Arial"/>
          <w:sz w:val="24"/>
          <w:szCs w:val="24"/>
        </w:rPr>
        <w:t xml:space="preserve">wareness </w:t>
      </w:r>
      <w:r w:rsidR="0035723F">
        <w:rPr>
          <w:rFonts w:ascii="Calibri" w:eastAsia="Calibri" w:hAnsi="Calibri" w:cs="Arial"/>
          <w:sz w:val="24"/>
          <w:szCs w:val="24"/>
        </w:rPr>
        <w:t xml:space="preserve">about the </w:t>
      </w:r>
      <w:r w:rsidR="00442363" w:rsidRPr="008F3D9C">
        <w:rPr>
          <w:rFonts w:ascii="Calibri" w:eastAsia="Calibri" w:hAnsi="Calibri" w:cs="Arial"/>
          <w:sz w:val="24"/>
          <w:szCs w:val="24"/>
        </w:rPr>
        <w:t>proper use of food.</w:t>
      </w:r>
    </w:p>
    <w:p w14:paraId="3C943865" w14:textId="77777777" w:rsidR="00442363" w:rsidRPr="008F3D9C" w:rsidRDefault="00442363" w:rsidP="0035723F">
      <w:pPr>
        <w:pStyle w:val="BodyText"/>
      </w:pPr>
      <w:r w:rsidRPr="008F3D9C">
        <w:t>Using these criteria, which are primarily subjective, the NII estimates that approximately 18% of Israel's population suffer</w:t>
      </w:r>
      <w:r w:rsidR="003C66BF" w:rsidRPr="008F3D9C">
        <w:t>s</w:t>
      </w:r>
      <w:r w:rsidRPr="008F3D9C">
        <w:t xml:space="preserve"> from food insecurity; of this number, 10% </w:t>
      </w:r>
      <w:r w:rsidR="0049713D" w:rsidRPr="008F3D9C">
        <w:t xml:space="preserve">are </w:t>
      </w:r>
      <w:r w:rsidRPr="008F3D9C">
        <w:t xml:space="preserve">in severe food insecurity, and an additional 8% in moderate or mild food insecurity. </w:t>
      </w:r>
    </w:p>
    <w:p w14:paraId="1D444C97" w14:textId="7082DACE" w:rsidR="0035723F" w:rsidRDefault="00442363" w:rsidP="009A7155">
      <w:pPr>
        <w:pStyle w:val="BodyText"/>
      </w:pPr>
      <w:r w:rsidRPr="008F3D9C">
        <w:t>According to The Economist 201</w:t>
      </w:r>
      <w:r w:rsidR="00942268">
        <w:t>7</w:t>
      </w:r>
      <w:r w:rsidRPr="008F3D9C">
        <w:t xml:space="preserve"> Global Food Security Index, Israel is ranked </w:t>
      </w:r>
      <w:r w:rsidR="00A131CE" w:rsidRPr="008F3D9C">
        <w:t>1</w:t>
      </w:r>
      <w:r w:rsidR="00942268">
        <w:t>8</w:t>
      </w:r>
      <w:r w:rsidR="00A131CE" w:rsidRPr="008F3D9C">
        <w:rPr>
          <w:vertAlign w:val="superscript"/>
        </w:rPr>
        <w:t>th</w:t>
      </w:r>
      <w:r w:rsidR="00A131CE" w:rsidRPr="008F3D9C">
        <w:t xml:space="preserve"> </w:t>
      </w:r>
      <w:r w:rsidRPr="008F3D9C">
        <w:t xml:space="preserve">in food </w:t>
      </w:r>
      <w:r w:rsidR="00942268">
        <w:t>in</w:t>
      </w:r>
      <w:r w:rsidRPr="008F3D9C">
        <w:t>security among member states</w:t>
      </w:r>
      <w:r w:rsidR="00ED0EF5" w:rsidRPr="008F3D9C">
        <w:t xml:space="preserve"> of the OECD</w:t>
      </w:r>
      <w:r w:rsidRPr="008F3D9C">
        <w:t>.</w:t>
      </w:r>
      <w:r w:rsidR="0057048D" w:rsidRPr="008F3D9C">
        <w:t xml:space="preserve"> </w:t>
      </w:r>
      <w:r w:rsidR="00133247" w:rsidRPr="008F3D9C">
        <w:t xml:space="preserve">Among OECD countries, Israel is ranked </w:t>
      </w:r>
      <w:r w:rsidR="00942268">
        <w:t>9</w:t>
      </w:r>
      <w:r w:rsidR="00133247" w:rsidRPr="008F3D9C">
        <w:rPr>
          <w:vertAlign w:val="superscript"/>
        </w:rPr>
        <w:t>th</w:t>
      </w:r>
      <w:r w:rsidR="00133247" w:rsidRPr="008F3D9C">
        <w:t xml:space="preserve"> </w:t>
      </w:r>
      <w:r w:rsidR="001432D9" w:rsidRPr="008F3D9C">
        <w:t xml:space="preserve">in </w:t>
      </w:r>
      <w:r w:rsidR="00133247" w:rsidRPr="008F3D9C">
        <w:t>household expenditure on food.</w:t>
      </w:r>
    </w:p>
    <w:p w14:paraId="603B1040" w14:textId="77777777" w:rsidR="0040530B" w:rsidRDefault="0040530B">
      <w:pPr>
        <w:rPr>
          <w:rFonts w:ascii="Calibri" w:eastAsia="Calibri" w:hAnsi="Calibri" w:cs="Arial"/>
          <w:b/>
          <w:bCs/>
        </w:rPr>
      </w:pPr>
      <w:r>
        <w:rPr>
          <w:rFonts w:ascii="Calibri" w:eastAsia="Calibri" w:hAnsi="Calibri" w:cs="Arial"/>
          <w:b/>
          <w:bCs/>
        </w:rPr>
        <w:br w:type="page"/>
      </w:r>
    </w:p>
    <w:p w14:paraId="54EB4775" w14:textId="77777777" w:rsidR="0040530B" w:rsidRDefault="0040530B" w:rsidP="00C61B68">
      <w:pPr>
        <w:spacing w:after="0" w:line="240" w:lineRule="auto"/>
        <w:rPr>
          <w:rFonts w:ascii="Calibri" w:eastAsia="Calibri" w:hAnsi="Calibri" w:cs="Arial"/>
          <w:b/>
          <w:bCs/>
        </w:rPr>
        <w:sectPr w:rsidR="0040530B" w:rsidSect="00E1287E">
          <w:headerReference w:type="default" r:id="rId22"/>
          <w:footerReference w:type="default" r:id="rId23"/>
          <w:footerReference w:type="first" r:id="rId24"/>
          <w:pgSz w:w="11907" w:h="16839" w:code="9"/>
          <w:pgMar w:top="1702" w:right="1440" w:bottom="1440" w:left="1440" w:header="720" w:footer="720" w:gutter="0"/>
          <w:pgNumType w:start="1"/>
          <w:cols w:space="720"/>
          <w:titlePg/>
          <w:docGrid w:linePitch="360"/>
        </w:sectPr>
      </w:pPr>
    </w:p>
    <w:p w14:paraId="61213608" w14:textId="77777777" w:rsidR="00C61B68" w:rsidRDefault="00C61B68" w:rsidP="00C61B68">
      <w:pPr>
        <w:spacing w:after="0" w:line="240" w:lineRule="auto"/>
        <w:rPr>
          <w:rFonts w:ascii="Calibri" w:eastAsia="Calibri" w:hAnsi="Calibri" w:cs="Arial"/>
          <w:b/>
          <w:bCs/>
        </w:rPr>
      </w:pPr>
      <w:r w:rsidRPr="00C61B68">
        <w:rPr>
          <w:rFonts w:ascii="Calibri" w:eastAsia="Calibri" w:hAnsi="Calibri" w:cs="Arial"/>
          <w:b/>
          <w:bCs/>
        </w:rPr>
        <w:t>Food consumption as a share of</w:t>
      </w:r>
      <w:r>
        <w:rPr>
          <w:rFonts w:ascii="Calibri" w:eastAsia="Calibri" w:hAnsi="Calibri" w:cs="Arial"/>
          <w:b/>
          <w:bCs/>
        </w:rPr>
        <w:t xml:space="preserve"> </w:t>
      </w:r>
      <w:r w:rsidRPr="00C61B68">
        <w:rPr>
          <w:rFonts w:ascii="Calibri" w:eastAsia="Calibri" w:hAnsi="Calibri" w:cs="Arial"/>
          <w:b/>
          <w:bCs/>
        </w:rPr>
        <w:t>household expenditure</w:t>
      </w:r>
      <w:r w:rsidR="004B64F6">
        <w:rPr>
          <w:rFonts w:ascii="Calibri" w:eastAsia="Calibri" w:hAnsi="Calibri" w:cs="Arial"/>
          <w:b/>
          <w:bCs/>
        </w:rPr>
        <w:t xml:space="preserve"> </w:t>
      </w:r>
      <w:r>
        <w:rPr>
          <w:rFonts w:ascii="Calibri" w:eastAsia="Calibri" w:hAnsi="Calibri" w:cs="Arial"/>
          <w:b/>
          <w:bCs/>
        </w:rPr>
        <w:t>2017</w:t>
      </w:r>
    </w:p>
    <w:p w14:paraId="5222CBA3" w14:textId="77777777" w:rsidR="00C61B68" w:rsidRDefault="00C61B68" w:rsidP="00C61B68">
      <w:pPr>
        <w:spacing w:after="0" w:line="240" w:lineRule="auto"/>
        <w:rPr>
          <w:rFonts w:ascii="Calibri" w:eastAsia="Calibri" w:hAnsi="Calibri" w:cs="Arial"/>
          <w:b/>
          <w:bCs/>
        </w:rPr>
      </w:pPr>
      <w:r>
        <w:rPr>
          <w:noProof/>
        </w:rPr>
        <w:drawing>
          <wp:inline distT="0" distB="0" distL="0" distR="0" wp14:anchorId="6B1B7F58" wp14:editId="18F13AE6">
            <wp:extent cx="2834640" cy="5303520"/>
            <wp:effectExtent l="0" t="0" r="3810" b="0"/>
            <wp:docPr id="8" name="תרשים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BEB1A49" w14:textId="77777777" w:rsidR="00077E08" w:rsidRPr="00077E08" w:rsidRDefault="00077E08" w:rsidP="00077E08">
      <w:pPr>
        <w:spacing w:after="0" w:line="240" w:lineRule="auto"/>
        <w:rPr>
          <w:sz w:val="20"/>
          <w:szCs w:val="20"/>
        </w:rPr>
      </w:pPr>
      <w:r w:rsidRPr="00077E08">
        <w:rPr>
          <w:sz w:val="20"/>
          <w:szCs w:val="20"/>
        </w:rPr>
        <w:t>Source: Economist 2017 Global Food Security Index</w:t>
      </w:r>
    </w:p>
    <w:p w14:paraId="255C35D7" w14:textId="77777777" w:rsidR="00C61B68" w:rsidRDefault="00C61B68" w:rsidP="00C61B68">
      <w:pPr>
        <w:spacing w:after="0" w:line="240" w:lineRule="auto"/>
        <w:rPr>
          <w:rFonts w:ascii="Calibri" w:eastAsia="Calibri" w:hAnsi="Calibri" w:cs="Arial"/>
          <w:b/>
          <w:bCs/>
        </w:rPr>
      </w:pPr>
    </w:p>
    <w:p w14:paraId="5D8A5258" w14:textId="77777777" w:rsidR="00C61B68" w:rsidRPr="00077E08" w:rsidRDefault="00077E08" w:rsidP="00077E08">
      <w:pPr>
        <w:spacing w:after="0" w:line="240" w:lineRule="auto"/>
        <w:rPr>
          <w:rFonts w:ascii="Calibri" w:eastAsia="Calibri" w:hAnsi="Calibri" w:cs="Arial"/>
        </w:rPr>
      </w:pPr>
      <w:r w:rsidRPr="00077E08">
        <w:rPr>
          <w:rFonts w:ascii="Calibri" w:eastAsia="Calibri" w:hAnsi="Calibri" w:cs="Arial"/>
          <w:u w:val="single"/>
        </w:rPr>
        <w:t>From top to bottom</w:t>
      </w:r>
      <w:r w:rsidRPr="00077E08">
        <w:rPr>
          <w:rFonts w:ascii="Calibri" w:eastAsia="Calibri" w:hAnsi="Calibri" w:cs="Arial"/>
        </w:rPr>
        <w:t>:</w:t>
      </w:r>
      <w:r>
        <w:rPr>
          <w:rFonts w:ascii="Calibri" w:eastAsia="Calibri" w:hAnsi="Calibri" w:cs="Arial"/>
        </w:rPr>
        <w:t xml:space="preserve"> Turkey, Mexico, Hungary, Slovakia, Poland, Portugal, Greece, Chile, </w:t>
      </w:r>
      <w:r w:rsidRPr="0035723F">
        <w:rPr>
          <w:rFonts w:ascii="Calibri" w:eastAsia="Calibri" w:hAnsi="Calibri" w:cs="Arial"/>
          <w:color w:val="FF0000"/>
        </w:rPr>
        <w:t>Israel</w:t>
      </w:r>
      <w:r>
        <w:rPr>
          <w:rFonts w:ascii="Calibri" w:eastAsia="Calibri" w:hAnsi="Calibri" w:cs="Arial"/>
        </w:rPr>
        <w:t xml:space="preserve">, Czech Republic, Italy, Japan, </w:t>
      </w:r>
      <w:r w:rsidRPr="0035723F">
        <w:rPr>
          <w:rFonts w:ascii="Calibri" w:eastAsia="Calibri" w:hAnsi="Calibri" w:cs="Arial"/>
          <w:color w:val="00B050"/>
        </w:rPr>
        <w:t>OECD average</w:t>
      </w:r>
      <w:r>
        <w:rPr>
          <w:rFonts w:ascii="Calibri" w:eastAsia="Calibri" w:hAnsi="Calibri" w:cs="Arial"/>
        </w:rPr>
        <w:t>, New Zealand, France, Spain, Belgium,</w:t>
      </w:r>
      <w:r w:rsidR="004B64F6">
        <w:rPr>
          <w:rFonts w:ascii="Calibri" w:eastAsia="Calibri" w:hAnsi="Calibri" w:cs="Arial"/>
        </w:rPr>
        <w:t xml:space="preserve"> </w:t>
      </w:r>
      <w:r>
        <w:rPr>
          <w:rFonts w:ascii="Calibri" w:eastAsia="Calibri" w:hAnsi="Calibri" w:cs="Arial"/>
        </w:rPr>
        <w:t>Finland, Sweden, Norway, Holland, Denmark, Germany Australia, Austria, Ireland, Canada, Switzerland, Great Britain, USA.</w:t>
      </w:r>
    </w:p>
    <w:p w14:paraId="1E85E09F" w14:textId="77777777" w:rsidR="00077E08" w:rsidRDefault="00077E08" w:rsidP="00C61B68">
      <w:pPr>
        <w:spacing w:after="0" w:line="240" w:lineRule="auto"/>
        <w:rPr>
          <w:rFonts w:ascii="Calibri" w:eastAsia="Calibri" w:hAnsi="Calibri" w:cs="Arial"/>
          <w:b/>
          <w:bCs/>
        </w:rPr>
      </w:pPr>
    </w:p>
    <w:p w14:paraId="110707C2" w14:textId="77777777" w:rsidR="00500D86" w:rsidRPr="008F3D9C" w:rsidRDefault="00477848" w:rsidP="00C61B68">
      <w:pPr>
        <w:spacing w:after="0" w:line="240" w:lineRule="auto"/>
        <w:rPr>
          <w:rFonts w:ascii="Calibri" w:eastAsia="Calibri" w:hAnsi="Calibri" w:cs="Arial"/>
          <w:b/>
          <w:bCs/>
        </w:rPr>
      </w:pPr>
      <w:r>
        <w:rPr>
          <w:rFonts w:ascii="Calibri" w:eastAsia="Calibri" w:hAnsi="Calibri" w:cs="Arial"/>
          <w:b/>
          <w:bCs/>
        </w:rPr>
        <w:br w:type="column"/>
      </w:r>
      <w:r w:rsidR="00500D86" w:rsidRPr="008F3D9C">
        <w:rPr>
          <w:rFonts w:ascii="Calibri" w:eastAsia="Calibri" w:hAnsi="Calibri" w:cs="Arial"/>
          <w:b/>
          <w:bCs/>
        </w:rPr>
        <w:t xml:space="preserve">Food Security Index - International Comparison </w:t>
      </w:r>
      <w:r w:rsidR="00352346">
        <w:rPr>
          <w:rFonts w:ascii="Calibri" w:eastAsia="Calibri" w:hAnsi="Calibri" w:cs="Arial"/>
          <w:b/>
          <w:bCs/>
        </w:rPr>
        <w:t>201</w:t>
      </w:r>
      <w:r w:rsidR="00942268">
        <w:rPr>
          <w:rFonts w:ascii="Calibri" w:eastAsia="Calibri" w:hAnsi="Calibri" w:cs="Arial"/>
          <w:b/>
          <w:bCs/>
        </w:rPr>
        <w:t>7</w:t>
      </w:r>
    </w:p>
    <w:p w14:paraId="55C168B4" w14:textId="77777777" w:rsidR="00500D86" w:rsidRDefault="00500D86" w:rsidP="00500D86">
      <w:pPr>
        <w:spacing w:after="0" w:line="240" w:lineRule="auto"/>
        <w:jc w:val="center"/>
        <w:rPr>
          <w:rFonts w:asciiTheme="majorBidi" w:hAnsiTheme="majorBidi" w:cstheme="majorBidi"/>
        </w:rPr>
      </w:pPr>
    </w:p>
    <w:p w14:paraId="77DAA950" w14:textId="77777777" w:rsidR="00077E08" w:rsidRDefault="00077E08" w:rsidP="00077E08">
      <w:pPr>
        <w:spacing w:after="0" w:line="240" w:lineRule="auto"/>
        <w:rPr>
          <w:rFonts w:ascii="Calibri" w:eastAsia="Calibri" w:hAnsi="Calibri" w:cs="Arial"/>
          <w:u w:val="single"/>
        </w:rPr>
      </w:pPr>
      <w:r>
        <w:rPr>
          <w:noProof/>
        </w:rPr>
        <w:drawing>
          <wp:inline distT="0" distB="0" distL="0" distR="0" wp14:anchorId="796D3AA1" wp14:editId="6E6F31B7">
            <wp:extent cx="2834640" cy="5303520"/>
            <wp:effectExtent l="0" t="0" r="3810" b="0"/>
            <wp:docPr id="13" name="תרשים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A9E5FCB" w14:textId="77777777" w:rsidR="00077E08" w:rsidRPr="00077E08" w:rsidRDefault="00077E08" w:rsidP="00C71D0E">
      <w:pPr>
        <w:spacing w:after="0" w:line="240" w:lineRule="auto"/>
        <w:rPr>
          <w:rFonts w:ascii="Calibri" w:eastAsia="Calibri" w:hAnsi="Calibri" w:cs="Arial"/>
        </w:rPr>
      </w:pPr>
      <w:r w:rsidRPr="00077E08">
        <w:rPr>
          <w:rFonts w:ascii="Calibri" w:eastAsia="Calibri" w:hAnsi="Calibri" w:cs="Arial"/>
          <w:u w:val="single"/>
        </w:rPr>
        <w:t>From top to bottom</w:t>
      </w:r>
      <w:r w:rsidRPr="00077E08">
        <w:rPr>
          <w:rFonts w:ascii="Calibri" w:eastAsia="Calibri" w:hAnsi="Calibri" w:cs="Arial"/>
        </w:rPr>
        <w:t>:</w:t>
      </w:r>
      <w:r>
        <w:rPr>
          <w:rFonts w:ascii="Calibri" w:eastAsia="Calibri" w:hAnsi="Calibri" w:cs="Arial"/>
        </w:rPr>
        <w:t xml:space="preserve"> Turkey, Mexico, Slovakia,</w:t>
      </w:r>
      <w:r w:rsidRPr="00077E08">
        <w:rPr>
          <w:rFonts w:ascii="Calibri" w:eastAsia="Calibri" w:hAnsi="Calibri" w:cs="Arial"/>
        </w:rPr>
        <w:t xml:space="preserve"> </w:t>
      </w:r>
      <w:r>
        <w:rPr>
          <w:rFonts w:ascii="Calibri" w:eastAsia="Calibri" w:hAnsi="Calibri" w:cs="Arial"/>
        </w:rPr>
        <w:t>Greece,</w:t>
      </w:r>
      <w:r w:rsidRPr="00077E08">
        <w:rPr>
          <w:rFonts w:ascii="Calibri" w:eastAsia="Calibri" w:hAnsi="Calibri" w:cs="Arial"/>
        </w:rPr>
        <w:t xml:space="preserve"> </w:t>
      </w:r>
      <w:r>
        <w:rPr>
          <w:rFonts w:ascii="Calibri" w:eastAsia="Calibri" w:hAnsi="Calibri" w:cs="Arial"/>
        </w:rPr>
        <w:t>Hungary, Poland,</w:t>
      </w:r>
      <w:r w:rsidRPr="00077E08">
        <w:rPr>
          <w:rFonts w:ascii="Calibri" w:eastAsia="Calibri" w:hAnsi="Calibri" w:cs="Arial"/>
        </w:rPr>
        <w:t xml:space="preserve"> </w:t>
      </w:r>
      <w:r>
        <w:rPr>
          <w:rFonts w:ascii="Calibri" w:eastAsia="Calibri" w:hAnsi="Calibri" w:cs="Arial"/>
        </w:rPr>
        <w:t>Chile, Czech Republic,</w:t>
      </w:r>
      <w:r w:rsidRPr="00077E08">
        <w:rPr>
          <w:rFonts w:ascii="Calibri" w:eastAsia="Calibri" w:hAnsi="Calibri" w:cs="Arial"/>
        </w:rPr>
        <w:t xml:space="preserve"> </w:t>
      </w:r>
      <w:r>
        <w:rPr>
          <w:rFonts w:ascii="Calibri" w:eastAsia="Calibri" w:hAnsi="Calibri" w:cs="Arial"/>
        </w:rPr>
        <w:t>Italy,</w:t>
      </w:r>
      <w:r w:rsidR="00C71D0E" w:rsidRPr="00C71D0E">
        <w:rPr>
          <w:rFonts w:ascii="Calibri" w:eastAsia="Calibri" w:hAnsi="Calibri" w:cs="Arial"/>
        </w:rPr>
        <w:t xml:space="preserve"> </w:t>
      </w:r>
      <w:r w:rsidR="00C71D0E">
        <w:rPr>
          <w:rFonts w:ascii="Calibri" w:eastAsia="Calibri" w:hAnsi="Calibri" w:cs="Arial"/>
        </w:rPr>
        <w:t>Spain,</w:t>
      </w:r>
      <w:r w:rsidR="00C71D0E" w:rsidRPr="00C71D0E">
        <w:rPr>
          <w:rFonts w:ascii="Calibri" w:eastAsia="Calibri" w:hAnsi="Calibri" w:cs="Arial"/>
        </w:rPr>
        <w:t xml:space="preserve"> </w:t>
      </w:r>
      <w:r w:rsidR="00C71D0E" w:rsidRPr="0035723F">
        <w:rPr>
          <w:rFonts w:ascii="Calibri" w:eastAsia="Calibri" w:hAnsi="Calibri" w:cs="Arial"/>
          <w:color w:val="00B050"/>
        </w:rPr>
        <w:t>OECD average</w:t>
      </w:r>
      <w:r w:rsidR="00C71D0E">
        <w:rPr>
          <w:rFonts w:ascii="Calibri" w:eastAsia="Calibri" w:hAnsi="Calibri" w:cs="Arial"/>
        </w:rPr>
        <w:t xml:space="preserve">, </w:t>
      </w:r>
      <w:r>
        <w:rPr>
          <w:rFonts w:ascii="Calibri" w:eastAsia="Calibri" w:hAnsi="Calibri" w:cs="Arial"/>
        </w:rPr>
        <w:t>Portugal,</w:t>
      </w:r>
      <w:r w:rsidR="00C71D0E" w:rsidRPr="00C71D0E">
        <w:rPr>
          <w:rFonts w:ascii="Calibri" w:eastAsia="Calibri" w:hAnsi="Calibri" w:cs="Arial"/>
        </w:rPr>
        <w:t xml:space="preserve"> </w:t>
      </w:r>
      <w:r w:rsidR="00C71D0E" w:rsidRPr="0035723F">
        <w:rPr>
          <w:rFonts w:ascii="Calibri" w:eastAsia="Calibri" w:hAnsi="Calibri" w:cs="Arial"/>
          <w:color w:val="FF0000"/>
        </w:rPr>
        <w:t>Israel</w:t>
      </w:r>
      <w:r w:rsidR="00C71D0E">
        <w:rPr>
          <w:rFonts w:ascii="Calibri" w:eastAsia="Calibri" w:hAnsi="Calibri" w:cs="Arial"/>
        </w:rPr>
        <w:t>, Japan,</w:t>
      </w:r>
      <w:r w:rsidR="00C71D0E" w:rsidRPr="00C71D0E">
        <w:rPr>
          <w:rFonts w:ascii="Calibri" w:eastAsia="Calibri" w:hAnsi="Calibri" w:cs="Arial"/>
        </w:rPr>
        <w:t xml:space="preserve"> </w:t>
      </w:r>
      <w:r w:rsidR="00C71D0E">
        <w:rPr>
          <w:rFonts w:ascii="Calibri" w:eastAsia="Calibri" w:hAnsi="Calibri" w:cs="Arial"/>
        </w:rPr>
        <w:t>Belgium,</w:t>
      </w:r>
      <w:r w:rsidR="004B64F6">
        <w:rPr>
          <w:rFonts w:ascii="Calibri" w:eastAsia="Calibri" w:hAnsi="Calibri" w:cs="Arial"/>
        </w:rPr>
        <w:t xml:space="preserve"> </w:t>
      </w:r>
      <w:r w:rsidR="00C71D0E">
        <w:rPr>
          <w:rFonts w:ascii="Calibri" w:eastAsia="Calibri" w:hAnsi="Calibri" w:cs="Arial"/>
        </w:rPr>
        <w:t>Denmark,</w:t>
      </w:r>
      <w:r w:rsidR="00C71D0E" w:rsidRPr="00C71D0E">
        <w:rPr>
          <w:rFonts w:ascii="Calibri" w:eastAsia="Calibri" w:hAnsi="Calibri" w:cs="Arial"/>
        </w:rPr>
        <w:t xml:space="preserve"> </w:t>
      </w:r>
      <w:r w:rsidR="00C71D0E">
        <w:rPr>
          <w:rFonts w:ascii="Calibri" w:eastAsia="Calibri" w:hAnsi="Calibri" w:cs="Arial"/>
        </w:rPr>
        <w:t>Finland,</w:t>
      </w:r>
      <w:r w:rsidR="00C71D0E" w:rsidRPr="00C71D0E">
        <w:rPr>
          <w:rFonts w:ascii="Calibri" w:eastAsia="Calibri" w:hAnsi="Calibri" w:cs="Arial"/>
        </w:rPr>
        <w:t xml:space="preserve"> </w:t>
      </w:r>
      <w:r w:rsidR="00C71D0E">
        <w:rPr>
          <w:rFonts w:ascii="Calibri" w:eastAsia="Calibri" w:hAnsi="Calibri" w:cs="Arial"/>
        </w:rPr>
        <w:t>New Zealand,</w:t>
      </w:r>
      <w:r w:rsidR="00C71D0E" w:rsidRPr="00C71D0E">
        <w:rPr>
          <w:rFonts w:ascii="Calibri" w:eastAsia="Calibri" w:hAnsi="Calibri" w:cs="Arial"/>
        </w:rPr>
        <w:t xml:space="preserve"> </w:t>
      </w:r>
      <w:r w:rsidR="00C71D0E">
        <w:rPr>
          <w:rFonts w:ascii="Calibri" w:eastAsia="Calibri" w:hAnsi="Calibri" w:cs="Arial"/>
        </w:rPr>
        <w:t>Norway, Austria, Switzerland,</w:t>
      </w:r>
      <w:r w:rsidR="00C71D0E" w:rsidRPr="00C71D0E">
        <w:rPr>
          <w:rFonts w:ascii="Calibri" w:eastAsia="Calibri" w:hAnsi="Calibri" w:cs="Arial"/>
        </w:rPr>
        <w:t xml:space="preserve"> </w:t>
      </w:r>
      <w:r w:rsidR="00C71D0E">
        <w:rPr>
          <w:rFonts w:ascii="Calibri" w:eastAsia="Calibri" w:hAnsi="Calibri" w:cs="Arial"/>
        </w:rPr>
        <w:t>Sweden,</w:t>
      </w:r>
      <w:r w:rsidR="00C71D0E" w:rsidRPr="00C71D0E">
        <w:rPr>
          <w:rFonts w:ascii="Calibri" w:eastAsia="Calibri" w:hAnsi="Calibri" w:cs="Arial"/>
        </w:rPr>
        <w:t xml:space="preserve"> </w:t>
      </w:r>
      <w:r w:rsidR="00C71D0E">
        <w:rPr>
          <w:rFonts w:ascii="Calibri" w:eastAsia="Calibri" w:hAnsi="Calibri" w:cs="Arial"/>
        </w:rPr>
        <w:t>Canada, France, Germany, Holland, Australia,</w:t>
      </w:r>
      <w:r w:rsidR="00C71D0E" w:rsidRPr="00C71D0E">
        <w:rPr>
          <w:rFonts w:ascii="Calibri" w:eastAsia="Calibri" w:hAnsi="Calibri" w:cs="Arial"/>
        </w:rPr>
        <w:t xml:space="preserve"> </w:t>
      </w:r>
      <w:r w:rsidR="00C71D0E">
        <w:rPr>
          <w:rFonts w:ascii="Calibri" w:eastAsia="Calibri" w:hAnsi="Calibri" w:cs="Arial"/>
        </w:rPr>
        <w:t>Great Britain, USA</w:t>
      </w:r>
      <w:r>
        <w:rPr>
          <w:rFonts w:ascii="Calibri" w:eastAsia="Calibri" w:hAnsi="Calibri" w:cs="Arial"/>
        </w:rPr>
        <w:t>, Ireland.</w:t>
      </w:r>
      <w:r w:rsidRPr="00077E08">
        <w:rPr>
          <w:rFonts w:ascii="Calibri" w:eastAsia="Calibri" w:hAnsi="Calibri" w:cs="Arial"/>
        </w:rPr>
        <w:t xml:space="preserve"> </w:t>
      </w:r>
    </w:p>
    <w:p w14:paraId="48CDC0CB" w14:textId="77777777" w:rsidR="0040530B" w:rsidRDefault="0040530B" w:rsidP="00C71D0E">
      <w:pPr>
        <w:spacing w:after="0" w:line="240" w:lineRule="auto"/>
        <w:rPr>
          <w:rFonts w:ascii="Calibri" w:eastAsia="Calibri" w:hAnsi="Calibri" w:cs="Arial"/>
          <w:b/>
          <w:bCs/>
        </w:rPr>
        <w:sectPr w:rsidR="0040530B" w:rsidSect="009D7DDC">
          <w:type w:val="continuous"/>
          <w:pgSz w:w="11907" w:h="16839" w:code="9"/>
          <w:pgMar w:top="1702" w:right="1440" w:bottom="1440" w:left="1440" w:header="720" w:footer="720" w:gutter="0"/>
          <w:cols w:num="2" w:space="510"/>
          <w:titlePg/>
          <w:docGrid w:linePitch="360"/>
        </w:sectPr>
      </w:pPr>
    </w:p>
    <w:p w14:paraId="186A019E" w14:textId="1B4D0875" w:rsidR="00442363" w:rsidRPr="008F3D9C" w:rsidRDefault="00442363" w:rsidP="008823B6">
      <w:pPr>
        <w:pStyle w:val="BodyText"/>
      </w:pPr>
      <w:r w:rsidRPr="008F3D9C">
        <w:rPr>
          <w:rFonts w:eastAsia="Times New Roman"/>
        </w:rPr>
        <w:t xml:space="preserve">Comparison of inequality </w:t>
      </w:r>
      <w:r w:rsidRPr="008F3D9C">
        <w:t>and food insecurity data indicates that the US</w:t>
      </w:r>
      <w:r w:rsidR="005762E8" w:rsidRPr="008F3D9C">
        <w:t xml:space="preserve"> and Israel have </w:t>
      </w:r>
      <w:r w:rsidRPr="008F3D9C">
        <w:t xml:space="preserve">similarly high </w:t>
      </w:r>
      <w:r w:rsidR="005762E8" w:rsidRPr="008F3D9C">
        <w:t xml:space="preserve">inequality and poverty levels, however </w:t>
      </w:r>
      <w:r w:rsidRPr="008F3D9C">
        <w:t xml:space="preserve">food security </w:t>
      </w:r>
      <w:r w:rsidR="005762E8" w:rsidRPr="008F3D9C">
        <w:t xml:space="preserve">in the US </w:t>
      </w:r>
      <w:r w:rsidRPr="008F3D9C">
        <w:t xml:space="preserve">is </w:t>
      </w:r>
      <w:r w:rsidR="008823B6" w:rsidRPr="008F3D9C">
        <w:t xml:space="preserve">paradoxically </w:t>
      </w:r>
      <w:r w:rsidRPr="008F3D9C">
        <w:t>among the highest</w:t>
      </w:r>
      <w:r w:rsidR="005762E8" w:rsidRPr="008F3D9C">
        <w:t xml:space="preserve"> in the developed world</w:t>
      </w:r>
      <w:r w:rsidRPr="008F3D9C">
        <w:t>.</w:t>
      </w:r>
      <w:r w:rsidR="0057048D" w:rsidRPr="008F3D9C">
        <w:t xml:space="preserve"> </w:t>
      </w:r>
      <w:r w:rsidRPr="008F3D9C">
        <w:t>It seems that the high US measure of food security, despite high general inequality, is the result of many years of public awareness to the pro</w:t>
      </w:r>
      <w:r w:rsidR="009A06F8" w:rsidRPr="008F3D9C">
        <w:t>blem of food insecurity, evident</w:t>
      </w:r>
      <w:r w:rsidRPr="008F3D9C">
        <w:t xml:space="preserve"> among other things by the American reliance on food stamp programs </w:t>
      </w:r>
      <w:r w:rsidR="00133776" w:rsidRPr="008F3D9C">
        <w:t xml:space="preserve">(SNAP) </w:t>
      </w:r>
      <w:r w:rsidRPr="008F3D9C">
        <w:t xml:space="preserve">to ensure </w:t>
      </w:r>
      <w:r w:rsidR="008823B6">
        <w:t xml:space="preserve">adequate </w:t>
      </w:r>
      <w:r w:rsidRPr="008F3D9C">
        <w:t xml:space="preserve">food provision to the needy. Furthermore, the US is a pioneer in </w:t>
      </w:r>
      <w:r w:rsidR="009A7155">
        <w:t xml:space="preserve">supporting </w:t>
      </w:r>
      <w:r w:rsidRPr="008F3D9C">
        <w:t>food banks</w:t>
      </w:r>
      <w:r w:rsidR="009A7155">
        <w:t>’</w:t>
      </w:r>
      <w:r w:rsidRPr="008F3D9C">
        <w:t xml:space="preserve"> </w:t>
      </w:r>
      <w:r w:rsidR="009A7155">
        <w:t xml:space="preserve">efforts </w:t>
      </w:r>
      <w:r w:rsidRPr="008F3D9C">
        <w:t xml:space="preserve">to </w:t>
      </w:r>
      <w:r w:rsidR="008823B6">
        <w:t xml:space="preserve">recover </w:t>
      </w:r>
      <w:r w:rsidRPr="008F3D9C">
        <w:t xml:space="preserve">surplus </w:t>
      </w:r>
      <w:r w:rsidR="00133776" w:rsidRPr="008F3D9C">
        <w:t xml:space="preserve">food </w:t>
      </w:r>
      <w:r w:rsidRPr="008F3D9C">
        <w:t xml:space="preserve">and distribute it to </w:t>
      </w:r>
      <w:r w:rsidR="00ED0EF5" w:rsidRPr="008F3D9C">
        <w:t>underprivileged</w:t>
      </w:r>
      <w:r w:rsidRPr="008F3D9C">
        <w:t xml:space="preserve"> populations and is </w:t>
      </w:r>
      <w:r w:rsidR="009A7155">
        <w:t xml:space="preserve">also </w:t>
      </w:r>
      <w:r w:rsidRPr="008F3D9C">
        <w:t xml:space="preserve">a world leader in establishing policies to remove obstacles for </w:t>
      </w:r>
      <w:r w:rsidR="00ED0EF5" w:rsidRPr="008F3D9C">
        <w:t>food waste and reuse</w:t>
      </w:r>
      <w:r w:rsidRPr="008F3D9C">
        <w:t>.</w:t>
      </w:r>
      <w:r w:rsidR="0057048D" w:rsidRPr="008F3D9C">
        <w:t xml:space="preserve"> </w:t>
      </w:r>
      <w:r w:rsidRPr="008F3D9C">
        <w:t xml:space="preserve">As early as 1996, the US passed </w:t>
      </w:r>
      <w:r w:rsidR="00BF02D1">
        <w:t xml:space="preserve">the </w:t>
      </w:r>
      <w:r w:rsidR="009479BE" w:rsidRPr="008F3D9C">
        <w:t>Bill Emerson Good Samaritan Food Donation Act</w:t>
      </w:r>
      <w:r w:rsidR="00DC2FA4">
        <w:t xml:space="preserve"> </w:t>
      </w:r>
      <w:r w:rsidRPr="008F3D9C">
        <w:t xml:space="preserve">to protect those involved in food rescue from litigation. </w:t>
      </w:r>
    </w:p>
    <w:p w14:paraId="35CCC405" w14:textId="77777777" w:rsidR="00442363" w:rsidRPr="009C4CDA" w:rsidRDefault="00442363" w:rsidP="00147199">
      <w:pPr>
        <w:pStyle w:val="BodyText"/>
      </w:pPr>
      <w:r w:rsidRPr="009C4CDA">
        <w:t>Despite similar inequality and poverty rates in Israel and the US, food expenses as part of the Personal Consumption Expenditure (PCE) in Israel is among the highest in the world, measured at 16%</w:t>
      </w:r>
      <w:r w:rsidR="00147199">
        <w:t>,</w:t>
      </w:r>
      <w:r w:rsidR="00ED0EF5" w:rsidRPr="009C4CDA">
        <w:t xml:space="preserve"> </w:t>
      </w:r>
      <w:r w:rsidR="00B8476B" w:rsidRPr="009C4CDA">
        <w:t xml:space="preserve">2.5 </w:t>
      </w:r>
      <w:r w:rsidRPr="009C4CDA">
        <w:t>times th</w:t>
      </w:r>
      <w:r w:rsidR="00147199">
        <w:t>e r</w:t>
      </w:r>
      <w:r w:rsidRPr="009C4CDA">
        <w:t>at</w:t>
      </w:r>
      <w:r w:rsidR="00147199">
        <w:t>e in</w:t>
      </w:r>
      <w:r w:rsidRPr="009C4CDA">
        <w:t xml:space="preserve"> the US.</w:t>
      </w:r>
      <w:r w:rsidR="0057048D" w:rsidRPr="009C4CDA">
        <w:t xml:space="preserve"> </w:t>
      </w:r>
      <w:r w:rsidRPr="009C4CDA">
        <w:t xml:space="preserve">Therefore, a policy of food rescue and distribution to </w:t>
      </w:r>
      <w:r w:rsidR="009A06F8" w:rsidRPr="009C4CDA">
        <w:t>the underprivileged populace</w:t>
      </w:r>
      <w:r w:rsidRPr="009C4CDA">
        <w:t xml:space="preserve"> </w:t>
      </w:r>
      <w:r w:rsidR="00146314" w:rsidRPr="009C4CDA">
        <w:t xml:space="preserve">would be </w:t>
      </w:r>
      <w:r w:rsidRPr="009C4CDA">
        <w:t xml:space="preserve">an </w:t>
      </w:r>
      <w:r w:rsidR="00C71D0E">
        <w:t>especially</w:t>
      </w:r>
      <w:r w:rsidR="00C71D0E" w:rsidRPr="009C4CDA">
        <w:t xml:space="preserve"> </w:t>
      </w:r>
      <w:r w:rsidRPr="009C4CDA">
        <w:t xml:space="preserve">effective welfare policy </w:t>
      </w:r>
      <w:r w:rsidR="00C71D0E">
        <w:t xml:space="preserve">in </w:t>
      </w:r>
      <w:r w:rsidRPr="009C4CDA">
        <w:t xml:space="preserve">Israel, where a significant portion of household expenditure is allocated to food. </w:t>
      </w:r>
    </w:p>
    <w:p w14:paraId="0B88C172" w14:textId="52FF148A" w:rsidR="00442363" w:rsidRPr="008F3D9C" w:rsidRDefault="00442363" w:rsidP="009832C6">
      <w:pPr>
        <w:pStyle w:val="BodyText"/>
        <w:rPr>
          <w:rFonts w:cs="Arial"/>
          <w:caps/>
          <w:color w:val="444444"/>
          <w:sz w:val="40"/>
          <w:szCs w:val="40"/>
        </w:rPr>
      </w:pPr>
      <w:r w:rsidRPr="008F3D9C">
        <w:t>The definition of food security is subjective.</w:t>
      </w:r>
      <w:r w:rsidR="0057048D" w:rsidRPr="008F3D9C">
        <w:t xml:space="preserve"> </w:t>
      </w:r>
      <w:r w:rsidRPr="008F3D9C">
        <w:t xml:space="preserve">In order to examine food rescue effectiveness as a policy measure to increase food security in Israel, </w:t>
      </w:r>
      <w:r w:rsidR="009832C6">
        <w:t xml:space="preserve">the report used </w:t>
      </w:r>
      <w:r w:rsidRPr="008F3D9C">
        <w:t>the methodology of Chernichovsky and Regev</w:t>
      </w:r>
      <w:r w:rsidRPr="008F3D9C">
        <w:rPr>
          <w:rFonts w:cs="Arial"/>
          <w:vertAlign w:val="superscript"/>
          <w:rtl/>
        </w:rPr>
        <w:footnoteReference w:id="8"/>
      </w:r>
      <w:r w:rsidRPr="008F3D9C">
        <w:t xml:space="preserve"> </w:t>
      </w:r>
      <w:r w:rsidR="004B4A5C" w:rsidRPr="008F3D9C">
        <w:t>w</w:t>
      </w:r>
      <w:r w:rsidR="009832C6">
        <w:t xml:space="preserve">hich </w:t>
      </w:r>
      <w:r w:rsidRPr="008F3D9C">
        <w:t>define</w:t>
      </w:r>
      <w:r w:rsidR="009832C6">
        <w:t>s</w:t>
      </w:r>
      <w:r w:rsidRPr="008F3D9C">
        <w:t xml:space="preserve"> normative food expenditure as a measure of </w:t>
      </w:r>
      <w:r w:rsidR="008823B6">
        <w:t xml:space="preserve">a household’s </w:t>
      </w:r>
      <w:r w:rsidRPr="008F3D9C">
        <w:t xml:space="preserve">expenditure </w:t>
      </w:r>
      <w:r w:rsidR="008823B6">
        <w:t xml:space="preserve">basket </w:t>
      </w:r>
      <w:r w:rsidRPr="008F3D9C">
        <w:t xml:space="preserve">that remains constant even with an increase </w:t>
      </w:r>
      <w:r w:rsidR="00D076EE">
        <w:t>in</w:t>
      </w:r>
      <w:r w:rsidRPr="008F3D9C">
        <w:t xml:space="preserve"> household income. </w:t>
      </w:r>
    </w:p>
    <w:p w14:paraId="1871ECC9" w14:textId="1EC3DB56" w:rsidR="00442363" w:rsidRPr="008F3D9C" w:rsidRDefault="00442363" w:rsidP="009832C6">
      <w:pPr>
        <w:pStyle w:val="BodyText"/>
        <w:spacing w:after="0"/>
        <w:rPr>
          <w:rFonts w:cs="Arial"/>
          <w:caps/>
          <w:color w:val="444444"/>
          <w:sz w:val="40"/>
          <w:szCs w:val="40"/>
        </w:rPr>
      </w:pPr>
      <w:r w:rsidRPr="008F3D9C">
        <w:t>To examine normative food expenditur</w:t>
      </w:r>
      <w:r w:rsidR="00514FCE">
        <w:t>e,</w:t>
      </w:r>
      <w:r w:rsidRPr="008F3D9C">
        <w:rPr>
          <w:rFonts w:cs="Arial"/>
          <w:vertAlign w:val="superscript"/>
          <w:rtl/>
        </w:rPr>
        <w:footnoteReference w:id="9"/>
      </w:r>
      <w:r w:rsidR="00514FCE">
        <w:t xml:space="preserve"> </w:t>
      </w:r>
      <w:r w:rsidR="00C71D0E">
        <w:t xml:space="preserve">we compared </w:t>
      </w:r>
      <w:r w:rsidRPr="008F3D9C">
        <w:t>expenditure on food of the lowest percentiles relative to normative levels.</w:t>
      </w:r>
      <w:r w:rsidR="0057048D" w:rsidRPr="008F3D9C">
        <w:t xml:space="preserve"> </w:t>
      </w:r>
      <w:r w:rsidR="004B4A5C" w:rsidRPr="008F3D9C">
        <w:t>A</w:t>
      </w:r>
      <w:r w:rsidRPr="008F3D9C">
        <w:t xml:space="preserve">nalysis </w:t>
      </w:r>
      <w:r w:rsidR="004B4A5C" w:rsidRPr="008F3D9C">
        <w:t xml:space="preserve">of the data </w:t>
      </w:r>
      <w:r w:rsidRPr="008F3D9C">
        <w:t>demonstrates that in the t</w:t>
      </w:r>
      <w:r w:rsidR="009832C6">
        <w:t xml:space="preserve">wo </w:t>
      </w:r>
      <w:r w:rsidRPr="008F3D9C">
        <w:t xml:space="preserve"> lowest percentiles (in terms of standard per capita consumption), food expenditure was roughly half that of the normative level. </w:t>
      </w:r>
    </w:p>
    <w:p w14:paraId="6595A19A" w14:textId="77777777" w:rsidR="004D72B5" w:rsidRPr="008F3D9C" w:rsidRDefault="00147199" w:rsidP="00147199">
      <w:pPr>
        <w:spacing w:after="0" w:line="240" w:lineRule="auto"/>
        <w:jc w:val="center"/>
        <w:rPr>
          <w:b/>
          <w:bCs/>
        </w:rPr>
      </w:pPr>
      <w:r w:rsidRPr="008F3D9C">
        <w:rPr>
          <w:b/>
          <w:bCs/>
        </w:rPr>
        <w:t xml:space="preserve">Per Capita Food Expenditure in Israel to Normative </w:t>
      </w:r>
      <w:r w:rsidRPr="008F3D9C">
        <w:rPr>
          <w:b/>
          <w:bCs/>
          <w:shd w:val="clear" w:color="auto" w:fill="FFFFFF" w:themeFill="background1"/>
        </w:rPr>
        <w:t>Expenditure (percentile distribution</w:t>
      </w:r>
      <w:r>
        <w:rPr>
          <w:b/>
          <w:bCs/>
          <w:shd w:val="clear" w:color="auto" w:fill="FFFFFF" w:themeFill="background1"/>
        </w:rPr>
        <w:t>)</w:t>
      </w:r>
      <w:r>
        <w:rPr>
          <w:noProof/>
          <w:lang w:bidi="ar-SA"/>
        </w:rPr>
        <w:t xml:space="preserve"> </w:t>
      </w:r>
      <w:r>
        <w:rPr>
          <w:noProof/>
        </w:rPr>
        <w:drawing>
          <wp:inline distT="0" distB="0" distL="0" distR="0" wp14:anchorId="3AD323CE" wp14:editId="51116615">
            <wp:extent cx="5734050" cy="1990725"/>
            <wp:effectExtent l="0" t="0" r="0" b="0"/>
            <wp:docPr id="26" name="תרשים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4D72B5" w:rsidRPr="008F3D9C">
        <w:rPr>
          <w:noProof/>
        </w:rPr>
        <mc:AlternateContent>
          <mc:Choice Requires="wps">
            <w:drawing>
              <wp:anchor distT="0" distB="0" distL="114300" distR="114300" simplePos="0" relativeHeight="251669504" behindDoc="0" locked="0" layoutInCell="1" allowOverlap="1" wp14:anchorId="23862213" wp14:editId="6BD602B3">
                <wp:simplePos x="0" y="0"/>
                <wp:positionH relativeFrom="column">
                  <wp:posOffset>1171575</wp:posOffset>
                </wp:positionH>
                <wp:positionV relativeFrom="paragraph">
                  <wp:posOffset>967105</wp:posOffset>
                </wp:positionV>
                <wp:extent cx="885825" cy="371475"/>
                <wp:effectExtent l="0" t="0" r="0" b="0"/>
                <wp:wrapNone/>
                <wp:docPr id="2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85825" cy="371475"/>
                        </a:xfrm>
                        <a:prstGeom prst="rect">
                          <a:avLst/>
                        </a:prstGeom>
                        <a:noFill/>
                        <a:ln w="9525">
                          <a:noFill/>
                          <a:miter lim="800000"/>
                          <a:headEnd/>
                          <a:tailEnd/>
                        </a:ln>
                      </wps:spPr>
                      <wps:txbx>
                        <w:txbxContent>
                          <w:p w14:paraId="3DDF6AF8" w14:textId="77777777" w:rsidR="00942FD1" w:rsidRPr="00441EB3" w:rsidRDefault="00942FD1" w:rsidP="004D72B5">
                            <w:pPr>
                              <w:jc w:val="center"/>
                              <w:rPr>
                                <w:sz w:val="18"/>
                                <w:szCs w:val="18"/>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62213" id="תיבת טקסט 2" o:spid="_x0000_s1028" type="#_x0000_t202" style="position:absolute;left:0;text-align:left;margin-left:92.25pt;margin-top:76.15pt;width:69.75pt;height:29.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" filled="f" stroked="f">
                <v:textbox>
                  <w:txbxContent>
                    <w:p w14:paraId="3DDF6AF8" w14:textId="77777777" w:rsidR="00942FD1" w:rsidRPr="00441EB3" w:rsidRDefault="00942FD1" w:rsidP="004D72B5">
                      <w:pPr>
                        <w:jc w:val="center"/>
                        <w:rPr>
                          <w:sz w:val="18"/>
                          <w:szCs w:val="18"/>
                          <w:rtl/>
                        </w:rPr>
                      </w:pPr>
                    </w:p>
                  </w:txbxContent>
                </v:textbox>
              </v:shape>
            </w:pict>
          </mc:Fallback>
        </mc:AlternateContent>
      </w:r>
    </w:p>
    <w:p w14:paraId="38656ED5" w14:textId="77777777" w:rsidR="00147199" w:rsidRPr="00147199" w:rsidRDefault="00E52F57" w:rsidP="00147199">
      <w:pPr>
        <w:pStyle w:val="Graphnote"/>
        <w:spacing w:after="0" w:line="240" w:lineRule="auto"/>
        <w:jc w:val="right"/>
      </w:pPr>
      <w:r w:rsidRPr="00147199">
        <w:t xml:space="preserve">Source: CBS </w:t>
      </w:r>
    </w:p>
    <w:p w14:paraId="2659ABB6" w14:textId="77777777" w:rsidR="00E52F57" w:rsidRPr="00147199" w:rsidRDefault="00147199" w:rsidP="00147199">
      <w:pPr>
        <w:pStyle w:val="Graphnote"/>
      </w:pPr>
      <w:r w:rsidRPr="00147199">
        <w:t xml:space="preserve">X </w:t>
      </w:r>
      <w:r w:rsidR="00E52F57" w:rsidRPr="00147199">
        <w:t xml:space="preserve">axis: Household Percentile (Consumption); y Axis: Standard Per Capita Monthly Expenditure </w:t>
      </w:r>
    </w:p>
    <w:p w14:paraId="591D1FC9" w14:textId="77777777" w:rsidR="00E52F57" w:rsidRPr="00147199" w:rsidRDefault="00E52F57" w:rsidP="00147199">
      <w:pPr>
        <w:pStyle w:val="Graphnote"/>
        <w:spacing w:after="0" w:line="240" w:lineRule="auto"/>
      </w:pPr>
      <w:r w:rsidRPr="00DB1588">
        <w:rPr>
          <w:b/>
          <w:bCs/>
          <w:color w:val="FFFF00"/>
          <w:highlight w:val="lightGray"/>
        </w:rPr>
        <w:t>Yellow</w:t>
      </w:r>
      <w:r w:rsidRPr="00147199">
        <w:t xml:space="preserve">: </w:t>
      </w:r>
      <w:r w:rsidR="00147199" w:rsidRPr="00147199">
        <w:t xml:space="preserve">Normative </w:t>
      </w:r>
      <w:r w:rsidRPr="00147199">
        <w:t xml:space="preserve">expenditure; </w:t>
      </w:r>
      <w:r w:rsidR="00147199" w:rsidRPr="00DB1588">
        <w:rPr>
          <w:b/>
          <w:bCs/>
          <w:color w:val="00B050"/>
        </w:rPr>
        <w:t>Green</w:t>
      </w:r>
      <w:r w:rsidRPr="00147199">
        <w:t xml:space="preserve">: Expenditure on Fruit &amp; Vegetables; </w:t>
      </w:r>
      <w:r w:rsidR="00147199" w:rsidRPr="00DB1588">
        <w:rPr>
          <w:b/>
          <w:bCs/>
          <w:color w:val="C00000"/>
        </w:rPr>
        <w:t>Red</w:t>
      </w:r>
      <w:r w:rsidRPr="00147199">
        <w:t>: Food Expenditure, Excluding Fruit &amp; Vegetables</w:t>
      </w:r>
    </w:p>
    <w:p w14:paraId="4D59447A" w14:textId="77777777" w:rsidR="00442363" w:rsidRPr="008F3D9C" w:rsidRDefault="00E52F57" w:rsidP="00EB36DC">
      <w:pPr>
        <w:pStyle w:val="BodyText"/>
      </w:pPr>
      <w:r>
        <w:t xml:space="preserve">The </w:t>
      </w:r>
      <w:r w:rsidR="00442363" w:rsidRPr="008F3D9C">
        <w:t xml:space="preserve">volume of food required to bridge the gap between actual food consumption of </w:t>
      </w:r>
      <w:r w:rsidR="00EB36DC">
        <w:t xml:space="preserve">the </w:t>
      </w:r>
      <w:r w:rsidR="00442363" w:rsidRPr="008F3D9C">
        <w:t xml:space="preserve">food insecure population and </w:t>
      </w:r>
      <w:r w:rsidR="005B04BF">
        <w:t xml:space="preserve">the </w:t>
      </w:r>
      <w:r w:rsidR="00442363" w:rsidRPr="008F3D9C">
        <w:t xml:space="preserve">normative consumption level (average levels of second-to-fifth percentiles), is valued at </w:t>
      </w:r>
      <w:r w:rsidR="00587206" w:rsidRPr="008F3D9C">
        <w:t xml:space="preserve">approximately </w:t>
      </w:r>
      <w:r w:rsidR="00442363" w:rsidRPr="008F3D9C">
        <w:t xml:space="preserve">NIS </w:t>
      </w:r>
      <w:r w:rsidR="002F4761" w:rsidRPr="008F3D9C">
        <w:rPr>
          <w:lang w:bidi="ar-EG"/>
        </w:rPr>
        <w:t>3</w:t>
      </w:r>
      <w:r w:rsidR="00442363" w:rsidRPr="008F3D9C">
        <w:t xml:space="preserve"> billion.</w:t>
      </w:r>
      <w:r w:rsidR="0057048D" w:rsidRPr="008F3D9C">
        <w:t xml:space="preserve"> </w:t>
      </w:r>
      <w:r w:rsidR="00442363" w:rsidRPr="008F3D9C">
        <w:t>The cost of eliminating this food expenditure gap relative to normative level</w:t>
      </w:r>
      <w:r w:rsidR="001A73B0" w:rsidRPr="008F3D9C">
        <w:t>s</w:t>
      </w:r>
      <w:r w:rsidR="00442363" w:rsidRPr="008F3D9C">
        <w:t xml:space="preserve"> </w:t>
      </w:r>
      <w:r w:rsidR="005762E8" w:rsidRPr="008F3D9C">
        <w:t>for</w:t>
      </w:r>
      <w:r w:rsidR="00442363" w:rsidRPr="008F3D9C">
        <w:t xml:space="preserve"> the severely nutrition-deprived population (10% of Israeli households) is estimated at NIS 2.</w:t>
      </w:r>
      <w:r>
        <w:t>2</w:t>
      </w:r>
      <w:r w:rsidR="002F4761" w:rsidRPr="008F3D9C">
        <w:t xml:space="preserve"> </w:t>
      </w:r>
      <w:r w:rsidR="00442363" w:rsidRPr="008F3D9C">
        <w:t xml:space="preserve">billion, with an additional </w:t>
      </w:r>
      <w:r w:rsidRPr="008F3D9C">
        <w:t xml:space="preserve">NIS </w:t>
      </w:r>
      <w:r w:rsidR="002F4761" w:rsidRPr="008F3D9C">
        <w:t>0.8</w:t>
      </w:r>
      <w:r w:rsidR="00442363" w:rsidRPr="008F3D9C">
        <w:t xml:space="preserve"> billion required to assist populations </w:t>
      </w:r>
      <w:r w:rsidR="005762E8" w:rsidRPr="008F3D9C">
        <w:t>experiencing</w:t>
      </w:r>
      <w:r w:rsidR="00442363" w:rsidRPr="008F3D9C">
        <w:t xml:space="preserve"> moderate nutritional insecurity. </w:t>
      </w:r>
    </w:p>
    <w:p w14:paraId="74A4C9B8" w14:textId="77777777" w:rsidR="00734418" w:rsidRPr="008F3D9C" w:rsidRDefault="00734418" w:rsidP="005B04BF">
      <w:pPr>
        <w:pStyle w:val="Graphtitle"/>
      </w:pPr>
      <w:r w:rsidRPr="008F3D9C">
        <w:t xml:space="preserve">Food Expenditure Gap Relative to Normative Consumption Expenditure </w:t>
      </w:r>
    </w:p>
    <w:p w14:paraId="70DB8A08" w14:textId="77777777" w:rsidR="005B04BF" w:rsidRPr="005B04BF" w:rsidRDefault="00734418" w:rsidP="005B04BF">
      <w:pPr>
        <w:pStyle w:val="Graphtitle"/>
        <w:rPr>
          <w:b w:val="0"/>
          <w:bCs w:val="0"/>
        </w:rPr>
      </w:pPr>
      <w:r w:rsidRPr="008F3D9C">
        <w:t xml:space="preserve">for Nutritionally Insecure Populations </w:t>
      </w:r>
      <w:r w:rsidRPr="005B04BF">
        <w:rPr>
          <w:b w:val="0"/>
          <w:bCs w:val="0"/>
        </w:rPr>
        <w:t xml:space="preserve">(in </w:t>
      </w:r>
      <w:r w:rsidR="005B04BF" w:rsidRPr="005B04BF">
        <w:rPr>
          <w:b w:val="0"/>
          <w:bCs w:val="0"/>
        </w:rPr>
        <w:t xml:space="preserve">NIS </w:t>
      </w:r>
      <w:r w:rsidRPr="005B04BF">
        <w:rPr>
          <w:b w:val="0"/>
          <w:bCs w:val="0"/>
        </w:rPr>
        <w:t>millions)</w:t>
      </w:r>
    </w:p>
    <w:tbl>
      <w:tblPr>
        <w:tblStyle w:val="MediumShading1-Accent1"/>
        <w:tblW w:w="9243" w:type="dxa"/>
        <w:jc w:val="center"/>
        <w:tblBorders>
          <w:insideH w:val="single" w:sz="6" w:space="0" w:color="7BA0CD" w:themeColor="accent1" w:themeTint="BF"/>
          <w:insideV w:val="single" w:sz="6" w:space="0" w:color="7BA0CD" w:themeColor="accent1" w:themeTint="BF"/>
        </w:tblBorders>
        <w:tblLayout w:type="fixed"/>
        <w:tblLook w:val="04A0" w:firstRow="1" w:lastRow="0" w:firstColumn="1" w:lastColumn="0" w:noHBand="0" w:noVBand="1"/>
      </w:tblPr>
      <w:tblGrid>
        <w:gridCol w:w="2178"/>
        <w:gridCol w:w="2355"/>
        <w:gridCol w:w="2355"/>
        <w:gridCol w:w="2355"/>
      </w:tblGrid>
      <w:tr w:rsidR="00734418" w:rsidRPr="008F3D9C" w14:paraId="49831BE7" w14:textId="77777777" w:rsidTr="00442363">
        <w:trPr>
          <w:cnfStyle w:val="100000000000" w:firstRow="1" w:lastRow="0"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noWrap/>
            <w:vAlign w:val="center"/>
            <w:hideMark/>
          </w:tcPr>
          <w:p w14:paraId="314B4E37" w14:textId="77777777" w:rsidR="00734418" w:rsidRPr="005B04BF" w:rsidRDefault="00734418" w:rsidP="00734418">
            <w:pPr>
              <w:jc w:val="center"/>
              <w:rPr>
                <w:rFonts w:eastAsia="Times New Roman" w:cstheme="minorHAnsi"/>
              </w:rPr>
            </w:pPr>
          </w:p>
        </w:tc>
        <w:tc>
          <w:tcPr>
            <w:tcW w:w="2355" w:type="dxa"/>
            <w:tcBorders>
              <w:top w:val="none" w:sz="0" w:space="0" w:color="auto"/>
              <w:left w:val="none" w:sz="0" w:space="0" w:color="auto"/>
              <w:bottom w:val="none" w:sz="0" w:space="0" w:color="auto"/>
              <w:right w:val="none" w:sz="0" w:space="0" w:color="auto"/>
            </w:tcBorders>
            <w:noWrap/>
            <w:vAlign w:val="center"/>
            <w:hideMark/>
          </w:tcPr>
          <w:p w14:paraId="310470D1" w14:textId="77777777" w:rsidR="00734418" w:rsidRPr="005B04BF" w:rsidRDefault="00734418" w:rsidP="0073441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5B04BF">
              <w:rPr>
                <w:rFonts w:eastAsia="Times New Roman" w:cstheme="minorHAnsi"/>
              </w:rPr>
              <w:t>Value of Food Required to Bridge the Gap for Severe Food Insecurity</w:t>
            </w:r>
          </w:p>
        </w:tc>
        <w:tc>
          <w:tcPr>
            <w:tcW w:w="2355" w:type="dxa"/>
            <w:tcBorders>
              <w:top w:val="none" w:sz="0" w:space="0" w:color="auto"/>
              <w:left w:val="none" w:sz="0" w:space="0" w:color="auto"/>
              <w:bottom w:val="none" w:sz="0" w:space="0" w:color="auto"/>
              <w:right w:val="none" w:sz="0" w:space="0" w:color="auto"/>
            </w:tcBorders>
            <w:noWrap/>
            <w:vAlign w:val="center"/>
            <w:hideMark/>
          </w:tcPr>
          <w:p w14:paraId="1268DDCA" w14:textId="77777777" w:rsidR="00734418" w:rsidRPr="005B04BF" w:rsidRDefault="00734418" w:rsidP="0073441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5B04BF">
              <w:rPr>
                <w:rFonts w:eastAsia="Times New Roman" w:cstheme="minorHAnsi"/>
              </w:rPr>
              <w:t>Value of Food Required to Bridge the Gap for Moderate Food Insecurity</w:t>
            </w:r>
          </w:p>
        </w:tc>
        <w:tc>
          <w:tcPr>
            <w:tcW w:w="2355" w:type="dxa"/>
            <w:tcBorders>
              <w:top w:val="none" w:sz="0" w:space="0" w:color="auto"/>
              <w:left w:val="none" w:sz="0" w:space="0" w:color="auto"/>
              <w:bottom w:val="none" w:sz="0" w:space="0" w:color="auto"/>
              <w:right w:val="none" w:sz="0" w:space="0" w:color="auto"/>
            </w:tcBorders>
            <w:noWrap/>
            <w:vAlign w:val="center"/>
            <w:hideMark/>
          </w:tcPr>
          <w:p w14:paraId="5C115C62" w14:textId="77777777" w:rsidR="00734418" w:rsidRPr="005B04BF" w:rsidRDefault="00734418" w:rsidP="0073441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tl/>
              </w:rPr>
            </w:pPr>
            <w:r w:rsidRPr="005B04BF">
              <w:rPr>
                <w:rFonts w:eastAsia="Times New Roman" w:cstheme="minorHAnsi"/>
              </w:rPr>
              <w:t>Total Gap in Food Expenditure</w:t>
            </w:r>
          </w:p>
          <w:p w14:paraId="2111F8D1" w14:textId="77777777" w:rsidR="00734418" w:rsidRPr="005B04BF" w:rsidRDefault="00734418" w:rsidP="0073441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p>
        </w:tc>
      </w:tr>
      <w:tr w:rsidR="00514FCE" w:rsidRPr="008F3D9C" w14:paraId="305A973C" w14:textId="77777777" w:rsidTr="005B04BF">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14:paraId="45D24CAD" w14:textId="77777777" w:rsidR="00514FCE" w:rsidRPr="005B04BF" w:rsidRDefault="00514FCE" w:rsidP="00734418">
            <w:pPr>
              <w:rPr>
                <w:rFonts w:eastAsia="Times New Roman" w:cstheme="minorHAnsi"/>
                <w:color w:val="000000"/>
              </w:rPr>
            </w:pPr>
            <w:r w:rsidRPr="005B04BF">
              <w:rPr>
                <w:rFonts w:eastAsia="Times New Roman" w:cstheme="minorHAnsi"/>
                <w:color w:val="000000"/>
              </w:rPr>
              <w:t>Fruit &amp; Vegetables</w:t>
            </w:r>
          </w:p>
        </w:tc>
        <w:tc>
          <w:tcPr>
            <w:tcW w:w="2355" w:type="dxa"/>
            <w:tcBorders>
              <w:left w:val="none" w:sz="0" w:space="0" w:color="auto"/>
              <w:right w:val="none" w:sz="0" w:space="0" w:color="auto"/>
            </w:tcBorders>
            <w:noWrap/>
            <w:vAlign w:val="center"/>
          </w:tcPr>
          <w:p w14:paraId="2FD467EF" w14:textId="77777777" w:rsidR="00514FCE" w:rsidRPr="005B04BF" w:rsidRDefault="00514FCE" w:rsidP="005B04BF">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B04BF">
              <w:rPr>
                <w:rFonts w:cstheme="minorHAnsi"/>
                <w:color w:val="000000"/>
              </w:rPr>
              <w:t>566</w:t>
            </w:r>
          </w:p>
        </w:tc>
        <w:tc>
          <w:tcPr>
            <w:tcW w:w="2355" w:type="dxa"/>
            <w:tcBorders>
              <w:left w:val="none" w:sz="0" w:space="0" w:color="auto"/>
              <w:right w:val="none" w:sz="0" w:space="0" w:color="auto"/>
            </w:tcBorders>
            <w:noWrap/>
            <w:vAlign w:val="center"/>
          </w:tcPr>
          <w:p w14:paraId="02A40290" w14:textId="77777777" w:rsidR="00514FCE" w:rsidRPr="005B04BF" w:rsidRDefault="00514FCE" w:rsidP="005B04BF">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B04BF">
              <w:rPr>
                <w:rFonts w:cstheme="minorHAnsi"/>
                <w:color w:val="000000"/>
              </w:rPr>
              <w:t>188</w:t>
            </w:r>
          </w:p>
        </w:tc>
        <w:tc>
          <w:tcPr>
            <w:tcW w:w="2355" w:type="dxa"/>
            <w:tcBorders>
              <w:left w:val="none" w:sz="0" w:space="0" w:color="auto"/>
            </w:tcBorders>
            <w:noWrap/>
            <w:vAlign w:val="center"/>
          </w:tcPr>
          <w:p w14:paraId="6902ED68" w14:textId="77777777" w:rsidR="00514FCE" w:rsidRPr="005B04BF" w:rsidRDefault="00514FCE" w:rsidP="005B04BF">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B04BF">
              <w:rPr>
                <w:rFonts w:cstheme="minorHAnsi"/>
                <w:color w:val="000000"/>
              </w:rPr>
              <w:t>755</w:t>
            </w:r>
          </w:p>
        </w:tc>
      </w:tr>
      <w:tr w:rsidR="00514FCE" w:rsidRPr="008F3D9C" w14:paraId="715A713D" w14:textId="77777777" w:rsidTr="005B04BF">
        <w:trPr>
          <w:cnfStyle w:val="000000010000" w:firstRow="0" w:lastRow="0" w:firstColumn="0" w:lastColumn="0" w:oddVBand="0" w:evenVBand="0" w:oddHBand="0" w:evenHBand="1"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14:paraId="1E68AB38" w14:textId="77777777" w:rsidR="00514FCE" w:rsidRPr="005B04BF" w:rsidRDefault="00514FCE" w:rsidP="00734418">
            <w:pPr>
              <w:rPr>
                <w:rFonts w:eastAsia="Times New Roman" w:cstheme="minorHAnsi"/>
                <w:color w:val="000000"/>
                <w:rtl/>
              </w:rPr>
            </w:pPr>
            <w:r w:rsidRPr="005B04BF">
              <w:rPr>
                <w:rFonts w:eastAsia="Times New Roman" w:cstheme="minorHAnsi"/>
                <w:color w:val="000000"/>
              </w:rPr>
              <w:t>Bread &amp; Grains</w:t>
            </w:r>
          </w:p>
        </w:tc>
        <w:tc>
          <w:tcPr>
            <w:tcW w:w="2355" w:type="dxa"/>
            <w:tcBorders>
              <w:left w:val="none" w:sz="0" w:space="0" w:color="auto"/>
              <w:right w:val="none" w:sz="0" w:space="0" w:color="auto"/>
            </w:tcBorders>
            <w:noWrap/>
            <w:vAlign w:val="center"/>
          </w:tcPr>
          <w:p w14:paraId="307D55B1" w14:textId="77777777" w:rsidR="00514FCE" w:rsidRPr="005B04BF" w:rsidRDefault="00514FCE" w:rsidP="005B04BF">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5B04BF">
              <w:rPr>
                <w:rFonts w:cstheme="minorHAnsi"/>
                <w:color w:val="000000"/>
              </w:rPr>
              <w:t>291</w:t>
            </w:r>
          </w:p>
        </w:tc>
        <w:tc>
          <w:tcPr>
            <w:tcW w:w="2355" w:type="dxa"/>
            <w:tcBorders>
              <w:left w:val="none" w:sz="0" w:space="0" w:color="auto"/>
              <w:right w:val="none" w:sz="0" w:space="0" w:color="auto"/>
            </w:tcBorders>
            <w:noWrap/>
            <w:vAlign w:val="center"/>
          </w:tcPr>
          <w:p w14:paraId="534D32AE" w14:textId="77777777" w:rsidR="00514FCE" w:rsidRPr="005B04BF" w:rsidRDefault="00514FCE" w:rsidP="005B04BF">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5B04BF">
              <w:rPr>
                <w:rFonts w:cstheme="minorHAnsi"/>
                <w:color w:val="000000"/>
              </w:rPr>
              <w:t>131</w:t>
            </w:r>
          </w:p>
        </w:tc>
        <w:tc>
          <w:tcPr>
            <w:tcW w:w="2355" w:type="dxa"/>
            <w:tcBorders>
              <w:left w:val="none" w:sz="0" w:space="0" w:color="auto"/>
            </w:tcBorders>
            <w:noWrap/>
            <w:vAlign w:val="center"/>
          </w:tcPr>
          <w:p w14:paraId="539E0CB6" w14:textId="77777777" w:rsidR="00514FCE" w:rsidRPr="005B04BF" w:rsidRDefault="00514FCE" w:rsidP="005B04BF">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5B04BF">
              <w:rPr>
                <w:rFonts w:cstheme="minorHAnsi"/>
                <w:color w:val="000000"/>
              </w:rPr>
              <w:t>421</w:t>
            </w:r>
          </w:p>
        </w:tc>
      </w:tr>
      <w:tr w:rsidR="00514FCE" w:rsidRPr="008F3D9C" w14:paraId="48DB9367" w14:textId="77777777" w:rsidTr="005B04BF">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14:paraId="35B72A2C" w14:textId="77777777" w:rsidR="00514FCE" w:rsidRPr="005B04BF" w:rsidRDefault="00514FCE" w:rsidP="00734418">
            <w:pPr>
              <w:rPr>
                <w:rFonts w:eastAsia="Times New Roman" w:cstheme="minorHAnsi"/>
                <w:color w:val="000000"/>
              </w:rPr>
            </w:pPr>
            <w:r w:rsidRPr="005B04BF">
              <w:rPr>
                <w:rFonts w:eastAsia="Times New Roman" w:cstheme="minorHAnsi"/>
                <w:color w:val="000000"/>
              </w:rPr>
              <w:t>Meat, Fish &amp; Eggs</w:t>
            </w:r>
          </w:p>
        </w:tc>
        <w:tc>
          <w:tcPr>
            <w:tcW w:w="2355" w:type="dxa"/>
            <w:tcBorders>
              <w:left w:val="none" w:sz="0" w:space="0" w:color="auto"/>
              <w:right w:val="none" w:sz="0" w:space="0" w:color="auto"/>
            </w:tcBorders>
            <w:noWrap/>
            <w:vAlign w:val="center"/>
          </w:tcPr>
          <w:p w14:paraId="4ED99AF2" w14:textId="77777777" w:rsidR="00514FCE" w:rsidRPr="005B04BF" w:rsidRDefault="00514FCE" w:rsidP="005B04BF">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B04BF">
              <w:rPr>
                <w:rFonts w:cstheme="minorHAnsi"/>
                <w:color w:val="000000"/>
              </w:rPr>
              <w:t>631</w:t>
            </w:r>
          </w:p>
        </w:tc>
        <w:tc>
          <w:tcPr>
            <w:tcW w:w="2355" w:type="dxa"/>
            <w:tcBorders>
              <w:left w:val="none" w:sz="0" w:space="0" w:color="auto"/>
              <w:right w:val="none" w:sz="0" w:space="0" w:color="auto"/>
            </w:tcBorders>
            <w:noWrap/>
            <w:vAlign w:val="center"/>
          </w:tcPr>
          <w:p w14:paraId="0D1A2244" w14:textId="77777777" w:rsidR="00514FCE" w:rsidRPr="005B04BF" w:rsidRDefault="00514FCE" w:rsidP="005B04BF">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B04BF">
              <w:rPr>
                <w:rFonts w:cstheme="minorHAnsi"/>
                <w:color w:val="000000"/>
              </w:rPr>
              <w:t>142</w:t>
            </w:r>
          </w:p>
        </w:tc>
        <w:tc>
          <w:tcPr>
            <w:tcW w:w="2355" w:type="dxa"/>
            <w:tcBorders>
              <w:left w:val="none" w:sz="0" w:space="0" w:color="auto"/>
            </w:tcBorders>
            <w:noWrap/>
            <w:vAlign w:val="center"/>
          </w:tcPr>
          <w:p w14:paraId="3EA130D8" w14:textId="77777777" w:rsidR="00514FCE" w:rsidRPr="005B04BF" w:rsidRDefault="00514FCE" w:rsidP="005B04BF">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B04BF">
              <w:rPr>
                <w:rFonts w:cstheme="minorHAnsi"/>
                <w:color w:val="000000"/>
              </w:rPr>
              <w:t>773</w:t>
            </w:r>
          </w:p>
        </w:tc>
      </w:tr>
      <w:tr w:rsidR="00514FCE" w:rsidRPr="008F3D9C" w14:paraId="2D8FDF3F" w14:textId="77777777" w:rsidTr="005B04BF">
        <w:trPr>
          <w:cnfStyle w:val="000000010000" w:firstRow="0" w:lastRow="0" w:firstColumn="0" w:lastColumn="0" w:oddVBand="0" w:evenVBand="0" w:oddHBand="0" w:evenHBand="1"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14:paraId="2AB2B474" w14:textId="77777777" w:rsidR="00514FCE" w:rsidRPr="005B04BF" w:rsidRDefault="00514FCE" w:rsidP="00734418">
            <w:pPr>
              <w:rPr>
                <w:rFonts w:eastAsia="Times New Roman" w:cstheme="minorHAnsi"/>
                <w:color w:val="000000"/>
              </w:rPr>
            </w:pPr>
            <w:r w:rsidRPr="005B04BF">
              <w:rPr>
                <w:rFonts w:eastAsia="Times New Roman" w:cstheme="minorHAnsi"/>
                <w:color w:val="000000"/>
              </w:rPr>
              <w:t>Milk &amp; Dairy</w:t>
            </w:r>
          </w:p>
        </w:tc>
        <w:tc>
          <w:tcPr>
            <w:tcW w:w="2355" w:type="dxa"/>
            <w:tcBorders>
              <w:left w:val="none" w:sz="0" w:space="0" w:color="auto"/>
              <w:right w:val="none" w:sz="0" w:space="0" w:color="auto"/>
            </w:tcBorders>
            <w:noWrap/>
            <w:vAlign w:val="center"/>
          </w:tcPr>
          <w:p w14:paraId="24C19E68" w14:textId="77777777" w:rsidR="00514FCE" w:rsidRPr="005B04BF" w:rsidRDefault="00514FCE" w:rsidP="005B04BF">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5B04BF">
              <w:rPr>
                <w:rFonts w:cstheme="minorHAnsi"/>
                <w:color w:val="000000"/>
              </w:rPr>
              <w:t>297</w:t>
            </w:r>
          </w:p>
        </w:tc>
        <w:tc>
          <w:tcPr>
            <w:tcW w:w="2355" w:type="dxa"/>
            <w:tcBorders>
              <w:left w:val="none" w:sz="0" w:space="0" w:color="auto"/>
              <w:right w:val="none" w:sz="0" w:space="0" w:color="auto"/>
            </w:tcBorders>
            <w:noWrap/>
            <w:vAlign w:val="center"/>
          </w:tcPr>
          <w:p w14:paraId="32E6D493" w14:textId="77777777" w:rsidR="00514FCE" w:rsidRPr="005B04BF" w:rsidRDefault="00514FCE" w:rsidP="005B04BF">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5B04BF">
              <w:rPr>
                <w:rFonts w:cstheme="minorHAnsi"/>
                <w:color w:val="000000"/>
              </w:rPr>
              <w:t>137</w:t>
            </w:r>
          </w:p>
        </w:tc>
        <w:tc>
          <w:tcPr>
            <w:tcW w:w="2355" w:type="dxa"/>
            <w:tcBorders>
              <w:left w:val="none" w:sz="0" w:space="0" w:color="auto"/>
            </w:tcBorders>
            <w:noWrap/>
            <w:vAlign w:val="center"/>
          </w:tcPr>
          <w:p w14:paraId="5C75C83E" w14:textId="77777777" w:rsidR="00514FCE" w:rsidRPr="005B04BF" w:rsidRDefault="00514FCE" w:rsidP="005B04BF">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5B04BF">
              <w:rPr>
                <w:rFonts w:cstheme="minorHAnsi"/>
                <w:color w:val="000000"/>
              </w:rPr>
              <w:t>433</w:t>
            </w:r>
          </w:p>
        </w:tc>
      </w:tr>
      <w:tr w:rsidR="00514FCE" w:rsidRPr="008F3D9C" w14:paraId="6E704F86" w14:textId="77777777" w:rsidTr="005B04BF">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14:paraId="03743CDF" w14:textId="77777777" w:rsidR="00514FCE" w:rsidRPr="005B04BF" w:rsidRDefault="00514FCE" w:rsidP="00734418">
            <w:pPr>
              <w:rPr>
                <w:rFonts w:eastAsia="Times New Roman" w:cstheme="minorHAnsi"/>
                <w:color w:val="000000"/>
              </w:rPr>
            </w:pPr>
            <w:r w:rsidRPr="005B04BF">
              <w:rPr>
                <w:rFonts w:eastAsia="Times New Roman" w:cstheme="minorHAnsi"/>
                <w:color w:val="000000"/>
              </w:rPr>
              <w:t>Other Foods</w:t>
            </w:r>
          </w:p>
        </w:tc>
        <w:tc>
          <w:tcPr>
            <w:tcW w:w="2355" w:type="dxa"/>
            <w:tcBorders>
              <w:left w:val="none" w:sz="0" w:space="0" w:color="auto"/>
              <w:right w:val="none" w:sz="0" w:space="0" w:color="auto"/>
            </w:tcBorders>
            <w:noWrap/>
            <w:vAlign w:val="center"/>
          </w:tcPr>
          <w:p w14:paraId="1D4FE758" w14:textId="77777777" w:rsidR="00514FCE" w:rsidRPr="005B04BF" w:rsidRDefault="00514FCE" w:rsidP="005B04BF">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B04BF">
              <w:rPr>
                <w:rFonts w:cstheme="minorHAnsi"/>
                <w:color w:val="000000"/>
              </w:rPr>
              <w:t>405</w:t>
            </w:r>
          </w:p>
        </w:tc>
        <w:tc>
          <w:tcPr>
            <w:tcW w:w="2355" w:type="dxa"/>
            <w:tcBorders>
              <w:left w:val="none" w:sz="0" w:space="0" w:color="auto"/>
              <w:right w:val="none" w:sz="0" w:space="0" w:color="auto"/>
            </w:tcBorders>
            <w:noWrap/>
            <w:vAlign w:val="center"/>
          </w:tcPr>
          <w:p w14:paraId="1D6AD484" w14:textId="77777777" w:rsidR="00514FCE" w:rsidRPr="005B04BF" w:rsidRDefault="00514FCE" w:rsidP="005B04BF">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B04BF">
              <w:rPr>
                <w:rFonts w:cstheme="minorHAnsi"/>
                <w:color w:val="000000"/>
              </w:rPr>
              <w:t>200</w:t>
            </w:r>
          </w:p>
        </w:tc>
        <w:tc>
          <w:tcPr>
            <w:tcW w:w="2355" w:type="dxa"/>
            <w:tcBorders>
              <w:left w:val="none" w:sz="0" w:space="0" w:color="auto"/>
            </w:tcBorders>
            <w:noWrap/>
            <w:vAlign w:val="center"/>
          </w:tcPr>
          <w:p w14:paraId="2667929D" w14:textId="77777777" w:rsidR="00514FCE" w:rsidRPr="005B04BF" w:rsidRDefault="00514FCE" w:rsidP="005B04BF">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B04BF">
              <w:rPr>
                <w:rFonts w:cstheme="minorHAnsi"/>
                <w:color w:val="000000"/>
              </w:rPr>
              <w:t>605</w:t>
            </w:r>
          </w:p>
        </w:tc>
      </w:tr>
      <w:tr w:rsidR="00514FCE" w:rsidRPr="008F3D9C" w14:paraId="77AA51BA" w14:textId="77777777" w:rsidTr="005B04BF">
        <w:trPr>
          <w:cnfStyle w:val="000000010000" w:firstRow="0" w:lastRow="0" w:firstColumn="0" w:lastColumn="0" w:oddVBand="0" w:evenVBand="0" w:oddHBand="0" w:evenHBand="1"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14:paraId="65A7B440" w14:textId="77777777" w:rsidR="00514FCE" w:rsidRPr="005B04BF" w:rsidRDefault="00514FCE" w:rsidP="00734418">
            <w:pPr>
              <w:rPr>
                <w:rFonts w:eastAsia="Times New Roman" w:cstheme="minorHAnsi"/>
                <w:color w:val="000000"/>
                <w:rtl/>
              </w:rPr>
            </w:pPr>
            <w:r w:rsidRPr="005B04BF">
              <w:rPr>
                <w:rFonts w:eastAsia="Times New Roman" w:cstheme="minorHAnsi"/>
                <w:color w:val="000000"/>
              </w:rPr>
              <w:t>Total</w:t>
            </w:r>
          </w:p>
        </w:tc>
        <w:tc>
          <w:tcPr>
            <w:tcW w:w="2355" w:type="dxa"/>
            <w:tcBorders>
              <w:left w:val="none" w:sz="0" w:space="0" w:color="auto"/>
              <w:right w:val="none" w:sz="0" w:space="0" w:color="auto"/>
            </w:tcBorders>
            <w:noWrap/>
            <w:vAlign w:val="center"/>
          </w:tcPr>
          <w:p w14:paraId="6DBADCBB" w14:textId="77777777" w:rsidR="00514FCE" w:rsidRPr="005B04BF" w:rsidRDefault="00514FCE" w:rsidP="005B04BF">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rPr>
            </w:pPr>
            <w:r w:rsidRPr="005B04BF">
              <w:rPr>
                <w:rFonts w:cstheme="minorHAnsi"/>
                <w:b/>
                <w:bCs/>
                <w:color w:val="000000"/>
              </w:rPr>
              <w:t>2,189</w:t>
            </w:r>
          </w:p>
        </w:tc>
        <w:tc>
          <w:tcPr>
            <w:tcW w:w="2355" w:type="dxa"/>
            <w:tcBorders>
              <w:left w:val="none" w:sz="0" w:space="0" w:color="auto"/>
              <w:right w:val="none" w:sz="0" w:space="0" w:color="auto"/>
            </w:tcBorders>
            <w:noWrap/>
            <w:vAlign w:val="center"/>
          </w:tcPr>
          <w:p w14:paraId="34B2D7D6" w14:textId="77777777" w:rsidR="00514FCE" w:rsidRPr="005B04BF" w:rsidRDefault="00514FCE" w:rsidP="005B04BF">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rPr>
            </w:pPr>
            <w:r w:rsidRPr="005B04BF">
              <w:rPr>
                <w:rFonts w:cstheme="minorHAnsi"/>
                <w:b/>
                <w:bCs/>
                <w:color w:val="000000"/>
              </w:rPr>
              <w:t>798</w:t>
            </w:r>
          </w:p>
        </w:tc>
        <w:tc>
          <w:tcPr>
            <w:tcW w:w="2355" w:type="dxa"/>
            <w:tcBorders>
              <w:left w:val="none" w:sz="0" w:space="0" w:color="auto"/>
            </w:tcBorders>
            <w:noWrap/>
            <w:vAlign w:val="center"/>
          </w:tcPr>
          <w:p w14:paraId="4C0F07C8" w14:textId="77777777" w:rsidR="00514FCE" w:rsidRPr="005B04BF" w:rsidRDefault="00514FCE" w:rsidP="005B04BF">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rPr>
            </w:pPr>
            <w:r w:rsidRPr="005B04BF">
              <w:rPr>
                <w:rFonts w:cstheme="minorHAnsi"/>
                <w:b/>
                <w:bCs/>
                <w:color w:val="000000"/>
              </w:rPr>
              <w:t>2,988</w:t>
            </w:r>
          </w:p>
        </w:tc>
      </w:tr>
    </w:tbl>
    <w:p w14:paraId="5C0E571D" w14:textId="77777777" w:rsidR="00ED0EF5" w:rsidRPr="008F3D9C" w:rsidRDefault="005B1E22" w:rsidP="005B1E22">
      <w:pPr>
        <w:pStyle w:val="Graphnote"/>
      </w:pPr>
      <w:r w:rsidRPr="008F3D9C">
        <w:t>Source: BDO estimates</w:t>
      </w:r>
    </w:p>
    <w:p w14:paraId="2D30C7D5" w14:textId="36A7233A" w:rsidR="00442363" w:rsidRPr="008F3D9C" w:rsidRDefault="00442363" w:rsidP="00746AFE">
      <w:pPr>
        <w:pStyle w:val="BodyText"/>
      </w:pPr>
      <w:r w:rsidRPr="008F3D9C">
        <w:t xml:space="preserve">The rescue of </w:t>
      </w:r>
      <w:r w:rsidR="00746AFE">
        <w:t>470,000</w:t>
      </w:r>
      <w:r w:rsidRPr="008F3D9C">
        <w:t xml:space="preserve"> tons of </w:t>
      </w:r>
      <w:r w:rsidR="00ED0EF5" w:rsidRPr="008F3D9C">
        <w:t>wasted</w:t>
      </w:r>
      <w:r w:rsidRPr="008F3D9C">
        <w:t xml:space="preserve"> food each year, constituting</w:t>
      </w:r>
      <w:r w:rsidR="00B8476B" w:rsidRPr="008F3D9C">
        <w:t xml:space="preserve"> </w:t>
      </w:r>
      <w:r w:rsidR="00514FCE">
        <w:t>20</w:t>
      </w:r>
      <w:r w:rsidRPr="008F3D9C">
        <w:t xml:space="preserve">% of overall food </w:t>
      </w:r>
      <w:r w:rsidR="00ED0EF5" w:rsidRPr="008F3D9C">
        <w:t>waste</w:t>
      </w:r>
      <w:r w:rsidR="009A06F8" w:rsidRPr="008F3D9C">
        <w:t xml:space="preserve"> in Israel, </w:t>
      </w:r>
      <w:r w:rsidR="00146314" w:rsidRPr="008F3D9C">
        <w:t xml:space="preserve">would </w:t>
      </w:r>
      <w:r w:rsidR="009A06F8" w:rsidRPr="008F3D9C">
        <w:t>enable the closing</w:t>
      </w:r>
      <w:r w:rsidRPr="008F3D9C">
        <w:t xml:space="preserve"> </w:t>
      </w:r>
      <w:r w:rsidR="009A06F8" w:rsidRPr="008F3D9C">
        <w:t xml:space="preserve">of </w:t>
      </w:r>
      <w:r w:rsidRPr="008F3D9C">
        <w:t>the food gap in Israel.</w:t>
      </w:r>
      <w:r w:rsidR="0057048D" w:rsidRPr="008F3D9C">
        <w:t xml:space="preserve"> </w:t>
      </w:r>
      <w:r w:rsidRPr="008F3D9C">
        <w:t>According</w:t>
      </w:r>
      <w:r w:rsidR="00C36581" w:rsidRPr="008F3D9C">
        <w:t>ly, an</w:t>
      </w:r>
      <w:r w:rsidRPr="008F3D9C">
        <w:t xml:space="preserve"> estimate</w:t>
      </w:r>
      <w:r w:rsidR="00C36581" w:rsidRPr="008F3D9C">
        <w:t>d</w:t>
      </w:r>
      <w:r w:rsidRPr="008F3D9C">
        <w:t xml:space="preserve"> NIS </w:t>
      </w:r>
      <w:r w:rsidR="005039F1" w:rsidRPr="008F3D9C">
        <w:t>8</w:t>
      </w:r>
      <w:r w:rsidR="00514FCE">
        <w:t>3</w:t>
      </w:r>
      <w:r w:rsidR="005039F1" w:rsidRPr="008F3D9C">
        <w:t>0</w:t>
      </w:r>
      <w:r w:rsidR="00B8476B" w:rsidRPr="008F3D9C">
        <w:t xml:space="preserve"> </w:t>
      </w:r>
      <w:r w:rsidR="00ED0EF5" w:rsidRPr="008F3D9C">
        <w:t xml:space="preserve">million </w:t>
      </w:r>
      <w:r w:rsidR="009A06F8" w:rsidRPr="008F3D9C">
        <w:t>would enable</w:t>
      </w:r>
      <w:r w:rsidR="00ED0EF5" w:rsidRPr="008F3D9C">
        <w:t xml:space="preserve"> the rescue</w:t>
      </w:r>
      <w:r w:rsidR="005B04BF">
        <w:t xml:space="preserve"> of food worth</w:t>
      </w:r>
      <w:r w:rsidRPr="008F3D9C">
        <w:t xml:space="preserve"> NIS 3 billion, equivalent to the </w:t>
      </w:r>
      <w:r w:rsidR="005B04BF">
        <w:t xml:space="preserve">entire </w:t>
      </w:r>
      <w:r w:rsidRPr="008F3D9C">
        <w:t xml:space="preserve">gap between </w:t>
      </w:r>
      <w:r w:rsidR="005B04BF">
        <w:t xml:space="preserve">the </w:t>
      </w:r>
      <w:r w:rsidRPr="008F3D9C">
        <w:t>food expenditure of food insecure populations and normative expenditure levels.</w:t>
      </w:r>
      <w:r w:rsidR="0057048D" w:rsidRPr="008F3D9C">
        <w:t xml:space="preserve"> </w:t>
      </w:r>
    </w:p>
    <w:p w14:paraId="436EF71E" w14:textId="77777777" w:rsidR="00ED0EF5" w:rsidRPr="008F3D9C" w:rsidRDefault="00ED0EF5" w:rsidP="00442363">
      <w:pPr>
        <w:spacing w:line="300" w:lineRule="auto"/>
        <w:rPr>
          <w:b/>
          <w:bCs/>
          <w:iCs/>
        </w:rPr>
      </w:pPr>
    </w:p>
    <w:p w14:paraId="130B1158" w14:textId="77777777" w:rsidR="00514FCE" w:rsidRDefault="00514FCE">
      <w:pPr>
        <w:rPr>
          <w:rFonts w:ascii="Calibri" w:eastAsia="Calibri" w:hAnsi="Calibri" w:cs="Arial"/>
          <w:color w:val="FF0000"/>
          <w:sz w:val="28"/>
          <w:szCs w:val="28"/>
        </w:rPr>
      </w:pPr>
      <w:r>
        <w:br w:type="page"/>
      </w:r>
    </w:p>
    <w:p w14:paraId="2AA50F79" w14:textId="77777777" w:rsidR="00ED0EF5" w:rsidRDefault="000604BD" w:rsidP="0061604E">
      <w:pPr>
        <w:pStyle w:val="Heading1"/>
      </w:pPr>
      <w:bookmarkStart w:id="13" w:name="_Toc505547260"/>
      <w:r w:rsidRPr="008F3D9C">
        <w:t xml:space="preserve">Developments in </w:t>
      </w:r>
      <w:r w:rsidR="00AD79E9" w:rsidRPr="008F3D9C">
        <w:t>Food Rescue</w:t>
      </w:r>
      <w:r w:rsidRPr="008F3D9C">
        <w:t xml:space="preserve">, in Israel and </w:t>
      </w:r>
      <w:r w:rsidR="00AD79E9" w:rsidRPr="008F3D9C">
        <w:t>Globally</w:t>
      </w:r>
      <w:bookmarkEnd w:id="13"/>
    </w:p>
    <w:p w14:paraId="3D8095A2" w14:textId="44FF3938" w:rsidR="000C6115" w:rsidRPr="001424D3" w:rsidRDefault="000C6115" w:rsidP="00420FD1">
      <w:pPr>
        <w:spacing w:after="120" w:line="360" w:lineRule="auto"/>
        <w:jc w:val="both"/>
        <w:rPr>
          <w:rFonts w:eastAsia="Calibri" w:cs="Times New Roman"/>
          <w:b/>
          <w:bCs/>
          <w:szCs w:val="24"/>
        </w:rPr>
      </w:pPr>
      <w:r w:rsidRPr="001424D3">
        <w:rPr>
          <w:rFonts w:eastAsia="Calibri" w:cs="Times New Roman"/>
          <w:szCs w:val="24"/>
          <w:u w:val="single"/>
        </w:rPr>
        <w:t>Bold chapter head</w:t>
      </w:r>
      <w:r w:rsidRPr="001424D3">
        <w:rPr>
          <w:rFonts w:eastAsia="Calibri" w:cs="Times New Roman"/>
          <w:szCs w:val="24"/>
        </w:rPr>
        <w:t xml:space="preserve">: </w:t>
      </w:r>
      <w:r w:rsidRPr="001424D3">
        <w:rPr>
          <w:rFonts w:eastAsia="Calibri" w:cs="Times New Roman"/>
          <w:b/>
          <w:bCs/>
          <w:szCs w:val="24"/>
        </w:rPr>
        <w:t xml:space="preserve">50% reduction in food waste by 2030 </w:t>
      </w:r>
      <w:r w:rsidR="00420FD1">
        <w:rPr>
          <w:rFonts w:eastAsia="Calibri" w:cs="Times New Roman"/>
          <w:b/>
          <w:bCs/>
          <w:szCs w:val="24"/>
        </w:rPr>
        <w:t>-</w:t>
      </w:r>
      <w:r w:rsidRPr="001424D3">
        <w:rPr>
          <w:rFonts w:eastAsia="Calibri" w:cs="Times New Roman"/>
          <w:b/>
          <w:bCs/>
          <w:szCs w:val="24"/>
        </w:rPr>
        <w:t xml:space="preserve"> Goal set by the European Parliament </w:t>
      </w:r>
    </w:p>
    <w:p w14:paraId="08F93F72" w14:textId="0E0475A7" w:rsidR="000C6115" w:rsidRPr="001424D3" w:rsidRDefault="000C6115" w:rsidP="000C6115">
      <w:pPr>
        <w:pStyle w:val="BodyText"/>
      </w:pPr>
      <w:r w:rsidRPr="001424D3">
        <w:t xml:space="preserve">During 2017, the United Nations </w:t>
      </w:r>
      <w:r w:rsidR="009A7155">
        <w:t xml:space="preserve">(UN) </w:t>
      </w:r>
      <w:r w:rsidRPr="001424D3">
        <w:t xml:space="preserve">and many countries around the world took steps towards reducing food waste, due to </w:t>
      </w:r>
      <w:r w:rsidR="008823B6">
        <w:t xml:space="preserve">a </w:t>
      </w:r>
      <w:r w:rsidRPr="001424D3">
        <w:t>growing awareness that food waste is an international problem. A consortium of leading international organizations, including the UN, announced the first-ever international standard for measuring food waste.</w:t>
      </w:r>
    </w:p>
    <w:p w14:paraId="5D03B8DA" w14:textId="77777777" w:rsidR="000C6115" w:rsidRPr="001424D3" w:rsidRDefault="000C6115" w:rsidP="000C6115">
      <w:pPr>
        <w:pStyle w:val="BodyText"/>
      </w:pPr>
      <w:r w:rsidRPr="001424D3">
        <w:rPr>
          <w:b/>
          <w:bCs/>
        </w:rPr>
        <w:t>The UN and its Food and Agriculture Organization (FAO)</w:t>
      </w:r>
      <w:r w:rsidRPr="001424D3">
        <w:t xml:space="preserve"> are working towards implementing a uniform international standard for estimating the extent of food waste worldwide. This effort is expected to facilitate compliance with the goal set by the UN in 2016: reducing the amount of food waste by 50% by 2030.</w:t>
      </w:r>
    </w:p>
    <w:p w14:paraId="72D76520" w14:textId="4E4B583F" w:rsidR="000C6115" w:rsidRPr="001424D3" w:rsidRDefault="000C6115" w:rsidP="008823B6">
      <w:pPr>
        <w:pStyle w:val="BodyText"/>
      </w:pPr>
      <w:r w:rsidRPr="001424D3">
        <w:rPr>
          <w:b/>
          <w:bCs/>
        </w:rPr>
        <w:t>European Parliament</w:t>
      </w:r>
      <w:r w:rsidRPr="001424D3">
        <w:t xml:space="preserve">: In March 2017, the European Parliament set a voluntary target for reducing food </w:t>
      </w:r>
      <w:r w:rsidR="008823B6">
        <w:t xml:space="preserve">waste </w:t>
      </w:r>
      <w:r w:rsidRPr="001424D3">
        <w:t>in the European Union by 30% by 2025, and by 50% by 2030.</w:t>
      </w:r>
    </w:p>
    <w:p w14:paraId="4C4F65F9" w14:textId="77777777" w:rsidR="000C6115" w:rsidRPr="001424D3" w:rsidRDefault="000C6115" w:rsidP="000C6115">
      <w:pPr>
        <w:pStyle w:val="BodyText"/>
      </w:pPr>
      <w:r w:rsidRPr="001424D3">
        <w:rPr>
          <w:b/>
          <w:bCs/>
        </w:rPr>
        <w:t>Australia</w:t>
      </w:r>
      <w:r w:rsidRPr="001424D3">
        <w:t xml:space="preserve">: In 2017, the Australian government defined a target of reducing the </w:t>
      </w:r>
      <w:r w:rsidRPr="001E2D2B">
        <w:t>amount of food waste produced by 50% by 2030. In Australia, the annual financial</w:t>
      </w:r>
      <w:r w:rsidRPr="001424D3">
        <w:t xml:space="preserve"> cost of food waste is estimated at $20 billion.</w:t>
      </w:r>
    </w:p>
    <w:p w14:paraId="1D07EA49" w14:textId="20BB5219" w:rsidR="000C6115" w:rsidRPr="001424D3" w:rsidRDefault="000C6115" w:rsidP="008823B6">
      <w:pPr>
        <w:pStyle w:val="BodyText"/>
      </w:pPr>
      <w:r w:rsidRPr="001424D3">
        <w:rPr>
          <w:b/>
          <w:bCs/>
        </w:rPr>
        <w:t>Denmark</w:t>
      </w:r>
      <w:r w:rsidRPr="001424D3">
        <w:t xml:space="preserve"> is a pioneer in food waste</w:t>
      </w:r>
      <w:r w:rsidR="008823B6">
        <w:t xml:space="preserve"> prevention</w:t>
      </w:r>
      <w:r w:rsidRPr="001424D3">
        <w:t xml:space="preserve">. Already in 2015, it announced a 25% percent reduction in food waste in five years. In June 2016, the government launched a subsidy program totaling $750,000 for projects that reduce food </w:t>
      </w:r>
      <w:r w:rsidR="008823B6">
        <w:t xml:space="preserve">waste </w:t>
      </w:r>
      <w:r w:rsidRPr="001424D3">
        <w:t>across the supply chain.</w:t>
      </w:r>
    </w:p>
    <w:p w14:paraId="53B3AA6A" w14:textId="4D4949F8" w:rsidR="000C6115" w:rsidRPr="001424D3" w:rsidRDefault="000C6115" w:rsidP="008823B6">
      <w:pPr>
        <w:pStyle w:val="BodyText"/>
      </w:pPr>
      <w:r w:rsidRPr="001424D3">
        <w:rPr>
          <w:b/>
          <w:bCs/>
        </w:rPr>
        <w:t>Norway</w:t>
      </w:r>
      <w:r w:rsidRPr="001424D3">
        <w:t xml:space="preserve">: The Norwegian government has also announced a target of reducing food </w:t>
      </w:r>
      <w:r w:rsidR="008823B6">
        <w:t>waste</w:t>
      </w:r>
      <w:r w:rsidR="008823B6" w:rsidRPr="001424D3">
        <w:t xml:space="preserve"> </w:t>
      </w:r>
      <w:r w:rsidRPr="001424D3">
        <w:t>by 50% by 2030</w:t>
      </w:r>
      <w:r>
        <w:t>. I</w:t>
      </w:r>
      <w:r w:rsidRPr="001424D3">
        <w:t>n June, it signed an agreement with the food industry to achieve this goal.</w:t>
      </w:r>
    </w:p>
    <w:p w14:paraId="2E9D91AE" w14:textId="0FA7947A" w:rsidR="000C6115" w:rsidRPr="001424D3" w:rsidRDefault="000C6115" w:rsidP="008823B6">
      <w:pPr>
        <w:pStyle w:val="BodyText"/>
      </w:pPr>
      <w:r w:rsidRPr="001424D3">
        <w:rPr>
          <w:b/>
          <w:bCs/>
        </w:rPr>
        <w:t>France</w:t>
      </w:r>
      <w:r w:rsidRPr="001424D3">
        <w:t>: Since January 1, 2016, catering services and restaurants that serve more than 150 customers</w:t>
      </w:r>
      <w:r w:rsidR="008823B6">
        <w:t xml:space="preserve"> per </w:t>
      </w:r>
      <w:r w:rsidRPr="001424D3">
        <w:t>day are required to recycle food if it totals more than 10 tons annually. Catering services and restaurants that do not comply are liable to a fine of €75,000.</w:t>
      </w:r>
    </w:p>
    <w:p w14:paraId="6DEA8CA3" w14:textId="77777777" w:rsidR="000C6115" w:rsidRPr="001424D3" w:rsidRDefault="000C6115" w:rsidP="000C6115">
      <w:pPr>
        <w:pStyle w:val="BodyText"/>
      </w:pPr>
      <w:r w:rsidRPr="001424D3">
        <w:t>In February 2016, France became the first country in the world to prohibit supermarkets from discarding food. The law passed unanimously in the French Senate, and effectively forces all supermarkets and grocery stores with a selling area exceeding 400 m² to contribute any excess food to food banks rather than discarding or destroying it. According to the French Environment and Energy Management Agency food wastage in France is valued at approximately €16 billion annually.</w:t>
      </w:r>
    </w:p>
    <w:p w14:paraId="5A222D8B" w14:textId="29833ACE" w:rsidR="000C6115" w:rsidRPr="001424D3" w:rsidRDefault="000C6115" w:rsidP="000C6115">
      <w:pPr>
        <w:pStyle w:val="BodyText"/>
      </w:pPr>
      <w:r w:rsidRPr="001424D3">
        <w:rPr>
          <w:b/>
          <w:bCs/>
        </w:rPr>
        <w:t>Italy</w:t>
      </w:r>
      <w:r w:rsidRPr="001424D3">
        <w:t xml:space="preserve"> has begun the legislative process for a measure similar to the French law prohibiting supermarkets from discarding food</w:t>
      </w:r>
      <w:r>
        <w:t xml:space="preserve"> </w:t>
      </w:r>
      <w:r w:rsidRPr="001424D3">
        <w:t>and requiring them to work with food rescue organizations. The main difference between the proposed Italian legislation and the French law is that France fines violators, while the Italian law offers incentives, in the form of tax breaks, for those who rescue food.</w:t>
      </w:r>
    </w:p>
    <w:p w14:paraId="6C3A0FBA" w14:textId="0BBBC2D5" w:rsidR="000C6115" w:rsidRPr="001424D3" w:rsidRDefault="000C6115" w:rsidP="00816783">
      <w:pPr>
        <w:pStyle w:val="BodyText"/>
      </w:pPr>
      <w:r>
        <w:rPr>
          <w:b/>
          <w:bCs/>
        </w:rPr>
        <w:t>United Kingdom</w:t>
      </w:r>
      <w:r w:rsidRPr="001424D3">
        <w:rPr>
          <w:b/>
          <w:bCs/>
        </w:rPr>
        <w:t>:</w:t>
      </w:r>
      <w:r w:rsidRPr="001424D3">
        <w:t xml:space="preserve"> In 2017, the House of Commons Environment, Food and Rural Affairs Committee published a report on food waste in England, and made several recommendations, including that the government adopt a national strategy to ensure the collection of wasted food throughout the </w:t>
      </w:r>
      <w:r w:rsidR="00816783">
        <w:t>UK</w:t>
      </w:r>
      <w:r w:rsidRPr="001424D3">
        <w:t xml:space="preserve">. The government </w:t>
      </w:r>
      <w:r w:rsidR="003B4475">
        <w:t xml:space="preserve">requires </w:t>
      </w:r>
      <w:r w:rsidRPr="001424D3">
        <w:t xml:space="preserve">businesses above a certain size to publicly report their food </w:t>
      </w:r>
      <w:r w:rsidR="008C7197">
        <w:t>waste</w:t>
      </w:r>
      <w:r w:rsidR="008C7197" w:rsidRPr="001424D3">
        <w:t xml:space="preserve"> </w:t>
      </w:r>
      <w:r w:rsidRPr="001424D3">
        <w:t>and to separate food in a gradual process</w:t>
      </w:r>
      <w:r w:rsidR="005B1173">
        <w:t>.</w:t>
      </w:r>
    </w:p>
    <w:p w14:paraId="0A7A316F" w14:textId="0E1F70AA" w:rsidR="000C6115" w:rsidRPr="001424D3" w:rsidRDefault="000C6115" w:rsidP="00816783">
      <w:pPr>
        <w:pStyle w:val="BodyText"/>
      </w:pPr>
      <w:r w:rsidRPr="001424D3">
        <w:t xml:space="preserve">In 2016, </w:t>
      </w:r>
      <w:r>
        <w:t>the UK</w:t>
      </w:r>
      <w:r w:rsidRPr="001424D3">
        <w:t xml:space="preserve"> adopted a multi-year plan to reduce food waste by 20% during the coming decade. The program will be managed by the Governmental Food Standards Agency (FSA) in cooperation with the Waste and Resources Action </w:t>
      </w:r>
      <w:r w:rsidRPr="001424D3">
        <w:rPr>
          <w:lang w:val="en-GB"/>
        </w:rPr>
        <w:t>Programme</w:t>
      </w:r>
      <w:r w:rsidRPr="001424D3">
        <w:t xml:space="preserve"> (WRAP). The program will be implemented in cooperation with private sector organizations along the food-manufacturing chain, and will be accompanied by a campaign entitled, “Love Food – Hate Waste”</w:t>
      </w:r>
      <w:r w:rsidR="00816783">
        <w:t>.</w:t>
      </w:r>
      <w:r w:rsidRPr="001424D3">
        <w:t xml:space="preserve"> According to FSA, the campaign will save approximately </w:t>
      </w:r>
      <w:r w:rsidRPr="001424D3">
        <w:rPr>
          <w:rFonts w:cstheme="minorHAnsi"/>
        </w:rPr>
        <w:t>₤</w:t>
      </w:r>
      <w:r w:rsidRPr="001424D3">
        <w:t>20 billion during the coming decade.</w:t>
      </w:r>
    </w:p>
    <w:p w14:paraId="0CC7214E" w14:textId="24E1E66D" w:rsidR="000C6115" w:rsidRPr="001424D3" w:rsidRDefault="000C6115" w:rsidP="00816783">
      <w:pPr>
        <w:pStyle w:val="BodyText"/>
      </w:pPr>
      <w:r w:rsidRPr="001424D3">
        <w:t xml:space="preserve">Tesco – The British retail giant is a leader </w:t>
      </w:r>
      <w:r w:rsidR="00C67221">
        <w:t xml:space="preserve">in </w:t>
      </w:r>
      <w:r w:rsidRPr="001424D3">
        <w:t xml:space="preserve">food </w:t>
      </w:r>
      <w:r w:rsidR="00816783">
        <w:t>recovery</w:t>
      </w:r>
      <w:r w:rsidR="00816783" w:rsidRPr="001424D3">
        <w:t xml:space="preserve"> </w:t>
      </w:r>
      <w:r w:rsidRPr="001424D3">
        <w:t xml:space="preserve">and is working hard to reduce food waste in its stores, and throughout the value chain. At the end of 2017, Tesco announced that by March 2018 its branches would no longer discard food fit for human consumption in </w:t>
      </w:r>
      <w:r w:rsidR="00816783">
        <w:t>the UK</w:t>
      </w:r>
      <w:r w:rsidRPr="001424D3">
        <w:t>.</w:t>
      </w:r>
    </w:p>
    <w:p w14:paraId="4E5566BB" w14:textId="6F9071C2" w:rsidR="000C6115" w:rsidRPr="001424D3" w:rsidRDefault="000C6115" w:rsidP="000C6115">
      <w:pPr>
        <w:pStyle w:val="BodyText"/>
      </w:pPr>
      <w:r w:rsidRPr="001424D3">
        <w:rPr>
          <w:b/>
          <w:bCs/>
        </w:rPr>
        <w:t>United States of America</w:t>
      </w:r>
      <w:r w:rsidRPr="001424D3">
        <w:t xml:space="preserve">: In 2016, increasing awareness of the issue of food waste was also observed across the US. In September 2015, the federal government declared a national goal of cutting the amount of food waste by 50% by 2030, with large food manufacturers including Unilever, Kellogg’s and Nestlé expressing support for the program. These large manufacturers announced a series of measures to reduce food waste, and the adoption of technologies for measuring and reducing waste. Kellogg’s set a target of reducing the amount of food sent to landfill to zero by 2020. Furthermore, the manufacturers declared that they would support campaigns to increase awareness and educate about the issue of food waste prevention. </w:t>
      </w:r>
    </w:p>
    <w:p w14:paraId="3D52F305" w14:textId="5BAE9E2B" w:rsidR="000C6115" w:rsidRPr="001424D3" w:rsidRDefault="000C6115" w:rsidP="00816783">
      <w:pPr>
        <w:pStyle w:val="BodyText"/>
      </w:pPr>
      <w:r w:rsidRPr="001424D3">
        <w:rPr>
          <w:b/>
          <w:bCs/>
        </w:rPr>
        <w:t>South Korea</w:t>
      </w:r>
      <w:r w:rsidRPr="001424D3">
        <w:t xml:space="preserve"> reduced food </w:t>
      </w:r>
      <w:r w:rsidR="00816783">
        <w:t>waste</w:t>
      </w:r>
      <w:r w:rsidR="00816783" w:rsidRPr="001424D3">
        <w:t xml:space="preserve"> </w:t>
      </w:r>
      <w:r w:rsidRPr="001424D3">
        <w:t xml:space="preserve">by 10% in four years, following a 2013 policy requiring households to pay for the amount of food they discard. Food that is discarded is recycled for animal feed or bio-gas used to generate energy. </w:t>
      </w:r>
    </w:p>
    <w:p w14:paraId="3241CD8D" w14:textId="77777777" w:rsidR="000C6115" w:rsidRPr="001424D3" w:rsidRDefault="000C6115" w:rsidP="000C6115">
      <w:pPr>
        <w:pStyle w:val="BodyText"/>
        <w:rPr>
          <w:b/>
          <w:bCs/>
        </w:rPr>
      </w:pPr>
      <w:r w:rsidRPr="001424D3">
        <w:rPr>
          <w:b/>
          <w:bCs/>
        </w:rPr>
        <w:t xml:space="preserve">Israel </w:t>
      </w:r>
    </w:p>
    <w:p w14:paraId="21775FAF" w14:textId="0CC5A48D" w:rsidR="000C6115" w:rsidRDefault="000C6115" w:rsidP="000C6115">
      <w:pPr>
        <w:pStyle w:val="BodyText"/>
      </w:pPr>
      <w:r>
        <w:t xml:space="preserve">In recent years, awareness of the importance of food rescue has increased, and </w:t>
      </w:r>
      <w:r w:rsidR="00816783">
        <w:t xml:space="preserve">has </w:t>
      </w:r>
      <w:r>
        <w:t xml:space="preserve">been accompanied by initial steps to encourage food rescue, both public activity and governmental measures. This is evident in several initiatives taken by leading organizations and agencies in the last year. </w:t>
      </w:r>
    </w:p>
    <w:p w14:paraId="7B9E7EA8" w14:textId="77777777" w:rsidR="000C6115" w:rsidRPr="005176E8" w:rsidRDefault="000C6115" w:rsidP="000C6115">
      <w:pPr>
        <w:pStyle w:val="BodyText"/>
        <w:rPr>
          <w:b/>
          <w:bCs/>
        </w:rPr>
      </w:pPr>
      <w:r w:rsidRPr="005176E8">
        <w:rPr>
          <w:b/>
          <w:bCs/>
        </w:rPr>
        <w:t xml:space="preserve">Leket Israel </w:t>
      </w:r>
    </w:p>
    <w:p w14:paraId="03F6A08A" w14:textId="5B1E35A1" w:rsidR="00916339" w:rsidRDefault="000C6115" w:rsidP="003C3DE7">
      <w:pPr>
        <w:pStyle w:val="BodyText"/>
      </w:pPr>
      <w:r w:rsidRPr="005176E8">
        <w:t xml:space="preserve">Leket Israel is the largest organization </w:t>
      </w:r>
      <w:r>
        <w:t xml:space="preserve">rescuing </w:t>
      </w:r>
      <w:r w:rsidRPr="005176E8">
        <w:t>food surplus in Israel</w:t>
      </w:r>
      <w:r>
        <w:t xml:space="preserve">. Every year, it rescues </w:t>
      </w:r>
      <w:r w:rsidRPr="005176E8">
        <w:t>thousands of ton</w:t>
      </w:r>
      <w:r>
        <w:t xml:space="preserve">s of food and millions of </w:t>
      </w:r>
      <w:r w:rsidR="003B4475">
        <w:t xml:space="preserve">surplus </w:t>
      </w:r>
      <w:r>
        <w:t xml:space="preserve">meals, for the benefit of </w:t>
      </w:r>
      <w:r w:rsidRPr="005176E8">
        <w:t>hundreds of thousands of needy people throughout the country.</w:t>
      </w:r>
      <w:r>
        <w:t xml:space="preserve"> For this purpose, Leket Israel sponsors and organizes a wide range of activities to rescue food from varied sources: picking fresh produce </w:t>
      </w:r>
      <w:r w:rsidR="003B4475">
        <w:t xml:space="preserve">from farm </w:t>
      </w:r>
      <w:r>
        <w:t>field</w:t>
      </w:r>
      <w:r w:rsidR="003B4475">
        <w:t>s</w:t>
      </w:r>
      <w:r>
        <w:t xml:space="preserve">, </w:t>
      </w:r>
      <w:r w:rsidR="00816783">
        <w:t xml:space="preserve">collecting </w:t>
      </w:r>
      <w:r>
        <w:t xml:space="preserve">agricultural </w:t>
      </w:r>
      <w:r w:rsidR="003B4475">
        <w:t xml:space="preserve">surplus </w:t>
      </w:r>
      <w:r>
        <w:t xml:space="preserve">produce from packing houses, </w:t>
      </w:r>
      <w:r w:rsidR="00E64DFF">
        <w:t xml:space="preserve">rescuing </w:t>
      </w:r>
      <w:r>
        <w:t>cooked food from various sources</w:t>
      </w:r>
      <w:r w:rsidR="005B1173">
        <w:t xml:space="preserve">, and collecting surplus food from </w:t>
      </w:r>
      <w:r w:rsidR="003C3DE7">
        <w:t xml:space="preserve">the food </w:t>
      </w:r>
      <w:r w:rsidR="005B1173">
        <w:t>industry</w:t>
      </w:r>
      <w:r>
        <w:t xml:space="preserve">.  </w:t>
      </w:r>
    </w:p>
    <w:p w14:paraId="01AA8B45" w14:textId="21E9F33E" w:rsidR="000C6115" w:rsidRDefault="00916339" w:rsidP="00916339">
      <w:pPr>
        <w:pStyle w:val="BodyText"/>
      </w:pPr>
      <w:r>
        <w:t>Leket Israel’s cooked food collection program is</w:t>
      </w:r>
      <w:r w:rsidR="000C6115">
        <w:t xml:space="preserve"> unlike any other in the world. </w:t>
      </w:r>
      <w:r w:rsidR="000C6115" w:rsidRPr="00C16DDD">
        <w:t>In 2017,</w:t>
      </w:r>
      <w:r w:rsidR="000C6115">
        <w:t xml:space="preserve"> </w:t>
      </w:r>
      <w:r w:rsidR="000C6115" w:rsidRPr="00C16DDD">
        <w:t>Leket Israel rescued</w:t>
      </w:r>
      <w:r w:rsidR="000C6115">
        <w:t xml:space="preserve"> </w:t>
      </w:r>
      <w:r w:rsidR="000C6115" w:rsidRPr="00C16DDD">
        <w:t>cooked food equivalent to 2.3 million meals</w:t>
      </w:r>
      <w:r w:rsidR="000C6115">
        <w:t xml:space="preserve">. The total amount </w:t>
      </w:r>
      <w:r w:rsidR="003B4475">
        <w:t xml:space="preserve">of food </w:t>
      </w:r>
      <w:r w:rsidR="000C6115">
        <w:t xml:space="preserve">rescued by Leket Israel </w:t>
      </w:r>
      <w:r w:rsidR="003B4475">
        <w:t xml:space="preserve">in recent </w:t>
      </w:r>
      <w:r w:rsidR="000C6115">
        <w:t xml:space="preserve">years </w:t>
      </w:r>
      <w:r w:rsidR="003B4475">
        <w:t xml:space="preserve">has </w:t>
      </w:r>
      <w:r w:rsidR="000C6115">
        <w:t xml:space="preserve">approached </w:t>
      </w:r>
      <w:r w:rsidR="000C6115" w:rsidRPr="00C16DDD">
        <w:t>17,500 tons of food</w:t>
      </w:r>
      <w:r w:rsidR="00816783">
        <w:t xml:space="preserve"> annually</w:t>
      </w:r>
      <w:r w:rsidR="000C6115" w:rsidRPr="00C16DDD">
        <w:t>,</w:t>
      </w:r>
      <w:r w:rsidR="000C6115">
        <w:t xml:space="preserve"> valued at NIS 150 million (unaudited).</w:t>
      </w:r>
      <w:r w:rsidR="000C6115" w:rsidRPr="00C16DDD">
        <w:t xml:space="preserve"> </w:t>
      </w:r>
    </w:p>
    <w:p w14:paraId="06AD7B29" w14:textId="2C7202A6" w:rsidR="000C6115" w:rsidRDefault="000C6115" w:rsidP="003B4475">
      <w:pPr>
        <w:pStyle w:val="BodyText"/>
      </w:pPr>
      <w:r>
        <w:t xml:space="preserve">In 2017, several government ministries undertook new initiatives utilizing rescued food: the Food Security Initiative of the Ministry of Welfare, and a joint initiative with the Ministry of Agriculture for the benefit of the Bedouin population in the Negev. Leket Israel is involved and </w:t>
      </w:r>
      <w:r w:rsidR="003B4475">
        <w:t xml:space="preserve">participating </w:t>
      </w:r>
      <w:r>
        <w:t>in these projects, which supply rescued agricultural produce</w:t>
      </w:r>
      <w:r w:rsidR="003B4475">
        <w:t xml:space="preserve"> to needy populations</w:t>
      </w:r>
      <w:r>
        <w:t xml:space="preserve">. (For additional details, see below.) </w:t>
      </w:r>
    </w:p>
    <w:p w14:paraId="485A8400" w14:textId="77777777" w:rsidR="000C6115" w:rsidRPr="005B76E3" w:rsidRDefault="000C6115" w:rsidP="000C6115">
      <w:pPr>
        <w:pStyle w:val="BodyText"/>
        <w:rPr>
          <w:b/>
          <w:bCs/>
        </w:rPr>
      </w:pPr>
      <w:r w:rsidRPr="005B76E3">
        <w:rPr>
          <w:b/>
          <w:bCs/>
        </w:rPr>
        <w:t xml:space="preserve">Initiatives of the Ministry of Agriculture </w:t>
      </w:r>
    </w:p>
    <w:p w14:paraId="5386D5FF" w14:textId="61767B87" w:rsidR="000C6115" w:rsidRPr="005B76E3" w:rsidRDefault="000C6115" w:rsidP="00816783">
      <w:pPr>
        <w:pStyle w:val="BodyText"/>
      </w:pPr>
      <w:r w:rsidRPr="005B76E3">
        <w:t xml:space="preserve">In 2017, the Ministry of Agriculture initiated a pilot project compensating farmers who donate surplus agricultural produce </w:t>
      </w:r>
      <w:r w:rsidR="003B4475">
        <w:t>to</w:t>
      </w:r>
      <w:r w:rsidR="003B4475" w:rsidRPr="005B76E3">
        <w:t xml:space="preserve"> </w:t>
      </w:r>
      <w:r w:rsidRPr="005B76E3">
        <w:t xml:space="preserve">NPOs serving the needy. According to the plan, a procedure was formulated to allocate a budget of up to NIS 1 million to compensate farmers at the rate of NIS 0.40 per kilogram to cover the cost of harvesting (only) surplus produce </w:t>
      </w:r>
      <w:r w:rsidR="00816783">
        <w:t xml:space="preserve">that is then </w:t>
      </w:r>
      <w:r w:rsidRPr="005B76E3">
        <w:t xml:space="preserve">transferred to </w:t>
      </w:r>
      <w:r w:rsidR="003B4475">
        <w:t xml:space="preserve">approved </w:t>
      </w:r>
      <w:r w:rsidRPr="005B76E3">
        <w:t>NPO</w:t>
      </w:r>
      <w:r w:rsidR="003B4475">
        <w:t>s</w:t>
      </w:r>
      <w:r w:rsidRPr="005B76E3">
        <w:t xml:space="preserve"> </w:t>
      </w:r>
      <w:r w:rsidR="003B4475">
        <w:t xml:space="preserve">serving vulnerable </w:t>
      </w:r>
      <w:r w:rsidRPr="005B76E3">
        <w:t>populations.</w:t>
      </w:r>
    </w:p>
    <w:p w14:paraId="76CC78AA" w14:textId="58D9AE85" w:rsidR="000C6115" w:rsidRPr="005B76E3" w:rsidRDefault="000C6115" w:rsidP="009A028B">
      <w:pPr>
        <w:pStyle w:val="BodyText"/>
      </w:pPr>
      <w:r>
        <w:t>During</w:t>
      </w:r>
      <w:r w:rsidRPr="005B76E3">
        <w:t xml:space="preserve"> 2017, the Ministry of Agriculture and Leket Israel implemented a joint project in the Bedouin sector, in which 600 tons of fresh fruits and vegetables </w:t>
      </w:r>
      <w:r>
        <w:t xml:space="preserve">grown by </w:t>
      </w:r>
      <w:r w:rsidRPr="005B76E3">
        <w:t xml:space="preserve">farmers in the south were </w:t>
      </w:r>
      <w:r>
        <w:t xml:space="preserve">rescued and </w:t>
      </w:r>
      <w:r w:rsidRPr="005B76E3">
        <w:t xml:space="preserve">distributed to people experiencing food insecurity, via eight food distribution centers where members of the </w:t>
      </w:r>
      <w:r w:rsidR="009A028B">
        <w:t xml:space="preserve">Bedouin </w:t>
      </w:r>
      <w:r w:rsidRPr="005B76E3">
        <w:t>community</w:t>
      </w:r>
      <w:r w:rsidR="00816783">
        <w:t xml:space="preserve"> and recipients of the food</w:t>
      </w:r>
      <w:r w:rsidRPr="005B76E3">
        <w:t xml:space="preserve"> </w:t>
      </w:r>
      <w:r w:rsidR="009A028B">
        <w:t xml:space="preserve">also </w:t>
      </w:r>
      <w:r w:rsidRPr="005B76E3">
        <w:t>volunteer</w:t>
      </w:r>
      <w:r w:rsidR="009A028B">
        <w:t>ed</w:t>
      </w:r>
      <w:r w:rsidRPr="005B76E3">
        <w:t xml:space="preserve">. A certified nutritionist also gave workshops on proper nutrition </w:t>
      </w:r>
      <w:r>
        <w:t>to</w:t>
      </w:r>
      <w:r w:rsidRPr="005B76E3">
        <w:t xml:space="preserve"> the Bedouin community. Due to the success of the project, and the satisfaction </w:t>
      </w:r>
      <w:r>
        <w:t>expressed by the</w:t>
      </w:r>
      <w:r w:rsidRPr="005B76E3">
        <w:t xml:space="preserve"> families receiving aid, the project will continue to operate in a similar format </w:t>
      </w:r>
      <w:r w:rsidR="00455F75">
        <w:t xml:space="preserve">in </w:t>
      </w:r>
      <w:r w:rsidRPr="005B76E3">
        <w:t xml:space="preserve"> 2018.</w:t>
      </w:r>
    </w:p>
    <w:p w14:paraId="1D3E1A94" w14:textId="77777777" w:rsidR="000C6115" w:rsidRPr="005B76E3" w:rsidRDefault="000C6115" w:rsidP="000C6115">
      <w:pPr>
        <w:pStyle w:val="BodyText"/>
      </w:pPr>
      <w:r w:rsidRPr="005B76E3">
        <w:t>In addition, the Ministry has worked in several other ways to reduce food waste:</w:t>
      </w:r>
    </w:p>
    <w:p w14:paraId="728E6D50" w14:textId="57DF8300" w:rsidR="000C6115" w:rsidRPr="005B76E3" w:rsidRDefault="000C6115" w:rsidP="000C6115">
      <w:pPr>
        <w:pStyle w:val="BodyText"/>
        <w:numPr>
          <w:ilvl w:val="0"/>
          <w:numId w:val="20"/>
        </w:numPr>
      </w:pPr>
      <w:r w:rsidRPr="005B76E3">
        <w:t>Procedures for encouraging the marketing of “</w:t>
      </w:r>
      <w:r w:rsidR="00D81B5D">
        <w:t>blemished</w:t>
      </w:r>
      <w:r w:rsidR="00D81B5D" w:rsidRPr="005B76E3">
        <w:t xml:space="preserve"> </w:t>
      </w:r>
      <w:r w:rsidRPr="005B76E3">
        <w:t>vegetables and fruit” were published for public comment</w:t>
      </w:r>
    </w:p>
    <w:p w14:paraId="5D049630" w14:textId="13B1465F" w:rsidR="000C6115" w:rsidRPr="005B76E3" w:rsidRDefault="000C6115" w:rsidP="000C6115">
      <w:pPr>
        <w:pStyle w:val="BodyText"/>
        <w:numPr>
          <w:ilvl w:val="0"/>
          <w:numId w:val="20"/>
        </w:numPr>
      </w:pPr>
      <w:r w:rsidRPr="005B76E3">
        <w:t xml:space="preserve">Consumers were </w:t>
      </w:r>
      <w:r>
        <w:t>presented</w:t>
      </w:r>
      <w:r w:rsidRPr="005B76E3">
        <w:t xml:space="preserve"> more accessible information regarding the long-term storage of vegetables and fruits</w:t>
      </w:r>
    </w:p>
    <w:p w14:paraId="1402A0A8" w14:textId="12E56FE6" w:rsidR="000C6115" w:rsidRPr="005B76E3" w:rsidRDefault="000C6115" w:rsidP="000C6115">
      <w:pPr>
        <w:pStyle w:val="BodyText"/>
        <w:numPr>
          <w:ilvl w:val="0"/>
          <w:numId w:val="20"/>
        </w:numPr>
      </w:pPr>
      <w:r w:rsidRPr="005B76E3">
        <w:t>Cooperation between the Ministry of Agriculture and the Ministry of Education to prevent food waste</w:t>
      </w:r>
    </w:p>
    <w:p w14:paraId="43DA121D" w14:textId="070285AD" w:rsidR="000C6115" w:rsidRPr="005B76E3" w:rsidRDefault="000C6115" w:rsidP="000C6115">
      <w:pPr>
        <w:pStyle w:val="BodyText"/>
        <w:numPr>
          <w:ilvl w:val="0"/>
          <w:numId w:val="20"/>
        </w:numPr>
      </w:pPr>
      <w:r w:rsidRPr="005B76E3">
        <w:t>Guidelines for long-term storage of fruit and vegetables for wholesalers and retailers</w:t>
      </w:r>
    </w:p>
    <w:p w14:paraId="1FF5CE82" w14:textId="77777777" w:rsidR="000C6115" w:rsidRPr="005B76E3" w:rsidRDefault="000C6115" w:rsidP="000C6115">
      <w:pPr>
        <w:pStyle w:val="BodyText"/>
        <w:numPr>
          <w:ilvl w:val="0"/>
          <w:numId w:val="20"/>
        </w:numPr>
      </w:pPr>
      <w:r w:rsidRPr="005B76E3">
        <w:t>The Ministry of Agriculture, in cooperation with the Ministry of Health and the Prime Minister’s Office, led a move to extend the maximum shelf life of vacuum-packed chilled meats.</w:t>
      </w:r>
    </w:p>
    <w:p w14:paraId="34002140" w14:textId="77777777" w:rsidR="000C6115" w:rsidRPr="001424D3" w:rsidRDefault="000C6115" w:rsidP="000C6115">
      <w:pPr>
        <w:pStyle w:val="BodyText"/>
      </w:pPr>
      <w:r w:rsidRPr="00347E53">
        <w:rPr>
          <w:b/>
          <w:bCs/>
        </w:rPr>
        <w:t>Legislating Tax Benefits for Donating Surplus Food</w:t>
      </w:r>
      <w:r w:rsidRPr="001424D3">
        <w:rPr>
          <w:vertAlign w:val="superscript"/>
        </w:rPr>
        <w:footnoteReference w:id="10"/>
      </w:r>
    </w:p>
    <w:p w14:paraId="04086DCB" w14:textId="77777777" w:rsidR="000C6115" w:rsidRPr="001424D3" w:rsidRDefault="000C6115" w:rsidP="000C6115">
      <w:pPr>
        <w:pStyle w:val="BodyText"/>
      </w:pPr>
      <w:r w:rsidRPr="001424D3">
        <w:t>MKs Merav Ben-Ari, Roy Folkman and Ayelet Nahmias-Verbin are currently proposing legislation that would grant a tax credit for food donations worth 50% of the value of the donation.</w:t>
      </w:r>
    </w:p>
    <w:p w14:paraId="5268BA8B" w14:textId="05E44CB8" w:rsidR="000C6115" w:rsidRPr="001424D3" w:rsidRDefault="000C6115" w:rsidP="009A028B">
      <w:pPr>
        <w:pStyle w:val="BodyText"/>
      </w:pPr>
      <w:r w:rsidRPr="001424D3">
        <w:t>The purpose of the bill is to encourage manufacturers, marketers, importers, and others working with food, and growers of agricultural produce and animal feed</w:t>
      </w:r>
      <w:r w:rsidR="00816783">
        <w:t>,</w:t>
      </w:r>
      <w:r w:rsidRPr="001424D3">
        <w:t xml:space="preserve"> to donate food, including surplus food, to </w:t>
      </w:r>
      <w:r w:rsidR="009A028B">
        <w:t xml:space="preserve">NPOs </w:t>
      </w:r>
      <w:r w:rsidRPr="001424D3">
        <w:t>that distribute food for free to the population experiencing food insecurity</w:t>
      </w:r>
      <w:r>
        <w:t>, by offering a tax credit</w:t>
      </w:r>
      <w:r w:rsidRPr="001424D3">
        <w:t>.</w:t>
      </w:r>
    </w:p>
    <w:p w14:paraId="16C9505F" w14:textId="77777777" w:rsidR="000C6115" w:rsidRPr="001424D3" w:rsidRDefault="000C6115" w:rsidP="000C6115">
      <w:pPr>
        <w:pStyle w:val="BodyText"/>
      </w:pPr>
      <w:r w:rsidRPr="001424D3">
        <w:t>Similar law</w:t>
      </w:r>
      <w:r>
        <w:t>s already</w:t>
      </w:r>
      <w:r w:rsidRPr="001424D3">
        <w:t xml:space="preserve"> exist in other countries</w:t>
      </w:r>
      <w:r>
        <w:t xml:space="preserve">, including </w:t>
      </w:r>
      <w:r w:rsidRPr="001424D3">
        <w:t>France, Italy, and the US. In France, a law granting tax credits equal to 60% of the value of the donation for food donations was passed in 1988. In the United States, a federal tax credit is granted for charitable donations, and a larger credit for food donations.</w:t>
      </w:r>
    </w:p>
    <w:p w14:paraId="441D193D" w14:textId="43B2AEA9" w:rsidR="000C6115" w:rsidRPr="001424D3" w:rsidRDefault="000C6115" w:rsidP="003B2D12">
      <w:pPr>
        <w:pStyle w:val="BodyText"/>
      </w:pPr>
      <w:r w:rsidRPr="001424D3">
        <w:t>In 2016, a similar law granting tax credits for food donations was enacted in Italy. The law defines the nature of food</w:t>
      </w:r>
      <w:r w:rsidR="003B2D12">
        <w:t xml:space="preserve"> waste</w:t>
      </w:r>
      <w:r w:rsidRPr="001424D3">
        <w:t xml:space="preserve"> and surplus food; sets the hierarchy for food</w:t>
      </w:r>
      <w:r w:rsidR="00D81B5D">
        <w:t xml:space="preserve"> </w:t>
      </w:r>
      <w:r w:rsidR="003B2D12">
        <w:t>recovery</w:t>
      </w:r>
      <w:r w:rsidRPr="001424D3">
        <w:t xml:space="preserve">; clarifies the types of foods that can be donated (such as incorrectly-labeled food, food products that have been confiscated by public authorities and are safe for human consumption, etc.); clarifies the situation of charitable </w:t>
      </w:r>
      <w:r w:rsidR="003B2D12">
        <w:t>NPO</w:t>
      </w:r>
      <w:r w:rsidR="003B2D12" w:rsidRPr="001424D3">
        <w:t xml:space="preserve">s </w:t>
      </w:r>
      <w:r w:rsidRPr="001424D3">
        <w:t xml:space="preserve">that distribute food regularly; </w:t>
      </w:r>
      <w:r w:rsidR="003B2D12">
        <w:t xml:space="preserve">and </w:t>
      </w:r>
      <w:r w:rsidRPr="001424D3">
        <w:t xml:space="preserve">simplifies and amends </w:t>
      </w:r>
      <w:r>
        <w:t xml:space="preserve">the </w:t>
      </w:r>
      <w:r w:rsidRPr="001424D3">
        <w:t>regulations regarding food donation.</w:t>
      </w:r>
    </w:p>
    <w:p w14:paraId="2B5E1300" w14:textId="77777777" w:rsidR="000C6115" w:rsidRPr="00347E53" w:rsidRDefault="000C6115" w:rsidP="000C6115">
      <w:pPr>
        <w:pStyle w:val="BodyText"/>
        <w:rPr>
          <w:b/>
          <w:bCs/>
        </w:rPr>
      </w:pPr>
      <w:r w:rsidRPr="00347E53">
        <w:rPr>
          <w:b/>
          <w:bCs/>
        </w:rPr>
        <w:t xml:space="preserve">Ministry of Welfare </w:t>
      </w:r>
    </w:p>
    <w:p w14:paraId="530BB8AC" w14:textId="77777777" w:rsidR="000C6115" w:rsidRPr="00347E53" w:rsidRDefault="000C6115" w:rsidP="000C6115">
      <w:pPr>
        <w:pStyle w:val="BodyText"/>
        <w:rPr>
          <w:b/>
          <w:bCs/>
        </w:rPr>
      </w:pPr>
      <w:r w:rsidRPr="00347E53">
        <w:rPr>
          <w:b/>
          <w:bCs/>
        </w:rPr>
        <w:t xml:space="preserve">The National Food Security Initiative </w:t>
      </w:r>
    </w:p>
    <w:p w14:paraId="03B877E1" w14:textId="7D71F8C5" w:rsidR="000C6115" w:rsidRPr="001424D3" w:rsidRDefault="003B2D12" w:rsidP="009A028B">
      <w:pPr>
        <w:pStyle w:val="BodyText"/>
      </w:pPr>
      <w:r>
        <w:t xml:space="preserve">A </w:t>
      </w:r>
      <w:r w:rsidR="000C6115" w:rsidRPr="001424D3">
        <w:t>project</w:t>
      </w:r>
      <w:r>
        <w:t xml:space="preserve"> of the </w:t>
      </w:r>
      <w:r w:rsidR="009A028B">
        <w:t>National Food Security Initiative</w:t>
      </w:r>
      <w:r w:rsidR="000C6115" w:rsidRPr="001424D3">
        <w:t xml:space="preserve">, </w:t>
      </w:r>
      <w:r w:rsidR="000C6115">
        <w:t xml:space="preserve">operated </w:t>
      </w:r>
      <w:r w:rsidR="000C6115" w:rsidRPr="001424D3">
        <w:t>in cooperation with Leket Israel and Eshel Jerusalem-Chabad, distribute</w:t>
      </w:r>
      <w:r w:rsidR="000C6115">
        <w:t>s</w:t>
      </w:r>
      <w:r w:rsidR="000C6115" w:rsidRPr="001424D3">
        <w:t xml:space="preserve"> reloadable cards worth NIS 500 to more than 10,800 families suffering from severe food insecurity. The pilot program was launched in February 2017 in 36 municipalities around the country, </w:t>
      </w:r>
      <w:r w:rsidR="009A028B">
        <w:t xml:space="preserve">with the cards </w:t>
      </w:r>
      <w:r w:rsidR="000C6115" w:rsidRPr="001424D3">
        <w:t>total</w:t>
      </w:r>
      <w:r w:rsidR="009A028B">
        <w:t>ing</w:t>
      </w:r>
      <w:r w:rsidR="000C6115" w:rsidRPr="001424D3">
        <w:t xml:space="preserve"> approximately NIS 60 million.</w:t>
      </w:r>
    </w:p>
    <w:p w14:paraId="41C6D1B3" w14:textId="0A9D2171" w:rsidR="000C6115" w:rsidRDefault="000C6115" w:rsidP="002256EC">
      <w:pPr>
        <w:pStyle w:val="BodyText"/>
      </w:pPr>
      <w:r w:rsidRPr="001424D3">
        <w:t xml:space="preserve">When a family is accepted </w:t>
      </w:r>
      <w:r w:rsidR="003B2D12">
        <w:t>in</w:t>
      </w:r>
      <w:r w:rsidRPr="001424D3">
        <w:t>to the program, the Ministry of Labor and Welfare issues a card loaded with NIS 500 each month</w:t>
      </w:r>
      <w:r w:rsidR="009A028B" w:rsidRPr="009A028B">
        <w:t xml:space="preserve"> </w:t>
      </w:r>
      <w:r w:rsidR="009A028B" w:rsidRPr="001424D3">
        <w:t>via Eshel Jerusalem-Chabad</w:t>
      </w:r>
      <w:r w:rsidRPr="001424D3">
        <w:t>. The card can be used for purchasing food products worth NIS 250 (not including tobacco and alcohol) in select supermarkets and local stores, and the purchase of vegetables, fruit and dry foods from food rescue (delivered to the families’ homes) worth an additional NIS 250 NIS (NIS 180 for fruit and vegetables and NIS 70 for dry foods).</w:t>
      </w:r>
    </w:p>
    <w:p w14:paraId="3672E33F" w14:textId="345EA591" w:rsidR="000C6115" w:rsidRDefault="000C6115" w:rsidP="003B2D12">
      <w:pPr>
        <w:pStyle w:val="BodyText"/>
      </w:pPr>
      <w:r w:rsidRPr="001424D3">
        <w:t>A growing, international awareness about the issue of food waste</w:t>
      </w:r>
      <w:r>
        <w:t xml:space="preserve"> is apparent</w:t>
      </w:r>
      <w:r w:rsidRPr="001424D3">
        <w:t xml:space="preserve">. This year we expect that additional governments, non-governmental organizations and corporations will adopt policy measures to reduce the phenomenon of food </w:t>
      </w:r>
      <w:r w:rsidR="003B2D12">
        <w:t>waste</w:t>
      </w:r>
      <w:r w:rsidR="003B2D12" w:rsidRPr="001424D3">
        <w:t xml:space="preserve"> </w:t>
      </w:r>
      <w:r w:rsidRPr="001424D3">
        <w:t>worldwide. In addition, the availability of innovative technologies will be utilized for this global effort.</w:t>
      </w:r>
    </w:p>
    <w:p w14:paraId="7084BC67" w14:textId="77777777" w:rsidR="000C6115" w:rsidRDefault="000C6115" w:rsidP="000C6115">
      <w:pPr>
        <w:pStyle w:val="BodyText"/>
        <w:jc w:val="left"/>
        <w:rPr>
          <w:b/>
          <w:bCs/>
        </w:rPr>
      </w:pPr>
      <w:r>
        <w:rPr>
          <w:b/>
          <w:bCs/>
        </w:rPr>
        <w:t>Latet</w:t>
      </w:r>
    </w:p>
    <w:p w14:paraId="2F3CB76D" w14:textId="09B62CDD" w:rsidR="000C6115" w:rsidRPr="00E37608" w:rsidRDefault="000C6115" w:rsidP="000C6115">
      <w:pPr>
        <w:pStyle w:val="BodyText"/>
      </w:pPr>
      <w:r>
        <w:t xml:space="preserve">The NPO Latet also operates in the field of food rescue, primarily in the industrial sector, in cooperation with the </w:t>
      </w:r>
      <w:r w:rsidRPr="00E37608">
        <w:t xml:space="preserve">Association of Food Industries of the </w:t>
      </w:r>
      <w:r>
        <w:t xml:space="preserve">Manufacturers Association of Israel. In 2016, it began a food rescue pilot with the Shufersal supermarket chain. </w:t>
      </w:r>
    </w:p>
    <w:p w14:paraId="47559BC0" w14:textId="77777777" w:rsidR="000C6115" w:rsidRPr="00E37608" w:rsidRDefault="000C6115" w:rsidP="000C6115">
      <w:pPr>
        <w:pStyle w:val="BodyText"/>
        <w:rPr>
          <w:b/>
          <w:bCs/>
        </w:rPr>
      </w:pPr>
      <w:r w:rsidRPr="00E37608">
        <w:rPr>
          <w:b/>
          <w:bCs/>
        </w:rPr>
        <w:t>The Natural Step Israel (TNS)</w:t>
      </w:r>
    </w:p>
    <w:p w14:paraId="3A44F5B5" w14:textId="77777777" w:rsidR="000C6115" w:rsidRPr="00CE60DE" w:rsidRDefault="000C6115" w:rsidP="000C6115">
      <w:pPr>
        <w:pStyle w:val="BodyText"/>
        <w:rPr>
          <w:rFonts w:cs="David"/>
        </w:rPr>
      </w:pPr>
      <w:r w:rsidRPr="001424D3">
        <w:t xml:space="preserve">During 2017, TNS began educational activities, on an experimental basis, in the school system, preparing materials and lesson plans for the Ministry of Education on reducing food waste, and promoting a project for supermarkets to sell products close to their expiration date at reduced prices. </w:t>
      </w:r>
    </w:p>
    <w:p w14:paraId="140D3FCE" w14:textId="77777777" w:rsidR="007F634D" w:rsidRDefault="007F634D">
      <w:pPr>
        <w:rPr>
          <w:rFonts w:eastAsia="Calibri" w:cs="Times New Roman"/>
          <w:sz w:val="24"/>
          <w:szCs w:val="24"/>
        </w:rPr>
      </w:pPr>
      <w:r>
        <w:br w:type="page"/>
      </w:r>
    </w:p>
    <w:p w14:paraId="5B558B30" w14:textId="77777777" w:rsidR="00CD3DFC" w:rsidRPr="0061604E" w:rsidRDefault="00CD3DFC" w:rsidP="00914E99">
      <w:pPr>
        <w:pStyle w:val="Heading1"/>
      </w:pPr>
      <w:bookmarkStart w:id="14" w:name="_Toc505547261"/>
      <w:r w:rsidRPr="00914E99">
        <w:t>Obstacles</w:t>
      </w:r>
      <w:r w:rsidRPr="0061604E">
        <w:t xml:space="preserve"> and Policies to Encourage Food Rescue</w:t>
      </w:r>
      <w:bookmarkEnd w:id="14"/>
    </w:p>
    <w:p w14:paraId="7BC9A9F8" w14:textId="77777777" w:rsidR="00CD3DFC" w:rsidRDefault="00CD3DFC" w:rsidP="00DB1588">
      <w:pPr>
        <w:pStyle w:val="BodyText"/>
        <w:rPr>
          <w:b/>
          <w:bCs/>
        </w:rPr>
      </w:pPr>
      <w:r w:rsidRPr="00CD3DFC">
        <w:rPr>
          <w:u w:val="single"/>
        </w:rPr>
        <w:t xml:space="preserve">Bold </w:t>
      </w:r>
      <w:r w:rsidR="00F17FB4">
        <w:rPr>
          <w:u w:val="single"/>
        </w:rPr>
        <w:t xml:space="preserve">chapter </w:t>
      </w:r>
      <w:r w:rsidRPr="00CD3DFC">
        <w:rPr>
          <w:u w:val="single"/>
        </w:rPr>
        <w:t>head</w:t>
      </w:r>
      <w:r w:rsidRPr="00CD3DFC">
        <w:t>:</w:t>
      </w:r>
      <w:r w:rsidRPr="00CD3DFC">
        <w:rPr>
          <w:b/>
          <w:bCs/>
        </w:rPr>
        <w:t xml:space="preserve"> </w:t>
      </w:r>
      <w:r w:rsidR="00914E99">
        <w:rPr>
          <w:b/>
          <w:bCs/>
        </w:rPr>
        <w:t>Although</w:t>
      </w:r>
      <w:r>
        <w:rPr>
          <w:b/>
          <w:bCs/>
        </w:rPr>
        <w:t xml:space="preserve"> many countries ar</w:t>
      </w:r>
      <w:r w:rsidR="00DB1588">
        <w:rPr>
          <w:b/>
          <w:bCs/>
        </w:rPr>
        <w:t xml:space="preserve">ound </w:t>
      </w:r>
      <w:r>
        <w:rPr>
          <w:b/>
          <w:bCs/>
        </w:rPr>
        <w:t>the globe are making an effort to encourage food rescue, Israel has no policy on the matter</w:t>
      </w:r>
    </w:p>
    <w:p w14:paraId="028A80C4" w14:textId="3BF56407" w:rsidR="00582F5E" w:rsidRPr="00914E99" w:rsidRDefault="00587C14" w:rsidP="009A028B">
      <w:pPr>
        <w:pStyle w:val="BodyText"/>
      </w:pPr>
      <w:r>
        <w:t xml:space="preserve">A special report </w:t>
      </w:r>
      <w:r w:rsidRPr="00914E99">
        <w:t xml:space="preserve">of </w:t>
      </w:r>
      <w:r w:rsidR="00CD3DFC" w:rsidRPr="00914E99">
        <w:t xml:space="preserve">the State Comptroller in 2015 </w:t>
      </w:r>
      <w:r w:rsidR="00C0633F">
        <w:t>determined</w:t>
      </w:r>
      <w:r w:rsidRPr="00914E99">
        <w:t xml:space="preserve"> that </w:t>
      </w:r>
      <w:r w:rsidR="00582F5E" w:rsidRPr="00914E99">
        <w:t>the State of Israel needs to establish an overall policy regarding food rescue. Internationally, the issue is on the agenda</w:t>
      </w:r>
      <w:r w:rsidR="00C0633F">
        <w:t>,</w:t>
      </w:r>
      <w:r w:rsidR="00582F5E" w:rsidRPr="00914E99">
        <w:t xml:space="preserve"> and many countries have instituted substantive measures to reduce food waste at all points along the supply chain, and by consumers</w:t>
      </w:r>
      <w:r w:rsidR="009A028B">
        <w:t xml:space="preserve"> at the final stage of the supply chain</w:t>
      </w:r>
      <w:r w:rsidR="00582F5E" w:rsidRPr="00914E99">
        <w:t>. The steps taken in Isra</w:t>
      </w:r>
      <w:r w:rsidR="00C0633F">
        <w:t xml:space="preserve">el to date have </w:t>
      </w:r>
      <w:r w:rsidR="00D076EE">
        <w:t>proven</w:t>
      </w:r>
      <w:r w:rsidR="00C0633F">
        <w:t xml:space="preserve"> inadequate. A</w:t>
      </w:r>
      <w:r w:rsidR="00582F5E" w:rsidRPr="00914E99">
        <w:t xml:space="preserve"> comprehensive, budgeted inter-ministerial effort is necessary to create real change in the field.</w:t>
      </w:r>
    </w:p>
    <w:p w14:paraId="167A8173" w14:textId="0CA3CC08" w:rsidR="00CA7CF6" w:rsidRDefault="00582F5E" w:rsidP="009A028B">
      <w:pPr>
        <w:pStyle w:val="BodyText"/>
      </w:pPr>
      <w:r w:rsidRPr="00914E99">
        <w:t>The 2017 Nation</w:t>
      </w:r>
      <w:r w:rsidR="00C0633F">
        <w:t>al</w:t>
      </w:r>
      <w:r w:rsidRPr="00914E99">
        <w:t xml:space="preserve"> Report</w:t>
      </w:r>
      <w:r>
        <w:t xml:space="preserve"> of Food Waste and Rescue, similar to its predecessors, demonstrates the </w:t>
      </w:r>
      <w:r w:rsidR="009A028B">
        <w:t xml:space="preserve">significant </w:t>
      </w:r>
      <w:r>
        <w:t>economic benefit of food rescue, from economic, social and environmental perspectives.</w:t>
      </w:r>
    </w:p>
    <w:p w14:paraId="74C4CCA1" w14:textId="77777777" w:rsidR="00CA7CF6" w:rsidRPr="00CA7CF6" w:rsidRDefault="00CA7CF6" w:rsidP="00914E99">
      <w:pPr>
        <w:pStyle w:val="ListParagraph"/>
        <w:numPr>
          <w:ilvl w:val="0"/>
          <w:numId w:val="36"/>
        </w:numPr>
      </w:pPr>
      <w:r w:rsidRPr="00914E99">
        <w:rPr>
          <w:b/>
          <w:bCs/>
        </w:rPr>
        <w:t>Economic</w:t>
      </w:r>
      <w:r>
        <w:t>: This is a clear instance of market failure</w:t>
      </w:r>
      <w:r w:rsidR="00364555">
        <w:t>. At market prices, it is not worthwhile to rescue food</w:t>
      </w:r>
      <w:r w:rsidR="00D076EE">
        <w:t>.</w:t>
      </w:r>
      <w:r w:rsidR="00364555">
        <w:t xml:space="preserve"> </w:t>
      </w:r>
      <w:r w:rsidR="00D076EE">
        <w:t>H</w:t>
      </w:r>
      <w:r w:rsidR="00364555">
        <w:t>owever</w:t>
      </w:r>
      <w:r w:rsidR="00D076EE">
        <w:t>,</w:t>
      </w:r>
      <w:r w:rsidR="00364555">
        <w:t xml:space="preserve"> when the </w:t>
      </w:r>
      <w:r w:rsidRPr="00CA7CF6">
        <w:t>economic</w:t>
      </w:r>
      <w:r w:rsidR="00364555">
        <w:t xml:space="preserve"> price reflects the alternative </w:t>
      </w:r>
      <w:r w:rsidRPr="00CA7CF6">
        <w:t xml:space="preserve">value </w:t>
      </w:r>
      <w:r w:rsidR="00364555">
        <w:t>and nutritional benefits, food rescue is very worthwhile.</w:t>
      </w:r>
    </w:p>
    <w:p w14:paraId="3CEB21A4" w14:textId="77777777" w:rsidR="00CA7CF6" w:rsidRPr="00CA7CF6" w:rsidRDefault="00CA7CF6" w:rsidP="00C0633F">
      <w:pPr>
        <w:pStyle w:val="ListParagraph"/>
      </w:pPr>
      <w:r w:rsidRPr="00364555">
        <w:rPr>
          <w:b/>
          <w:bCs/>
        </w:rPr>
        <w:t>Social</w:t>
      </w:r>
      <w:r w:rsidR="00364555">
        <w:t>: Rescued food that is d</w:t>
      </w:r>
      <w:r w:rsidR="00C0633F">
        <w:t>onated to populations experiencing</w:t>
      </w:r>
      <w:r w:rsidR="00364555">
        <w:t xml:space="preserve"> food insecurity </w:t>
      </w:r>
      <w:r w:rsidRPr="00CA7CF6">
        <w:t>reduc</w:t>
      </w:r>
      <w:r w:rsidR="00364555">
        <w:t>e</w:t>
      </w:r>
      <w:r w:rsidR="00C0633F">
        <w:t>s</w:t>
      </w:r>
      <w:r w:rsidR="00364555">
        <w:t xml:space="preserve"> </w:t>
      </w:r>
      <w:r w:rsidRPr="00CA7CF6">
        <w:t xml:space="preserve">inequality </w:t>
      </w:r>
      <w:r w:rsidR="00364555">
        <w:t>and increase</w:t>
      </w:r>
      <w:r w:rsidR="00C0633F">
        <w:t>s</w:t>
      </w:r>
      <w:r w:rsidR="00364555">
        <w:t xml:space="preserve"> the food security of Israeli citizens.</w:t>
      </w:r>
    </w:p>
    <w:p w14:paraId="237672D0" w14:textId="77777777" w:rsidR="00CA7CF6" w:rsidRPr="00CA7CF6" w:rsidRDefault="00CA7CF6" w:rsidP="00C0633F">
      <w:pPr>
        <w:pStyle w:val="ListParagraph"/>
      </w:pPr>
      <w:r w:rsidRPr="00364555">
        <w:rPr>
          <w:b/>
          <w:bCs/>
        </w:rPr>
        <w:t>Environmental</w:t>
      </w:r>
      <w:r w:rsidR="00364555">
        <w:t xml:space="preserve">: This effort will save </w:t>
      </w:r>
      <w:r w:rsidR="00C0633F">
        <w:t xml:space="preserve">significant </w:t>
      </w:r>
      <w:r w:rsidR="00364555">
        <w:t xml:space="preserve">energy, water, land and chemical resources, as well as </w:t>
      </w:r>
      <w:r w:rsidRPr="00CA7CF6">
        <w:t>reducing</w:t>
      </w:r>
      <w:r w:rsidR="00364555">
        <w:t xml:space="preserve"> </w:t>
      </w:r>
      <w:r w:rsidRPr="00CA7CF6">
        <w:t xml:space="preserve">GHG emissions. </w:t>
      </w:r>
    </w:p>
    <w:p w14:paraId="121F4E10" w14:textId="77777777" w:rsidR="00582F5E" w:rsidRPr="00CA7CF6" w:rsidRDefault="00800794" w:rsidP="00800794">
      <w:pPr>
        <w:pStyle w:val="BodyText"/>
      </w:pPr>
      <w:r w:rsidRPr="00800794">
        <w:t xml:space="preserve">Recommendations for initial policy measures necessary to encourage </w:t>
      </w:r>
      <w:r w:rsidRPr="00800794">
        <w:rPr>
          <w:cs/>
        </w:rPr>
        <w:t>‎</w:t>
      </w:r>
      <w:r w:rsidRPr="00800794">
        <w:t xml:space="preserve">food rescue in </w:t>
      </w:r>
      <w:r w:rsidRPr="00800794">
        <w:rPr>
          <w:cs/>
        </w:rPr>
        <w:t>‎</w:t>
      </w:r>
      <w:r w:rsidRPr="00800794">
        <w:t xml:space="preserve">Israel: </w:t>
      </w:r>
      <w:r w:rsidRPr="00800794">
        <w:rPr>
          <w:cs/>
        </w:rPr>
        <w:t>‎</w:t>
      </w:r>
    </w:p>
    <w:p w14:paraId="56026DA4" w14:textId="281B189E" w:rsidR="00800794" w:rsidRDefault="00582F5E" w:rsidP="009A028B">
      <w:pPr>
        <w:pStyle w:val="BodyText"/>
        <w:numPr>
          <w:ilvl w:val="0"/>
          <w:numId w:val="24"/>
        </w:numPr>
        <w:spacing w:after="200" w:line="264" w:lineRule="auto"/>
      </w:pPr>
      <w:r w:rsidRPr="00E16DD3">
        <w:rPr>
          <w:b/>
          <w:bCs/>
        </w:rPr>
        <w:t>De</w:t>
      </w:r>
      <w:r w:rsidR="00800794">
        <w:rPr>
          <w:b/>
          <w:bCs/>
        </w:rPr>
        <w:t xml:space="preserve">velop </w:t>
      </w:r>
      <w:r w:rsidRPr="00E16DD3">
        <w:rPr>
          <w:b/>
          <w:bCs/>
        </w:rPr>
        <w:t xml:space="preserve">a </w:t>
      </w:r>
      <w:r w:rsidR="00AB3D3C">
        <w:rPr>
          <w:b/>
          <w:bCs/>
        </w:rPr>
        <w:t>N</w:t>
      </w:r>
      <w:r w:rsidR="00800794">
        <w:rPr>
          <w:b/>
          <w:bCs/>
        </w:rPr>
        <w:t xml:space="preserve">ational </w:t>
      </w:r>
      <w:r w:rsidR="00AB3D3C">
        <w:rPr>
          <w:b/>
          <w:bCs/>
        </w:rPr>
        <w:t>P</w:t>
      </w:r>
      <w:r w:rsidR="00800794">
        <w:rPr>
          <w:b/>
          <w:bCs/>
        </w:rPr>
        <w:t xml:space="preserve">lan for </w:t>
      </w:r>
      <w:r w:rsidR="00AB3D3C">
        <w:rPr>
          <w:b/>
          <w:bCs/>
        </w:rPr>
        <w:t>F</w:t>
      </w:r>
      <w:r w:rsidRPr="00E16DD3">
        <w:rPr>
          <w:b/>
          <w:bCs/>
        </w:rPr>
        <w:t xml:space="preserve">ood </w:t>
      </w:r>
      <w:r w:rsidR="00AB3D3C">
        <w:rPr>
          <w:b/>
          <w:bCs/>
        </w:rPr>
        <w:t>R</w:t>
      </w:r>
      <w:r w:rsidR="00800794">
        <w:rPr>
          <w:b/>
          <w:bCs/>
        </w:rPr>
        <w:t xml:space="preserve">escue </w:t>
      </w:r>
      <w:r w:rsidRPr="00792AA7">
        <w:t xml:space="preserve">– The </w:t>
      </w:r>
      <w:r w:rsidR="00800794">
        <w:t xml:space="preserve">plan should relate to </w:t>
      </w:r>
      <w:r w:rsidR="00D076EE">
        <w:t>all</w:t>
      </w:r>
      <w:r w:rsidR="00800794">
        <w:t xml:space="preserve"> necessary operational, budgetary, </w:t>
      </w:r>
      <w:r w:rsidR="003B2D12">
        <w:t xml:space="preserve">and </w:t>
      </w:r>
      <w:r w:rsidR="00800794">
        <w:t>regulatory</w:t>
      </w:r>
      <w:r w:rsidR="00800794" w:rsidRPr="00800794">
        <w:t xml:space="preserve"> </w:t>
      </w:r>
      <w:r w:rsidR="00800794">
        <w:t xml:space="preserve">conditions and incentives to gradually attain the national food rescue goal. The </w:t>
      </w:r>
      <w:r w:rsidR="00C0633F">
        <w:t xml:space="preserve">plan </w:t>
      </w:r>
      <w:r w:rsidR="0038509C">
        <w:t xml:space="preserve">should </w:t>
      </w:r>
      <w:r w:rsidR="00800794">
        <w:t>create a system of incentives and mechanisms t</w:t>
      </w:r>
      <w:r w:rsidR="00C0633F">
        <w:t xml:space="preserve">o </w:t>
      </w:r>
      <w:r w:rsidR="00800794">
        <w:t xml:space="preserve">encourage food donations and </w:t>
      </w:r>
      <w:r w:rsidR="009A028B">
        <w:t xml:space="preserve">the establishment </w:t>
      </w:r>
      <w:r w:rsidR="00C0633F">
        <w:t xml:space="preserve">of </w:t>
      </w:r>
      <w:r w:rsidR="00800794">
        <w:t xml:space="preserve">a national food rescue </w:t>
      </w:r>
      <w:r w:rsidR="00D076EE">
        <w:t>program</w:t>
      </w:r>
      <w:r w:rsidR="00800794">
        <w:t>.</w:t>
      </w:r>
    </w:p>
    <w:p w14:paraId="3634FE67" w14:textId="77777777" w:rsidR="00CD3DFC" w:rsidRDefault="00CD3DFC" w:rsidP="00800794">
      <w:pPr>
        <w:pStyle w:val="BodyText"/>
        <w:numPr>
          <w:ilvl w:val="0"/>
          <w:numId w:val="24"/>
        </w:numPr>
        <w:spacing w:after="200" w:line="264" w:lineRule="auto"/>
      </w:pPr>
      <w:r w:rsidRPr="00800794">
        <w:rPr>
          <w:b/>
          <w:bCs/>
        </w:rPr>
        <w:t>Finaliz</w:t>
      </w:r>
      <w:r w:rsidR="00587C14" w:rsidRPr="00800794">
        <w:rPr>
          <w:b/>
          <w:bCs/>
        </w:rPr>
        <w:t xml:space="preserve">e </w:t>
      </w:r>
      <w:r w:rsidRPr="00800794">
        <w:rPr>
          <w:b/>
          <w:bCs/>
        </w:rPr>
        <w:t>the Law to Encourage the Rescue of Food Surpluses</w:t>
      </w:r>
      <w:r>
        <w:t xml:space="preserve"> –</w:t>
      </w:r>
      <w:r w:rsidR="00587C14">
        <w:t xml:space="preserve"> </w:t>
      </w:r>
      <w:r>
        <w:rPr>
          <w:cs/>
        </w:rPr>
        <w:t>‎</w:t>
      </w:r>
      <w:r w:rsidR="00587C14">
        <w:t xml:space="preserve">Proposed </w:t>
      </w:r>
      <w:r>
        <w:t>legislation</w:t>
      </w:r>
      <w:r w:rsidR="00587C14">
        <w:t xml:space="preserve">, similar to </w:t>
      </w:r>
      <w:r w:rsidR="00D076EE">
        <w:t xml:space="preserve">the </w:t>
      </w:r>
      <w:r w:rsidR="00587C14">
        <w:t>Good Samaritan Law in the US,</w:t>
      </w:r>
      <w:r w:rsidR="004B64F6">
        <w:t xml:space="preserve"> </w:t>
      </w:r>
      <w:r>
        <w:t xml:space="preserve">passed its preliminary reading in the Knesset plenum and is now </w:t>
      </w:r>
      <w:r>
        <w:rPr>
          <w:cs/>
        </w:rPr>
        <w:t>‎</w:t>
      </w:r>
      <w:r>
        <w:t xml:space="preserve">waiting to be discussed in the Knesset Labor, Welfare and Health Committee in </w:t>
      </w:r>
      <w:r>
        <w:rPr>
          <w:cs/>
        </w:rPr>
        <w:t>‎</w:t>
      </w:r>
      <w:r>
        <w:t xml:space="preserve">order to complete the legislative process. </w:t>
      </w:r>
      <w:r>
        <w:rPr>
          <w:cs/>
        </w:rPr>
        <w:t>‎</w:t>
      </w:r>
    </w:p>
    <w:p w14:paraId="2A107662" w14:textId="7296F050" w:rsidR="0086700C" w:rsidRDefault="00CD3DFC" w:rsidP="0086700C">
      <w:pPr>
        <w:pStyle w:val="BodyText"/>
        <w:spacing w:after="200" w:line="264" w:lineRule="auto"/>
        <w:ind w:left="360"/>
      </w:pPr>
      <w:r>
        <w:t>The Law to Encourage the Rescue of Food Surpluses</w:t>
      </w:r>
      <w:r w:rsidR="0086700C">
        <w:t xml:space="preserve"> absolves</w:t>
      </w:r>
      <w:r>
        <w:t xml:space="preserve"> NPOs and food donors </w:t>
      </w:r>
      <w:r>
        <w:rPr>
          <w:cs/>
        </w:rPr>
        <w:t>‎</w:t>
      </w:r>
      <w:r>
        <w:t>from civil or criminal liability, as long as they comply</w:t>
      </w:r>
      <w:r w:rsidR="0086700C">
        <w:t xml:space="preserve"> with regulations and standards</w:t>
      </w:r>
      <w:r>
        <w:t xml:space="preserve">. Similar laws already exist in several countries, </w:t>
      </w:r>
      <w:r>
        <w:rPr>
          <w:cs/>
        </w:rPr>
        <w:t>‎</w:t>
      </w:r>
      <w:r>
        <w:t xml:space="preserve">following the example of the </w:t>
      </w:r>
      <w:r w:rsidR="0086700C" w:rsidRPr="008F3D9C">
        <w:t>Bill Emerson Good Samaritan Food Donation Act</w:t>
      </w:r>
      <w:r w:rsidR="0086700C">
        <w:t xml:space="preserve"> adopted by the US in 1996, which clears any person, corporation or government authority from civil and criminal liability for good faith donations of food that appears fit for consumption and meet</w:t>
      </w:r>
      <w:r w:rsidR="009A028B">
        <w:t>s</w:t>
      </w:r>
      <w:r w:rsidR="0086700C">
        <w:t xml:space="preserve"> legal standards for fitness and labelling. </w:t>
      </w:r>
    </w:p>
    <w:p w14:paraId="549A5395" w14:textId="41CBC2E0" w:rsidR="0086700C" w:rsidRPr="008F3D9C" w:rsidRDefault="0086700C" w:rsidP="009A028B">
      <w:pPr>
        <w:pStyle w:val="BodyText"/>
        <w:spacing w:after="200" w:line="264" w:lineRule="auto"/>
        <w:ind w:left="360"/>
      </w:pPr>
      <w:r>
        <w:t xml:space="preserve">Further, legislation granting tax benefits for food donations, such as an increased tax credit for donating food to food rescue </w:t>
      </w:r>
      <w:r w:rsidR="009A028B">
        <w:t>NPOs</w:t>
      </w:r>
      <w:r w:rsidR="00D076EE">
        <w:t>,</w:t>
      </w:r>
      <w:r w:rsidR="00C0633F">
        <w:t xml:space="preserve"> is needed</w:t>
      </w:r>
      <w:r>
        <w:t>. The tax credit is intended as an incentive for manufacturers, marketers, importers and growers of food to donate</w:t>
      </w:r>
      <w:r w:rsidR="00C0633F">
        <w:t xml:space="preserve"> surplus</w:t>
      </w:r>
      <w:r>
        <w:t xml:space="preserve"> food to populations experiencing food insecurity.</w:t>
      </w:r>
    </w:p>
    <w:p w14:paraId="3F856DFF" w14:textId="52F9D0DE" w:rsidR="0086700C" w:rsidRDefault="00CD3DFC" w:rsidP="009A028B">
      <w:pPr>
        <w:pStyle w:val="BodyText"/>
        <w:numPr>
          <w:ilvl w:val="0"/>
          <w:numId w:val="24"/>
        </w:numPr>
        <w:spacing w:after="200" w:line="264" w:lineRule="auto"/>
        <w:rPr>
          <w:rtl/>
          <w:cs/>
        </w:rPr>
      </w:pPr>
      <w:r w:rsidRPr="00DC7FA5">
        <w:rPr>
          <w:b/>
          <w:bCs/>
        </w:rPr>
        <w:t xml:space="preserve">Require </w:t>
      </w:r>
      <w:r w:rsidR="00AB3D3C">
        <w:rPr>
          <w:b/>
          <w:bCs/>
        </w:rPr>
        <w:t>F</w:t>
      </w:r>
      <w:r w:rsidRPr="00DC7FA5">
        <w:rPr>
          <w:b/>
          <w:bCs/>
        </w:rPr>
        <w:t xml:space="preserve">ood </w:t>
      </w:r>
      <w:r w:rsidR="00AB3D3C">
        <w:rPr>
          <w:b/>
          <w:bCs/>
        </w:rPr>
        <w:t>R</w:t>
      </w:r>
      <w:r w:rsidRPr="00DC7FA5">
        <w:rPr>
          <w:b/>
          <w:bCs/>
        </w:rPr>
        <w:t xml:space="preserve">escue of all </w:t>
      </w:r>
      <w:r w:rsidR="00AB3D3C">
        <w:rPr>
          <w:b/>
          <w:bCs/>
        </w:rPr>
        <w:t>G</w:t>
      </w:r>
      <w:r w:rsidRPr="00DC7FA5">
        <w:rPr>
          <w:b/>
          <w:bCs/>
        </w:rPr>
        <w:t xml:space="preserve">overnmental and </w:t>
      </w:r>
      <w:r w:rsidR="00AB3D3C">
        <w:rPr>
          <w:b/>
          <w:bCs/>
        </w:rPr>
        <w:t>G</w:t>
      </w:r>
      <w:r w:rsidRPr="00DC7FA5">
        <w:rPr>
          <w:b/>
          <w:bCs/>
        </w:rPr>
        <w:t xml:space="preserve">overnment-financed </w:t>
      </w:r>
      <w:r w:rsidR="00AB3D3C">
        <w:rPr>
          <w:b/>
          <w:bCs/>
        </w:rPr>
        <w:t>I</w:t>
      </w:r>
      <w:r w:rsidRPr="00DC7FA5">
        <w:rPr>
          <w:b/>
          <w:bCs/>
        </w:rPr>
        <w:t>nstitutions</w:t>
      </w:r>
      <w:r>
        <w:t xml:space="preserve"> </w:t>
      </w:r>
      <w:r w:rsidR="00C0633F">
        <w:t>–</w:t>
      </w:r>
      <w:r>
        <w:rPr>
          <w:cs/>
        </w:rPr>
        <w:t>‎</w:t>
      </w:r>
      <w:r w:rsidR="00C0633F">
        <w:t xml:space="preserve">Requiring </w:t>
      </w:r>
      <w:r>
        <w:t>state-funded bodies with kitchens catering to 1,000 or more patrons dail</w:t>
      </w:r>
      <w:r w:rsidR="00DC7FA5">
        <w:t>y (directl</w:t>
      </w:r>
      <w:r>
        <w:t>y</w:t>
      </w:r>
      <w:r w:rsidR="00DC7FA5">
        <w:t xml:space="preserve"> or through a subcontractor)</w:t>
      </w:r>
      <w:r>
        <w:t xml:space="preserve"> </w:t>
      </w:r>
      <w:r w:rsidR="00DC7FA5">
        <w:t xml:space="preserve">to contract </w:t>
      </w:r>
      <w:r>
        <w:t xml:space="preserve">with </w:t>
      </w:r>
      <w:r w:rsidR="009A028B">
        <w:t xml:space="preserve">approved </w:t>
      </w:r>
      <w:r>
        <w:t xml:space="preserve">food rescue NPOs as a condition for government </w:t>
      </w:r>
      <w:r>
        <w:rPr>
          <w:cs/>
        </w:rPr>
        <w:t>‎</w:t>
      </w:r>
      <w:r>
        <w:t xml:space="preserve">support (including defense agencies, school </w:t>
      </w:r>
      <w:r>
        <w:rPr>
          <w:cs/>
        </w:rPr>
        <w:t>‎</w:t>
      </w:r>
      <w:r>
        <w:t xml:space="preserve">catering programs, government companies, etc.). </w:t>
      </w:r>
      <w:r>
        <w:rPr>
          <w:cs/>
        </w:rPr>
        <w:t>‎</w:t>
      </w:r>
    </w:p>
    <w:p w14:paraId="7CD99491" w14:textId="22CE21A2" w:rsidR="00CD3DFC" w:rsidRDefault="00CD3DFC" w:rsidP="003B2D12">
      <w:pPr>
        <w:pStyle w:val="BodyText"/>
        <w:numPr>
          <w:ilvl w:val="0"/>
          <w:numId w:val="24"/>
        </w:numPr>
        <w:spacing w:after="200" w:line="264" w:lineRule="auto"/>
      </w:pPr>
      <w:r w:rsidRPr="00DC7FA5">
        <w:rPr>
          <w:b/>
          <w:bCs/>
        </w:rPr>
        <w:t xml:space="preserve">Require </w:t>
      </w:r>
      <w:r w:rsidR="00AB3D3C">
        <w:rPr>
          <w:b/>
          <w:bCs/>
        </w:rPr>
        <w:t>F</w:t>
      </w:r>
      <w:r w:rsidRPr="00DC7FA5">
        <w:rPr>
          <w:b/>
          <w:bCs/>
        </w:rPr>
        <w:t xml:space="preserve">ood </w:t>
      </w:r>
      <w:r w:rsidR="00AB3D3C">
        <w:rPr>
          <w:b/>
          <w:bCs/>
        </w:rPr>
        <w:t>R</w:t>
      </w:r>
      <w:r w:rsidRPr="00DC7FA5">
        <w:rPr>
          <w:b/>
          <w:bCs/>
        </w:rPr>
        <w:t xml:space="preserve">escue as a </w:t>
      </w:r>
      <w:r w:rsidR="00AB3D3C">
        <w:rPr>
          <w:b/>
          <w:bCs/>
        </w:rPr>
        <w:t>C</w:t>
      </w:r>
      <w:r w:rsidRPr="00DC7FA5">
        <w:rPr>
          <w:b/>
          <w:bCs/>
        </w:rPr>
        <w:t xml:space="preserve">ondition for </w:t>
      </w:r>
      <w:r w:rsidR="00AB3D3C">
        <w:rPr>
          <w:b/>
          <w:bCs/>
        </w:rPr>
        <w:t>P</w:t>
      </w:r>
      <w:r w:rsidRPr="00DC7FA5">
        <w:rPr>
          <w:b/>
          <w:bCs/>
        </w:rPr>
        <w:t xml:space="preserve">rivate </w:t>
      </w:r>
      <w:r w:rsidR="00AB3D3C">
        <w:rPr>
          <w:b/>
          <w:bCs/>
        </w:rPr>
        <w:t>B</w:t>
      </w:r>
      <w:r w:rsidRPr="00DC7FA5">
        <w:rPr>
          <w:b/>
          <w:bCs/>
        </w:rPr>
        <w:t xml:space="preserve">usinesses to </w:t>
      </w:r>
      <w:r w:rsidR="00AB3D3C">
        <w:rPr>
          <w:b/>
          <w:bCs/>
        </w:rPr>
        <w:t>P</w:t>
      </w:r>
      <w:r w:rsidRPr="00DC7FA5">
        <w:rPr>
          <w:b/>
          <w:bCs/>
        </w:rPr>
        <w:t xml:space="preserve">articipate in </w:t>
      </w:r>
      <w:r w:rsidRPr="00DC7FA5">
        <w:rPr>
          <w:b/>
          <w:bCs/>
          <w:cs/>
        </w:rPr>
        <w:t>‎</w:t>
      </w:r>
      <w:r w:rsidR="00AB3D3C">
        <w:rPr>
          <w:b/>
          <w:bCs/>
        </w:rPr>
        <w:t>G</w:t>
      </w:r>
      <w:r w:rsidRPr="00DC7FA5">
        <w:rPr>
          <w:b/>
          <w:bCs/>
        </w:rPr>
        <w:t xml:space="preserve">overnment </w:t>
      </w:r>
      <w:r w:rsidR="00AB3D3C">
        <w:rPr>
          <w:b/>
          <w:bCs/>
        </w:rPr>
        <w:t>T</w:t>
      </w:r>
      <w:r w:rsidRPr="00DC7FA5">
        <w:rPr>
          <w:b/>
          <w:bCs/>
        </w:rPr>
        <w:t>enders</w:t>
      </w:r>
      <w:r>
        <w:t xml:space="preserve"> – </w:t>
      </w:r>
      <w:r w:rsidR="00C0633F">
        <w:t>R</w:t>
      </w:r>
      <w:r>
        <w:t xml:space="preserve">equiring private organizations that participate in </w:t>
      </w:r>
      <w:r>
        <w:rPr>
          <w:cs/>
        </w:rPr>
        <w:t>‎</w:t>
      </w:r>
      <w:r>
        <w:t xml:space="preserve">government tenders supplying services to the </w:t>
      </w:r>
      <w:r w:rsidR="00AB3D3C">
        <w:t>S</w:t>
      </w:r>
      <w:r>
        <w:t>tate (not necessarily food</w:t>
      </w:r>
      <w:r w:rsidR="00391554">
        <w:t>-</w:t>
      </w:r>
      <w:r>
        <w:t xml:space="preserve">related), </w:t>
      </w:r>
      <w:r>
        <w:rPr>
          <w:cs/>
        </w:rPr>
        <w:t>‎</w:t>
      </w:r>
      <w:r w:rsidR="00391554">
        <w:t>who</w:t>
      </w:r>
      <w:r>
        <w:t xml:space="preserve"> have sources of rescuable food, to collaborate with registered </w:t>
      </w:r>
      <w:r>
        <w:rPr>
          <w:cs/>
        </w:rPr>
        <w:t>‎</w:t>
      </w:r>
      <w:r>
        <w:t xml:space="preserve">food rescue NPOs as a threshold condition for contracting with the </w:t>
      </w:r>
      <w:r w:rsidR="00AB3D3C">
        <w:t>S</w:t>
      </w:r>
      <w:r w:rsidR="00DC7FA5">
        <w:t>tate</w:t>
      </w:r>
      <w:r>
        <w:t xml:space="preserve">. This </w:t>
      </w:r>
      <w:r w:rsidR="00DB1588">
        <w:t xml:space="preserve">would oblige </w:t>
      </w:r>
      <w:r>
        <w:t xml:space="preserve">businesses that provide services to the </w:t>
      </w:r>
      <w:r w:rsidR="00AB3D3C">
        <w:t>S</w:t>
      </w:r>
      <w:r>
        <w:t>tate</w:t>
      </w:r>
      <w:r w:rsidR="00D076EE">
        <w:t>—</w:t>
      </w:r>
      <w:r w:rsidR="00391554">
        <w:t xml:space="preserve">meaning they are </w:t>
      </w:r>
      <w:r>
        <w:t xml:space="preserve">indirectly </w:t>
      </w:r>
      <w:r>
        <w:rPr>
          <w:cs/>
        </w:rPr>
        <w:t>‎</w:t>
      </w:r>
      <w:r>
        <w:t>funded by taxpayers</w:t>
      </w:r>
      <w:r w:rsidR="00D076EE">
        <w:t>—</w:t>
      </w:r>
      <w:r>
        <w:t>to return otherwise wasted food to the public</w:t>
      </w:r>
      <w:r w:rsidR="00391554" w:rsidRPr="00391554">
        <w:t xml:space="preserve"> </w:t>
      </w:r>
      <w:r w:rsidR="00391554">
        <w:t xml:space="preserve">that </w:t>
      </w:r>
      <w:r w:rsidR="00391554">
        <w:rPr>
          <w:cs/>
        </w:rPr>
        <w:t>‎</w:t>
      </w:r>
      <w:r w:rsidR="00391554">
        <w:t>funded it</w:t>
      </w:r>
      <w:r>
        <w:t xml:space="preserve">. This legislation is similar to the section on food-related tenders </w:t>
      </w:r>
      <w:r>
        <w:rPr>
          <w:cs/>
        </w:rPr>
        <w:t>‎</w:t>
      </w:r>
      <w:r>
        <w:t xml:space="preserve">in the US Federal Food Donation Act of 2008. </w:t>
      </w:r>
      <w:r>
        <w:rPr>
          <w:cs/>
        </w:rPr>
        <w:t>‎</w:t>
      </w:r>
    </w:p>
    <w:p w14:paraId="42258313" w14:textId="241A8636" w:rsidR="00DC7FA5" w:rsidRDefault="00DC7FA5" w:rsidP="00DC7FA5">
      <w:pPr>
        <w:pStyle w:val="BodyText"/>
        <w:numPr>
          <w:ilvl w:val="0"/>
          <w:numId w:val="24"/>
        </w:numPr>
        <w:spacing w:after="200" w:line="264" w:lineRule="auto"/>
      </w:pPr>
      <w:r>
        <w:rPr>
          <w:b/>
          <w:bCs/>
        </w:rPr>
        <w:t>Set a</w:t>
      </w:r>
      <w:r w:rsidR="00CD3DFC" w:rsidRPr="00DC7FA5">
        <w:rPr>
          <w:b/>
          <w:bCs/>
        </w:rPr>
        <w:t xml:space="preserve"> </w:t>
      </w:r>
      <w:r w:rsidR="00AB3D3C">
        <w:rPr>
          <w:b/>
          <w:bCs/>
        </w:rPr>
        <w:t>N</w:t>
      </w:r>
      <w:r w:rsidR="00CD3DFC" w:rsidRPr="00DC7FA5">
        <w:rPr>
          <w:b/>
          <w:bCs/>
        </w:rPr>
        <w:t xml:space="preserve">ational </w:t>
      </w:r>
      <w:r w:rsidR="00AB3D3C">
        <w:rPr>
          <w:b/>
          <w:bCs/>
        </w:rPr>
        <w:t>F</w:t>
      </w:r>
      <w:r w:rsidR="00CD3DFC" w:rsidRPr="00DC7FA5">
        <w:rPr>
          <w:b/>
          <w:bCs/>
        </w:rPr>
        <w:t xml:space="preserve">ood </w:t>
      </w:r>
      <w:r w:rsidR="00AB3D3C">
        <w:rPr>
          <w:b/>
          <w:bCs/>
        </w:rPr>
        <w:t>R</w:t>
      </w:r>
      <w:r w:rsidR="00CD3DFC" w:rsidRPr="00DC7FA5">
        <w:rPr>
          <w:b/>
          <w:bCs/>
        </w:rPr>
        <w:t xml:space="preserve">escue </w:t>
      </w:r>
      <w:r w:rsidR="00AB3D3C">
        <w:rPr>
          <w:b/>
          <w:bCs/>
        </w:rPr>
        <w:t>G</w:t>
      </w:r>
      <w:r w:rsidR="00CD3DFC" w:rsidRPr="00DC7FA5">
        <w:rPr>
          <w:b/>
          <w:bCs/>
        </w:rPr>
        <w:t>oal</w:t>
      </w:r>
      <w:r w:rsidR="00CD3DFC">
        <w:t xml:space="preserve"> </w:t>
      </w:r>
      <w:r>
        <w:t xml:space="preserve">– </w:t>
      </w:r>
      <w:r w:rsidR="00391554">
        <w:t xml:space="preserve">Aiming </w:t>
      </w:r>
      <w:r w:rsidR="00CD3DFC">
        <w:t xml:space="preserve">to reduce food waste by 50% by the year </w:t>
      </w:r>
      <w:r w:rsidR="00CD3DFC">
        <w:rPr>
          <w:cs/>
        </w:rPr>
        <w:t>‎‎</w:t>
      </w:r>
      <w:r w:rsidR="00CD3DFC">
        <w:t xml:space="preserve">2030, as specified by the UN. </w:t>
      </w:r>
    </w:p>
    <w:p w14:paraId="3422483E" w14:textId="1DA6FC16" w:rsidR="00CD3DFC" w:rsidRDefault="00CD3DFC" w:rsidP="003B2D12">
      <w:pPr>
        <w:pStyle w:val="BodyText"/>
        <w:spacing w:after="200" w:line="264" w:lineRule="auto"/>
        <w:ind w:left="360"/>
      </w:pPr>
      <w:r>
        <w:rPr>
          <w:cs/>
        </w:rPr>
        <w:t>‎</w:t>
      </w:r>
      <w:r>
        <w:t xml:space="preserve">Setting a national goal will place the issue on the national agenda </w:t>
      </w:r>
      <w:r w:rsidR="003B2D12">
        <w:t xml:space="preserve">and </w:t>
      </w:r>
      <w:r>
        <w:t xml:space="preserve">more </w:t>
      </w:r>
      <w:r>
        <w:rPr>
          <w:cs/>
        </w:rPr>
        <w:t>‎</w:t>
      </w:r>
      <w:r>
        <w:t>importantly</w:t>
      </w:r>
      <w:r w:rsidR="00DB1588">
        <w:t xml:space="preserve"> will </w:t>
      </w:r>
      <w:r>
        <w:t xml:space="preserve">create governmental commitment to act towards the realization of this </w:t>
      </w:r>
      <w:r>
        <w:rPr>
          <w:cs/>
        </w:rPr>
        <w:t>‎</w:t>
      </w:r>
      <w:r>
        <w:t xml:space="preserve">objective. In addition to setting a goal, it is necessary to establish measurement and </w:t>
      </w:r>
      <w:r>
        <w:rPr>
          <w:cs/>
        </w:rPr>
        <w:t>‎</w:t>
      </w:r>
      <w:r>
        <w:t>monitoring tools to facilitate o</w:t>
      </w:r>
      <w:r w:rsidR="00DC7FA5">
        <w:t>ngoing</w:t>
      </w:r>
      <w:r>
        <w:t xml:space="preserve"> review of compliance with the goal.</w:t>
      </w:r>
      <w:r>
        <w:rPr>
          <w:cs/>
        </w:rPr>
        <w:t>‎</w:t>
      </w:r>
    </w:p>
    <w:p w14:paraId="223A5249" w14:textId="77777777" w:rsidR="006863CE" w:rsidRPr="006863CE" w:rsidRDefault="006863CE" w:rsidP="006863CE"/>
    <w:sectPr w:rsidR="006863CE" w:rsidRPr="006863CE" w:rsidSect="002F1E63">
      <w:type w:val="continuous"/>
      <w:pgSz w:w="11907" w:h="16839" w:code="9"/>
      <w:pgMar w:top="1702"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Shoshana Michael-Zucker" w:date="2018-02-07T19:35:00Z" w:initials="SMZ">
    <w:p w14:paraId="073366B5" w14:textId="77777777" w:rsidR="00942FD1" w:rsidRDefault="00942FD1" w:rsidP="00F06929">
      <w:pPr>
        <w:pStyle w:val="CommentText"/>
      </w:pPr>
      <w:r>
        <w:rPr>
          <w:rStyle w:val="CommentReference"/>
        </w:rPr>
        <w:annotationRef/>
      </w:r>
      <w:r>
        <w:rPr>
          <w:rStyle w:val="CommentReference"/>
        </w:rPr>
        <w:t xml:space="preserve">Titles for graphs I couldn’t open graph to edit are included in the text. </w:t>
      </w:r>
    </w:p>
  </w:comment>
  <w:comment w:id="10" w:author="Shoshana Michael-Zucker" w:date="2018-02-07T19:35:00Z" w:initials="SMZ">
    <w:p w14:paraId="37EE121B" w14:textId="77777777" w:rsidR="00942FD1" w:rsidRDefault="00942FD1" w:rsidP="00E4342E">
      <w:pPr>
        <w:pStyle w:val="CommentText"/>
      </w:pPr>
      <w:r>
        <w:rPr>
          <w:rStyle w:val="CommentReference"/>
        </w:rPr>
        <w:annotationRef/>
      </w:r>
      <w:r>
        <w:rPr>
          <w:rStyle w:val="CommentReference"/>
        </w:rPr>
        <w:t xml:space="preserve">Can’t open graph to edit. Titles here.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3366B5" w15:done="0"/>
  <w15:commentEx w15:paraId="37EE12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E9641E" w16cid:durableId="1E26CF9C"/>
  <w16cid:commentId w16cid:paraId="1C444234" w16cid:durableId="1E26DEBD"/>
  <w16cid:commentId w16cid:paraId="5194CC85" w16cid:durableId="1E26D03C"/>
  <w16cid:commentId w16cid:paraId="0E1D9717" w16cid:durableId="1E26CFA0"/>
  <w16cid:commentId w16cid:paraId="69E8BF1C" w16cid:durableId="1E26D110"/>
  <w16cid:commentId w16cid:paraId="6D773562" w16cid:durableId="1E26CFA1"/>
  <w16cid:commentId w16cid:paraId="49356BD1" w16cid:durableId="1E26D12F"/>
  <w16cid:commentId w16cid:paraId="392AAB56" w16cid:durableId="1E26D13C"/>
  <w16cid:commentId w16cid:paraId="073366B5" w16cid:durableId="1E242362"/>
  <w16cid:commentId w16cid:paraId="111A2F12" w16cid:durableId="1E26CFA5"/>
  <w16cid:commentId w16cid:paraId="2BDDC207" w16cid:durableId="1E26CFA6"/>
  <w16cid:commentId w16cid:paraId="1E210466" w16cid:durableId="1E26D1A2"/>
  <w16cid:commentId w16cid:paraId="19081E4D" w16cid:durableId="1E26CFA7"/>
  <w16cid:commentId w16cid:paraId="44166010" w16cid:durableId="1E26D1C3"/>
  <w16cid:commentId w16cid:paraId="4D71BA3E" w16cid:durableId="1E26CFA8"/>
  <w16cid:commentId w16cid:paraId="7553E26A" w16cid:durableId="1E26D1FF"/>
  <w16cid:commentId w16cid:paraId="325B0D40" w16cid:durableId="1E26CFA9"/>
  <w16cid:commentId w16cid:paraId="0289579B" w16cid:durableId="1E26DF96"/>
  <w16cid:commentId w16cid:paraId="5A363458" w16cid:durableId="1E26CFAA"/>
  <w16cid:commentId w16cid:paraId="5EFB4BAE" w16cid:durableId="1E26DF90"/>
  <w16cid:commentId w16cid:paraId="478B608A" w16cid:durableId="1E26CFAC"/>
  <w16cid:commentId w16cid:paraId="3D25DB1F" w16cid:durableId="1E26CFAD"/>
  <w16cid:commentId w16cid:paraId="78DCE940" w16cid:durableId="1E26CFAE"/>
  <w16cid:commentId w16cid:paraId="6CE272F3" w16cid:durableId="1E26CFAF"/>
  <w16cid:commentId w16cid:paraId="17C46C5F" w16cid:durableId="1E242363"/>
  <w16cid:commentId w16cid:paraId="372FD47B" w16cid:durableId="1E26CFB1"/>
  <w16cid:commentId w16cid:paraId="62D6B267" w16cid:durableId="1E26D2FA"/>
  <w16cid:commentId w16cid:paraId="6EE21141" w16cid:durableId="1E26CFB2"/>
  <w16cid:commentId w16cid:paraId="303FC4C4" w16cid:durableId="1E26D32B"/>
  <w16cid:commentId w16cid:paraId="4D8F0B32" w16cid:durableId="1E26CFB3"/>
  <w16cid:commentId w16cid:paraId="16BFCC1E" w16cid:durableId="1E26D414"/>
  <w16cid:commentId w16cid:paraId="1AEE73A6" w16cid:durableId="1E26CFB4"/>
  <w16cid:commentId w16cid:paraId="31BA888A" w16cid:durableId="1E26D440"/>
  <w16cid:commentId w16cid:paraId="657E4370" w16cid:durableId="1E242D4C"/>
  <w16cid:commentId w16cid:paraId="37EE121B" w16cid:durableId="1E242364"/>
  <w16cid:commentId w16cid:paraId="4AA6C044" w16cid:durableId="1E26CFBA"/>
  <w16cid:commentId w16cid:paraId="6223C60A" w16cid:durableId="1E26D54E"/>
</w16cid:commentsIds>
</file>

<file path=word/customizations.xml><?xml version="1.0" encoding="utf-8"?>
<wne:tcg xmlns:r="http://schemas.openxmlformats.org/officeDocument/2006/relationships" xmlns:wne="http://schemas.microsoft.com/office/word/2006/wordml">
  <wne:keymaps>
    <wne:keymap wne:kcmPrimary="0264">
      <wne:acd wne:acdName="acd0"/>
    </wne:keymap>
  </wne:keymaps>
  <wne:toolbars>
    <wne:acdManifest>
      <wne:acdEntry wne:acdName="acd0"/>
    </wne:acdManifest>
  </wne:toolbars>
  <wne:acds>
    <wne:acd wne:argValue="AgBHAHIAYQBwAGgAIAB0AGkAdABsAGUA" wne:acdName="acd0"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F433E" w14:textId="77777777" w:rsidR="00802A79" w:rsidRDefault="00802A79" w:rsidP="00B056B5">
      <w:pPr>
        <w:spacing w:after="0" w:line="240" w:lineRule="auto"/>
      </w:pPr>
      <w:r>
        <w:separator/>
      </w:r>
    </w:p>
  </w:endnote>
  <w:endnote w:type="continuationSeparator" w:id="0">
    <w:p w14:paraId="02AB885F" w14:textId="77777777" w:rsidR="00802A79" w:rsidRDefault="00802A79" w:rsidP="00B0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FbSpoiler-Light">
    <w:altName w:val="Times New Roman"/>
    <w:panose1 w:val="00000000000000000000"/>
    <w:charset w:val="B1"/>
    <w:family w:val="auto"/>
    <w:notTrueType/>
    <w:pitch w:val="default"/>
    <w:sig w:usb0="00000800" w:usb1="0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985996"/>
      <w:docPartObj>
        <w:docPartGallery w:val="Page Numbers (Bottom of Page)"/>
        <w:docPartUnique/>
      </w:docPartObj>
    </w:sdtPr>
    <w:sdtEndPr>
      <w:rPr>
        <w:noProof/>
      </w:rPr>
    </w:sdtEndPr>
    <w:sdtContent>
      <w:p w14:paraId="139AC65E" w14:textId="402CB237" w:rsidR="00942FD1" w:rsidRDefault="00942FD1" w:rsidP="00C9608D">
        <w:pPr>
          <w:pStyle w:val="Footer"/>
          <w:spacing w:before="120"/>
          <w:jc w:val="center"/>
        </w:pPr>
        <w:r>
          <w:t>Draft for discussion only</w:t>
        </w:r>
        <w:r>
          <w:br/>
        </w:r>
        <w:r>
          <w:fldChar w:fldCharType="begin"/>
        </w:r>
        <w:r>
          <w:instrText xml:space="preserve"> PAGE   \* MERGEFORMAT </w:instrText>
        </w:r>
        <w:r>
          <w:fldChar w:fldCharType="separate"/>
        </w:r>
        <w:r w:rsidR="000829EA">
          <w:rPr>
            <w:noProof/>
          </w:rPr>
          <w:t>7</w:t>
        </w:r>
        <w:r>
          <w:rPr>
            <w:noProof/>
          </w:rPr>
          <w:fldChar w:fldCharType="end"/>
        </w:r>
      </w:p>
    </w:sdtContent>
  </w:sdt>
  <w:p w14:paraId="33B8C809" w14:textId="77777777" w:rsidR="00942FD1" w:rsidRDefault="00942FD1" w:rsidP="001C2DAD">
    <w:pPr>
      <w:pStyle w:val="Footer"/>
      <w:tabs>
        <w:tab w:val="clear" w:pos="4680"/>
        <w:tab w:val="clear" w:pos="9360"/>
        <w:tab w:val="left" w:pos="3185"/>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84518"/>
      <w:docPartObj>
        <w:docPartGallery w:val="Page Numbers (Bottom of Page)"/>
        <w:docPartUnique/>
      </w:docPartObj>
    </w:sdtPr>
    <w:sdtEndPr>
      <w:rPr>
        <w:noProof/>
      </w:rPr>
    </w:sdtEndPr>
    <w:sdtContent>
      <w:p w14:paraId="480A6F8E" w14:textId="5259A3C7" w:rsidR="00942FD1" w:rsidRDefault="00942FD1">
        <w:pPr>
          <w:pStyle w:val="Footer"/>
          <w:jc w:val="center"/>
        </w:pPr>
        <w:r>
          <w:fldChar w:fldCharType="begin"/>
        </w:r>
        <w:r>
          <w:instrText xml:space="preserve"> PAGE   \* MERGEFORMAT </w:instrText>
        </w:r>
        <w:r>
          <w:fldChar w:fldCharType="separate"/>
        </w:r>
        <w:r w:rsidR="000829EA">
          <w:rPr>
            <w:noProof/>
          </w:rPr>
          <w:t>1</w:t>
        </w:r>
        <w:r>
          <w:rPr>
            <w:noProof/>
          </w:rPr>
          <w:fldChar w:fldCharType="end"/>
        </w:r>
      </w:p>
    </w:sdtContent>
  </w:sdt>
  <w:p w14:paraId="53666E21" w14:textId="77777777" w:rsidR="00942FD1" w:rsidRDefault="00942F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47E9A" w14:textId="77777777" w:rsidR="00802A79" w:rsidRDefault="00802A79" w:rsidP="00B056B5">
      <w:pPr>
        <w:spacing w:after="0" w:line="240" w:lineRule="auto"/>
      </w:pPr>
      <w:r>
        <w:separator/>
      </w:r>
    </w:p>
  </w:footnote>
  <w:footnote w:type="continuationSeparator" w:id="0">
    <w:p w14:paraId="5C7ECE31" w14:textId="77777777" w:rsidR="00802A79" w:rsidRDefault="00802A79" w:rsidP="00B056B5">
      <w:pPr>
        <w:spacing w:after="0" w:line="240" w:lineRule="auto"/>
      </w:pPr>
      <w:r>
        <w:continuationSeparator/>
      </w:r>
    </w:p>
  </w:footnote>
  <w:footnote w:id="1">
    <w:p w14:paraId="47E709B2" w14:textId="77777777" w:rsidR="00942FD1" w:rsidRDefault="00942FD1" w:rsidP="00B06200">
      <w:pPr>
        <w:pStyle w:val="FootnoteText"/>
      </w:pPr>
      <w:r>
        <w:rPr>
          <w:rStyle w:val="FootnoteReference"/>
        </w:rPr>
        <w:footnoteRef/>
      </w:r>
      <w:r>
        <w:t xml:space="preserve"> The value chain model does not include beverages, energy boosters, sugar, honey and candy.</w:t>
      </w:r>
    </w:p>
  </w:footnote>
  <w:footnote w:id="2">
    <w:p w14:paraId="056BDE2A" w14:textId="77777777" w:rsidR="00942FD1" w:rsidRPr="00BA55C4" w:rsidRDefault="00942FD1" w:rsidP="00B06200">
      <w:pPr>
        <w:pStyle w:val="FootnoteText"/>
        <w:rPr>
          <w:rtl/>
        </w:rPr>
      </w:pPr>
      <w:r w:rsidRPr="00E123B8">
        <w:rPr>
          <w:rStyle w:val="FootnoteReference"/>
          <w:rFonts w:cstheme="majorBidi"/>
          <w:sz w:val="16"/>
          <w:szCs w:val="16"/>
        </w:rPr>
        <w:footnoteRef/>
      </w:r>
      <w:r w:rsidRPr="00E123B8">
        <w:rPr>
          <w:rtl/>
        </w:rPr>
        <w:t xml:space="preserve"> </w:t>
      </w:r>
      <w:r w:rsidRPr="00E123B8">
        <w:t xml:space="preserve">We are aware such estimates may include deviations or inaccuracies that are inevitable </w:t>
      </w:r>
      <w:r>
        <w:t>because there is no</w:t>
      </w:r>
      <w:r w:rsidRPr="00E123B8">
        <w:t xml:space="preserve"> official data. Additionally, the volume of annual food waste also depends on random variables, such as </w:t>
      </w:r>
      <w:r>
        <w:t xml:space="preserve">extreme </w:t>
      </w:r>
      <w:r w:rsidRPr="00E123B8">
        <w:t xml:space="preserve">weather conditions, natural events and pests, deviations in demand, etc. The data presented here is based on an annual analysis and average weather conditions. This data is indicative and intended to serve as the basis for public debate, and </w:t>
      </w:r>
      <w:r>
        <w:t xml:space="preserve">for </w:t>
      </w:r>
      <w:r w:rsidRPr="00E123B8">
        <w:t>further research and study.</w:t>
      </w:r>
      <w:r>
        <w:t xml:space="preserve"> </w:t>
      </w:r>
    </w:p>
  </w:footnote>
  <w:footnote w:id="3">
    <w:p w14:paraId="1636A556" w14:textId="77777777" w:rsidR="00942FD1" w:rsidRDefault="00942FD1" w:rsidP="007054AA">
      <w:pPr>
        <w:pStyle w:val="FootnoteText"/>
      </w:pPr>
      <w:r>
        <w:rPr>
          <w:rStyle w:val="FootnoteReference"/>
        </w:rPr>
        <w:footnoteRef/>
      </w:r>
      <w:r>
        <w:rPr>
          <w:rtl/>
        </w:rPr>
        <w:t xml:space="preserve"> </w:t>
      </w:r>
      <w:r>
        <w:t xml:space="preserve">Dr. Ron Porat, 2015, </w:t>
      </w:r>
      <w:r w:rsidRPr="003676B4">
        <w:t>2016</w:t>
      </w:r>
    </w:p>
  </w:footnote>
  <w:footnote w:id="4">
    <w:p w14:paraId="283E2380" w14:textId="77777777" w:rsidR="00942FD1" w:rsidRDefault="00942FD1" w:rsidP="00C87D85">
      <w:pPr>
        <w:pStyle w:val="FootnoteText"/>
        <w:rPr>
          <w:rtl/>
        </w:rPr>
      </w:pPr>
      <w:r>
        <w:rPr>
          <w:rStyle w:val="FootnoteReference"/>
        </w:rPr>
        <w:footnoteRef/>
      </w:r>
      <w:r>
        <w:rPr>
          <w:rtl/>
        </w:rPr>
        <w:t xml:space="preserve"> </w:t>
      </w:r>
      <w:r>
        <w:t>For purposes of analyzing food waste, this report relates to “</w:t>
      </w:r>
      <w:r w:rsidRPr="00FD6C0F">
        <w:t>Retail and Distribution</w:t>
      </w:r>
      <w:r>
        <w:t>” as a single sector</w:t>
      </w:r>
      <w:r w:rsidRPr="00F712BC">
        <w:t xml:space="preserve"> that includes losses </w:t>
      </w:r>
      <w:r>
        <w:t xml:space="preserve">incurred from </w:t>
      </w:r>
      <w:r w:rsidRPr="00F712BC">
        <w:t xml:space="preserve">the end of the production stage to the sale to the consumer: </w:t>
      </w:r>
      <w:r>
        <w:t xml:space="preserve">any loss of finished products that are </w:t>
      </w:r>
      <w:r w:rsidRPr="00F712BC">
        <w:t xml:space="preserve">ready for marketing by the manufacturers, wholesale loss, returns from retailers to manufacturers and loss in retailers. These constitute the loss in the Retail and Distribution </w:t>
      </w:r>
      <w:r>
        <w:t>sector</w:t>
      </w:r>
      <w:r w:rsidRPr="00F712BC">
        <w:t>.</w:t>
      </w:r>
    </w:p>
  </w:footnote>
  <w:footnote w:id="5">
    <w:p w14:paraId="24D1FF9C" w14:textId="77777777" w:rsidR="00942FD1" w:rsidRDefault="00942FD1" w:rsidP="00670086">
      <w:pPr>
        <w:pStyle w:val="FootnoteText"/>
      </w:pPr>
      <w:r>
        <w:rPr>
          <w:rStyle w:val="FootnoteReference"/>
        </w:rPr>
        <w:footnoteRef/>
      </w:r>
      <w:r>
        <w:rPr>
          <w:rtl/>
        </w:rPr>
        <w:t xml:space="preserve"> </w:t>
      </w:r>
      <w:r>
        <w:t xml:space="preserve">In the </w:t>
      </w:r>
      <w:r w:rsidRPr="00670086">
        <w:t>model</w:t>
      </w:r>
      <w:r>
        <w:t>, each of these branches is weighted according to the characteristics of the meal it serves.</w:t>
      </w:r>
    </w:p>
  </w:footnote>
  <w:footnote w:id="6">
    <w:p w14:paraId="2747D4E5" w14:textId="77777777" w:rsidR="00942FD1" w:rsidRDefault="00942FD1" w:rsidP="00B06200">
      <w:pPr>
        <w:pStyle w:val="FootnoteText"/>
        <w:rPr>
          <w:rtl/>
        </w:rPr>
      </w:pPr>
      <w:r>
        <w:rPr>
          <w:rStyle w:val="FootnoteReference"/>
        </w:rPr>
        <w:footnoteRef/>
      </w:r>
      <w:r>
        <w:rPr>
          <w:rtl/>
        </w:rPr>
        <w:t xml:space="preserve"> </w:t>
      </w:r>
      <w:r>
        <w:t>This figure is based on the number of workdays relevant to each category. The estimate also distinguishes between different populations within each category.</w:t>
      </w:r>
      <w:r>
        <w:rPr>
          <w:rFonts w:hint="cs"/>
          <w:rtl/>
        </w:rPr>
        <w:t xml:space="preserve"> </w:t>
      </w:r>
    </w:p>
  </w:footnote>
  <w:footnote w:id="7">
    <w:p w14:paraId="09BF2B23" w14:textId="77777777" w:rsidR="00942FD1" w:rsidRDefault="00942FD1" w:rsidP="00B06200">
      <w:pPr>
        <w:pStyle w:val="FootnoteText"/>
      </w:pPr>
      <w:r>
        <w:rPr>
          <w:rStyle w:val="FootnoteReference"/>
        </w:rPr>
        <w:footnoteRef/>
      </w:r>
      <w:r>
        <w:t xml:space="preserve"> Waste of grains and legumes was calculated as a percentage of consumption because the </w:t>
      </w:r>
      <w:r w:rsidRPr="00B505C0">
        <w:t>majority</w:t>
      </w:r>
      <w:r>
        <w:t xml:space="preserve"> of grains are imported to Israel.</w:t>
      </w:r>
    </w:p>
  </w:footnote>
  <w:footnote w:id="8">
    <w:p w14:paraId="05E69E4F" w14:textId="77777777" w:rsidR="00942FD1" w:rsidRPr="003F2D9E" w:rsidRDefault="00942FD1" w:rsidP="00B06200">
      <w:pPr>
        <w:pStyle w:val="FootnoteText"/>
      </w:pPr>
      <w:r w:rsidRPr="003F2D9E">
        <w:rPr>
          <w:rStyle w:val="FootnoteReference"/>
          <w:rFonts w:cstheme="majorBidi"/>
          <w:sz w:val="16"/>
          <w:szCs w:val="16"/>
        </w:rPr>
        <w:footnoteRef/>
      </w:r>
      <w:r w:rsidRPr="003F2D9E">
        <w:rPr>
          <w:rtl/>
        </w:rPr>
        <w:t xml:space="preserve"> </w:t>
      </w:r>
      <w:r w:rsidRPr="003F2D9E">
        <w:t xml:space="preserve">Patterns of Expenditure on Food in Israel, Taub Center, 2014. </w:t>
      </w:r>
    </w:p>
  </w:footnote>
  <w:footnote w:id="9">
    <w:p w14:paraId="7B53DFD6" w14:textId="77777777" w:rsidR="00942FD1" w:rsidRPr="00442363" w:rsidRDefault="00942FD1" w:rsidP="00147199">
      <w:pPr>
        <w:pStyle w:val="FootnoteText"/>
      </w:pPr>
      <w:r w:rsidRPr="003F2D9E">
        <w:rPr>
          <w:rStyle w:val="FootnoteReference"/>
          <w:rFonts w:cstheme="majorBidi"/>
          <w:sz w:val="16"/>
          <w:szCs w:val="16"/>
        </w:rPr>
        <w:footnoteRef/>
      </w:r>
      <w:r w:rsidRPr="003F2D9E">
        <w:t xml:space="preserve"> Excluding dining out, alcoholic beverages and carbonated beverages.</w:t>
      </w:r>
      <w:r w:rsidRPr="00442363">
        <w:t xml:space="preserve"> </w:t>
      </w:r>
    </w:p>
  </w:footnote>
  <w:footnote w:id="10">
    <w:p w14:paraId="0292FC3F" w14:textId="77777777" w:rsidR="00942FD1" w:rsidRDefault="00942FD1" w:rsidP="000C6115">
      <w:pPr>
        <w:pStyle w:val="FootnoteText"/>
      </w:pPr>
      <w:r>
        <w:rPr>
          <w:rStyle w:val="FootnoteReference"/>
        </w:rPr>
        <w:footnoteRef/>
      </w:r>
      <w:r>
        <w:t xml:space="preserve"> Amendment to </w:t>
      </w:r>
      <w:r w:rsidRPr="0076763A">
        <w:t>Income Tax Ordinance</w:t>
      </w:r>
      <w:r>
        <w:t xml:space="preserve"> (Credit for Food Rescue) 5778-2017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312D2" w14:textId="77777777" w:rsidR="00942FD1" w:rsidRDefault="00942FD1">
    <w:pPr>
      <w:pStyle w:val="Header"/>
    </w:pPr>
    <w:r>
      <w:rPr>
        <w:rFonts w:ascii="Arial" w:hAnsi="Arial"/>
        <w:b/>
        <w:bCs/>
        <w:i/>
        <w:noProof/>
        <w:color w:val="FFFFFF" w:themeColor="background1"/>
        <w:sz w:val="56"/>
        <w:szCs w:val="56"/>
        <w:rtl/>
      </w:rPr>
      <w:drawing>
        <wp:anchor distT="0" distB="0" distL="114300" distR="114300" simplePos="0" relativeHeight="251659264" behindDoc="0" locked="0" layoutInCell="1" allowOverlap="1" wp14:anchorId="7EEF58B1" wp14:editId="3F2A8BB1">
          <wp:simplePos x="0" y="0"/>
          <wp:positionH relativeFrom="column">
            <wp:posOffset>5549265</wp:posOffset>
          </wp:positionH>
          <wp:positionV relativeFrom="paragraph">
            <wp:posOffset>-297180</wp:posOffset>
          </wp:positionV>
          <wp:extent cx="845820" cy="845820"/>
          <wp:effectExtent l="0" t="0" r="0" b="0"/>
          <wp:wrapNone/>
          <wp:docPr id="23" name="תמונה 260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 new logo.jpg"/>
                  <pic:cNvPicPr/>
                </pic:nvPicPr>
                <pic:blipFill>
                  <a:blip r:embed="rId1">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anchor>
      </w:drawing>
    </w:r>
    <w:r w:rsidRPr="00AC70ED">
      <w:rPr>
        <w:b/>
        <w:bCs/>
        <w:i/>
        <w:iCs/>
        <w:noProof/>
        <w:sz w:val="48"/>
        <w:szCs w:val="48"/>
        <w:rtl/>
      </w:rPr>
      <w:drawing>
        <wp:anchor distT="0" distB="0" distL="114300" distR="114300" simplePos="0" relativeHeight="251661312" behindDoc="1" locked="0" layoutInCell="1" allowOverlap="1" wp14:anchorId="5E3DD5D9" wp14:editId="0541C9CA">
          <wp:simplePos x="0" y="0"/>
          <wp:positionH relativeFrom="column">
            <wp:posOffset>-520065</wp:posOffset>
          </wp:positionH>
          <wp:positionV relativeFrom="paragraph">
            <wp:posOffset>-95885</wp:posOffset>
          </wp:positionV>
          <wp:extent cx="1530985" cy="580390"/>
          <wp:effectExtent l="0" t="0" r="0" b="0"/>
          <wp:wrapTight wrapText="bothSides">
            <wp:wrapPolygon edited="0">
              <wp:start x="0" y="0"/>
              <wp:lineTo x="0" y="20560"/>
              <wp:lineTo x="21233" y="20560"/>
              <wp:lineTo x="21233" y="0"/>
              <wp:lineTo x="0" y="0"/>
            </wp:wrapPolygon>
          </wp:wrapTight>
          <wp:docPr id="24" name="תמונה 16" descr="paper TA-Y CONSUL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 TA-Y CONSULTING-1.jpg"/>
                  <pic:cNvPicPr/>
                </pic:nvPicPr>
                <pic:blipFill>
                  <a:blip r:embed="rId2" cstate="print"/>
                  <a:srcRect r="74123"/>
                  <a:stretch>
                    <a:fillRect/>
                  </a:stretch>
                </pic:blipFill>
                <pic:spPr>
                  <a:xfrm>
                    <a:off x="0" y="0"/>
                    <a:ext cx="1530985" cy="5803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4041C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622F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DAF6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9636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F25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A3B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CA97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644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02C9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849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E66FE"/>
    <w:multiLevelType w:val="hybridMultilevel"/>
    <w:tmpl w:val="0CC64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A649D"/>
    <w:multiLevelType w:val="multilevel"/>
    <w:tmpl w:val="3F2CF2D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2" w15:restartNumberingAfterBreak="0">
    <w:nsid w:val="099001AC"/>
    <w:multiLevelType w:val="hybridMultilevel"/>
    <w:tmpl w:val="9D067FA6"/>
    <w:lvl w:ilvl="0" w:tplc="90A456E0">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41127"/>
    <w:multiLevelType w:val="hybridMultilevel"/>
    <w:tmpl w:val="CCCC4034"/>
    <w:lvl w:ilvl="0" w:tplc="5860DD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41A0C"/>
    <w:multiLevelType w:val="hybridMultilevel"/>
    <w:tmpl w:val="C2C4943A"/>
    <w:lvl w:ilvl="0" w:tplc="3FF6315A">
      <w:start w:val="20"/>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46723C"/>
    <w:multiLevelType w:val="hybridMultilevel"/>
    <w:tmpl w:val="0E7E6E7E"/>
    <w:lvl w:ilvl="0" w:tplc="7982F1D6">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0409AC"/>
    <w:multiLevelType w:val="hybridMultilevel"/>
    <w:tmpl w:val="5CE40A24"/>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7" w15:restartNumberingAfterBreak="0">
    <w:nsid w:val="2A5D7D43"/>
    <w:multiLevelType w:val="multilevel"/>
    <w:tmpl w:val="2098E87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15:restartNumberingAfterBreak="0">
    <w:nsid w:val="4158131F"/>
    <w:multiLevelType w:val="hybridMultilevel"/>
    <w:tmpl w:val="1FDA3EC2"/>
    <w:lvl w:ilvl="0" w:tplc="2D7666CC">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8A5D1F"/>
    <w:multiLevelType w:val="hybridMultilevel"/>
    <w:tmpl w:val="5D4C9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50E27"/>
    <w:multiLevelType w:val="hybridMultilevel"/>
    <w:tmpl w:val="2BD294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6F5A5B"/>
    <w:multiLevelType w:val="hybridMultilevel"/>
    <w:tmpl w:val="5482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005D30"/>
    <w:multiLevelType w:val="hybridMultilevel"/>
    <w:tmpl w:val="9FA638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1A1354"/>
    <w:multiLevelType w:val="hybridMultilevel"/>
    <w:tmpl w:val="3CB68A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E61F9F"/>
    <w:multiLevelType w:val="hybridMultilevel"/>
    <w:tmpl w:val="8E363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9407F2"/>
    <w:multiLevelType w:val="multilevel"/>
    <w:tmpl w:val="2098E87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6" w15:restartNumberingAfterBreak="0">
    <w:nsid w:val="62482721"/>
    <w:multiLevelType w:val="multilevel"/>
    <w:tmpl w:val="D8A4C0C4"/>
    <w:lvl w:ilvl="0">
      <w:start w:val="1"/>
      <w:numFmt w:val="decimal"/>
      <w:pStyle w:val="Heading1"/>
      <w:lvlText w:val="%1."/>
      <w:lvlJc w:val="left"/>
      <w:pPr>
        <w:ind w:left="502" w:hanging="360"/>
      </w:pPr>
      <w:rPr>
        <w:rFonts w:hint="default"/>
        <w:lang w:val="en-US"/>
      </w:rPr>
    </w:lvl>
    <w:lvl w:ilvl="1">
      <w:start w:val="4"/>
      <w:numFmt w:val="decimal"/>
      <w:isLgl/>
      <w:lvlText w:val="%1.%2"/>
      <w:lvlJc w:val="left"/>
      <w:pPr>
        <w:ind w:left="720" w:hanging="720"/>
      </w:pPr>
      <w:rPr>
        <w:rFonts w:hint="default"/>
      </w:rPr>
    </w:lvl>
    <w:lvl w:ilvl="2">
      <w:start w:val="1"/>
      <w:numFmt w:val="decimal"/>
      <w:pStyle w:val="Heading3"/>
      <w:isLgl/>
      <w:lvlText w:val="%1.%2.%3"/>
      <w:lvlJc w:val="left"/>
      <w:pPr>
        <w:ind w:left="1145"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735" w:hanging="180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2095" w:hanging="2160"/>
      </w:pPr>
      <w:rPr>
        <w:rFonts w:hint="default"/>
      </w:rPr>
    </w:lvl>
  </w:abstractNum>
  <w:abstractNum w:abstractNumId="27" w15:restartNumberingAfterBreak="0">
    <w:nsid w:val="66FD33C1"/>
    <w:multiLevelType w:val="hybridMultilevel"/>
    <w:tmpl w:val="5DCCCD06"/>
    <w:lvl w:ilvl="0" w:tplc="90A456E0">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C07AAA"/>
    <w:multiLevelType w:val="multilevel"/>
    <w:tmpl w:val="50CE69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71517DB6"/>
    <w:multiLevelType w:val="multilevel"/>
    <w:tmpl w:val="2098E87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15:restartNumberingAfterBreak="0">
    <w:nsid w:val="78D85984"/>
    <w:multiLevelType w:val="hybridMultilevel"/>
    <w:tmpl w:val="F2264D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E718B2"/>
    <w:multiLevelType w:val="hybridMultilevel"/>
    <w:tmpl w:val="42D07A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0"/>
  </w:num>
  <w:num w:numId="3">
    <w:abstractNumId w:val="15"/>
  </w:num>
  <w:num w:numId="4">
    <w:abstractNumId w:val="26"/>
  </w:num>
  <w:num w:numId="5">
    <w:abstractNumId w:val="13"/>
  </w:num>
  <w:num w:numId="6">
    <w:abstractNumId w:val="22"/>
  </w:num>
  <w:num w:numId="7">
    <w:abstractNumId w:val="2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10"/>
  </w:num>
  <w:num w:numId="11">
    <w:abstractNumId w:val="11"/>
  </w:num>
  <w:num w:numId="12">
    <w:abstractNumId w:val="28"/>
  </w:num>
  <w:num w:numId="13">
    <w:abstractNumId w:val="24"/>
  </w:num>
  <w:num w:numId="14">
    <w:abstractNumId w:val="19"/>
  </w:num>
  <w:num w:numId="15">
    <w:abstractNumId w:val="17"/>
  </w:num>
  <w:num w:numId="16">
    <w:abstractNumId w:val="29"/>
  </w:num>
  <w:num w:numId="17">
    <w:abstractNumId w:val="31"/>
  </w:num>
  <w:num w:numId="18">
    <w:abstractNumId w:val="14"/>
  </w:num>
  <w:num w:numId="19">
    <w:abstractNumId w:val="21"/>
  </w:num>
  <w:num w:numId="20">
    <w:abstractNumId w:val="27"/>
  </w:num>
  <w:num w:numId="21">
    <w:abstractNumId w:val="12"/>
  </w:num>
  <w:num w:numId="22">
    <w:abstractNumId w:val="23"/>
  </w:num>
  <w:num w:numId="23">
    <w:abstractNumId w:val="6"/>
  </w:num>
  <w:num w:numId="24">
    <w:abstractNumId w:val="18"/>
  </w:num>
  <w:num w:numId="25">
    <w:abstractNumId w:val="9"/>
  </w:num>
  <w:num w:numId="26">
    <w:abstractNumId w:val="7"/>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5"/>
    <w:lvlOverride w:ilvl="0">
      <w:startOverride w:val="1"/>
    </w:lvlOverride>
  </w:num>
  <w:num w:numId="35">
    <w:abstractNumId w:val="15"/>
  </w:num>
  <w:num w:numId="36">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B5"/>
    <w:rsid w:val="00001B48"/>
    <w:rsid w:val="000047B4"/>
    <w:rsid w:val="000218D1"/>
    <w:rsid w:val="00034AA3"/>
    <w:rsid w:val="00035639"/>
    <w:rsid w:val="000356CC"/>
    <w:rsid w:val="00037CE9"/>
    <w:rsid w:val="00042B73"/>
    <w:rsid w:val="000440EF"/>
    <w:rsid w:val="000450B9"/>
    <w:rsid w:val="00046199"/>
    <w:rsid w:val="00050DF7"/>
    <w:rsid w:val="0005123B"/>
    <w:rsid w:val="00054892"/>
    <w:rsid w:val="00055E2B"/>
    <w:rsid w:val="000604BD"/>
    <w:rsid w:val="000670AD"/>
    <w:rsid w:val="00072532"/>
    <w:rsid w:val="000730B1"/>
    <w:rsid w:val="00077E08"/>
    <w:rsid w:val="00080511"/>
    <w:rsid w:val="000829EA"/>
    <w:rsid w:val="00086542"/>
    <w:rsid w:val="000914BE"/>
    <w:rsid w:val="00093B9E"/>
    <w:rsid w:val="00094155"/>
    <w:rsid w:val="0009551E"/>
    <w:rsid w:val="00097572"/>
    <w:rsid w:val="000A444A"/>
    <w:rsid w:val="000A5368"/>
    <w:rsid w:val="000C2890"/>
    <w:rsid w:val="000C6115"/>
    <w:rsid w:val="000D0066"/>
    <w:rsid w:val="000F1987"/>
    <w:rsid w:val="000F6F7D"/>
    <w:rsid w:val="00100BFD"/>
    <w:rsid w:val="00103564"/>
    <w:rsid w:val="00110D98"/>
    <w:rsid w:val="00117721"/>
    <w:rsid w:val="00117B2D"/>
    <w:rsid w:val="00130431"/>
    <w:rsid w:val="00133247"/>
    <w:rsid w:val="00133776"/>
    <w:rsid w:val="00140B3F"/>
    <w:rsid w:val="001432D9"/>
    <w:rsid w:val="00146314"/>
    <w:rsid w:val="0014705E"/>
    <w:rsid w:val="00147199"/>
    <w:rsid w:val="00147E6F"/>
    <w:rsid w:val="00152D9B"/>
    <w:rsid w:val="00154D4E"/>
    <w:rsid w:val="001550CE"/>
    <w:rsid w:val="00163ABF"/>
    <w:rsid w:val="0017340B"/>
    <w:rsid w:val="00175541"/>
    <w:rsid w:val="00176C3E"/>
    <w:rsid w:val="00177817"/>
    <w:rsid w:val="00182091"/>
    <w:rsid w:val="00184FCF"/>
    <w:rsid w:val="001864CD"/>
    <w:rsid w:val="00192D54"/>
    <w:rsid w:val="00193143"/>
    <w:rsid w:val="001934AA"/>
    <w:rsid w:val="001A09F4"/>
    <w:rsid w:val="001A73B0"/>
    <w:rsid w:val="001B5551"/>
    <w:rsid w:val="001B5EF3"/>
    <w:rsid w:val="001C108E"/>
    <w:rsid w:val="001C156E"/>
    <w:rsid w:val="001C2DAD"/>
    <w:rsid w:val="001C72FF"/>
    <w:rsid w:val="001D055E"/>
    <w:rsid w:val="001D4433"/>
    <w:rsid w:val="001D65D6"/>
    <w:rsid w:val="001D65DB"/>
    <w:rsid w:val="001D7EFC"/>
    <w:rsid w:val="001E3583"/>
    <w:rsid w:val="001E3B23"/>
    <w:rsid w:val="001E6C39"/>
    <w:rsid w:val="001F2146"/>
    <w:rsid w:val="001F2C2D"/>
    <w:rsid w:val="001F3E16"/>
    <w:rsid w:val="001F5486"/>
    <w:rsid w:val="001F767D"/>
    <w:rsid w:val="00201226"/>
    <w:rsid w:val="0020476D"/>
    <w:rsid w:val="0020537C"/>
    <w:rsid w:val="00211605"/>
    <w:rsid w:val="002140D2"/>
    <w:rsid w:val="00214990"/>
    <w:rsid w:val="00216227"/>
    <w:rsid w:val="002256EC"/>
    <w:rsid w:val="0022614E"/>
    <w:rsid w:val="00230548"/>
    <w:rsid w:val="00232B78"/>
    <w:rsid w:val="00234698"/>
    <w:rsid w:val="00237693"/>
    <w:rsid w:val="00241F08"/>
    <w:rsid w:val="0024222A"/>
    <w:rsid w:val="002427E9"/>
    <w:rsid w:val="00243C70"/>
    <w:rsid w:val="002443BB"/>
    <w:rsid w:val="00245F89"/>
    <w:rsid w:val="00247246"/>
    <w:rsid w:val="002506AE"/>
    <w:rsid w:val="00251B17"/>
    <w:rsid w:val="002536CC"/>
    <w:rsid w:val="0025531D"/>
    <w:rsid w:val="002555DC"/>
    <w:rsid w:val="00255855"/>
    <w:rsid w:val="00263C94"/>
    <w:rsid w:val="00266AA8"/>
    <w:rsid w:val="00266DA3"/>
    <w:rsid w:val="00272435"/>
    <w:rsid w:val="00273C1B"/>
    <w:rsid w:val="002741F0"/>
    <w:rsid w:val="002756ED"/>
    <w:rsid w:val="00277290"/>
    <w:rsid w:val="00277B58"/>
    <w:rsid w:val="002859CD"/>
    <w:rsid w:val="002926B6"/>
    <w:rsid w:val="002A0903"/>
    <w:rsid w:val="002A1489"/>
    <w:rsid w:val="002A6BE6"/>
    <w:rsid w:val="002C009C"/>
    <w:rsid w:val="002C1C73"/>
    <w:rsid w:val="002C3FCA"/>
    <w:rsid w:val="002C49B3"/>
    <w:rsid w:val="002C5146"/>
    <w:rsid w:val="002C5A96"/>
    <w:rsid w:val="002C7302"/>
    <w:rsid w:val="002D179E"/>
    <w:rsid w:val="002D1C84"/>
    <w:rsid w:val="002D3D96"/>
    <w:rsid w:val="002D5244"/>
    <w:rsid w:val="002D6795"/>
    <w:rsid w:val="002E14FC"/>
    <w:rsid w:val="002E4C1C"/>
    <w:rsid w:val="002E6A1A"/>
    <w:rsid w:val="002F1E63"/>
    <w:rsid w:val="002F3D2F"/>
    <w:rsid w:val="002F42F2"/>
    <w:rsid w:val="002F4761"/>
    <w:rsid w:val="002F4CC7"/>
    <w:rsid w:val="002F54A6"/>
    <w:rsid w:val="002F60B4"/>
    <w:rsid w:val="0030084B"/>
    <w:rsid w:val="003014DB"/>
    <w:rsid w:val="00303AA8"/>
    <w:rsid w:val="003052C2"/>
    <w:rsid w:val="003069EA"/>
    <w:rsid w:val="003102F3"/>
    <w:rsid w:val="003137CC"/>
    <w:rsid w:val="00315358"/>
    <w:rsid w:val="00315B78"/>
    <w:rsid w:val="0032149C"/>
    <w:rsid w:val="00322346"/>
    <w:rsid w:val="00322597"/>
    <w:rsid w:val="00331373"/>
    <w:rsid w:val="003322BB"/>
    <w:rsid w:val="003336F0"/>
    <w:rsid w:val="003363DA"/>
    <w:rsid w:val="00337F86"/>
    <w:rsid w:val="003419B5"/>
    <w:rsid w:val="003456E8"/>
    <w:rsid w:val="00346159"/>
    <w:rsid w:val="00350ABC"/>
    <w:rsid w:val="003512D1"/>
    <w:rsid w:val="00352346"/>
    <w:rsid w:val="00356F19"/>
    <w:rsid w:val="0035723F"/>
    <w:rsid w:val="00357312"/>
    <w:rsid w:val="003577EA"/>
    <w:rsid w:val="00361C07"/>
    <w:rsid w:val="00363DCB"/>
    <w:rsid w:val="00364555"/>
    <w:rsid w:val="003676B4"/>
    <w:rsid w:val="00370090"/>
    <w:rsid w:val="003702B3"/>
    <w:rsid w:val="003712A1"/>
    <w:rsid w:val="00371472"/>
    <w:rsid w:val="003728AC"/>
    <w:rsid w:val="00374823"/>
    <w:rsid w:val="00374AD6"/>
    <w:rsid w:val="0037552C"/>
    <w:rsid w:val="0038509C"/>
    <w:rsid w:val="0038785F"/>
    <w:rsid w:val="00391554"/>
    <w:rsid w:val="00393052"/>
    <w:rsid w:val="003931A8"/>
    <w:rsid w:val="00393D2F"/>
    <w:rsid w:val="00397466"/>
    <w:rsid w:val="003A05B3"/>
    <w:rsid w:val="003A7B4B"/>
    <w:rsid w:val="003B2D12"/>
    <w:rsid w:val="003B4475"/>
    <w:rsid w:val="003C3DE7"/>
    <w:rsid w:val="003C50AD"/>
    <w:rsid w:val="003C66BF"/>
    <w:rsid w:val="003D6059"/>
    <w:rsid w:val="003E0DE2"/>
    <w:rsid w:val="003E5962"/>
    <w:rsid w:val="003E5C55"/>
    <w:rsid w:val="003F117F"/>
    <w:rsid w:val="003F2841"/>
    <w:rsid w:val="003F2D9E"/>
    <w:rsid w:val="003F7FFE"/>
    <w:rsid w:val="0040530B"/>
    <w:rsid w:val="004059FB"/>
    <w:rsid w:val="00407287"/>
    <w:rsid w:val="00411F54"/>
    <w:rsid w:val="00420FD1"/>
    <w:rsid w:val="004242A6"/>
    <w:rsid w:val="0042683A"/>
    <w:rsid w:val="0043030B"/>
    <w:rsid w:val="004317D9"/>
    <w:rsid w:val="00434193"/>
    <w:rsid w:val="00434FB6"/>
    <w:rsid w:val="004377EC"/>
    <w:rsid w:val="00442363"/>
    <w:rsid w:val="00447484"/>
    <w:rsid w:val="004541CB"/>
    <w:rsid w:val="00455992"/>
    <w:rsid w:val="00455F75"/>
    <w:rsid w:val="00456601"/>
    <w:rsid w:val="0046687F"/>
    <w:rsid w:val="00477848"/>
    <w:rsid w:val="00480C3F"/>
    <w:rsid w:val="0048436A"/>
    <w:rsid w:val="00485952"/>
    <w:rsid w:val="00485F60"/>
    <w:rsid w:val="004868A2"/>
    <w:rsid w:val="00487574"/>
    <w:rsid w:val="00487707"/>
    <w:rsid w:val="0049029D"/>
    <w:rsid w:val="00490E72"/>
    <w:rsid w:val="0049713D"/>
    <w:rsid w:val="004A0920"/>
    <w:rsid w:val="004A4489"/>
    <w:rsid w:val="004A469B"/>
    <w:rsid w:val="004A68F1"/>
    <w:rsid w:val="004A792C"/>
    <w:rsid w:val="004B1C89"/>
    <w:rsid w:val="004B4A5C"/>
    <w:rsid w:val="004B6208"/>
    <w:rsid w:val="004B64F6"/>
    <w:rsid w:val="004B71B7"/>
    <w:rsid w:val="004C7BCE"/>
    <w:rsid w:val="004D141F"/>
    <w:rsid w:val="004D23A8"/>
    <w:rsid w:val="004D6671"/>
    <w:rsid w:val="004D72B5"/>
    <w:rsid w:val="004D79FA"/>
    <w:rsid w:val="004E2385"/>
    <w:rsid w:val="004E27B3"/>
    <w:rsid w:val="004E2FF8"/>
    <w:rsid w:val="004E71F9"/>
    <w:rsid w:val="004F08E3"/>
    <w:rsid w:val="004F19A0"/>
    <w:rsid w:val="004F3A44"/>
    <w:rsid w:val="00500D86"/>
    <w:rsid w:val="00500EF3"/>
    <w:rsid w:val="005039F1"/>
    <w:rsid w:val="005063A3"/>
    <w:rsid w:val="00513744"/>
    <w:rsid w:val="00513887"/>
    <w:rsid w:val="00513FFC"/>
    <w:rsid w:val="00514FCE"/>
    <w:rsid w:val="00524978"/>
    <w:rsid w:val="005251F1"/>
    <w:rsid w:val="00525E60"/>
    <w:rsid w:val="00536A80"/>
    <w:rsid w:val="00543971"/>
    <w:rsid w:val="00552102"/>
    <w:rsid w:val="005552B2"/>
    <w:rsid w:val="00560E65"/>
    <w:rsid w:val="00560E79"/>
    <w:rsid w:val="00561837"/>
    <w:rsid w:val="005623E0"/>
    <w:rsid w:val="00562700"/>
    <w:rsid w:val="00563447"/>
    <w:rsid w:val="0057048D"/>
    <w:rsid w:val="0057134E"/>
    <w:rsid w:val="0057175B"/>
    <w:rsid w:val="005723D0"/>
    <w:rsid w:val="005747E7"/>
    <w:rsid w:val="005762E8"/>
    <w:rsid w:val="00577A98"/>
    <w:rsid w:val="00580371"/>
    <w:rsid w:val="005823EF"/>
    <w:rsid w:val="00582F5E"/>
    <w:rsid w:val="0058555A"/>
    <w:rsid w:val="005870FC"/>
    <w:rsid w:val="00587206"/>
    <w:rsid w:val="00587C14"/>
    <w:rsid w:val="00593D41"/>
    <w:rsid w:val="00597718"/>
    <w:rsid w:val="00597D3F"/>
    <w:rsid w:val="005A016D"/>
    <w:rsid w:val="005A159F"/>
    <w:rsid w:val="005A29DE"/>
    <w:rsid w:val="005A3066"/>
    <w:rsid w:val="005A376A"/>
    <w:rsid w:val="005A790C"/>
    <w:rsid w:val="005B0162"/>
    <w:rsid w:val="005B04BF"/>
    <w:rsid w:val="005B1173"/>
    <w:rsid w:val="005B15AF"/>
    <w:rsid w:val="005B1E22"/>
    <w:rsid w:val="005B276B"/>
    <w:rsid w:val="005C1D5D"/>
    <w:rsid w:val="005C2C53"/>
    <w:rsid w:val="005C3DA8"/>
    <w:rsid w:val="005D6A45"/>
    <w:rsid w:val="005D7029"/>
    <w:rsid w:val="005E1AC1"/>
    <w:rsid w:val="005E26FE"/>
    <w:rsid w:val="005F1F6C"/>
    <w:rsid w:val="005F6EAB"/>
    <w:rsid w:val="005F7C9A"/>
    <w:rsid w:val="00601A4B"/>
    <w:rsid w:val="006057F8"/>
    <w:rsid w:val="00611346"/>
    <w:rsid w:val="00611BF8"/>
    <w:rsid w:val="006127B4"/>
    <w:rsid w:val="0061604E"/>
    <w:rsid w:val="006249B3"/>
    <w:rsid w:val="006329E4"/>
    <w:rsid w:val="00632A68"/>
    <w:rsid w:val="006335A7"/>
    <w:rsid w:val="006350F1"/>
    <w:rsid w:val="0064050D"/>
    <w:rsid w:val="0065229C"/>
    <w:rsid w:val="0065288C"/>
    <w:rsid w:val="00652F66"/>
    <w:rsid w:val="00655182"/>
    <w:rsid w:val="00655328"/>
    <w:rsid w:val="0065538E"/>
    <w:rsid w:val="00661FA8"/>
    <w:rsid w:val="00662B9D"/>
    <w:rsid w:val="006636C8"/>
    <w:rsid w:val="00663E12"/>
    <w:rsid w:val="00665A07"/>
    <w:rsid w:val="00670086"/>
    <w:rsid w:val="006802F0"/>
    <w:rsid w:val="00682838"/>
    <w:rsid w:val="006863CE"/>
    <w:rsid w:val="006972B0"/>
    <w:rsid w:val="006A02B4"/>
    <w:rsid w:val="006A1B6E"/>
    <w:rsid w:val="006A3590"/>
    <w:rsid w:val="006A4291"/>
    <w:rsid w:val="006A53D4"/>
    <w:rsid w:val="006A5C9B"/>
    <w:rsid w:val="006A65C7"/>
    <w:rsid w:val="006A6D66"/>
    <w:rsid w:val="006B0963"/>
    <w:rsid w:val="006B1438"/>
    <w:rsid w:val="006B338B"/>
    <w:rsid w:val="006B3721"/>
    <w:rsid w:val="006B3C01"/>
    <w:rsid w:val="006B3C86"/>
    <w:rsid w:val="006B552E"/>
    <w:rsid w:val="006B558C"/>
    <w:rsid w:val="006B5F87"/>
    <w:rsid w:val="006C0AB8"/>
    <w:rsid w:val="006C388B"/>
    <w:rsid w:val="006C74A7"/>
    <w:rsid w:val="006C7E55"/>
    <w:rsid w:val="006E387C"/>
    <w:rsid w:val="006E408A"/>
    <w:rsid w:val="006E7B72"/>
    <w:rsid w:val="006F20C6"/>
    <w:rsid w:val="006F77E9"/>
    <w:rsid w:val="00703FE4"/>
    <w:rsid w:val="00704114"/>
    <w:rsid w:val="007054AA"/>
    <w:rsid w:val="00707921"/>
    <w:rsid w:val="0071165E"/>
    <w:rsid w:val="00713253"/>
    <w:rsid w:val="00716703"/>
    <w:rsid w:val="007221E9"/>
    <w:rsid w:val="007243E6"/>
    <w:rsid w:val="00725731"/>
    <w:rsid w:val="007315F5"/>
    <w:rsid w:val="00734199"/>
    <w:rsid w:val="00734418"/>
    <w:rsid w:val="00735B2A"/>
    <w:rsid w:val="00737085"/>
    <w:rsid w:val="00740D81"/>
    <w:rsid w:val="00740FC1"/>
    <w:rsid w:val="00741F37"/>
    <w:rsid w:val="00742D4D"/>
    <w:rsid w:val="0074481C"/>
    <w:rsid w:val="00745196"/>
    <w:rsid w:val="00746AFE"/>
    <w:rsid w:val="00752472"/>
    <w:rsid w:val="00754FF1"/>
    <w:rsid w:val="007573A9"/>
    <w:rsid w:val="00760BCF"/>
    <w:rsid w:val="00762A22"/>
    <w:rsid w:val="00762A28"/>
    <w:rsid w:val="007652D2"/>
    <w:rsid w:val="0076763A"/>
    <w:rsid w:val="00772ADC"/>
    <w:rsid w:val="00775314"/>
    <w:rsid w:val="0077531A"/>
    <w:rsid w:val="00777D29"/>
    <w:rsid w:val="007803CC"/>
    <w:rsid w:val="0078085C"/>
    <w:rsid w:val="00780F83"/>
    <w:rsid w:val="00785362"/>
    <w:rsid w:val="0078596F"/>
    <w:rsid w:val="00790B3B"/>
    <w:rsid w:val="00790D85"/>
    <w:rsid w:val="00791D8A"/>
    <w:rsid w:val="0079221F"/>
    <w:rsid w:val="007924E7"/>
    <w:rsid w:val="007977A4"/>
    <w:rsid w:val="007A07AF"/>
    <w:rsid w:val="007A25C8"/>
    <w:rsid w:val="007A5C55"/>
    <w:rsid w:val="007A5FCF"/>
    <w:rsid w:val="007B0654"/>
    <w:rsid w:val="007B08CD"/>
    <w:rsid w:val="007B64AD"/>
    <w:rsid w:val="007B763B"/>
    <w:rsid w:val="007C4906"/>
    <w:rsid w:val="007C5257"/>
    <w:rsid w:val="007C7A7D"/>
    <w:rsid w:val="007D269C"/>
    <w:rsid w:val="007D48B1"/>
    <w:rsid w:val="007D4905"/>
    <w:rsid w:val="007D4F51"/>
    <w:rsid w:val="007D7143"/>
    <w:rsid w:val="007E0F92"/>
    <w:rsid w:val="007E561E"/>
    <w:rsid w:val="007E7FB3"/>
    <w:rsid w:val="007F3027"/>
    <w:rsid w:val="007F3358"/>
    <w:rsid w:val="007F3D0B"/>
    <w:rsid w:val="007F458A"/>
    <w:rsid w:val="007F539A"/>
    <w:rsid w:val="007F634D"/>
    <w:rsid w:val="00800794"/>
    <w:rsid w:val="00802A79"/>
    <w:rsid w:val="00810D67"/>
    <w:rsid w:val="0081228E"/>
    <w:rsid w:val="008130EE"/>
    <w:rsid w:val="00816783"/>
    <w:rsid w:val="008245D1"/>
    <w:rsid w:val="0082618E"/>
    <w:rsid w:val="00827271"/>
    <w:rsid w:val="0083034B"/>
    <w:rsid w:val="00832A7D"/>
    <w:rsid w:val="00844741"/>
    <w:rsid w:val="00850839"/>
    <w:rsid w:val="008575EF"/>
    <w:rsid w:val="0085798B"/>
    <w:rsid w:val="00860D90"/>
    <w:rsid w:val="00863888"/>
    <w:rsid w:val="0086700C"/>
    <w:rsid w:val="00870CE4"/>
    <w:rsid w:val="008744D0"/>
    <w:rsid w:val="00876C4B"/>
    <w:rsid w:val="008823B6"/>
    <w:rsid w:val="00885373"/>
    <w:rsid w:val="008863F0"/>
    <w:rsid w:val="008913E0"/>
    <w:rsid w:val="00897ABF"/>
    <w:rsid w:val="008A0300"/>
    <w:rsid w:val="008A4815"/>
    <w:rsid w:val="008A659D"/>
    <w:rsid w:val="008A6B58"/>
    <w:rsid w:val="008A7333"/>
    <w:rsid w:val="008B1F72"/>
    <w:rsid w:val="008B5FC2"/>
    <w:rsid w:val="008B7078"/>
    <w:rsid w:val="008C351C"/>
    <w:rsid w:val="008C419B"/>
    <w:rsid w:val="008C4715"/>
    <w:rsid w:val="008C63B0"/>
    <w:rsid w:val="008C6949"/>
    <w:rsid w:val="008C6D72"/>
    <w:rsid w:val="008C7197"/>
    <w:rsid w:val="008C76B6"/>
    <w:rsid w:val="008C7E31"/>
    <w:rsid w:val="008D1334"/>
    <w:rsid w:val="008D157A"/>
    <w:rsid w:val="008D248F"/>
    <w:rsid w:val="008D29FD"/>
    <w:rsid w:val="008D6A0D"/>
    <w:rsid w:val="008E580A"/>
    <w:rsid w:val="008F0B60"/>
    <w:rsid w:val="008F2D21"/>
    <w:rsid w:val="008F3D9C"/>
    <w:rsid w:val="008F742E"/>
    <w:rsid w:val="0090418F"/>
    <w:rsid w:val="0090500B"/>
    <w:rsid w:val="009127E2"/>
    <w:rsid w:val="00914209"/>
    <w:rsid w:val="00914E99"/>
    <w:rsid w:val="00916339"/>
    <w:rsid w:val="0091723E"/>
    <w:rsid w:val="00922134"/>
    <w:rsid w:val="00922948"/>
    <w:rsid w:val="00923A5B"/>
    <w:rsid w:val="00925D5D"/>
    <w:rsid w:val="00932C16"/>
    <w:rsid w:val="00935F0B"/>
    <w:rsid w:val="00937505"/>
    <w:rsid w:val="0094219C"/>
    <w:rsid w:val="00942268"/>
    <w:rsid w:val="00942FD1"/>
    <w:rsid w:val="00945DF8"/>
    <w:rsid w:val="00946AC5"/>
    <w:rsid w:val="009479BE"/>
    <w:rsid w:val="00950026"/>
    <w:rsid w:val="00953CFE"/>
    <w:rsid w:val="00957C1E"/>
    <w:rsid w:val="00960914"/>
    <w:rsid w:val="0096181E"/>
    <w:rsid w:val="00961877"/>
    <w:rsid w:val="00961D41"/>
    <w:rsid w:val="00976590"/>
    <w:rsid w:val="00980AB6"/>
    <w:rsid w:val="00981529"/>
    <w:rsid w:val="009832C6"/>
    <w:rsid w:val="009934B5"/>
    <w:rsid w:val="00993B38"/>
    <w:rsid w:val="00995451"/>
    <w:rsid w:val="0099620F"/>
    <w:rsid w:val="009A028B"/>
    <w:rsid w:val="009A06F8"/>
    <w:rsid w:val="009A472E"/>
    <w:rsid w:val="009A7155"/>
    <w:rsid w:val="009B1197"/>
    <w:rsid w:val="009B22CB"/>
    <w:rsid w:val="009B252F"/>
    <w:rsid w:val="009B5BF0"/>
    <w:rsid w:val="009C4CDA"/>
    <w:rsid w:val="009C585E"/>
    <w:rsid w:val="009D2CC8"/>
    <w:rsid w:val="009D489B"/>
    <w:rsid w:val="009D77B2"/>
    <w:rsid w:val="009D7DDC"/>
    <w:rsid w:val="009E0394"/>
    <w:rsid w:val="009E493B"/>
    <w:rsid w:val="009E55E8"/>
    <w:rsid w:val="009F04A2"/>
    <w:rsid w:val="009F6D04"/>
    <w:rsid w:val="00A10FFF"/>
    <w:rsid w:val="00A131CE"/>
    <w:rsid w:val="00A157F5"/>
    <w:rsid w:val="00A17BF0"/>
    <w:rsid w:val="00A205C1"/>
    <w:rsid w:val="00A23AC0"/>
    <w:rsid w:val="00A260F4"/>
    <w:rsid w:val="00A31021"/>
    <w:rsid w:val="00A325F4"/>
    <w:rsid w:val="00A327E5"/>
    <w:rsid w:val="00A35641"/>
    <w:rsid w:val="00A37F4C"/>
    <w:rsid w:val="00A4038D"/>
    <w:rsid w:val="00A41B14"/>
    <w:rsid w:val="00A4437B"/>
    <w:rsid w:val="00A45C19"/>
    <w:rsid w:val="00A47670"/>
    <w:rsid w:val="00A5148E"/>
    <w:rsid w:val="00A5740C"/>
    <w:rsid w:val="00A57FB7"/>
    <w:rsid w:val="00A60637"/>
    <w:rsid w:val="00A6073D"/>
    <w:rsid w:val="00A63271"/>
    <w:rsid w:val="00A637B8"/>
    <w:rsid w:val="00A6520C"/>
    <w:rsid w:val="00A700E7"/>
    <w:rsid w:val="00A735D8"/>
    <w:rsid w:val="00A75172"/>
    <w:rsid w:val="00A81350"/>
    <w:rsid w:val="00A84F53"/>
    <w:rsid w:val="00A854FB"/>
    <w:rsid w:val="00A95137"/>
    <w:rsid w:val="00AA4A54"/>
    <w:rsid w:val="00AB28CC"/>
    <w:rsid w:val="00AB2C24"/>
    <w:rsid w:val="00AB3D3C"/>
    <w:rsid w:val="00AC293D"/>
    <w:rsid w:val="00AC2E1E"/>
    <w:rsid w:val="00AD29D3"/>
    <w:rsid w:val="00AD525A"/>
    <w:rsid w:val="00AD79E9"/>
    <w:rsid w:val="00AE06E5"/>
    <w:rsid w:val="00AE37AC"/>
    <w:rsid w:val="00AE4643"/>
    <w:rsid w:val="00AF1228"/>
    <w:rsid w:val="00AF2C48"/>
    <w:rsid w:val="00AF439A"/>
    <w:rsid w:val="00AF6DF0"/>
    <w:rsid w:val="00B00259"/>
    <w:rsid w:val="00B03627"/>
    <w:rsid w:val="00B03654"/>
    <w:rsid w:val="00B03FD8"/>
    <w:rsid w:val="00B053F7"/>
    <w:rsid w:val="00B056B5"/>
    <w:rsid w:val="00B06200"/>
    <w:rsid w:val="00B12A98"/>
    <w:rsid w:val="00B25229"/>
    <w:rsid w:val="00B26A3C"/>
    <w:rsid w:val="00B3149C"/>
    <w:rsid w:val="00B31DEE"/>
    <w:rsid w:val="00B35A68"/>
    <w:rsid w:val="00B377CC"/>
    <w:rsid w:val="00B40028"/>
    <w:rsid w:val="00B45016"/>
    <w:rsid w:val="00B47A5C"/>
    <w:rsid w:val="00B47AAD"/>
    <w:rsid w:val="00B47DBD"/>
    <w:rsid w:val="00B532F6"/>
    <w:rsid w:val="00B60FC0"/>
    <w:rsid w:val="00B6579D"/>
    <w:rsid w:val="00B706CD"/>
    <w:rsid w:val="00B71E91"/>
    <w:rsid w:val="00B72CC5"/>
    <w:rsid w:val="00B73AE8"/>
    <w:rsid w:val="00B75703"/>
    <w:rsid w:val="00B76B60"/>
    <w:rsid w:val="00B77962"/>
    <w:rsid w:val="00B80E1F"/>
    <w:rsid w:val="00B81B9F"/>
    <w:rsid w:val="00B8476B"/>
    <w:rsid w:val="00B84DF1"/>
    <w:rsid w:val="00B85768"/>
    <w:rsid w:val="00B915BA"/>
    <w:rsid w:val="00BA55C4"/>
    <w:rsid w:val="00BA680F"/>
    <w:rsid w:val="00BB3219"/>
    <w:rsid w:val="00BB55D8"/>
    <w:rsid w:val="00BC4B2E"/>
    <w:rsid w:val="00BD2F14"/>
    <w:rsid w:val="00BD61AE"/>
    <w:rsid w:val="00BD6694"/>
    <w:rsid w:val="00BE05AA"/>
    <w:rsid w:val="00BE1850"/>
    <w:rsid w:val="00BE517B"/>
    <w:rsid w:val="00BF0162"/>
    <w:rsid w:val="00BF02D1"/>
    <w:rsid w:val="00BF28E2"/>
    <w:rsid w:val="00BF2C3D"/>
    <w:rsid w:val="00BF511D"/>
    <w:rsid w:val="00C005E6"/>
    <w:rsid w:val="00C023CD"/>
    <w:rsid w:val="00C02AD4"/>
    <w:rsid w:val="00C038A6"/>
    <w:rsid w:val="00C0633F"/>
    <w:rsid w:val="00C12EA0"/>
    <w:rsid w:val="00C14563"/>
    <w:rsid w:val="00C14C70"/>
    <w:rsid w:val="00C16667"/>
    <w:rsid w:val="00C17688"/>
    <w:rsid w:val="00C17CAF"/>
    <w:rsid w:val="00C206DA"/>
    <w:rsid w:val="00C27288"/>
    <w:rsid w:val="00C313A3"/>
    <w:rsid w:val="00C31717"/>
    <w:rsid w:val="00C35729"/>
    <w:rsid w:val="00C36581"/>
    <w:rsid w:val="00C3700B"/>
    <w:rsid w:val="00C4055C"/>
    <w:rsid w:val="00C411C7"/>
    <w:rsid w:val="00C46FCE"/>
    <w:rsid w:val="00C53B85"/>
    <w:rsid w:val="00C57125"/>
    <w:rsid w:val="00C60AD3"/>
    <w:rsid w:val="00C61B68"/>
    <w:rsid w:val="00C640EB"/>
    <w:rsid w:val="00C64AEA"/>
    <w:rsid w:val="00C67221"/>
    <w:rsid w:val="00C67A67"/>
    <w:rsid w:val="00C71AB0"/>
    <w:rsid w:val="00C71D0E"/>
    <w:rsid w:val="00C73C12"/>
    <w:rsid w:val="00C74E88"/>
    <w:rsid w:val="00C774BE"/>
    <w:rsid w:val="00C85C49"/>
    <w:rsid w:val="00C87D85"/>
    <w:rsid w:val="00C90E78"/>
    <w:rsid w:val="00C92352"/>
    <w:rsid w:val="00C9608D"/>
    <w:rsid w:val="00CA676F"/>
    <w:rsid w:val="00CA7CF6"/>
    <w:rsid w:val="00CC283B"/>
    <w:rsid w:val="00CC2E7E"/>
    <w:rsid w:val="00CC6638"/>
    <w:rsid w:val="00CC67BB"/>
    <w:rsid w:val="00CD3473"/>
    <w:rsid w:val="00CD3DFC"/>
    <w:rsid w:val="00CD45AF"/>
    <w:rsid w:val="00CD48C2"/>
    <w:rsid w:val="00CD56DB"/>
    <w:rsid w:val="00CD7EDB"/>
    <w:rsid w:val="00CE526A"/>
    <w:rsid w:val="00CE546A"/>
    <w:rsid w:val="00CF3848"/>
    <w:rsid w:val="00CF446A"/>
    <w:rsid w:val="00D03298"/>
    <w:rsid w:val="00D057A6"/>
    <w:rsid w:val="00D063C5"/>
    <w:rsid w:val="00D06CCF"/>
    <w:rsid w:val="00D076EE"/>
    <w:rsid w:val="00D07983"/>
    <w:rsid w:val="00D107CA"/>
    <w:rsid w:val="00D15BAD"/>
    <w:rsid w:val="00D253CF"/>
    <w:rsid w:val="00D35558"/>
    <w:rsid w:val="00D40CF4"/>
    <w:rsid w:val="00D41B4A"/>
    <w:rsid w:val="00D41D5B"/>
    <w:rsid w:val="00D452C5"/>
    <w:rsid w:val="00D472C6"/>
    <w:rsid w:val="00D5196F"/>
    <w:rsid w:val="00D53C12"/>
    <w:rsid w:val="00D55A59"/>
    <w:rsid w:val="00D62889"/>
    <w:rsid w:val="00D62D7A"/>
    <w:rsid w:val="00D66969"/>
    <w:rsid w:val="00D66D2D"/>
    <w:rsid w:val="00D70806"/>
    <w:rsid w:val="00D71E3C"/>
    <w:rsid w:val="00D73BB5"/>
    <w:rsid w:val="00D73DD0"/>
    <w:rsid w:val="00D741E7"/>
    <w:rsid w:val="00D81B5D"/>
    <w:rsid w:val="00D8506A"/>
    <w:rsid w:val="00D85557"/>
    <w:rsid w:val="00D85B8D"/>
    <w:rsid w:val="00D87227"/>
    <w:rsid w:val="00D87C9E"/>
    <w:rsid w:val="00D915A8"/>
    <w:rsid w:val="00D9235A"/>
    <w:rsid w:val="00D93372"/>
    <w:rsid w:val="00D95C43"/>
    <w:rsid w:val="00DA3C42"/>
    <w:rsid w:val="00DA675B"/>
    <w:rsid w:val="00DA7AAF"/>
    <w:rsid w:val="00DB1588"/>
    <w:rsid w:val="00DB1E40"/>
    <w:rsid w:val="00DB518F"/>
    <w:rsid w:val="00DB68A7"/>
    <w:rsid w:val="00DC2FA4"/>
    <w:rsid w:val="00DC401A"/>
    <w:rsid w:val="00DC4CA2"/>
    <w:rsid w:val="00DC6F3D"/>
    <w:rsid w:val="00DC790C"/>
    <w:rsid w:val="00DC7FA5"/>
    <w:rsid w:val="00DD0403"/>
    <w:rsid w:val="00DD3CA5"/>
    <w:rsid w:val="00DD4813"/>
    <w:rsid w:val="00DE1D9E"/>
    <w:rsid w:val="00DE3AFE"/>
    <w:rsid w:val="00DE4062"/>
    <w:rsid w:val="00DE7074"/>
    <w:rsid w:val="00DF0CB5"/>
    <w:rsid w:val="00DF3459"/>
    <w:rsid w:val="00DF5E62"/>
    <w:rsid w:val="00E04E64"/>
    <w:rsid w:val="00E067F1"/>
    <w:rsid w:val="00E11098"/>
    <w:rsid w:val="00E123B8"/>
    <w:rsid w:val="00E1287E"/>
    <w:rsid w:val="00E1518F"/>
    <w:rsid w:val="00E24937"/>
    <w:rsid w:val="00E274F5"/>
    <w:rsid w:val="00E308F4"/>
    <w:rsid w:val="00E30972"/>
    <w:rsid w:val="00E36D0C"/>
    <w:rsid w:val="00E37438"/>
    <w:rsid w:val="00E41B82"/>
    <w:rsid w:val="00E4342E"/>
    <w:rsid w:val="00E43B65"/>
    <w:rsid w:val="00E45365"/>
    <w:rsid w:val="00E458CC"/>
    <w:rsid w:val="00E47865"/>
    <w:rsid w:val="00E50FD8"/>
    <w:rsid w:val="00E52F57"/>
    <w:rsid w:val="00E5433C"/>
    <w:rsid w:val="00E56310"/>
    <w:rsid w:val="00E6197C"/>
    <w:rsid w:val="00E64DFF"/>
    <w:rsid w:val="00E72EB8"/>
    <w:rsid w:val="00E7403E"/>
    <w:rsid w:val="00E776A1"/>
    <w:rsid w:val="00E81189"/>
    <w:rsid w:val="00E85A9F"/>
    <w:rsid w:val="00E87BF1"/>
    <w:rsid w:val="00E926FE"/>
    <w:rsid w:val="00EA0AFD"/>
    <w:rsid w:val="00EA134E"/>
    <w:rsid w:val="00EA243A"/>
    <w:rsid w:val="00EA4134"/>
    <w:rsid w:val="00EA7CF3"/>
    <w:rsid w:val="00EB36DC"/>
    <w:rsid w:val="00EB7147"/>
    <w:rsid w:val="00EB72AF"/>
    <w:rsid w:val="00EC0773"/>
    <w:rsid w:val="00EC587A"/>
    <w:rsid w:val="00ED0EF5"/>
    <w:rsid w:val="00ED54BF"/>
    <w:rsid w:val="00EE1AD1"/>
    <w:rsid w:val="00F06929"/>
    <w:rsid w:val="00F10B0E"/>
    <w:rsid w:val="00F12A06"/>
    <w:rsid w:val="00F152E0"/>
    <w:rsid w:val="00F16D4A"/>
    <w:rsid w:val="00F17BDD"/>
    <w:rsid w:val="00F17FB4"/>
    <w:rsid w:val="00F2686D"/>
    <w:rsid w:val="00F3381D"/>
    <w:rsid w:val="00F36197"/>
    <w:rsid w:val="00F3768E"/>
    <w:rsid w:val="00F3769A"/>
    <w:rsid w:val="00F44DEA"/>
    <w:rsid w:val="00F47E65"/>
    <w:rsid w:val="00F52D61"/>
    <w:rsid w:val="00F70608"/>
    <w:rsid w:val="00F712BC"/>
    <w:rsid w:val="00F741FF"/>
    <w:rsid w:val="00F75A92"/>
    <w:rsid w:val="00F82390"/>
    <w:rsid w:val="00F835B9"/>
    <w:rsid w:val="00F857E7"/>
    <w:rsid w:val="00F85927"/>
    <w:rsid w:val="00F87B34"/>
    <w:rsid w:val="00F93039"/>
    <w:rsid w:val="00F933F2"/>
    <w:rsid w:val="00F948FC"/>
    <w:rsid w:val="00F96CB7"/>
    <w:rsid w:val="00F971F7"/>
    <w:rsid w:val="00FA0D02"/>
    <w:rsid w:val="00FA478D"/>
    <w:rsid w:val="00FB581D"/>
    <w:rsid w:val="00FC3A9A"/>
    <w:rsid w:val="00FC6589"/>
    <w:rsid w:val="00FC671C"/>
    <w:rsid w:val="00FC6739"/>
    <w:rsid w:val="00FC6E7B"/>
    <w:rsid w:val="00FD0BC0"/>
    <w:rsid w:val="00FD36F4"/>
    <w:rsid w:val="00FD54FE"/>
    <w:rsid w:val="00FD6C0F"/>
    <w:rsid w:val="00FD7754"/>
    <w:rsid w:val="00FE05EC"/>
    <w:rsid w:val="00FE3208"/>
    <w:rsid w:val="00FE3490"/>
    <w:rsid w:val="00FE36DB"/>
    <w:rsid w:val="00FE4621"/>
    <w:rsid w:val="00FE513C"/>
    <w:rsid w:val="00FE6C09"/>
    <w:rsid w:val="00FE7882"/>
    <w:rsid w:val="00FF17E4"/>
    <w:rsid w:val="00FF33FE"/>
    <w:rsid w:val="00FF6C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D3B23"/>
  <w15:docId w15:val="{C0D8F6EC-EE25-4D54-AEE9-1C91FE3E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4A2"/>
  </w:style>
  <w:style w:type="paragraph" w:styleId="Heading1">
    <w:name w:val="heading 1"/>
    <w:basedOn w:val="Title"/>
    <w:next w:val="Normal"/>
    <w:link w:val="Heading1Char"/>
    <w:uiPriority w:val="9"/>
    <w:qFormat/>
    <w:rsid w:val="00B06200"/>
    <w:pPr>
      <w:keepNext/>
      <w:numPr>
        <w:numId w:val="4"/>
      </w:numPr>
      <w:pBdr>
        <w:bottom w:val="none" w:sz="0" w:space="0" w:color="auto"/>
      </w:pBdr>
      <w:tabs>
        <w:tab w:val="left" w:pos="567"/>
      </w:tabs>
      <w:spacing w:after="240"/>
      <w:ind w:left="567" w:hanging="567"/>
      <w:jc w:val="both"/>
      <w:outlineLvl w:val="0"/>
    </w:pPr>
    <w:rPr>
      <w:rFonts w:asciiTheme="minorHAnsi" w:hAnsiTheme="minorHAnsi" w:cstheme="minorHAnsi"/>
      <w:b/>
      <w:bCs/>
      <w:iCs/>
      <w:color w:val="FF0000"/>
      <w:sz w:val="32"/>
      <w:szCs w:val="32"/>
    </w:rPr>
  </w:style>
  <w:style w:type="paragraph" w:styleId="Heading2">
    <w:name w:val="heading 2"/>
    <w:basedOn w:val="Normal"/>
    <w:next w:val="Normal"/>
    <w:link w:val="Heading2Char"/>
    <w:uiPriority w:val="9"/>
    <w:unhideWhenUsed/>
    <w:qFormat/>
    <w:rsid w:val="00E72EB8"/>
    <w:pPr>
      <w:tabs>
        <w:tab w:val="left" w:pos="426"/>
        <w:tab w:val="right" w:pos="9360"/>
      </w:tabs>
      <w:spacing w:after="240" w:line="240" w:lineRule="auto"/>
      <w:ind w:left="426" w:hanging="426"/>
      <w:outlineLvl w:val="1"/>
    </w:pPr>
    <w:rPr>
      <w:rFonts w:ascii="Calibri" w:eastAsia="Calibri" w:hAnsi="Calibri" w:cs="Arial"/>
      <w:color w:val="FF0000"/>
      <w:sz w:val="28"/>
      <w:szCs w:val="28"/>
    </w:rPr>
  </w:style>
  <w:style w:type="paragraph" w:styleId="Heading3">
    <w:name w:val="heading 3"/>
    <w:basedOn w:val="Normal"/>
    <w:next w:val="Normal"/>
    <w:link w:val="Heading3Char"/>
    <w:uiPriority w:val="9"/>
    <w:unhideWhenUsed/>
    <w:qFormat/>
    <w:rsid w:val="00560E79"/>
    <w:pPr>
      <w:keepNext/>
      <w:keepLines/>
      <w:numPr>
        <w:ilvl w:val="2"/>
        <w:numId w:val="4"/>
      </w:numPr>
      <w:bidi/>
      <w:spacing w:before="240" w:after="360" w:line="360" w:lineRule="auto"/>
      <w:jc w:val="both"/>
      <w:outlineLvl w:val="2"/>
    </w:pPr>
    <w:rPr>
      <w:rFonts w:asciiTheme="majorHAnsi" w:eastAsiaTheme="majorEastAsia" w:hAnsiTheme="majorHAnsi" w:cs="Arial"/>
      <w:b/>
      <w:bCs/>
      <w:color w:val="00206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Shading1-Accent11">
    <w:name w:val="Medium Shading 1 - Accent 11"/>
    <w:basedOn w:val="TableNormal"/>
    <w:next w:val="MediumShading1-Accent1"/>
    <w:uiPriority w:val="63"/>
    <w:rsid w:val="00B056B5"/>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56B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BodyText"/>
    <w:link w:val="FootnoteTextChar"/>
    <w:uiPriority w:val="99"/>
    <w:unhideWhenUsed/>
    <w:rsid w:val="00B06200"/>
    <w:pPr>
      <w:spacing w:after="0" w:line="240" w:lineRule="auto"/>
      <w:jc w:val="left"/>
    </w:pPr>
    <w:rPr>
      <w:sz w:val="20"/>
      <w:szCs w:val="20"/>
    </w:rPr>
  </w:style>
  <w:style w:type="character" w:customStyle="1" w:styleId="FootnoteTextChar">
    <w:name w:val="Footnote Text Char"/>
    <w:basedOn w:val="DefaultParagraphFont"/>
    <w:link w:val="FootnoteText"/>
    <w:uiPriority w:val="99"/>
    <w:rsid w:val="00B06200"/>
    <w:rPr>
      <w:rFonts w:eastAsia="Calibri" w:cs="Times New Roman"/>
      <w:sz w:val="20"/>
      <w:szCs w:val="20"/>
    </w:rPr>
  </w:style>
  <w:style w:type="character" w:styleId="FootnoteReference">
    <w:name w:val="footnote reference"/>
    <w:basedOn w:val="DefaultParagraphFont"/>
    <w:uiPriority w:val="99"/>
    <w:semiHidden/>
    <w:unhideWhenUsed/>
    <w:rsid w:val="00B056B5"/>
    <w:rPr>
      <w:vertAlign w:val="superscript"/>
    </w:rPr>
  </w:style>
  <w:style w:type="table" w:customStyle="1" w:styleId="MediumShading1-Accent12">
    <w:name w:val="Medium Shading 1 - Accent 12"/>
    <w:basedOn w:val="TableNormal"/>
    <w:next w:val="MediumShading1-Accent1"/>
    <w:uiPriority w:val="63"/>
    <w:rsid w:val="00B056B5"/>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B05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6B5"/>
    <w:rPr>
      <w:rFonts w:ascii="Tahoma" w:hAnsi="Tahoma" w:cs="Tahoma"/>
      <w:sz w:val="16"/>
      <w:szCs w:val="16"/>
    </w:rPr>
  </w:style>
  <w:style w:type="table" w:customStyle="1" w:styleId="MediumShading1-Accent13">
    <w:name w:val="Medium Shading 1 - Accent 13"/>
    <w:basedOn w:val="TableNormal"/>
    <w:next w:val="MediumShading1-Accent1"/>
    <w:uiPriority w:val="63"/>
    <w:rsid w:val="00B056B5"/>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4">
    <w:name w:val="Medium Shading 1 - Accent 14"/>
    <w:basedOn w:val="TableNormal"/>
    <w:next w:val="MediumShading1-Accent1"/>
    <w:uiPriority w:val="63"/>
    <w:rsid w:val="00E7403E"/>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5">
    <w:name w:val="Medium Shading 1 - Accent 15"/>
    <w:basedOn w:val="TableNormal"/>
    <w:next w:val="MediumShading1-Accent1"/>
    <w:uiPriority w:val="63"/>
    <w:rsid w:val="00DC401A"/>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6">
    <w:name w:val="Medium Shading 1 - Accent 16"/>
    <w:basedOn w:val="TableNormal"/>
    <w:next w:val="MediumShading1-Accent1"/>
    <w:uiPriority w:val="63"/>
    <w:rsid w:val="00176C3E"/>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7">
    <w:name w:val="Medium Shading 1 - Accent 17"/>
    <w:basedOn w:val="TableNormal"/>
    <w:next w:val="MediumShading1-Accent1"/>
    <w:uiPriority w:val="63"/>
    <w:rsid w:val="00176C3E"/>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CD3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473"/>
  </w:style>
  <w:style w:type="paragraph" w:styleId="Footer">
    <w:name w:val="footer"/>
    <w:basedOn w:val="Normal"/>
    <w:link w:val="FooterChar"/>
    <w:uiPriority w:val="99"/>
    <w:unhideWhenUsed/>
    <w:rsid w:val="00CD3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473"/>
  </w:style>
  <w:style w:type="paragraph" w:styleId="ListParagraph">
    <w:name w:val="List Paragraph"/>
    <w:basedOn w:val="Normal"/>
    <w:link w:val="ListParagraphChar"/>
    <w:uiPriority w:val="34"/>
    <w:qFormat/>
    <w:rsid w:val="00B77962"/>
    <w:pPr>
      <w:numPr>
        <w:numId w:val="3"/>
      </w:numPr>
      <w:spacing w:line="300" w:lineRule="auto"/>
      <w:contextualSpacing/>
      <w:jc w:val="both"/>
    </w:pPr>
    <w:rPr>
      <w:rFonts w:eastAsia="Calibri" w:cs="Times New Roman"/>
      <w:sz w:val="24"/>
      <w:szCs w:val="24"/>
    </w:rPr>
  </w:style>
  <w:style w:type="character" w:customStyle="1" w:styleId="ListParagraphChar">
    <w:name w:val="List Paragraph Char"/>
    <w:link w:val="ListParagraph"/>
    <w:uiPriority w:val="34"/>
    <w:rsid w:val="00B77962"/>
    <w:rPr>
      <w:rFonts w:eastAsia="Calibri" w:cs="Times New Roman"/>
      <w:sz w:val="24"/>
      <w:szCs w:val="24"/>
    </w:rPr>
  </w:style>
  <w:style w:type="character" w:customStyle="1" w:styleId="Heading1Char">
    <w:name w:val="Heading 1 Char"/>
    <w:basedOn w:val="DefaultParagraphFont"/>
    <w:link w:val="Heading1"/>
    <w:uiPriority w:val="9"/>
    <w:rsid w:val="00B06200"/>
    <w:rPr>
      <w:rFonts w:eastAsiaTheme="majorEastAsia" w:cstheme="minorHAnsi"/>
      <w:b/>
      <w:bCs/>
      <w:iCs/>
      <w:color w:val="FF0000"/>
      <w:spacing w:val="5"/>
      <w:kern w:val="28"/>
      <w:sz w:val="32"/>
      <w:szCs w:val="32"/>
    </w:rPr>
  </w:style>
  <w:style w:type="character" w:customStyle="1" w:styleId="Heading2Char">
    <w:name w:val="Heading 2 Char"/>
    <w:basedOn w:val="DefaultParagraphFont"/>
    <w:link w:val="Heading2"/>
    <w:uiPriority w:val="9"/>
    <w:rsid w:val="00E72EB8"/>
    <w:rPr>
      <w:rFonts w:ascii="Calibri" w:eastAsia="Calibri" w:hAnsi="Calibri" w:cs="Arial"/>
      <w:color w:val="FF0000"/>
      <w:sz w:val="28"/>
      <w:szCs w:val="28"/>
    </w:rPr>
  </w:style>
  <w:style w:type="character" w:customStyle="1" w:styleId="Heading3Char">
    <w:name w:val="Heading 3 Char"/>
    <w:basedOn w:val="DefaultParagraphFont"/>
    <w:link w:val="Heading3"/>
    <w:uiPriority w:val="9"/>
    <w:rsid w:val="00560E79"/>
    <w:rPr>
      <w:rFonts w:asciiTheme="majorHAnsi" w:eastAsiaTheme="majorEastAsia" w:hAnsiTheme="majorHAnsi" w:cs="Arial"/>
      <w:b/>
      <w:bCs/>
      <w:color w:val="002060"/>
      <w:szCs w:val="28"/>
    </w:rPr>
  </w:style>
  <w:style w:type="paragraph" w:styleId="Title">
    <w:name w:val="Title"/>
    <w:basedOn w:val="Normal"/>
    <w:next w:val="Normal"/>
    <w:link w:val="TitleChar"/>
    <w:uiPriority w:val="10"/>
    <w:qFormat/>
    <w:rsid w:val="00560E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0E79"/>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qFormat/>
    <w:rsid w:val="004E2385"/>
    <w:pPr>
      <w:spacing w:after="120" w:line="360" w:lineRule="auto"/>
      <w:jc w:val="both"/>
    </w:pPr>
    <w:rPr>
      <w:rFonts w:eastAsia="Calibri" w:cs="Times New Roman"/>
      <w:sz w:val="24"/>
      <w:szCs w:val="24"/>
    </w:rPr>
  </w:style>
  <w:style w:type="character" w:customStyle="1" w:styleId="BodyTextChar">
    <w:name w:val="Body Text Char"/>
    <w:basedOn w:val="DefaultParagraphFont"/>
    <w:link w:val="BodyText"/>
    <w:uiPriority w:val="99"/>
    <w:rsid w:val="004E2385"/>
    <w:rPr>
      <w:rFonts w:eastAsia="Calibri" w:cs="Times New Roman"/>
      <w:sz w:val="24"/>
      <w:szCs w:val="24"/>
    </w:rPr>
  </w:style>
  <w:style w:type="paragraph" w:styleId="EndnoteText">
    <w:name w:val="endnote text"/>
    <w:basedOn w:val="Normal"/>
    <w:link w:val="EndnoteTextChar"/>
    <w:uiPriority w:val="99"/>
    <w:semiHidden/>
    <w:unhideWhenUsed/>
    <w:rsid w:val="005855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55A"/>
    <w:rPr>
      <w:sz w:val="20"/>
      <w:szCs w:val="20"/>
    </w:rPr>
  </w:style>
  <w:style w:type="character" w:styleId="EndnoteReference">
    <w:name w:val="endnote reference"/>
    <w:basedOn w:val="DefaultParagraphFont"/>
    <w:uiPriority w:val="99"/>
    <w:semiHidden/>
    <w:unhideWhenUsed/>
    <w:rsid w:val="0058555A"/>
    <w:rPr>
      <w:vertAlign w:val="superscript"/>
    </w:rPr>
  </w:style>
  <w:style w:type="paragraph" w:customStyle="1" w:styleId="Graphnote">
    <w:name w:val="Graph note"/>
    <w:link w:val="GraphnoteChar"/>
    <w:qFormat/>
    <w:rsid w:val="00133247"/>
    <w:pPr>
      <w:spacing w:line="300" w:lineRule="auto"/>
      <w:contextualSpacing/>
    </w:pPr>
    <w:rPr>
      <w:rFonts w:ascii="Calibri" w:eastAsia="Calibri" w:hAnsi="Calibri" w:cs="Arial"/>
      <w:sz w:val="20"/>
      <w:szCs w:val="20"/>
    </w:rPr>
  </w:style>
  <w:style w:type="character" w:customStyle="1" w:styleId="GraphnoteChar">
    <w:name w:val="Graph note Char"/>
    <w:basedOn w:val="BodyTextChar"/>
    <w:link w:val="Graphnote"/>
    <w:rsid w:val="00133247"/>
    <w:rPr>
      <w:rFonts w:ascii="Calibri" w:eastAsia="Calibri" w:hAnsi="Calibri" w:cs="Arial"/>
      <w:sz w:val="20"/>
      <w:szCs w:val="20"/>
    </w:rPr>
  </w:style>
  <w:style w:type="paragraph" w:customStyle="1" w:styleId="tabletext">
    <w:name w:val="table text"/>
    <w:basedOn w:val="Normal"/>
    <w:qFormat/>
    <w:rsid w:val="00DD3CA5"/>
    <w:pPr>
      <w:spacing w:after="0" w:line="240" w:lineRule="auto"/>
    </w:pPr>
    <w:rPr>
      <w:rFonts w:cs="David"/>
      <w:b/>
      <w:bCs/>
      <w:color w:val="000000"/>
    </w:rPr>
  </w:style>
  <w:style w:type="paragraph" w:customStyle="1" w:styleId="Tableheader">
    <w:name w:val="Table header"/>
    <w:basedOn w:val="Normal"/>
    <w:qFormat/>
    <w:rsid w:val="00B77962"/>
    <w:pPr>
      <w:widowControl w:val="0"/>
      <w:spacing w:after="0" w:line="240" w:lineRule="auto"/>
      <w:jc w:val="center"/>
    </w:pPr>
    <w:rPr>
      <w:rFonts w:cs="Miriam"/>
      <w:b/>
      <w:bCs/>
      <w:color w:val="FFFFFF" w:themeColor="background1"/>
    </w:rPr>
  </w:style>
  <w:style w:type="paragraph" w:customStyle="1" w:styleId="Tablenumbers">
    <w:name w:val="Table numbers"/>
    <w:basedOn w:val="Normal"/>
    <w:qFormat/>
    <w:rsid w:val="00B77962"/>
    <w:pPr>
      <w:widowControl w:val="0"/>
      <w:spacing w:after="0" w:line="240" w:lineRule="auto"/>
      <w:jc w:val="right"/>
    </w:pPr>
    <w:rPr>
      <w:rFonts w:cstheme="minorHAnsi"/>
      <w:color w:val="000000"/>
    </w:rPr>
  </w:style>
  <w:style w:type="table" w:customStyle="1" w:styleId="MediumShading1-Accent18">
    <w:name w:val="Medium Shading 1 - Accent 18"/>
    <w:basedOn w:val="TableNormal"/>
    <w:next w:val="MediumShading1-Accent1"/>
    <w:uiPriority w:val="63"/>
    <w:rsid w:val="005A3066"/>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Normal1">
    <w:name w:val="Normal1"/>
    <w:rsid w:val="002D179E"/>
    <w:pPr>
      <w:spacing w:after="0" w:line="240" w:lineRule="auto"/>
    </w:pPr>
    <w:rPr>
      <w:rFonts w:ascii="Calibri" w:eastAsia="Calibri" w:hAnsi="Calibri" w:cs="Calibri"/>
      <w:color w:val="000000"/>
      <w:sz w:val="24"/>
      <w:szCs w:val="24"/>
      <w:lang w:bidi="ar-SA"/>
    </w:rPr>
  </w:style>
  <w:style w:type="character" w:styleId="CommentReference">
    <w:name w:val="annotation reference"/>
    <w:basedOn w:val="DefaultParagraphFont"/>
    <w:uiPriority w:val="99"/>
    <w:semiHidden/>
    <w:unhideWhenUsed/>
    <w:rsid w:val="00447484"/>
    <w:rPr>
      <w:sz w:val="16"/>
      <w:szCs w:val="16"/>
    </w:rPr>
  </w:style>
  <w:style w:type="paragraph" w:styleId="CommentText">
    <w:name w:val="annotation text"/>
    <w:basedOn w:val="Normal"/>
    <w:link w:val="CommentTextChar"/>
    <w:uiPriority w:val="99"/>
    <w:unhideWhenUsed/>
    <w:rsid w:val="00447484"/>
    <w:pPr>
      <w:spacing w:line="240" w:lineRule="auto"/>
    </w:pPr>
    <w:rPr>
      <w:sz w:val="20"/>
      <w:szCs w:val="20"/>
    </w:rPr>
  </w:style>
  <w:style w:type="character" w:customStyle="1" w:styleId="CommentTextChar">
    <w:name w:val="Comment Text Char"/>
    <w:basedOn w:val="DefaultParagraphFont"/>
    <w:link w:val="CommentText"/>
    <w:uiPriority w:val="99"/>
    <w:rsid w:val="00447484"/>
    <w:rPr>
      <w:sz w:val="20"/>
      <w:szCs w:val="20"/>
    </w:rPr>
  </w:style>
  <w:style w:type="paragraph" w:styleId="CommentSubject">
    <w:name w:val="annotation subject"/>
    <w:basedOn w:val="CommentText"/>
    <w:next w:val="CommentText"/>
    <w:link w:val="CommentSubjectChar"/>
    <w:uiPriority w:val="99"/>
    <w:semiHidden/>
    <w:unhideWhenUsed/>
    <w:rsid w:val="00447484"/>
    <w:rPr>
      <w:b/>
      <w:bCs/>
    </w:rPr>
  </w:style>
  <w:style w:type="character" w:customStyle="1" w:styleId="CommentSubjectChar">
    <w:name w:val="Comment Subject Char"/>
    <w:basedOn w:val="CommentTextChar"/>
    <w:link w:val="CommentSubject"/>
    <w:uiPriority w:val="99"/>
    <w:semiHidden/>
    <w:rsid w:val="00447484"/>
    <w:rPr>
      <w:b/>
      <w:bCs/>
      <w:sz w:val="20"/>
      <w:szCs w:val="20"/>
    </w:rPr>
  </w:style>
  <w:style w:type="paragraph" w:styleId="Revision">
    <w:name w:val="Revision"/>
    <w:hidden/>
    <w:uiPriority w:val="99"/>
    <w:semiHidden/>
    <w:rsid w:val="00FF17E4"/>
    <w:pPr>
      <w:spacing w:after="0" w:line="240" w:lineRule="auto"/>
    </w:pPr>
  </w:style>
  <w:style w:type="paragraph" w:styleId="TOCHeading">
    <w:name w:val="TOC Heading"/>
    <w:basedOn w:val="Heading1"/>
    <w:next w:val="Normal"/>
    <w:uiPriority w:val="39"/>
    <w:unhideWhenUsed/>
    <w:qFormat/>
    <w:rsid w:val="00B76B60"/>
    <w:pPr>
      <w:keepLines/>
      <w:numPr>
        <w:numId w:val="0"/>
      </w:numPr>
      <w:spacing w:before="480" w:after="0" w:line="276" w:lineRule="auto"/>
      <w:contextualSpacing w:val="0"/>
      <w:jc w:val="left"/>
      <w:outlineLvl w:val="9"/>
    </w:pPr>
    <w:rPr>
      <w:rFonts w:cstheme="majorBidi"/>
      <w:iCs w:val="0"/>
      <w:color w:val="365F91" w:themeColor="accent1" w:themeShade="BF"/>
      <w:spacing w:val="0"/>
      <w:kern w:val="0"/>
      <w:sz w:val="28"/>
      <w:szCs w:val="28"/>
      <w:rtl/>
      <w:cs/>
    </w:rPr>
  </w:style>
  <w:style w:type="paragraph" w:styleId="TOC2">
    <w:name w:val="toc 2"/>
    <w:basedOn w:val="Normal"/>
    <w:next w:val="Normal"/>
    <w:autoRedefine/>
    <w:uiPriority w:val="39"/>
    <w:unhideWhenUsed/>
    <w:rsid w:val="00B76B60"/>
    <w:pPr>
      <w:spacing w:after="100"/>
      <w:ind w:left="220"/>
    </w:pPr>
  </w:style>
  <w:style w:type="paragraph" w:styleId="TOC1">
    <w:name w:val="toc 1"/>
    <w:basedOn w:val="Normal"/>
    <w:next w:val="Normal"/>
    <w:autoRedefine/>
    <w:uiPriority w:val="39"/>
    <w:unhideWhenUsed/>
    <w:rsid w:val="00B76B60"/>
    <w:pPr>
      <w:tabs>
        <w:tab w:val="left" w:pos="440"/>
        <w:tab w:val="right" w:leader="dot" w:pos="9017"/>
      </w:tabs>
      <w:spacing w:after="100"/>
      <w:ind w:left="220"/>
    </w:pPr>
  </w:style>
  <w:style w:type="character" w:styleId="Hyperlink">
    <w:name w:val="Hyperlink"/>
    <w:basedOn w:val="DefaultParagraphFont"/>
    <w:uiPriority w:val="99"/>
    <w:unhideWhenUsed/>
    <w:rsid w:val="00B76B60"/>
    <w:rPr>
      <w:color w:val="0000FF" w:themeColor="hyperlink"/>
      <w:u w:val="single"/>
    </w:rPr>
  </w:style>
  <w:style w:type="table" w:customStyle="1" w:styleId="MediumShading1-Accent19">
    <w:name w:val="Medium Shading 1 - Accent 19"/>
    <w:basedOn w:val="TableNormal"/>
    <w:next w:val="MediumShading1-Accent1"/>
    <w:uiPriority w:val="63"/>
    <w:rsid w:val="009B5BF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odyText2">
    <w:name w:val="Body Text 2"/>
    <w:basedOn w:val="Normal"/>
    <w:link w:val="BodyText2Char"/>
    <w:uiPriority w:val="99"/>
    <w:semiHidden/>
    <w:unhideWhenUsed/>
    <w:rsid w:val="00CD3DFC"/>
    <w:pPr>
      <w:spacing w:after="120" w:line="480" w:lineRule="auto"/>
    </w:pPr>
  </w:style>
  <w:style w:type="character" w:customStyle="1" w:styleId="BodyText2Char">
    <w:name w:val="Body Text 2 Char"/>
    <w:basedOn w:val="DefaultParagraphFont"/>
    <w:link w:val="BodyText2"/>
    <w:uiPriority w:val="99"/>
    <w:semiHidden/>
    <w:rsid w:val="00CD3DFC"/>
  </w:style>
  <w:style w:type="paragraph" w:customStyle="1" w:styleId="Graphtitle">
    <w:name w:val="Graph title"/>
    <w:basedOn w:val="Normal"/>
    <w:link w:val="GraphtitleChar"/>
    <w:qFormat/>
    <w:rsid w:val="00B06200"/>
    <w:pPr>
      <w:keepNext/>
      <w:spacing w:after="240" w:line="300" w:lineRule="auto"/>
      <w:contextualSpacing/>
      <w:jc w:val="center"/>
    </w:pPr>
    <w:rPr>
      <w:rFonts w:eastAsia="Calibri" w:cs="Times New Roman"/>
      <w:b/>
      <w:bCs/>
      <w:sz w:val="24"/>
      <w:szCs w:val="24"/>
    </w:rPr>
  </w:style>
  <w:style w:type="character" w:customStyle="1" w:styleId="GraphtitleChar">
    <w:name w:val="Graph title Char"/>
    <w:basedOn w:val="DefaultParagraphFont"/>
    <w:link w:val="Graphtitle"/>
    <w:rsid w:val="00B06200"/>
    <w:rPr>
      <w:rFonts w:eastAsia="Calibri" w:cs="Times New Roman"/>
      <w:b/>
      <w:bCs/>
      <w:sz w:val="24"/>
      <w:szCs w:val="24"/>
    </w:rPr>
  </w:style>
  <w:style w:type="table" w:styleId="TableGrid">
    <w:name w:val="Table Grid"/>
    <w:basedOn w:val="TableNormal"/>
    <w:uiPriority w:val="59"/>
    <w:unhideWhenUsed/>
    <w:rsid w:val="00F06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E5C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552">
      <w:bodyDiv w:val="1"/>
      <w:marLeft w:val="0"/>
      <w:marRight w:val="0"/>
      <w:marTop w:val="0"/>
      <w:marBottom w:val="0"/>
      <w:divBdr>
        <w:top w:val="none" w:sz="0" w:space="0" w:color="auto"/>
        <w:left w:val="none" w:sz="0" w:space="0" w:color="auto"/>
        <w:bottom w:val="none" w:sz="0" w:space="0" w:color="auto"/>
        <w:right w:val="none" w:sz="0" w:space="0" w:color="auto"/>
      </w:divBdr>
    </w:div>
    <w:div w:id="563832917">
      <w:bodyDiv w:val="1"/>
      <w:marLeft w:val="0"/>
      <w:marRight w:val="0"/>
      <w:marTop w:val="0"/>
      <w:marBottom w:val="0"/>
      <w:divBdr>
        <w:top w:val="none" w:sz="0" w:space="0" w:color="auto"/>
        <w:left w:val="none" w:sz="0" w:space="0" w:color="auto"/>
        <w:bottom w:val="none" w:sz="0" w:space="0" w:color="auto"/>
        <w:right w:val="none" w:sz="0" w:space="0" w:color="auto"/>
      </w:divBdr>
      <w:divsChild>
        <w:div w:id="225537126">
          <w:marLeft w:val="0"/>
          <w:marRight w:val="0"/>
          <w:marTop w:val="0"/>
          <w:marBottom w:val="0"/>
          <w:divBdr>
            <w:top w:val="none" w:sz="0" w:space="0" w:color="auto"/>
            <w:left w:val="none" w:sz="0" w:space="0" w:color="auto"/>
            <w:bottom w:val="none" w:sz="0" w:space="0" w:color="auto"/>
            <w:right w:val="none" w:sz="0" w:space="0" w:color="auto"/>
          </w:divBdr>
          <w:divsChild>
            <w:div w:id="1048912552">
              <w:marLeft w:val="0"/>
              <w:marRight w:val="0"/>
              <w:marTop w:val="0"/>
              <w:marBottom w:val="0"/>
              <w:divBdr>
                <w:top w:val="none" w:sz="0" w:space="0" w:color="auto"/>
                <w:left w:val="none" w:sz="0" w:space="0" w:color="auto"/>
                <w:bottom w:val="none" w:sz="0" w:space="0" w:color="auto"/>
                <w:right w:val="none" w:sz="0" w:space="0" w:color="auto"/>
              </w:divBdr>
              <w:divsChild>
                <w:div w:id="104278858">
                  <w:marLeft w:val="0"/>
                  <w:marRight w:val="0"/>
                  <w:marTop w:val="0"/>
                  <w:marBottom w:val="0"/>
                  <w:divBdr>
                    <w:top w:val="none" w:sz="0" w:space="0" w:color="auto"/>
                    <w:left w:val="none" w:sz="0" w:space="0" w:color="auto"/>
                    <w:bottom w:val="none" w:sz="0" w:space="0" w:color="auto"/>
                    <w:right w:val="none" w:sz="0" w:space="0" w:color="auto"/>
                  </w:divBdr>
                  <w:divsChild>
                    <w:div w:id="856308070">
                      <w:marLeft w:val="0"/>
                      <w:marRight w:val="0"/>
                      <w:marTop w:val="0"/>
                      <w:marBottom w:val="0"/>
                      <w:divBdr>
                        <w:top w:val="none" w:sz="0" w:space="0" w:color="auto"/>
                        <w:left w:val="none" w:sz="0" w:space="0" w:color="auto"/>
                        <w:bottom w:val="none" w:sz="0" w:space="0" w:color="auto"/>
                        <w:right w:val="none" w:sz="0" w:space="0" w:color="auto"/>
                      </w:divBdr>
                      <w:divsChild>
                        <w:div w:id="1014071113">
                          <w:marLeft w:val="0"/>
                          <w:marRight w:val="0"/>
                          <w:marTop w:val="0"/>
                          <w:marBottom w:val="0"/>
                          <w:divBdr>
                            <w:top w:val="none" w:sz="0" w:space="0" w:color="auto"/>
                            <w:left w:val="none" w:sz="0" w:space="0" w:color="auto"/>
                            <w:bottom w:val="none" w:sz="0" w:space="0" w:color="auto"/>
                            <w:right w:val="none" w:sz="0" w:space="0" w:color="auto"/>
                          </w:divBdr>
                          <w:divsChild>
                            <w:div w:id="11044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039876">
      <w:bodyDiv w:val="1"/>
      <w:marLeft w:val="0"/>
      <w:marRight w:val="0"/>
      <w:marTop w:val="0"/>
      <w:marBottom w:val="0"/>
      <w:divBdr>
        <w:top w:val="none" w:sz="0" w:space="0" w:color="auto"/>
        <w:left w:val="none" w:sz="0" w:space="0" w:color="auto"/>
        <w:bottom w:val="none" w:sz="0" w:space="0" w:color="auto"/>
        <w:right w:val="none" w:sz="0" w:space="0" w:color="auto"/>
      </w:divBdr>
    </w:div>
    <w:div w:id="18743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4.xml"/><Relationship Id="rId26" Type="http://schemas.openxmlformats.org/officeDocument/2006/relationships/chart" Target="charts/chart9.xml"/><Relationship Id="rId3" Type="http://schemas.openxmlformats.org/officeDocument/2006/relationships/numbering" Target="numbering.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hart" Target="charts/chart3.xml"/><Relationship Id="rId25" Type="http://schemas.openxmlformats.org/officeDocument/2006/relationships/chart" Target="charts/chart8.xml"/><Relationship Id="rId2" Type="http://schemas.openxmlformats.org/officeDocument/2006/relationships/customXml" Target="../customXml/item1.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5.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chart" Target="charts/chart10.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matann\Desktop\&#1500;&#1511;&#1496;%20-%202017\&#1511;&#1489;&#1510;&#1497;%20&#1502;&#1493;&#1491;&#1500;%20&#1500;&#1511;&#1496;\&#1502;&#1493;&#1491;&#1500;%20&#1488;&#1493;&#1489;&#1491;&#1503;%20&#1502;&#1494;&#1493;&#1503;%202017%20-%2031.12%20-%20&#1505;&#1490;&#1497;&#1512;&#1514;%20&#1502;&#1505;&#1508;&#1512;&#1497;&#15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5;&#1511;&#1512;%20&#1492;&#1493;&#1510;&#1488;&#1493;&#1514;%20&#1502;&#1513;&#1511;&#1497;%20&#1492;&#1489;&#1497;&#1514;%20-%20&#1504;&#1497;&#1514;&#1493;&#1495;%20&#1489;&#1512;&#1497;&#1488;&#1493;&#1514;&#1497;.xlsb"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2;&#1493;&#1491;&#1500;%20&#1488;&#1493;&#1489;&#1491;&#1503;%20&#1502;&#1494;&#1493;&#1503;%202017%20-%2020.12%20-%20&#1505;&#1490;&#1497;&#1512;&#1514;%20&#1502;&#1505;&#1508;&#1512;&#1497;&#15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2;&#1493;&#1491;&#1500;%20&#1488;&#1493;&#1489;&#1491;&#1503;%20&#1502;&#1494;&#1493;&#1503;%202017%20-%2022.12%20-%20&#1505;&#1490;&#1497;&#1512;&#1514;%20&#1502;&#1505;&#1508;&#1512;&#1497;&#1501;.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2;&#1493;&#1491;&#1500;%20&#1488;&#1493;&#1489;&#1491;&#1503;%20&#1502;&#1494;&#1493;&#1503;%202017%20-%2031.12%20-%20&#1505;&#1490;&#1497;&#1512;&#1514;%20&#1502;&#1505;&#1508;&#1512;&#1497;&#1501;.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492;&#1493;&#1510;&#1488;&#1492;%20&#1506;&#1500;%20&#1502;&#1494;&#1493;&#1503;%20&#1500;&#1508;&#1497;%20&#1505;&#1493;&#1490;%20&#1495;&#1504;&#1493;&#1514;%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atann\Desktop\&#1500;&#1511;&#1496;%20-%202017\&#1508;&#1512;&#1511;%20&#1488;&#1493;&#1489;&#1491;&#1503;%20&#1502;&#1493;&#1505;&#1491;&#1497;\&#1491;&#1493;&#1512;&#1493;&#1503;\&#1506;&#1493;&#1514;&#1511;%20&#1513;&#1500;%20&#1502;&#1493;&#1491;&#1500;%20&#1495;&#1497;&#1513;&#1493;&#1489;%20&#1492;&#1488;&#1493;&#1489;&#1491;&#1504;&#1497;&#1501;%20&#1502;&#1514;&#1503;%204%20(&#1502;&#1513;&#1493;&#1495;&#1494;&#151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5;&#1511;&#1512;%20&#1492;&#1493;&#1510;&#1488;&#1493;&#1514;%20&#1502;&#1513;&#1511;&#1497;%20&#1492;&#1489;&#1497;&#1514;%20-%20&#1504;&#1497;&#1514;&#1493;&#1495;%20&#1489;&#1512;&#1497;&#1488;&#1493;&#1514;&#1497;.xlsb"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2;&#1493;&#1491;&#1500;%20&#1488;&#1493;&#1489;&#1491;&#1503;%20&#1502;&#1494;&#1493;&#1503;%202017%20-%207.1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2;&#1493;&#1491;&#1500;%20&#1488;&#1493;&#1489;&#1491;&#1503;%20&#1502;&#1494;&#1493;&#1503;%202017%20-%207.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cat>
            <c:strRef>
              <c:f>'טבלאות לתקציר הדוח 2016'!$A$64:$A$65</c:f>
              <c:strCache>
                <c:ptCount val="2"/>
                <c:pt idx="0">
                  <c:v>מזון אבוד עד לשלב התעשייה כולל</c:v>
                </c:pt>
                <c:pt idx="1">
                  <c:v>מזון אבוד משלב הקמעונאות וההפצה ועד שלב הצריכה</c:v>
                </c:pt>
              </c:strCache>
            </c:strRef>
          </c:cat>
          <c:val>
            <c:numRef>
              <c:f>'טבלאות לתקציר הדוח 2016'!$B$64:$B$65</c:f>
              <c:numCache>
                <c:formatCode>#,##0</c:formatCode>
                <c:ptCount val="2"/>
                <c:pt idx="0">
                  <c:v>3770570.2550139115</c:v>
                </c:pt>
                <c:pt idx="1">
                  <c:v>15506306.676023372</c:v>
                </c:pt>
              </c:numCache>
            </c:numRef>
          </c:val>
          <c:extLst>
            <c:ext xmlns:c16="http://schemas.microsoft.com/office/drawing/2014/chart" uri="{C3380CC4-5D6E-409C-BE32-E72D297353CC}">
              <c16:uniqueId val="{00000000-769D-4174-9E37-FEDAF98551A3}"/>
            </c:ext>
          </c:extLst>
        </c:ser>
        <c:dLbls>
          <c:showLegendKey val="0"/>
          <c:showVal val="0"/>
          <c:showCatName val="0"/>
          <c:showSerName val="0"/>
          <c:showPercent val="0"/>
          <c:showBubbleSize val="0"/>
          <c:showLeaderLines val="1"/>
        </c:dLbls>
        <c:firstSliceAng val="360"/>
        <c:holeSize val="50"/>
      </c:doughnutChart>
    </c:plotArea>
    <c:legend>
      <c:legendPos val="l"/>
      <c:layout>
        <c:manualLayout>
          <c:xMode val="edge"/>
          <c:yMode val="edge"/>
          <c:x val="1.3294925769997783E-2"/>
          <c:y val="0.2363127030449865"/>
          <c:w val="0.36049069093484959"/>
          <c:h val="0.52737459391002695"/>
        </c:manualLayout>
      </c:layou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cked"/>
        <c:varyColors val="0"/>
        <c:ser>
          <c:idx val="1"/>
          <c:order val="0"/>
          <c:tx>
            <c:strRef>
              <c:f>'הוצאה לנפש על מזון 2015'!$C$2</c:f>
              <c:strCache>
                <c:ptCount val="1"/>
                <c:pt idx="0">
                  <c:v>מזון (ללא ירקות ופירות) - סך הכל</c:v>
                </c:pt>
              </c:strCache>
            </c:strRef>
          </c:tx>
          <c:cat>
            <c:numRef>
              <c:f>'הוצאה לנפש על מזון 2015'!$A$3:$A$102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'הוצאה לנפש על מזון 2015'!$C$3:$C$102</c:f>
              <c:numCache>
                <c:formatCode>_(* #,##0_);_(* \(#,##0\);_(* "-"??_);_(@_)</c:formatCode>
                <c:ptCount val="100"/>
                <c:pt idx="0">
                  <c:v>194.39957022004563</c:v>
                </c:pt>
                <c:pt idx="1">
                  <c:v>247.71491366014337</c:v>
                </c:pt>
                <c:pt idx="2">
                  <c:v>263.31786820397082</c:v>
                </c:pt>
                <c:pt idx="3">
                  <c:v>249.72413201530472</c:v>
                </c:pt>
                <c:pt idx="4">
                  <c:v>304.83828049572367</c:v>
                </c:pt>
                <c:pt idx="5">
                  <c:v>341.3577361589069</c:v>
                </c:pt>
                <c:pt idx="6">
                  <c:v>312.08188354202991</c:v>
                </c:pt>
                <c:pt idx="7">
                  <c:v>369.88809192639673</c:v>
                </c:pt>
                <c:pt idx="8">
                  <c:v>357.61210982144667</c:v>
                </c:pt>
                <c:pt idx="9">
                  <c:v>380.78315475351138</c:v>
                </c:pt>
                <c:pt idx="10">
                  <c:v>393.44232611000155</c:v>
                </c:pt>
                <c:pt idx="11">
                  <c:v>354.84487954809612</c:v>
                </c:pt>
                <c:pt idx="12">
                  <c:v>420.16038736816296</c:v>
                </c:pt>
                <c:pt idx="13">
                  <c:v>349.35777659580623</c:v>
                </c:pt>
                <c:pt idx="14">
                  <c:v>429.92688574431565</c:v>
                </c:pt>
                <c:pt idx="15">
                  <c:v>413.72705189771506</c:v>
                </c:pt>
                <c:pt idx="16">
                  <c:v>361.46751806514192</c:v>
                </c:pt>
                <c:pt idx="17">
                  <c:v>435.60153482995639</c:v>
                </c:pt>
                <c:pt idx="18">
                  <c:v>449.7532041624317</c:v>
                </c:pt>
                <c:pt idx="19">
                  <c:v>418.24853913494007</c:v>
                </c:pt>
                <c:pt idx="20">
                  <c:v>413.07580500214482</c:v>
                </c:pt>
                <c:pt idx="21">
                  <c:v>419.45333413696983</c:v>
                </c:pt>
                <c:pt idx="22">
                  <c:v>439.25360934046347</c:v>
                </c:pt>
                <c:pt idx="23">
                  <c:v>401.42516551943061</c:v>
                </c:pt>
                <c:pt idx="24">
                  <c:v>430.52048103982787</c:v>
                </c:pt>
                <c:pt idx="25">
                  <c:v>454.32576668928942</c:v>
                </c:pt>
                <c:pt idx="26">
                  <c:v>489.92099447648877</c:v>
                </c:pt>
                <c:pt idx="27">
                  <c:v>462.11780419247208</c:v>
                </c:pt>
                <c:pt idx="28">
                  <c:v>505.9417092013511</c:v>
                </c:pt>
                <c:pt idx="29">
                  <c:v>463.55391886581862</c:v>
                </c:pt>
                <c:pt idx="30">
                  <c:v>460.16513511041421</c:v>
                </c:pt>
                <c:pt idx="31">
                  <c:v>468.00678443440381</c:v>
                </c:pt>
                <c:pt idx="32">
                  <c:v>471.55444180748941</c:v>
                </c:pt>
                <c:pt idx="33">
                  <c:v>515.76177011397192</c:v>
                </c:pt>
                <c:pt idx="34">
                  <c:v>473.99820875555076</c:v>
                </c:pt>
                <c:pt idx="35">
                  <c:v>533.56299443159298</c:v>
                </c:pt>
                <c:pt idx="36">
                  <c:v>477.51413618209182</c:v>
                </c:pt>
                <c:pt idx="37">
                  <c:v>514.18700077638243</c:v>
                </c:pt>
                <c:pt idx="38">
                  <c:v>509.0346775979317</c:v>
                </c:pt>
                <c:pt idx="39">
                  <c:v>478.00105177220979</c:v>
                </c:pt>
                <c:pt idx="40">
                  <c:v>512.36305942401941</c:v>
                </c:pt>
                <c:pt idx="41">
                  <c:v>479.15422658362388</c:v>
                </c:pt>
                <c:pt idx="42">
                  <c:v>523.14272348201621</c:v>
                </c:pt>
                <c:pt idx="43">
                  <c:v>518.79284764765021</c:v>
                </c:pt>
                <c:pt idx="44">
                  <c:v>541.50706014644879</c:v>
                </c:pt>
                <c:pt idx="45">
                  <c:v>546.30302894274962</c:v>
                </c:pt>
                <c:pt idx="46">
                  <c:v>534.71798223036762</c:v>
                </c:pt>
                <c:pt idx="47">
                  <c:v>578.90675755960251</c:v>
                </c:pt>
                <c:pt idx="48">
                  <c:v>542.35818019375392</c:v>
                </c:pt>
                <c:pt idx="49">
                  <c:v>527.06550314208494</c:v>
                </c:pt>
                <c:pt idx="50">
                  <c:v>548.68793156140532</c:v>
                </c:pt>
                <c:pt idx="51">
                  <c:v>480.28769783709663</c:v>
                </c:pt>
                <c:pt idx="52">
                  <c:v>571.70311568278998</c:v>
                </c:pt>
                <c:pt idx="53">
                  <c:v>568.46874451230792</c:v>
                </c:pt>
                <c:pt idx="54">
                  <c:v>585.42527595470688</c:v>
                </c:pt>
                <c:pt idx="55">
                  <c:v>587.40197407760354</c:v>
                </c:pt>
                <c:pt idx="56">
                  <c:v>557.8307123921478</c:v>
                </c:pt>
                <c:pt idx="57">
                  <c:v>564.71999885079072</c:v>
                </c:pt>
                <c:pt idx="58">
                  <c:v>613.27498567992029</c:v>
                </c:pt>
                <c:pt idx="59">
                  <c:v>571.20929057230603</c:v>
                </c:pt>
                <c:pt idx="60">
                  <c:v>666.57968808209694</c:v>
                </c:pt>
                <c:pt idx="61">
                  <c:v>663.87063066312191</c:v>
                </c:pt>
                <c:pt idx="62">
                  <c:v>583.04036158081431</c:v>
                </c:pt>
                <c:pt idx="63">
                  <c:v>558.98637746536883</c:v>
                </c:pt>
                <c:pt idx="64">
                  <c:v>652.16194142171935</c:v>
                </c:pt>
                <c:pt idx="65">
                  <c:v>627.60829941379359</c:v>
                </c:pt>
                <c:pt idx="66">
                  <c:v>602.8301561989947</c:v>
                </c:pt>
                <c:pt idx="67">
                  <c:v>587.39509533923729</c:v>
                </c:pt>
                <c:pt idx="68">
                  <c:v>612.51395573545756</c:v>
                </c:pt>
                <c:pt idx="69">
                  <c:v>630.75344339024264</c:v>
                </c:pt>
                <c:pt idx="70">
                  <c:v>710.6190642205828</c:v>
                </c:pt>
                <c:pt idx="71">
                  <c:v>649.55695181760768</c:v>
                </c:pt>
                <c:pt idx="72">
                  <c:v>582.45667108369855</c:v>
                </c:pt>
                <c:pt idx="73">
                  <c:v>639.82409948078919</c:v>
                </c:pt>
                <c:pt idx="74">
                  <c:v>642.16988517803293</c:v>
                </c:pt>
                <c:pt idx="75">
                  <c:v>631.00537744848975</c:v>
                </c:pt>
                <c:pt idx="76">
                  <c:v>630.76674930904653</c:v>
                </c:pt>
                <c:pt idx="77">
                  <c:v>677.50426168383103</c:v>
                </c:pt>
                <c:pt idx="78">
                  <c:v>724.65917776544575</c:v>
                </c:pt>
                <c:pt idx="79">
                  <c:v>643.937677236318</c:v>
                </c:pt>
                <c:pt idx="80">
                  <c:v>762.3572558640841</c:v>
                </c:pt>
                <c:pt idx="81">
                  <c:v>699.99680560574359</c:v>
                </c:pt>
                <c:pt idx="82">
                  <c:v>639.77502638680335</c:v>
                </c:pt>
                <c:pt idx="83">
                  <c:v>746.58232245179761</c:v>
                </c:pt>
                <c:pt idx="84">
                  <c:v>689.57880383451948</c:v>
                </c:pt>
                <c:pt idx="85">
                  <c:v>798.51446139367044</c:v>
                </c:pt>
                <c:pt idx="86">
                  <c:v>754.41366852734427</c:v>
                </c:pt>
                <c:pt idx="87">
                  <c:v>667.04753646216113</c:v>
                </c:pt>
                <c:pt idx="88">
                  <c:v>789.53376727383511</c:v>
                </c:pt>
                <c:pt idx="89">
                  <c:v>790.57227189069272</c:v>
                </c:pt>
                <c:pt idx="90">
                  <c:v>774.98882722900476</c:v>
                </c:pt>
                <c:pt idx="91">
                  <c:v>742.70702009568981</c:v>
                </c:pt>
                <c:pt idx="92">
                  <c:v>792.68908810472044</c:v>
                </c:pt>
                <c:pt idx="93">
                  <c:v>872.52375429109782</c:v>
                </c:pt>
                <c:pt idx="94">
                  <c:v>808.73454543970752</c:v>
                </c:pt>
                <c:pt idx="95">
                  <c:v>770.66686271117953</c:v>
                </c:pt>
                <c:pt idx="96">
                  <c:v>862.94302702163316</c:v>
                </c:pt>
                <c:pt idx="97">
                  <c:v>1058.9098029536519</c:v>
                </c:pt>
                <c:pt idx="98">
                  <c:v>940.89139991512695</c:v>
                </c:pt>
                <c:pt idx="99">
                  <c:v>1078.7711810305516</c:v>
                </c:pt>
              </c:numCache>
            </c:numRef>
          </c:val>
          <c:extLst>
            <c:ext xmlns:c16="http://schemas.microsoft.com/office/drawing/2014/chart" uri="{C3380CC4-5D6E-409C-BE32-E72D297353CC}">
              <c16:uniqueId val="{00000000-071C-4546-8842-19E39F44F17B}"/>
            </c:ext>
          </c:extLst>
        </c:ser>
        <c:ser>
          <c:idx val="2"/>
          <c:order val="1"/>
          <c:tx>
            <c:strRef>
              <c:f>'הוצאה לנפש על מזון 2015'!$D$2</c:f>
              <c:strCache>
                <c:ptCount val="1"/>
                <c:pt idx="0">
                  <c:v>ירקות ופירות - סך הכל</c:v>
                </c:pt>
              </c:strCache>
            </c:strRef>
          </c:tx>
          <c:cat>
            <c:numRef>
              <c:f>'הוצאה לנפש על מזון 2015'!$A$3:$A$102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'הוצאה לנפש על מזון 2015'!$D$3:$D$102</c:f>
              <c:numCache>
                <c:formatCode>_(* #,##0_);_(* \(#,##0\);_(* "-"??_);_(@_)</c:formatCode>
                <c:ptCount val="100"/>
                <c:pt idx="0">
                  <c:v>66.5535035740224</c:v>
                </c:pt>
                <c:pt idx="1">
                  <c:v>87.176431828738203</c:v>
                </c:pt>
                <c:pt idx="2">
                  <c:v>89.272433118335798</c:v>
                </c:pt>
                <c:pt idx="3">
                  <c:v>83.967552069914149</c:v>
                </c:pt>
                <c:pt idx="4">
                  <c:v>94.402651407572876</c:v>
                </c:pt>
                <c:pt idx="5">
                  <c:v>105.73028737736716</c:v>
                </c:pt>
                <c:pt idx="6">
                  <c:v>100.96628278846622</c:v>
                </c:pt>
                <c:pt idx="7">
                  <c:v>101.88018504677387</c:v>
                </c:pt>
                <c:pt idx="8">
                  <c:v>112.64230274113861</c:v>
                </c:pt>
                <c:pt idx="9">
                  <c:v>109.37885994741455</c:v>
                </c:pt>
                <c:pt idx="10">
                  <c:v>123.91303795138907</c:v>
                </c:pt>
                <c:pt idx="11">
                  <c:v>121.1924340725635</c:v>
                </c:pt>
                <c:pt idx="12">
                  <c:v>126.93564591995857</c:v>
                </c:pt>
                <c:pt idx="13">
                  <c:v>114.17782026705009</c:v>
                </c:pt>
                <c:pt idx="14">
                  <c:v>137.57032192759107</c:v>
                </c:pt>
                <c:pt idx="15">
                  <c:v>131.86585365345277</c:v>
                </c:pt>
                <c:pt idx="16">
                  <c:v>142.92375777815423</c:v>
                </c:pt>
                <c:pt idx="17">
                  <c:v>148.31794369026758</c:v>
                </c:pt>
                <c:pt idx="18">
                  <c:v>140.83038187524016</c:v>
                </c:pt>
                <c:pt idx="19">
                  <c:v>142.47007477161205</c:v>
                </c:pt>
                <c:pt idx="20">
                  <c:v>144.60954435325962</c:v>
                </c:pt>
                <c:pt idx="21">
                  <c:v>129.16851868225692</c:v>
                </c:pt>
                <c:pt idx="22">
                  <c:v>145.2573739911472</c:v>
                </c:pt>
                <c:pt idx="23">
                  <c:v>138.28525277567007</c:v>
                </c:pt>
                <c:pt idx="24">
                  <c:v>173.16852608265964</c:v>
                </c:pt>
                <c:pt idx="25">
                  <c:v>157.85053138699914</c:v>
                </c:pt>
                <c:pt idx="26">
                  <c:v>137.21368850178618</c:v>
                </c:pt>
                <c:pt idx="27">
                  <c:v>138.52777828484918</c:v>
                </c:pt>
                <c:pt idx="28">
                  <c:v>141.00041906418687</c:v>
                </c:pt>
                <c:pt idx="29">
                  <c:v>158.63001296555663</c:v>
                </c:pt>
                <c:pt idx="30">
                  <c:v>145.90670020926186</c:v>
                </c:pt>
                <c:pt idx="31">
                  <c:v>158.54830013718387</c:v>
                </c:pt>
                <c:pt idx="32">
                  <c:v>148.02837426476205</c:v>
                </c:pt>
                <c:pt idx="33">
                  <c:v>148.21485668145235</c:v>
                </c:pt>
                <c:pt idx="34">
                  <c:v>163.01759710286356</c:v>
                </c:pt>
                <c:pt idx="35">
                  <c:v>171.85740779467713</c:v>
                </c:pt>
                <c:pt idx="36">
                  <c:v>158.56615927656816</c:v>
                </c:pt>
                <c:pt idx="37">
                  <c:v>159.89035821883388</c:v>
                </c:pt>
                <c:pt idx="38">
                  <c:v>187.19826723444581</c:v>
                </c:pt>
                <c:pt idx="39">
                  <c:v>153.70331883905163</c:v>
                </c:pt>
                <c:pt idx="40">
                  <c:v>182.38512412976078</c:v>
                </c:pt>
                <c:pt idx="41">
                  <c:v>163.54599010442794</c:v>
                </c:pt>
                <c:pt idx="42">
                  <c:v>149.30959018802182</c:v>
                </c:pt>
                <c:pt idx="43">
                  <c:v>178.92754068856939</c:v>
                </c:pt>
                <c:pt idx="44">
                  <c:v>173.19669381228746</c:v>
                </c:pt>
                <c:pt idx="45">
                  <c:v>171.49860410833699</c:v>
                </c:pt>
                <c:pt idx="46">
                  <c:v>177.15042418644853</c:v>
                </c:pt>
                <c:pt idx="47">
                  <c:v>183.74205248576621</c:v>
                </c:pt>
                <c:pt idx="48">
                  <c:v>192.8732646386859</c:v>
                </c:pt>
                <c:pt idx="49">
                  <c:v>175.29080314556325</c:v>
                </c:pt>
                <c:pt idx="50">
                  <c:v>164.64671351599043</c:v>
                </c:pt>
                <c:pt idx="51">
                  <c:v>177.82162671943905</c:v>
                </c:pt>
                <c:pt idx="52">
                  <c:v>176.63785921140959</c:v>
                </c:pt>
                <c:pt idx="53">
                  <c:v>214.41850173783513</c:v>
                </c:pt>
                <c:pt idx="54">
                  <c:v>194.56856334665409</c:v>
                </c:pt>
                <c:pt idx="55">
                  <c:v>235.76886677265074</c:v>
                </c:pt>
                <c:pt idx="56">
                  <c:v>175.23049929902444</c:v>
                </c:pt>
                <c:pt idx="57">
                  <c:v>199.43540355369876</c:v>
                </c:pt>
                <c:pt idx="58">
                  <c:v>198.2781752719871</c:v>
                </c:pt>
                <c:pt idx="59">
                  <c:v>189.25315966003274</c:v>
                </c:pt>
                <c:pt idx="60">
                  <c:v>193.9992842028812</c:v>
                </c:pt>
                <c:pt idx="61">
                  <c:v>215.08149142488799</c:v>
                </c:pt>
                <c:pt idx="62">
                  <c:v>204.08103496115419</c:v>
                </c:pt>
                <c:pt idx="63">
                  <c:v>199.72662265133991</c:v>
                </c:pt>
                <c:pt idx="64">
                  <c:v>205.98345343392239</c:v>
                </c:pt>
                <c:pt idx="65">
                  <c:v>233.29248639029765</c:v>
                </c:pt>
                <c:pt idx="66">
                  <c:v>199.58442971861334</c:v>
                </c:pt>
                <c:pt idx="67">
                  <c:v>214.33823427242777</c:v>
                </c:pt>
                <c:pt idx="68">
                  <c:v>198.07359867032278</c:v>
                </c:pt>
                <c:pt idx="69">
                  <c:v>243.16017607829488</c:v>
                </c:pt>
                <c:pt idx="70">
                  <c:v>230.18269477269266</c:v>
                </c:pt>
                <c:pt idx="71">
                  <c:v>191.5726218728712</c:v>
                </c:pt>
                <c:pt idx="72">
                  <c:v>212.45075960154401</c:v>
                </c:pt>
                <c:pt idx="73">
                  <c:v>191.81177429448491</c:v>
                </c:pt>
                <c:pt idx="74">
                  <c:v>224.92963094841303</c:v>
                </c:pt>
                <c:pt idx="75">
                  <c:v>247.85658391147956</c:v>
                </c:pt>
                <c:pt idx="76">
                  <c:v>242.24076211616725</c:v>
                </c:pt>
                <c:pt idx="77">
                  <c:v>231.28056218757794</c:v>
                </c:pt>
                <c:pt idx="78">
                  <c:v>263.02951535331113</c:v>
                </c:pt>
                <c:pt idx="79">
                  <c:v>245.48811269132491</c:v>
                </c:pt>
                <c:pt idx="80">
                  <c:v>298.20402176623281</c:v>
                </c:pt>
                <c:pt idx="81">
                  <c:v>246.21843886852676</c:v>
                </c:pt>
                <c:pt idx="82">
                  <c:v>248.66604306761553</c:v>
                </c:pt>
                <c:pt idx="83">
                  <c:v>243.70974767484878</c:v>
                </c:pt>
                <c:pt idx="84">
                  <c:v>249.41896654789028</c:v>
                </c:pt>
                <c:pt idx="85">
                  <c:v>266.73552244172765</c:v>
                </c:pt>
                <c:pt idx="86">
                  <c:v>273.19586891471351</c:v>
                </c:pt>
                <c:pt idx="87">
                  <c:v>231.87112323573112</c:v>
                </c:pt>
                <c:pt idx="88">
                  <c:v>292.7809728841591</c:v>
                </c:pt>
                <c:pt idx="89">
                  <c:v>291.27118345034376</c:v>
                </c:pt>
                <c:pt idx="90">
                  <c:v>316.66937291897898</c:v>
                </c:pt>
                <c:pt idx="91">
                  <c:v>280.01644677375964</c:v>
                </c:pt>
                <c:pt idx="92">
                  <c:v>278.26901699636568</c:v>
                </c:pt>
                <c:pt idx="93">
                  <c:v>314.05806371473551</c:v>
                </c:pt>
                <c:pt idx="94">
                  <c:v>298.84677341080726</c:v>
                </c:pt>
                <c:pt idx="95">
                  <c:v>303.665268221323</c:v>
                </c:pt>
                <c:pt idx="96">
                  <c:v>315.6215807857111</c:v>
                </c:pt>
                <c:pt idx="97">
                  <c:v>352.00618633258478</c:v>
                </c:pt>
                <c:pt idx="98">
                  <c:v>391.60293736806602</c:v>
                </c:pt>
                <c:pt idx="99">
                  <c:v>402.29912204570292</c:v>
                </c:pt>
              </c:numCache>
            </c:numRef>
          </c:val>
          <c:extLst>
            <c:ext xmlns:c16="http://schemas.microsoft.com/office/drawing/2014/chart" uri="{C3380CC4-5D6E-409C-BE32-E72D297353CC}">
              <c16:uniqueId val="{00000001-071C-4546-8842-19E39F44F17B}"/>
            </c:ext>
          </c:extLst>
        </c:ser>
        <c:dLbls>
          <c:showLegendKey val="0"/>
          <c:showVal val="0"/>
          <c:showCatName val="0"/>
          <c:showSerName val="0"/>
          <c:showPercent val="0"/>
          <c:showBubbleSize val="0"/>
        </c:dLbls>
        <c:axId val="321017200"/>
        <c:axId val="321017592"/>
      </c:areaChart>
      <c:lineChart>
        <c:grouping val="standard"/>
        <c:varyColors val="0"/>
        <c:ser>
          <c:idx val="0"/>
          <c:order val="2"/>
          <c:tx>
            <c:strRef>
              <c:f>'הוצאה לנפש על מזון 2015'!$E$2</c:f>
              <c:strCache>
                <c:ptCount val="1"/>
                <c:pt idx="0">
                  <c:v>קו מגמה</c:v>
                </c:pt>
              </c:strCache>
            </c:strRef>
          </c:tx>
          <c:spPr>
            <a:ln>
              <a:noFill/>
            </a:ln>
          </c:spPr>
          <c:marker>
            <c:symbol val="none"/>
          </c:marker>
          <c:trendline>
            <c:spPr>
              <a:ln w="19050"/>
            </c:spPr>
            <c:trendlineType val="poly"/>
            <c:order val="6"/>
            <c:dispRSqr val="0"/>
            <c:dispEq val="0"/>
          </c:trendline>
          <c:cat>
            <c:numRef>
              <c:f>'הוצאה לנפש על מזון 2015'!$A$3:$A$102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'הוצאה לנפש על מזון 2015'!$E$3:$E$102</c:f>
              <c:numCache>
                <c:formatCode>_(* #,##0_);_(* \(#,##0\);_(* "-"??_);_(@_)</c:formatCode>
                <c:ptCount val="100"/>
                <c:pt idx="0">
                  <c:v>260.95307379406802</c:v>
                </c:pt>
                <c:pt idx="1">
                  <c:v>334.8913454888816</c:v>
                </c:pt>
                <c:pt idx="2">
                  <c:v>352.59030132230663</c:v>
                </c:pt>
                <c:pt idx="3">
                  <c:v>333.69168408521887</c:v>
                </c:pt>
                <c:pt idx="4">
                  <c:v>399.24093190329654</c:v>
                </c:pt>
                <c:pt idx="5">
                  <c:v>447.08802353627408</c:v>
                </c:pt>
                <c:pt idx="6">
                  <c:v>413.04816633049614</c:v>
                </c:pt>
                <c:pt idx="7">
                  <c:v>471.7682769731706</c:v>
                </c:pt>
                <c:pt idx="8">
                  <c:v>470.25441256258529</c:v>
                </c:pt>
                <c:pt idx="9">
                  <c:v>490.16201470092597</c:v>
                </c:pt>
                <c:pt idx="10">
                  <c:v>517.35536406139067</c:v>
                </c:pt>
                <c:pt idx="11">
                  <c:v>476.03731362065963</c:v>
                </c:pt>
                <c:pt idx="12">
                  <c:v>547.09603328812159</c:v>
                </c:pt>
                <c:pt idx="13">
                  <c:v>463.53559686285632</c:v>
                </c:pt>
                <c:pt idx="14">
                  <c:v>567.49720767190672</c:v>
                </c:pt>
                <c:pt idx="15">
                  <c:v>545.59290555116786</c:v>
                </c:pt>
                <c:pt idx="16">
                  <c:v>504.39127584329617</c:v>
                </c:pt>
                <c:pt idx="17">
                  <c:v>583.91947852022395</c:v>
                </c:pt>
                <c:pt idx="18">
                  <c:v>590.58358603767192</c:v>
                </c:pt>
                <c:pt idx="19">
                  <c:v>560.71861390655215</c:v>
                </c:pt>
                <c:pt idx="20">
                  <c:v>557.68534935540447</c:v>
                </c:pt>
                <c:pt idx="21">
                  <c:v>548.62185281922677</c:v>
                </c:pt>
                <c:pt idx="22">
                  <c:v>584.51098333161065</c:v>
                </c:pt>
                <c:pt idx="23">
                  <c:v>539.71041829510068</c:v>
                </c:pt>
                <c:pt idx="24">
                  <c:v>603.68900712248751</c:v>
                </c:pt>
                <c:pt idx="25">
                  <c:v>612.1762980762885</c:v>
                </c:pt>
                <c:pt idx="26">
                  <c:v>627.1346829782749</c:v>
                </c:pt>
                <c:pt idx="27">
                  <c:v>600.64558247732123</c:v>
                </c:pt>
                <c:pt idx="28">
                  <c:v>646.94212826553803</c:v>
                </c:pt>
                <c:pt idx="29">
                  <c:v>622.18393183137528</c:v>
                </c:pt>
                <c:pt idx="30">
                  <c:v>606.0718353196761</c:v>
                </c:pt>
                <c:pt idx="31">
                  <c:v>626.55508457158771</c:v>
                </c:pt>
                <c:pt idx="32">
                  <c:v>619.58281607225149</c:v>
                </c:pt>
                <c:pt idx="33">
                  <c:v>663.97662679542429</c:v>
                </c:pt>
                <c:pt idx="34">
                  <c:v>637.0158058584143</c:v>
                </c:pt>
                <c:pt idx="35">
                  <c:v>705.42040222627008</c:v>
                </c:pt>
                <c:pt idx="36">
                  <c:v>636.08029545865998</c:v>
                </c:pt>
                <c:pt idx="37">
                  <c:v>674.07735899521629</c:v>
                </c:pt>
                <c:pt idx="38">
                  <c:v>696.23294483237748</c:v>
                </c:pt>
                <c:pt idx="39">
                  <c:v>631.70437061126142</c:v>
                </c:pt>
                <c:pt idx="40">
                  <c:v>694.74818355378022</c:v>
                </c:pt>
                <c:pt idx="41">
                  <c:v>642.7002166880518</c:v>
                </c:pt>
                <c:pt idx="42">
                  <c:v>672.45231367003805</c:v>
                </c:pt>
                <c:pt idx="43">
                  <c:v>697.72038833621957</c:v>
                </c:pt>
                <c:pt idx="44">
                  <c:v>714.70375395873623</c:v>
                </c:pt>
                <c:pt idx="45">
                  <c:v>717.80163305108658</c:v>
                </c:pt>
                <c:pt idx="46">
                  <c:v>711.86840641681613</c:v>
                </c:pt>
                <c:pt idx="47">
                  <c:v>762.64881004536869</c:v>
                </c:pt>
                <c:pt idx="48">
                  <c:v>735.23144483243982</c:v>
                </c:pt>
                <c:pt idx="49">
                  <c:v>702.35630628764818</c:v>
                </c:pt>
                <c:pt idx="50">
                  <c:v>713.33464507739575</c:v>
                </c:pt>
                <c:pt idx="51">
                  <c:v>658.10932455653574</c:v>
                </c:pt>
                <c:pt idx="52">
                  <c:v>748.34097489419958</c:v>
                </c:pt>
                <c:pt idx="53">
                  <c:v>782.88724625014311</c:v>
                </c:pt>
                <c:pt idx="54">
                  <c:v>779.99383930136094</c:v>
                </c:pt>
                <c:pt idx="55">
                  <c:v>823.17084085025431</c:v>
                </c:pt>
                <c:pt idx="56">
                  <c:v>733.06121169117228</c:v>
                </c:pt>
                <c:pt idx="57">
                  <c:v>764.15540240448945</c:v>
                </c:pt>
                <c:pt idx="58">
                  <c:v>811.55316095190733</c:v>
                </c:pt>
                <c:pt idx="59">
                  <c:v>760.46245023233882</c:v>
                </c:pt>
                <c:pt idx="60">
                  <c:v>860.57897228497814</c:v>
                </c:pt>
                <c:pt idx="61">
                  <c:v>878.9521220880099</c:v>
                </c:pt>
                <c:pt idx="62">
                  <c:v>787.12139654196847</c:v>
                </c:pt>
                <c:pt idx="63">
                  <c:v>758.71300011670871</c:v>
                </c:pt>
                <c:pt idx="64">
                  <c:v>858.14539485564171</c:v>
                </c:pt>
                <c:pt idx="65">
                  <c:v>860.90078580409124</c:v>
                </c:pt>
                <c:pt idx="66">
                  <c:v>802.41458591760806</c:v>
                </c:pt>
                <c:pt idx="67">
                  <c:v>801.73332961166511</c:v>
                </c:pt>
                <c:pt idx="68">
                  <c:v>810.58755440578034</c:v>
                </c:pt>
                <c:pt idx="69">
                  <c:v>873.91361946853749</c:v>
                </c:pt>
                <c:pt idx="70">
                  <c:v>940.80175899327548</c:v>
                </c:pt>
                <c:pt idx="71">
                  <c:v>841.12957369047888</c:v>
                </c:pt>
                <c:pt idx="72">
                  <c:v>794.90743068524262</c:v>
                </c:pt>
                <c:pt idx="73">
                  <c:v>831.63587377527415</c:v>
                </c:pt>
                <c:pt idx="74">
                  <c:v>867.09951612644591</c:v>
                </c:pt>
                <c:pt idx="75">
                  <c:v>878.86196135996931</c:v>
                </c:pt>
                <c:pt idx="76">
                  <c:v>873.00751142521381</c:v>
                </c:pt>
                <c:pt idx="77">
                  <c:v>908.784823871409</c:v>
                </c:pt>
                <c:pt idx="78">
                  <c:v>987.68869311875687</c:v>
                </c:pt>
                <c:pt idx="79">
                  <c:v>889.42578992764288</c:v>
                </c:pt>
                <c:pt idx="80">
                  <c:v>1060.5612776303169</c:v>
                </c:pt>
                <c:pt idx="81">
                  <c:v>946.21524447427032</c:v>
                </c:pt>
                <c:pt idx="82">
                  <c:v>888.44106945441888</c:v>
                </c:pt>
                <c:pt idx="83">
                  <c:v>990.29207012664642</c:v>
                </c:pt>
                <c:pt idx="84">
                  <c:v>938.99777038240973</c:v>
                </c:pt>
                <c:pt idx="85">
                  <c:v>1065.2499838353981</c:v>
                </c:pt>
                <c:pt idx="86">
                  <c:v>1027.6095374420579</c:v>
                </c:pt>
                <c:pt idx="87">
                  <c:v>898.91865969789228</c:v>
                </c:pt>
                <c:pt idx="88">
                  <c:v>1082.3147401579943</c:v>
                </c:pt>
                <c:pt idx="89">
                  <c:v>1081.8434553410366</c:v>
                </c:pt>
                <c:pt idx="90">
                  <c:v>1091.6582001479837</c:v>
                </c:pt>
                <c:pt idx="91">
                  <c:v>1022.7234668694495</c:v>
                </c:pt>
                <c:pt idx="92">
                  <c:v>1070.9581051010862</c:v>
                </c:pt>
                <c:pt idx="93">
                  <c:v>1186.5818180058334</c:v>
                </c:pt>
                <c:pt idx="94">
                  <c:v>1107.5813188505149</c:v>
                </c:pt>
                <c:pt idx="95">
                  <c:v>1074.3321309325024</c:v>
                </c:pt>
                <c:pt idx="96">
                  <c:v>1178.5646078073441</c:v>
                </c:pt>
                <c:pt idx="97">
                  <c:v>1410.9159892862367</c:v>
                </c:pt>
                <c:pt idx="98">
                  <c:v>1332.4943372831931</c:v>
                </c:pt>
                <c:pt idx="99">
                  <c:v>1481.0703030762545</c:v>
                </c:pt>
              </c:numCache>
            </c:numRef>
          </c:val>
          <c:smooth val="0"/>
          <c:extLst>
            <c:ext xmlns:c16="http://schemas.microsoft.com/office/drawing/2014/chart" uri="{C3380CC4-5D6E-409C-BE32-E72D297353CC}">
              <c16:uniqueId val="{00000002-071C-4546-8842-19E39F44F17B}"/>
            </c:ext>
          </c:extLst>
        </c:ser>
        <c:ser>
          <c:idx val="3"/>
          <c:order val="3"/>
          <c:tx>
            <c:strRef>
              <c:f>'הוצאה לנפש על מזון 2015'!$F$2</c:f>
              <c:strCache>
                <c:ptCount val="1"/>
                <c:pt idx="0">
                  <c:v>הוצאה נורמטיבית</c:v>
                </c:pt>
              </c:strCache>
            </c:strRef>
          </c:tx>
          <c:spPr>
            <a:ln w="28575">
              <a:solidFill>
                <a:srgbClr val="FFFF00"/>
              </a:solidFill>
            </a:ln>
          </c:spPr>
          <c:marker>
            <c:symbol val="none"/>
          </c:marker>
          <c:val>
            <c:numRef>
              <c:f>'הוצאה לנפש על מזון 2015'!$F$3:$F$102</c:f>
              <c:numCache>
                <c:formatCode>_(* #,##0_);_(* \(#,##0\);_(* "-"??_);_(@_)</c:formatCode>
                <c:ptCount val="100"/>
                <c:pt idx="0">
                  <c:v>629.51337267524741</c:v>
                </c:pt>
                <c:pt idx="1">
                  <c:v>629.51337267524741</c:v>
                </c:pt>
                <c:pt idx="2">
                  <c:v>629.51337267524741</c:v>
                </c:pt>
                <c:pt idx="3">
                  <c:v>629.51337267524741</c:v>
                </c:pt>
                <c:pt idx="4">
                  <c:v>629.51337267524741</c:v>
                </c:pt>
                <c:pt idx="5">
                  <c:v>629.51337267524741</c:v>
                </c:pt>
                <c:pt idx="6">
                  <c:v>629.51337267524741</c:v>
                </c:pt>
                <c:pt idx="7">
                  <c:v>629.51337267524741</c:v>
                </c:pt>
                <c:pt idx="8">
                  <c:v>629.51337267524741</c:v>
                </c:pt>
                <c:pt idx="9">
                  <c:v>629.51337267524741</c:v>
                </c:pt>
                <c:pt idx="10">
                  <c:v>629.51337267524741</c:v>
                </c:pt>
                <c:pt idx="11">
                  <c:v>629.51337267524741</c:v>
                </c:pt>
                <c:pt idx="12">
                  <c:v>629.51337267524741</c:v>
                </c:pt>
                <c:pt idx="13">
                  <c:v>629.51337267524741</c:v>
                </c:pt>
                <c:pt idx="14">
                  <c:v>629.51337267524741</c:v>
                </c:pt>
                <c:pt idx="15">
                  <c:v>629.51337267524741</c:v>
                </c:pt>
                <c:pt idx="16">
                  <c:v>629.51337267524741</c:v>
                </c:pt>
                <c:pt idx="17">
                  <c:v>629.51337267524741</c:v>
                </c:pt>
                <c:pt idx="18">
                  <c:v>629.51337267524741</c:v>
                </c:pt>
                <c:pt idx="19">
                  <c:v>629.51337267524741</c:v>
                </c:pt>
                <c:pt idx="20">
                  <c:v>629.51337267524741</c:v>
                </c:pt>
                <c:pt idx="21">
                  <c:v>629.51337267524741</c:v>
                </c:pt>
                <c:pt idx="22">
                  <c:v>629.51337267524741</c:v>
                </c:pt>
                <c:pt idx="23">
                  <c:v>629.51337267524741</c:v>
                </c:pt>
                <c:pt idx="24">
                  <c:v>629.51337267524741</c:v>
                </c:pt>
                <c:pt idx="25">
                  <c:v>629.51337267524741</c:v>
                </c:pt>
                <c:pt idx="26">
                  <c:v>629.51337267524741</c:v>
                </c:pt>
                <c:pt idx="27">
                  <c:v>629.51337267524741</c:v>
                </c:pt>
                <c:pt idx="28">
                  <c:v>629.51337267524741</c:v>
                </c:pt>
                <c:pt idx="29">
                  <c:v>629.51337267524741</c:v>
                </c:pt>
                <c:pt idx="30">
                  <c:v>629.51337267524741</c:v>
                </c:pt>
                <c:pt idx="31">
                  <c:v>629.51337267524741</c:v>
                </c:pt>
                <c:pt idx="32">
                  <c:v>629.51337267524741</c:v>
                </c:pt>
                <c:pt idx="33">
                  <c:v>629.51337267524741</c:v>
                </c:pt>
                <c:pt idx="34">
                  <c:v>629.51337267524741</c:v>
                </c:pt>
                <c:pt idx="35">
                  <c:v>629.51337267524741</c:v>
                </c:pt>
                <c:pt idx="36">
                  <c:v>629.51337267524741</c:v>
                </c:pt>
                <c:pt idx="37">
                  <c:v>629.51337267524741</c:v>
                </c:pt>
                <c:pt idx="38">
                  <c:v>629.51337267524741</c:v>
                </c:pt>
                <c:pt idx="39">
                  <c:v>629.51337267524741</c:v>
                </c:pt>
                <c:pt idx="40">
                  <c:v>629.51337267524741</c:v>
                </c:pt>
                <c:pt idx="41">
                  <c:v>629.51337267524741</c:v>
                </c:pt>
                <c:pt idx="42">
                  <c:v>629.51337267524741</c:v>
                </c:pt>
                <c:pt idx="43">
                  <c:v>629.51337267524741</c:v>
                </c:pt>
                <c:pt idx="44">
                  <c:v>629.51337267524741</c:v>
                </c:pt>
                <c:pt idx="45">
                  <c:v>629.51337267524741</c:v>
                </c:pt>
                <c:pt idx="46">
                  <c:v>629.51337267524741</c:v>
                </c:pt>
                <c:pt idx="47">
                  <c:v>629.51337267524741</c:v>
                </c:pt>
                <c:pt idx="48">
                  <c:v>629.51337267524741</c:v>
                </c:pt>
                <c:pt idx="49">
                  <c:v>629.51337267524741</c:v>
                </c:pt>
                <c:pt idx="50">
                  <c:v>629.51337267524741</c:v>
                </c:pt>
                <c:pt idx="51">
                  <c:v>629.51337267524741</c:v>
                </c:pt>
                <c:pt idx="52">
                  <c:v>629.51337267524741</c:v>
                </c:pt>
                <c:pt idx="53">
                  <c:v>629.51337267524741</c:v>
                </c:pt>
                <c:pt idx="54">
                  <c:v>629.51337267524741</c:v>
                </c:pt>
                <c:pt idx="55">
                  <c:v>629.51337267524741</c:v>
                </c:pt>
                <c:pt idx="56">
                  <c:v>629.51337267524741</c:v>
                </c:pt>
                <c:pt idx="57">
                  <c:v>629.51337267524741</c:v>
                </c:pt>
                <c:pt idx="58">
                  <c:v>629.51337267524741</c:v>
                </c:pt>
                <c:pt idx="59">
                  <c:v>629.51337267524741</c:v>
                </c:pt>
                <c:pt idx="60">
                  <c:v>629.51337267524741</c:v>
                </c:pt>
                <c:pt idx="61">
                  <c:v>629.51337267524741</c:v>
                </c:pt>
                <c:pt idx="62">
                  <c:v>629.51337267524741</c:v>
                </c:pt>
                <c:pt idx="63">
                  <c:v>629.51337267524741</c:v>
                </c:pt>
                <c:pt idx="64">
                  <c:v>629.51337267524741</c:v>
                </c:pt>
                <c:pt idx="65">
                  <c:v>629.51337267524741</c:v>
                </c:pt>
                <c:pt idx="66">
                  <c:v>629.51337267524741</c:v>
                </c:pt>
                <c:pt idx="67">
                  <c:v>629.51337267524741</c:v>
                </c:pt>
                <c:pt idx="68">
                  <c:v>629.51337267524741</c:v>
                </c:pt>
                <c:pt idx="69">
                  <c:v>629.51337267524741</c:v>
                </c:pt>
                <c:pt idx="70">
                  <c:v>629.51337267524741</c:v>
                </c:pt>
                <c:pt idx="71">
                  <c:v>629.51337267524741</c:v>
                </c:pt>
                <c:pt idx="72">
                  <c:v>629.51337267524741</c:v>
                </c:pt>
                <c:pt idx="73">
                  <c:v>629.51337267524741</c:v>
                </c:pt>
                <c:pt idx="74">
                  <c:v>629.51337267524741</c:v>
                </c:pt>
                <c:pt idx="75">
                  <c:v>629.51337267524741</c:v>
                </c:pt>
                <c:pt idx="76">
                  <c:v>629.51337267524741</c:v>
                </c:pt>
                <c:pt idx="77">
                  <c:v>629.51337267524741</c:v>
                </c:pt>
                <c:pt idx="78">
                  <c:v>629.51337267524741</c:v>
                </c:pt>
                <c:pt idx="79">
                  <c:v>629.51337267524741</c:v>
                </c:pt>
                <c:pt idx="80">
                  <c:v>629.51337267524741</c:v>
                </c:pt>
                <c:pt idx="81">
                  <c:v>629.51337267524741</c:v>
                </c:pt>
                <c:pt idx="82">
                  <c:v>629.51337267524741</c:v>
                </c:pt>
                <c:pt idx="83">
                  <c:v>629.51337267524741</c:v>
                </c:pt>
                <c:pt idx="84">
                  <c:v>629.51337267524741</c:v>
                </c:pt>
                <c:pt idx="85">
                  <c:v>629.51337267524741</c:v>
                </c:pt>
                <c:pt idx="86">
                  <c:v>629.51337267524741</c:v>
                </c:pt>
                <c:pt idx="87">
                  <c:v>629.51337267524741</c:v>
                </c:pt>
                <c:pt idx="88">
                  <c:v>629.51337267524741</c:v>
                </c:pt>
                <c:pt idx="89">
                  <c:v>629.51337267524741</c:v>
                </c:pt>
                <c:pt idx="90">
                  <c:v>629.51337267524741</c:v>
                </c:pt>
                <c:pt idx="91">
                  <c:v>629.51337267524741</c:v>
                </c:pt>
                <c:pt idx="92">
                  <c:v>629.51337267524741</c:v>
                </c:pt>
                <c:pt idx="93">
                  <c:v>629.51337267524741</c:v>
                </c:pt>
                <c:pt idx="94">
                  <c:v>629.51337267524741</c:v>
                </c:pt>
                <c:pt idx="95">
                  <c:v>629.51337267524741</c:v>
                </c:pt>
                <c:pt idx="96">
                  <c:v>629.51337267524741</c:v>
                </c:pt>
                <c:pt idx="97">
                  <c:v>629.51337267524741</c:v>
                </c:pt>
                <c:pt idx="98">
                  <c:v>629.51337267524741</c:v>
                </c:pt>
                <c:pt idx="99">
                  <c:v>629.51337267524741</c:v>
                </c:pt>
              </c:numCache>
            </c:numRef>
          </c:val>
          <c:smooth val="0"/>
          <c:extLst>
            <c:ext xmlns:c16="http://schemas.microsoft.com/office/drawing/2014/chart" uri="{C3380CC4-5D6E-409C-BE32-E72D297353CC}">
              <c16:uniqueId val="{00000003-071C-4546-8842-19E39F44F17B}"/>
            </c:ext>
          </c:extLst>
        </c:ser>
        <c:dLbls>
          <c:showLegendKey val="0"/>
          <c:showVal val="0"/>
          <c:showCatName val="0"/>
          <c:showSerName val="0"/>
          <c:showPercent val="0"/>
          <c:showBubbleSize val="0"/>
        </c:dLbls>
        <c:marker val="1"/>
        <c:smooth val="0"/>
        <c:axId val="321017200"/>
        <c:axId val="321017592"/>
      </c:lineChart>
      <c:catAx>
        <c:axId val="321017200"/>
        <c:scaling>
          <c:orientation val="minMax"/>
        </c:scaling>
        <c:delete val="0"/>
        <c:axPos val="b"/>
        <c:title>
          <c:tx>
            <c:rich>
              <a:bodyPr/>
              <a:lstStyle/>
              <a:p>
                <a:pPr>
                  <a:defRPr/>
                </a:pPr>
                <a:r>
                  <a:rPr lang="he-IL"/>
                  <a:t>מאיון</a:t>
                </a:r>
                <a:r>
                  <a:rPr lang="he-IL" baseline="0"/>
                  <a:t> משק בית</a:t>
                </a:r>
                <a:endParaRPr lang="he-IL"/>
              </a:p>
            </c:rich>
          </c:tx>
          <c:overlay val="0"/>
        </c:title>
        <c:numFmt formatCode="General" sourceLinked="1"/>
        <c:majorTickMark val="out"/>
        <c:minorTickMark val="none"/>
        <c:tickLblPos val="nextTo"/>
        <c:crossAx val="321017592"/>
        <c:crosses val="autoZero"/>
        <c:auto val="1"/>
        <c:lblAlgn val="ctr"/>
        <c:lblOffset val="100"/>
        <c:tickLblSkip val="10"/>
        <c:noMultiLvlLbl val="0"/>
      </c:catAx>
      <c:valAx>
        <c:axId val="321017592"/>
        <c:scaling>
          <c:orientation val="minMax"/>
          <c:min val="200"/>
        </c:scaling>
        <c:delete val="0"/>
        <c:axPos val="l"/>
        <c:majorGridlines/>
        <c:title>
          <c:tx>
            <c:rich>
              <a:bodyPr/>
              <a:lstStyle/>
              <a:p>
                <a:pPr>
                  <a:defRPr/>
                </a:pPr>
                <a:r>
                  <a:rPr lang="he-IL"/>
                  <a:t>ש"ח לחודש לנפש סטנדרטית</a:t>
                </a:r>
              </a:p>
            </c:rich>
          </c:tx>
          <c:overlay val="0"/>
        </c:title>
        <c:numFmt formatCode="_(* #,##0_);_(* \(#,##0\);_(* &quot;-&quot;??_);_(@_)" sourceLinked="1"/>
        <c:majorTickMark val="out"/>
        <c:minorTickMark val="none"/>
        <c:tickLblPos val="nextTo"/>
        <c:crossAx val="321017200"/>
        <c:crosses val="autoZero"/>
        <c:crossBetween val="between"/>
      </c:valAx>
    </c:plotArea>
    <c:legend>
      <c:legendPos val="b"/>
      <c:legendEntry>
        <c:idx val="2"/>
        <c:delete val="1"/>
      </c:legendEntry>
      <c:legendEntry>
        <c:idx val="4"/>
        <c:delete val="1"/>
      </c:legendEntry>
      <c:layout>
        <c:manualLayout>
          <c:xMode val="edge"/>
          <c:yMode val="edge"/>
          <c:x val="4.9999912801597476E-2"/>
          <c:y val="0.82560629921259843"/>
          <c:w val="0.9"/>
          <c:h val="0.10482848339609722"/>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dPt>
            <c:idx val="1"/>
            <c:invertIfNegative val="0"/>
            <c:bubble3D val="0"/>
            <c:spPr>
              <a:noFill/>
            </c:spPr>
            <c:extLst>
              <c:ext xmlns:c16="http://schemas.microsoft.com/office/drawing/2014/chart" uri="{C3380CC4-5D6E-409C-BE32-E72D297353CC}">
                <c16:uniqueId val="{00000001-7BED-4890-8892-DD262A4CF58E}"/>
              </c:ext>
            </c:extLst>
          </c:dPt>
          <c:dPt>
            <c:idx val="2"/>
            <c:invertIfNegative val="0"/>
            <c:bubble3D val="0"/>
            <c:spPr>
              <a:noFill/>
            </c:spPr>
            <c:extLst>
              <c:ext xmlns:c16="http://schemas.microsoft.com/office/drawing/2014/chart" uri="{C3380CC4-5D6E-409C-BE32-E72D297353CC}">
                <c16:uniqueId val="{00000003-7BED-4890-8892-DD262A4CF58E}"/>
              </c:ext>
            </c:extLst>
          </c:dPt>
          <c:dPt>
            <c:idx val="3"/>
            <c:invertIfNegative val="0"/>
            <c:bubble3D val="0"/>
            <c:spPr>
              <a:noFill/>
            </c:spPr>
            <c:extLst>
              <c:ext xmlns:c16="http://schemas.microsoft.com/office/drawing/2014/chart" uri="{C3380CC4-5D6E-409C-BE32-E72D297353CC}">
                <c16:uniqueId val="{00000005-7BED-4890-8892-DD262A4CF58E}"/>
              </c:ext>
            </c:extLst>
          </c:dPt>
          <c:dPt>
            <c:idx val="4"/>
            <c:invertIfNegative val="0"/>
            <c:bubble3D val="0"/>
            <c:spPr>
              <a:noFill/>
            </c:spPr>
            <c:extLst>
              <c:ext xmlns:c16="http://schemas.microsoft.com/office/drawing/2014/chart" uri="{C3380CC4-5D6E-409C-BE32-E72D297353CC}">
                <c16:uniqueId val="{00000007-7BED-4890-8892-DD262A4CF58E}"/>
              </c:ext>
            </c:extLst>
          </c:dPt>
          <c:dLbls>
            <c:dLbl>
              <c:idx val="0"/>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BED-4890-8892-DD262A4CF58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2016'!$AB$148:$AB$152</c:f>
              <c:strCache>
                <c:ptCount val="5"/>
                <c:pt idx="0">
                  <c:v>אובדן בייצור חקלאי</c:v>
                </c:pt>
                <c:pt idx="1">
                  <c:v>אובדן אחרי הקטיף ואיחסון</c:v>
                </c:pt>
                <c:pt idx="2">
                  <c:v>אובדן תעשיה ואריזה</c:v>
                </c:pt>
                <c:pt idx="3">
                  <c:v>אובדן בהפצה ובקמעונאות</c:v>
                </c:pt>
                <c:pt idx="4">
                  <c:v>אובדן בצריכה</c:v>
                </c:pt>
              </c:strCache>
            </c:strRef>
          </c:cat>
          <c:val>
            <c:numRef>
              <c:f>'טבלאות לתקציר הדוח 2016'!$AC$148:$AC$152</c:f>
              <c:numCache>
                <c:formatCode>0%</c:formatCode>
                <c:ptCount val="5"/>
                <c:pt idx="0">
                  <c:v>9.4576577524531649E-2</c:v>
                </c:pt>
                <c:pt idx="1">
                  <c:v>9.4576577524531649E-2</c:v>
                </c:pt>
                <c:pt idx="2">
                  <c:v>9.4576577524531649E-2</c:v>
                </c:pt>
                <c:pt idx="3">
                  <c:v>9.4576577524531649E-2</c:v>
                </c:pt>
                <c:pt idx="4">
                  <c:v>9.4576577524531649E-2</c:v>
                </c:pt>
              </c:numCache>
            </c:numRef>
          </c:val>
          <c:extLst>
            <c:ext xmlns:c16="http://schemas.microsoft.com/office/drawing/2014/chart" uri="{C3380CC4-5D6E-409C-BE32-E72D297353CC}">
              <c16:uniqueId val="{00000009-7BED-4890-8892-DD262A4CF58E}"/>
            </c:ext>
          </c:extLst>
        </c:ser>
        <c:ser>
          <c:idx val="1"/>
          <c:order val="1"/>
          <c:invertIfNegative val="0"/>
          <c:dPt>
            <c:idx val="2"/>
            <c:invertIfNegative val="0"/>
            <c:bubble3D val="0"/>
            <c:spPr>
              <a:noFill/>
            </c:spPr>
            <c:extLst>
              <c:ext xmlns:c16="http://schemas.microsoft.com/office/drawing/2014/chart" uri="{C3380CC4-5D6E-409C-BE32-E72D297353CC}">
                <c16:uniqueId val="{0000000B-7BED-4890-8892-DD262A4CF58E}"/>
              </c:ext>
            </c:extLst>
          </c:dPt>
          <c:dPt>
            <c:idx val="3"/>
            <c:invertIfNegative val="0"/>
            <c:bubble3D val="0"/>
            <c:spPr>
              <a:noFill/>
            </c:spPr>
            <c:extLst>
              <c:ext xmlns:c16="http://schemas.microsoft.com/office/drawing/2014/chart" uri="{C3380CC4-5D6E-409C-BE32-E72D297353CC}">
                <c16:uniqueId val="{0000000D-7BED-4890-8892-DD262A4CF58E}"/>
              </c:ext>
            </c:extLst>
          </c:dPt>
          <c:dPt>
            <c:idx val="4"/>
            <c:invertIfNegative val="0"/>
            <c:bubble3D val="0"/>
            <c:spPr>
              <a:noFill/>
            </c:spPr>
            <c:extLst>
              <c:ext xmlns:c16="http://schemas.microsoft.com/office/drawing/2014/chart" uri="{C3380CC4-5D6E-409C-BE32-E72D297353CC}">
                <c16:uniqueId val="{0000000F-7BED-4890-8892-DD262A4CF58E}"/>
              </c:ext>
            </c:extLst>
          </c:dPt>
          <c:dLbls>
            <c:dLbl>
              <c:idx val="1"/>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7BED-4890-8892-DD262A4CF58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2016'!$AB$148:$AB$152</c:f>
              <c:strCache>
                <c:ptCount val="5"/>
                <c:pt idx="0">
                  <c:v>אובדן בייצור חקלאי</c:v>
                </c:pt>
                <c:pt idx="1">
                  <c:v>אובדן אחרי הקטיף ואיחסון</c:v>
                </c:pt>
                <c:pt idx="2">
                  <c:v>אובדן תעשיה ואריזה</c:v>
                </c:pt>
                <c:pt idx="3">
                  <c:v>אובדן בהפצה ובקמעונאות</c:v>
                </c:pt>
                <c:pt idx="4">
                  <c:v>אובדן בצריכה</c:v>
                </c:pt>
              </c:strCache>
            </c:strRef>
          </c:cat>
          <c:val>
            <c:numRef>
              <c:f>'טבלאות לתקציר הדוח 2016'!$AD$148:$AD$152</c:f>
              <c:numCache>
                <c:formatCode>0%</c:formatCode>
                <c:ptCount val="5"/>
                <c:pt idx="1">
                  <c:v>3.4987934771524745E-2</c:v>
                </c:pt>
                <c:pt idx="2">
                  <c:v>3.4987934771524745E-2</c:v>
                </c:pt>
                <c:pt idx="3">
                  <c:v>3.4987934771524745E-2</c:v>
                </c:pt>
                <c:pt idx="4">
                  <c:v>3.4987934771524745E-2</c:v>
                </c:pt>
              </c:numCache>
            </c:numRef>
          </c:val>
          <c:extLst>
            <c:ext xmlns:c16="http://schemas.microsoft.com/office/drawing/2014/chart" uri="{C3380CC4-5D6E-409C-BE32-E72D297353CC}">
              <c16:uniqueId val="{00000011-7BED-4890-8892-DD262A4CF58E}"/>
            </c:ext>
          </c:extLst>
        </c:ser>
        <c:ser>
          <c:idx val="2"/>
          <c:order val="2"/>
          <c:invertIfNegative val="0"/>
          <c:dPt>
            <c:idx val="3"/>
            <c:invertIfNegative val="0"/>
            <c:bubble3D val="0"/>
            <c:spPr>
              <a:noFill/>
            </c:spPr>
            <c:extLst>
              <c:ext xmlns:c16="http://schemas.microsoft.com/office/drawing/2014/chart" uri="{C3380CC4-5D6E-409C-BE32-E72D297353CC}">
                <c16:uniqueId val="{00000013-7BED-4890-8892-DD262A4CF58E}"/>
              </c:ext>
            </c:extLst>
          </c:dPt>
          <c:dPt>
            <c:idx val="4"/>
            <c:invertIfNegative val="0"/>
            <c:bubble3D val="0"/>
            <c:spPr>
              <a:noFill/>
            </c:spPr>
            <c:extLst>
              <c:ext xmlns:c16="http://schemas.microsoft.com/office/drawing/2014/chart" uri="{C3380CC4-5D6E-409C-BE32-E72D297353CC}">
                <c16:uniqueId val="{00000015-7BED-4890-8892-DD262A4CF58E}"/>
              </c:ext>
            </c:extLst>
          </c:dPt>
          <c:dLbls>
            <c:dLbl>
              <c:idx val="2"/>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7BED-4890-8892-DD262A4CF58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2016'!$AB$148:$AB$152</c:f>
              <c:strCache>
                <c:ptCount val="5"/>
                <c:pt idx="0">
                  <c:v>אובדן בייצור חקלאי</c:v>
                </c:pt>
                <c:pt idx="1">
                  <c:v>אובדן אחרי הקטיף ואיחסון</c:v>
                </c:pt>
                <c:pt idx="2">
                  <c:v>אובדן תעשיה ואריזה</c:v>
                </c:pt>
                <c:pt idx="3">
                  <c:v>אובדן בהפצה ובקמעונאות</c:v>
                </c:pt>
                <c:pt idx="4">
                  <c:v>אובדן בצריכה</c:v>
                </c:pt>
              </c:strCache>
            </c:strRef>
          </c:cat>
          <c:val>
            <c:numRef>
              <c:f>'טבלאות לתקציר הדוח 2016'!$AE$148:$AE$152</c:f>
              <c:numCache>
                <c:formatCode>General</c:formatCode>
                <c:ptCount val="5"/>
                <c:pt idx="2" formatCode="0%">
                  <c:v>2.4579570136020863E-2</c:v>
                </c:pt>
                <c:pt idx="3" formatCode="0%">
                  <c:v>2.4579570136020863E-2</c:v>
                </c:pt>
                <c:pt idx="4" formatCode="0%">
                  <c:v>2.4579570136020863E-2</c:v>
                </c:pt>
              </c:numCache>
            </c:numRef>
          </c:val>
          <c:extLst>
            <c:ext xmlns:c16="http://schemas.microsoft.com/office/drawing/2014/chart" uri="{C3380CC4-5D6E-409C-BE32-E72D297353CC}">
              <c16:uniqueId val="{00000017-7BED-4890-8892-DD262A4CF58E}"/>
            </c:ext>
          </c:extLst>
        </c:ser>
        <c:ser>
          <c:idx val="3"/>
          <c:order val="3"/>
          <c:invertIfNegative val="0"/>
          <c:dPt>
            <c:idx val="4"/>
            <c:invertIfNegative val="0"/>
            <c:bubble3D val="0"/>
            <c:spPr>
              <a:noFill/>
            </c:spPr>
            <c:extLst>
              <c:ext xmlns:c16="http://schemas.microsoft.com/office/drawing/2014/chart" uri="{C3380CC4-5D6E-409C-BE32-E72D297353CC}">
                <c16:uniqueId val="{00000019-7BED-4890-8892-DD262A4CF58E}"/>
              </c:ext>
            </c:extLst>
          </c:dPt>
          <c:dLbls>
            <c:dLbl>
              <c:idx val="3"/>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7BED-4890-8892-DD262A4CF58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2016'!$AB$148:$AB$152</c:f>
              <c:strCache>
                <c:ptCount val="5"/>
                <c:pt idx="0">
                  <c:v>אובדן בייצור חקלאי</c:v>
                </c:pt>
                <c:pt idx="1">
                  <c:v>אובדן אחרי הקטיף ואיחסון</c:v>
                </c:pt>
                <c:pt idx="2">
                  <c:v>אובדן תעשיה ואריזה</c:v>
                </c:pt>
                <c:pt idx="3">
                  <c:v>אובדן בהפצה ובקמעונאות</c:v>
                </c:pt>
                <c:pt idx="4">
                  <c:v>אובדן בצריכה</c:v>
                </c:pt>
              </c:strCache>
            </c:strRef>
          </c:cat>
          <c:val>
            <c:numRef>
              <c:f>'טבלאות לתקציר הדוח 2016'!$AF$148:$AF$152</c:f>
              <c:numCache>
                <c:formatCode>General</c:formatCode>
                <c:ptCount val="5"/>
                <c:pt idx="3" formatCode="0%">
                  <c:v>6.3512584214015302E-2</c:v>
                </c:pt>
                <c:pt idx="4" formatCode="0%">
                  <c:v>6.3512584214015302E-2</c:v>
                </c:pt>
              </c:numCache>
            </c:numRef>
          </c:val>
          <c:extLst>
            <c:ext xmlns:c16="http://schemas.microsoft.com/office/drawing/2014/chart" uri="{C3380CC4-5D6E-409C-BE32-E72D297353CC}">
              <c16:uniqueId val="{0000001B-7BED-4890-8892-DD262A4CF58E}"/>
            </c:ext>
          </c:extLst>
        </c:ser>
        <c:ser>
          <c:idx val="4"/>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'טבלאות לתקציר הדוח 2016'!$AB$148:$AB$152</c:f>
              <c:strCache>
                <c:ptCount val="5"/>
                <c:pt idx="0">
                  <c:v>אובדן בייצור חקלאי</c:v>
                </c:pt>
                <c:pt idx="1">
                  <c:v>אובדן אחרי הקטיף ואיחסון</c:v>
                </c:pt>
                <c:pt idx="2">
                  <c:v>אובדן תעשיה ואריזה</c:v>
                </c:pt>
                <c:pt idx="3">
                  <c:v>אובדן בהפצה ובקמעונאות</c:v>
                </c:pt>
                <c:pt idx="4">
                  <c:v>אובדן בצריכה</c:v>
                </c:pt>
              </c:strCache>
            </c:strRef>
          </c:cat>
          <c:val>
            <c:numRef>
              <c:f>'טבלאות לתקציר הדוח 2016'!$AG$148:$AG$152</c:f>
              <c:numCache>
                <c:formatCode>General</c:formatCode>
                <c:ptCount val="5"/>
                <c:pt idx="4" formatCode="0%">
                  <c:v>0.13989446483638301</c:v>
                </c:pt>
              </c:numCache>
            </c:numRef>
          </c:val>
          <c:extLst>
            <c:ext xmlns:c16="http://schemas.microsoft.com/office/drawing/2014/chart" uri="{C3380CC4-5D6E-409C-BE32-E72D297353CC}">
              <c16:uniqueId val="{0000001C-7BED-4890-8892-DD262A4CF58E}"/>
            </c:ext>
          </c:extLst>
        </c:ser>
        <c:dLbls>
          <c:showLegendKey val="0"/>
          <c:showVal val="0"/>
          <c:showCatName val="0"/>
          <c:showSerName val="0"/>
          <c:showPercent val="0"/>
          <c:showBubbleSize val="0"/>
        </c:dLbls>
        <c:gapWidth val="50"/>
        <c:overlap val="100"/>
        <c:axId val="315122312"/>
        <c:axId val="315119176"/>
      </c:barChart>
      <c:catAx>
        <c:axId val="315122312"/>
        <c:scaling>
          <c:orientation val="minMax"/>
        </c:scaling>
        <c:delete val="0"/>
        <c:axPos val="b"/>
        <c:numFmt formatCode="General" sourceLinked="0"/>
        <c:majorTickMark val="out"/>
        <c:minorTickMark val="none"/>
        <c:tickLblPos val="nextTo"/>
        <c:crossAx val="315119176"/>
        <c:crosses val="autoZero"/>
        <c:auto val="1"/>
        <c:lblAlgn val="ctr"/>
        <c:lblOffset val="100"/>
        <c:noMultiLvlLbl val="0"/>
      </c:catAx>
      <c:valAx>
        <c:axId val="315119176"/>
        <c:scaling>
          <c:orientation val="minMax"/>
        </c:scaling>
        <c:delete val="0"/>
        <c:axPos val="l"/>
        <c:majorGridlines/>
        <c:title>
          <c:tx>
            <c:rich>
              <a:bodyPr rot="-5400000" vert="horz"/>
              <a:lstStyle/>
              <a:p>
                <a:pPr>
                  <a:defRPr/>
                </a:pPr>
                <a:r>
                  <a:rPr lang="he-IL"/>
                  <a:t>שיעור אובדן</a:t>
                </a:r>
              </a:p>
            </c:rich>
          </c:tx>
          <c:layout/>
          <c:overlay val="0"/>
        </c:title>
        <c:numFmt formatCode="0%" sourceLinked="1"/>
        <c:majorTickMark val="out"/>
        <c:minorTickMark val="none"/>
        <c:tickLblPos val="nextTo"/>
        <c:crossAx val="315122312"/>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'גרף ברים'!$D$34</c:f>
              <c:strCache>
                <c:ptCount val="1"/>
                <c:pt idx="0">
                  <c:v>ממוצע</c:v>
                </c:pt>
              </c:strCache>
            </c:strRef>
          </c:tx>
          <c:spPr>
            <a:solidFill>
              <a:schemeClr val="accent1"/>
            </a:solidFill>
            <a:ln>
              <a:noFill/>
            </a:ln>
            <a:effectLst/>
          </c:spPr>
          <c:invertIfNegative val="0"/>
          <c:cat>
            <c:strRef>
              <c:f>'גרף ברים'!$C$35:$C$45</c:f>
              <c:strCache>
                <c:ptCount val="11"/>
                <c:pt idx="0">
                  <c:v>עגבניות</c:v>
                </c:pt>
                <c:pt idx="1">
                  <c:v>פלפל</c:v>
                </c:pt>
                <c:pt idx="2">
                  <c:v>לחם ומאפים</c:v>
                </c:pt>
                <c:pt idx="3">
                  <c:v>מלפפון</c:v>
                </c:pt>
                <c:pt idx="4">
                  <c:v>בננות</c:v>
                </c:pt>
                <c:pt idx="5">
                  <c:v>תפוחי עץ</c:v>
                </c:pt>
                <c:pt idx="6">
                  <c:v>תפוחי אדמה</c:v>
                </c:pt>
                <c:pt idx="7">
                  <c:v>בשר דגים וביצים</c:v>
                </c:pt>
                <c:pt idx="8">
                  <c:v>דגנים וקטניות</c:v>
                </c:pt>
                <c:pt idx="9">
                  <c:v>חלב ומוצריו</c:v>
                </c:pt>
                <c:pt idx="10">
                  <c:v>קפואים</c:v>
                </c:pt>
              </c:strCache>
            </c:strRef>
          </c:cat>
          <c:val>
            <c:numRef>
              <c:f>'גרף ברים'!$D$35:$D$45</c:f>
              <c:numCache>
                <c:formatCode>0.0%</c:formatCode>
                <c:ptCount val="11"/>
                <c:pt idx="0">
                  <c:v>0.13034394825460777</c:v>
                </c:pt>
                <c:pt idx="1">
                  <c:v>0.1162233502538071</c:v>
                </c:pt>
                <c:pt idx="2">
                  <c:v>0.10611527719861998</c:v>
                </c:pt>
                <c:pt idx="3">
                  <c:v>0.10338823927601518</c:v>
                </c:pt>
                <c:pt idx="4">
                  <c:v>8.9557177733812998E-2</c:v>
                </c:pt>
                <c:pt idx="5">
                  <c:v>7.5754964477892039E-2</c:v>
                </c:pt>
                <c:pt idx="6">
                  <c:v>5.8116883116883115E-2</c:v>
                </c:pt>
                <c:pt idx="7">
                  <c:v>4.7660594743743866E-2</c:v>
                </c:pt>
                <c:pt idx="8">
                  <c:v>0.02</c:v>
                </c:pt>
                <c:pt idx="9">
                  <c:v>1.6715830875122899E-2</c:v>
                </c:pt>
                <c:pt idx="10">
                  <c:v>1.1563438874589684E-2</c:v>
                </c:pt>
              </c:numCache>
            </c:numRef>
          </c:val>
          <c:extLst>
            <c:ext xmlns:c16="http://schemas.microsoft.com/office/drawing/2014/chart" uri="{C3380CC4-5D6E-409C-BE32-E72D297353CC}">
              <c16:uniqueId val="{00000000-1559-46A5-9AE4-10EBCC554011}"/>
            </c:ext>
          </c:extLst>
        </c:ser>
        <c:dLbls>
          <c:showLegendKey val="0"/>
          <c:showVal val="0"/>
          <c:showCatName val="0"/>
          <c:showSerName val="0"/>
          <c:showPercent val="0"/>
          <c:showBubbleSize val="0"/>
        </c:dLbls>
        <c:gapWidth val="50"/>
        <c:overlap val="-27"/>
        <c:axId val="315120352"/>
        <c:axId val="315118392"/>
      </c:barChart>
      <c:catAx>
        <c:axId val="31512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5118392"/>
        <c:crosses val="autoZero"/>
        <c:auto val="1"/>
        <c:lblAlgn val="ctr"/>
        <c:lblOffset val="100"/>
        <c:noMultiLvlLbl val="0"/>
      </c:catAx>
      <c:valAx>
        <c:axId val="3151183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51203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'השוואה בינלאומית'!$C$2</c:f>
              <c:strCache>
                <c:ptCount val="1"/>
                <c:pt idx="0">
                  <c:v>שיעור אובדן במקטע הקמעונאי</c:v>
                </c:pt>
              </c:strCache>
            </c:strRef>
          </c:tx>
          <c:spPr>
            <a:solidFill>
              <a:schemeClr val="accent1"/>
            </a:solidFill>
            <a:ln>
              <a:noFill/>
            </a:ln>
            <a:effectLst/>
          </c:spPr>
          <c:invertIfNegative val="0"/>
          <c:dPt>
            <c:idx val="4"/>
            <c:invertIfNegative val="0"/>
            <c:bubble3D val="0"/>
            <c:spPr>
              <a:solidFill>
                <a:schemeClr val="accent1"/>
              </a:solidFill>
              <a:ln>
                <a:noFill/>
              </a:ln>
              <a:effectLst/>
            </c:spPr>
            <c:extLst>
              <c:ext xmlns:c16="http://schemas.microsoft.com/office/drawing/2014/chart" uri="{C3380CC4-5D6E-409C-BE32-E72D297353CC}">
                <c16:uniqueId val="{00000001-9589-4CA3-86D0-B447F59D78CD}"/>
              </c:ext>
            </c:extLst>
          </c:dPt>
          <c:dPt>
            <c:idx val="5"/>
            <c:invertIfNegative val="0"/>
            <c:bubble3D val="0"/>
            <c:spPr>
              <a:solidFill>
                <a:srgbClr val="FF0000"/>
              </a:solidFill>
              <a:ln>
                <a:noFill/>
              </a:ln>
              <a:effectLst/>
            </c:spPr>
            <c:extLst>
              <c:ext xmlns:c16="http://schemas.microsoft.com/office/drawing/2014/chart" uri="{C3380CC4-5D6E-409C-BE32-E72D297353CC}">
                <c16:uniqueId val="{00000003-9589-4CA3-86D0-B447F59D78CD}"/>
              </c:ext>
            </c:extLst>
          </c:dPt>
          <c:cat>
            <c:strRef>
              <c:f>'השוואה בינלאומית'!$B$3:$B$10</c:f>
              <c:strCache>
                <c:ptCount val="8"/>
                <c:pt idx="0">
                  <c:v>אפריקה</c:v>
                </c:pt>
                <c:pt idx="1">
                  <c:v>צפון אפריקה ומערב אסיה</c:v>
                </c:pt>
                <c:pt idx="2">
                  <c:v>דרום אמריקה</c:v>
                </c:pt>
                <c:pt idx="3">
                  <c:v>דרום מזרח אסיה</c:v>
                </c:pt>
                <c:pt idx="4">
                  <c:v>צפון אמריקה</c:v>
                </c:pt>
                <c:pt idx="5">
                  <c:v>ישראל</c:v>
                </c:pt>
                <c:pt idx="6">
                  <c:v>אירופה </c:v>
                </c:pt>
                <c:pt idx="7">
                  <c:v>יפן, סין ודרום קוריאה</c:v>
                </c:pt>
              </c:strCache>
            </c:strRef>
          </c:cat>
          <c:val>
            <c:numRef>
              <c:f>'השוואה בינלאומית'!$C$3:$C$10</c:f>
              <c:numCache>
                <c:formatCode>0.0%</c:formatCode>
                <c:ptCount val="8"/>
                <c:pt idx="0">
                  <c:v>0.11062759009683198</c:v>
                </c:pt>
                <c:pt idx="1">
                  <c:v>9.6958295513889139E-2</c:v>
                </c:pt>
                <c:pt idx="2">
                  <c:v>8.3823093184460434E-2</c:v>
                </c:pt>
                <c:pt idx="3">
                  <c:v>8.3746455596728234E-2</c:v>
                </c:pt>
                <c:pt idx="4">
                  <c:v>6.4041634826824914E-2</c:v>
                </c:pt>
                <c:pt idx="5">
                  <c:v>5.7441896227923894E-2</c:v>
                </c:pt>
                <c:pt idx="6">
                  <c:v>5.558624694869084E-2</c:v>
                </c:pt>
                <c:pt idx="7">
                  <c:v>5.0171895693456647E-2</c:v>
                </c:pt>
              </c:numCache>
            </c:numRef>
          </c:val>
          <c:extLst>
            <c:ext xmlns:c16="http://schemas.microsoft.com/office/drawing/2014/chart" uri="{C3380CC4-5D6E-409C-BE32-E72D297353CC}">
              <c16:uniqueId val="{00000004-9589-4CA3-86D0-B447F59D78CD}"/>
            </c:ext>
          </c:extLst>
        </c:ser>
        <c:dLbls>
          <c:showLegendKey val="0"/>
          <c:showVal val="0"/>
          <c:showCatName val="0"/>
          <c:showSerName val="0"/>
          <c:showPercent val="0"/>
          <c:showBubbleSize val="0"/>
        </c:dLbls>
        <c:gapWidth val="50"/>
        <c:overlap val="-27"/>
        <c:axId val="315115256"/>
        <c:axId val="315124272"/>
      </c:barChart>
      <c:catAx>
        <c:axId val="315115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5124272"/>
        <c:crosses val="autoZero"/>
        <c:auto val="1"/>
        <c:lblAlgn val="ctr"/>
        <c:lblOffset val="100"/>
        <c:noMultiLvlLbl val="0"/>
      </c:catAx>
      <c:valAx>
        <c:axId val="31512427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51152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900054261442453E-2"/>
          <c:y val="4.3137254901960784E-2"/>
          <c:w val="0.83219989147711515"/>
          <c:h val="0.6932011733827389"/>
        </c:manualLayout>
      </c:layout>
      <c:barChart>
        <c:barDir val="col"/>
        <c:grouping val="stacked"/>
        <c:varyColors val="0"/>
        <c:ser>
          <c:idx val="0"/>
          <c:order val="0"/>
          <c:tx>
            <c:strRef>
              <c:f>סיכום!$B$69</c:f>
              <c:strCache>
                <c:ptCount val="1"/>
                <c:pt idx="0">
                  <c:v>רכישה ברשת שיווק</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סיכום!$C$68:$V$68</c:f>
              <c:numCache>
                <c:formatCode>General</c:formatCode>
                <c:ptCount val="20"/>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numCache>
            </c:numRef>
          </c:cat>
          <c:val>
            <c:numRef>
              <c:f>סיכום!$C$69:$V$69</c:f>
              <c:numCache>
                <c:formatCode>0%</c:formatCode>
                <c:ptCount val="20"/>
                <c:pt idx="0">
                  <c:v>0.34300000000000003</c:v>
                </c:pt>
                <c:pt idx="1">
                  <c:v>0.44700000000000001</c:v>
                </c:pt>
                <c:pt idx="2">
                  <c:v>0.45100000000000001</c:v>
                </c:pt>
                <c:pt idx="3">
                  <c:v>0.46800000000000003</c:v>
                </c:pt>
                <c:pt idx="4">
                  <c:v>0.49399999999999999</c:v>
                </c:pt>
                <c:pt idx="5">
                  <c:v>0.49299999999999999</c:v>
                </c:pt>
                <c:pt idx="6">
                  <c:v>0.48299999999999998</c:v>
                </c:pt>
                <c:pt idx="7">
                  <c:v>0.497</c:v>
                </c:pt>
                <c:pt idx="8">
                  <c:v>0.51500000000000001</c:v>
                </c:pt>
                <c:pt idx="9">
                  <c:v>0.53500000000000003</c:v>
                </c:pt>
                <c:pt idx="10">
                  <c:v>0.54</c:v>
                </c:pt>
                <c:pt idx="11">
                  <c:v>0.55300000000000005</c:v>
                </c:pt>
                <c:pt idx="12">
                  <c:v>0.56000000000000005</c:v>
                </c:pt>
                <c:pt idx="13">
                  <c:v>0.59899999999999998</c:v>
                </c:pt>
                <c:pt idx="14">
                  <c:v>0.58299999999999996</c:v>
                </c:pt>
                <c:pt idx="15">
                  <c:v>0.59099999999999997</c:v>
                </c:pt>
                <c:pt idx="16">
                  <c:v>0.61399999999999999</c:v>
                </c:pt>
                <c:pt idx="17">
                  <c:v>0.61099999999999999</c:v>
                </c:pt>
                <c:pt idx="18">
                  <c:v>0.60258000861724836</c:v>
                </c:pt>
                <c:pt idx="19">
                  <c:v>0.61650767671041284</c:v>
                </c:pt>
              </c:numCache>
            </c:numRef>
          </c:val>
          <c:extLst>
            <c:ext xmlns:c16="http://schemas.microsoft.com/office/drawing/2014/chart" uri="{C3380CC4-5D6E-409C-BE32-E72D297353CC}">
              <c16:uniqueId val="{00000000-DC30-46E1-9E27-5B0D4F15038F}"/>
            </c:ext>
          </c:extLst>
        </c:ser>
        <c:ser>
          <c:idx val="1"/>
          <c:order val="1"/>
          <c:tx>
            <c:strRef>
              <c:f>סיכום!$B$70</c:f>
              <c:strCache>
                <c:ptCount val="1"/>
                <c:pt idx="0">
                  <c:v>רכישה במכולת</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סיכום!$C$68:$V$68</c:f>
              <c:numCache>
                <c:formatCode>General</c:formatCode>
                <c:ptCount val="20"/>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numCache>
            </c:numRef>
          </c:cat>
          <c:val>
            <c:numRef>
              <c:f>סיכום!$C$70:$V$70</c:f>
              <c:numCache>
                <c:formatCode>0%</c:formatCode>
                <c:ptCount val="20"/>
                <c:pt idx="0">
                  <c:v>0.26400000000000001</c:v>
                </c:pt>
                <c:pt idx="1">
                  <c:v>0.251</c:v>
                </c:pt>
                <c:pt idx="2">
                  <c:v>0.252</c:v>
                </c:pt>
                <c:pt idx="3">
                  <c:v>0.24299999999999999</c:v>
                </c:pt>
                <c:pt idx="4">
                  <c:v>0.22900000000000001</c:v>
                </c:pt>
                <c:pt idx="5">
                  <c:v>0.22500000000000001</c:v>
                </c:pt>
                <c:pt idx="6">
                  <c:v>0.221</c:v>
                </c:pt>
                <c:pt idx="7">
                  <c:v>0.22600000000000001</c:v>
                </c:pt>
                <c:pt idx="8">
                  <c:v>0.20699999999999999</c:v>
                </c:pt>
                <c:pt idx="9">
                  <c:v>0.19400000000000001</c:v>
                </c:pt>
                <c:pt idx="10">
                  <c:v>0.2</c:v>
                </c:pt>
                <c:pt idx="11">
                  <c:v>0.17699999999999999</c:v>
                </c:pt>
                <c:pt idx="12">
                  <c:v>0.187</c:v>
                </c:pt>
                <c:pt idx="13">
                  <c:v>0.16400000000000001</c:v>
                </c:pt>
                <c:pt idx="14">
                  <c:v>0.16300000000000001</c:v>
                </c:pt>
                <c:pt idx="15">
                  <c:v>0.161</c:v>
                </c:pt>
                <c:pt idx="16">
                  <c:v>0.14899999999999999</c:v>
                </c:pt>
                <c:pt idx="17">
                  <c:v>0.14599999999999999</c:v>
                </c:pt>
                <c:pt idx="18">
                  <c:v>0.14784649120651638</c:v>
                </c:pt>
                <c:pt idx="19">
                  <c:v>0.13502143661852542</c:v>
                </c:pt>
              </c:numCache>
            </c:numRef>
          </c:val>
          <c:extLst>
            <c:ext xmlns:c16="http://schemas.microsoft.com/office/drawing/2014/chart" uri="{C3380CC4-5D6E-409C-BE32-E72D297353CC}">
              <c16:uniqueId val="{00000001-DC30-46E1-9E27-5B0D4F15038F}"/>
            </c:ext>
          </c:extLst>
        </c:ser>
        <c:ser>
          <c:idx val="2"/>
          <c:order val="2"/>
          <c:tx>
            <c:strRef>
              <c:f>סיכום!$B$71</c:f>
              <c:strCache>
                <c:ptCount val="1"/>
                <c:pt idx="0">
                  <c:v>רכישה בשוקים פתוחים (שוק)</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סיכום!$C$68:$V$68</c:f>
              <c:numCache>
                <c:formatCode>General</c:formatCode>
                <c:ptCount val="20"/>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numCache>
            </c:numRef>
          </c:cat>
          <c:val>
            <c:numRef>
              <c:f>סיכום!$C$71:$V$71</c:f>
              <c:numCache>
                <c:formatCode>0%</c:formatCode>
                <c:ptCount val="20"/>
                <c:pt idx="0">
                  <c:v>0.122</c:v>
                </c:pt>
                <c:pt idx="1">
                  <c:v>0.1</c:v>
                </c:pt>
                <c:pt idx="2">
                  <c:v>0.106</c:v>
                </c:pt>
                <c:pt idx="3">
                  <c:v>9.9000000000000005E-2</c:v>
                </c:pt>
                <c:pt idx="4">
                  <c:v>8.6999999999999994E-2</c:v>
                </c:pt>
                <c:pt idx="5">
                  <c:v>8.5999999999999993E-2</c:v>
                </c:pt>
                <c:pt idx="6">
                  <c:v>8.3000000000000004E-2</c:v>
                </c:pt>
                <c:pt idx="7">
                  <c:v>7.9000000000000001E-2</c:v>
                </c:pt>
                <c:pt idx="8">
                  <c:v>7.2999999999999995E-2</c:v>
                </c:pt>
                <c:pt idx="9">
                  <c:v>6.6000000000000003E-2</c:v>
                </c:pt>
                <c:pt idx="10">
                  <c:v>0.06</c:v>
                </c:pt>
                <c:pt idx="11">
                  <c:v>6.3E-2</c:v>
                </c:pt>
                <c:pt idx="12">
                  <c:v>5.7000000000000002E-2</c:v>
                </c:pt>
                <c:pt idx="13">
                  <c:v>5.0999999999999997E-2</c:v>
                </c:pt>
                <c:pt idx="14">
                  <c:v>4.8000000000000001E-2</c:v>
                </c:pt>
                <c:pt idx="15">
                  <c:v>4.9000000000000002E-2</c:v>
                </c:pt>
                <c:pt idx="16">
                  <c:v>4.8000000000000001E-2</c:v>
                </c:pt>
                <c:pt idx="17">
                  <c:v>4.3999999999999997E-2</c:v>
                </c:pt>
                <c:pt idx="18">
                  <c:v>4.1720055522601787E-2</c:v>
                </c:pt>
                <c:pt idx="19">
                  <c:v>4.4700407500514017E-2</c:v>
                </c:pt>
              </c:numCache>
            </c:numRef>
          </c:val>
          <c:extLst>
            <c:ext xmlns:c16="http://schemas.microsoft.com/office/drawing/2014/chart" uri="{C3380CC4-5D6E-409C-BE32-E72D297353CC}">
              <c16:uniqueId val="{00000002-DC30-46E1-9E27-5B0D4F15038F}"/>
            </c:ext>
          </c:extLst>
        </c:ser>
        <c:ser>
          <c:idx val="3"/>
          <c:order val="3"/>
          <c:tx>
            <c:strRef>
              <c:f>סיכום!$B$72</c:f>
              <c:strCache>
                <c:ptCount val="1"/>
                <c:pt idx="0">
                  <c:v>רכישה בחנויות אחרות (ירקן איטליז דוכן חנות מיוחדת)</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סיכום!$C$68:$V$68</c:f>
              <c:numCache>
                <c:formatCode>General</c:formatCode>
                <c:ptCount val="20"/>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numCache>
            </c:numRef>
          </c:cat>
          <c:val>
            <c:numRef>
              <c:f>סיכום!$C$72:$V$72</c:f>
              <c:numCache>
                <c:formatCode>0%</c:formatCode>
                <c:ptCount val="20"/>
                <c:pt idx="0">
                  <c:v>0.24900000000000003</c:v>
                </c:pt>
                <c:pt idx="1">
                  <c:v>0.20199999999999999</c:v>
                </c:pt>
                <c:pt idx="2">
                  <c:v>0.191</c:v>
                </c:pt>
                <c:pt idx="3">
                  <c:v>0.19</c:v>
                </c:pt>
                <c:pt idx="4">
                  <c:v>0.191</c:v>
                </c:pt>
                <c:pt idx="5">
                  <c:v>0.19700000000000001</c:v>
                </c:pt>
                <c:pt idx="6">
                  <c:v>0.21299999999999999</c:v>
                </c:pt>
                <c:pt idx="7">
                  <c:v>0.19800000000000001</c:v>
                </c:pt>
                <c:pt idx="8">
                  <c:v>0.20399999999999999</c:v>
                </c:pt>
                <c:pt idx="9">
                  <c:v>0.20400000000000001</c:v>
                </c:pt>
                <c:pt idx="10">
                  <c:v>0.2</c:v>
                </c:pt>
                <c:pt idx="11">
                  <c:v>0.20700000000000002</c:v>
                </c:pt>
                <c:pt idx="12">
                  <c:v>0.19600000000000001</c:v>
                </c:pt>
                <c:pt idx="13">
                  <c:v>0.186</c:v>
                </c:pt>
                <c:pt idx="14">
                  <c:v>0.20800000000000002</c:v>
                </c:pt>
                <c:pt idx="15">
                  <c:v>0.19900000000000001</c:v>
                </c:pt>
                <c:pt idx="16">
                  <c:v>0.19</c:v>
                </c:pt>
                <c:pt idx="17">
                  <c:v>0.19900000000000001</c:v>
                </c:pt>
                <c:pt idx="18">
                  <c:v>0.20785344465363345</c:v>
                </c:pt>
                <c:pt idx="19">
                  <c:v>0.2037704791705478</c:v>
                </c:pt>
              </c:numCache>
            </c:numRef>
          </c:val>
          <c:extLst>
            <c:ext xmlns:c16="http://schemas.microsoft.com/office/drawing/2014/chart" uri="{C3380CC4-5D6E-409C-BE32-E72D297353CC}">
              <c16:uniqueId val="{00000003-DC30-46E1-9E27-5B0D4F15038F}"/>
            </c:ext>
          </c:extLst>
        </c:ser>
        <c:dLbls>
          <c:showLegendKey val="0"/>
          <c:showVal val="0"/>
          <c:showCatName val="0"/>
          <c:showSerName val="0"/>
          <c:showPercent val="0"/>
          <c:showBubbleSize val="0"/>
        </c:dLbls>
        <c:gapWidth val="50"/>
        <c:overlap val="100"/>
        <c:axId val="315124664"/>
        <c:axId val="321010928"/>
      </c:barChart>
      <c:lineChart>
        <c:grouping val="standard"/>
        <c:varyColors val="0"/>
        <c:ser>
          <c:idx val="4"/>
          <c:order val="4"/>
          <c:tx>
            <c:strRef>
              <c:f>סיכום!$B$74</c:f>
              <c:strCache>
                <c:ptCount val="1"/>
                <c:pt idx="0">
                  <c:v>קו</c:v>
                </c:pt>
              </c:strCache>
            </c:strRef>
          </c:tx>
          <c:spPr>
            <a:ln w="28575" cap="rnd">
              <a:solidFill>
                <a:schemeClr val="tx1"/>
              </a:solidFill>
              <a:round/>
            </a:ln>
            <a:effectLst/>
          </c:spPr>
          <c:marker>
            <c:symbol val="none"/>
          </c:marker>
          <c:cat>
            <c:numRef>
              <c:f>סיכום!$C$68:$V$68</c:f>
              <c:numCache>
                <c:formatCode>General</c:formatCode>
                <c:ptCount val="20"/>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numCache>
            </c:numRef>
          </c:cat>
          <c:val>
            <c:numRef>
              <c:f>סיכום!$C$74:$V$74</c:f>
              <c:numCache>
                <c:formatCode>0%</c:formatCode>
                <c:ptCount val="20"/>
                <c:pt idx="0">
                  <c:v>0.34300000000000003</c:v>
                </c:pt>
                <c:pt idx="1">
                  <c:v>0.44700000000000001</c:v>
                </c:pt>
                <c:pt idx="2">
                  <c:v>0.45100000000000001</c:v>
                </c:pt>
                <c:pt idx="3">
                  <c:v>0.46800000000000003</c:v>
                </c:pt>
                <c:pt idx="4">
                  <c:v>0.49399999999999999</c:v>
                </c:pt>
                <c:pt idx="5">
                  <c:v>0.49299999999999999</c:v>
                </c:pt>
                <c:pt idx="6">
                  <c:v>0.48299999999999998</c:v>
                </c:pt>
                <c:pt idx="7">
                  <c:v>0.497</c:v>
                </c:pt>
                <c:pt idx="8">
                  <c:v>0.51500000000000001</c:v>
                </c:pt>
                <c:pt idx="9">
                  <c:v>0.53500000000000003</c:v>
                </c:pt>
                <c:pt idx="10">
                  <c:v>0.54</c:v>
                </c:pt>
                <c:pt idx="11">
                  <c:v>0.55300000000000005</c:v>
                </c:pt>
                <c:pt idx="12">
                  <c:v>0.56000000000000005</c:v>
                </c:pt>
                <c:pt idx="13">
                  <c:v>0.59899999999999998</c:v>
                </c:pt>
                <c:pt idx="14">
                  <c:v>0.58299999999999996</c:v>
                </c:pt>
                <c:pt idx="15">
                  <c:v>0.59099999999999997</c:v>
                </c:pt>
                <c:pt idx="16">
                  <c:v>0.61399999999999999</c:v>
                </c:pt>
                <c:pt idx="17">
                  <c:v>0.61099999999999999</c:v>
                </c:pt>
                <c:pt idx="18">
                  <c:v>0.60258000861724836</c:v>
                </c:pt>
                <c:pt idx="19">
                  <c:v>0.61650767671041284</c:v>
                </c:pt>
              </c:numCache>
            </c:numRef>
          </c:val>
          <c:smooth val="0"/>
          <c:extLst>
            <c:ext xmlns:c16="http://schemas.microsoft.com/office/drawing/2014/chart" uri="{C3380CC4-5D6E-409C-BE32-E72D297353CC}">
              <c16:uniqueId val="{00000004-DC30-46E1-9E27-5B0D4F15038F}"/>
            </c:ext>
          </c:extLst>
        </c:ser>
        <c:dLbls>
          <c:showLegendKey val="0"/>
          <c:showVal val="0"/>
          <c:showCatName val="0"/>
          <c:showSerName val="0"/>
          <c:showPercent val="0"/>
          <c:showBubbleSize val="0"/>
        </c:dLbls>
        <c:marker val="1"/>
        <c:smooth val="0"/>
        <c:axId val="321011712"/>
        <c:axId val="321011320"/>
      </c:lineChart>
      <c:catAx>
        <c:axId val="315124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010928"/>
        <c:crosses val="autoZero"/>
        <c:auto val="1"/>
        <c:lblAlgn val="ctr"/>
        <c:lblOffset val="100"/>
        <c:noMultiLvlLbl val="0"/>
      </c:catAx>
      <c:valAx>
        <c:axId val="32101092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5124664"/>
        <c:crosses val="autoZero"/>
        <c:crossBetween val="between"/>
      </c:valAx>
      <c:valAx>
        <c:axId val="321011320"/>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011712"/>
        <c:crosses val="max"/>
        <c:crossBetween val="between"/>
      </c:valAx>
      <c:catAx>
        <c:axId val="321011712"/>
        <c:scaling>
          <c:orientation val="minMax"/>
        </c:scaling>
        <c:delete val="1"/>
        <c:axPos val="b"/>
        <c:numFmt formatCode="General" sourceLinked="1"/>
        <c:majorTickMark val="out"/>
        <c:minorTickMark val="none"/>
        <c:tickLblPos val="nextTo"/>
        <c:crossAx val="321011320"/>
        <c:crosses val="autoZero"/>
        <c:auto val="1"/>
        <c:lblAlgn val="ctr"/>
        <c:lblOffset val="100"/>
        <c:noMultiLvlLbl val="0"/>
      </c:catAx>
      <c:spPr>
        <a:noFill/>
        <a:ln>
          <a:noFill/>
        </a:ln>
        <a:effectLst/>
      </c:spPr>
    </c:plotArea>
    <c:legend>
      <c:legendPos val="b"/>
      <c:legendEntry>
        <c:idx val="4"/>
        <c:delete val="1"/>
      </c:legendEntry>
      <c:layout>
        <c:manualLayout>
          <c:xMode val="edge"/>
          <c:yMode val="edge"/>
          <c:x val="0"/>
          <c:y val="0.86666481395707895"/>
          <c:w val="1"/>
          <c:h val="0.109805774278215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סיכום!$H$105</c:f>
              <c:strCache>
                <c:ptCount val="1"/>
                <c:pt idx="0">
                  <c:v>אובדן שאינו בר הצלה</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סיכום!$E$106:$E$112</c:f>
              <c:strCache>
                <c:ptCount val="7"/>
                <c:pt idx="0">
                  <c:v>מסעדות</c:v>
                </c:pt>
                <c:pt idx="1">
                  <c:v>מוסדות חינוך</c:v>
                </c:pt>
                <c:pt idx="2">
                  <c:v>מקומות עבודה</c:v>
                </c:pt>
                <c:pt idx="3">
                  <c:v>כוחות הביטחון</c:v>
                </c:pt>
                <c:pt idx="4">
                  <c:v>בתי-חולים</c:v>
                </c:pt>
                <c:pt idx="5">
                  <c:v>מלונות</c:v>
                </c:pt>
                <c:pt idx="6">
                  <c:v>אירועים</c:v>
                </c:pt>
              </c:strCache>
            </c:strRef>
          </c:cat>
          <c:val>
            <c:numRef>
              <c:f>סיכום!$H$106:$H$112</c:f>
              <c:numCache>
                <c:formatCode>0%</c:formatCode>
                <c:ptCount val="7"/>
                <c:pt idx="0">
                  <c:v>0.11510349754884103</c:v>
                </c:pt>
                <c:pt idx="1">
                  <c:v>0.13461538461538458</c:v>
                </c:pt>
                <c:pt idx="2">
                  <c:v>0.18910987936093898</c:v>
                </c:pt>
                <c:pt idx="3">
                  <c:v>0.18971681755478986</c:v>
                </c:pt>
                <c:pt idx="4">
                  <c:v>0.22330097087378631</c:v>
                </c:pt>
                <c:pt idx="5">
                  <c:v>0.29431841218244414</c:v>
                </c:pt>
                <c:pt idx="6">
                  <c:v>0.24690432858723199</c:v>
                </c:pt>
              </c:numCache>
            </c:numRef>
          </c:val>
          <c:extLst>
            <c:ext xmlns:c16="http://schemas.microsoft.com/office/drawing/2014/chart" uri="{C3380CC4-5D6E-409C-BE32-E72D297353CC}">
              <c16:uniqueId val="{00000000-4BF5-4A4F-A13E-B8AB96F45E2D}"/>
            </c:ext>
          </c:extLst>
        </c:ser>
        <c:ser>
          <c:idx val="0"/>
          <c:order val="1"/>
          <c:tx>
            <c:strRef>
              <c:f>סיכום!$G$105</c:f>
              <c:strCache>
                <c:ptCount val="1"/>
                <c:pt idx="0">
                  <c:v>אובדן בר הצלה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סיכום!$E$106:$E$112</c:f>
              <c:strCache>
                <c:ptCount val="7"/>
                <c:pt idx="0">
                  <c:v>מסעדות</c:v>
                </c:pt>
                <c:pt idx="1">
                  <c:v>מוסדות חינוך</c:v>
                </c:pt>
                <c:pt idx="2">
                  <c:v>מקומות עבודה</c:v>
                </c:pt>
                <c:pt idx="3">
                  <c:v>כוחות הביטחון</c:v>
                </c:pt>
                <c:pt idx="4">
                  <c:v>בתי-חולים</c:v>
                </c:pt>
                <c:pt idx="5">
                  <c:v>מלונות</c:v>
                </c:pt>
                <c:pt idx="6">
                  <c:v>אירועים</c:v>
                </c:pt>
              </c:strCache>
            </c:strRef>
          </c:cat>
          <c:val>
            <c:numRef>
              <c:f>סיכום!$G$106:$G$112</c:f>
              <c:numCache>
                <c:formatCode>0%</c:formatCode>
                <c:ptCount val="7"/>
                <c:pt idx="0">
                  <c:v>2.7088668442382419E-2</c:v>
                </c:pt>
                <c:pt idx="1">
                  <c:v>2.8949081787020547E-2</c:v>
                </c:pt>
                <c:pt idx="2">
                  <c:v>0.10010466253668082</c:v>
                </c:pt>
                <c:pt idx="3">
                  <c:v>0.11150511840139572</c:v>
                </c:pt>
                <c:pt idx="4">
                  <c:v>9.7087378640776698E-2</c:v>
                </c:pt>
                <c:pt idx="5">
                  <c:v>8.3823347984964797E-2</c:v>
                </c:pt>
                <c:pt idx="6">
                  <c:v>0.18056596367269745</c:v>
                </c:pt>
              </c:numCache>
            </c:numRef>
          </c:val>
          <c:extLst>
            <c:ext xmlns:c16="http://schemas.microsoft.com/office/drawing/2014/chart" uri="{C3380CC4-5D6E-409C-BE32-E72D297353CC}">
              <c16:uniqueId val="{00000001-4BF5-4A4F-A13E-B8AB96F45E2D}"/>
            </c:ext>
          </c:extLst>
        </c:ser>
        <c:dLbls>
          <c:showLegendKey val="0"/>
          <c:showVal val="0"/>
          <c:showCatName val="0"/>
          <c:showSerName val="0"/>
          <c:showPercent val="0"/>
          <c:showBubbleSize val="0"/>
        </c:dLbls>
        <c:gapWidth val="50"/>
        <c:overlap val="100"/>
        <c:axId val="321012496"/>
        <c:axId val="321012888"/>
      </c:barChart>
      <c:catAx>
        <c:axId val="32101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012888"/>
        <c:crosses val="autoZero"/>
        <c:auto val="1"/>
        <c:lblAlgn val="ctr"/>
        <c:lblOffset val="100"/>
        <c:noMultiLvlLbl val="0"/>
      </c:catAx>
      <c:valAx>
        <c:axId val="3210128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012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'הוצאה לנפש על מזון 2015'!$BC$20</c:f>
              <c:strCache>
                <c:ptCount val="1"/>
                <c:pt idx="0">
                  <c:v>הוצאה בפועל</c:v>
                </c:pt>
              </c:strCache>
            </c:strRef>
          </c:tx>
          <c:spPr>
            <a:solidFill>
              <a:schemeClr val="accent1"/>
            </a:solidFill>
            <a:ln>
              <a:noFill/>
            </a:ln>
            <a:effectLst/>
          </c:spPr>
          <c:invertIfNegative val="0"/>
          <c:cat>
            <c:strRef>
              <c:f>'הוצאה לנפש על מזון 2015'!$BD$19:$BI$19</c:f>
              <c:strCache>
                <c:ptCount val="6"/>
                <c:pt idx="0">
                  <c:v>לחם פיתות</c:v>
                </c:pt>
                <c:pt idx="1">
                  <c:v>תפוחי אדמה ובטטות</c:v>
                </c:pt>
                <c:pt idx="2">
                  <c:v>חלב ומוצריו</c:v>
                </c:pt>
                <c:pt idx="3">
                  <c:v>ירקות טריים</c:v>
                </c:pt>
                <c:pt idx="4">
                  <c:v>פירות טריים</c:v>
                </c:pt>
                <c:pt idx="5">
                  <c:v>בשר עופות דגים</c:v>
                </c:pt>
              </c:strCache>
            </c:strRef>
          </c:cat>
          <c:val>
            <c:numRef>
              <c:f>'הוצאה לנפש על מזון 2015'!$BD$20:$BI$20</c:f>
              <c:numCache>
                <c:formatCode>0%</c:formatCode>
                <c:ptCount val="6"/>
                <c:pt idx="0">
                  <c:v>0.8433256168254657</c:v>
                </c:pt>
                <c:pt idx="1">
                  <c:v>0.7619213640154785</c:v>
                </c:pt>
                <c:pt idx="2">
                  <c:v>0.57387941295098677</c:v>
                </c:pt>
                <c:pt idx="3">
                  <c:v>0.42794194085151904</c:v>
                </c:pt>
                <c:pt idx="4">
                  <c:v>0.34402494979820419</c:v>
                </c:pt>
                <c:pt idx="5">
                  <c:v>0.29865054725608919</c:v>
                </c:pt>
              </c:numCache>
            </c:numRef>
          </c:val>
          <c:extLst>
            <c:ext xmlns:c16="http://schemas.microsoft.com/office/drawing/2014/chart" uri="{C3380CC4-5D6E-409C-BE32-E72D297353CC}">
              <c16:uniqueId val="{00000000-DE81-4F53-B839-E6E42CB92F2D}"/>
            </c:ext>
          </c:extLst>
        </c:ser>
        <c:ser>
          <c:idx val="1"/>
          <c:order val="1"/>
          <c:tx>
            <c:strRef>
              <c:f>'הוצאה לנפש על מזון 2015'!$BC$21</c:f>
              <c:strCache>
                <c:ptCount val="1"/>
                <c:pt idx="0">
                  <c:v>מחסור מנורמטיבי</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'הוצאה לנפש על מזון 2015'!$BD$19:$BI$19</c:f>
              <c:strCache>
                <c:ptCount val="6"/>
                <c:pt idx="0">
                  <c:v>לחם פיתות</c:v>
                </c:pt>
                <c:pt idx="1">
                  <c:v>תפוחי אדמה ובטטות</c:v>
                </c:pt>
                <c:pt idx="2">
                  <c:v>חלב ומוצריו</c:v>
                </c:pt>
                <c:pt idx="3">
                  <c:v>ירקות טריים</c:v>
                </c:pt>
                <c:pt idx="4">
                  <c:v>פירות טריים</c:v>
                </c:pt>
                <c:pt idx="5">
                  <c:v>בשר עופות דגים</c:v>
                </c:pt>
              </c:strCache>
            </c:strRef>
          </c:cat>
          <c:val>
            <c:numRef>
              <c:f>'הוצאה לנפש על מזון 2015'!$BD$21:$BI$21</c:f>
              <c:numCache>
                <c:formatCode>0%</c:formatCode>
                <c:ptCount val="6"/>
                <c:pt idx="0">
                  <c:v>0.1566743831745343</c:v>
                </c:pt>
                <c:pt idx="1">
                  <c:v>0.2380786359845215</c:v>
                </c:pt>
                <c:pt idx="2">
                  <c:v>0.42612058704901323</c:v>
                </c:pt>
                <c:pt idx="3">
                  <c:v>0.57205805914848096</c:v>
                </c:pt>
                <c:pt idx="4">
                  <c:v>0.65597505020179581</c:v>
                </c:pt>
                <c:pt idx="5">
                  <c:v>0.70134945274391081</c:v>
                </c:pt>
              </c:numCache>
            </c:numRef>
          </c:val>
          <c:extLst>
            <c:ext xmlns:c16="http://schemas.microsoft.com/office/drawing/2014/chart" uri="{C3380CC4-5D6E-409C-BE32-E72D297353CC}">
              <c16:uniqueId val="{00000001-DE81-4F53-B839-E6E42CB92F2D}"/>
            </c:ext>
          </c:extLst>
        </c:ser>
        <c:dLbls>
          <c:showLegendKey val="0"/>
          <c:showVal val="0"/>
          <c:showCatName val="0"/>
          <c:showSerName val="0"/>
          <c:showPercent val="0"/>
          <c:showBubbleSize val="0"/>
        </c:dLbls>
        <c:gapWidth val="50"/>
        <c:overlap val="100"/>
        <c:axId val="321013672"/>
        <c:axId val="321014064"/>
      </c:barChart>
      <c:catAx>
        <c:axId val="321013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014064"/>
        <c:crosses val="autoZero"/>
        <c:auto val="1"/>
        <c:lblAlgn val="ctr"/>
        <c:lblOffset val="100"/>
        <c:noMultiLvlLbl val="0"/>
      </c:catAx>
      <c:valAx>
        <c:axId val="32101406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013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rtl="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'טבלאות לתקציר הדוח 2016'!$H$244</c:f>
              <c:strCache>
                <c:ptCount val="1"/>
                <c:pt idx="0">
                  <c:v>שיעור ההוצאה על מזון מתוך ההוצאה על צריכה פרטית</c:v>
                </c:pt>
              </c:strCache>
            </c:strRef>
          </c:tx>
          <c:invertIfNegative val="0"/>
          <c:dPt>
            <c:idx val="7"/>
            <c:invertIfNegative val="0"/>
            <c:bubble3D val="0"/>
            <c:extLst>
              <c:ext xmlns:c16="http://schemas.microsoft.com/office/drawing/2014/chart" uri="{C3380CC4-5D6E-409C-BE32-E72D297353CC}">
                <c16:uniqueId val="{00000000-0313-4DA3-811C-7528ED28C725}"/>
              </c:ext>
            </c:extLst>
          </c:dPt>
          <c:dPt>
            <c:idx val="13"/>
            <c:invertIfNegative val="0"/>
            <c:bubble3D val="0"/>
            <c:extLst>
              <c:ext xmlns:c16="http://schemas.microsoft.com/office/drawing/2014/chart" uri="{C3380CC4-5D6E-409C-BE32-E72D297353CC}">
                <c16:uniqueId val="{00000001-0313-4DA3-811C-7528ED28C725}"/>
              </c:ext>
            </c:extLst>
          </c:dPt>
          <c:dPt>
            <c:idx val="16"/>
            <c:invertIfNegative val="0"/>
            <c:bubble3D val="0"/>
            <c:extLst>
              <c:ext xmlns:c16="http://schemas.microsoft.com/office/drawing/2014/chart" uri="{C3380CC4-5D6E-409C-BE32-E72D297353CC}">
                <c16:uniqueId val="{00000002-0313-4DA3-811C-7528ED28C725}"/>
              </c:ext>
            </c:extLst>
          </c:dPt>
          <c:dPt>
            <c:idx val="17"/>
            <c:invertIfNegative val="0"/>
            <c:bubble3D val="0"/>
            <c:spPr>
              <a:solidFill>
                <a:srgbClr val="00B050"/>
              </a:solidFill>
            </c:spPr>
            <c:extLst>
              <c:ext xmlns:c16="http://schemas.microsoft.com/office/drawing/2014/chart" uri="{C3380CC4-5D6E-409C-BE32-E72D297353CC}">
                <c16:uniqueId val="{00000004-0313-4DA3-811C-7528ED28C725}"/>
              </c:ext>
            </c:extLst>
          </c:dPt>
          <c:dPt>
            <c:idx val="21"/>
            <c:invertIfNegative val="0"/>
            <c:bubble3D val="0"/>
            <c:spPr>
              <a:solidFill>
                <a:srgbClr val="FF0000"/>
              </a:solidFill>
            </c:spPr>
            <c:extLst>
              <c:ext xmlns:c16="http://schemas.microsoft.com/office/drawing/2014/chart" uri="{C3380CC4-5D6E-409C-BE32-E72D297353CC}">
                <c16:uniqueId val="{00000006-0313-4DA3-811C-7528ED28C725}"/>
              </c:ext>
            </c:extLst>
          </c:dPt>
          <c:dPt>
            <c:idx val="22"/>
            <c:invertIfNegative val="0"/>
            <c:bubble3D val="0"/>
            <c:extLst>
              <c:ext xmlns:c16="http://schemas.microsoft.com/office/drawing/2014/chart" uri="{C3380CC4-5D6E-409C-BE32-E72D297353CC}">
                <c16:uniqueId val="{00000007-0313-4DA3-811C-7528ED28C725}"/>
              </c:ext>
            </c:extLst>
          </c:dPt>
          <c:cat>
            <c:strRef>
              <c:f>'טבלאות לתקציר הדוח 2016'!$G$245:$G$274</c:f>
              <c:strCache>
                <c:ptCount val="30"/>
                <c:pt idx="0">
                  <c:v>ארה"ב</c:v>
                </c:pt>
                <c:pt idx="1">
                  <c:v>בריטניה</c:v>
                </c:pt>
                <c:pt idx="2">
                  <c:v>שוויץ</c:v>
                </c:pt>
                <c:pt idx="3">
                  <c:v>קנדה</c:v>
                </c:pt>
                <c:pt idx="4">
                  <c:v>אירלנד</c:v>
                </c:pt>
                <c:pt idx="5">
                  <c:v>אוסטריה</c:v>
                </c:pt>
                <c:pt idx="6">
                  <c:v>אוסטרליה</c:v>
                </c:pt>
                <c:pt idx="7">
                  <c:v>גרמניה</c:v>
                </c:pt>
                <c:pt idx="8">
                  <c:v>דנמרק</c:v>
                </c:pt>
                <c:pt idx="9">
                  <c:v>הולנד</c:v>
                </c:pt>
                <c:pt idx="10">
                  <c:v>נורווגיה</c:v>
                </c:pt>
                <c:pt idx="11">
                  <c:v>שוודיה</c:v>
                </c:pt>
                <c:pt idx="12">
                  <c:v>פינלנד</c:v>
                </c:pt>
                <c:pt idx="13">
                  <c:v>בלגיה</c:v>
                </c:pt>
                <c:pt idx="14">
                  <c:v>ספרד</c:v>
                </c:pt>
                <c:pt idx="15">
                  <c:v>צרפת</c:v>
                </c:pt>
                <c:pt idx="16">
                  <c:v>ניו זילנד</c:v>
                </c:pt>
                <c:pt idx="17">
                  <c:v>ממוצע OECD</c:v>
                </c:pt>
                <c:pt idx="18">
                  <c:v>יפן</c:v>
                </c:pt>
                <c:pt idx="19">
                  <c:v>איטליה</c:v>
                </c:pt>
                <c:pt idx="20">
                  <c:v>צ'כיה</c:v>
                </c:pt>
                <c:pt idx="21">
                  <c:v>ישראל</c:v>
                </c:pt>
                <c:pt idx="22">
                  <c:v>צ'ילה</c:v>
                </c:pt>
                <c:pt idx="23">
                  <c:v>יוון</c:v>
                </c:pt>
                <c:pt idx="24">
                  <c:v>פורטוגל</c:v>
                </c:pt>
                <c:pt idx="25">
                  <c:v>פולין</c:v>
                </c:pt>
                <c:pt idx="26">
                  <c:v>סלובקיה</c:v>
                </c:pt>
                <c:pt idx="27">
                  <c:v>הונגריה</c:v>
                </c:pt>
                <c:pt idx="28">
                  <c:v>מקסיקו</c:v>
                </c:pt>
                <c:pt idx="29">
                  <c:v>טורקיה</c:v>
                </c:pt>
              </c:strCache>
            </c:strRef>
          </c:cat>
          <c:val>
            <c:numRef>
              <c:f>'טבלאות לתקציר הדוח 2016'!$H$245:$H$274</c:f>
              <c:numCache>
                <c:formatCode>0%</c:formatCode>
                <c:ptCount val="30"/>
                <c:pt idx="0">
                  <c:v>6.5704343325402079E-2</c:v>
                </c:pt>
                <c:pt idx="1">
                  <c:v>8.1810138536557997E-2</c:v>
                </c:pt>
                <c:pt idx="2">
                  <c:v>8.931122631758534E-2</c:v>
                </c:pt>
                <c:pt idx="3">
                  <c:v>9.2873124446352082E-2</c:v>
                </c:pt>
                <c:pt idx="4">
                  <c:v>9.6590969425218234E-2</c:v>
                </c:pt>
                <c:pt idx="5">
                  <c:v>9.8134018977501403E-2</c:v>
                </c:pt>
                <c:pt idx="6">
                  <c:v>9.8773450903591728E-2</c:v>
                </c:pt>
                <c:pt idx="7">
                  <c:v>0.10206100401470081</c:v>
                </c:pt>
                <c:pt idx="8">
                  <c:v>0.11266989623541751</c:v>
                </c:pt>
                <c:pt idx="9">
                  <c:v>0.11650885708445498</c:v>
                </c:pt>
                <c:pt idx="10">
                  <c:v>0.1166011215853127</c:v>
                </c:pt>
                <c:pt idx="11">
                  <c:v>0.12470769403004683</c:v>
                </c:pt>
                <c:pt idx="12">
                  <c:v>0.1273514495776894</c:v>
                </c:pt>
                <c:pt idx="13">
                  <c:v>0.12869675667745117</c:v>
                </c:pt>
                <c:pt idx="14">
                  <c:v>0.13056351936799185</c:v>
                </c:pt>
                <c:pt idx="15">
                  <c:v>0.13335858314144913</c:v>
                </c:pt>
                <c:pt idx="16">
                  <c:v>0.13351999547485718</c:v>
                </c:pt>
                <c:pt idx="17">
                  <c:v>0.13751793036502211</c:v>
                </c:pt>
                <c:pt idx="18">
                  <c:v>0.14111423726802336</c:v>
                </c:pt>
                <c:pt idx="19">
                  <c:v>0.14226459487983859</c:v>
                </c:pt>
                <c:pt idx="20">
                  <c:v>0.16154593761989561</c:v>
                </c:pt>
                <c:pt idx="21">
                  <c:v>0.16375639055711919</c:v>
                </c:pt>
                <c:pt idx="22">
                  <c:v>0.16527198755203978</c:v>
                </c:pt>
                <c:pt idx="23">
                  <c:v>0.16830440833759364</c:v>
                </c:pt>
                <c:pt idx="24">
                  <c:v>0.17167358015945383</c:v>
                </c:pt>
                <c:pt idx="25">
                  <c:v>0.17226248053867058</c:v>
                </c:pt>
                <c:pt idx="26">
                  <c:v>0.1755554280906583</c:v>
                </c:pt>
                <c:pt idx="27">
                  <c:v>0.18209888060940721</c:v>
                </c:pt>
                <c:pt idx="28">
                  <c:v>0.23495532072678046</c:v>
                </c:pt>
                <c:pt idx="29">
                  <c:v>0.25998058512458017</c:v>
                </c:pt>
              </c:numCache>
            </c:numRef>
          </c:val>
          <c:extLst>
            <c:ext xmlns:c16="http://schemas.microsoft.com/office/drawing/2014/chart" uri="{C3380CC4-5D6E-409C-BE32-E72D297353CC}">
              <c16:uniqueId val="{00000008-0313-4DA3-811C-7528ED28C725}"/>
            </c:ext>
          </c:extLst>
        </c:ser>
        <c:dLbls>
          <c:showLegendKey val="0"/>
          <c:showVal val="0"/>
          <c:showCatName val="0"/>
          <c:showSerName val="0"/>
          <c:showPercent val="0"/>
          <c:showBubbleSize val="0"/>
        </c:dLbls>
        <c:gapWidth val="50"/>
        <c:axId val="321014848"/>
        <c:axId val="321015240"/>
      </c:barChart>
      <c:catAx>
        <c:axId val="321014848"/>
        <c:scaling>
          <c:orientation val="minMax"/>
        </c:scaling>
        <c:delete val="0"/>
        <c:axPos val="r"/>
        <c:numFmt formatCode="General" sourceLinked="0"/>
        <c:majorTickMark val="out"/>
        <c:minorTickMark val="none"/>
        <c:tickLblPos val="nextTo"/>
        <c:crossAx val="321015240"/>
        <c:crosses val="autoZero"/>
        <c:auto val="1"/>
        <c:lblAlgn val="ctr"/>
        <c:lblOffset val="100"/>
        <c:noMultiLvlLbl val="0"/>
      </c:catAx>
      <c:valAx>
        <c:axId val="321015240"/>
        <c:scaling>
          <c:orientation val="maxMin"/>
        </c:scaling>
        <c:delete val="0"/>
        <c:axPos val="b"/>
        <c:majorGridlines/>
        <c:numFmt formatCode="0%" sourceLinked="1"/>
        <c:majorTickMark val="out"/>
        <c:minorTickMark val="none"/>
        <c:tickLblPos val="nextTo"/>
        <c:crossAx val="321014848"/>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'טבלאות לתקציר הדוח 2016'!$B$244</c:f>
              <c:strCache>
                <c:ptCount val="1"/>
                <c:pt idx="0">
                  <c:v>אי ביטחון תזונתי</c:v>
                </c:pt>
              </c:strCache>
            </c:strRef>
          </c:tx>
          <c:invertIfNegative val="0"/>
          <c:dPt>
            <c:idx val="16"/>
            <c:invertIfNegative val="0"/>
            <c:bubble3D val="0"/>
            <c:extLst>
              <c:ext xmlns:c16="http://schemas.microsoft.com/office/drawing/2014/chart" uri="{C3380CC4-5D6E-409C-BE32-E72D297353CC}">
                <c16:uniqueId val="{00000000-58D0-4A7C-814D-B5A465A15B0F}"/>
              </c:ext>
            </c:extLst>
          </c:dPt>
          <c:dPt>
            <c:idx val="17"/>
            <c:invertIfNegative val="0"/>
            <c:bubble3D val="0"/>
            <c:spPr>
              <a:solidFill>
                <a:srgbClr val="FF0000"/>
              </a:solidFill>
            </c:spPr>
            <c:extLst>
              <c:ext xmlns:c16="http://schemas.microsoft.com/office/drawing/2014/chart" uri="{C3380CC4-5D6E-409C-BE32-E72D297353CC}">
                <c16:uniqueId val="{00000002-58D0-4A7C-814D-B5A465A15B0F}"/>
              </c:ext>
            </c:extLst>
          </c:dPt>
          <c:dPt>
            <c:idx val="19"/>
            <c:invertIfNegative val="0"/>
            <c:bubble3D val="0"/>
            <c:spPr>
              <a:solidFill>
                <a:srgbClr val="00B050"/>
              </a:solidFill>
            </c:spPr>
            <c:extLst>
              <c:ext xmlns:c16="http://schemas.microsoft.com/office/drawing/2014/chart" uri="{C3380CC4-5D6E-409C-BE32-E72D297353CC}">
                <c16:uniqueId val="{00000004-58D0-4A7C-814D-B5A465A15B0F}"/>
              </c:ext>
            </c:extLst>
          </c:dPt>
          <c:cat>
            <c:strRef>
              <c:f>'טבלאות לתקציר הדוח 2016'!$A$245:$A$274</c:f>
              <c:strCache>
                <c:ptCount val="30"/>
                <c:pt idx="0">
                  <c:v>אירלנד</c:v>
                </c:pt>
                <c:pt idx="1">
                  <c:v>ארה"ב</c:v>
                </c:pt>
                <c:pt idx="2">
                  <c:v>בריטניה</c:v>
                </c:pt>
                <c:pt idx="3">
                  <c:v>אוסטרליה</c:v>
                </c:pt>
                <c:pt idx="4">
                  <c:v>הולנד</c:v>
                </c:pt>
                <c:pt idx="5">
                  <c:v>גרמניה</c:v>
                </c:pt>
                <c:pt idx="6">
                  <c:v>צרפת</c:v>
                </c:pt>
                <c:pt idx="7">
                  <c:v>קנדה</c:v>
                </c:pt>
                <c:pt idx="8">
                  <c:v>שוודיה</c:v>
                </c:pt>
                <c:pt idx="9">
                  <c:v>שוויץ</c:v>
                </c:pt>
                <c:pt idx="10">
                  <c:v>אוסטריה</c:v>
                </c:pt>
                <c:pt idx="11">
                  <c:v>נורווגיה</c:v>
                </c:pt>
                <c:pt idx="12">
                  <c:v>ניו זילנד</c:v>
                </c:pt>
                <c:pt idx="13">
                  <c:v>פינלנד</c:v>
                </c:pt>
                <c:pt idx="14">
                  <c:v>דנמרק</c:v>
                </c:pt>
                <c:pt idx="15">
                  <c:v>בלגיה</c:v>
                </c:pt>
                <c:pt idx="16">
                  <c:v>יפן</c:v>
                </c:pt>
                <c:pt idx="17">
                  <c:v>ישראל</c:v>
                </c:pt>
                <c:pt idx="18">
                  <c:v>פורטוגל</c:v>
                </c:pt>
                <c:pt idx="19">
                  <c:v>ממוצע OECD</c:v>
                </c:pt>
                <c:pt idx="20">
                  <c:v>ספרד</c:v>
                </c:pt>
                <c:pt idx="21">
                  <c:v>איטליה</c:v>
                </c:pt>
                <c:pt idx="22">
                  <c:v>צ'כיה</c:v>
                </c:pt>
                <c:pt idx="23">
                  <c:v>צ'ילה</c:v>
                </c:pt>
                <c:pt idx="24">
                  <c:v>פולין</c:v>
                </c:pt>
                <c:pt idx="25">
                  <c:v>הונגריה</c:v>
                </c:pt>
                <c:pt idx="26">
                  <c:v>יוון</c:v>
                </c:pt>
                <c:pt idx="27">
                  <c:v>סלובקיה</c:v>
                </c:pt>
                <c:pt idx="28">
                  <c:v>מקסיקו</c:v>
                </c:pt>
                <c:pt idx="29">
                  <c:v>טורקיה</c:v>
                </c:pt>
              </c:strCache>
            </c:strRef>
          </c:cat>
          <c:val>
            <c:numRef>
              <c:f>'טבלאות לתקציר הדוח 2016'!$B$245:$B$274</c:f>
              <c:numCache>
                <c:formatCode>General</c:formatCode>
                <c:ptCount val="30"/>
                <c:pt idx="0">
                  <c:v>85.6</c:v>
                </c:pt>
                <c:pt idx="1">
                  <c:v>84.6</c:v>
                </c:pt>
                <c:pt idx="2">
                  <c:v>84.2</c:v>
                </c:pt>
                <c:pt idx="3">
                  <c:v>83.3</c:v>
                </c:pt>
                <c:pt idx="4">
                  <c:v>82.8</c:v>
                </c:pt>
                <c:pt idx="5">
                  <c:v>82.5</c:v>
                </c:pt>
                <c:pt idx="6">
                  <c:v>82.3</c:v>
                </c:pt>
                <c:pt idx="7">
                  <c:v>82.2</c:v>
                </c:pt>
                <c:pt idx="8">
                  <c:v>81.7</c:v>
                </c:pt>
                <c:pt idx="9">
                  <c:v>81.599999999999994</c:v>
                </c:pt>
                <c:pt idx="10">
                  <c:v>81.599999999999994</c:v>
                </c:pt>
                <c:pt idx="11">
                  <c:v>81.400000000000006</c:v>
                </c:pt>
                <c:pt idx="12">
                  <c:v>81</c:v>
                </c:pt>
                <c:pt idx="13">
                  <c:v>81</c:v>
                </c:pt>
                <c:pt idx="14">
                  <c:v>80.3</c:v>
                </c:pt>
                <c:pt idx="15">
                  <c:v>79.8</c:v>
                </c:pt>
                <c:pt idx="16">
                  <c:v>79.5</c:v>
                </c:pt>
                <c:pt idx="17">
                  <c:v>79.2</c:v>
                </c:pt>
                <c:pt idx="18">
                  <c:v>79</c:v>
                </c:pt>
                <c:pt idx="19" formatCode="0.000">
                  <c:v>78.386206896551698</c:v>
                </c:pt>
                <c:pt idx="20">
                  <c:v>78.099999999999994</c:v>
                </c:pt>
                <c:pt idx="21">
                  <c:v>75.900000000000006</c:v>
                </c:pt>
                <c:pt idx="22">
                  <c:v>75.8</c:v>
                </c:pt>
                <c:pt idx="23">
                  <c:v>74.7</c:v>
                </c:pt>
                <c:pt idx="24">
                  <c:v>74.099999999999994</c:v>
                </c:pt>
                <c:pt idx="25">
                  <c:v>72.2</c:v>
                </c:pt>
                <c:pt idx="26">
                  <c:v>71.900000000000006</c:v>
                </c:pt>
                <c:pt idx="27">
                  <c:v>70</c:v>
                </c:pt>
                <c:pt idx="28">
                  <c:v>65.8</c:v>
                </c:pt>
                <c:pt idx="29">
                  <c:v>61.1</c:v>
                </c:pt>
              </c:numCache>
            </c:numRef>
          </c:val>
          <c:extLst>
            <c:ext xmlns:c16="http://schemas.microsoft.com/office/drawing/2014/chart" uri="{C3380CC4-5D6E-409C-BE32-E72D297353CC}">
              <c16:uniqueId val="{00000005-58D0-4A7C-814D-B5A465A15B0F}"/>
            </c:ext>
          </c:extLst>
        </c:ser>
        <c:dLbls>
          <c:showLegendKey val="0"/>
          <c:showVal val="0"/>
          <c:showCatName val="0"/>
          <c:showSerName val="0"/>
          <c:showPercent val="0"/>
          <c:showBubbleSize val="0"/>
        </c:dLbls>
        <c:gapWidth val="50"/>
        <c:axId val="321016024"/>
        <c:axId val="321016416"/>
      </c:barChart>
      <c:catAx>
        <c:axId val="321016024"/>
        <c:scaling>
          <c:orientation val="minMax"/>
        </c:scaling>
        <c:delete val="0"/>
        <c:axPos val="r"/>
        <c:numFmt formatCode="General" sourceLinked="0"/>
        <c:majorTickMark val="out"/>
        <c:minorTickMark val="none"/>
        <c:tickLblPos val="nextTo"/>
        <c:crossAx val="321016416"/>
        <c:crosses val="autoZero"/>
        <c:auto val="1"/>
        <c:lblAlgn val="ctr"/>
        <c:lblOffset val="100"/>
        <c:noMultiLvlLbl val="0"/>
      </c:catAx>
      <c:valAx>
        <c:axId val="321016416"/>
        <c:scaling>
          <c:orientation val="maxMin"/>
          <c:max val="90"/>
          <c:min val="60"/>
        </c:scaling>
        <c:delete val="0"/>
        <c:axPos val="b"/>
        <c:majorGridlines/>
        <c:numFmt formatCode="General" sourceLinked="1"/>
        <c:majorTickMark val="out"/>
        <c:minorTickMark val="none"/>
        <c:tickLblPos val="nextTo"/>
        <c:crossAx val="321016024"/>
        <c:crosses val="autoZero"/>
        <c:crossBetween val="between"/>
      </c:valAx>
    </c:plotArea>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4F454-CC1A-45BF-9427-E2298A1B5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10608</Words>
  <Characters>60468</Characters>
  <Application>Microsoft Office Word</Application>
  <DocSecurity>0</DocSecurity>
  <Lines>503</Lines>
  <Paragraphs>141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yaakov</dc:creator>
  <cp:lastModifiedBy>Anat Friedman Coles - Leket Israel</cp:lastModifiedBy>
  <cp:revision>3</cp:revision>
  <cp:lastPrinted>2016-12-19T16:49:00Z</cp:lastPrinted>
  <dcterms:created xsi:type="dcterms:W3CDTF">2018-02-14T10:27:00Z</dcterms:created>
  <dcterms:modified xsi:type="dcterms:W3CDTF">2018-02-14T10:29:00Z</dcterms:modified>
</cp:coreProperties>
</file>