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25ABB" w14:textId="38D437F4" w:rsidR="00407A82" w:rsidRPr="00934F4B" w:rsidRDefault="00407A82" w:rsidP="00FE01E9">
      <w:pPr>
        <w:spacing w:after="0"/>
        <w:jc w:val="both"/>
        <w:rPr>
          <w:rFonts w:asciiTheme="majorBidi" w:hAnsiTheme="majorBidi" w:cstheme="majorBidi"/>
          <w:b/>
          <w:bCs/>
          <w:sz w:val="24"/>
          <w:szCs w:val="24"/>
        </w:rPr>
      </w:pPr>
      <w:r w:rsidRPr="00934F4B">
        <w:rPr>
          <w:rFonts w:asciiTheme="majorBidi" w:hAnsiTheme="majorBidi" w:cstheme="majorBidi"/>
          <w:b/>
          <w:bCs/>
          <w:sz w:val="24"/>
          <w:szCs w:val="24"/>
        </w:rPr>
        <w:t xml:space="preserve">Disqualified Witnesses and the Conceptual History of Legal Testimony: </w:t>
      </w:r>
    </w:p>
    <w:p w14:paraId="5875A467" w14:textId="2CC0C015" w:rsidR="00407A82" w:rsidRPr="00934F4B" w:rsidRDefault="00407A82" w:rsidP="002913F0">
      <w:pPr>
        <w:jc w:val="both"/>
        <w:rPr>
          <w:rFonts w:asciiTheme="majorBidi" w:hAnsiTheme="majorBidi" w:cstheme="majorBidi"/>
          <w:b/>
          <w:bCs/>
          <w:sz w:val="24"/>
          <w:szCs w:val="24"/>
          <w:lang w:val="fr-FR"/>
        </w:rPr>
      </w:pPr>
      <w:r w:rsidRPr="00934F4B">
        <w:rPr>
          <w:rFonts w:asciiTheme="majorBidi" w:hAnsiTheme="majorBidi" w:cstheme="majorBidi"/>
          <w:b/>
          <w:bCs/>
          <w:sz w:val="24"/>
          <w:szCs w:val="24"/>
          <w:lang w:val="fr-FR"/>
        </w:rPr>
        <w:t xml:space="preserve">A </w:t>
      </w:r>
      <w:proofErr w:type="spellStart"/>
      <w:r w:rsidR="002913F0" w:rsidRPr="00934F4B">
        <w:rPr>
          <w:rFonts w:asciiTheme="majorBidi" w:hAnsiTheme="majorBidi" w:cstheme="majorBidi"/>
          <w:b/>
          <w:bCs/>
          <w:sz w:val="24"/>
          <w:szCs w:val="24"/>
          <w:lang w:val="fr-FR"/>
        </w:rPr>
        <w:t>Response</w:t>
      </w:r>
      <w:proofErr w:type="spellEnd"/>
      <w:r w:rsidRPr="00934F4B">
        <w:rPr>
          <w:rFonts w:asciiTheme="majorBidi" w:hAnsiTheme="majorBidi" w:cstheme="majorBidi"/>
          <w:b/>
          <w:bCs/>
          <w:sz w:val="24"/>
          <w:szCs w:val="24"/>
          <w:lang w:val="fr-FR"/>
        </w:rPr>
        <w:t xml:space="preserve"> to Paul du- Plessis</w:t>
      </w:r>
    </w:p>
    <w:p w14:paraId="6DD93CD1" w14:textId="43397066" w:rsidR="00407A82" w:rsidRPr="00934F4B" w:rsidRDefault="00407A82" w:rsidP="00FE01E9">
      <w:pPr>
        <w:jc w:val="both"/>
        <w:rPr>
          <w:rFonts w:asciiTheme="majorBidi" w:hAnsiTheme="majorBidi" w:cstheme="majorBidi"/>
          <w:b/>
          <w:bCs/>
          <w:sz w:val="24"/>
          <w:szCs w:val="24"/>
        </w:rPr>
      </w:pPr>
      <w:r w:rsidRPr="00934F4B">
        <w:rPr>
          <w:rFonts w:asciiTheme="majorBidi" w:hAnsiTheme="majorBidi" w:cstheme="majorBidi"/>
          <w:b/>
          <w:bCs/>
          <w:sz w:val="24"/>
          <w:szCs w:val="24"/>
        </w:rPr>
        <w:t xml:space="preserve">Orit </w:t>
      </w:r>
      <w:proofErr w:type="spellStart"/>
      <w:r w:rsidRPr="00934F4B">
        <w:rPr>
          <w:rFonts w:asciiTheme="majorBidi" w:hAnsiTheme="majorBidi" w:cstheme="majorBidi"/>
          <w:b/>
          <w:bCs/>
          <w:sz w:val="24"/>
          <w:szCs w:val="24"/>
        </w:rPr>
        <w:t>Malka</w:t>
      </w:r>
      <w:proofErr w:type="spellEnd"/>
    </w:p>
    <w:p w14:paraId="729157CE" w14:textId="682725AE" w:rsidR="00795BC6" w:rsidRPr="00934F4B" w:rsidRDefault="00795BC6" w:rsidP="00E448D4">
      <w:pPr>
        <w:jc w:val="both"/>
        <w:rPr>
          <w:rFonts w:asciiTheme="majorBidi" w:hAnsiTheme="majorBidi" w:cstheme="majorBidi"/>
          <w:sz w:val="24"/>
          <w:szCs w:val="24"/>
        </w:rPr>
      </w:pPr>
      <w:r w:rsidRPr="00934F4B">
        <w:rPr>
          <w:rFonts w:asciiTheme="majorBidi" w:hAnsiTheme="majorBidi" w:cstheme="majorBidi"/>
          <w:sz w:val="24"/>
          <w:szCs w:val="24"/>
        </w:rPr>
        <w:t xml:space="preserve">I was fortunate to receive the attention of </w:t>
      </w:r>
      <w:r w:rsidR="00B75321" w:rsidRPr="00934F4B">
        <w:rPr>
          <w:rFonts w:asciiTheme="majorBidi" w:hAnsiTheme="majorBidi" w:cstheme="majorBidi"/>
          <w:sz w:val="24"/>
          <w:szCs w:val="24"/>
        </w:rPr>
        <w:t xml:space="preserve">several </w:t>
      </w:r>
      <w:r w:rsidRPr="00934F4B">
        <w:rPr>
          <w:rFonts w:asciiTheme="majorBidi" w:hAnsiTheme="majorBidi" w:cstheme="majorBidi"/>
          <w:sz w:val="24"/>
          <w:szCs w:val="24"/>
        </w:rPr>
        <w:t>prominent scholars</w:t>
      </w:r>
      <w:r w:rsidR="00407A82" w:rsidRPr="00934F4B">
        <w:rPr>
          <w:rFonts w:asciiTheme="majorBidi" w:hAnsiTheme="majorBidi" w:cstheme="majorBidi"/>
          <w:sz w:val="24"/>
          <w:szCs w:val="24"/>
        </w:rPr>
        <w:t xml:space="preserve"> to my paper “Disqualified witnesses Between Tannaitic Halakha and Roman Law”</w:t>
      </w:r>
      <w:r w:rsidR="00B75321" w:rsidRPr="00934F4B">
        <w:rPr>
          <w:rFonts w:asciiTheme="majorBidi" w:hAnsiTheme="majorBidi" w:cstheme="majorBidi"/>
          <w:sz w:val="24"/>
          <w:szCs w:val="24"/>
        </w:rPr>
        <w:t>, in their printed responses published in LHR</w:t>
      </w:r>
      <w:r w:rsidR="00FE01E9" w:rsidRPr="00934F4B">
        <w:rPr>
          <w:rFonts w:asciiTheme="majorBidi" w:hAnsiTheme="majorBidi" w:cstheme="majorBidi"/>
          <w:sz w:val="24"/>
          <w:szCs w:val="24"/>
        </w:rPr>
        <w:t xml:space="preserve"> </w:t>
      </w:r>
      <w:r w:rsidR="005949F5" w:rsidRPr="00934F4B">
        <w:rPr>
          <w:rFonts w:asciiTheme="majorBidi" w:hAnsiTheme="majorBidi" w:cstheme="majorBidi"/>
          <w:sz w:val="24"/>
          <w:szCs w:val="24"/>
        </w:rPr>
        <w:t>37.4 (2019),</w:t>
      </w:r>
      <w:r w:rsidR="00B75321" w:rsidRPr="00934F4B">
        <w:rPr>
          <w:rFonts w:asciiTheme="majorBidi" w:hAnsiTheme="majorBidi" w:cstheme="majorBidi"/>
          <w:sz w:val="24"/>
          <w:szCs w:val="24"/>
        </w:rPr>
        <w:t xml:space="preserve"> and I am greatly indebted to all of them</w:t>
      </w:r>
      <w:r w:rsidR="00407A82" w:rsidRPr="00934F4B">
        <w:rPr>
          <w:rFonts w:asciiTheme="majorBidi" w:hAnsiTheme="majorBidi" w:cstheme="majorBidi"/>
          <w:sz w:val="24"/>
          <w:szCs w:val="24"/>
        </w:rPr>
        <w:t>.</w:t>
      </w:r>
      <w:r w:rsidR="000F34D4" w:rsidRPr="00934F4B">
        <w:rPr>
          <w:rFonts w:asciiTheme="majorBidi" w:hAnsiTheme="majorBidi" w:cstheme="majorBidi"/>
          <w:sz w:val="24"/>
          <w:szCs w:val="24"/>
        </w:rPr>
        <w:t xml:space="preserve"> The </w:t>
      </w:r>
      <w:r w:rsidR="00E448D4" w:rsidRPr="00934F4B">
        <w:rPr>
          <w:rFonts w:asciiTheme="majorBidi" w:hAnsiTheme="majorBidi" w:cstheme="majorBidi"/>
          <w:sz w:val="24"/>
          <w:szCs w:val="24"/>
        </w:rPr>
        <w:t>expert</w:t>
      </w:r>
      <w:r w:rsidR="000F34D4" w:rsidRPr="00934F4B">
        <w:rPr>
          <w:rFonts w:asciiTheme="majorBidi" w:hAnsiTheme="majorBidi" w:cstheme="majorBidi"/>
          <w:sz w:val="24"/>
          <w:szCs w:val="24"/>
        </w:rPr>
        <w:t xml:space="preserve"> contextualization they so generously outlined, by</w:t>
      </w:r>
      <w:r w:rsidR="00E448D4" w:rsidRPr="00934F4B">
        <w:rPr>
          <w:rFonts w:asciiTheme="majorBidi" w:hAnsiTheme="majorBidi" w:cstheme="majorBidi"/>
          <w:sz w:val="24"/>
          <w:szCs w:val="24"/>
        </w:rPr>
        <w:t xml:space="preserve"> Christine</w:t>
      </w:r>
      <w:r w:rsidR="000F34D4" w:rsidRPr="00934F4B">
        <w:rPr>
          <w:rFonts w:asciiTheme="majorBidi" w:hAnsiTheme="majorBidi" w:cstheme="majorBidi"/>
          <w:sz w:val="24"/>
          <w:szCs w:val="24"/>
        </w:rPr>
        <w:t xml:space="preserve"> Hayes regarding the study of Jewish law vis-à-vis and Roman law (</w:t>
      </w:r>
      <w:r w:rsidR="00E448D4" w:rsidRPr="00934F4B">
        <w:rPr>
          <w:rFonts w:asciiTheme="majorBidi" w:hAnsiTheme="majorBidi" w:cstheme="majorBidi"/>
          <w:sz w:val="24"/>
          <w:szCs w:val="24"/>
        </w:rPr>
        <w:t>955-959</w:t>
      </w:r>
      <w:r w:rsidR="000F34D4" w:rsidRPr="00934F4B">
        <w:rPr>
          <w:rFonts w:asciiTheme="majorBidi" w:hAnsiTheme="majorBidi" w:cstheme="majorBidi"/>
          <w:sz w:val="24"/>
          <w:szCs w:val="24"/>
        </w:rPr>
        <w:t xml:space="preserve">), and by </w:t>
      </w:r>
      <w:proofErr w:type="spellStart"/>
      <w:r w:rsidR="000F34D4" w:rsidRPr="00934F4B">
        <w:rPr>
          <w:rFonts w:asciiTheme="majorBidi" w:hAnsiTheme="majorBidi" w:cstheme="majorBidi"/>
          <w:sz w:val="24"/>
          <w:szCs w:val="24"/>
        </w:rPr>
        <w:t>Amalia</w:t>
      </w:r>
      <w:proofErr w:type="spellEnd"/>
      <w:r w:rsidR="000F34D4" w:rsidRPr="00934F4B">
        <w:rPr>
          <w:rFonts w:asciiTheme="majorBidi" w:hAnsiTheme="majorBidi" w:cstheme="majorBidi"/>
          <w:sz w:val="24"/>
          <w:szCs w:val="24"/>
        </w:rPr>
        <w:t xml:space="preserve"> Kessler regarding the history of evidence rules and their rational (937-946), is an </w:t>
      </w:r>
      <w:r w:rsidR="00E448D4" w:rsidRPr="00934F4B">
        <w:rPr>
          <w:rFonts w:asciiTheme="majorBidi" w:hAnsiTheme="majorBidi" w:cstheme="majorBidi"/>
          <w:sz w:val="24"/>
          <w:szCs w:val="24"/>
        </w:rPr>
        <w:t>extraordinary</w:t>
      </w:r>
      <w:r w:rsidR="000F34D4" w:rsidRPr="00934F4B">
        <w:rPr>
          <w:rFonts w:asciiTheme="majorBidi" w:hAnsiTheme="majorBidi" w:cstheme="majorBidi"/>
          <w:sz w:val="24"/>
          <w:szCs w:val="24"/>
        </w:rPr>
        <w:t xml:space="preserve"> gift for which I am deeply grateful, and t</w:t>
      </w:r>
      <w:r w:rsidRPr="00934F4B">
        <w:rPr>
          <w:rFonts w:asciiTheme="majorBidi" w:hAnsiTheme="majorBidi" w:cstheme="majorBidi"/>
          <w:sz w:val="24"/>
          <w:szCs w:val="24"/>
        </w:rPr>
        <w:t xml:space="preserve">he critical points they raise grant me an invaluable opportunity to sharpen </w:t>
      </w:r>
      <w:r w:rsidR="00B75321" w:rsidRPr="00934F4B">
        <w:rPr>
          <w:rFonts w:asciiTheme="majorBidi" w:hAnsiTheme="majorBidi" w:cstheme="majorBidi"/>
          <w:sz w:val="24"/>
          <w:szCs w:val="24"/>
        </w:rPr>
        <w:t>my</w:t>
      </w:r>
      <w:r w:rsidRPr="00934F4B">
        <w:rPr>
          <w:rFonts w:asciiTheme="majorBidi" w:hAnsiTheme="majorBidi" w:cstheme="majorBidi"/>
          <w:sz w:val="24"/>
          <w:szCs w:val="24"/>
        </w:rPr>
        <w:t xml:space="preserve"> argument and clarify its thrust. </w:t>
      </w:r>
      <w:r w:rsidR="00E730F4" w:rsidRPr="00934F4B">
        <w:rPr>
          <w:rFonts w:asciiTheme="majorBidi" w:hAnsiTheme="majorBidi" w:cstheme="majorBidi"/>
          <w:sz w:val="24"/>
          <w:szCs w:val="24"/>
        </w:rPr>
        <w:t xml:space="preserve">I take this opportunity to addresses </w:t>
      </w:r>
      <w:r w:rsidR="002D00FD" w:rsidRPr="00934F4B">
        <w:rPr>
          <w:rFonts w:asciiTheme="majorBidi" w:hAnsiTheme="majorBidi" w:cstheme="majorBidi"/>
          <w:sz w:val="24"/>
          <w:szCs w:val="24"/>
        </w:rPr>
        <w:t xml:space="preserve">here </w:t>
      </w:r>
      <w:r w:rsidR="00F65C01" w:rsidRPr="00934F4B">
        <w:rPr>
          <w:rFonts w:asciiTheme="majorBidi" w:hAnsiTheme="majorBidi" w:cstheme="majorBidi"/>
          <w:sz w:val="24"/>
          <w:szCs w:val="24"/>
        </w:rPr>
        <w:t xml:space="preserve">one </w:t>
      </w:r>
      <w:r w:rsidR="00407A82" w:rsidRPr="00934F4B">
        <w:rPr>
          <w:rFonts w:asciiTheme="majorBidi" w:hAnsiTheme="majorBidi" w:cstheme="majorBidi"/>
          <w:sz w:val="24"/>
          <w:szCs w:val="24"/>
        </w:rPr>
        <w:t xml:space="preserve">particular </w:t>
      </w:r>
      <w:r w:rsidRPr="00934F4B">
        <w:rPr>
          <w:rFonts w:asciiTheme="majorBidi" w:hAnsiTheme="majorBidi" w:cstheme="majorBidi"/>
          <w:sz w:val="24"/>
          <w:szCs w:val="24"/>
        </w:rPr>
        <w:t xml:space="preserve">objection put forward by Paul du </w:t>
      </w:r>
      <w:r w:rsidR="005949F5" w:rsidRPr="00934F4B">
        <w:rPr>
          <w:rFonts w:asciiTheme="majorBidi" w:hAnsiTheme="majorBidi" w:cstheme="majorBidi"/>
          <w:sz w:val="24"/>
          <w:szCs w:val="24"/>
        </w:rPr>
        <w:t>–</w:t>
      </w:r>
      <w:r w:rsidR="00407A82" w:rsidRPr="00934F4B">
        <w:rPr>
          <w:rFonts w:asciiTheme="majorBidi" w:hAnsiTheme="majorBidi" w:cstheme="majorBidi"/>
          <w:sz w:val="24"/>
          <w:szCs w:val="24"/>
        </w:rPr>
        <w:t>Plessis</w:t>
      </w:r>
      <w:r w:rsidR="005949F5" w:rsidRPr="00934F4B">
        <w:rPr>
          <w:rFonts w:asciiTheme="majorBidi" w:hAnsiTheme="majorBidi" w:cstheme="majorBidi"/>
          <w:sz w:val="24"/>
          <w:szCs w:val="24"/>
        </w:rPr>
        <w:t xml:space="preserve"> (947-954)</w:t>
      </w:r>
      <w:r w:rsidR="00E730F4" w:rsidRPr="00934F4B">
        <w:rPr>
          <w:rFonts w:asciiTheme="majorBidi" w:hAnsiTheme="majorBidi" w:cstheme="majorBidi"/>
          <w:sz w:val="24"/>
          <w:szCs w:val="24"/>
        </w:rPr>
        <w:t xml:space="preserve">, as </w:t>
      </w:r>
      <w:r w:rsidR="006A07ED" w:rsidRPr="00934F4B">
        <w:rPr>
          <w:rFonts w:asciiTheme="majorBidi" w:hAnsiTheme="majorBidi" w:cstheme="majorBidi"/>
          <w:sz w:val="24"/>
          <w:szCs w:val="24"/>
        </w:rPr>
        <w:t>it</w:t>
      </w:r>
      <w:r w:rsidR="00E730F4" w:rsidRPr="00934F4B">
        <w:rPr>
          <w:rFonts w:asciiTheme="majorBidi" w:hAnsiTheme="majorBidi" w:cstheme="majorBidi"/>
          <w:sz w:val="24"/>
          <w:szCs w:val="24"/>
        </w:rPr>
        <w:t xml:space="preserve"> </w:t>
      </w:r>
      <w:r w:rsidR="005949F5" w:rsidRPr="00934F4B">
        <w:rPr>
          <w:rFonts w:asciiTheme="majorBidi" w:hAnsiTheme="majorBidi" w:cstheme="majorBidi"/>
          <w:sz w:val="24"/>
          <w:szCs w:val="24"/>
        </w:rPr>
        <w:t>seems</w:t>
      </w:r>
      <w:r w:rsidRPr="00934F4B">
        <w:rPr>
          <w:rFonts w:asciiTheme="majorBidi" w:hAnsiTheme="majorBidi" w:cstheme="majorBidi"/>
          <w:sz w:val="24"/>
          <w:szCs w:val="24"/>
        </w:rPr>
        <w:t xml:space="preserve"> to me to touch on some core methodological aspects of the research of ancient procedure</w:t>
      </w:r>
      <w:r w:rsidR="00407A82" w:rsidRPr="00934F4B">
        <w:rPr>
          <w:rFonts w:asciiTheme="majorBidi" w:hAnsiTheme="majorBidi" w:cstheme="majorBidi"/>
          <w:sz w:val="24"/>
          <w:szCs w:val="24"/>
        </w:rPr>
        <w:t xml:space="preserve">. </w:t>
      </w:r>
      <w:r w:rsidRPr="00934F4B">
        <w:rPr>
          <w:rFonts w:asciiTheme="majorBidi" w:hAnsiTheme="majorBidi" w:cstheme="majorBidi"/>
          <w:sz w:val="24"/>
          <w:szCs w:val="24"/>
        </w:rPr>
        <w:t xml:space="preserve"> </w:t>
      </w:r>
      <w:r w:rsidR="005949F5" w:rsidRPr="00934F4B">
        <w:rPr>
          <w:rFonts w:asciiTheme="majorBidi" w:hAnsiTheme="majorBidi" w:cstheme="majorBidi"/>
          <w:sz w:val="24"/>
          <w:szCs w:val="24"/>
        </w:rPr>
        <w:t xml:space="preserve">There surely cannot be a better forum to discuss these principle issues, and </w:t>
      </w:r>
      <w:r w:rsidR="00E448D4" w:rsidRPr="00934F4B">
        <w:rPr>
          <w:rFonts w:asciiTheme="majorBidi" w:hAnsiTheme="majorBidi" w:cstheme="majorBidi"/>
          <w:sz w:val="24"/>
          <w:szCs w:val="24"/>
        </w:rPr>
        <w:t xml:space="preserve">for </w:t>
      </w:r>
      <w:r w:rsidR="005949F5" w:rsidRPr="00934F4B">
        <w:rPr>
          <w:rFonts w:asciiTheme="majorBidi" w:hAnsiTheme="majorBidi" w:cstheme="majorBidi"/>
          <w:sz w:val="24"/>
          <w:szCs w:val="24"/>
        </w:rPr>
        <w:t xml:space="preserve">this I am </w:t>
      </w:r>
      <w:r w:rsidR="00E448D4" w:rsidRPr="00934F4B">
        <w:rPr>
          <w:rFonts w:asciiTheme="majorBidi" w:hAnsiTheme="majorBidi" w:cstheme="majorBidi"/>
          <w:sz w:val="24"/>
          <w:szCs w:val="24"/>
        </w:rPr>
        <w:t>sincerely</w:t>
      </w:r>
      <w:r w:rsidR="005949F5" w:rsidRPr="00934F4B">
        <w:rPr>
          <w:rFonts w:asciiTheme="majorBidi" w:hAnsiTheme="majorBidi" w:cstheme="majorBidi"/>
          <w:sz w:val="24"/>
          <w:szCs w:val="24"/>
        </w:rPr>
        <w:t xml:space="preserve"> </w:t>
      </w:r>
      <w:r w:rsidR="00E448D4" w:rsidRPr="00934F4B">
        <w:rPr>
          <w:rFonts w:asciiTheme="majorBidi" w:hAnsiTheme="majorBidi" w:cstheme="majorBidi"/>
          <w:sz w:val="24"/>
          <w:szCs w:val="24"/>
        </w:rPr>
        <w:t>thankful</w:t>
      </w:r>
      <w:r w:rsidR="005949F5" w:rsidRPr="00934F4B">
        <w:rPr>
          <w:rFonts w:asciiTheme="majorBidi" w:hAnsiTheme="majorBidi" w:cstheme="majorBidi"/>
          <w:sz w:val="24"/>
          <w:szCs w:val="24"/>
        </w:rPr>
        <w:t xml:space="preserve"> to the editorial board of LHR and </w:t>
      </w:r>
      <w:r w:rsidR="005949F5" w:rsidRPr="00934F4B">
        <w:rPr>
          <w:rFonts w:asciiTheme="majorBidi" w:hAnsiTheme="majorBidi" w:cstheme="majorBidi"/>
          <w:i/>
          <w:iCs/>
          <w:sz w:val="24"/>
          <w:szCs w:val="24"/>
        </w:rPr>
        <w:t>The Docket</w:t>
      </w:r>
      <w:r w:rsidR="005949F5" w:rsidRPr="00934F4B">
        <w:rPr>
          <w:rFonts w:asciiTheme="majorBidi" w:hAnsiTheme="majorBidi" w:cstheme="majorBidi"/>
          <w:sz w:val="24"/>
          <w:szCs w:val="24"/>
        </w:rPr>
        <w:t xml:space="preserve"> for hosting this discussion. </w:t>
      </w:r>
    </w:p>
    <w:p w14:paraId="3172EFCA" w14:textId="18C7E6E8" w:rsidR="00F65C01" w:rsidRPr="00934F4B" w:rsidRDefault="00B75321" w:rsidP="00605A1F">
      <w:pPr>
        <w:jc w:val="both"/>
        <w:rPr>
          <w:rFonts w:asciiTheme="majorBidi" w:hAnsiTheme="majorBidi" w:cstheme="majorBidi"/>
          <w:sz w:val="24"/>
          <w:szCs w:val="24"/>
        </w:rPr>
      </w:pPr>
      <w:r w:rsidRPr="00934F4B">
        <w:rPr>
          <w:rFonts w:asciiTheme="majorBidi" w:hAnsiTheme="majorBidi" w:cstheme="majorBidi"/>
          <w:sz w:val="24"/>
          <w:szCs w:val="24"/>
        </w:rPr>
        <w:t xml:space="preserve">In my paper I propose an analogy between early rabbinic laws of disqualification for testimony and Roman legal </w:t>
      </w:r>
      <w:proofErr w:type="spellStart"/>
      <w:r w:rsidRPr="00934F4B">
        <w:rPr>
          <w:rFonts w:asciiTheme="majorBidi" w:hAnsiTheme="majorBidi" w:cstheme="majorBidi"/>
          <w:i/>
          <w:iCs/>
          <w:sz w:val="24"/>
          <w:szCs w:val="24"/>
        </w:rPr>
        <w:t>infamia</w:t>
      </w:r>
      <w:proofErr w:type="spellEnd"/>
      <w:r w:rsidRPr="00934F4B">
        <w:rPr>
          <w:rFonts w:asciiTheme="majorBidi" w:hAnsiTheme="majorBidi" w:cstheme="majorBidi"/>
          <w:i/>
          <w:iCs/>
          <w:sz w:val="24"/>
          <w:szCs w:val="24"/>
        </w:rPr>
        <w:t xml:space="preserve">. </w:t>
      </w:r>
      <w:r w:rsidR="00F84A86" w:rsidRPr="00934F4B">
        <w:rPr>
          <w:rFonts w:asciiTheme="majorBidi" w:hAnsiTheme="majorBidi" w:cstheme="majorBidi"/>
          <w:sz w:val="24"/>
          <w:szCs w:val="24"/>
        </w:rPr>
        <w:t>D</w:t>
      </w:r>
      <w:r w:rsidRPr="00934F4B">
        <w:rPr>
          <w:rFonts w:asciiTheme="majorBidi" w:hAnsiTheme="majorBidi" w:cstheme="majorBidi"/>
          <w:sz w:val="24"/>
          <w:szCs w:val="24"/>
        </w:rPr>
        <w:t>u- Plessis objects to this analogy given the</w:t>
      </w:r>
      <w:r w:rsidR="00441757" w:rsidRPr="00934F4B">
        <w:rPr>
          <w:rFonts w:asciiTheme="majorBidi" w:hAnsiTheme="majorBidi" w:cstheme="majorBidi"/>
          <w:sz w:val="24"/>
          <w:szCs w:val="24"/>
        </w:rPr>
        <w:t xml:space="preserve"> </w:t>
      </w:r>
      <w:r w:rsidRPr="00934F4B">
        <w:rPr>
          <w:rFonts w:asciiTheme="majorBidi" w:hAnsiTheme="majorBidi" w:cstheme="majorBidi"/>
          <w:sz w:val="24"/>
          <w:szCs w:val="24"/>
        </w:rPr>
        <w:t>differences between the two legal institutions</w:t>
      </w:r>
      <w:r w:rsidR="00441757" w:rsidRPr="00934F4B">
        <w:rPr>
          <w:rFonts w:asciiTheme="majorBidi" w:hAnsiTheme="majorBidi" w:cstheme="majorBidi"/>
          <w:sz w:val="24"/>
          <w:szCs w:val="24"/>
        </w:rPr>
        <w:t xml:space="preserve">. </w:t>
      </w:r>
      <w:r w:rsidR="00F65C01" w:rsidRPr="00934F4B">
        <w:rPr>
          <w:rFonts w:asciiTheme="majorBidi" w:hAnsiTheme="majorBidi" w:cstheme="majorBidi"/>
          <w:sz w:val="24"/>
          <w:szCs w:val="24"/>
        </w:rPr>
        <w:t xml:space="preserve">He especially highlights </w:t>
      </w:r>
      <w:r w:rsidR="00190CED" w:rsidRPr="00934F4B">
        <w:rPr>
          <w:rFonts w:asciiTheme="majorBidi" w:hAnsiTheme="majorBidi" w:cstheme="majorBidi"/>
          <w:sz w:val="24"/>
          <w:szCs w:val="24"/>
        </w:rPr>
        <w:t>one</w:t>
      </w:r>
      <w:r w:rsidR="00F65C01" w:rsidRPr="00934F4B">
        <w:rPr>
          <w:rFonts w:asciiTheme="majorBidi" w:hAnsiTheme="majorBidi" w:cstheme="majorBidi"/>
          <w:sz w:val="24"/>
          <w:szCs w:val="24"/>
        </w:rPr>
        <w:t xml:space="preserve"> difference, regarding the scope of disqualification for testimony</w:t>
      </w:r>
      <w:r w:rsidR="00441757" w:rsidRPr="00934F4B">
        <w:rPr>
          <w:rFonts w:asciiTheme="majorBidi" w:hAnsiTheme="majorBidi" w:cstheme="majorBidi"/>
          <w:sz w:val="24"/>
          <w:szCs w:val="24"/>
        </w:rPr>
        <w:t>. As he writes:</w:t>
      </w:r>
      <w:r w:rsidR="003753D5" w:rsidRPr="00934F4B">
        <w:rPr>
          <w:rFonts w:asciiTheme="majorBidi" w:hAnsiTheme="majorBidi" w:cstheme="majorBidi"/>
          <w:sz w:val="24"/>
          <w:szCs w:val="24"/>
        </w:rPr>
        <w:t>” there was no blanket exclusion</w:t>
      </w:r>
      <w:r w:rsidR="00DE3743" w:rsidRPr="00934F4B">
        <w:rPr>
          <w:rFonts w:asciiTheme="majorBidi" w:hAnsiTheme="majorBidi" w:cstheme="majorBidi"/>
          <w:b/>
          <w:bCs/>
          <w:i/>
          <w:iCs/>
          <w:sz w:val="24"/>
          <w:szCs w:val="24"/>
        </w:rPr>
        <w:t xml:space="preserve"> </w:t>
      </w:r>
      <w:r w:rsidR="003753D5" w:rsidRPr="00934F4B">
        <w:rPr>
          <w:rFonts w:asciiTheme="majorBidi" w:hAnsiTheme="majorBidi" w:cstheme="majorBidi"/>
          <w:sz w:val="24"/>
          <w:szCs w:val="24"/>
        </w:rPr>
        <w:t xml:space="preserve">of a person from acting as a witness in a </w:t>
      </w:r>
      <w:r w:rsidR="00F84A86" w:rsidRPr="00934F4B">
        <w:rPr>
          <w:rFonts w:asciiTheme="majorBidi" w:hAnsiTheme="majorBidi" w:cstheme="majorBidi"/>
          <w:sz w:val="24"/>
          <w:szCs w:val="24"/>
        </w:rPr>
        <w:t>R</w:t>
      </w:r>
      <w:r w:rsidR="003753D5" w:rsidRPr="00934F4B">
        <w:rPr>
          <w:rFonts w:asciiTheme="majorBidi" w:hAnsiTheme="majorBidi" w:cstheme="majorBidi"/>
          <w:sz w:val="24"/>
          <w:szCs w:val="24"/>
        </w:rPr>
        <w:t xml:space="preserve">oman court by virtue of that person being subject to </w:t>
      </w:r>
      <w:proofErr w:type="spellStart"/>
      <w:r w:rsidR="003753D5" w:rsidRPr="00934F4B">
        <w:rPr>
          <w:rFonts w:asciiTheme="majorBidi" w:hAnsiTheme="majorBidi" w:cstheme="majorBidi"/>
          <w:i/>
          <w:iCs/>
          <w:sz w:val="24"/>
          <w:szCs w:val="24"/>
        </w:rPr>
        <w:t>infamia</w:t>
      </w:r>
      <w:proofErr w:type="spellEnd"/>
      <w:r w:rsidR="00D71ABB" w:rsidRPr="00934F4B">
        <w:rPr>
          <w:rFonts w:asciiTheme="majorBidi" w:hAnsiTheme="majorBidi" w:cstheme="majorBidi"/>
          <w:i/>
          <w:iCs/>
          <w:sz w:val="24"/>
          <w:szCs w:val="24"/>
        </w:rPr>
        <w:t>…</w:t>
      </w:r>
      <w:r w:rsidR="00D71ABB" w:rsidRPr="00934F4B">
        <w:t xml:space="preserve"> </w:t>
      </w:r>
      <w:r w:rsidR="00D71ABB" w:rsidRPr="00934F4B">
        <w:rPr>
          <w:rFonts w:asciiTheme="majorBidi" w:hAnsiTheme="majorBidi" w:cstheme="majorBidi"/>
          <w:sz w:val="24"/>
          <w:szCs w:val="24"/>
        </w:rPr>
        <w:t xml:space="preserve">neither litigants (nor their representatives), nor witnesses were ever excluded from access to a Roman court on account of being </w:t>
      </w:r>
      <w:proofErr w:type="spellStart"/>
      <w:proofErr w:type="gramStart"/>
      <w:r w:rsidR="00D71ABB" w:rsidRPr="00934F4B">
        <w:rPr>
          <w:rFonts w:asciiTheme="majorBidi" w:hAnsiTheme="majorBidi" w:cstheme="majorBidi"/>
          <w:i/>
          <w:iCs/>
          <w:sz w:val="24"/>
          <w:szCs w:val="24"/>
        </w:rPr>
        <w:t>infames</w:t>
      </w:r>
      <w:proofErr w:type="spellEnd"/>
      <w:r w:rsidR="003753D5" w:rsidRPr="00934F4B">
        <w:rPr>
          <w:rFonts w:asciiTheme="majorBidi" w:hAnsiTheme="majorBidi" w:cstheme="majorBidi"/>
          <w:sz w:val="24"/>
          <w:szCs w:val="24"/>
        </w:rPr>
        <w:t>”(</w:t>
      </w:r>
      <w:proofErr w:type="gramEnd"/>
      <w:r w:rsidR="003753D5" w:rsidRPr="00934F4B">
        <w:rPr>
          <w:rFonts w:asciiTheme="majorBidi" w:hAnsiTheme="majorBidi" w:cstheme="majorBidi"/>
          <w:sz w:val="24"/>
          <w:szCs w:val="24"/>
        </w:rPr>
        <w:t>953)</w:t>
      </w:r>
      <w:r w:rsidR="00441757" w:rsidRPr="00934F4B">
        <w:rPr>
          <w:rFonts w:asciiTheme="majorBidi" w:hAnsiTheme="majorBidi" w:cstheme="majorBidi"/>
          <w:sz w:val="24"/>
          <w:szCs w:val="24"/>
        </w:rPr>
        <w:t>.</w:t>
      </w:r>
      <w:r w:rsidR="00DE3743" w:rsidRPr="00934F4B">
        <w:rPr>
          <w:rFonts w:asciiTheme="majorBidi" w:hAnsiTheme="majorBidi" w:cstheme="majorBidi"/>
          <w:sz w:val="24"/>
          <w:szCs w:val="24"/>
        </w:rPr>
        <w:t xml:space="preserve"> </w:t>
      </w:r>
      <w:r w:rsidR="00F84A86" w:rsidRPr="00934F4B">
        <w:rPr>
          <w:rFonts w:asciiTheme="majorBidi" w:hAnsiTheme="majorBidi" w:cstheme="majorBidi"/>
          <w:sz w:val="24"/>
          <w:szCs w:val="24"/>
        </w:rPr>
        <w:t>Implicitly</w:t>
      </w:r>
      <w:r w:rsidR="00F65C01" w:rsidRPr="00934F4B">
        <w:rPr>
          <w:rFonts w:asciiTheme="majorBidi" w:hAnsiTheme="majorBidi" w:cstheme="majorBidi"/>
          <w:sz w:val="24"/>
          <w:szCs w:val="24"/>
        </w:rPr>
        <w:t xml:space="preserve">, </w:t>
      </w:r>
      <w:r w:rsidR="00190CED" w:rsidRPr="00934F4B">
        <w:rPr>
          <w:rFonts w:asciiTheme="majorBidi" w:hAnsiTheme="majorBidi" w:cstheme="majorBidi"/>
          <w:sz w:val="24"/>
          <w:szCs w:val="24"/>
        </w:rPr>
        <w:t xml:space="preserve">Du- Plessis </w:t>
      </w:r>
      <w:r w:rsidR="00F65C01" w:rsidRPr="00934F4B">
        <w:rPr>
          <w:rFonts w:asciiTheme="majorBidi" w:hAnsiTheme="majorBidi" w:cstheme="majorBidi"/>
          <w:sz w:val="24"/>
          <w:szCs w:val="24"/>
        </w:rPr>
        <w:t xml:space="preserve">considers this to be an important variation </w:t>
      </w:r>
      <w:r w:rsidR="004C55FC" w:rsidRPr="00934F4B">
        <w:rPr>
          <w:rFonts w:asciiTheme="majorBidi" w:hAnsiTheme="majorBidi" w:cstheme="majorBidi"/>
          <w:sz w:val="24"/>
          <w:szCs w:val="24"/>
        </w:rPr>
        <w:t xml:space="preserve">when </w:t>
      </w:r>
      <w:r w:rsidR="00F65C01" w:rsidRPr="00934F4B">
        <w:rPr>
          <w:rFonts w:asciiTheme="majorBidi" w:hAnsiTheme="majorBidi" w:cstheme="majorBidi"/>
          <w:sz w:val="24"/>
          <w:szCs w:val="24"/>
        </w:rPr>
        <w:t>compared</w:t>
      </w:r>
      <w:r w:rsidR="00F84A86" w:rsidRPr="00934F4B">
        <w:rPr>
          <w:rFonts w:asciiTheme="majorBidi" w:hAnsiTheme="majorBidi" w:cstheme="majorBidi"/>
          <w:sz w:val="24"/>
          <w:szCs w:val="24"/>
        </w:rPr>
        <w:t xml:space="preserve"> to </w:t>
      </w:r>
      <w:proofErr w:type="spellStart"/>
      <w:r w:rsidR="00F84A86" w:rsidRPr="00934F4B">
        <w:rPr>
          <w:rFonts w:asciiTheme="majorBidi" w:hAnsiTheme="majorBidi" w:cstheme="majorBidi"/>
          <w:sz w:val="24"/>
          <w:szCs w:val="24"/>
        </w:rPr>
        <w:t>tannaitic</w:t>
      </w:r>
      <w:proofErr w:type="spellEnd"/>
      <w:r w:rsidR="00F84A86" w:rsidRPr="00934F4B">
        <w:rPr>
          <w:rFonts w:asciiTheme="majorBidi" w:hAnsiTheme="majorBidi" w:cstheme="majorBidi"/>
          <w:sz w:val="24"/>
          <w:szCs w:val="24"/>
        </w:rPr>
        <w:t xml:space="preserve"> Halakha, which put</w:t>
      </w:r>
      <w:r w:rsidR="00190CED" w:rsidRPr="00934F4B">
        <w:rPr>
          <w:rFonts w:asciiTheme="majorBidi" w:hAnsiTheme="majorBidi" w:cstheme="majorBidi"/>
          <w:sz w:val="24"/>
          <w:szCs w:val="24"/>
        </w:rPr>
        <w:t>s</w:t>
      </w:r>
      <w:r w:rsidR="00F84A86" w:rsidRPr="00934F4B">
        <w:rPr>
          <w:rFonts w:asciiTheme="majorBidi" w:hAnsiTheme="majorBidi" w:cstheme="majorBidi"/>
          <w:sz w:val="24"/>
          <w:szCs w:val="24"/>
        </w:rPr>
        <w:t xml:space="preserve"> together a list of people disqualified for testimony, the list which is the subject of my original article.</w:t>
      </w:r>
      <w:r w:rsidR="00F65C01" w:rsidRPr="00934F4B">
        <w:rPr>
          <w:rFonts w:asciiTheme="majorBidi" w:hAnsiTheme="majorBidi" w:cstheme="majorBidi"/>
          <w:sz w:val="24"/>
          <w:szCs w:val="24"/>
        </w:rPr>
        <w:t xml:space="preserve"> </w:t>
      </w:r>
    </w:p>
    <w:p w14:paraId="7422965D" w14:textId="7A8F1047" w:rsidR="00D80CA7" w:rsidRPr="00934F4B" w:rsidRDefault="00F84A86" w:rsidP="001B619D">
      <w:pPr>
        <w:jc w:val="both"/>
        <w:rPr>
          <w:rFonts w:asciiTheme="majorBidi" w:hAnsiTheme="majorBidi" w:cstheme="majorBidi"/>
          <w:sz w:val="24"/>
          <w:szCs w:val="24"/>
        </w:rPr>
      </w:pPr>
      <w:r w:rsidRPr="00934F4B">
        <w:rPr>
          <w:rFonts w:asciiTheme="majorBidi" w:hAnsiTheme="majorBidi" w:cstheme="majorBidi"/>
          <w:sz w:val="24"/>
          <w:szCs w:val="24"/>
        </w:rPr>
        <w:t xml:space="preserve">Before one can evaluate the force of this objection, it is important to note that what is </w:t>
      </w:r>
      <w:r w:rsidR="00190CED" w:rsidRPr="00934F4B">
        <w:rPr>
          <w:rFonts w:asciiTheme="majorBidi" w:hAnsiTheme="majorBidi" w:cstheme="majorBidi"/>
          <w:sz w:val="24"/>
          <w:szCs w:val="24"/>
        </w:rPr>
        <w:t>phrased</w:t>
      </w:r>
      <w:r w:rsidRPr="00934F4B">
        <w:rPr>
          <w:rFonts w:asciiTheme="majorBidi" w:hAnsiTheme="majorBidi" w:cstheme="majorBidi"/>
          <w:sz w:val="24"/>
          <w:szCs w:val="24"/>
        </w:rPr>
        <w:t xml:space="preserve"> by </w:t>
      </w:r>
      <w:r w:rsidR="00190CED" w:rsidRPr="00934F4B">
        <w:rPr>
          <w:rFonts w:asciiTheme="majorBidi" w:hAnsiTheme="majorBidi" w:cstheme="majorBidi"/>
          <w:sz w:val="24"/>
          <w:szCs w:val="24"/>
        </w:rPr>
        <w:t>Du</w:t>
      </w:r>
      <w:r w:rsidRPr="00934F4B">
        <w:rPr>
          <w:rFonts w:asciiTheme="majorBidi" w:hAnsiTheme="majorBidi" w:cstheme="majorBidi"/>
          <w:sz w:val="24"/>
          <w:szCs w:val="24"/>
        </w:rPr>
        <w:t>-</w:t>
      </w:r>
      <w:r w:rsidR="00190CED" w:rsidRPr="00934F4B">
        <w:rPr>
          <w:rFonts w:asciiTheme="majorBidi" w:hAnsiTheme="majorBidi" w:cstheme="majorBidi"/>
          <w:sz w:val="24"/>
          <w:szCs w:val="24"/>
        </w:rPr>
        <w:t>P</w:t>
      </w:r>
      <w:r w:rsidRPr="00934F4B">
        <w:rPr>
          <w:rFonts w:asciiTheme="majorBidi" w:hAnsiTheme="majorBidi" w:cstheme="majorBidi"/>
          <w:sz w:val="24"/>
          <w:szCs w:val="24"/>
        </w:rPr>
        <w:t>les</w:t>
      </w:r>
      <w:r w:rsidR="00190CED" w:rsidRPr="00934F4B">
        <w:rPr>
          <w:rFonts w:asciiTheme="majorBidi" w:hAnsiTheme="majorBidi" w:cstheme="majorBidi"/>
          <w:sz w:val="24"/>
          <w:szCs w:val="24"/>
        </w:rPr>
        <w:t>s</w:t>
      </w:r>
      <w:r w:rsidRPr="00934F4B">
        <w:rPr>
          <w:rFonts w:asciiTheme="majorBidi" w:hAnsiTheme="majorBidi" w:cstheme="majorBidi"/>
          <w:sz w:val="24"/>
          <w:szCs w:val="24"/>
        </w:rPr>
        <w:t xml:space="preserve">is as a </w:t>
      </w:r>
      <w:r w:rsidR="00D80CA7" w:rsidRPr="00934F4B">
        <w:rPr>
          <w:rFonts w:asciiTheme="majorBidi" w:hAnsiTheme="majorBidi" w:cstheme="majorBidi"/>
          <w:sz w:val="24"/>
          <w:szCs w:val="24"/>
        </w:rPr>
        <w:t xml:space="preserve">descriptive statement </w:t>
      </w:r>
      <w:r w:rsidRPr="00934F4B">
        <w:rPr>
          <w:rFonts w:asciiTheme="majorBidi" w:hAnsiTheme="majorBidi" w:cstheme="majorBidi"/>
          <w:sz w:val="24"/>
          <w:szCs w:val="24"/>
        </w:rPr>
        <w:t xml:space="preserve">may be more accurately accounted for as an </w:t>
      </w:r>
      <w:r w:rsidR="00D80CA7" w:rsidRPr="00934F4B">
        <w:rPr>
          <w:rFonts w:asciiTheme="majorBidi" w:hAnsiTheme="majorBidi" w:cstheme="majorBidi"/>
          <w:sz w:val="24"/>
          <w:szCs w:val="24"/>
        </w:rPr>
        <w:t>interpretive conclusion of surviving evidence</w:t>
      </w:r>
      <w:r w:rsidR="00507F16" w:rsidRPr="00934F4B">
        <w:rPr>
          <w:rFonts w:asciiTheme="majorBidi" w:hAnsiTheme="majorBidi" w:cstheme="majorBidi"/>
          <w:sz w:val="24"/>
          <w:szCs w:val="24"/>
        </w:rPr>
        <w:t xml:space="preserve">, </w:t>
      </w:r>
      <w:r w:rsidR="007F06E9" w:rsidRPr="00934F4B">
        <w:rPr>
          <w:rFonts w:asciiTheme="majorBidi" w:hAnsiTheme="majorBidi" w:cstheme="majorBidi"/>
          <w:sz w:val="24"/>
          <w:szCs w:val="24"/>
        </w:rPr>
        <w:t>one that</w:t>
      </w:r>
      <w:r w:rsidR="00190CED" w:rsidRPr="00934F4B">
        <w:rPr>
          <w:rFonts w:asciiTheme="majorBidi" w:hAnsiTheme="majorBidi" w:cstheme="majorBidi"/>
          <w:sz w:val="24"/>
          <w:szCs w:val="24"/>
        </w:rPr>
        <w:t xml:space="preserve"> depends on </w:t>
      </w:r>
      <w:r w:rsidR="00507F16" w:rsidRPr="00934F4B">
        <w:rPr>
          <w:rFonts w:asciiTheme="majorBidi" w:hAnsiTheme="majorBidi" w:cstheme="majorBidi"/>
          <w:sz w:val="24"/>
          <w:szCs w:val="24"/>
        </w:rPr>
        <w:t>certain contingent understanding of the materials</w:t>
      </w:r>
      <w:r w:rsidRPr="00934F4B">
        <w:rPr>
          <w:rFonts w:asciiTheme="majorBidi" w:hAnsiTheme="majorBidi" w:cstheme="majorBidi"/>
          <w:sz w:val="24"/>
          <w:szCs w:val="24"/>
        </w:rPr>
        <w:t xml:space="preserve">. </w:t>
      </w:r>
      <w:r w:rsidR="00190CED" w:rsidRPr="00934F4B">
        <w:rPr>
          <w:rFonts w:asciiTheme="majorBidi" w:hAnsiTheme="majorBidi" w:cstheme="majorBidi"/>
          <w:sz w:val="24"/>
          <w:szCs w:val="24"/>
        </w:rPr>
        <w:t>Moreover,</w:t>
      </w:r>
      <w:r w:rsidR="00507F16" w:rsidRPr="00934F4B">
        <w:rPr>
          <w:rFonts w:asciiTheme="majorBidi" w:hAnsiTheme="majorBidi" w:cstheme="majorBidi"/>
          <w:sz w:val="24"/>
          <w:szCs w:val="24"/>
        </w:rPr>
        <w:t xml:space="preserve"> </w:t>
      </w:r>
      <w:r w:rsidR="00190CED" w:rsidRPr="00934F4B">
        <w:rPr>
          <w:rFonts w:asciiTheme="majorBidi" w:hAnsiTheme="majorBidi" w:cstheme="majorBidi"/>
          <w:sz w:val="24"/>
          <w:szCs w:val="24"/>
        </w:rPr>
        <w:t>this</w:t>
      </w:r>
      <w:r w:rsidR="00507F16" w:rsidRPr="00934F4B">
        <w:rPr>
          <w:rFonts w:asciiTheme="majorBidi" w:hAnsiTheme="majorBidi" w:cstheme="majorBidi"/>
          <w:sz w:val="24"/>
          <w:szCs w:val="24"/>
        </w:rPr>
        <w:t xml:space="preserve"> understating rests on </w:t>
      </w:r>
      <w:r w:rsidRPr="00934F4B">
        <w:rPr>
          <w:rFonts w:asciiTheme="majorBidi" w:hAnsiTheme="majorBidi" w:cstheme="majorBidi"/>
          <w:sz w:val="24"/>
          <w:szCs w:val="24"/>
        </w:rPr>
        <w:t xml:space="preserve">certain presuppositions regarding the </w:t>
      </w:r>
      <w:r w:rsidR="00507F16" w:rsidRPr="00934F4B">
        <w:rPr>
          <w:rFonts w:asciiTheme="majorBidi" w:hAnsiTheme="majorBidi" w:cstheme="majorBidi"/>
          <w:sz w:val="24"/>
          <w:szCs w:val="24"/>
        </w:rPr>
        <w:t xml:space="preserve">role of witnesses in legal </w:t>
      </w:r>
      <w:r w:rsidR="00190CED" w:rsidRPr="00934F4B">
        <w:rPr>
          <w:rFonts w:asciiTheme="majorBidi" w:hAnsiTheme="majorBidi" w:cstheme="majorBidi"/>
          <w:sz w:val="24"/>
          <w:szCs w:val="24"/>
        </w:rPr>
        <w:t>procedure, presuppositions that are seldom made explicit in research, and which deserve a critical examination</w:t>
      </w:r>
      <w:r w:rsidR="00D80CA7" w:rsidRPr="00934F4B">
        <w:rPr>
          <w:rFonts w:asciiTheme="majorBidi" w:hAnsiTheme="majorBidi" w:cstheme="majorBidi"/>
          <w:sz w:val="24"/>
          <w:szCs w:val="24"/>
        </w:rPr>
        <w:t xml:space="preserve">. </w:t>
      </w:r>
    </w:p>
    <w:p w14:paraId="24B1DE7E" w14:textId="1D3AD64F" w:rsidR="00193E6D" w:rsidRPr="00934F4B" w:rsidRDefault="00E56CDD" w:rsidP="004C55FC">
      <w:pPr>
        <w:jc w:val="both"/>
        <w:rPr>
          <w:rFonts w:asciiTheme="majorBidi" w:hAnsiTheme="majorBidi" w:cstheme="majorBidi"/>
          <w:sz w:val="24"/>
          <w:szCs w:val="24"/>
        </w:rPr>
      </w:pPr>
      <w:r w:rsidRPr="00934F4B">
        <w:rPr>
          <w:rFonts w:asciiTheme="majorBidi" w:hAnsiTheme="majorBidi" w:cstheme="majorBidi"/>
          <w:sz w:val="24"/>
          <w:szCs w:val="24"/>
        </w:rPr>
        <w:t>Surely</w:t>
      </w:r>
      <w:r w:rsidR="00507F16" w:rsidRPr="00934F4B">
        <w:rPr>
          <w:rFonts w:asciiTheme="majorBidi" w:hAnsiTheme="majorBidi" w:cstheme="majorBidi"/>
          <w:sz w:val="24"/>
          <w:szCs w:val="24"/>
        </w:rPr>
        <w:t xml:space="preserve">, </w:t>
      </w:r>
      <w:r w:rsidR="00190CED" w:rsidRPr="00934F4B">
        <w:rPr>
          <w:rFonts w:asciiTheme="majorBidi" w:hAnsiTheme="majorBidi" w:cstheme="majorBidi"/>
          <w:sz w:val="24"/>
          <w:szCs w:val="24"/>
        </w:rPr>
        <w:t xml:space="preserve">in what survived from </w:t>
      </w:r>
      <w:r w:rsidR="007F06E9" w:rsidRPr="00934F4B">
        <w:rPr>
          <w:rFonts w:asciiTheme="majorBidi" w:hAnsiTheme="majorBidi" w:cstheme="majorBidi"/>
          <w:sz w:val="24"/>
          <w:szCs w:val="24"/>
        </w:rPr>
        <w:t>R</w:t>
      </w:r>
      <w:r w:rsidR="00190CED" w:rsidRPr="00934F4B">
        <w:rPr>
          <w:rFonts w:asciiTheme="majorBidi" w:hAnsiTheme="majorBidi" w:cstheme="majorBidi"/>
          <w:sz w:val="24"/>
          <w:szCs w:val="24"/>
        </w:rPr>
        <w:t xml:space="preserve">oman legal materials </w:t>
      </w:r>
      <w:r w:rsidR="00507F16" w:rsidRPr="00934F4B">
        <w:rPr>
          <w:rFonts w:asciiTheme="majorBidi" w:hAnsiTheme="majorBidi" w:cstheme="majorBidi"/>
          <w:sz w:val="24"/>
          <w:szCs w:val="24"/>
        </w:rPr>
        <w:t>there is no explicit statement that ties together infamous</w:t>
      </w:r>
      <w:r w:rsidR="004C55FC" w:rsidRPr="00934F4B">
        <w:rPr>
          <w:rFonts w:asciiTheme="majorBidi" w:hAnsiTheme="majorBidi" w:cstheme="majorBidi"/>
          <w:sz w:val="24"/>
          <w:szCs w:val="24"/>
        </w:rPr>
        <w:t xml:space="preserve"> </w:t>
      </w:r>
      <w:r w:rsidR="00507F16" w:rsidRPr="00934F4B">
        <w:rPr>
          <w:rFonts w:asciiTheme="majorBidi" w:hAnsiTheme="majorBidi" w:cstheme="majorBidi"/>
          <w:sz w:val="24"/>
          <w:szCs w:val="24"/>
        </w:rPr>
        <w:t>occupation</w:t>
      </w:r>
      <w:r w:rsidR="004C55FC" w:rsidRPr="00934F4B">
        <w:rPr>
          <w:rFonts w:asciiTheme="majorBidi" w:hAnsiTheme="majorBidi" w:cstheme="majorBidi"/>
          <w:sz w:val="24"/>
          <w:szCs w:val="24"/>
        </w:rPr>
        <w:t>s</w:t>
      </w:r>
      <w:r w:rsidR="00507F16" w:rsidRPr="00934F4B">
        <w:rPr>
          <w:rFonts w:asciiTheme="majorBidi" w:hAnsiTheme="majorBidi" w:cstheme="majorBidi"/>
          <w:sz w:val="24"/>
          <w:szCs w:val="24"/>
        </w:rPr>
        <w:t xml:space="preserve"> and disqualification for testimony</w:t>
      </w:r>
      <w:r w:rsidR="00BA1B6A" w:rsidRPr="00934F4B">
        <w:rPr>
          <w:rFonts w:asciiTheme="majorBidi" w:hAnsiTheme="majorBidi" w:cstheme="majorBidi"/>
          <w:sz w:val="24"/>
          <w:szCs w:val="24"/>
        </w:rPr>
        <w:t xml:space="preserve">. There is no doubt about that. Nevertheless, scholars that have studied </w:t>
      </w:r>
      <w:proofErr w:type="spellStart"/>
      <w:r w:rsidR="00BA1B6A" w:rsidRPr="00934F4B">
        <w:rPr>
          <w:rFonts w:asciiTheme="majorBidi" w:hAnsiTheme="majorBidi" w:cstheme="majorBidi"/>
          <w:i/>
          <w:iCs/>
          <w:sz w:val="24"/>
          <w:szCs w:val="24"/>
        </w:rPr>
        <w:t>infamia</w:t>
      </w:r>
      <w:proofErr w:type="spellEnd"/>
      <w:r w:rsidR="00BA1B6A" w:rsidRPr="00934F4B">
        <w:rPr>
          <w:rFonts w:asciiTheme="majorBidi" w:hAnsiTheme="majorBidi" w:cstheme="majorBidi"/>
          <w:sz w:val="24"/>
          <w:szCs w:val="24"/>
        </w:rPr>
        <w:t xml:space="preserve"> came to the conclusion that this status resulted in disqualification for </w:t>
      </w:r>
      <w:r w:rsidR="007F06E9" w:rsidRPr="00934F4B">
        <w:rPr>
          <w:rFonts w:asciiTheme="majorBidi" w:hAnsiTheme="majorBidi" w:cstheme="majorBidi"/>
          <w:sz w:val="24"/>
          <w:szCs w:val="24"/>
        </w:rPr>
        <w:t xml:space="preserve">court </w:t>
      </w:r>
      <w:r w:rsidR="00BA1B6A" w:rsidRPr="00934F4B">
        <w:rPr>
          <w:rFonts w:asciiTheme="majorBidi" w:hAnsiTheme="majorBidi" w:cstheme="majorBidi"/>
          <w:sz w:val="24"/>
          <w:szCs w:val="24"/>
        </w:rPr>
        <w:t xml:space="preserve">testimony, for several reasons. Firstly, Roman Jurist attest to an </w:t>
      </w:r>
      <w:r w:rsidR="00507F16" w:rsidRPr="00934F4B">
        <w:rPr>
          <w:rFonts w:asciiTheme="majorBidi" w:hAnsiTheme="majorBidi" w:cstheme="majorBidi"/>
          <w:sz w:val="24"/>
          <w:szCs w:val="24"/>
        </w:rPr>
        <w:t xml:space="preserve">explicit debarring from testimony of people who are </w:t>
      </w:r>
      <w:r w:rsidR="00BA1B6A" w:rsidRPr="00934F4B">
        <w:rPr>
          <w:rFonts w:asciiTheme="majorBidi" w:hAnsiTheme="majorBidi" w:cstheme="majorBidi"/>
          <w:sz w:val="24"/>
          <w:szCs w:val="24"/>
        </w:rPr>
        <w:t xml:space="preserve">elsewhere </w:t>
      </w:r>
      <w:r w:rsidR="00507F16" w:rsidRPr="00934F4B">
        <w:rPr>
          <w:rFonts w:asciiTheme="majorBidi" w:hAnsiTheme="majorBidi" w:cstheme="majorBidi"/>
          <w:sz w:val="24"/>
          <w:szCs w:val="24"/>
        </w:rPr>
        <w:t xml:space="preserve">subjected to </w:t>
      </w:r>
      <w:proofErr w:type="spellStart"/>
      <w:r w:rsidR="00507F16" w:rsidRPr="00934F4B">
        <w:rPr>
          <w:rFonts w:asciiTheme="majorBidi" w:hAnsiTheme="majorBidi" w:cstheme="majorBidi"/>
          <w:i/>
          <w:iCs/>
          <w:sz w:val="24"/>
          <w:szCs w:val="24"/>
        </w:rPr>
        <w:t>infamia</w:t>
      </w:r>
      <w:proofErr w:type="spellEnd"/>
      <w:r w:rsidR="00BA1B6A" w:rsidRPr="00934F4B">
        <w:rPr>
          <w:rFonts w:asciiTheme="majorBidi" w:hAnsiTheme="majorBidi" w:cstheme="majorBidi"/>
          <w:i/>
          <w:iCs/>
          <w:sz w:val="24"/>
          <w:szCs w:val="24"/>
        </w:rPr>
        <w:t xml:space="preserve"> – </w:t>
      </w:r>
      <w:r w:rsidR="00BA1B6A" w:rsidRPr="00934F4B">
        <w:rPr>
          <w:rFonts w:asciiTheme="majorBidi" w:hAnsiTheme="majorBidi" w:cstheme="majorBidi"/>
          <w:sz w:val="24"/>
          <w:szCs w:val="24"/>
        </w:rPr>
        <w:t>although they do not make the link between those to facts</w:t>
      </w:r>
      <w:r w:rsidR="00507F16" w:rsidRPr="00934F4B">
        <w:rPr>
          <w:rFonts w:asciiTheme="majorBidi" w:hAnsiTheme="majorBidi" w:cstheme="majorBidi"/>
          <w:sz w:val="24"/>
          <w:szCs w:val="24"/>
        </w:rPr>
        <w:t xml:space="preserve">. Thus, </w:t>
      </w:r>
      <w:proofErr w:type="spellStart"/>
      <w:r w:rsidR="00507F16" w:rsidRPr="00934F4B">
        <w:rPr>
          <w:rFonts w:asciiTheme="majorBidi" w:hAnsiTheme="majorBidi" w:cstheme="majorBidi"/>
          <w:sz w:val="24"/>
          <w:szCs w:val="24"/>
        </w:rPr>
        <w:t>Callistratus</w:t>
      </w:r>
      <w:proofErr w:type="spellEnd"/>
      <w:r w:rsidR="00507F16" w:rsidRPr="00934F4B">
        <w:rPr>
          <w:rFonts w:asciiTheme="majorBidi" w:hAnsiTheme="majorBidi" w:cstheme="majorBidi"/>
          <w:sz w:val="24"/>
          <w:szCs w:val="24"/>
        </w:rPr>
        <w:t xml:space="preserve"> in his </w:t>
      </w:r>
      <w:proofErr w:type="spellStart"/>
      <w:r w:rsidR="00507F16" w:rsidRPr="00934F4B">
        <w:rPr>
          <w:rFonts w:asciiTheme="majorBidi" w:hAnsiTheme="majorBidi" w:cstheme="majorBidi"/>
          <w:i/>
          <w:iCs/>
          <w:sz w:val="24"/>
          <w:szCs w:val="24"/>
        </w:rPr>
        <w:t>Cognitiones</w:t>
      </w:r>
      <w:proofErr w:type="spellEnd"/>
      <w:r w:rsidR="00507F16" w:rsidRPr="00934F4B">
        <w:rPr>
          <w:rFonts w:asciiTheme="majorBidi" w:hAnsiTheme="majorBidi" w:cstheme="majorBidi"/>
          <w:sz w:val="24"/>
          <w:szCs w:val="24"/>
        </w:rPr>
        <w:t xml:space="preserve"> notes that  the lex Julia de vi mentioned a class of</w:t>
      </w:r>
      <w:r w:rsidR="00507F16" w:rsidRPr="00934F4B">
        <w:rPr>
          <w:rFonts w:asciiTheme="majorBidi" w:hAnsiTheme="majorBidi" w:cstheme="majorBidi"/>
          <w:sz w:val="24"/>
          <w:szCs w:val="24"/>
          <w:rtl/>
        </w:rPr>
        <w:t xml:space="preserve"> </w:t>
      </w:r>
      <w:r w:rsidR="00507F16" w:rsidRPr="00934F4B">
        <w:rPr>
          <w:rFonts w:asciiTheme="majorBidi" w:hAnsiTheme="majorBidi" w:cstheme="majorBidi"/>
          <w:sz w:val="24"/>
          <w:szCs w:val="24"/>
        </w:rPr>
        <w:t>individuals who were forbidden</w:t>
      </w:r>
      <w:r w:rsidR="00507F16" w:rsidRPr="00934F4B">
        <w:rPr>
          <w:rFonts w:asciiTheme="majorBidi" w:hAnsiTheme="majorBidi" w:cstheme="majorBidi"/>
          <w:sz w:val="24"/>
          <w:szCs w:val="24"/>
          <w:rtl/>
        </w:rPr>
        <w:t xml:space="preserve"> </w:t>
      </w:r>
      <w:r w:rsidR="00507F16" w:rsidRPr="00934F4B">
        <w:rPr>
          <w:rFonts w:asciiTheme="majorBidi" w:hAnsiTheme="majorBidi" w:cstheme="majorBidi"/>
          <w:sz w:val="24"/>
          <w:szCs w:val="24"/>
        </w:rPr>
        <w:t>to give evidence under this law</w:t>
      </w:r>
      <w:r w:rsidR="00BA1B6A" w:rsidRPr="00934F4B">
        <w:rPr>
          <w:rFonts w:asciiTheme="majorBidi" w:hAnsiTheme="majorBidi" w:cstheme="majorBidi"/>
          <w:sz w:val="24"/>
          <w:szCs w:val="24"/>
        </w:rPr>
        <w:t xml:space="preserve">; his list includes, </w:t>
      </w:r>
      <w:r w:rsidR="00BA1B6A" w:rsidRPr="00934F4B">
        <w:rPr>
          <w:rFonts w:asciiTheme="majorBidi" w:hAnsiTheme="majorBidi" w:cstheme="majorBidi"/>
          <w:i/>
          <w:iCs/>
          <w:sz w:val="24"/>
          <w:szCs w:val="24"/>
        </w:rPr>
        <w:t>inter alia</w:t>
      </w:r>
      <w:r w:rsidR="00BA1B6A" w:rsidRPr="00934F4B">
        <w:rPr>
          <w:rFonts w:asciiTheme="majorBidi" w:hAnsiTheme="majorBidi" w:cstheme="majorBidi"/>
          <w:sz w:val="24"/>
          <w:szCs w:val="24"/>
        </w:rPr>
        <w:t>,</w:t>
      </w:r>
      <w:r w:rsidR="004A6E5B" w:rsidRPr="00934F4B">
        <w:rPr>
          <w:rFonts w:asciiTheme="majorBidi" w:hAnsiTheme="majorBidi" w:cstheme="majorBidi"/>
          <w:sz w:val="24"/>
          <w:szCs w:val="24"/>
        </w:rPr>
        <w:t xml:space="preserve"> </w:t>
      </w:r>
      <w:r w:rsidR="00507F16" w:rsidRPr="00934F4B">
        <w:rPr>
          <w:rFonts w:asciiTheme="majorBidi" w:hAnsiTheme="majorBidi" w:cstheme="majorBidi"/>
          <w:sz w:val="24"/>
          <w:szCs w:val="24"/>
        </w:rPr>
        <w:t xml:space="preserve">anyone who had been condemned in a </w:t>
      </w:r>
      <w:proofErr w:type="spellStart"/>
      <w:r w:rsidR="000A09D5" w:rsidRPr="00934F4B">
        <w:rPr>
          <w:rFonts w:asciiTheme="majorBidi" w:hAnsiTheme="majorBidi" w:cstheme="majorBidi"/>
          <w:i/>
          <w:iCs/>
          <w:sz w:val="24"/>
          <w:szCs w:val="24"/>
        </w:rPr>
        <w:t>iudicium</w:t>
      </w:r>
      <w:proofErr w:type="spellEnd"/>
      <w:r w:rsidR="000A09D5" w:rsidRPr="00934F4B">
        <w:rPr>
          <w:rFonts w:asciiTheme="majorBidi" w:hAnsiTheme="majorBidi" w:cstheme="majorBidi"/>
          <w:i/>
          <w:iCs/>
          <w:sz w:val="24"/>
          <w:szCs w:val="24"/>
        </w:rPr>
        <w:t xml:space="preserve"> </w:t>
      </w:r>
      <w:proofErr w:type="spellStart"/>
      <w:r w:rsidR="00507F16" w:rsidRPr="00934F4B">
        <w:rPr>
          <w:rFonts w:asciiTheme="majorBidi" w:hAnsiTheme="majorBidi" w:cstheme="majorBidi"/>
          <w:i/>
          <w:iCs/>
          <w:sz w:val="24"/>
          <w:szCs w:val="24"/>
        </w:rPr>
        <w:t>publicum</w:t>
      </w:r>
      <w:proofErr w:type="spellEnd"/>
      <w:r w:rsidR="00507F16" w:rsidRPr="00934F4B">
        <w:rPr>
          <w:rFonts w:asciiTheme="majorBidi" w:hAnsiTheme="majorBidi" w:cstheme="majorBidi"/>
          <w:sz w:val="24"/>
          <w:szCs w:val="24"/>
          <w:rtl/>
        </w:rPr>
        <w:t xml:space="preserve"> </w:t>
      </w:r>
      <w:r w:rsidR="00507F16" w:rsidRPr="00934F4B">
        <w:rPr>
          <w:rFonts w:asciiTheme="majorBidi" w:hAnsiTheme="majorBidi" w:cstheme="majorBidi"/>
          <w:sz w:val="24"/>
          <w:szCs w:val="24"/>
        </w:rPr>
        <w:t>and had not been reinstated, who had hired himself out to fight with</w:t>
      </w:r>
      <w:r w:rsidR="00507F16" w:rsidRPr="00934F4B">
        <w:rPr>
          <w:rFonts w:asciiTheme="majorBidi" w:hAnsiTheme="majorBidi" w:cstheme="majorBidi"/>
          <w:sz w:val="24"/>
          <w:szCs w:val="24"/>
          <w:rtl/>
        </w:rPr>
        <w:t xml:space="preserve"> </w:t>
      </w:r>
      <w:r w:rsidR="00507F16" w:rsidRPr="00934F4B">
        <w:rPr>
          <w:rFonts w:asciiTheme="majorBidi" w:hAnsiTheme="majorBidi" w:cstheme="majorBidi"/>
          <w:sz w:val="24"/>
          <w:szCs w:val="24"/>
        </w:rPr>
        <w:t xml:space="preserve">beasts, who had been convicted of taking money </w:t>
      </w:r>
      <w:r w:rsidR="00507F16" w:rsidRPr="00934F4B">
        <w:rPr>
          <w:rFonts w:asciiTheme="majorBidi" w:hAnsiTheme="majorBidi" w:cstheme="majorBidi"/>
          <w:sz w:val="24"/>
          <w:szCs w:val="24"/>
        </w:rPr>
        <w:lastRenderedPageBreak/>
        <w:t>for the</w:t>
      </w:r>
      <w:r w:rsidR="004A6E5B" w:rsidRPr="00934F4B">
        <w:rPr>
          <w:rFonts w:asciiTheme="majorBidi" w:hAnsiTheme="majorBidi" w:cstheme="majorBidi"/>
          <w:sz w:val="24"/>
          <w:szCs w:val="24"/>
        </w:rPr>
        <w:t xml:space="preserve"> </w:t>
      </w:r>
      <w:r w:rsidR="00507F16" w:rsidRPr="00934F4B">
        <w:rPr>
          <w:rFonts w:asciiTheme="majorBidi" w:hAnsiTheme="majorBidi" w:cstheme="majorBidi"/>
          <w:sz w:val="24"/>
          <w:szCs w:val="24"/>
        </w:rPr>
        <w:t>purpose of giving or refusing to give evidence, and wom</w:t>
      </w:r>
      <w:r w:rsidR="00BA1B6A" w:rsidRPr="00934F4B">
        <w:rPr>
          <w:rFonts w:asciiTheme="majorBidi" w:hAnsiTheme="majorBidi" w:cstheme="majorBidi"/>
          <w:sz w:val="24"/>
          <w:szCs w:val="24"/>
        </w:rPr>
        <w:t>e</w:t>
      </w:r>
      <w:r w:rsidR="00507F16" w:rsidRPr="00934F4B">
        <w:rPr>
          <w:rFonts w:asciiTheme="majorBidi" w:hAnsiTheme="majorBidi" w:cstheme="majorBidi"/>
          <w:sz w:val="24"/>
          <w:szCs w:val="24"/>
        </w:rPr>
        <w:t xml:space="preserve">n </w:t>
      </w:r>
      <w:r w:rsidRPr="00934F4B">
        <w:rPr>
          <w:rFonts w:asciiTheme="majorBidi" w:hAnsiTheme="majorBidi" w:cstheme="majorBidi"/>
          <w:sz w:val="24"/>
          <w:szCs w:val="24"/>
        </w:rPr>
        <w:t>prostitute present or past</w:t>
      </w:r>
      <w:r w:rsidR="004A6E5B" w:rsidRPr="00934F4B">
        <w:rPr>
          <w:rFonts w:asciiTheme="majorBidi" w:hAnsiTheme="majorBidi" w:cstheme="majorBidi"/>
          <w:sz w:val="24"/>
          <w:szCs w:val="24"/>
        </w:rPr>
        <w:t>.</w:t>
      </w:r>
      <w:r w:rsidR="004A6E5B" w:rsidRPr="00934F4B">
        <w:rPr>
          <w:rStyle w:val="FootnoteReference"/>
          <w:rFonts w:asciiTheme="majorBidi" w:hAnsiTheme="majorBidi" w:cstheme="majorBidi"/>
          <w:sz w:val="24"/>
          <w:szCs w:val="24"/>
        </w:rPr>
        <w:footnoteReference w:id="1"/>
      </w:r>
      <w:r w:rsidR="004A6E5B" w:rsidRPr="00934F4B">
        <w:rPr>
          <w:rFonts w:asciiTheme="majorBidi" w:hAnsiTheme="majorBidi" w:cstheme="majorBidi"/>
          <w:sz w:val="24"/>
          <w:szCs w:val="24"/>
        </w:rPr>
        <w:t xml:space="preserve"> </w:t>
      </w:r>
      <w:r w:rsidR="00BA1B6A" w:rsidRPr="00934F4B">
        <w:rPr>
          <w:rFonts w:asciiTheme="majorBidi" w:hAnsiTheme="majorBidi" w:cstheme="majorBidi"/>
          <w:sz w:val="24"/>
          <w:szCs w:val="24"/>
        </w:rPr>
        <w:t>T</w:t>
      </w:r>
      <w:r w:rsidR="004A6E5B" w:rsidRPr="00934F4B">
        <w:rPr>
          <w:rFonts w:asciiTheme="majorBidi" w:hAnsiTheme="majorBidi" w:cstheme="majorBidi"/>
          <w:sz w:val="24"/>
          <w:szCs w:val="24"/>
        </w:rPr>
        <w:t xml:space="preserve">he same people are </w:t>
      </w:r>
      <w:r w:rsidR="00BA1B6A" w:rsidRPr="00934F4B">
        <w:rPr>
          <w:rFonts w:asciiTheme="majorBidi" w:hAnsiTheme="majorBidi" w:cstheme="majorBidi"/>
          <w:sz w:val="24"/>
          <w:szCs w:val="24"/>
        </w:rPr>
        <w:t>mentioned</w:t>
      </w:r>
      <w:r w:rsidR="004A6E5B" w:rsidRPr="00934F4B">
        <w:rPr>
          <w:rFonts w:asciiTheme="majorBidi" w:hAnsiTheme="majorBidi" w:cstheme="majorBidi"/>
          <w:sz w:val="24"/>
          <w:szCs w:val="24"/>
        </w:rPr>
        <w:t xml:space="preserve"> in other lists</w:t>
      </w:r>
      <w:r w:rsidR="00BA1B6A" w:rsidRPr="00934F4B">
        <w:rPr>
          <w:rFonts w:asciiTheme="majorBidi" w:hAnsiTheme="majorBidi" w:cstheme="majorBidi"/>
          <w:sz w:val="24"/>
          <w:szCs w:val="24"/>
        </w:rPr>
        <w:t xml:space="preserve"> as subjected to legal </w:t>
      </w:r>
      <w:proofErr w:type="spellStart"/>
      <w:r w:rsidR="00BA1B6A" w:rsidRPr="00934F4B">
        <w:rPr>
          <w:rFonts w:asciiTheme="majorBidi" w:hAnsiTheme="majorBidi" w:cstheme="majorBidi"/>
          <w:i/>
          <w:iCs/>
          <w:sz w:val="24"/>
          <w:szCs w:val="24"/>
        </w:rPr>
        <w:t>infamia</w:t>
      </w:r>
      <w:proofErr w:type="spellEnd"/>
      <w:r w:rsidR="004A6E5B" w:rsidRPr="00934F4B">
        <w:rPr>
          <w:rFonts w:asciiTheme="majorBidi" w:hAnsiTheme="majorBidi" w:cstheme="majorBidi"/>
          <w:sz w:val="24"/>
          <w:szCs w:val="24"/>
        </w:rPr>
        <w:t xml:space="preserve"> in</w:t>
      </w:r>
      <w:r w:rsidR="00FE01E9" w:rsidRPr="00934F4B">
        <w:rPr>
          <w:rFonts w:asciiTheme="majorBidi" w:hAnsiTheme="majorBidi" w:cstheme="majorBidi"/>
          <w:sz w:val="24"/>
          <w:szCs w:val="24"/>
        </w:rPr>
        <w:t xml:space="preserve"> both</w:t>
      </w:r>
      <w:r w:rsidR="004A6E5B" w:rsidRPr="00934F4B">
        <w:rPr>
          <w:rFonts w:asciiTheme="majorBidi" w:hAnsiTheme="majorBidi" w:cstheme="majorBidi"/>
          <w:sz w:val="24"/>
          <w:szCs w:val="24"/>
        </w:rPr>
        <w:t xml:space="preserve"> </w:t>
      </w:r>
      <w:r w:rsidR="004A6E5B" w:rsidRPr="00934F4B">
        <w:rPr>
          <w:rFonts w:asciiTheme="majorBidi" w:hAnsiTheme="majorBidi" w:cstheme="majorBidi"/>
          <w:i/>
          <w:iCs/>
          <w:sz w:val="24"/>
          <w:szCs w:val="24"/>
        </w:rPr>
        <w:t xml:space="preserve">Lex Julia </w:t>
      </w:r>
      <w:proofErr w:type="spellStart"/>
      <w:r w:rsidR="004A6E5B" w:rsidRPr="00934F4B">
        <w:rPr>
          <w:rFonts w:asciiTheme="majorBidi" w:hAnsiTheme="majorBidi" w:cstheme="majorBidi"/>
          <w:i/>
          <w:iCs/>
          <w:sz w:val="24"/>
          <w:szCs w:val="24"/>
        </w:rPr>
        <w:t>Municipalis</w:t>
      </w:r>
      <w:proofErr w:type="spellEnd"/>
      <w:r w:rsidR="004A6E5B" w:rsidRPr="00934F4B">
        <w:rPr>
          <w:rFonts w:asciiTheme="majorBidi" w:hAnsiTheme="majorBidi" w:cstheme="majorBidi"/>
          <w:sz w:val="24"/>
          <w:szCs w:val="24"/>
        </w:rPr>
        <w:t xml:space="preserve"> </w:t>
      </w:r>
      <w:r w:rsidR="00FE01E9" w:rsidRPr="00934F4B">
        <w:rPr>
          <w:rFonts w:asciiTheme="majorBidi" w:hAnsiTheme="majorBidi" w:cstheme="majorBidi"/>
          <w:sz w:val="24"/>
          <w:szCs w:val="24"/>
        </w:rPr>
        <w:t>(</w:t>
      </w:r>
      <w:r w:rsidR="00266632" w:rsidRPr="00934F4B">
        <w:rPr>
          <w:rFonts w:asciiTheme="majorBidi" w:hAnsiTheme="majorBidi" w:cstheme="majorBidi"/>
          <w:sz w:val="24"/>
          <w:szCs w:val="24"/>
        </w:rPr>
        <w:t xml:space="preserve">judging by </w:t>
      </w:r>
      <w:r w:rsidR="00827307" w:rsidRPr="00934F4B">
        <w:rPr>
          <w:rFonts w:asciiTheme="majorBidi" w:hAnsiTheme="majorBidi" w:cstheme="majorBidi"/>
          <w:i/>
          <w:iCs/>
          <w:sz w:val="24"/>
          <w:szCs w:val="24"/>
        </w:rPr>
        <w:t xml:space="preserve">Tabula </w:t>
      </w:r>
      <w:proofErr w:type="spellStart"/>
      <w:r w:rsidR="00827307" w:rsidRPr="00934F4B">
        <w:rPr>
          <w:rFonts w:asciiTheme="majorBidi" w:hAnsiTheme="majorBidi" w:cstheme="majorBidi"/>
          <w:i/>
          <w:iCs/>
          <w:sz w:val="24"/>
          <w:szCs w:val="24"/>
        </w:rPr>
        <w:t>Heracleensis</w:t>
      </w:r>
      <w:proofErr w:type="spellEnd"/>
      <w:r w:rsidR="00FE01E9" w:rsidRPr="00934F4B">
        <w:rPr>
          <w:rFonts w:asciiTheme="majorBidi" w:hAnsiTheme="majorBidi" w:cstheme="majorBidi"/>
          <w:sz w:val="24"/>
          <w:szCs w:val="24"/>
        </w:rPr>
        <w:t xml:space="preserve">) </w:t>
      </w:r>
      <w:r w:rsidR="004A6E5B" w:rsidRPr="00934F4B">
        <w:rPr>
          <w:rFonts w:asciiTheme="majorBidi" w:hAnsiTheme="majorBidi" w:cstheme="majorBidi"/>
          <w:sz w:val="24"/>
          <w:szCs w:val="24"/>
        </w:rPr>
        <w:t>and the praetor's Edict</w:t>
      </w:r>
      <w:r w:rsidR="0010373B" w:rsidRPr="00934F4B">
        <w:rPr>
          <w:rFonts w:asciiTheme="majorBidi" w:hAnsiTheme="majorBidi" w:cstheme="majorBidi"/>
          <w:sz w:val="24"/>
          <w:szCs w:val="24"/>
        </w:rPr>
        <w:t xml:space="preserve"> (D.3.1.6)</w:t>
      </w:r>
      <w:r w:rsidR="004A6E5B" w:rsidRPr="00934F4B">
        <w:rPr>
          <w:rFonts w:asciiTheme="majorBidi" w:hAnsiTheme="majorBidi" w:cstheme="majorBidi"/>
          <w:sz w:val="24"/>
          <w:szCs w:val="24"/>
        </w:rPr>
        <w:t xml:space="preserve">. Are those two facts </w:t>
      </w:r>
      <w:r w:rsidR="00C5409B" w:rsidRPr="00934F4B">
        <w:rPr>
          <w:rFonts w:asciiTheme="majorBidi" w:hAnsiTheme="majorBidi" w:cstheme="majorBidi"/>
          <w:sz w:val="24"/>
          <w:szCs w:val="24"/>
        </w:rPr>
        <w:t>inter</w:t>
      </w:r>
      <w:r w:rsidR="004A6E5B" w:rsidRPr="00934F4B">
        <w:rPr>
          <w:rFonts w:asciiTheme="majorBidi" w:hAnsiTheme="majorBidi" w:cstheme="majorBidi"/>
          <w:sz w:val="24"/>
          <w:szCs w:val="24"/>
        </w:rPr>
        <w:t xml:space="preserve">connected? </w:t>
      </w:r>
      <w:r w:rsidR="00BA1B6A" w:rsidRPr="00934F4B">
        <w:rPr>
          <w:rFonts w:asciiTheme="majorBidi" w:hAnsiTheme="majorBidi" w:cstheme="majorBidi"/>
          <w:sz w:val="24"/>
          <w:szCs w:val="24"/>
        </w:rPr>
        <w:t>Most scholars</w:t>
      </w:r>
      <w:r w:rsidR="004A6E5B" w:rsidRPr="00934F4B">
        <w:rPr>
          <w:rFonts w:asciiTheme="majorBidi" w:hAnsiTheme="majorBidi" w:cstheme="majorBidi"/>
          <w:sz w:val="24"/>
          <w:szCs w:val="24"/>
        </w:rPr>
        <w:t xml:space="preserve"> believe they do, despite the fact no</w:t>
      </w:r>
      <w:r w:rsidR="00BA1B6A" w:rsidRPr="00934F4B">
        <w:rPr>
          <w:rFonts w:asciiTheme="majorBidi" w:hAnsiTheme="majorBidi" w:cstheme="majorBidi"/>
          <w:sz w:val="24"/>
          <w:szCs w:val="24"/>
        </w:rPr>
        <w:t xml:space="preserve"> explicit</w:t>
      </w:r>
      <w:r w:rsidR="004A6E5B" w:rsidRPr="00934F4B">
        <w:rPr>
          <w:rFonts w:asciiTheme="majorBidi" w:hAnsiTheme="majorBidi" w:cstheme="majorBidi"/>
          <w:sz w:val="24"/>
          <w:szCs w:val="24"/>
        </w:rPr>
        <w:t xml:space="preserve"> mention of </w:t>
      </w:r>
      <w:proofErr w:type="spellStart"/>
      <w:r w:rsidR="004A6E5B" w:rsidRPr="00934F4B">
        <w:rPr>
          <w:rFonts w:asciiTheme="majorBidi" w:hAnsiTheme="majorBidi" w:cstheme="majorBidi"/>
          <w:i/>
          <w:iCs/>
          <w:sz w:val="24"/>
          <w:szCs w:val="24"/>
        </w:rPr>
        <w:t>infamia</w:t>
      </w:r>
      <w:proofErr w:type="spellEnd"/>
      <w:r w:rsidR="004A6E5B" w:rsidRPr="00934F4B">
        <w:rPr>
          <w:rFonts w:asciiTheme="majorBidi" w:hAnsiTheme="majorBidi" w:cstheme="majorBidi"/>
          <w:sz w:val="24"/>
          <w:szCs w:val="24"/>
        </w:rPr>
        <w:t xml:space="preserve"> is made in the cl</w:t>
      </w:r>
      <w:r w:rsidRPr="00934F4B">
        <w:rPr>
          <w:rFonts w:asciiTheme="majorBidi" w:hAnsiTheme="majorBidi" w:cstheme="majorBidi"/>
          <w:sz w:val="24"/>
          <w:szCs w:val="24"/>
        </w:rPr>
        <w:t>au</w:t>
      </w:r>
      <w:r w:rsidR="004A6E5B" w:rsidRPr="00934F4B">
        <w:rPr>
          <w:rFonts w:asciiTheme="majorBidi" w:hAnsiTheme="majorBidi" w:cstheme="majorBidi"/>
          <w:sz w:val="24"/>
          <w:szCs w:val="24"/>
        </w:rPr>
        <w:t xml:space="preserve">ses refereeing to the disqualification of those people from testimony. </w:t>
      </w:r>
      <w:r w:rsidRPr="00934F4B">
        <w:rPr>
          <w:rFonts w:asciiTheme="majorBidi" w:hAnsiTheme="majorBidi" w:cstheme="majorBidi"/>
          <w:sz w:val="24"/>
          <w:szCs w:val="24"/>
        </w:rPr>
        <w:t xml:space="preserve">The same is true with regards to people condemned under </w:t>
      </w:r>
      <w:r w:rsidRPr="00934F4B">
        <w:rPr>
          <w:rFonts w:asciiTheme="majorBidi" w:hAnsiTheme="majorBidi" w:cstheme="majorBidi"/>
          <w:i/>
          <w:iCs/>
          <w:sz w:val="24"/>
          <w:szCs w:val="24"/>
        </w:rPr>
        <w:t>Lex Julia</w:t>
      </w:r>
      <w:r w:rsidRPr="00934F4B">
        <w:rPr>
          <w:rFonts w:asciiTheme="majorBidi" w:hAnsiTheme="majorBidi" w:cstheme="majorBidi"/>
          <w:sz w:val="24"/>
          <w:szCs w:val="24"/>
        </w:rPr>
        <w:t xml:space="preserve"> </w:t>
      </w:r>
      <w:proofErr w:type="spellStart"/>
      <w:r w:rsidR="002D00FD" w:rsidRPr="00934F4B">
        <w:rPr>
          <w:rFonts w:asciiTheme="majorBidi" w:hAnsiTheme="majorBidi" w:cstheme="majorBidi"/>
          <w:i/>
          <w:iCs/>
          <w:sz w:val="24"/>
          <w:szCs w:val="24"/>
        </w:rPr>
        <w:t>R</w:t>
      </w:r>
      <w:r w:rsidRPr="00934F4B">
        <w:rPr>
          <w:rFonts w:asciiTheme="majorBidi" w:hAnsiTheme="majorBidi" w:cstheme="majorBidi"/>
          <w:i/>
          <w:iCs/>
          <w:sz w:val="24"/>
          <w:szCs w:val="24"/>
        </w:rPr>
        <w:t>epetundarum</w:t>
      </w:r>
      <w:proofErr w:type="spellEnd"/>
      <w:r w:rsidRPr="00934F4B">
        <w:rPr>
          <w:rFonts w:asciiTheme="majorBidi" w:hAnsiTheme="majorBidi" w:cstheme="majorBidi"/>
          <w:sz w:val="24"/>
          <w:szCs w:val="24"/>
        </w:rPr>
        <w:t xml:space="preserve"> and </w:t>
      </w:r>
      <w:r w:rsidRPr="00934F4B">
        <w:rPr>
          <w:rFonts w:asciiTheme="majorBidi" w:hAnsiTheme="majorBidi" w:cstheme="majorBidi"/>
          <w:i/>
          <w:iCs/>
          <w:sz w:val="24"/>
          <w:szCs w:val="24"/>
        </w:rPr>
        <w:t xml:space="preserve">Lex Julia de </w:t>
      </w:r>
      <w:proofErr w:type="spellStart"/>
      <w:r w:rsidRPr="00934F4B">
        <w:rPr>
          <w:rFonts w:asciiTheme="majorBidi" w:hAnsiTheme="majorBidi" w:cstheme="majorBidi"/>
          <w:i/>
          <w:iCs/>
          <w:sz w:val="24"/>
          <w:szCs w:val="24"/>
        </w:rPr>
        <w:t>adulteriis</w:t>
      </w:r>
      <w:proofErr w:type="spellEnd"/>
      <w:r w:rsidR="00193E6D" w:rsidRPr="00934F4B">
        <w:rPr>
          <w:rFonts w:asciiTheme="majorBidi" w:hAnsiTheme="majorBidi" w:cstheme="majorBidi"/>
          <w:sz w:val="24"/>
          <w:szCs w:val="24"/>
        </w:rPr>
        <w:t>:</w:t>
      </w:r>
      <w:r w:rsidRPr="00934F4B">
        <w:rPr>
          <w:rFonts w:asciiTheme="majorBidi" w:hAnsiTheme="majorBidi" w:cstheme="majorBidi"/>
          <w:sz w:val="24"/>
          <w:szCs w:val="24"/>
        </w:rPr>
        <w:t xml:space="preserve"> </w:t>
      </w:r>
      <w:r w:rsidR="00BA1B6A" w:rsidRPr="00934F4B">
        <w:rPr>
          <w:rFonts w:asciiTheme="majorBidi" w:hAnsiTheme="majorBidi" w:cstheme="majorBidi"/>
          <w:sz w:val="24"/>
          <w:szCs w:val="24"/>
        </w:rPr>
        <w:t xml:space="preserve">they </w:t>
      </w:r>
      <w:r w:rsidRPr="00934F4B">
        <w:rPr>
          <w:rFonts w:asciiTheme="majorBidi" w:hAnsiTheme="majorBidi" w:cstheme="majorBidi"/>
          <w:sz w:val="24"/>
          <w:szCs w:val="24"/>
        </w:rPr>
        <w:t xml:space="preserve">were sanctioned </w:t>
      </w:r>
      <w:r w:rsidR="00BA1B6A" w:rsidRPr="00934F4B">
        <w:rPr>
          <w:rFonts w:asciiTheme="majorBidi" w:hAnsiTheme="majorBidi" w:cstheme="majorBidi"/>
          <w:sz w:val="24"/>
          <w:szCs w:val="24"/>
        </w:rPr>
        <w:t xml:space="preserve">with </w:t>
      </w:r>
      <w:proofErr w:type="spellStart"/>
      <w:r w:rsidRPr="00934F4B">
        <w:rPr>
          <w:rFonts w:asciiTheme="majorBidi" w:hAnsiTheme="majorBidi" w:cstheme="majorBidi"/>
          <w:i/>
          <w:iCs/>
          <w:sz w:val="24"/>
          <w:szCs w:val="24"/>
        </w:rPr>
        <w:t>infamia</w:t>
      </w:r>
      <w:proofErr w:type="spellEnd"/>
      <w:r w:rsidR="00193E6D" w:rsidRPr="00934F4B">
        <w:rPr>
          <w:rFonts w:asciiTheme="majorBidi" w:hAnsiTheme="majorBidi" w:cstheme="majorBidi"/>
          <w:sz w:val="24"/>
          <w:szCs w:val="24"/>
        </w:rPr>
        <w:t>, and likewise, disqualified for giving testimony</w:t>
      </w:r>
      <w:r w:rsidRPr="00934F4B">
        <w:rPr>
          <w:rFonts w:asciiTheme="majorBidi" w:hAnsiTheme="majorBidi" w:cstheme="majorBidi"/>
          <w:sz w:val="24"/>
          <w:szCs w:val="24"/>
        </w:rPr>
        <w:t>.</w:t>
      </w:r>
      <w:r w:rsidR="00B67E61" w:rsidRPr="00934F4B">
        <w:rPr>
          <w:rStyle w:val="FootnoteReference"/>
          <w:rFonts w:asciiTheme="majorBidi" w:hAnsiTheme="majorBidi" w:cstheme="majorBidi"/>
          <w:sz w:val="24"/>
          <w:szCs w:val="24"/>
        </w:rPr>
        <w:footnoteReference w:id="2"/>
      </w:r>
      <w:r w:rsidRPr="00934F4B">
        <w:rPr>
          <w:rFonts w:asciiTheme="majorBidi" w:hAnsiTheme="majorBidi" w:cstheme="majorBidi"/>
          <w:sz w:val="24"/>
          <w:szCs w:val="24"/>
        </w:rPr>
        <w:t xml:space="preserve"> Again, these facts might very well be linked, and not coincidental. </w:t>
      </w:r>
    </w:p>
    <w:p w14:paraId="5E2FA0A1" w14:textId="29308F61" w:rsidR="00BC3B14" w:rsidRPr="00934F4B" w:rsidRDefault="00E56CDD" w:rsidP="004C55FC">
      <w:pPr>
        <w:spacing w:before="240"/>
        <w:jc w:val="both"/>
        <w:rPr>
          <w:rFonts w:asciiTheme="majorBidi" w:hAnsiTheme="majorBidi" w:cstheme="majorBidi"/>
          <w:sz w:val="24"/>
          <w:szCs w:val="24"/>
        </w:rPr>
      </w:pPr>
      <w:r w:rsidRPr="00934F4B">
        <w:rPr>
          <w:rFonts w:asciiTheme="majorBidi" w:hAnsiTheme="majorBidi" w:cstheme="majorBidi"/>
          <w:sz w:val="24"/>
          <w:szCs w:val="24"/>
        </w:rPr>
        <w:t xml:space="preserve">One reason to </w:t>
      </w:r>
      <w:r w:rsidR="000323F4" w:rsidRPr="00934F4B">
        <w:rPr>
          <w:rFonts w:asciiTheme="majorBidi" w:hAnsiTheme="majorBidi" w:cstheme="majorBidi"/>
          <w:sz w:val="24"/>
          <w:szCs w:val="24"/>
        </w:rPr>
        <w:t>assume</w:t>
      </w:r>
      <w:r w:rsidRPr="00934F4B">
        <w:rPr>
          <w:rFonts w:asciiTheme="majorBidi" w:hAnsiTheme="majorBidi" w:cstheme="majorBidi"/>
          <w:sz w:val="24"/>
          <w:szCs w:val="24"/>
        </w:rPr>
        <w:t xml:space="preserve"> that these sanctions are indeed related to the status of </w:t>
      </w:r>
      <w:proofErr w:type="spellStart"/>
      <w:r w:rsidRPr="00934F4B">
        <w:rPr>
          <w:rFonts w:asciiTheme="majorBidi" w:hAnsiTheme="majorBidi" w:cstheme="majorBidi"/>
          <w:i/>
          <w:iCs/>
          <w:sz w:val="24"/>
          <w:szCs w:val="24"/>
        </w:rPr>
        <w:t>infamia</w:t>
      </w:r>
      <w:proofErr w:type="spellEnd"/>
      <w:r w:rsidRPr="00934F4B">
        <w:rPr>
          <w:rFonts w:asciiTheme="majorBidi" w:hAnsiTheme="majorBidi" w:cstheme="majorBidi"/>
          <w:sz w:val="24"/>
          <w:szCs w:val="24"/>
        </w:rPr>
        <w:t xml:space="preserve"> is the link</w:t>
      </w:r>
      <w:r w:rsidR="00536ABC" w:rsidRPr="00934F4B">
        <w:rPr>
          <w:rFonts w:asciiTheme="majorBidi" w:hAnsiTheme="majorBidi" w:cstheme="majorBidi"/>
          <w:sz w:val="24"/>
          <w:szCs w:val="24"/>
          <w:rtl/>
        </w:rPr>
        <w:t xml:space="preserve"> </w:t>
      </w:r>
      <w:r w:rsidRPr="00934F4B">
        <w:rPr>
          <w:rFonts w:asciiTheme="majorBidi" w:hAnsiTheme="majorBidi" w:cstheme="majorBidi"/>
          <w:sz w:val="24"/>
          <w:szCs w:val="24"/>
        </w:rPr>
        <w:t xml:space="preserve">offered by several sources between the disqualification </w:t>
      </w:r>
      <w:r w:rsidR="000323F4" w:rsidRPr="00934F4B">
        <w:rPr>
          <w:rFonts w:asciiTheme="majorBidi" w:hAnsiTheme="majorBidi" w:cstheme="majorBidi"/>
          <w:sz w:val="24"/>
          <w:szCs w:val="24"/>
        </w:rPr>
        <w:t xml:space="preserve">for </w:t>
      </w:r>
      <w:r w:rsidRPr="00934F4B">
        <w:rPr>
          <w:rFonts w:asciiTheme="majorBidi" w:hAnsiTheme="majorBidi" w:cstheme="majorBidi"/>
          <w:sz w:val="24"/>
          <w:szCs w:val="24"/>
        </w:rPr>
        <w:t xml:space="preserve">testimony in courts of law and </w:t>
      </w:r>
      <w:r w:rsidR="000323F4" w:rsidRPr="00934F4B">
        <w:rPr>
          <w:rFonts w:asciiTheme="majorBidi" w:hAnsiTheme="majorBidi" w:cstheme="majorBidi"/>
          <w:sz w:val="24"/>
          <w:szCs w:val="24"/>
        </w:rPr>
        <w:t xml:space="preserve">the ban on </w:t>
      </w:r>
      <w:r w:rsidRPr="00934F4B">
        <w:rPr>
          <w:rFonts w:asciiTheme="majorBidi" w:hAnsiTheme="majorBidi" w:cstheme="majorBidi"/>
          <w:sz w:val="24"/>
          <w:szCs w:val="24"/>
        </w:rPr>
        <w:t xml:space="preserve">serving as witnesses to </w:t>
      </w:r>
      <w:r w:rsidR="000323F4" w:rsidRPr="00934F4B">
        <w:rPr>
          <w:rFonts w:asciiTheme="majorBidi" w:hAnsiTheme="majorBidi" w:cstheme="majorBidi"/>
          <w:sz w:val="24"/>
          <w:szCs w:val="24"/>
        </w:rPr>
        <w:t>wills</w:t>
      </w:r>
      <w:r w:rsidRPr="00934F4B">
        <w:rPr>
          <w:rFonts w:asciiTheme="majorBidi" w:hAnsiTheme="majorBidi" w:cstheme="majorBidi"/>
          <w:sz w:val="24"/>
          <w:szCs w:val="24"/>
        </w:rPr>
        <w:t xml:space="preserve">. </w:t>
      </w:r>
      <w:r w:rsidR="00BA1B6A" w:rsidRPr="00934F4B">
        <w:rPr>
          <w:rFonts w:asciiTheme="majorBidi" w:hAnsiTheme="majorBidi" w:cstheme="majorBidi"/>
          <w:sz w:val="24"/>
          <w:szCs w:val="24"/>
        </w:rPr>
        <w:t xml:space="preserve">Such link is </w:t>
      </w:r>
      <w:r w:rsidR="002D00FD" w:rsidRPr="00934F4B">
        <w:rPr>
          <w:rFonts w:asciiTheme="majorBidi" w:hAnsiTheme="majorBidi" w:cstheme="majorBidi"/>
          <w:sz w:val="24"/>
          <w:szCs w:val="24"/>
        </w:rPr>
        <w:t xml:space="preserve">made </w:t>
      </w:r>
      <w:r w:rsidR="00BA1B6A" w:rsidRPr="00934F4B">
        <w:rPr>
          <w:rFonts w:asciiTheme="majorBidi" w:hAnsiTheme="majorBidi" w:cstheme="majorBidi"/>
          <w:sz w:val="24"/>
          <w:szCs w:val="24"/>
        </w:rPr>
        <w:t>by Paul, when discussing the sanction put on a person found gu</w:t>
      </w:r>
      <w:r w:rsidR="00EF7904" w:rsidRPr="00934F4B">
        <w:rPr>
          <w:rFonts w:asciiTheme="majorBidi" w:hAnsiTheme="majorBidi" w:cstheme="majorBidi"/>
          <w:sz w:val="24"/>
          <w:szCs w:val="24"/>
        </w:rPr>
        <w:t>i</w:t>
      </w:r>
      <w:r w:rsidR="00BA1B6A" w:rsidRPr="00934F4B">
        <w:rPr>
          <w:rFonts w:asciiTheme="majorBidi" w:hAnsiTheme="majorBidi" w:cstheme="majorBidi"/>
          <w:sz w:val="24"/>
          <w:szCs w:val="24"/>
        </w:rPr>
        <w:t>lty of corruption, whom “</w:t>
      </w:r>
      <w:r w:rsidR="00B67E61" w:rsidRPr="00934F4B">
        <w:rPr>
          <w:rFonts w:asciiTheme="majorBidi" w:hAnsiTheme="majorBidi" w:cstheme="majorBidi"/>
          <w:sz w:val="24"/>
          <w:szCs w:val="24"/>
        </w:rPr>
        <w:t>cannot witness a will or give evidence</w:t>
      </w:r>
      <w:r w:rsidR="00BA1B6A" w:rsidRPr="00934F4B">
        <w:rPr>
          <w:rFonts w:asciiTheme="majorBidi" w:hAnsiTheme="majorBidi" w:cstheme="majorBidi"/>
          <w:sz w:val="24"/>
          <w:szCs w:val="24"/>
        </w:rPr>
        <w:t>” (D.22.5.15)</w:t>
      </w:r>
      <w:r w:rsidR="00B67E61" w:rsidRPr="00934F4B">
        <w:rPr>
          <w:rFonts w:asciiTheme="majorBidi" w:hAnsiTheme="majorBidi" w:cstheme="majorBidi"/>
          <w:sz w:val="24"/>
          <w:szCs w:val="24"/>
        </w:rPr>
        <w:t>.</w:t>
      </w:r>
      <w:r w:rsidR="00821E2F" w:rsidRPr="00934F4B">
        <w:rPr>
          <w:rFonts w:asciiTheme="majorBidi" w:hAnsiTheme="majorBidi" w:cstheme="majorBidi"/>
          <w:sz w:val="24"/>
          <w:szCs w:val="24"/>
        </w:rPr>
        <w:t xml:space="preserve"> </w:t>
      </w:r>
      <w:proofErr w:type="spellStart"/>
      <w:r w:rsidR="00821E2F" w:rsidRPr="00934F4B">
        <w:rPr>
          <w:rFonts w:asciiTheme="majorBidi" w:hAnsiTheme="majorBidi" w:cstheme="majorBidi"/>
          <w:sz w:val="24"/>
          <w:szCs w:val="24"/>
        </w:rPr>
        <w:t>Papian</w:t>
      </w:r>
      <w:proofErr w:type="spellEnd"/>
      <w:r w:rsidR="00821E2F" w:rsidRPr="00934F4B">
        <w:rPr>
          <w:rFonts w:asciiTheme="majorBidi" w:hAnsiTheme="majorBidi" w:cstheme="majorBidi"/>
          <w:sz w:val="24"/>
          <w:szCs w:val="24"/>
        </w:rPr>
        <w:t xml:space="preserve"> draws a similar connection between the two sanctions </w:t>
      </w:r>
      <w:r w:rsidR="00BA1B6A" w:rsidRPr="00934F4B">
        <w:rPr>
          <w:rFonts w:asciiTheme="majorBidi" w:hAnsiTheme="majorBidi" w:cstheme="majorBidi"/>
          <w:sz w:val="24"/>
          <w:szCs w:val="24"/>
        </w:rPr>
        <w:t>wh</w:t>
      </w:r>
      <w:r w:rsidR="00821E2F" w:rsidRPr="00934F4B">
        <w:rPr>
          <w:rFonts w:asciiTheme="majorBidi" w:hAnsiTheme="majorBidi" w:cstheme="majorBidi"/>
          <w:sz w:val="24"/>
          <w:szCs w:val="24"/>
        </w:rPr>
        <w:t>en referring to the legal outcomes of adultery (</w:t>
      </w:r>
      <w:r w:rsidR="00C5409B" w:rsidRPr="00934F4B">
        <w:rPr>
          <w:rFonts w:asciiTheme="majorBidi" w:hAnsiTheme="majorBidi" w:cstheme="majorBidi"/>
          <w:sz w:val="24"/>
          <w:szCs w:val="24"/>
        </w:rPr>
        <w:t>D. 22.5.14</w:t>
      </w:r>
      <w:r w:rsidR="00821E2F" w:rsidRPr="00934F4B">
        <w:rPr>
          <w:rFonts w:asciiTheme="majorBidi" w:hAnsiTheme="majorBidi" w:cstheme="majorBidi"/>
          <w:sz w:val="24"/>
          <w:szCs w:val="24"/>
        </w:rPr>
        <w:t xml:space="preserve">). According to both these jurists, </w:t>
      </w:r>
      <w:r w:rsidR="000323F4" w:rsidRPr="00934F4B">
        <w:rPr>
          <w:rFonts w:asciiTheme="majorBidi" w:hAnsiTheme="majorBidi" w:cstheme="majorBidi"/>
          <w:sz w:val="24"/>
          <w:szCs w:val="24"/>
        </w:rPr>
        <w:t xml:space="preserve">the two </w:t>
      </w:r>
      <w:r w:rsidR="00821E2F" w:rsidRPr="00934F4B">
        <w:rPr>
          <w:rFonts w:asciiTheme="majorBidi" w:hAnsiTheme="majorBidi" w:cstheme="majorBidi"/>
          <w:sz w:val="24"/>
          <w:szCs w:val="24"/>
        </w:rPr>
        <w:t xml:space="preserve">forms of disqualification of witnesses seem to </w:t>
      </w:r>
      <w:r w:rsidR="000323F4" w:rsidRPr="00934F4B">
        <w:rPr>
          <w:rFonts w:asciiTheme="majorBidi" w:hAnsiTheme="majorBidi" w:cstheme="majorBidi"/>
          <w:sz w:val="24"/>
          <w:szCs w:val="24"/>
        </w:rPr>
        <w:t xml:space="preserve">go hand in hands. </w:t>
      </w:r>
      <w:r w:rsidR="00536ABC" w:rsidRPr="00934F4B">
        <w:rPr>
          <w:rFonts w:asciiTheme="majorBidi" w:hAnsiTheme="majorBidi" w:cstheme="majorBidi"/>
          <w:sz w:val="24"/>
          <w:szCs w:val="24"/>
        </w:rPr>
        <w:t>Now let us recall that</w:t>
      </w:r>
      <w:r w:rsidR="000323F4" w:rsidRPr="00934F4B">
        <w:rPr>
          <w:rFonts w:asciiTheme="majorBidi" w:hAnsiTheme="majorBidi" w:cstheme="majorBidi"/>
          <w:sz w:val="24"/>
          <w:szCs w:val="24"/>
        </w:rPr>
        <w:t xml:space="preserve"> ill repute is explicitly tied in several sources </w:t>
      </w:r>
      <w:r w:rsidR="002D00FD" w:rsidRPr="00934F4B">
        <w:rPr>
          <w:rFonts w:asciiTheme="majorBidi" w:hAnsiTheme="majorBidi" w:cstheme="majorBidi"/>
          <w:sz w:val="24"/>
          <w:szCs w:val="24"/>
        </w:rPr>
        <w:t xml:space="preserve">with </w:t>
      </w:r>
      <w:r w:rsidR="000323F4" w:rsidRPr="00934F4B">
        <w:rPr>
          <w:rFonts w:asciiTheme="majorBidi" w:hAnsiTheme="majorBidi" w:cstheme="majorBidi"/>
          <w:sz w:val="24"/>
          <w:szCs w:val="24"/>
        </w:rPr>
        <w:t>the sanction on serving as a witness to a will</w:t>
      </w:r>
      <w:r w:rsidR="00821E2F" w:rsidRPr="00934F4B">
        <w:rPr>
          <w:rFonts w:asciiTheme="majorBidi" w:hAnsiTheme="majorBidi" w:cstheme="majorBidi"/>
          <w:sz w:val="24"/>
          <w:szCs w:val="24"/>
        </w:rPr>
        <w:t xml:space="preserve">, unlike the indirect connection between </w:t>
      </w:r>
      <w:proofErr w:type="spellStart"/>
      <w:r w:rsidR="00821E2F" w:rsidRPr="00934F4B">
        <w:rPr>
          <w:rFonts w:asciiTheme="majorBidi" w:hAnsiTheme="majorBidi" w:cstheme="majorBidi"/>
          <w:i/>
          <w:iCs/>
          <w:sz w:val="24"/>
          <w:szCs w:val="24"/>
        </w:rPr>
        <w:t>infamia</w:t>
      </w:r>
      <w:proofErr w:type="spellEnd"/>
      <w:r w:rsidR="00821E2F" w:rsidRPr="00934F4B">
        <w:rPr>
          <w:rFonts w:asciiTheme="majorBidi" w:hAnsiTheme="majorBidi" w:cstheme="majorBidi"/>
          <w:sz w:val="24"/>
          <w:szCs w:val="24"/>
        </w:rPr>
        <w:t xml:space="preserve"> and the disqualification for court testimony </w:t>
      </w:r>
      <w:r w:rsidR="002D00FD" w:rsidRPr="00934F4B">
        <w:rPr>
          <w:rFonts w:asciiTheme="majorBidi" w:hAnsiTheme="majorBidi" w:cstheme="majorBidi"/>
          <w:sz w:val="24"/>
          <w:szCs w:val="24"/>
        </w:rPr>
        <w:t>described</w:t>
      </w:r>
      <w:r w:rsidR="00821E2F" w:rsidRPr="00934F4B">
        <w:rPr>
          <w:rFonts w:asciiTheme="majorBidi" w:hAnsiTheme="majorBidi" w:cstheme="majorBidi"/>
          <w:sz w:val="24"/>
          <w:szCs w:val="24"/>
        </w:rPr>
        <w:t xml:space="preserve"> earlier</w:t>
      </w:r>
      <w:r w:rsidR="000323F4" w:rsidRPr="00934F4B">
        <w:rPr>
          <w:rFonts w:asciiTheme="majorBidi" w:hAnsiTheme="majorBidi" w:cstheme="majorBidi"/>
          <w:sz w:val="24"/>
          <w:szCs w:val="24"/>
        </w:rPr>
        <w:t xml:space="preserve">. </w:t>
      </w:r>
      <w:r w:rsidR="00BC3B14" w:rsidRPr="00934F4B">
        <w:rPr>
          <w:rFonts w:asciiTheme="majorBidi" w:hAnsiTheme="majorBidi" w:cstheme="majorBidi"/>
          <w:sz w:val="24"/>
          <w:szCs w:val="24"/>
        </w:rPr>
        <w:t>T</w:t>
      </w:r>
      <w:r w:rsidR="00536ABC" w:rsidRPr="00934F4B">
        <w:rPr>
          <w:rFonts w:asciiTheme="majorBidi" w:hAnsiTheme="majorBidi" w:cstheme="majorBidi"/>
          <w:sz w:val="24"/>
          <w:szCs w:val="24"/>
        </w:rPr>
        <w:t xml:space="preserve">hus, according to a provision preserved </w:t>
      </w:r>
      <w:r w:rsidR="004C55FC" w:rsidRPr="00934F4B">
        <w:rPr>
          <w:rFonts w:asciiTheme="majorBidi" w:hAnsiTheme="majorBidi" w:cstheme="majorBidi"/>
          <w:sz w:val="24"/>
          <w:szCs w:val="24"/>
        </w:rPr>
        <w:t>by</w:t>
      </w:r>
      <w:r w:rsidR="00536ABC" w:rsidRPr="00934F4B">
        <w:rPr>
          <w:rFonts w:asciiTheme="majorBidi" w:hAnsiTheme="majorBidi" w:cstheme="majorBidi"/>
          <w:sz w:val="24"/>
          <w:szCs w:val="24"/>
        </w:rPr>
        <w:t xml:space="preserve"> </w:t>
      </w:r>
      <w:proofErr w:type="spellStart"/>
      <w:r w:rsidR="00536ABC" w:rsidRPr="00934F4B">
        <w:rPr>
          <w:rFonts w:asciiTheme="majorBidi" w:hAnsiTheme="majorBidi" w:cstheme="majorBidi"/>
          <w:sz w:val="24"/>
          <w:szCs w:val="24"/>
        </w:rPr>
        <w:t>Aulus</w:t>
      </w:r>
      <w:proofErr w:type="spellEnd"/>
      <w:r w:rsidR="00536ABC" w:rsidRPr="00934F4B">
        <w:rPr>
          <w:rFonts w:asciiTheme="majorBidi" w:hAnsiTheme="majorBidi" w:cstheme="majorBidi"/>
          <w:sz w:val="24"/>
          <w:szCs w:val="24"/>
        </w:rPr>
        <w:t xml:space="preserve"> </w:t>
      </w:r>
      <w:proofErr w:type="spellStart"/>
      <w:r w:rsidR="00536ABC" w:rsidRPr="00934F4B">
        <w:rPr>
          <w:rFonts w:asciiTheme="majorBidi" w:hAnsiTheme="majorBidi" w:cstheme="majorBidi"/>
          <w:sz w:val="24"/>
          <w:szCs w:val="24"/>
        </w:rPr>
        <w:t>Gellius</w:t>
      </w:r>
      <w:proofErr w:type="spellEnd"/>
      <w:r w:rsidR="00821E2F" w:rsidRPr="00934F4B">
        <w:rPr>
          <w:rFonts w:asciiTheme="majorBidi" w:hAnsiTheme="majorBidi" w:cstheme="majorBidi"/>
          <w:sz w:val="24"/>
          <w:szCs w:val="24"/>
        </w:rPr>
        <w:t xml:space="preserve">, already in the XII tables we find that </w:t>
      </w:r>
      <w:r w:rsidR="00536ABC" w:rsidRPr="00934F4B">
        <w:rPr>
          <w:rFonts w:asciiTheme="majorBidi" w:hAnsiTheme="majorBidi" w:cstheme="majorBidi"/>
          <w:sz w:val="24"/>
          <w:szCs w:val="24"/>
        </w:rPr>
        <w:t xml:space="preserve">- </w:t>
      </w:r>
    </w:p>
    <w:p w14:paraId="49C7FE34" w14:textId="75E298AA" w:rsidR="00536ABC" w:rsidRPr="00934F4B" w:rsidRDefault="00536ABC" w:rsidP="00FE01E9">
      <w:pPr>
        <w:autoSpaceDE w:val="0"/>
        <w:autoSpaceDN w:val="0"/>
        <w:adjustRightInd w:val="0"/>
        <w:spacing w:after="0" w:line="240" w:lineRule="auto"/>
        <w:ind w:left="720"/>
        <w:jc w:val="both"/>
        <w:rPr>
          <w:rFonts w:asciiTheme="majorBidi" w:hAnsiTheme="majorBidi" w:cstheme="majorBidi"/>
          <w:sz w:val="24"/>
          <w:szCs w:val="24"/>
        </w:rPr>
      </w:pPr>
      <w:bookmarkStart w:id="0" w:name="_GoBack"/>
      <w:bookmarkEnd w:id="0"/>
      <w:r w:rsidRPr="00934F4B">
        <w:rPr>
          <w:rFonts w:asciiTheme="majorBidi" w:hAnsiTheme="majorBidi" w:cstheme="majorBidi"/>
          <w:sz w:val="24"/>
          <w:szCs w:val="24"/>
        </w:rPr>
        <w:t>Whosoever shall have allowed himself to be called as a witness or shall act as one who balances the scales (</w:t>
      </w:r>
      <w:proofErr w:type="spellStart"/>
      <w:r w:rsidRPr="00934F4B">
        <w:rPr>
          <w:rFonts w:asciiTheme="majorBidi" w:hAnsiTheme="majorBidi" w:cstheme="majorBidi"/>
          <w:sz w:val="24"/>
          <w:szCs w:val="24"/>
        </w:rPr>
        <w:t>libriprens</w:t>
      </w:r>
      <w:proofErr w:type="spellEnd"/>
      <w:r w:rsidRPr="00934F4B">
        <w:rPr>
          <w:rFonts w:asciiTheme="majorBidi" w:hAnsiTheme="majorBidi" w:cstheme="majorBidi"/>
          <w:sz w:val="24"/>
          <w:szCs w:val="24"/>
        </w:rPr>
        <w:t>), if he refuses to provide his testimony as a witness, he must be dishonored as morally corrupt (</w:t>
      </w:r>
      <w:proofErr w:type="spellStart"/>
      <w:r w:rsidRPr="00934F4B">
        <w:rPr>
          <w:rFonts w:asciiTheme="majorBidi" w:hAnsiTheme="majorBidi" w:cstheme="majorBidi"/>
          <w:sz w:val="24"/>
          <w:szCs w:val="24"/>
        </w:rPr>
        <w:t>inprobus</w:t>
      </w:r>
      <w:proofErr w:type="spellEnd"/>
      <w:r w:rsidRPr="00934F4B">
        <w:rPr>
          <w:rFonts w:asciiTheme="majorBidi" w:hAnsiTheme="majorBidi" w:cstheme="majorBidi"/>
          <w:sz w:val="24"/>
          <w:szCs w:val="24"/>
        </w:rPr>
        <w:t>) and incapable of acting as witness (</w:t>
      </w:r>
      <w:proofErr w:type="spellStart"/>
      <w:r w:rsidRPr="00934F4B">
        <w:rPr>
          <w:rFonts w:asciiTheme="majorBidi" w:hAnsiTheme="majorBidi" w:cstheme="majorBidi"/>
          <w:sz w:val="24"/>
          <w:szCs w:val="24"/>
        </w:rPr>
        <w:t>intestabilisque</w:t>
      </w:r>
      <w:proofErr w:type="spellEnd"/>
      <w:r w:rsidRPr="00934F4B">
        <w:rPr>
          <w:rFonts w:asciiTheme="majorBidi" w:hAnsiTheme="majorBidi" w:cstheme="majorBidi"/>
          <w:sz w:val="24"/>
          <w:szCs w:val="24"/>
        </w:rPr>
        <w:t>) in the future.</w:t>
      </w:r>
      <w:r w:rsidR="00CE036D" w:rsidRPr="00934F4B">
        <w:rPr>
          <w:rFonts w:asciiTheme="majorBidi" w:hAnsiTheme="majorBidi" w:cstheme="majorBidi"/>
          <w:sz w:val="24"/>
          <w:szCs w:val="24"/>
        </w:rPr>
        <w:t xml:space="preserve"> </w:t>
      </w:r>
      <w:r w:rsidRPr="00934F4B">
        <w:rPr>
          <w:rFonts w:asciiTheme="majorBidi" w:hAnsiTheme="majorBidi" w:cstheme="majorBidi"/>
          <w:sz w:val="24"/>
          <w:szCs w:val="24"/>
        </w:rPr>
        <w:t>(</w:t>
      </w:r>
      <w:proofErr w:type="spellStart"/>
      <w:r w:rsidRPr="00934F4B">
        <w:rPr>
          <w:rFonts w:asciiTheme="majorBidi" w:hAnsiTheme="majorBidi" w:cstheme="majorBidi"/>
          <w:sz w:val="24"/>
          <w:szCs w:val="24"/>
        </w:rPr>
        <w:t>Gell</w:t>
      </w:r>
      <w:proofErr w:type="spellEnd"/>
      <w:r w:rsidRPr="00934F4B">
        <w:rPr>
          <w:rFonts w:asciiTheme="majorBidi" w:hAnsiTheme="majorBidi" w:cstheme="majorBidi"/>
          <w:sz w:val="24"/>
          <w:szCs w:val="24"/>
        </w:rPr>
        <w:t>. Att. 15.13.11)</w:t>
      </w:r>
      <w:r w:rsidRPr="00934F4B">
        <w:rPr>
          <w:rFonts w:asciiTheme="majorBidi" w:hAnsiTheme="majorBidi" w:cstheme="majorBidi"/>
          <w:sz w:val="28"/>
          <w:szCs w:val="28"/>
          <w:vertAlign w:val="superscript"/>
        </w:rPr>
        <w:footnoteReference w:id="3"/>
      </w:r>
    </w:p>
    <w:p w14:paraId="2897208E" w14:textId="48C8B5F6" w:rsidR="00536ABC" w:rsidRPr="00934F4B" w:rsidRDefault="00536ABC" w:rsidP="00FE01E9">
      <w:pPr>
        <w:autoSpaceDE w:val="0"/>
        <w:autoSpaceDN w:val="0"/>
        <w:adjustRightInd w:val="0"/>
        <w:spacing w:after="0" w:line="240" w:lineRule="auto"/>
        <w:jc w:val="both"/>
        <w:rPr>
          <w:sz w:val="23"/>
          <w:szCs w:val="23"/>
        </w:rPr>
      </w:pPr>
    </w:p>
    <w:p w14:paraId="6803969F" w14:textId="46F75617" w:rsidR="00BC3B14" w:rsidRPr="00934F4B" w:rsidRDefault="00CE036D" w:rsidP="00FE01E9">
      <w:pPr>
        <w:autoSpaceDE w:val="0"/>
        <w:autoSpaceDN w:val="0"/>
        <w:adjustRightInd w:val="0"/>
        <w:spacing w:after="0" w:line="240" w:lineRule="auto"/>
        <w:jc w:val="both"/>
        <w:rPr>
          <w:rFonts w:asciiTheme="majorBidi" w:hAnsiTheme="majorBidi" w:cstheme="majorBidi"/>
          <w:sz w:val="24"/>
          <w:szCs w:val="24"/>
        </w:rPr>
      </w:pPr>
      <w:r w:rsidRPr="00934F4B">
        <w:rPr>
          <w:rFonts w:asciiTheme="majorBidi" w:hAnsiTheme="majorBidi" w:cstheme="majorBidi"/>
          <w:sz w:val="24"/>
          <w:szCs w:val="24"/>
        </w:rPr>
        <w:t>T</w:t>
      </w:r>
      <w:r w:rsidR="00BC3B14" w:rsidRPr="00934F4B">
        <w:rPr>
          <w:rFonts w:asciiTheme="majorBidi" w:hAnsiTheme="majorBidi" w:cstheme="majorBidi"/>
          <w:sz w:val="24"/>
          <w:szCs w:val="24"/>
        </w:rPr>
        <w:t xml:space="preserve">he sanction of being </w:t>
      </w:r>
      <w:proofErr w:type="spellStart"/>
      <w:r w:rsidRPr="00934F4B">
        <w:rPr>
          <w:rFonts w:asciiTheme="majorBidi" w:hAnsiTheme="majorBidi" w:cstheme="majorBidi"/>
          <w:i/>
          <w:iCs/>
          <w:sz w:val="24"/>
          <w:szCs w:val="24"/>
        </w:rPr>
        <w:t>i</w:t>
      </w:r>
      <w:r w:rsidR="00BC3B14" w:rsidRPr="00934F4B">
        <w:rPr>
          <w:rFonts w:asciiTheme="majorBidi" w:hAnsiTheme="majorBidi" w:cstheme="majorBidi"/>
          <w:i/>
          <w:iCs/>
          <w:sz w:val="24"/>
          <w:szCs w:val="24"/>
        </w:rPr>
        <w:t>ntestabilis</w:t>
      </w:r>
      <w:proofErr w:type="spellEnd"/>
      <w:r w:rsidR="00BC3B14" w:rsidRPr="00934F4B">
        <w:rPr>
          <w:rFonts w:asciiTheme="majorBidi" w:hAnsiTheme="majorBidi" w:cstheme="majorBidi"/>
          <w:sz w:val="24"/>
          <w:szCs w:val="24"/>
        </w:rPr>
        <w:t xml:space="preserve">, </w:t>
      </w:r>
      <w:r w:rsidR="0092117C" w:rsidRPr="00934F4B">
        <w:rPr>
          <w:rFonts w:asciiTheme="majorBidi" w:hAnsiTheme="majorBidi" w:cstheme="majorBidi"/>
          <w:sz w:val="24"/>
          <w:szCs w:val="24"/>
        </w:rPr>
        <w:t>i.e., disqualified</w:t>
      </w:r>
      <w:r w:rsidR="00BC3B14" w:rsidRPr="00934F4B">
        <w:rPr>
          <w:rFonts w:asciiTheme="majorBidi" w:hAnsiTheme="majorBidi" w:cstheme="majorBidi"/>
          <w:sz w:val="24"/>
          <w:szCs w:val="24"/>
        </w:rPr>
        <w:t xml:space="preserve"> for witnessing a will,</w:t>
      </w:r>
      <w:r w:rsidR="00A10494" w:rsidRPr="00934F4B">
        <w:rPr>
          <w:rStyle w:val="FootnoteReference"/>
          <w:rFonts w:asciiTheme="majorBidi" w:hAnsiTheme="majorBidi" w:cstheme="majorBidi"/>
          <w:sz w:val="24"/>
          <w:szCs w:val="24"/>
        </w:rPr>
        <w:footnoteReference w:id="4"/>
      </w:r>
      <w:r w:rsidR="00BC3B14" w:rsidRPr="00934F4B">
        <w:rPr>
          <w:rFonts w:asciiTheme="majorBidi" w:hAnsiTheme="majorBidi" w:cstheme="majorBidi"/>
          <w:sz w:val="24"/>
          <w:szCs w:val="24"/>
        </w:rPr>
        <w:t xml:space="preserve"> is intrinsically </w:t>
      </w:r>
      <w:r w:rsidR="00821E2F" w:rsidRPr="00934F4B">
        <w:rPr>
          <w:rFonts w:asciiTheme="majorBidi" w:hAnsiTheme="majorBidi" w:cstheme="majorBidi"/>
          <w:sz w:val="24"/>
          <w:szCs w:val="24"/>
        </w:rPr>
        <w:t>connected</w:t>
      </w:r>
      <w:r w:rsidR="00BC3B14" w:rsidRPr="00934F4B">
        <w:rPr>
          <w:rFonts w:asciiTheme="majorBidi" w:hAnsiTheme="majorBidi" w:cstheme="majorBidi"/>
          <w:sz w:val="24"/>
          <w:szCs w:val="24"/>
        </w:rPr>
        <w:t xml:space="preserve"> here with the title </w:t>
      </w:r>
      <w:proofErr w:type="spellStart"/>
      <w:r w:rsidR="00BC3B14" w:rsidRPr="00934F4B">
        <w:rPr>
          <w:rFonts w:asciiTheme="majorBidi" w:hAnsiTheme="majorBidi" w:cstheme="majorBidi"/>
          <w:i/>
          <w:iCs/>
          <w:sz w:val="24"/>
          <w:szCs w:val="24"/>
        </w:rPr>
        <w:t>improbos</w:t>
      </w:r>
      <w:proofErr w:type="spellEnd"/>
      <w:r w:rsidR="00BC3B14" w:rsidRPr="00934F4B">
        <w:rPr>
          <w:rFonts w:asciiTheme="majorBidi" w:hAnsiTheme="majorBidi" w:cstheme="majorBidi"/>
          <w:sz w:val="24"/>
          <w:szCs w:val="24"/>
        </w:rPr>
        <w:t xml:space="preserve">, one of many forms </w:t>
      </w:r>
      <w:r w:rsidR="002D00FD" w:rsidRPr="00934F4B">
        <w:rPr>
          <w:rFonts w:asciiTheme="majorBidi" w:hAnsiTheme="majorBidi" w:cstheme="majorBidi"/>
          <w:sz w:val="24"/>
          <w:szCs w:val="24"/>
        </w:rPr>
        <w:t>of</w:t>
      </w:r>
      <w:r w:rsidRPr="00934F4B">
        <w:rPr>
          <w:rFonts w:asciiTheme="majorBidi" w:hAnsiTheme="majorBidi" w:cstheme="majorBidi"/>
          <w:sz w:val="24"/>
          <w:szCs w:val="24"/>
        </w:rPr>
        <w:t xml:space="preserve"> </w:t>
      </w:r>
      <w:r w:rsidR="00BC3B14" w:rsidRPr="00934F4B">
        <w:rPr>
          <w:rFonts w:asciiTheme="majorBidi" w:hAnsiTheme="majorBidi" w:cstheme="majorBidi"/>
          <w:sz w:val="24"/>
          <w:szCs w:val="24"/>
        </w:rPr>
        <w:t>indicati</w:t>
      </w:r>
      <w:r w:rsidRPr="00934F4B">
        <w:rPr>
          <w:rFonts w:asciiTheme="majorBidi" w:hAnsiTheme="majorBidi" w:cstheme="majorBidi"/>
          <w:sz w:val="24"/>
          <w:szCs w:val="24"/>
        </w:rPr>
        <w:t>ng</w:t>
      </w:r>
      <w:r w:rsidR="00BC3B14" w:rsidRPr="00934F4B">
        <w:rPr>
          <w:rFonts w:asciiTheme="majorBidi" w:hAnsiTheme="majorBidi" w:cstheme="majorBidi"/>
          <w:sz w:val="24"/>
          <w:szCs w:val="24"/>
        </w:rPr>
        <w:t xml:space="preserve"> social dishonor </w:t>
      </w:r>
      <w:r w:rsidRPr="00934F4B">
        <w:rPr>
          <w:rFonts w:asciiTheme="majorBidi" w:hAnsiTheme="majorBidi" w:cstheme="majorBidi"/>
          <w:sz w:val="24"/>
          <w:szCs w:val="24"/>
        </w:rPr>
        <w:t xml:space="preserve">of the kind that </w:t>
      </w:r>
      <w:r w:rsidR="00BC3B14" w:rsidRPr="00934F4B">
        <w:rPr>
          <w:rFonts w:asciiTheme="majorBidi" w:hAnsiTheme="majorBidi" w:cstheme="majorBidi"/>
          <w:sz w:val="24"/>
          <w:szCs w:val="24"/>
        </w:rPr>
        <w:t xml:space="preserve">later became </w:t>
      </w:r>
      <w:r w:rsidRPr="00934F4B">
        <w:rPr>
          <w:rFonts w:asciiTheme="majorBidi" w:hAnsiTheme="majorBidi" w:cstheme="majorBidi"/>
          <w:sz w:val="24"/>
          <w:szCs w:val="24"/>
        </w:rPr>
        <w:t xml:space="preserve">more </w:t>
      </w:r>
      <w:r w:rsidR="00BC3B14" w:rsidRPr="00934F4B">
        <w:rPr>
          <w:rFonts w:asciiTheme="majorBidi" w:hAnsiTheme="majorBidi" w:cstheme="majorBidi"/>
          <w:sz w:val="24"/>
          <w:szCs w:val="24"/>
        </w:rPr>
        <w:t>standar</w:t>
      </w:r>
      <w:r w:rsidRPr="00934F4B">
        <w:rPr>
          <w:rFonts w:asciiTheme="majorBidi" w:hAnsiTheme="majorBidi" w:cstheme="majorBidi"/>
          <w:sz w:val="24"/>
          <w:szCs w:val="24"/>
        </w:rPr>
        <w:t>d</w:t>
      </w:r>
      <w:r w:rsidR="00BC3B14" w:rsidRPr="00934F4B">
        <w:rPr>
          <w:rFonts w:asciiTheme="majorBidi" w:hAnsiTheme="majorBidi" w:cstheme="majorBidi"/>
          <w:sz w:val="24"/>
          <w:szCs w:val="24"/>
        </w:rPr>
        <w:t xml:space="preserve">ly known as </w:t>
      </w:r>
      <w:proofErr w:type="spellStart"/>
      <w:r w:rsidR="00BC3B14" w:rsidRPr="00934F4B">
        <w:rPr>
          <w:rFonts w:asciiTheme="majorBidi" w:hAnsiTheme="majorBidi" w:cstheme="majorBidi"/>
          <w:i/>
          <w:iCs/>
          <w:sz w:val="24"/>
          <w:szCs w:val="24"/>
        </w:rPr>
        <w:t>i</w:t>
      </w:r>
      <w:r w:rsidRPr="00934F4B">
        <w:rPr>
          <w:rFonts w:asciiTheme="majorBidi" w:hAnsiTheme="majorBidi" w:cstheme="majorBidi"/>
          <w:i/>
          <w:iCs/>
          <w:sz w:val="24"/>
          <w:szCs w:val="24"/>
        </w:rPr>
        <w:t>n</w:t>
      </w:r>
      <w:r w:rsidR="00BC3B14" w:rsidRPr="00934F4B">
        <w:rPr>
          <w:rFonts w:asciiTheme="majorBidi" w:hAnsiTheme="majorBidi" w:cstheme="majorBidi"/>
          <w:i/>
          <w:iCs/>
          <w:sz w:val="24"/>
          <w:szCs w:val="24"/>
        </w:rPr>
        <w:t>famia</w:t>
      </w:r>
      <w:proofErr w:type="spellEnd"/>
      <w:r w:rsidR="00BC3B14" w:rsidRPr="00934F4B">
        <w:rPr>
          <w:rFonts w:asciiTheme="majorBidi" w:hAnsiTheme="majorBidi" w:cstheme="majorBidi"/>
          <w:sz w:val="24"/>
          <w:szCs w:val="24"/>
        </w:rPr>
        <w:t>.</w:t>
      </w:r>
      <w:r w:rsidR="00BC3B14" w:rsidRPr="00934F4B">
        <w:rPr>
          <w:rStyle w:val="FootnoteReference"/>
          <w:rFonts w:asciiTheme="majorBidi" w:hAnsiTheme="majorBidi" w:cstheme="majorBidi"/>
          <w:sz w:val="24"/>
          <w:szCs w:val="24"/>
        </w:rPr>
        <w:footnoteReference w:id="5"/>
      </w:r>
      <w:r w:rsidRPr="00934F4B">
        <w:rPr>
          <w:rFonts w:asciiTheme="majorBidi" w:hAnsiTheme="majorBidi" w:cstheme="majorBidi"/>
          <w:sz w:val="24"/>
          <w:szCs w:val="24"/>
        </w:rPr>
        <w:t xml:space="preserve"> This </w:t>
      </w:r>
      <w:r w:rsidR="00821E2F" w:rsidRPr="00934F4B">
        <w:rPr>
          <w:rFonts w:asciiTheme="majorBidi" w:hAnsiTheme="majorBidi" w:cstheme="majorBidi"/>
          <w:sz w:val="24"/>
          <w:szCs w:val="24"/>
        </w:rPr>
        <w:t>association</w:t>
      </w:r>
      <w:r w:rsidRPr="00934F4B">
        <w:rPr>
          <w:rFonts w:asciiTheme="majorBidi" w:hAnsiTheme="majorBidi" w:cstheme="majorBidi"/>
          <w:sz w:val="24"/>
          <w:szCs w:val="24"/>
        </w:rPr>
        <w:t xml:space="preserve"> appears to be stable over the years, as we find </w:t>
      </w:r>
      <w:r w:rsidR="0092117C" w:rsidRPr="00934F4B">
        <w:rPr>
          <w:rFonts w:asciiTheme="majorBidi" w:hAnsiTheme="majorBidi" w:cstheme="majorBidi"/>
          <w:sz w:val="24"/>
          <w:szCs w:val="24"/>
        </w:rPr>
        <w:t xml:space="preserve">it </w:t>
      </w:r>
      <w:r w:rsidRPr="00934F4B">
        <w:rPr>
          <w:rFonts w:asciiTheme="majorBidi" w:hAnsiTheme="majorBidi" w:cstheme="majorBidi"/>
          <w:sz w:val="24"/>
          <w:szCs w:val="24"/>
        </w:rPr>
        <w:t xml:space="preserve">again in the Justinian </w:t>
      </w:r>
      <w:proofErr w:type="spellStart"/>
      <w:r w:rsidRPr="00934F4B">
        <w:rPr>
          <w:rFonts w:asciiTheme="majorBidi" w:hAnsiTheme="majorBidi" w:cstheme="majorBidi"/>
          <w:i/>
          <w:iCs/>
          <w:sz w:val="24"/>
          <w:szCs w:val="24"/>
        </w:rPr>
        <w:t>Institutiones</w:t>
      </w:r>
      <w:proofErr w:type="spellEnd"/>
      <w:r w:rsidRPr="00934F4B">
        <w:rPr>
          <w:rFonts w:asciiTheme="majorBidi" w:hAnsiTheme="majorBidi" w:cstheme="majorBidi"/>
          <w:sz w:val="24"/>
          <w:szCs w:val="24"/>
        </w:rPr>
        <w:t xml:space="preserve">: </w:t>
      </w:r>
    </w:p>
    <w:p w14:paraId="61401FA4" w14:textId="77777777" w:rsidR="00BC3B14" w:rsidRPr="00934F4B" w:rsidRDefault="00BC3B14" w:rsidP="00FE01E9">
      <w:pPr>
        <w:autoSpaceDE w:val="0"/>
        <w:autoSpaceDN w:val="0"/>
        <w:adjustRightInd w:val="0"/>
        <w:spacing w:after="0" w:line="240" w:lineRule="auto"/>
        <w:jc w:val="both"/>
        <w:rPr>
          <w:rFonts w:asciiTheme="majorBidi" w:hAnsiTheme="majorBidi" w:cstheme="majorBidi"/>
          <w:sz w:val="24"/>
          <w:szCs w:val="24"/>
        </w:rPr>
      </w:pPr>
    </w:p>
    <w:p w14:paraId="59ABF437" w14:textId="063978CE" w:rsidR="00756E24" w:rsidRPr="00934F4B" w:rsidRDefault="00756E24" w:rsidP="00FE01E9">
      <w:pPr>
        <w:autoSpaceDE w:val="0"/>
        <w:autoSpaceDN w:val="0"/>
        <w:adjustRightInd w:val="0"/>
        <w:spacing w:after="0" w:line="240" w:lineRule="auto"/>
        <w:ind w:left="720"/>
        <w:jc w:val="both"/>
        <w:rPr>
          <w:rFonts w:asciiTheme="majorBidi" w:hAnsiTheme="majorBidi" w:cstheme="majorBidi"/>
          <w:sz w:val="24"/>
          <w:szCs w:val="24"/>
        </w:rPr>
      </w:pPr>
      <w:r w:rsidRPr="00934F4B">
        <w:rPr>
          <w:rFonts w:asciiTheme="majorBidi" w:hAnsiTheme="majorBidi" w:cstheme="majorBidi"/>
          <w:sz w:val="24"/>
          <w:szCs w:val="24"/>
        </w:rPr>
        <w:t>Those persons only can be witnesses who are legally capable of witnessing a testament. Women, persons below the age of puberty, slaves, lunatics, persons dumb or deaf, and those who have been interdicted from the management of their property, or whom the law declares worthless and unfitted to perform this office, cannot witness a will</w:t>
      </w:r>
      <w:r w:rsidR="00CE036D" w:rsidRPr="00934F4B">
        <w:rPr>
          <w:rFonts w:asciiTheme="majorBidi" w:hAnsiTheme="majorBidi" w:cstheme="majorBidi"/>
          <w:sz w:val="24"/>
          <w:szCs w:val="24"/>
        </w:rPr>
        <w:t xml:space="preserve"> (</w:t>
      </w:r>
      <w:proofErr w:type="spellStart"/>
      <w:r w:rsidR="00CE036D" w:rsidRPr="00934F4B">
        <w:rPr>
          <w:rFonts w:asciiTheme="majorBidi" w:hAnsiTheme="majorBidi" w:cstheme="majorBidi"/>
          <w:sz w:val="24"/>
          <w:szCs w:val="24"/>
        </w:rPr>
        <w:t>Ιnst</w:t>
      </w:r>
      <w:proofErr w:type="spellEnd"/>
      <w:r w:rsidR="00CE036D" w:rsidRPr="00934F4B">
        <w:rPr>
          <w:rFonts w:asciiTheme="majorBidi" w:hAnsiTheme="majorBidi" w:cstheme="majorBidi"/>
          <w:sz w:val="24"/>
          <w:szCs w:val="24"/>
        </w:rPr>
        <w:t>. II.10.6)</w:t>
      </w:r>
    </w:p>
    <w:p w14:paraId="5CE7C914" w14:textId="4319F9E8" w:rsidR="00C032E2" w:rsidRPr="00934F4B" w:rsidRDefault="00C032E2" w:rsidP="00FE01E9">
      <w:pPr>
        <w:autoSpaceDE w:val="0"/>
        <w:autoSpaceDN w:val="0"/>
        <w:adjustRightInd w:val="0"/>
        <w:spacing w:after="0" w:line="240" w:lineRule="auto"/>
        <w:jc w:val="both"/>
        <w:rPr>
          <w:rFonts w:asciiTheme="majorBidi" w:hAnsiTheme="majorBidi" w:cstheme="majorBidi"/>
          <w:b/>
          <w:bCs/>
          <w:color w:val="000000"/>
          <w:sz w:val="24"/>
          <w:szCs w:val="24"/>
          <w:shd w:val="clear" w:color="auto" w:fill="FFFFFF"/>
        </w:rPr>
      </w:pPr>
    </w:p>
    <w:p w14:paraId="2FAFEFC7" w14:textId="31DF1F2A" w:rsidR="002D6671" w:rsidRPr="00934F4B" w:rsidRDefault="002D00FD" w:rsidP="004C55FC">
      <w:pPr>
        <w:autoSpaceDE w:val="0"/>
        <w:autoSpaceDN w:val="0"/>
        <w:adjustRightInd w:val="0"/>
        <w:spacing w:after="0" w:line="240" w:lineRule="auto"/>
        <w:jc w:val="both"/>
        <w:rPr>
          <w:rFonts w:asciiTheme="majorBidi" w:hAnsiTheme="majorBidi" w:cstheme="majorBidi"/>
          <w:sz w:val="24"/>
          <w:szCs w:val="24"/>
        </w:rPr>
      </w:pPr>
      <w:r w:rsidRPr="00934F4B">
        <w:rPr>
          <w:rFonts w:asciiTheme="majorBidi" w:hAnsiTheme="majorBidi" w:cstheme="majorBidi"/>
          <w:sz w:val="24"/>
          <w:szCs w:val="24"/>
        </w:rPr>
        <w:t xml:space="preserve">Here too, the same </w:t>
      </w:r>
      <w:r w:rsidR="00CE036D" w:rsidRPr="00934F4B">
        <w:rPr>
          <w:rFonts w:asciiTheme="majorBidi" w:hAnsiTheme="majorBidi" w:cstheme="majorBidi"/>
          <w:sz w:val="24"/>
          <w:szCs w:val="24"/>
        </w:rPr>
        <w:t>phrase “</w:t>
      </w:r>
      <w:proofErr w:type="spellStart"/>
      <w:r w:rsidR="00CE036D" w:rsidRPr="00934F4B">
        <w:rPr>
          <w:rFonts w:asciiTheme="majorBidi" w:hAnsiTheme="majorBidi" w:cstheme="majorBidi"/>
          <w:sz w:val="24"/>
          <w:szCs w:val="24"/>
        </w:rPr>
        <w:t>improbus</w:t>
      </w:r>
      <w:proofErr w:type="spellEnd"/>
      <w:r w:rsidR="00CE036D" w:rsidRPr="00934F4B">
        <w:rPr>
          <w:rFonts w:asciiTheme="majorBidi" w:hAnsiTheme="majorBidi" w:cstheme="majorBidi"/>
          <w:sz w:val="24"/>
          <w:szCs w:val="24"/>
        </w:rPr>
        <w:t xml:space="preserve">” used in the XII tables </w:t>
      </w:r>
      <w:r w:rsidRPr="00934F4B">
        <w:rPr>
          <w:rFonts w:asciiTheme="majorBidi" w:hAnsiTheme="majorBidi" w:cstheme="majorBidi"/>
          <w:sz w:val="24"/>
          <w:szCs w:val="24"/>
        </w:rPr>
        <w:t xml:space="preserve">is </w:t>
      </w:r>
      <w:r w:rsidR="0092117C" w:rsidRPr="00934F4B">
        <w:rPr>
          <w:rFonts w:asciiTheme="majorBidi" w:hAnsiTheme="majorBidi" w:cstheme="majorBidi"/>
          <w:sz w:val="24"/>
          <w:szCs w:val="24"/>
        </w:rPr>
        <w:t>connected with social disgrace and dishonor</w:t>
      </w:r>
      <w:r w:rsidRPr="00934F4B">
        <w:rPr>
          <w:rFonts w:asciiTheme="majorBidi" w:hAnsiTheme="majorBidi" w:cstheme="majorBidi"/>
          <w:sz w:val="24"/>
          <w:szCs w:val="24"/>
        </w:rPr>
        <w:t>.</w:t>
      </w:r>
      <w:r w:rsidR="00C4766D" w:rsidRPr="00934F4B">
        <w:rPr>
          <w:rStyle w:val="FootnoteReference"/>
          <w:rFonts w:asciiTheme="majorBidi" w:hAnsiTheme="majorBidi" w:cstheme="majorBidi"/>
          <w:sz w:val="24"/>
          <w:szCs w:val="24"/>
        </w:rPr>
        <w:footnoteReference w:id="6"/>
      </w:r>
      <w:r w:rsidRPr="00934F4B">
        <w:rPr>
          <w:rFonts w:asciiTheme="majorBidi" w:hAnsiTheme="majorBidi" w:cstheme="majorBidi"/>
          <w:sz w:val="24"/>
          <w:szCs w:val="24"/>
        </w:rPr>
        <w:t xml:space="preserve"> </w:t>
      </w:r>
      <w:r w:rsidR="004C55FC" w:rsidRPr="00934F4B">
        <w:rPr>
          <w:rFonts w:asciiTheme="majorBidi" w:hAnsiTheme="majorBidi" w:cstheme="majorBidi"/>
          <w:sz w:val="24"/>
          <w:szCs w:val="24"/>
        </w:rPr>
        <w:t>Notably, t</w:t>
      </w:r>
      <w:r w:rsidRPr="00934F4B">
        <w:rPr>
          <w:rFonts w:asciiTheme="majorBidi" w:hAnsiTheme="majorBidi" w:cstheme="majorBidi"/>
          <w:sz w:val="24"/>
          <w:szCs w:val="24"/>
        </w:rPr>
        <w:t>he fact that we find here “</w:t>
      </w:r>
      <w:proofErr w:type="spellStart"/>
      <w:r w:rsidRPr="00934F4B">
        <w:rPr>
          <w:rFonts w:asciiTheme="majorBidi" w:hAnsiTheme="majorBidi" w:cstheme="majorBidi"/>
          <w:sz w:val="24"/>
          <w:szCs w:val="24"/>
        </w:rPr>
        <w:t>improbus</w:t>
      </w:r>
      <w:proofErr w:type="spellEnd"/>
      <w:r w:rsidRPr="00934F4B">
        <w:rPr>
          <w:rFonts w:asciiTheme="majorBidi" w:hAnsiTheme="majorBidi" w:cstheme="majorBidi"/>
          <w:sz w:val="24"/>
          <w:szCs w:val="24"/>
        </w:rPr>
        <w:t>” and not, say “</w:t>
      </w:r>
      <w:proofErr w:type="spellStart"/>
      <w:r w:rsidRPr="00934F4B">
        <w:rPr>
          <w:rFonts w:asciiTheme="majorBidi" w:hAnsiTheme="majorBidi" w:cstheme="majorBidi"/>
          <w:sz w:val="24"/>
          <w:szCs w:val="24"/>
        </w:rPr>
        <w:t>infamis</w:t>
      </w:r>
      <w:proofErr w:type="spellEnd"/>
      <w:r w:rsidRPr="00934F4B">
        <w:rPr>
          <w:rFonts w:asciiTheme="majorBidi" w:hAnsiTheme="majorBidi" w:cstheme="majorBidi"/>
          <w:sz w:val="24"/>
          <w:szCs w:val="24"/>
        </w:rPr>
        <w:t>”</w:t>
      </w:r>
      <w:r w:rsidR="0092117C" w:rsidRPr="00934F4B">
        <w:rPr>
          <w:rFonts w:asciiTheme="majorBidi" w:hAnsiTheme="majorBidi" w:cstheme="majorBidi"/>
          <w:sz w:val="24"/>
          <w:szCs w:val="24"/>
        </w:rPr>
        <w:t xml:space="preserve">, is an important </w:t>
      </w:r>
      <w:r w:rsidR="0092117C" w:rsidRPr="00934F4B">
        <w:rPr>
          <w:rFonts w:asciiTheme="majorBidi" w:hAnsiTheme="majorBidi" w:cstheme="majorBidi"/>
          <w:sz w:val="24"/>
          <w:szCs w:val="24"/>
        </w:rPr>
        <w:lastRenderedPageBreak/>
        <w:t xml:space="preserve">reminder of the terminological indeterminacy of this </w:t>
      </w:r>
      <w:r w:rsidR="002D6671" w:rsidRPr="00934F4B">
        <w:rPr>
          <w:rFonts w:asciiTheme="majorBidi" w:hAnsiTheme="majorBidi" w:cstheme="majorBidi"/>
          <w:sz w:val="24"/>
          <w:szCs w:val="24"/>
        </w:rPr>
        <w:t>civil</w:t>
      </w:r>
      <w:r w:rsidR="0092117C" w:rsidRPr="00934F4B">
        <w:rPr>
          <w:rFonts w:asciiTheme="majorBidi" w:hAnsiTheme="majorBidi" w:cstheme="majorBidi"/>
          <w:sz w:val="24"/>
          <w:szCs w:val="24"/>
        </w:rPr>
        <w:t xml:space="preserve">-legal degrading that is referred to in scholarship under the unifying title of </w:t>
      </w:r>
      <w:proofErr w:type="spellStart"/>
      <w:r w:rsidR="0092117C" w:rsidRPr="00934F4B">
        <w:rPr>
          <w:rFonts w:asciiTheme="majorBidi" w:hAnsiTheme="majorBidi" w:cstheme="majorBidi"/>
          <w:i/>
          <w:iCs/>
          <w:sz w:val="24"/>
          <w:szCs w:val="24"/>
        </w:rPr>
        <w:t>infamia</w:t>
      </w:r>
      <w:proofErr w:type="spellEnd"/>
      <w:r w:rsidR="0092117C" w:rsidRPr="00934F4B">
        <w:rPr>
          <w:rFonts w:asciiTheme="majorBidi" w:hAnsiTheme="majorBidi" w:cstheme="majorBidi"/>
          <w:sz w:val="24"/>
          <w:szCs w:val="24"/>
        </w:rPr>
        <w:t>.</w:t>
      </w:r>
      <w:r w:rsidR="00C1513E" w:rsidRPr="00934F4B">
        <w:rPr>
          <w:rStyle w:val="FootnoteReference"/>
          <w:rFonts w:asciiTheme="majorBidi" w:hAnsiTheme="majorBidi" w:cstheme="majorBidi"/>
          <w:sz w:val="24"/>
          <w:szCs w:val="24"/>
        </w:rPr>
        <w:footnoteReference w:id="7"/>
      </w:r>
      <w:r w:rsidR="00C1513E" w:rsidRPr="00934F4B">
        <w:rPr>
          <w:rFonts w:asciiTheme="majorBidi" w:hAnsiTheme="majorBidi" w:cstheme="majorBidi"/>
          <w:sz w:val="24"/>
          <w:szCs w:val="24"/>
        </w:rPr>
        <w:t xml:space="preserve"> </w:t>
      </w:r>
      <w:r w:rsidRPr="00934F4B">
        <w:rPr>
          <w:rFonts w:asciiTheme="majorBidi" w:hAnsiTheme="majorBidi" w:cstheme="majorBidi"/>
          <w:sz w:val="24"/>
          <w:szCs w:val="24"/>
        </w:rPr>
        <w:t>In fact, several other terms are used in similar contexts:</w:t>
      </w:r>
      <w:r w:rsidR="0000453D" w:rsidRPr="00934F4B">
        <w:rPr>
          <w:sz w:val="23"/>
          <w:szCs w:val="23"/>
        </w:rPr>
        <w:t xml:space="preserve"> </w:t>
      </w:r>
      <w:r w:rsidR="0000453D" w:rsidRPr="00934F4B">
        <w:rPr>
          <w:rFonts w:asciiTheme="majorBidi" w:hAnsiTheme="majorBidi" w:cstheme="majorBidi"/>
          <w:sz w:val="24"/>
          <w:szCs w:val="24"/>
        </w:rPr>
        <w:t xml:space="preserve">variations of </w:t>
      </w:r>
      <w:proofErr w:type="spellStart"/>
      <w:r w:rsidR="0000453D" w:rsidRPr="00934F4B">
        <w:rPr>
          <w:rFonts w:asciiTheme="majorBidi" w:hAnsiTheme="majorBidi" w:cstheme="majorBidi"/>
          <w:i/>
          <w:iCs/>
          <w:sz w:val="24"/>
          <w:szCs w:val="24"/>
        </w:rPr>
        <w:t>improbus</w:t>
      </w:r>
      <w:proofErr w:type="spellEnd"/>
      <w:r w:rsidR="0000453D" w:rsidRPr="00934F4B">
        <w:rPr>
          <w:rFonts w:asciiTheme="majorBidi" w:hAnsiTheme="majorBidi" w:cstheme="majorBidi"/>
          <w:i/>
          <w:iCs/>
          <w:sz w:val="24"/>
          <w:szCs w:val="24"/>
        </w:rPr>
        <w:t xml:space="preserve">, </w:t>
      </w:r>
      <w:proofErr w:type="spellStart"/>
      <w:r w:rsidR="0000453D" w:rsidRPr="00934F4B">
        <w:rPr>
          <w:rFonts w:asciiTheme="majorBidi" w:hAnsiTheme="majorBidi" w:cstheme="majorBidi"/>
          <w:i/>
          <w:iCs/>
          <w:sz w:val="24"/>
          <w:szCs w:val="24"/>
        </w:rPr>
        <w:t>probum</w:t>
      </w:r>
      <w:proofErr w:type="spellEnd"/>
      <w:r w:rsidR="0000453D" w:rsidRPr="00934F4B">
        <w:rPr>
          <w:rFonts w:asciiTheme="majorBidi" w:hAnsiTheme="majorBidi" w:cstheme="majorBidi"/>
          <w:i/>
          <w:iCs/>
          <w:sz w:val="24"/>
          <w:szCs w:val="24"/>
        </w:rPr>
        <w:t xml:space="preserve">, </w:t>
      </w:r>
      <w:proofErr w:type="spellStart"/>
      <w:r w:rsidR="0000453D" w:rsidRPr="00934F4B">
        <w:rPr>
          <w:rFonts w:asciiTheme="majorBidi" w:hAnsiTheme="majorBidi" w:cstheme="majorBidi"/>
          <w:i/>
          <w:iCs/>
          <w:sz w:val="24"/>
          <w:szCs w:val="24"/>
        </w:rPr>
        <w:t>ignominia</w:t>
      </w:r>
      <w:proofErr w:type="spellEnd"/>
      <w:r w:rsidR="0000453D" w:rsidRPr="00934F4B">
        <w:rPr>
          <w:rFonts w:asciiTheme="majorBidi" w:hAnsiTheme="majorBidi" w:cstheme="majorBidi"/>
          <w:i/>
          <w:iCs/>
          <w:sz w:val="24"/>
          <w:szCs w:val="24"/>
        </w:rPr>
        <w:t xml:space="preserve">, nota, </w:t>
      </w:r>
      <w:proofErr w:type="spellStart"/>
      <w:r w:rsidR="0000453D" w:rsidRPr="00934F4B">
        <w:rPr>
          <w:rFonts w:asciiTheme="majorBidi" w:hAnsiTheme="majorBidi" w:cstheme="majorBidi"/>
          <w:i/>
          <w:iCs/>
          <w:sz w:val="24"/>
          <w:szCs w:val="24"/>
        </w:rPr>
        <w:t>notare</w:t>
      </w:r>
      <w:proofErr w:type="spellEnd"/>
      <w:r w:rsidR="0000453D" w:rsidRPr="00934F4B">
        <w:rPr>
          <w:rFonts w:asciiTheme="majorBidi" w:hAnsiTheme="majorBidi" w:cstheme="majorBidi"/>
          <w:i/>
          <w:iCs/>
          <w:sz w:val="24"/>
          <w:szCs w:val="24"/>
        </w:rPr>
        <w:t>,</w:t>
      </w:r>
      <w:r w:rsidR="0000453D" w:rsidRPr="00934F4B">
        <w:rPr>
          <w:rFonts w:asciiTheme="majorBidi" w:hAnsiTheme="majorBidi" w:cstheme="majorBidi"/>
          <w:sz w:val="24"/>
          <w:szCs w:val="24"/>
        </w:rPr>
        <w:t xml:space="preserve"> </w:t>
      </w:r>
      <w:proofErr w:type="spellStart"/>
      <w:r w:rsidR="0000453D" w:rsidRPr="00934F4B">
        <w:rPr>
          <w:rFonts w:asciiTheme="majorBidi" w:hAnsiTheme="majorBidi" w:cstheme="majorBidi"/>
          <w:sz w:val="24"/>
          <w:szCs w:val="24"/>
        </w:rPr>
        <w:t>notatio</w:t>
      </w:r>
      <w:proofErr w:type="spellEnd"/>
      <w:r w:rsidR="0000453D" w:rsidRPr="00934F4B">
        <w:rPr>
          <w:rFonts w:asciiTheme="majorBidi" w:hAnsiTheme="majorBidi" w:cstheme="majorBidi"/>
          <w:sz w:val="24"/>
          <w:szCs w:val="24"/>
        </w:rPr>
        <w:t xml:space="preserve">, as well as the many appearances of </w:t>
      </w:r>
      <w:proofErr w:type="spellStart"/>
      <w:r w:rsidR="0000453D" w:rsidRPr="00934F4B">
        <w:rPr>
          <w:rFonts w:asciiTheme="majorBidi" w:hAnsiTheme="majorBidi" w:cstheme="majorBidi"/>
          <w:i/>
          <w:iCs/>
          <w:sz w:val="24"/>
          <w:szCs w:val="24"/>
        </w:rPr>
        <w:t>fama</w:t>
      </w:r>
      <w:proofErr w:type="spellEnd"/>
      <w:r w:rsidR="0000453D" w:rsidRPr="00934F4B">
        <w:rPr>
          <w:rFonts w:asciiTheme="majorBidi" w:hAnsiTheme="majorBidi" w:cstheme="majorBidi"/>
          <w:sz w:val="24"/>
          <w:szCs w:val="24"/>
        </w:rPr>
        <w:t xml:space="preserve"> in its negative form</w:t>
      </w:r>
      <w:r w:rsidR="0000453D" w:rsidRPr="00934F4B">
        <w:rPr>
          <w:sz w:val="23"/>
          <w:szCs w:val="23"/>
        </w:rPr>
        <w:t>.</w:t>
      </w:r>
      <w:r w:rsidR="0000453D" w:rsidRPr="00934F4B">
        <w:rPr>
          <w:rStyle w:val="FootnoteReference"/>
          <w:sz w:val="23"/>
          <w:szCs w:val="23"/>
        </w:rPr>
        <w:footnoteReference w:id="8"/>
      </w:r>
      <w:r w:rsidR="0000453D" w:rsidRPr="00934F4B">
        <w:rPr>
          <w:sz w:val="23"/>
          <w:szCs w:val="23"/>
        </w:rPr>
        <w:t xml:space="preserve"> </w:t>
      </w:r>
      <w:r w:rsidR="00C1513E" w:rsidRPr="00934F4B">
        <w:rPr>
          <w:rFonts w:asciiTheme="majorBidi" w:hAnsiTheme="majorBidi" w:cstheme="majorBidi"/>
          <w:sz w:val="24"/>
          <w:szCs w:val="24"/>
        </w:rPr>
        <w:t>This is not a mere linguistic issue;</w:t>
      </w:r>
      <w:r w:rsidR="0092117C" w:rsidRPr="00934F4B">
        <w:rPr>
          <w:rFonts w:asciiTheme="majorBidi" w:hAnsiTheme="majorBidi" w:cstheme="majorBidi"/>
          <w:sz w:val="24"/>
          <w:szCs w:val="24"/>
        </w:rPr>
        <w:t xml:space="preserve"> </w:t>
      </w:r>
      <w:r w:rsidR="002D6671" w:rsidRPr="00934F4B">
        <w:rPr>
          <w:rFonts w:asciiTheme="majorBidi" w:hAnsiTheme="majorBidi" w:cstheme="majorBidi"/>
          <w:sz w:val="24"/>
          <w:szCs w:val="24"/>
        </w:rPr>
        <w:t>“The diverse terminology reflects the lack of a clear and consistent legal definition or meaning for the concept”</w:t>
      </w:r>
      <w:r w:rsidR="00C1513E" w:rsidRPr="00934F4B">
        <w:rPr>
          <w:rFonts w:asciiTheme="majorBidi" w:hAnsiTheme="majorBidi" w:cstheme="majorBidi"/>
          <w:sz w:val="24"/>
          <w:szCs w:val="24"/>
        </w:rPr>
        <w:t xml:space="preserve"> at any given period of Roman law.</w:t>
      </w:r>
      <w:r w:rsidR="00C1513E" w:rsidRPr="00934F4B">
        <w:rPr>
          <w:rStyle w:val="FootnoteReference"/>
          <w:rFonts w:asciiTheme="majorBidi" w:hAnsiTheme="majorBidi" w:cstheme="majorBidi"/>
          <w:sz w:val="24"/>
          <w:szCs w:val="24"/>
        </w:rPr>
        <w:footnoteReference w:id="9"/>
      </w:r>
      <w:r w:rsidR="00C1513E" w:rsidRPr="00934F4B">
        <w:rPr>
          <w:rFonts w:asciiTheme="majorBidi" w:hAnsiTheme="majorBidi" w:cstheme="majorBidi"/>
          <w:sz w:val="24"/>
          <w:szCs w:val="24"/>
        </w:rPr>
        <w:t xml:space="preserve"> </w:t>
      </w:r>
      <w:r w:rsidR="002D6671" w:rsidRPr="00934F4B">
        <w:rPr>
          <w:rFonts w:asciiTheme="majorBidi" w:hAnsiTheme="majorBidi" w:cstheme="majorBidi"/>
          <w:sz w:val="24"/>
          <w:szCs w:val="24"/>
        </w:rPr>
        <w:t xml:space="preserve">Given this </w:t>
      </w:r>
      <w:r w:rsidR="00C1513E" w:rsidRPr="00934F4B">
        <w:rPr>
          <w:rFonts w:asciiTheme="majorBidi" w:hAnsiTheme="majorBidi" w:cstheme="majorBidi"/>
          <w:sz w:val="24"/>
          <w:szCs w:val="24"/>
        </w:rPr>
        <w:t>characteristic</w:t>
      </w:r>
      <w:r w:rsidR="002D6671" w:rsidRPr="00934F4B">
        <w:rPr>
          <w:rFonts w:asciiTheme="majorBidi" w:hAnsiTheme="majorBidi" w:cstheme="majorBidi"/>
          <w:sz w:val="24"/>
          <w:szCs w:val="24"/>
        </w:rPr>
        <w:t xml:space="preserve"> of </w:t>
      </w:r>
      <w:proofErr w:type="spellStart"/>
      <w:r w:rsidR="002D6671" w:rsidRPr="00934F4B">
        <w:rPr>
          <w:rFonts w:asciiTheme="majorBidi" w:hAnsiTheme="majorBidi" w:cstheme="majorBidi"/>
          <w:i/>
          <w:iCs/>
          <w:sz w:val="24"/>
          <w:szCs w:val="24"/>
        </w:rPr>
        <w:t>infamia</w:t>
      </w:r>
      <w:proofErr w:type="spellEnd"/>
      <w:r w:rsidR="002D6671" w:rsidRPr="00934F4B">
        <w:rPr>
          <w:rFonts w:asciiTheme="majorBidi" w:hAnsiTheme="majorBidi" w:cstheme="majorBidi"/>
          <w:sz w:val="24"/>
          <w:szCs w:val="24"/>
        </w:rPr>
        <w:t xml:space="preserve">, </w:t>
      </w:r>
      <w:r w:rsidR="00C1513E" w:rsidRPr="00934F4B">
        <w:rPr>
          <w:rFonts w:asciiTheme="majorBidi" w:hAnsiTheme="majorBidi" w:cstheme="majorBidi"/>
          <w:sz w:val="24"/>
          <w:szCs w:val="24"/>
        </w:rPr>
        <w:t>one should not</w:t>
      </w:r>
      <w:r w:rsidR="002D6671" w:rsidRPr="00934F4B">
        <w:rPr>
          <w:rFonts w:asciiTheme="majorBidi" w:hAnsiTheme="majorBidi" w:cstheme="majorBidi"/>
          <w:sz w:val="24"/>
          <w:szCs w:val="24"/>
        </w:rPr>
        <w:t xml:space="preserve"> be surprised that the </w:t>
      </w:r>
      <w:r w:rsidR="00C1513E" w:rsidRPr="00934F4B">
        <w:rPr>
          <w:rFonts w:asciiTheme="majorBidi" w:hAnsiTheme="majorBidi" w:cstheme="majorBidi"/>
          <w:sz w:val="24"/>
          <w:szCs w:val="24"/>
        </w:rPr>
        <w:t xml:space="preserve">indications for the connection of this status with disqualification for testimony are partial and blurred. </w:t>
      </w:r>
      <w:r w:rsidR="00D232AB" w:rsidRPr="00934F4B">
        <w:rPr>
          <w:rFonts w:asciiTheme="majorBidi" w:hAnsiTheme="majorBidi" w:cstheme="majorBidi"/>
          <w:sz w:val="24"/>
          <w:szCs w:val="24"/>
        </w:rPr>
        <w:t xml:space="preserve">The entire mechanism and its legal meaning </w:t>
      </w:r>
      <w:r w:rsidR="003565D6" w:rsidRPr="00934F4B">
        <w:rPr>
          <w:rFonts w:asciiTheme="majorBidi" w:hAnsiTheme="majorBidi" w:cstheme="majorBidi"/>
          <w:sz w:val="24"/>
          <w:szCs w:val="24"/>
        </w:rPr>
        <w:t>were</w:t>
      </w:r>
      <w:r w:rsidR="00D232AB" w:rsidRPr="00934F4B">
        <w:rPr>
          <w:rFonts w:asciiTheme="majorBidi" w:hAnsiTheme="majorBidi" w:cstheme="majorBidi"/>
          <w:sz w:val="24"/>
          <w:szCs w:val="24"/>
        </w:rPr>
        <w:t xml:space="preserve"> not </w:t>
      </w:r>
      <w:r w:rsidRPr="00934F4B">
        <w:rPr>
          <w:rFonts w:asciiTheme="majorBidi" w:hAnsiTheme="majorBidi" w:cstheme="majorBidi"/>
          <w:sz w:val="24"/>
          <w:szCs w:val="24"/>
        </w:rPr>
        <w:t>“</w:t>
      </w:r>
      <w:r w:rsidR="00D232AB" w:rsidRPr="00934F4B">
        <w:rPr>
          <w:rFonts w:asciiTheme="majorBidi" w:hAnsiTheme="majorBidi" w:cstheme="majorBidi"/>
          <w:sz w:val="24"/>
          <w:szCs w:val="24"/>
        </w:rPr>
        <w:t>strongly</w:t>
      </w:r>
      <w:r w:rsidRPr="00934F4B">
        <w:rPr>
          <w:rFonts w:asciiTheme="majorBidi" w:hAnsiTheme="majorBidi" w:cstheme="majorBidi"/>
          <w:sz w:val="24"/>
          <w:szCs w:val="24"/>
        </w:rPr>
        <w:t>-</w:t>
      </w:r>
      <w:r w:rsidR="00D232AB" w:rsidRPr="00934F4B">
        <w:rPr>
          <w:rFonts w:asciiTheme="majorBidi" w:hAnsiTheme="majorBidi" w:cstheme="majorBidi"/>
          <w:sz w:val="24"/>
          <w:szCs w:val="24"/>
        </w:rPr>
        <w:t>defined</w:t>
      </w:r>
      <w:r w:rsidRPr="00934F4B">
        <w:rPr>
          <w:rFonts w:asciiTheme="majorBidi" w:hAnsiTheme="majorBidi" w:cstheme="majorBidi"/>
          <w:sz w:val="24"/>
          <w:szCs w:val="24"/>
        </w:rPr>
        <w:t xml:space="preserve">” (in the </w:t>
      </w:r>
      <w:r w:rsidR="004C55FC" w:rsidRPr="00934F4B">
        <w:rPr>
          <w:rFonts w:asciiTheme="majorBidi" w:hAnsiTheme="majorBidi" w:cstheme="majorBidi"/>
          <w:sz w:val="24"/>
          <w:szCs w:val="24"/>
        </w:rPr>
        <w:t>mathematical sense of the word);</w:t>
      </w:r>
      <w:r w:rsidR="00D232AB" w:rsidRPr="00934F4B">
        <w:rPr>
          <w:rFonts w:asciiTheme="majorBidi" w:hAnsiTheme="majorBidi" w:cstheme="majorBidi"/>
          <w:sz w:val="24"/>
          <w:szCs w:val="24"/>
        </w:rPr>
        <w:t xml:space="preserve"> </w:t>
      </w:r>
      <w:r w:rsidR="004C55FC" w:rsidRPr="00934F4B">
        <w:rPr>
          <w:rFonts w:asciiTheme="majorBidi" w:hAnsiTheme="majorBidi" w:cstheme="majorBidi"/>
          <w:sz w:val="24"/>
          <w:szCs w:val="24"/>
        </w:rPr>
        <w:t>I</w:t>
      </w:r>
      <w:r w:rsidRPr="00934F4B">
        <w:rPr>
          <w:rFonts w:asciiTheme="majorBidi" w:hAnsiTheme="majorBidi" w:cstheme="majorBidi"/>
          <w:sz w:val="24"/>
          <w:szCs w:val="24"/>
        </w:rPr>
        <w:t xml:space="preserve">t </w:t>
      </w:r>
      <w:r w:rsidR="00D232AB" w:rsidRPr="00934F4B">
        <w:rPr>
          <w:rFonts w:asciiTheme="majorBidi" w:hAnsiTheme="majorBidi" w:cstheme="majorBidi"/>
          <w:sz w:val="24"/>
          <w:szCs w:val="24"/>
        </w:rPr>
        <w:t xml:space="preserve">was more of a living idea than a fixed institution. Therefore, to determine that </w:t>
      </w:r>
      <w:proofErr w:type="spellStart"/>
      <w:r w:rsidR="00D232AB" w:rsidRPr="00934F4B">
        <w:rPr>
          <w:rFonts w:asciiTheme="majorBidi" w:hAnsiTheme="majorBidi" w:cstheme="majorBidi"/>
          <w:i/>
          <w:iCs/>
          <w:sz w:val="24"/>
          <w:szCs w:val="24"/>
        </w:rPr>
        <w:t>infamia</w:t>
      </w:r>
      <w:proofErr w:type="spellEnd"/>
      <w:r w:rsidR="00D232AB" w:rsidRPr="00934F4B">
        <w:rPr>
          <w:rFonts w:asciiTheme="majorBidi" w:hAnsiTheme="majorBidi" w:cstheme="majorBidi"/>
          <w:sz w:val="24"/>
          <w:szCs w:val="24"/>
        </w:rPr>
        <w:t xml:space="preserve"> was linked with disqualification for court testimony </w:t>
      </w:r>
      <w:r w:rsidRPr="00934F4B">
        <w:rPr>
          <w:rFonts w:asciiTheme="majorBidi" w:hAnsiTheme="majorBidi" w:cstheme="majorBidi"/>
          <w:sz w:val="24"/>
          <w:szCs w:val="24"/>
        </w:rPr>
        <w:t>one may rely on tacit and complex</w:t>
      </w:r>
      <w:r w:rsidR="00C1513E" w:rsidRPr="00934F4B">
        <w:rPr>
          <w:rFonts w:asciiTheme="majorBidi" w:hAnsiTheme="majorBidi" w:cstheme="majorBidi"/>
          <w:sz w:val="24"/>
          <w:szCs w:val="24"/>
        </w:rPr>
        <w:t xml:space="preserve"> indication</w:t>
      </w:r>
      <w:r w:rsidR="00D232AB" w:rsidRPr="00934F4B">
        <w:rPr>
          <w:rFonts w:asciiTheme="majorBidi" w:hAnsiTheme="majorBidi" w:cstheme="majorBidi"/>
          <w:sz w:val="24"/>
          <w:szCs w:val="24"/>
        </w:rPr>
        <w:t xml:space="preserve">s, </w:t>
      </w:r>
      <w:r w:rsidRPr="00934F4B">
        <w:rPr>
          <w:rFonts w:asciiTheme="majorBidi" w:hAnsiTheme="majorBidi" w:cstheme="majorBidi"/>
          <w:sz w:val="24"/>
          <w:szCs w:val="24"/>
        </w:rPr>
        <w:t xml:space="preserve">if only their conjunction portrays a sufficiently </w:t>
      </w:r>
      <w:r w:rsidR="00C1513E" w:rsidRPr="00934F4B">
        <w:rPr>
          <w:rFonts w:asciiTheme="majorBidi" w:hAnsiTheme="majorBidi" w:cstheme="majorBidi"/>
          <w:sz w:val="24"/>
          <w:szCs w:val="24"/>
        </w:rPr>
        <w:t>unambiguous</w:t>
      </w:r>
      <w:r w:rsidRPr="00934F4B">
        <w:rPr>
          <w:rFonts w:asciiTheme="majorBidi" w:hAnsiTheme="majorBidi" w:cstheme="majorBidi"/>
          <w:sz w:val="24"/>
          <w:szCs w:val="24"/>
        </w:rPr>
        <w:t xml:space="preserve"> picture</w:t>
      </w:r>
      <w:r w:rsidR="00C1513E" w:rsidRPr="00934F4B">
        <w:rPr>
          <w:rFonts w:asciiTheme="majorBidi" w:hAnsiTheme="majorBidi" w:cstheme="majorBidi"/>
          <w:sz w:val="24"/>
          <w:szCs w:val="24"/>
        </w:rPr>
        <w:t xml:space="preserve">. </w:t>
      </w:r>
    </w:p>
    <w:p w14:paraId="5CDE8ED9" w14:textId="54235D60" w:rsidR="00C1513E" w:rsidRPr="00934F4B" w:rsidRDefault="00C1513E" w:rsidP="00FE01E9">
      <w:pPr>
        <w:autoSpaceDE w:val="0"/>
        <w:autoSpaceDN w:val="0"/>
        <w:adjustRightInd w:val="0"/>
        <w:spacing w:after="0" w:line="240" w:lineRule="auto"/>
        <w:jc w:val="both"/>
        <w:rPr>
          <w:rFonts w:asciiTheme="majorBidi" w:hAnsiTheme="majorBidi" w:cstheme="majorBidi"/>
          <w:sz w:val="24"/>
          <w:szCs w:val="24"/>
        </w:rPr>
      </w:pPr>
    </w:p>
    <w:p w14:paraId="46AC7115" w14:textId="6FF123F9" w:rsidR="009C5112" w:rsidRPr="00934F4B" w:rsidRDefault="00EC0387" w:rsidP="00A250FB">
      <w:pPr>
        <w:jc w:val="both"/>
        <w:rPr>
          <w:rFonts w:asciiTheme="majorBidi" w:hAnsiTheme="majorBidi" w:cstheme="majorBidi"/>
          <w:sz w:val="24"/>
          <w:szCs w:val="24"/>
        </w:rPr>
      </w:pPr>
      <w:r w:rsidRPr="00934F4B">
        <w:rPr>
          <w:rFonts w:asciiTheme="majorBidi" w:hAnsiTheme="majorBidi" w:cstheme="majorBidi"/>
          <w:sz w:val="24"/>
          <w:szCs w:val="24"/>
        </w:rPr>
        <w:t>On this point</w:t>
      </w:r>
      <w:r w:rsidR="00BA1B6A" w:rsidRPr="00934F4B">
        <w:rPr>
          <w:rFonts w:asciiTheme="majorBidi" w:hAnsiTheme="majorBidi" w:cstheme="majorBidi"/>
          <w:sz w:val="24"/>
          <w:szCs w:val="24"/>
        </w:rPr>
        <w:t xml:space="preserve"> </w:t>
      </w:r>
      <w:proofErr w:type="spellStart"/>
      <w:r w:rsidR="00BA1B6A" w:rsidRPr="00934F4B">
        <w:rPr>
          <w:rFonts w:asciiTheme="majorBidi" w:hAnsiTheme="majorBidi" w:cstheme="majorBidi"/>
          <w:sz w:val="24"/>
          <w:szCs w:val="24"/>
        </w:rPr>
        <w:t>Greenidge</w:t>
      </w:r>
      <w:proofErr w:type="spellEnd"/>
      <w:r w:rsidR="00BA1B6A" w:rsidRPr="00934F4B">
        <w:rPr>
          <w:rFonts w:asciiTheme="majorBidi" w:hAnsiTheme="majorBidi" w:cstheme="majorBidi"/>
          <w:sz w:val="24"/>
          <w:szCs w:val="24"/>
        </w:rPr>
        <w:t xml:space="preserve"> writes: “We shall find many civil disabilities imposed on individuals in consequence of some stain on their moral character or some defect in their social standing; but how far the persons so enumerated are coincident with the list made out by the praetor and developed by the imperial legislation is in most cases a matter of doubt</w:t>
      </w:r>
      <w:r w:rsidR="00C4766D" w:rsidRPr="00934F4B">
        <w:rPr>
          <w:rFonts w:asciiTheme="majorBidi" w:hAnsiTheme="majorBidi" w:cstheme="majorBidi"/>
          <w:sz w:val="24"/>
          <w:szCs w:val="24"/>
        </w:rPr>
        <w:t xml:space="preserve"> </w:t>
      </w:r>
      <w:r w:rsidR="00BA1B6A" w:rsidRPr="00934F4B">
        <w:rPr>
          <w:rFonts w:asciiTheme="majorBidi" w:hAnsiTheme="majorBidi" w:cstheme="majorBidi"/>
          <w:sz w:val="24"/>
          <w:szCs w:val="24"/>
        </w:rPr>
        <w:t xml:space="preserve">[…]. But it is clear that a civic disability, recognized by the State, and resting on moral grounds, is an integral part of the history of Civil </w:t>
      </w:r>
      <w:proofErr w:type="spellStart"/>
      <w:r w:rsidR="00BA1B6A" w:rsidRPr="00934F4B">
        <w:rPr>
          <w:rFonts w:asciiTheme="majorBidi" w:hAnsiTheme="majorBidi" w:cstheme="majorBidi"/>
          <w:sz w:val="24"/>
          <w:szCs w:val="24"/>
        </w:rPr>
        <w:t>Honour</w:t>
      </w:r>
      <w:proofErr w:type="spellEnd"/>
      <w:r w:rsidR="00BA1B6A" w:rsidRPr="00934F4B">
        <w:rPr>
          <w:rFonts w:asciiTheme="majorBidi" w:hAnsiTheme="majorBidi" w:cstheme="majorBidi"/>
          <w:sz w:val="24"/>
          <w:szCs w:val="24"/>
        </w:rPr>
        <w:t xml:space="preserve">, and as such these cases require discussion, whether we believe that, in treating them, we are dealing with the </w:t>
      </w:r>
      <w:proofErr w:type="spellStart"/>
      <w:r w:rsidR="00BA1B6A" w:rsidRPr="00934F4B">
        <w:rPr>
          <w:rFonts w:asciiTheme="majorBidi" w:hAnsiTheme="majorBidi" w:cstheme="majorBidi"/>
          <w:i/>
          <w:iCs/>
          <w:sz w:val="24"/>
          <w:szCs w:val="24"/>
        </w:rPr>
        <w:t>infames</w:t>
      </w:r>
      <w:proofErr w:type="spellEnd"/>
      <w:r w:rsidR="00BA1B6A" w:rsidRPr="00934F4B">
        <w:rPr>
          <w:rFonts w:asciiTheme="majorBidi" w:hAnsiTheme="majorBidi" w:cstheme="majorBidi"/>
          <w:i/>
          <w:iCs/>
          <w:sz w:val="24"/>
          <w:szCs w:val="24"/>
        </w:rPr>
        <w:t xml:space="preserve"> </w:t>
      </w:r>
      <w:r w:rsidR="00BA1B6A" w:rsidRPr="00934F4B">
        <w:rPr>
          <w:rFonts w:asciiTheme="majorBidi" w:hAnsiTheme="majorBidi" w:cstheme="majorBidi"/>
          <w:sz w:val="24"/>
          <w:szCs w:val="24"/>
        </w:rPr>
        <w:t>proper or not”.</w:t>
      </w:r>
      <w:r w:rsidR="00A97F73" w:rsidRPr="00934F4B">
        <w:rPr>
          <w:rStyle w:val="FootnoteReference"/>
          <w:rFonts w:asciiTheme="majorBidi" w:hAnsiTheme="majorBidi" w:cstheme="majorBidi"/>
          <w:sz w:val="24"/>
          <w:szCs w:val="24"/>
        </w:rPr>
        <w:footnoteReference w:id="10"/>
      </w:r>
      <w:r w:rsidR="009C5112" w:rsidRPr="00934F4B">
        <w:rPr>
          <w:rFonts w:asciiTheme="majorBidi" w:hAnsiTheme="majorBidi" w:cstheme="majorBidi"/>
          <w:sz w:val="24"/>
          <w:szCs w:val="24"/>
        </w:rPr>
        <w:t xml:space="preserve"> </w:t>
      </w:r>
      <w:r w:rsidR="003565D6" w:rsidRPr="00934F4B">
        <w:rPr>
          <w:rFonts w:asciiTheme="majorBidi" w:hAnsiTheme="majorBidi" w:cstheme="majorBidi"/>
          <w:sz w:val="24"/>
          <w:szCs w:val="24"/>
        </w:rPr>
        <w:t xml:space="preserve">This is the kind of logic that leads him to determine that </w:t>
      </w:r>
      <w:proofErr w:type="spellStart"/>
      <w:r w:rsidR="003565D6" w:rsidRPr="00934F4B">
        <w:rPr>
          <w:rFonts w:asciiTheme="majorBidi" w:hAnsiTheme="majorBidi" w:cstheme="majorBidi"/>
          <w:i/>
          <w:iCs/>
          <w:sz w:val="24"/>
          <w:szCs w:val="24"/>
        </w:rPr>
        <w:t>infamia</w:t>
      </w:r>
      <w:proofErr w:type="spellEnd"/>
      <w:r w:rsidR="003565D6" w:rsidRPr="00934F4B">
        <w:rPr>
          <w:rFonts w:asciiTheme="majorBidi" w:hAnsiTheme="majorBidi" w:cstheme="majorBidi"/>
          <w:sz w:val="24"/>
          <w:szCs w:val="24"/>
        </w:rPr>
        <w:t xml:space="preserve"> </w:t>
      </w:r>
      <w:r w:rsidR="002D00FD" w:rsidRPr="00934F4B">
        <w:rPr>
          <w:rFonts w:asciiTheme="majorBidi" w:hAnsiTheme="majorBidi" w:cstheme="majorBidi"/>
          <w:sz w:val="24"/>
          <w:szCs w:val="24"/>
        </w:rPr>
        <w:t xml:space="preserve">–or however we choose to name the overall phenomenon of degrading legal status due to moral deficiency - </w:t>
      </w:r>
      <w:r w:rsidR="003565D6" w:rsidRPr="00934F4B">
        <w:rPr>
          <w:rFonts w:asciiTheme="majorBidi" w:hAnsiTheme="majorBidi" w:cstheme="majorBidi"/>
          <w:sz w:val="24"/>
          <w:szCs w:val="24"/>
        </w:rPr>
        <w:t xml:space="preserve">was intrinsically connected with disqualified from court testimony. </w:t>
      </w:r>
    </w:p>
    <w:p w14:paraId="54C3640B" w14:textId="66E1E212" w:rsidR="002D00FD" w:rsidRPr="00934F4B" w:rsidRDefault="002D00FD" w:rsidP="00FE01E9">
      <w:pPr>
        <w:jc w:val="center"/>
        <w:rPr>
          <w:rFonts w:asciiTheme="majorBidi" w:hAnsiTheme="majorBidi" w:cstheme="majorBidi"/>
          <w:sz w:val="24"/>
          <w:szCs w:val="24"/>
        </w:rPr>
      </w:pPr>
      <w:r w:rsidRPr="00934F4B">
        <w:rPr>
          <w:rFonts w:asciiTheme="majorBidi" w:hAnsiTheme="majorBidi" w:cstheme="majorBidi"/>
          <w:sz w:val="24"/>
          <w:szCs w:val="24"/>
        </w:rPr>
        <w:t>***</w:t>
      </w:r>
    </w:p>
    <w:p w14:paraId="797EB3E4" w14:textId="3F1C70C0" w:rsidR="00642671" w:rsidRPr="00934F4B" w:rsidRDefault="009C5112" w:rsidP="00FE01E9">
      <w:pPr>
        <w:jc w:val="both"/>
        <w:rPr>
          <w:rFonts w:asciiTheme="majorBidi" w:hAnsiTheme="majorBidi" w:cstheme="majorBidi"/>
          <w:sz w:val="24"/>
          <w:szCs w:val="24"/>
        </w:rPr>
      </w:pPr>
      <w:r w:rsidRPr="00934F4B">
        <w:rPr>
          <w:rFonts w:asciiTheme="majorBidi" w:hAnsiTheme="majorBidi" w:cstheme="majorBidi"/>
          <w:sz w:val="24"/>
          <w:szCs w:val="24"/>
        </w:rPr>
        <w:t>I</w:t>
      </w:r>
      <w:r w:rsidR="003565D6" w:rsidRPr="00934F4B">
        <w:rPr>
          <w:rFonts w:asciiTheme="majorBidi" w:hAnsiTheme="majorBidi" w:cstheme="majorBidi"/>
          <w:sz w:val="24"/>
          <w:szCs w:val="24"/>
        </w:rPr>
        <w:t xml:space="preserve">t seems that Du-Plessis views this conclusion reached by </w:t>
      </w:r>
      <w:proofErr w:type="spellStart"/>
      <w:r w:rsidR="003565D6" w:rsidRPr="00934F4B">
        <w:rPr>
          <w:rFonts w:asciiTheme="majorBidi" w:hAnsiTheme="majorBidi" w:cstheme="majorBidi"/>
          <w:sz w:val="24"/>
          <w:szCs w:val="24"/>
        </w:rPr>
        <w:t>Greenidg</w:t>
      </w:r>
      <w:r w:rsidR="00A97F73" w:rsidRPr="00934F4B">
        <w:rPr>
          <w:rFonts w:asciiTheme="majorBidi" w:hAnsiTheme="majorBidi" w:cstheme="majorBidi"/>
          <w:sz w:val="24"/>
          <w:szCs w:val="24"/>
        </w:rPr>
        <w:t>e</w:t>
      </w:r>
      <w:proofErr w:type="spellEnd"/>
      <w:r w:rsidR="003565D6" w:rsidRPr="00934F4B">
        <w:rPr>
          <w:rFonts w:asciiTheme="majorBidi" w:hAnsiTheme="majorBidi" w:cstheme="majorBidi"/>
          <w:sz w:val="24"/>
          <w:szCs w:val="24"/>
        </w:rPr>
        <w:t xml:space="preserve"> and others as mistaken, based on the following general statement </w:t>
      </w:r>
      <w:r w:rsidR="00642671" w:rsidRPr="00934F4B">
        <w:rPr>
          <w:rFonts w:asciiTheme="majorBidi" w:hAnsiTheme="majorBidi" w:cstheme="majorBidi"/>
          <w:sz w:val="24"/>
          <w:szCs w:val="24"/>
        </w:rPr>
        <w:t>by</w:t>
      </w:r>
      <w:r w:rsidR="003565D6" w:rsidRPr="00934F4B">
        <w:rPr>
          <w:rFonts w:asciiTheme="majorBidi" w:hAnsiTheme="majorBidi" w:cstheme="majorBidi"/>
          <w:sz w:val="24"/>
          <w:szCs w:val="24"/>
        </w:rPr>
        <w:t xml:space="preserve"> the</w:t>
      </w:r>
      <w:r w:rsidR="00642671" w:rsidRPr="00934F4B">
        <w:rPr>
          <w:rFonts w:asciiTheme="majorBidi" w:hAnsiTheme="majorBidi" w:cstheme="majorBidi"/>
          <w:sz w:val="24"/>
          <w:szCs w:val="24"/>
        </w:rPr>
        <w:t xml:space="preserve"> 3ed century Jurist</w:t>
      </w:r>
      <w:r w:rsidR="003565D6" w:rsidRPr="00934F4B">
        <w:rPr>
          <w:rFonts w:asciiTheme="majorBidi" w:hAnsiTheme="majorBidi" w:cstheme="majorBidi"/>
          <w:sz w:val="24"/>
          <w:szCs w:val="24"/>
        </w:rPr>
        <w:t xml:space="preserve">, </w:t>
      </w:r>
      <w:proofErr w:type="spellStart"/>
      <w:r w:rsidR="003565D6" w:rsidRPr="00934F4B">
        <w:rPr>
          <w:rFonts w:asciiTheme="majorBidi" w:hAnsiTheme="majorBidi" w:cstheme="majorBidi"/>
          <w:sz w:val="24"/>
          <w:szCs w:val="24"/>
        </w:rPr>
        <w:t>Modestinus</w:t>
      </w:r>
      <w:proofErr w:type="spellEnd"/>
      <w:r w:rsidR="00642671" w:rsidRPr="00934F4B">
        <w:rPr>
          <w:rFonts w:asciiTheme="majorBidi" w:hAnsiTheme="majorBidi" w:cstheme="majorBidi"/>
          <w:sz w:val="24"/>
          <w:szCs w:val="24"/>
        </w:rPr>
        <w:t xml:space="preserve">: </w:t>
      </w:r>
    </w:p>
    <w:p w14:paraId="117B3CD8" w14:textId="78DAF282" w:rsidR="00642671" w:rsidRPr="00934F4B" w:rsidRDefault="00642671" w:rsidP="00FE01E9">
      <w:pPr>
        <w:autoSpaceDE w:val="0"/>
        <w:autoSpaceDN w:val="0"/>
        <w:adjustRightInd w:val="0"/>
        <w:spacing w:after="0" w:line="240" w:lineRule="auto"/>
        <w:ind w:left="720"/>
        <w:jc w:val="both"/>
        <w:rPr>
          <w:rFonts w:asciiTheme="majorBidi" w:hAnsiTheme="majorBidi" w:cstheme="majorBidi"/>
          <w:sz w:val="24"/>
          <w:szCs w:val="24"/>
          <w:rtl/>
        </w:rPr>
      </w:pPr>
      <w:r w:rsidRPr="00934F4B">
        <w:rPr>
          <w:rFonts w:asciiTheme="majorBidi" w:hAnsiTheme="majorBidi" w:cstheme="majorBidi"/>
          <w:sz w:val="24"/>
          <w:szCs w:val="24"/>
        </w:rPr>
        <w:t>The value of testimony depends on the dignity, faith, morals, and gravity of witnesses. Hence, those who depart from their previous evidence are not to be listened to</w:t>
      </w:r>
      <w:r w:rsidR="003565D6" w:rsidRPr="00934F4B">
        <w:rPr>
          <w:rFonts w:asciiTheme="majorBidi" w:hAnsiTheme="majorBidi" w:cstheme="majorBidi"/>
          <w:sz w:val="24"/>
          <w:szCs w:val="24"/>
        </w:rPr>
        <w:t xml:space="preserve"> (D.22.5.2)</w:t>
      </w:r>
      <w:r w:rsidRPr="00934F4B">
        <w:rPr>
          <w:rFonts w:asciiTheme="majorBidi" w:hAnsiTheme="majorBidi" w:cstheme="majorBidi"/>
          <w:sz w:val="24"/>
          <w:szCs w:val="24"/>
        </w:rPr>
        <w:t>.</w:t>
      </w:r>
    </w:p>
    <w:p w14:paraId="4613B25C" w14:textId="77777777" w:rsidR="0019399B" w:rsidRPr="00934F4B" w:rsidRDefault="0019399B" w:rsidP="00FE01E9">
      <w:pPr>
        <w:autoSpaceDE w:val="0"/>
        <w:autoSpaceDN w:val="0"/>
        <w:adjustRightInd w:val="0"/>
        <w:spacing w:after="0" w:line="240" w:lineRule="auto"/>
        <w:ind w:left="720"/>
        <w:jc w:val="both"/>
        <w:rPr>
          <w:rFonts w:asciiTheme="majorBidi" w:hAnsiTheme="majorBidi" w:cstheme="majorBidi"/>
          <w:sz w:val="24"/>
          <w:szCs w:val="24"/>
        </w:rPr>
      </w:pPr>
    </w:p>
    <w:p w14:paraId="4222C0CB" w14:textId="222AF78C" w:rsidR="00642671" w:rsidRPr="00934F4B" w:rsidRDefault="00642671" w:rsidP="004C55FC">
      <w:pPr>
        <w:jc w:val="both"/>
        <w:rPr>
          <w:rFonts w:asciiTheme="majorBidi" w:hAnsiTheme="majorBidi" w:cstheme="majorBidi"/>
          <w:sz w:val="24"/>
          <w:szCs w:val="24"/>
        </w:rPr>
      </w:pPr>
      <w:r w:rsidRPr="00934F4B">
        <w:rPr>
          <w:rFonts w:asciiTheme="majorBidi" w:hAnsiTheme="majorBidi" w:cstheme="majorBidi"/>
          <w:sz w:val="24"/>
          <w:szCs w:val="24"/>
        </w:rPr>
        <w:t xml:space="preserve">This </w:t>
      </w:r>
      <w:r w:rsidR="00EF7904" w:rsidRPr="00934F4B">
        <w:rPr>
          <w:rFonts w:asciiTheme="majorBidi" w:hAnsiTheme="majorBidi" w:cstheme="majorBidi"/>
          <w:sz w:val="24"/>
          <w:szCs w:val="24"/>
        </w:rPr>
        <w:t>quote</w:t>
      </w:r>
      <w:r w:rsidRPr="00934F4B">
        <w:rPr>
          <w:rFonts w:asciiTheme="majorBidi" w:hAnsiTheme="majorBidi" w:cstheme="majorBidi"/>
          <w:sz w:val="24"/>
          <w:szCs w:val="24"/>
        </w:rPr>
        <w:t xml:space="preserve"> is </w:t>
      </w:r>
      <w:r w:rsidR="0019399B" w:rsidRPr="00934F4B">
        <w:rPr>
          <w:rFonts w:asciiTheme="majorBidi" w:hAnsiTheme="majorBidi" w:cstheme="majorBidi"/>
          <w:sz w:val="24"/>
          <w:szCs w:val="24"/>
        </w:rPr>
        <w:t xml:space="preserve">taken </w:t>
      </w:r>
      <w:r w:rsidR="003565D6" w:rsidRPr="00934F4B">
        <w:rPr>
          <w:rFonts w:asciiTheme="majorBidi" w:hAnsiTheme="majorBidi" w:cstheme="majorBidi"/>
          <w:sz w:val="24"/>
          <w:szCs w:val="24"/>
        </w:rPr>
        <w:t xml:space="preserve">by Du-Plessis </w:t>
      </w:r>
      <w:r w:rsidR="0019399B" w:rsidRPr="00934F4B">
        <w:rPr>
          <w:rFonts w:asciiTheme="majorBidi" w:hAnsiTheme="majorBidi" w:cstheme="majorBidi"/>
          <w:sz w:val="24"/>
          <w:szCs w:val="24"/>
        </w:rPr>
        <w:t xml:space="preserve">to indicate </w:t>
      </w:r>
      <w:r w:rsidRPr="00934F4B">
        <w:rPr>
          <w:rFonts w:asciiTheme="majorBidi" w:hAnsiTheme="majorBidi" w:cstheme="majorBidi"/>
          <w:sz w:val="24"/>
          <w:szCs w:val="24"/>
        </w:rPr>
        <w:t xml:space="preserve">that Roman law knew no rules of inadmissibility, or </w:t>
      </w:r>
      <w:r w:rsidR="004C55FC" w:rsidRPr="00934F4B">
        <w:rPr>
          <w:rFonts w:asciiTheme="majorBidi" w:hAnsiTheme="majorBidi" w:cstheme="majorBidi"/>
          <w:sz w:val="24"/>
          <w:szCs w:val="24"/>
        </w:rPr>
        <w:t>“</w:t>
      </w:r>
      <w:r w:rsidRPr="00934F4B">
        <w:rPr>
          <w:rFonts w:asciiTheme="majorBidi" w:hAnsiTheme="majorBidi" w:cstheme="majorBidi"/>
          <w:sz w:val="24"/>
          <w:szCs w:val="24"/>
        </w:rPr>
        <w:t>blanket exclusion</w:t>
      </w:r>
      <w:r w:rsidR="004C55FC" w:rsidRPr="00934F4B">
        <w:rPr>
          <w:rFonts w:asciiTheme="majorBidi" w:hAnsiTheme="majorBidi" w:cstheme="majorBidi"/>
          <w:sz w:val="24"/>
          <w:szCs w:val="24"/>
        </w:rPr>
        <w:t>”</w:t>
      </w:r>
      <w:r w:rsidRPr="00934F4B">
        <w:rPr>
          <w:rFonts w:asciiTheme="majorBidi" w:hAnsiTheme="majorBidi" w:cstheme="majorBidi"/>
          <w:sz w:val="24"/>
          <w:szCs w:val="24"/>
        </w:rPr>
        <w:t>, as Du -Plessis calls it, of</w:t>
      </w:r>
      <w:r w:rsidR="00390D67" w:rsidRPr="00934F4B">
        <w:rPr>
          <w:rFonts w:asciiTheme="majorBidi" w:hAnsiTheme="majorBidi" w:cstheme="majorBidi"/>
          <w:sz w:val="24"/>
          <w:szCs w:val="24"/>
        </w:rPr>
        <w:t xml:space="preserve"> </w:t>
      </w:r>
      <w:proofErr w:type="spellStart"/>
      <w:r w:rsidR="00390D67" w:rsidRPr="00934F4B">
        <w:rPr>
          <w:rFonts w:asciiTheme="majorBidi" w:hAnsiTheme="majorBidi" w:cstheme="majorBidi"/>
          <w:i/>
          <w:iCs/>
          <w:sz w:val="24"/>
          <w:szCs w:val="24"/>
        </w:rPr>
        <w:t>infames</w:t>
      </w:r>
      <w:proofErr w:type="spellEnd"/>
      <w:r w:rsidR="00390D67" w:rsidRPr="00934F4B">
        <w:rPr>
          <w:rFonts w:asciiTheme="majorBidi" w:hAnsiTheme="majorBidi" w:cstheme="majorBidi"/>
          <w:i/>
          <w:iCs/>
          <w:sz w:val="24"/>
          <w:szCs w:val="24"/>
        </w:rPr>
        <w:t>’</w:t>
      </w:r>
      <w:r w:rsidRPr="00934F4B">
        <w:rPr>
          <w:rFonts w:asciiTheme="majorBidi" w:hAnsiTheme="majorBidi" w:cstheme="majorBidi"/>
          <w:sz w:val="24"/>
          <w:szCs w:val="24"/>
        </w:rPr>
        <w:t xml:space="preserve"> testimony. </w:t>
      </w:r>
      <w:r w:rsidR="0019399B" w:rsidRPr="00934F4B">
        <w:rPr>
          <w:rFonts w:asciiTheme="majorBidi" w:hAnsiTheme="majorBidi" w:cstheme="majorBidi"/>
          <w:sz w:val="24"/>
          <w:szCs w:val="24"/>
        </w:rPr>
        <w:t xml:space="preserve">Whether or not this is the correct </w:t>
      </w:r>
      <w:r w:rsidR="00A5459B" w:rsidRPr="00934F4B">
        <w:rPr>
          <w:rFonts w:asciiTheme="majorBidi" w:hAnsiTheme="majorBidi" w:cstheme="majorBidi"/>
          <w:sz w:val="24"/>
          <w:szCs w:val="24"/>
        </w:rPr>
        <w:t>understanding</w:t>
      </w:r>
      <w:r w:rsidR="00390D67" w:rsidRPr="00934F4B">
        <w:rPr>
          <w:rFonts w:asciiTheme="majorBidi" w:hAnsiTheme="majorBidi" w:cstheme="majorBidi"/>
          <w:sz w:val="24"/>
          <w:szCs w:val="24"/>
        </w:rPr>
        <w:t xml:space="preserve"> of this not</w:t>
      </w:r>
      <w:r w:rsidR="00A5459B" w:rsidRPr="00934F4B">
        <w:rPr>
          <w:rFonts w:asciiTheme="majorBidi" w:hAnsiTheme="majorBidi" w:cstheme="majorBidi"/>
          <w:sz w:val="24"/>
          <w:szCs w:val="24"/>
        </w:rPr>
        <w:t>e</w:t>
      </w:r>
      <w:r w:rsidR="00390D67" w:rsidRPr="00934F4B">
        <w:rPr>
          <w:rFonts w:asciiTheme="majorBidi" w:hAnsiTheme="majorBidi" w:cstheme="majorBidi"/>
          <w:sz w:val="24"/>
          <w:szCs w:val="24"/>
        </w:rPr>
        <w:t xml:space="preserve"> by </w:t>
      </w:r>
      <w:proofErr w:type="spellStart"/>
      <w:r w:rsidR="00390D67" w:rsidRPr="00934F4B">
        <w:rPr>
          <w:rFonts w:asciiTheme="majorBidi" w:hAnsiTheme="majorBidi" w:cstheme="majorBidi"/>
          <w:sz w:val="24"/>
          <w:szCs w:val="24"/>
        </w:rPr>
        <w:t>Modestinus</w:t>
      </w:r>
      <w:proofErr w:type="spellEnd"/>
      <w:r w:rsidR="00390D67" w:rsidRPr="00934F4B">
        <w:rPr>
          <w:rFonts w:asciiTheme="majorBidi" w:hAnsiTheme="majorBidi" w:cstheme="majorBidi"/>
          <w:sz w:val="24"/>
          <w:szCs w:val="24"/>
        </w:rPr>
        <w:t xml:space="preserve"> </w:t>
      </w:r>
      <w:r w:rsidR="0019399B" w:rsidRPr="00934F4B">
        <w:rPr>
          <w:rFonts w:asciiTheme="majorBidi" w:hAnsiTheme="majorBidi" w:cstheme="majorBidi"/>
          <w:sz w:val="24"/>
          <w:szCs w:val="24"/>
        </w:rPr>
        <w:t xml:space="preserve">might be questionable </w:t>
      </w:r>
      <w:r w:rsidRPr="00934F4B">
        <w:rPr>
          <w:rFonts w:asciiTheme="majorBidi" w:hAnsiTheme="majorBidi" w:cstheme="majorBidi"/>
          <w:sz w:val="24"/>
          <w:szCs w:val="24"/>
        </w:rPr>
        <w:t>(</w:t>
      </w:r>
      <w:r w:rsidR="00A5459B" w:rsidRPr="00934F4B">
        <w:rPr>
          <w:rFonts w:asciiTheme="majorBidi" w:hAnsiTheme="majorBidi" w:cstheme="majorBidi"/>
          <w:sz w:val="24"/>
          <w:szCs w:val="24"/>
        </w:rPr>
        <w:t>i</w:t>
      </w:r>
      <w:r w:rsidR="006F2E2A" w:rsidRPr="00934F4B">
        <w:rPr>
          <w:rFonts w:asciiTheme="majorBidi" w:hAnsiTheme="majorBidi" w:cstheme="majorBidi"/>
          <w:sz w:val="24"/>
          <w:szCs w:val="24"/>
        </w:rPr>
        <w:t>s it possible that in his</w:t>
      </w:r>
      <w:r w:rsidR="00A5459B" w:rsidRPr="00934F4B">
        <w:rPr>
          <w:rFonts w:asciiTheme="majorBidi" w:hAnsiTheme="majorBidi" w:cstheme="majorBidi"/>
          <w:sz w:val="24"/>
          <w:szCs w:val="24"/>
        </w:rPr>
        <w:t xml:space="preserve"> opening</w:t>
      </w:r>
      <w:r w:rsidR="006F2E2A" w:rsidRPr="00934F4B">
        <w:rPr>
          <w:rFonts w:asciiTheme="majorBidi" w:hAnsiTheme="majorBidi" w:cstheme="majorBidi"/>
          <w:sz w:val="24"/>
          <w:szCs w:val="24"/>
        </w:rPr>
        <w:t xml:space="preserve"> statement</w:t>
      </w:r>
      <w:r w:rsidR="00A5459B" w:rsidRPr="00934F4B">
        <w:rPr>
          <w:rFonts w:asciiTheme="majorBidi" w:hAnsiTheme="majorBidi" w:cstheme="majorBidi"/>
          <w:sz w:val="24"/>
          <w:szCs w:val="24"/>
        </w:rPr>
        <w:t>,</w:t>
      </w:r>
      <w:r w:rsidR="0019399B" w:rsidRPr="00934F4B">
        <w:rPr>
          <w:rFonts w:asciiTheme="majorBidi" w:hAnsiTheme="majorBidi" w:cstheme="majorBidi"/>
          <w:sz w:val="24"/>
          <w:szCs w:val="24"/>
        </w:rPr>
        <w:t xml:space="preserve"> regarding the considerations that should </w:t>
      </w:r>
      <w:r w:rsidR="00A5459B" w:rsidRPr="00934F4B">
        <w:rPr>
          <w:rFonts w:asciiTheme="majorBidi" w:hAnsiTheme="majorBidi" w:cstheme="majorBidi"/>
          <w:sz w:val="24"/>
          <w:szCs w:val="24"/>
        </w:rPr>
        <w:t xml:space="preserve">be </w:t>
      </w:r>
      <w:r w:rsidR="0019399B" w:rsidRPr="00934F4B">
        <w:rPr>
          <w:rFonts w:asciiTheme="majorBidi" w:hAnsiTheme="majorBidi" w:cstheme="majorBidi"/>
          <w:sz w:val="24"/>
          <w:szCs w:val="24"/>
        </w:rPr>
        <w:t>take</w:t>
      </w:r>
      <w:r w:rsidR="00A5459B" w:rsidRPr="00934F4B">
        <w:rPr>
          <w:rFonts w:asciiTheme="majorBidi" w:hAnsiTheme="majorBidi" w:cstheme="majorBidi"/>
          <w:sz w:val="24"/>
          <w:szCs w:val="24"/>
        </w:rPr>
        <w:t>n</w:t>
      </w:r>
      <w:r w:rsidR="0019399B" w:rsidRPr="00934F4B">
        <w:rPr>
          <w:rFonts w:asciiTheme="majorBidi" w:hAnsiTheme="majorBidi" w:cstheme="majorBidi"/>
          <w:sz w:val="24"/>
          <w:szCs w:val="24"/>
        </w:rPr>
        <w:t xml:space="preserve"> into account when evaluating testimony</w:t>
      </w:r>
      <w:r w:rsidR="006F2E2A" w:rsidRPr="00934F4B">
        <w:rPr>
          <w:rFonts w:asciiTheme="majorBidi" w:hAnsiTheme="majorBidi" w:cstheme="majorBidi"/>
          <w:sz w:val="24"/>
          <w:szCs w:val="24"/>
        </w:rPr>
        <w:t xml:space="preserve">,  </w:t>
      </w:r>
      <w:proofErr w:type="spellStart"/>
      <w:r w:rsidR="00390D67" w:rsidRPr="00934F4B">
        <w:rPr>
          <w:rFonts w:asciiTheme="majorBidi" w:hAnsiTheme="majorBidi" w:cstheme="majorBidi"/>
          <w:sz w:val="24"/>
          <w:szCs w:val="24"/>
        </w:rPr>
        <w:t>M</w:t>
      </w:r>
      <w:r w:rsidR="006F2E2A" w:rsidRPr="00934F4B">
        <w:rPr>
          <w:rFonts w:asciiTheme="majorBidi" w:hAnsiTheme="majorBidi" w:cstheme="majorBidi"/>
          <w:sz w:val="24"/>
          <w:szCs w:val="24"/>
        </w:rPr>
        <w:t>odestinus</w:t>
      </w:r>
      <w:proofErr w:type="spellEnd"/>
      <w:r w:rsidR="006F2E2A" w:rsidRPr="00934F4B">
        <w:rPr>
          <w:rFonts w:asciiTheme="majorBidi" w:hAnsiTheme="majorBidi" w:cstheme="majorBidi"/>
          <w:sz w:val="24"/>
          <w:szCs w:val="24"/>
        </w:rPr>
        <w:t xml:space="preserve"> only </w:t>
      </w:r>
      <w:r w:rsidR="00A5459B" w:rsidRPr="00934F4B">
        <w:rPr>
          <w:rFonts w:asciiTheme="majorBidi" w:hAnsiTheme="majorBidi" w:cstheme="majorBidi"/>
          <w:sz w:val="24"/>
          <w:szCs w:val="24"/>
        </w:rPr>
        <w:t xml:space="preserve">means to introduce </w:t>
      </w:r>
      <w:r w:rsidR="00390D67" w:rsidRPr="00934F4B">
        <w:rPr>
          <w:rFonts w:asciiTheme="majorBidi" w:hAnsiTheme="majorBidi" w:cstheme="majorBidi"/>
          <w:sz w:val="24"/>
          <w:szCs w:val="24"/>
        </w:rPr>
        <w:t xml:space="preserve">the </w:t>
      </w:r>
      <w:r w:rsidR="00A5459B" w:rsidRPr="00934F4B">
        <w:rPr>
          <w:rFonts w:asciiTheme="majorBidi" w:hAnsiTheme="majorBidi" w:cstheme="majorBidi"/>
          <w:sz w:val="24"/>
          <w:szCs w:val="24"/>
        </w:rPr>
        <w:t xml:space="preserve">background for the </w:t>
      </w:r>
      <w:r w:rsidR="00390D67" w:rsidRPr="00934F4B">
        <w:rPr>
          <w:rFonts w:asciiTheme="majorBidi" w:hAnsiTheme="majorBidi" w:cstheme="majorBidi"/>
          <w:sz w:val="24"/>
          <w:szCs w:val="24"/>
        </w:rPr>
        <w:t xml:space="preserve">closing conclusion, i.e., that that one who departs from a previous version is not to be listened to, </w:t>
      </w:r>
      <w:r w:rsidR="006F2E2A" w:rsidRPr="00934F4B">
        <w:rPr>
          <w:rFonts w:asciiTheme="majorBidi" w:hAnsiTheme="majorBidi" w:cstheme="majorBidi"/>
          <w:sz w:val="24"/>
          <w:szCs w:val="24"/>
        </w:rPr>
        <w:t>with  no intention of making any general claims regarding inadmissibility rules?</w:t>
      </w:r>
      <w:r w:rsidR="00390D67" w:rsidRPr="00934F4B">
        <w:rPr>
          <w:rFonts w:asciiTheme="majorBidi" w:hAnsiTheme="majorBidi" w:cstheme="majorBidi"/>
          <w:sz w:val="24"/>
          <w:szCs w:val="24"/>
        </w:rPr>
        <w:t xml:space="preserve"> The phrasing of this quote might suggest that</w:t>
      </w:r>
      <w:r w:rsidR="006F2E2A" w:rsidRPr="00934F4B">
        <w:rPr>
          <w:rFonts w:asciiTheme="majorBidi" w:hAnsiTheme="majorBidi" w:cstheme="majorBidi"/>
          <w:sz w:val="24"/>
          <w:szCs w:val="24"/>
        </w:rPr>
        <w:t>)</w:t>
      </w:r>
      <w:r w:rsidR="00390D67" w:rsidRPr="00934F4B">
        <w:rPr>
          <w:rFonts w:asciiTheme="majorBidi" w:hAnsiTheme="majorBidi" w:cstheme="majorBidi"/>
          <w:sz w:val="24"/>
          <w:szCs w:val="24"/>
        </w:rPr>
        <w:t>.</w:t>
      </w:r>
      <w:r w:rsidR="006F2E2A" w:rsidRPr="00934F4B">
        <w:rPr>
          <w:rFonts w:asciiTheme="majorBidi" w:hAnsiTheme="majorBidi" w:cstheme="majorBidi"/>
          <w:sz w:val="24"/>
          <w:szCs w:val="24"/>
        </w:rPr>
        <w:t xml:space="preserve"> </w:t>
      </w:r>
      <w:r w:rsidR="00390D67" w:rsidRPr="00934F4B">
        <w:rPr>
          <w:rFonts w:asciiTheme="majorBidi" w:hAnsiTheme="majorBidi" w:cstheme="majorBidi"/>
          <w:sz w:val="24"/>
          <w:szCs w:val="24"/>
        </w:rPr>
        <w:t>B</w:t>
      </w:r>
      <w:r w:rsidR="0019399B" w:rsidRPr="00934F4B">
        <w:rPr>
          <w:rFonts w:asciiTheme="majorBidi" w:hAnsiTheme="majorBidi" w:cstheme="majorBidi"/>
          <w:sz w:val="24"/>
          <w:szCs w:val="24"/>
        </w:rPr>
        <w:t xml:space="preserve">ut even if we accept it as a valid reading, </w:t>
      </w:r>
      <w:r w:rsidR="006F2E2A" w:rsidRPr="00934F4B">
        <w:rPr>
          <w:rFonts w:asciiTheme="majorBidi" w:hAnsiTheme="majorBidi" w:cstheme="majorBidi"/>
          <w:sz w:val="24"/>
          <w:szCs w:val="24"/>
        </w:rPr>
        <w:t xml:space="preserve">what we are left with is a presumed contradiction between this </w:t>
      </w:r>
      <w:r w:rsidR="00EF7904" w:rsidRPr="00934F4B">
        <w:rPr>
          <w:rFonts w:asciiTheme="majorBidi" w:hAnsiTheme="majorBidi" w:cstheme="majorBidi"/>
          <w:sz w:val="24"/>
          <w:szCs w:val="24"/>
        </w:rPr>
        <w:t>statement by</w:t>
      </w:r>
      <w:r w:rsidR="006F2E2A" w:rsidRPr="00934F4B">
        <w:rPr>
          <w:rFonts w:asciiTheme="majorBidi" w:hAnsiTheme="majorBidi" w:cstheme="majorBidi"/>
          <w:sz w:val="24"/>
          <w:szCs w:val="24"/>
        </w:rPr>
        <w:t xml:space="preserve"> </w:t>
      </w:r>
      <w:proofErr w:type="spellStart"/>
      <w:r w:rsidR="00390D67" w:rsidRPr="00934F4B">
        <w:rPr>
          <w:rFonts w:asciiTheme="majorBidi" w:hAnsiTheme="majorBidi" w:cstheme="majorBidi"/>
          <w:sz w:val="24"/>
          <w:szCs w:val="24"/>
        </w:rPr>
        <w:t>M</w:t>
      </w:r>
      <w:r w:rsidR="006F2E2A" w:rsidRPr="00934F4B">
        <w:rPr>
          <w:rFonts w:asciiTheme="majorBidi" w:hAnsiTheme="majorBidi" w:cstheme="majorBidi"/>
          <w:sz w:val="24"/>
          <w:szCs w:val="24"/>
        </w:rPr>
        <w:t>odestinus</w:t>
      </w:r>
      <w:proofErr w:type="spellEnd"/>
      <w:r w:rsidR="006F2E2A" w:rsidRPr="00934F4B">
        <w:rPr>
          <w:rFonts w:asciiTheme="majorBidi" w:hAnsiTheme="majorBidi" w:cstheme="majorBidi"/>
          <w:sz w:val="24"/>
          <w:szCs w:val="24"/>
        </w:rPr>
        <w:t xml:space="preserve"> and other indication</w:t>
      </w:r>
      <w:r w:rsidR="00EF7904" w:rsidRPr="00934F4B">
        <w:rPr>
          <w:rFonts w:asciiTheme="majorBidi" w:hAnsiTheme="majorBidi" w:cstheme="majorBidi"/>
          <w:sz w:val="24"/>
          <w:szCs w:val="24"/>
        </w:rPr>
        <w:t>s</w:t>
      </w:r>
      <w:r w:rsidR="006F2E2A" w:rsidRPr="00934F4B">
        <w:rPr>
          <w:rFonts w:asciiTheme="majorBidi" w:hAnsiTheme="majorBidi" w:cstheme="majorBidi"/>
          <w:sz w:val="24"/>
          <w:szCs w:val="24"/>
        </w:rPr>
        <w:t xml:space="preserve"> for </w:t>
      </w:r>
      <w:r w:rsidR="00EF7904" w:rsidRPr="00934F4B">
        <w:rPr>
          <w:rFonts w:asciiTheme="majorBidi" w:hAnsiTheme="majorBidi" w:cstheme="majorBidi"/>
          <w:sz w:val="24"/>
          <w:szCs w:val="24"/>
        </w:rPr>
        <w:t xml:space="preserve">an a- priori </w:t>
      </w:r>
      <w:r w:rsidR="006F2E2A" w:rsidRPr="00934F4B">
        <w:rPr>
          <w:rFonts w:asciiTheme="majorBidi" w:hAnsiTheme="majorBidi" w:cstheme="majorBidi"/>
          <w:sz w:val="24"/>
          <w:szCs w:val="24"/>
        </w:rPr>
        <w:t>disqualification for testimony of certain people</w:t>
      </w:r>
      <w:r w:rsidR="003151DF" w:rsidRPr="00934F4B">
        <w:rPr>
          <w:rFonts w:asciiTheme="majorBidi" w:hAnsiTheme="majorBidi" w:cstheme="majorBidi"/>
          <w:sz w:val="24"/>
          <w:szCs w:val="24"/>
        </w:rPr>
        <w:t xml:space="preserve"> (whether due to </w:t>
      </w:r>
      <w:proofErr w:type="spellStart"/>
      <w:r w:rsidR="003151DF" w:rsidRPr="00934F4B">
        <w:rPr>
          <w:rFonts w:asciiTheme="majorBidi" w:hAnsiTheme="majorBidi" w:cstheme="majorBidi"/>
          <w:i/>
          <w:iCs/>
          <w:sz w:val="24"/>
          <w:szCs w:val="24"/>
        </w:rPr>
        <w:t>infamia</w:t>
      </w:r>
      <w:proofErr w:type="spellEnd"/>
      <w:r w:rsidR="003151DF" w:rsidRPr="00934F4B">
        <w:rPr>
          <w:rFonts w:asciiTheme="majorBidi" w:hAnsiTheme="majorBidi" w:cstheme="majorBidi"/>
          <w:sz w:val="24"/>
          <w:szCs w:val="24"/>
        </w:rPr>
        <w:t xml:space="preserve"> or not)</w:t>
      </w:r>
      <w:r w:rsidR="0019399B" w:rsidRPr="00934F4B">
        <w:rPr>
          <w:rFonts w:asciiTheme="majorBidi" w:hAnsiTheme="majorBidi" w:cstheme="majorBidi"/>
          <w:sz w:val="24"/>
          <w:szCs w:val="24"/>
        </w:rPr>
        <w:t xml:space="preserve">, mentioned by </w:t>
      </w:r>
      <w:proofErr w:type="spellStart"/>
      <w:r w:rsidR="00390D67" w:rsidRPr="00934F4B">
        <w:rPr>
          <w:rFonts w:asciiTheme="majorBidi" w:hAnsiTheme="majorBidi" w:cstheme="majorBidi"/>
          <w:sz w:val="24"/>
          <w:szCs w:val="24"/>
        </w:rPr>
        <w:lastRenderedPageBreak/>
        <w:t>Callistratus</w:t>
      </w:r>
      <w:proofErr w:type="spellEnd"/>
      <w:r w:rsidR="00390D67" w:rsidRPr="00934F4B">
        <w:rPr>
          <w:rFonts w:asciiTheme="majorBidi" w:hAnsiTheme="majorBidi" w:cstheme="majorBidi"/>
          <w:sz w:val="24"/>
          <w:szCs w:val="24"/>
        </w:rPr>
        <w:t xml:space="preserve"> </w:t>
      </w:r>
      <w:r w:rsidR="00EF7904" w:rsidRPr="00934F4B">
        <w:rPr>
          <w:rFonts w:asciiTheme="majorBidi" w:hAnsiTheme="majorBidi" w:cstheme="majorBidi"/>
          <w:sz w:val="24"/>
          <w:szCs w:val="24"/>
        </w:rPr>
        <w:t xml:space="preserve"> (D.22.5.3.5)</w:t>
      </w:r>
      <w:r w:rsidR="00390D67" w:rsidRPr="00934F4B">
        <w:rPr>
          <w:rFonts w:asciiTheme="majorBidi" w:hAnsiTheme="majorBidi" w:cstheme="majorBidi"/>
          <w:sz w:val="24"/>
          <w:szCs w:val="24"/>
        </w:rPr>
        <w:t>,</w:t>
      </w:r>
      <w:r w:rsidR="00820D71" w:rsidRPr="00934F4B">
        <w:rPr>
          <w:rStyle w:val="FootnoteReference"/>
          <w:rFonts w:asciiTheme="majorBidi" w:hAnsiTheme="majorBidi" w:cstheme="majorBidi"/>
          <w:sz w:val="24"/>
          <w:szCs w:val="24"/>
        </w:rPr>
        <w:footnoteReference w:id="11"/>
      </w:r>
      <w:r w:rsidR="00390D67" w:rsidRPr="00934F4B">
        <w:rPr>
          <w:rFonts w:asciiTheme="majorBidi" w:hAnsiTheme="majorBidi" w:cstheme="majorBidi"/>
          <w:sz w:val="24"/>
          <w:szCs w:val="24"/>
        </w:rPr>
        <w:t xml:space="preserve"> </w:t>
      </w:r>
      <w:r w:rsidR="00EF7904" w:rsidRPr="00934F4B">
        <w:rPr>
          <w:rFonts w:asciiTheme="majorBidi" w:hAnsiTheme="majorBidi" w:cstheme="majorBidi"/>
          <w:sz w:val="24"/>
          <w:szCs w:val="24"/>
        </w:rPr>
        <w:t>Paul (D.22.5.15),</w:t>
      </w:r>
      <w:r w:rsidR="00820D71" w:rsidRPr="00934F4B">
        <w:rPr>
          <w:rStyle w:val="FootnoteReference"/>
          <w:rFonts w:asciiTheme="majorBidi" w:hAnsiTheme="majorBidi" w:cstheme="majorBidi"/>
          <w:sz w:val="24"/>
          <w:szCs w:val="24"/>
        </w:rPr>
        <w:footnoteReference w:id="12"/>
      </w:r>
      <w:r w:rsidR="00EF7904" w:rsidRPr="00934F4B">
        <w:rPr>
          <w:rFonts w:asciiTheme="majorBidi" w:hAnsiTheme="majorBidi" w:cstheme="majorBidi"/>
          <w:sz w:val="24"/>
          <w:szCs w:val="24"/>
        </w:rPr>
        <w:t xml:space="preserve"> </w:t>
      </w:r>
      <w:proofErr w:type="spellStart"/>
      <w:r w:rsidR="00EF7904" w:rsidRPr="00934F4B">
        <w:rPr>
          <w:rFonts w:asciiTheme="majorBidi" w:hAnsiTheme="majorBidi" w:cstheme="majorBidi"/>
          <w:sz w:val="24"/>
          <w:szCs w:val="24"/>
        </w:rPr>
        <w:t>Papian</w:t>
      </w:r>
      <w:proofErr w:type="spellEnd"/>
      <w:r w:rsidR="00EF7904" w:rsidRPr="00934F4B">
        <w:rPr>
          <w:rFonts w:asciiTheme="majorBidi" w:hAnsiTheme="majorBidi" w:cstheme="majorBidi"/>
          <w:sz w:val="24"/>
          <w:szCs w:val="24"/>
        </w:rPr>
        <w:t xml:space="preserve"> (D. </w:t>
      </w:r>
      <w:r w:rsidR="005B6CE5" w:rsidRPr="00934F4B">
        <w:rPr>
          <w:rFonts w:asciiTheme="majorBidi" w:hAnsiTheme="majorBidi" w:cstheme="majorBidi"/>
          <w:sz w:val="24"/>
          <w:szCs w:val="24"/>
        </w:rPr>
        <w:t>22.5.14</w:t>
      </w:r>
      <w:r w:rsidR="00EF7904" w:rsidRPr="00934F4B">
        <w:rPr>
          <w:rFonts w:asciiTheme="majorBidi" w:hAnsiTheme="majorBidi" w:cstheme="majorBidi"/>
          <w:sz w:val="24"/>
          <w:szCs w:val="24"/>
        </w:rPr>
        <w:t>)</w:t>
      </w:r>
      <w:r w:rsidR="00820D71" w:rsidRPr="00934F4B">
        <w:rPr>
          <w:rFonts w:asciiTheme="majorBidi" w:hAnsiTheme="majorBidi" w:cstheme="majorBidi"/>
          <w:sz w:val="24"/>
          <w:szCs w:val="24"/>
        </w:rPr>
        <w:t>,</w:t>
      </w:r>
      <w:r w:rsidR="00820D71" w:rsidRPr="00934F4B">
        <w:rPr>
          <w:rStyle w:val="FootnoteReference"/>
          <w:rFonts w:asciiTheme="majorBidi" w:hAnsiTheme="majorBidi" w:cstheme="majorBidi"/>
          <w:sz w:val="24"/>
          <w:szCs w:val="24"/>
        </w:rPr>
        <w:footnoteReference w:id="13"/>
      </w:r>
      <w:r w:rsidR="00EF7904" w:rsidRPr="00934F4B">
        <w:rPr>
          <w:rFonts w:asciiTheme="majorBidi" w:hAnsiTheme="majorBidi" w:cstheme="majorBidi"/>
          <w:sz w:val="24"/>
          <w:szCs w:val="24"/>
        </w:rPr>
        <w:t xml:space="preserve"> Marcellus (D.</w:t>
      </w:r>
      <w:r w:rsidR="003151DF" w:rsidRPr="00934F4B">
        <w:rPr>
          <w:rFonts w:asciiTheme="majorBidi" w:hAnsiTheme="majorBidi" w:cstheme="majorBidi"/>
          <w:sz w:val="24"/>
          <w:szCs w:val="24"/>
        </w:rPr>
        <w:t xml:space="preserve"> </w:t>
      </w:r>
      <w:r w:rsidR="00EF7904" w:rsidRPr="00934F4B">
        <w:rPr>
          <w:rFonts w:asciiTheme="majorBidi" w:hAnsiTheme="majorBidi" w:cstheme="majorBidi"/>
          <w:sz w:val="24"/>
          <w:szCs w:val="24"/>
        </w:rPr>
        <w:t>1.9.2)</w:t>
      </w:r>
      <w:r w:rsidR="002D00FD" w:rsidRPr="00934F4B">
        <w:rPr>
          <w:rStyle w:val="FootnoteReference"/>
          <w:rFonts w:asciiTheme="majorBidi" w:hAnsiTheme="majorBidi" w:cstheme="majorBidi"/>
          <w:sz w:val="24"/>
          <w:szCs w:val="24"/>
        </w:rPr>
        <w:footnoteReference w:id="14"/>
      </w:r>
      <w:r w:rsidR="00EF7904" w:rsidRPr="00934F4B">
        <w:rPr>
          <w:rFonts w:ascii="Times New Roman" w:hAnsi="Times New Roman" w:cs="Times New Roman"/>
          <w:sz w:val="19"/>
          <w:szCs w:val="19"/>
        </w:rPr>
        <w:t xml:space="preserve"> </w:t>
      </w:r>
      <w:r w:rsidR="00390D67" w:rsidRPr="00934F4B">
        <w:rPr>
          <w:rFonts w:asciiTheme="majorBidi" w:hAnsiTheme="majorBidi" w:cstheme="majorBidi"/>
          <w:sz w:val="24"/>
          <w:szCs w:val="24"/>
        </w:rPr>
        <w:t>and</w:t>
      </w:r>
      <w:r w:rsidR="00FE01E9" w:rsidRPr="00934F4B">
        <w:rPr>
          <w:rFonts w:asciiTheme="majorBidi" w:hAnsiTheme="majorBidi" w:cstheme="majorBidi"/>
          <w:sz w:val="24"/>
          <w:szCs w:val="24"/>
        </w:rPr>
        <w:t xml:space="preserve"> </w:t>
      </w:r>
      <w:proofErr w:type="spellStart"/>
      <w:r w:rsidR="00EF7904" w:rsidRPr="00934F4B">
        <w:rPr>
          <w:rFonts w:asciiTheme="majorBidi" w:hAnsiTheme="majorBidi" w:cstheme="majorBidi"/>
          <w:sz w:val="24"/>
          <w:szCs w:val="24"/>
        </w:rPr>
        <w:t>Venuleiuss</w:t>
      </w:r>
      <w:proofErr w:type="spellEnd"/>
      <w:r w:rsidR="00EF7904" w:rsidRPr="00934F4B">
        <w:rPr>
          <w:rFonts w:asciiTheme="majorBidi" w:hAnsiTheme="majorBidi" w:cstheme="majorBidi"/>
          <w:sz w:val="24"/>
          <w:szCs w:val="24"/>
        </w:rPr>
        <w:t xml:space="preserve"> </w:t>
      </w:r>
      <w:proofErr w:type="spellStart"/>
      <w:r w:rsidR="00EF7904" w:rsidRPr="00934F4B">
        <w:rPr>
          <w:rFonts w:asciiTheme="majorBidi" w:hAnsiTheme="majorBidi" w:cstheme="majorBidi"/>
          <w:sz w:val="24"/>
          <w:szCs w:val="24"/>
        </w:rPr>
        <w:t>Aturninus</w:t>
      </w:r>
      <w:proofErr w:type="spellEnd"/>
      <w:r w:rsidR="00EF7904" w:rsidRPr="00934F4B">
        <w:rPr>
          <w:rFonts w:asciiTheme="majorBidi" w:hAnsiTheme="majorBidi" w:cstheme="majorBidi"/>
          <w:sz w:val="24"/>
          <w:szCs w:val="24"/>
        </w:rPr>
        <w:t xml:space="preserve"> (D.48.11.6.1)</w:t>
      </w:r>
      <w:r w:rsidR="003151DF" w:rsidRPr="00934F4B">
        <w:rPr>
          <w:rFonts w:asciiTheme="majorBidi" w:hAnsiTheme="majorBidi" w:cstheme="majorBidi"/>
          <w:sz w:val="24"/>
          <w:szCs w:val="24"/>
        </w:rPr>
        <w:t>.</w:t>
      </w:r>
      <w:r w:rsidR="002D00FD" w:rsidRPr="00934F4B">
        <w:rPr>
          <w:rStyle w:val="FootnoteReference"/>
          <w:rFonts w:asciiTheme="majorBidi" w:hAnsiTheme="majorBidi" w:cstheme="majorBidi"/>
          <w:sz w:val="24"/>
          <w:szCs w:val="24"/>
        </w:rPr>
        <w:footnoteReference w:id="15"/>
      </w:r>
      <w:r w:rsidR="006F2E2A" w:rsidRPr="00934F4B">
        <w:rPr>
          <w:rFonts w:asciiTheme="majorBidi" w:hAnsiTheme="majorBidi" w:cstheme="majorBidi"/>
          <w:sz w:val="24"/>
          <w:szCs w:val="24"/>
        </w:rPr>
        <w:t xml:space="preserve"> What </w:t>
      </w:r>
      <w:r w:rsidR="0019399B" w:rsidRPr="00934F4B">
        <w:rPr>
          <w:rFonts w:asciiTheme="majorBidi" w:hAnsiTheme="majorBidi" w:cstheme="majorBidi"/>
          <w:sz w:val="24"/>
          <w:szCs w:val="24"/>
        </w:rPr>
        <w:t xml:space="preserve">is the meaning </w:t>
      </w:r>
      <w:r w:rsidR="006F2E2A" w:rsidRPr="00934F4B">
        <w:rPr>
          <w:rFonts w:asciiTheme="majorBidi" w:hAnsiTheme="majorBidi" w:cstheme="majorBidi"/>
          <w:sz w:val="24"/>
          <w:szCs w:val="24"/>
        </w:rPr>
        <w:t>of this presumed contradiction? I</w:t>
      </w:r>
      <w:r w:rsidR="004C55FC" w:rsidRPr="00934F4B">
        <w:rPr>
          <w:rFonts w:asciiTheme="majorBidi" w:hAnsiTheme="majorBidi" w:cstheme="majorBidi"/>
          <w:sz w:val="24"/>
          <w:szCs w:val="24"/>
        </w:rPr>
        <w:t>t</w:t>
      </w:r>
      <w:r w:rsidR="006F2E2A" w:rsidRPr="00934F4B">
        <w:rPr>
          <w:rFonts w:asciiTheme="majorBidi" w:hAnsiTheme="majorBidi" w:cstheme="majorBidi"/>
          <w:sz w:val="24"/>
          <w:szCs w:val="24"/>
        </w:rPr>
        <w:t xml:space="preserve"> </w:t>
      </w:r>
      <w:r w:rsidR="004C55FC" w:rsidRPr="00934F4B">
        <w:rPr>
          <w:rFonts w:asciiTheme="majorBidi" w:hAnsiTheme="majorBidi" w:cstheme="majorBidi"/>
          <w:sz w:val="24"/>
          <w:szCs w:val="24"/>
        </w:rPr>
        <w:t xml:space="preserve">seems to me </w:t>
      </w:r>
      <w:r w:rsidR="006F2E2A" w:rsidRPr="00934F4B">
        <w:rPr>
          <w:rFonts w:asciiTheme="majorBidi" w:hAnsiTheme="majorBidi" w:cstheme="majorBidi"/>
          <w:sz w:val="24"/>
          <w:szCs w:val="24"/>
        </w:rPr>
        <w:t xml:space="preserve">that the best </w:t>
      </w:r>
      <w:r w:rsidR="00390D67" w:rsidRPr="00934F4B">
        <w:rPr>
          <w:rFonts w:asciiTheme="majorBidi" w:hAnsiTheme="majorBidi" w:cstheme="majorBidi"/>
          <w:sz w:val="24"/>
          <w:szCs w:val="24"/>
        </w:rPr>
        <w:t xml:space="preserve">way to understand the relation between the statements of </w:t>
      </w:r>
      <w:r w:rsidR="005B6CE5" w:rsidRPr="00934F4B">
        <w:rPr>
          <w:rFonts w:asciiTheme="majorBidi" w:hAnsiTheme="majorBidi" w:cstheme="majorBidi"/>
          <w:sz w:val="24"/>
          <w:szCs w:val="24"/>
        </w:rPr>
        <w:t xml:space="preserve">different </w:t>
      </w:r>
      <w:r w:rsidR="00390D67" w:rsidRPr="00934F4B">
        <w:rPr>
          <w:rFonts w:asciiTheme="majorBidi" w:hAnsiTheme="majorBidi" w:cstheme="majorBidi"/>
          <w:sz w:val="24"/>
          <w:szCs w:val="24"/>
        </w:rPr>
        <w:t>jurist</w:t>
      </w:r>
      <w:r w:rsidR="005B6CE5" w:rsidRPr="00934F4B">
        <w:rPr>
          <w:rFonts w:asciiTheme="majorBidi" w:hAnsiTheme="majorBidi" w:cstheme="majorBidi"/>
          <w:sz w:val="24"/>
          <w:szCs w:val="24"/>
        </w:rPr>
        <w:t>s</w:t>
      </w:r>
      <w:r w:rsidR="00390D67" w:rsidRPr="00934F4B">
        <w:rPr>
          <w:rFonts w:asciiTheme="majorBidi" w:hAnsiTheme="majorBidi" w:cstheme="majorBidi"/>
          <w:sz w:val="24"/>
          <w:szCs w:val="24"/>
        </w:rPr>
        <w:t xml:space="preserve"> is to assume </w:t>
      </w:r>
      <w:r w:rsidR="006F2E2A" w:rsidRPr="00934F4B">
        <w:rPr>
          <w:rFonts w:asciiTheme="majorBidi" w:hAnsiTheme="majorBidi" w:cstheme="majorBidi"/>
          <w:sz w:val="24"/>
          <w:szCs w:val="24"/>
        </w:rPr>
        <w:t xml:space="preserve">a development in the perception of the role of witnesses in </w:t>
      </w:r>
      <w:r w:rsidR="00A5459B" w:rsidRPr="00934F4B">
        <w:rPr>
          <w:rFonts w:asciiTheme="majorBidi" w:hAnsiTheme="majorBidi" w:cstheme="majorBidi"/>
          <w:sz w:val="24"/>
          <w:szCs w:val="24"/>
        </w:rPr>
        <w:t>R</w:t>
      </w:r>
      <w:r w:rsidR="006F2E2A" w:rsidRPr="00934F4B">
        <w:rPr>
          <w:rFonts w:asciiTheme="majorBidi" w:hAnsiTheme="majorBidi" w:cstheme="majorBidi"/>
          <w:sz w:val="24"/>
          <w:szCs w:val="24"/>
        </w:rPr>
        <w:t xml:space="preserve">oman law. </w:t>
      </w:r>
    </w:p>
    <w:p w14:paraId="4925A8D9" w14:textId="563E8A40" w:rsidR="004815C1" w:rsidRPr="00934F4B" w:rsidRDefault="0019399B" w:rsidP="004C59D2">
      <w:pPr>
        <w:autoSpaceDE w:val="0"/>
        <w:autoSpaceDN w:val="0"/>
        <w:adjustRightInd w:val="0"/>
        <w:spacing w:after="0" w:line="240" w:lineRule="auto"/>
        <w:jc w:val="both"/>
        <w:rPr>
          <w:rFonts w:asciiTheme="majorBidi" w:hAnsiTheme="majorBidi" w:cstheme="majorBidi"/>
          <w:sz w:val="24"/>
          <w:szCs w:val="24"/>
        </w:rPr>
      </w:pPr>
      <w:r w:rsidRPr="00934F4B">
        <w:rPr>
          <w:rFonts w:asciiTheme="majorBidi" w:hAnsiTheme="majorBidi" w:cstheme="majorBidi"/>
          <w:sz w:val="24"/>
          <w:szCs w:val="24"/>
        </w:rPr>
        <w:t xml:space="preserve">The </w:t>
      </w:r>
      <w:r w:rsidR="00A5459B" w:rsidRPr="00934F4B">
        <w:rPr>
          <w:rFonts w:asciiTheme="majorBidi" w:hAnsiTheme="majorBidi" w:cstheme="majorBidi"/>
          <w:sz w:val="24"/>
          <w:szCs w:val="24"/>
        </w:rPr>
        <w:t xml:space="preserve">rational </w:t>
      </w:r>
      <w:r w:rsidRPr="00934F4B">
        <w:rPr>
          <w:rFonts w:asciiTheme="majorBidi" w:hAnsiTheme="majorBidi" w:cstheme="majorBidi"/>
          <w:sz w:val="24"/>
          <w:szCs w:val="24"/>
        </w:rPr>
        <w:t xml:space="preserve">of </w:t>
      </w:r>
      <w:r w:rsidR="00A5459B" w:rsidRPr="00934F4B">
        <w:rPr>
          <w:rFonts w:asciiTheme="majorBidi" w:hAnsiTheme="majorBidi" w:cstheme="majorBidi"/>
          <w:sz w:val="24"/>
          <w:szCs w:val="24"/>
        </w:rPr>
        <w:t xml:space="preserve">court </w:t>
      </w:r>
      <w:r w:rsidRPr="00934F4B">
        <w:rPr>
          <w:rFonts w:asciiTheme="majorBidi" w:hAnsiTheme="majorBidi" w:cstheme="majorBidi"/>
          <w:sz w:val="24"/>
          <w:szCs w:val="24"/>
        </w:rPr>
        <w:t xml:space="preserve">testimony </w:t>
      </w:r>
      <w:r w:rsidR="00A5459B" w:rsidRPr="00934F4B">
        <w:rPr>
          <w:rFonts w:asciiTheme="majorBidi" w:hAnsiTheme="majorBidi" w:cstheme="majorBidi"/>
          <w:sz w:val="24"/>
          <w:szCs w:val="24"/>
        </w:rPr>
        <w:t xml:space="preserve">is too often regarded as </w:t>
      </w:r>
      <w:r w:rsidR="004C55FC" w:rsidRPr="00934F4B">
        <w:rPr>
          <w:rFonts w:asciiTheme="majorBidi" w:hAnsiTheme="majorBidi" w:cstheme="majorBidi"/>
          <w:sz w:val="24"/>
          <w:szCs w:val="24"/>
        </w:rPr>
        <w:t>self-</w:t>
      </w:r>
      <w:r w:rsidR="00A5459B" w:rsidRPr="00934F4B">
        <w:rPr>
          <w:rFonts w:asciiTheme="majorBidi" w:hAnsiTheme="majorBidi" w:cstheme="majorBidi"/>
          <w:sz w:val="24"/>
          <w:szCs w:val="24"/>
        </w:rPr>
        <w:t xml:space="preserve">evident, </w:t>
      </w:r>
      <w:r w:rsidR="005B6CE5" w:rsidRPr="00934F4B">
        <w:rPr>
          <w:rFonts w:asciiTheme="majorBidi" w:hAnsiTheme="majorBidi" w:cstheme="majorBidi"/>
          <w:sz w:val="24"/>
          <w:szCs w:val="24"/>
        </w:rPr>
        <w:t xml:space="preserve">stable and unchanging, </w:t>
      </w:r>
      <w:r w:rsidR="00A5459B" w:rsidRPr="00934F4B">
        <w:rPr>
          <w:rFonts w:asciiTheme="majorBidi" w:hAnsiTheme="majorBidi" w:cstheme="majorBidi"/>
          <w:sz w:val="24"/>
          <w:szCs w:val="24"/>
        </w:rPr>
        <w:t xml:space="preserve">and the possibility that it might have radically </w:t>
      </w:r>
      <w:r w:rsidR="005B6CE5" w:rsidRPr="00934F4B">
        <w:rPr>
          <w:rFonts w:asciiTheme="majorBidi" w:hAnsiTheme="majorBidi" w:cstheme="majorBidi"/>
          <w:sz w:val="24"/>
          <w:szCs w:val="24"/>
        </w:rPr>
        <w:t xml:space="preserve">transformed </w:t>
      </w:r>
      <w:r w:rsidR="00A5459B" w:rsidRPr="00934F4B">
        <w:rPr>
          <w:rFonts w:asciiTheme="majorBidi" w:hAnsiTheme="majorBidi" w:cstheme="majorBidi"/>
          <w:sz w:val="24"/>
          <w:szCs w:val="24"/>
        </w:rPr>
        <w:t>throughout cultures or generations is seldom taken seriously</w:t>
      </w:r>
      <w:r w:rsidRPr="00934F4B">
        <w:rPr>
          <w:rFonts w:asciiTheme="majorBidi" w:hAnsiTheme="majorBidi" w:cstheme="majorBidi"/>
          <w:sz w:val="24"/>
          <w:szCs w:val="24"/>
        </w:rPr>
        <w:t xml:space="preserve">. </w:t>
      </w:r>
      <w:r w:rsidR="00A5459B" w:rsidRPr="00934F4B">
        <w:rPr>
          <w:rFonts w:asciiTheme="majorBidi" w:hAnsiTheme="majorBidi" w:cstheme="majorBidi"/>
          <w:sz w:val="24"/>
          <w:szCs w:val="24"/>
        </w:rPr>
        <w:t xml:space="preserve">However, </w:t>
      </w:r>
      <w:r w:rsidRPr="00934F4B">
        <w:rPr>
          <w:rFonts w:asciiTheme="majorBidi" w:hAnsiTheme="majorBidi" w:cstheme="majorBidi"/>
          <w:sz w:val="24"/>
          <w:szCs w:val="24"/>
        </w:rPr>
        <w:t>certain important work</w:t>
      </w:r>
      <w:r w:rsidR="004815C1" w:rsidRPr="00934F4B">
        <w:rPr>
          <w:rFonts w:asciiTheme="majorBidi" w:hAnsiTheme="majorBidi" w:cstheme="majorBidi"/>
          <w:sz w:val="24"/>
          <w:szCs w:val="24"/>
        </w:rPr>
        <w:t>s</w:t>
      </w:r>
      <w:r w:rsidRPr="00934F4B">
        <w:rPr>
          <w:rFonts w:asciiTheme="majorBidi" w:hAnsiTheme="majorBidi" w:cstheme="majorBidi"/>
          <w:sz w:val="24"/>
          <w:szCs w:val="24"/>
        </w:rPr>
        <w:t xml:space="preserve"> ha</w:t>
      </w:r>
      <w:r w:rsidR="00A5459B" w:rsidRPr="00934F4B">
        <w:rPr>
          <w:rFonts w:asciiTheme="majorBidi" w:hAnsiTheme="majorBidi" w:cstheme="majorBidi"/>
          <w:sz w:val="24"/>
          <w:szCs w:val="24"/>
        </w:rPr>
        <w:t>ve</w:t>
      </w:r>
      <w:r w:rsidRPr="00934F4B">
        <w:rPr>
          <w:rFonts w:asciiTheme="majorBidi" w:hAnsiTheme="majorBidi" w:cstheme="majorBidi"/>
          <w:sz w:val="24"/>
          <w:szCs w:val="24"/>
        </w:rPr>
        <w:t xml:space="preserve"> </w:t>
      </w:r>
      <w:r w:rsidR="00A5459B" w:rsidRPr="00934F4B">
        <w:rPr>
          <w:rFonts w:asciiTheme="majorBidi" w:hAnsiTheme="majorBidi" w:cstheme="majorBidi"/>
          <w:sz w:val="24"/>
          <w:szCs w:val="24"/>
        </w:rPr>
        <w:t xml:space="preserve">pointed to </w:t>
      </w:r>
      <w:r w:rsidR="00390D67" w:rsidRPr="00934F4B">
        <w:rPr>
          <w:rFonts w:asciiTheme="majorBidi" w:hAnsiTheme="majorBidi" w:cstheme="majorBidi"/>
          <w:sz w:val="24"/>
          <w:szCs w:val="24"/>
        </w:rPr>
        <w:t>different</w:t>
      </w:r>
      <w:r w:rsidRPr="00934F4B">
        <w:rPr>
          <w:rFonts w:asciiTheme="majorBidi" w:hAnsiTheme="majorBidi" w:cstheme="majorBidi"/>
          <w:sz w:val="24"/>
          <w:szCs w:val="24"/>
        </w:rPr>
        <w:t xml:space="preserve"> ancient contexts</w:t>
      </w:r>
      <w:r w:rsidR="00390D67" w:rsidRPr="00934F4B">
        <w:rPr>
          <w:rFonts w:asciiTheme="majorBidi" w:hAnsiTheme="majorBidi" w:cstheme="majorBidi"/>
          <w:sz w:val="24"/>
          <w:szCs w:val="24"/>
        </w:rPr>
        <w:t xml:space="preserve"> where </w:t>
      </w:r>
      <w:r w:rsidRPr="00934F4B">
        <w:rPr>
          <w:rFonts w:asciiTheme="majorBidi" w:hAnsiTheme="majorBidi" w:cstheme="majorBidi"/>
          <w:sz w:val="24"/>
          <w:szCs w:val="24"/>
        </w:rPr>
        <w:t xml:space="preserve">the role of court witnesses </w:t>
      </w:r>
      <w:r w:rsidR="00A5459B" w:rsidRPr="00934F4B">
        <w:rPr>
          <w:rFonts w:asciiTheme="majorBidi" w:hAnsiTheme="majorBidi" w:cstheme="majorBidi"/>
          <w:sz w:val="24"/>
          <w:szCs w:val="24"/>
        </w:rPr>
        <w:t>must have been</w:t>
      </w:r>
      <w:r w:rsidRPr="00934F4B">
        <w:rPr>
          <w:rFonts w:asciiTheme="majorBidi" w:hAnsiTheme="majorBidi" w:cstheme="majorBidi"/>
          <w:sz w:val="24"/>
          <w:szCs w:val="24"/>
        </w:rPr>
        <w:t xml:space="preserve"> different from the way we perceive it today</w:t>
      </w:r>
      <w:r w:rsidR="002D00FD" w:rsidRPr="00934F4B">
        <w:rPr>
          <w:rFonts w:asciiTheme="majorBidi" w:hAnsiTheme="majorBidi" w:cstheme="majorBidi"/>
          <w:sz w:val="24"/>
          <w:szCs w:val="24"/>
        </w:rPr>
        <w:t>. In these ancient depictions, the witnesses seem to have an authoritative function of making decisions rather than an instrumental role of merely providing information for a third party- a judge- who is authorized to decide</w:t>
      </w:r>
      <w:r w:rsidRPr="00934F4B">
        <w:rPr>
          <w:rFonts w:asciiTheme="majorBidi" w:hAnsiTheme="majorBidi" w:cstheme="majorBidi"/>
          <w:sz w:val="24"/>
          <w:szCs w:val="24"/>
        </w:rPr>
        <w:t>.</w:t>
      </w:r>
      <w:r w:rsidR="005B6CE5" w:rsidRPr="00934F4B">
        <w:rPr>
          <w:rStyle w:val="FootnoteReference"/>
          <w:rFonts w:asciiTheme="majorBidi" w:hAnsiTheme="majorBidi" w:cstheme="majorBidi"/>
          <w:sz w:val="24"/>
          <w:szCs w:val="24"/>
        </w:rPr>
        <w:footnoteReference w:id="16"/>
      </w:r>
      <w:r w:rsidRPr="00934F4B">
        <w:rPr>
          <w:rFonts w:asciiTheme="majorBidi" w:hAnsiTheme="majorBidi" w:cstheme="majorBidi"/>
          <w:sz w:val="24"/>
          <w:szCs w:val="24"/>
        </w:rPr>
        <w:t xml:space="preserve"> </w:t>
      </w:r>
      <w:r w:rsidR="004C55FC" w:rsidRPr="00934F4B">
        <w:rPr>
          <w:rFonts w:asciiTheme="majorBidi" w:hAnsiTheme="majorBidi" w:cstheme="majorBidi"/>
          <w:sz w:val="24"/>
          <w:szCs w:val="24"/>
        </w:rPr>
        <w:t>But i</w:t>
      </w:r>
      <w:r w:rsidRPr="00934F4B">
        <w:rPr>
          <w:rFonts w:asciiTheme="majorBidi" w:hAnsiTheme="majorBidi" w:cstheme="majorBidi"/>
          <w:sz w:val="24"/>
          <w:szCs w:val="24"/>
        </w:rPr>
        <w:t xml:space="preserve">f </w:t>
      </w:r>
      <w:r w:rsidR="004C59D2" w:rsidRPr="00934F4B">
        <w:rPr>
          <w:rFonts w:asciiTheme="majorBidi" w:hAnsiTheme="majorBidi" w:cstheme="majorBidi"/>
          <w:sz w:val="24"/>
          <w:szCs w:val="24"/>
        </w:rPr>
        <w:t xml:space="preserve">we take these </w:t>
      </w:r>
      <w:r w:rsidR="004C59D2" w:rsidRPr="00934F4B">
        <w:rPr>
          <w:rFonts w:asciiTheme="majorBidi" w:hAnsiTheme="majorBidi" w:cstheme="majorBidi"/>
          <w:sz w:val="24"/>
          <w:szCs w:val="24"/>
        </w:rPr>
        <w:t>depictions</w:t>
      </w:r>
      <w:r w:rsidR="004C59D2" w:rsidRPr="00934F4B">
        <w:rPr>
          <w:rFonts w:asciiTheme="majorBidi" w:hAnsiTheme="majorBidi" w:cstheme="majorBidi"/>
          <w:sz w:val="24"/>
          <w:szCs w:val="24"/>
        </w:rPr>
        <w:t xml:space="preserve"> seriously</w:t>
      </w:r>
      <w:r w:rsidRPr="00934F4B">
        <w:rPr>
          <w:rFonts w:asciiTheme="majorBidi" w:hAnsiTheme="majorBidi" w:cstheme="majorBidi"/>
          <w:sz w:val="24"/>
          <w:szCs w:val="24"/>
        </w:rPr>
        <w:t xml:space="preserve">, </w:t>
      </w:r>
      <w:r w:rsidR="004C59D2" w:rsidRPr="00934F4B">
        <w:rPr>
          <w:rFonts w:asciiTheme="majorBidi" w:hAnsiTheme="majorBidi" w:cstheme="majorBidi"/>
          <w:sz w:val="24"/>
          <w:szCs w:val="24"/>
        </w:rPr>
        <w:t xml:space="preserve">we ought to conclude that </w:t>
      </w:r>
      <w:r w:rsidRPr="00934F4B">
        <w:rPr>
          <w:rFonts w:asciiTheme="majorBidi" w:hAnsiTheme="majorBidi" w:cstheme="majorBidi"/>
          <w:sz w:val="24"/>
          <w:szCs w:val="24"/>
        </w:rPr>
        <w:t xml:space="preserve"> </w:t>
      </w:r>
      <w:r w:rsidR="00A5459B" w:rsidRPr="00934F4B">
        <w:rPr>
          <w:rFonts w:asciiTheme="majorBidi" w:hAnsiTheme="majorBidi" w:cstheme="majorBidi"/>
          <w:sz w:val="24"/>
          <w:szCs w:val="24"/>
        </w:rPr>
        <w:t xml:space="preserve">a conceptual </w:t>
      </w:r>
      <w:r w:rsidR="004815C1" w:rsidRPr="00934F4B">
        <w:rPr>
          <w:rFonts w:asciiTheme="majorBidi" w:hAnsiTheme="majorBidi" w:cstheme="majorBidi"/>
          <w:sz w:val="24"/>
          <w:szCs w:val="24"/>
        </w:rPr>
        <w:t xml:space="preserve">evolution </w:t>
      </w:r>
      <w:r w:rsidR="00A5459B" w:rsidRPr="00934F4B">
        <w:rPr>
          <w:rFonts w:asciiTheme="majorBidi" w:hAnsiTheme="majorBidi" w:cstheme="majorBidi"/>
          <w:sz w:val="24"/>
          <w:szCs w:val="24"/>
        </w:rPr>
        <w:t xml:space="preserve">of </w:t>
      </w:r>
      <w:r w:rsidR="002D00FD" w:rsidRPr="00934F4B">
        <w:rPr>
          <w:rFonts w:asciiTheme="majorBidi" w:hAnsiTheme="majorBidi" w:cstheme="majorBidi"/>
          <w:sz w:val="24"/>
          <w:szCs w:val="24"/>
        </w:rPr>
        <w:t xml:space="preserve">the meaning of court testimony </w:t>
      </w:r>
      <w:r w:rsidR="00EC0387" w:rsidRPr="00934F4B">
        <w:rPr>
          <w:rFonts w:asciiTheme="majorBidi" w:hAnsiTheme="majorBidi" w:cstheme="majorBidi"/>
          <w:sz w:val="24"/>
          <w:szCs w:val="24"/>
        </w:rPr>
        <w:t>necessarily</w:t>
      </w:r>
      <w:r w:rsidR="004815C1" w:rsidRPr="00934F4B">
        <w:rPr>
          <w:rFonts w:asciiTheme="majorBidi" w:hAnsiTheme="majorBidi" w:cstheme="majorBidi"/>
          <w:sz w:val="24"/>
          <w:szCs w:val="24"/>
        </w:rPr>
        <w:t xml:space="preserve"> took place</w:t>
      </w:r>
      <w:r w:rsidR="00EC0387" w:rsidRPr="00934F4B">
        <w:rPr>
          <w:rFonts w:asciiTheme="majorBidi" w:hAnsiTheme="majorBidi" w:cstheme="majorBidi"/>
          <w:sz w:val="24"/>
          <w:szCs w:val="24"/>
        </w:rPr>
        <w:t>,</w:t>
      </w:r>
      <w:r w:rsidR="004C59D2" w:rsidRPr="00934F4B">
        <w:rPr>
          <w:rFonts w:asciiTheme="majorBidi" w:hAnsiTheme="majorBidi" w:cstheme="majorBidi"/>
          <w:sz w:val="24"/>
          <w:szCs w:val="24"/>
        </w:rPr>
        <w:t xml:space="preserve"> at this point or another</w:t>
      </w:r>
      <w:r w:rsidR="00EC0387" w:rsidRPr="00934F4B">
        <w:rPr>
          <w:rFonts w:asciiTheme="majorBidi" w:hAnsiTheme="majorBidi" w:cstheme="majorBidi"/>
          <w:sz w:val="24"/>
          <w:szCs w:val="24"/>
        </w:rPr>
        <w:t xml:space="preserve"> </w:t>
      </w:r>
      <w:r w:rsidR="004815C1" w:rsidRPr="00934F4B">
        <w:rPr>
          <w:rFonts w:asciiTheme="majorBidi" w:hAnsiTheme="majorBidi" w:cstheme="majorBidi"/>
          <w:sz w:val="24"/>
          <w:szCs w:val="24"/>
        </w:rPr>
        <w:t xml:space="preserve">and its history should be told. In the context of </w:t>
      </w:r>
      <w:r w:rsidR="00EC0387" w:rsidRPr="00934F4B">
        <w:rPr>
          <w:rFonts w:asciiTheme="majorBidi" w:hAnsiTheme="majorBidi" w:cstheme="majorBidi"/>
          <w:sz w:val="24"/>
          <w:szCs w:val="24"/>
        </w:rPr>
        <w:t>R</w:t>
      </w:r>
      <w:r w:rsidR="004815C1" w:rsidRPr="00934F4B">
        <w:rPr>
          <w:rFonts w:asciiTheme="majorBidi" w:hAnsiTheme="majorBidi" w:cstheme="majorBidi"/>
          <w:sz w:val="24"/>
          <w:szCs w:val="24"/>
        </w:rPr>
        <w:t xml:space="preserve">oman law, this very change </w:t>
      </w:r>
      <w:r w:rsidR="00EC0387" w:rsidRPr="00934F4B">
        <w:rPr>
          <w:rFonts w:asciiTheme="majorBidi" w:hAnsiTheme="majorBidi" w:cstheme="majorBidi"/>
          <w:sz w:val="24"/>
          <w:szCs w:val="24"/>
        </w:rPr>
        <w:t>was already</w:t>
      </w:r>
      <w:r w:rsidR="004815C1" w:rsidRPr="00934F4B">
        <w:rPr>
          <w:rFonts w:asciiTheme="majorBidi" w:hAnsiTheme="majorBidi" w:cstheme="majorBidi"/>
          <w:sz w:val="24"/>
          <w:szCs w:val="24"/>
        </w:rPr>
        <w:t xml:space="preserve"> </w:t>
      </w:r>
      <w:r w:rsidR="004C59D2" w:rsidRPr="00934F4B">
        <w:rPr>
          <w:rFonts w:asciiTheme="majorBidi" w:hAnsiTheme="majorBidi" w:cstheme="majorBidi"/>
          <w:sz w:val="24"/>
          <w:szCs w:val="24"/>
        </w:rPr>
        <w:t>alluded to</w:t>
      </w:r>
      <w:r w:rsidR="004815C1" w:rsidRPr="00934F4B">
        <w:rPr>
          <w:rFonts w:asciiTheme="majorBidi" w:hAnsiTheme="majorBidi" w:cstheme="majorBidi"/>
          <w:sz w:val="24"/>
          <w:szCs w:val="24"/>
        </w:rPr>
        <w:t xml:space="preserve">, albeit briefly, by Yan Thomas. </w:t>
      </w:r>
      <w:r w:rsidR="004C59D2" w:rsidRPr="00934F4B">
        <w:rPr>
          <w:rFonts w:asciiTheme="majorBidi" w:hAnsiTheme="majorBidi" w:cstheme="majorBidi"/>
          <w:sz w:val="24"/>
          <w:szCs w:val="24"/>
        </w:rPr>
        <w:t>In an article</w:t>
      </w:r>
      <w:r w:rsidR="004815C1" w:rsidRPr="00934F4B">
        <w:rPr>
          <w:rFonts w:asciiTheme="majorBidi" w:hAnsiTheme="majorBidi" w:cstheme="majorBidi"/>
          <w:sz w:val="24"/>
          <w:szCs w:val="24"/>
        </w:rPr>
        <w:t xml:space="preserve"> exploring the legal status of women in </w:t>
      </w:r>
      <w:r w:rsidR="00820D71" w:rsidRPr="00934F4B">
        <w:rPr>
          <w:rFonts w:asciiTheme="majorBidi" w:hAnsiTheme="majorBidi" w:cstheme="majorBidi" w:hint="cs"/>
          <w:sz w:val="24"/>
          <w:szCs w:val="24"/>
        </w:rPr>
        <w:t>R</w:t>
      </w:r>
      <w:r w:rsidR="004815C1" w:rsidRPr="00934F4B">
        <w:rPr>
          <w:rFonts w:asciiTheme="majorBidi" w:hAnsiTheme="majorBidi" w:cstheme="majorBidi"/>
          <w:sz w:val="24"/>
          <w:szCs w:val="24"/>
        </w:rPr>
        <w:t xml:space="preserve">oman society he </w:t>
      </w:r>
      <w:r w:rsidR="00A5459B" w:rsidRPr="00934F4B">
        <w:rPr>
          <w:rFonts w:asciiTheme="majorBidi" w:hAnsiTheme="majorBidi" w:cstheme="majorBidi"/>
          <w:sz w:val="24"/>
          <w:szCs w:val="24"/>
        </w:rPr>
        <w:t>describes</w:t>
      </w:r>
      <w:r w:rsidR="00820D71" w:rsidRPr="00934F4B">
        <w:rPr>
          <w:rFonts w:asciiTheme="majorBidi" w:hAnsiTheme="majorBidi" w:cstheme="majorBidi"/>
          <w:sz w:val="24"/>
          <w:szCs w:val="24"/>
        </w:rPr>
        <w:t xml:space="preserve"> what seems to be a</w:t>
      </w:r>
      <w:r w:rsidR="00820D71" w:rsidRPr="00934F4B">
        <w:rPr>
          <w:rFonts w:asciiTheme="majorBidi" w:hAnsiTheme="majorBidi" w:cstheme="majorBidi" w:hint="cs"/>
          <w:sz w:val="24"/>
          <w:szCs w:val="24"/>
          <w:rtl/>
        </w:rPr>
        <w:t xml:space="preserve"> </w:t>
      </w:r>
      <w:r w:rsidR="00820D71" w:rsidRPr="00934F4B">
        <w:rPr>
          <w:rFonts w:asciiTheme="majorBidi" w:hAnsiTheme="majorBidi" w:cstheme="majorBidi"/>
          <w:sz w:val="24"/>
          <w:szCs w:val="24"/>
        </w:rPr>
        <w:t xml:space="preserve">transformation </w:t>
      </w:r>
      <w:r w:rsidR="004815C1" w:rsidRPr="00934F4B">
        <w:rPr>
          <w:rFonts w:asciiTheme="majorBidi" w:hAnsiTheme="majorBidi" w:cstheme="majorBidi"/>
          <w:sz w:val="24"/>
          <w:szCs w:val="24"/>
        </w:rPr>
        <w:t>in the perception of the role of witnesses</w:t>
      </w:r>
      <w:r w:rsidR="0054360D" w:rsidRPr="00934F4B">
        <w:rPr>
          <w:rFonts w:asciiTheme="majorBidi" w:hAnsiTheme="majorBidi" w:cstheme="majorBidi"/>
          <w:sz w:val="24"/>
          <w:szCs w:val="24"/>
        </w:rPr>
        <w:t>:</w:t>
      </w:r>
    </w:p>
    <w:p w14:paraId="7A685C37" w14:textId="77777777" w:rsidR="006F2E2A" w:rsidRPr="00934F4B" w:rsidRDefault="006F2E2A" w:rsidP="00FE01E9">
      <w:pPr>
        <w:autoSpaceDE w:val="0"/>
        <w:autoSpaceDN w:val="0"/>
        <w:adjustRightInd w:val="0"/>
        <w:spacing w:after="0" w:line="240" w:lineRule="auto"/>
        <w:jc w:val="both"/>
        <w:rPr>
          <w:rFonts w:asciiTheme="majorBidi" w:hAnsiTheme="majorBidi" w:cstheme="majorBidi"/>
          <w:sz w:val="24"/>
          <w:szCs w:val="24"/>
        </w:rPr>
      </w:pPr>
    </w:p>
    <w:p w14:paraId="24F561F1" w14:textId="77777777" w:rsidR="004815C1" w:rsidRPr="00934F4B" w:rsidRDefault="004815C1" w:rsidP="00FE01E9">
      <w:pPr>
        <w:ind w:left="360"/>
        <w:jc w:val="both"/>
        <w:rPr>
          <w:rFonts w:asciiTheme="majorBidi" w:hAnsiTheme="majorBidi" w:cstheme="majorBidi"/>
          <w:sz w:val="24"/>
          <w:szCs w:val="24"/>
          <w:rtl/>
        </w:rPr>
      </w:pPr>
      <w:r w:rsidRPr="00934F4B">
        <w:rPr>
          <w:rFonts w:asciiTheme="majorBidi" w:hAnsiTheme="majorBidi" w:cstheme="majorBidi"/>
          <w:sz w:val="24"/>
          <w:szCs w:val="24"/>
        </w:rPr>
        <w:t xml:space="preserve">In the earliest period of Roman law women could not make wills, because to make a will one had to belong to a comitia, or political assembly. Nor could they testify in court. Under archaic procedure testifing was a virile office because the entire body of citizens had to vouch for a claim in order for it to stand up in court...women were of course excluded from this public function. </w:t>
      </w:r>
      <w:r w:rsidRPr="00934F4B">
        <w:rPr>
          <w:rFonts w:asciiTheme="majorBidi" w:hAnsiTheme="majorBidi" w:cstheme="majorBidi"/>
          <w:b/>
          <w:bCs/>
          <w:sz w:val="24"/>
          <w:szCs w:val="24"/>
        </w:rPr>
        <w:t xml:space="preserve">They ceased to be excluded when the meaning of testimony changed from vouching for the exitance of a claim guaranteed by all citizens to simply providing </w:t>
      </w:r>
      <w:r w:rsidRPr="00934F4B">
        <w:rPr>
          <w:rFonts w:asciiTheme="majorBidi" w:hAnsiTheme="majorBidi" w:cstheme="majorBidi"/>
          <w:b/>
          <w:bCs/>
          <w:sz w:val="24"/>
          <w:szCs w:val="24"/>
        </w:rPr>
        <w:lastRenderedPageBreak/>
        <w:t>evidence.</w:t>
      </w:r>
      <w:r w:rsidRPr="00934F4B">
        <w:rPr>
          <w:rFonts w:asciiTheme="majorBidi" w:hAnsiTheme="majorBidi" w:cstheme="majorBidi"/>
          <w:sz w:val="24"/>
          <w:szCs w:val="24"/>
        </w:rPr>
        <w:t xml:space="preserve"> Women could testify because their testimony no longer had the abstract force of a kind of mediation, the general import of an </w:t>
      </w:r>
      <w:r w:rsidRPr="00934F4B">
        <w:rPr>
          <w:rFonts w:asciiTheme="majorBidi" w:hAnsiTheme="majorBidi" w:cstheme="majorBidi"/>
          <w:i/>
          <w:iCs/>
          <w:sz w:val="24"/>
          <w:szCs w:val="24"/>
        </w:rPr>
        <w:t>officium</w:t>
      </w:r>
      <w:r w:rsidRPr="00934F4B">
        <w:rPr>
          <w:rFonts w:asciiTheme="majorBidi" w:hAnsiTheme="majorBidi" w:cstheme="majorBidi"/>
          <w:sz w:val="24"/>
          <w:szCs w:val="24"/>
        </w:rPr>
        <w:t>’.</w:t>
      </w:r>
      <w:r w:rsidRPr="00934F4B">
        <w:rPr>
          <w:rStyle w:val="FootnoteReference"/>
          <w:rFonts w:asciiTheme="majorBidi" w:hAnsiTheme="majorBidi" w:cstheme="majorBidi"/>
          <w:sz w:val="24"/>
          <w:szCs w:val="24"/>
        </w:rPr>
        <w:footnoteReference w:id="17"/>
      </w:r>
    </w:p>
    <w:p w14:paraId="67329F44" w14:textId="6CD864A2" w:rsidR="001079C8" w:rsidRPr="00934F4B" w:rsidRDefault="004815C1" w:rsidP="004C59D2">
      <w:pPr>
        <w:jc w:val="both"/>
        <w:rPr>
          <w:rFonts w:asciiTheme="majorBidi" w:hAnsiTheme="majorBidi" w:cstheme="majorBidi"/>
          <w:sz w:val="24"/>
          <w:szCs w:val="24"/>
        </w:rPr>
      </w:pPr>
      <w:r w:rsidRPr="00934F4B">
        <w:rPr>
          <w:rFonts w:asciiTheme="majorBidi" w:hAnsiTheme="majorBidi" w:cstheme="majorBidi"/>
          <w:sz w:val="24"/>
          <w:szCs w:val="24"/>
        </w:rPr>
        <w:t xml:space="preserve">Here Thomas draws attention to a change in </w:t>
      </w:r>
      <w:r w:rsidR="001079C8" w:rsidRPr="00934F4B">
        <w:rPr>
          <w:rFonts w:asciiTheme="majorBidi" w:hAnsiTheme="majorBidi" w:cstheme="majorBidi"/>
          <w:sz w:val="24"/>
          <w:szCs w:val="24"/>
        </w:rPr>
        <w:t>the meaning of court testimony in R</w:t>
      </w:r>
      <w:r w:rsidRPr="00934F4B">
        <w:rPr>
          <w:rFonts w:asciiTheme="majorBidi" w:hAnsiTheme="majorBidi" w:cstheme="majorBidi"/>
          <w:sz w:val="24"/>
          <w:szCs w:val="24"/>
        </w:rPr>
        <w:t>oman law</w:t>
      </w:r>
      <w:r w:rsidR="001079C8" w:rsidRPr="00934F4B">
        <w:rPr>
          <w:rFonts w:asciiTheme="majorBidi" w:hAnsiTheme="majorBidi" w:cstheme="majorBidi"/>
          <w:sz w:val="24"/>
          <w:szCs w:val="24"/>
        </w:rPr>
        <w:t xml:space="preserve">, a change from an office, an authoritative political stance, to mere evidence, or the provision of information.  Notably, the former meaning of testimony </w:t>
      </w:r>
      <w:r w:rsidR="0054360D" w:rsidRPr="00934F4B">
        <w:rPr>
          <w:rFonts w:asciiTheme="majorBidi" w:hAnsiTheme="majorBidi" w:cstheme="majorBidi"/>
          <w:sz w:val="24"/>
          <w:szCs w:val="24"/>
        </w:rPr>
        <w:t>portrayed</w:t>
      </w:r>
      <w:r w:rsidR="001079C8" w:rsidRPr="00934F4B">
        <w:rPr>
          <w:rFonts w:asciiTheme="majorBidi" w:hAnsiTheme="majorBidi" w:cstheme="majorBidi"/>
          <w:sz w:val="24"/>
          <w:szCs w:val="24"/>
        </w:rPr>
        <w:t xml:space="preserve"> by Thomas echoes the ancient concept of testimony mentioned above, whereas the latter, were testimony is grasped as simple evidence, is very much what we think of testimony today. This</w:t>
      </w:r>
      <w:r w:rsidR="0054360D" w:rsidRPr="00934F4B">
        <w:rPr>
          <w:rFonts w:asciiTheme="majorBidi" w:hAnsiTheme="majorBidi" w:cstheme="majorBidi"/>
          <w:sz w:val="24"/>
          <w:szCs w:val="24"/>
        </w:rPr>
        <w:t xml:space="preserve"> conceptual transformation</w:t>
      </w:r>
      <w:r w:rsidR="001079C8" w:rsidRPr="00934F4B">
        <w:rPr>
          <w:rFonts w:asciiTheme="majorBidi" w:hAnsiTheme="majorBidi" w:cstheme="majorBidi"/>
          <w:sz w:val="24"/>
          <w:szCs w:val="24"/>
        </w:rPr>
        <w:t xml:space="preserve"> has resulted, according to Thomas, in at least one change in the laws </w:t>
      </w:r>
      <w:r w:rsidR="004C59D2" w:rsidRPr="00934F4B">
        <w:rPr>
          <w:rFonts w:asciiTheme="majorBidi" w:hAnsiTheme="majorBidi" w:cstheme="majorBidi"/>
          <w:sz w:val="24"/>
          <w:szCs w:val="24"/>
        </w:rPr>
        <w:t xml:space="preserve">governing </w:t>
      </w:r>
      <w:r w:rsidR="001079C8" w:rsidRPr="00934F4B">
        <w:rPr>
          <w:rFonts w:asciiTheme="majorBidi" w:hAnsiTheme="majorBidi" w:cstheme="majorBidi"/>
          <w:sz w:val="24"/>
          <w:szCs w:val="24"/>
        </w:rPr>
        <w:t xml:space="preserve">inadmissibility of witnesses’ testimony: women were </w:t>
      </w:r>
      <w:r w:rsidR="006068E0" w:rsidRPr="00934F4B">
        <w:rPr>
          <w:rFonts w:asciiTheme="majorBidi" w:hAnsiTheme="majorBidi" w:cstheme="majorBidi"/>
          <w:sz w:val="24"/>
          <w:szCs w:val="24"/>
        </w:rPr>
        <w:t>barred</w:t>
      </w:r>
      <w:r w:rsidR="001079C8" w:rsidRPr="00934F4B">
        <w:rPr>
          <w:rFonts w:asciiTheme="majorBidi" w:hAnsiTheme="majorBidi" w:cstheme="majorBidi"/>
          <w:sz w:val="24"/>
          <w:szCs w:val="24"/>
        </w:rPr>
        <w:t xml:space="preserve"> from court testimony </w:t>
      </w:r>
      <w:r w:rsidR="0054360D" w:rsidRPr="00934F4B">
        <w:rPr>
          <w:rFonts w:asciiTheme="majorBidi" w:hAnsiTheme="majorBidi" w:cstheme="majorBidi"/>
          <w:sz w:val="24"/>
          <w:szCs w:val="24"/>
        </w:rPr>
        <w:t xml:space="preserve">as long as </w:t>
      </w:r>
      <w:r w:rsidR="001079C8" w:rsidRPr="00934F4B">
        <w:rPr>
          <w:rFonts w:asciiTheme="majorBidi" w:hAnsiTheme="majorBidi" w:cstheme="majorBidi"/>
          <w:sz w:val="24"/>
          <w:szCs w:val="24"/>
        </w:rPr>
        <w:t xml:space="preserve">it was </w:t>
      </w:r>
      <w:r w:rsidR="00820D71" w:rsidRPr="00934F4B">
        <w:rPr>
          <w:rFonts w:asciiTheme="majorBidi" w:hAnsiTheme="majorBidi" w:cstheme="majorBidi"/>
          <w:sz w:val="24"/>
          <w:szCs w:val="24"/>
        </w:rPr>
        <w:t xml:space="preserve">grasped </w:t>
      </w:r>
      <w:r w:rsidR="001079C8" w:rsidRPr="00934F4B">
        <w:rPr>
          <w:rFonts w:asciiTheme="majorBidi" w:hAnsiTheme="majorBidi" w:cstheme="majorBidi"/>
          <w:sz w:val="24"/>
          <w:szCs w:val="24"/>
        </w:rPr>
        <w:t xml:space="preserve">as </w:t>
      </w:r>
      <w:proofErr w:type="spellStart"/>
      <w:r w:rsidR="001079C8" w:rsidRPr="00934F4B">
        <w:rPr>
          <w:rFonts w:asciiTheme="majorBidi" w:hAnsiTheme="majorBidi" w:cstheme="majorBidi"/>
          <w:sz w:val="24"/>
          <w:szCs w:val="24"/>
        </w:rPr>
        <w:t>viril</w:t>
      </w:r>
      <w:proofErr w:type="spellEnd"/>
      <w:r w:rsidR="001079C8" w:rsidRPr="00934F4B">
        <w:rPr>
          <w:rFonts w:asciiTheme="majorBidi" w:hAnsiTheme="majorBidi" w:cstheme="majorBidi"/>
          <w:sz w:val="24"/>
          <w:szCs w:val="24"/>
        </w:rPr>
        <w:t xml:space="preserve"> office, but allowed to testify when testimony was perceived as </w:t>
      </w:r>
      <w:r w:rsidR="0054360D" w:rsidRPr="00934F4B">
        <w:rPr>
          <w:rFonts w:asciiTheme="majorBidi" w:hAnsiTheme="majorBidi" w:cstheme="majorBidi"/>
          <w:sz w:val="24"/>
          <w:szCs w:val="24"/>
        </w:rPr>
        <w:t xml:space="preserve">mere </w:t>
      </w:r>
      <w:r w:rsidR="001079C8" w:rsidRPr="00934F4B">
        <w:rPr>
          <w:rFonts w:asciiTheme="majorBidi" w:hAnsiTheme="majorBidi" w:cstheme="majorBidi"/>
          <w:sz w:val="24"/>
          <w:szCs w:val="24"/>
        </w:rPr>
        <w:t>evidence.</w:t>
      </w:r>
      <w:r w:rsidR="005B6CE5" w:rsidRPr="00934F4B">
        <w:rPr>
          <w:rStyle w:val="FootnoteReference"/>
          <w:rFonts w:asciiTheme="majorBidi" w:hAnsiTheme="majorBidi" w:cstheme="majorBidi"/>
          <w:sz w:val="24"/>
          <w:szCs w:val="24"/>
        </w:rPr>
        <w:footnoteReference w:id="18"/>
      </w:r>
      <w:r w:rsidR="001079C8" w:rsidRPr="00934F4B">
        <w:rPr>
          <w:rFonts w:asciiTheme="majorBidi" w:hAnsiTheme="majorBidi" w:cstheme="majorBidi"/>
          <w:sz w:val="24"/>
          <w:szCs w:val="24"/>
        </w:rPr>
        <w:t xml:space="preserve"> Could it be the case that the same change affected also other norms of </w:t>
      </w:r>
      <w:r w:rsidR="0054360D" w:rsidRPr="00934F4B">
        <w:rPr>
          <w:rFonts w:asciiTheme="majorBidi" w:hAnsiTheme="majorBidi" w:cstheme="majorBidi"/>
          <w:sz w:val="24"/>
          <w:szCs w:val="24"/>
        </w:rPr>
        <w:t>inadmissibility</w:t>
      </w:r>
      <w:r w:rsidR="001079C8" w:rsidRPr="00934F4B">
        <w:rPr>
          <w:rFonts w:asciiTheme="majorBidi" w:hAnsiTheme="majorBidi" w:cstheme="majorBidi"/>
          <w:sz w:val="24"/>
          <w:szCs w:val="24"/>
        </w:rPr>
        <w:t xml:space="preserve">, </w:t>
      </w:r>
      <w:r w:rsidR="004C59D2" w:rsidRPr="00934F4B">
        <w:rPr>
          <w:rFonts w:asciiTheme="majorBidi" w:hAnsiTheme="majorBidi" w:cstheme="majorBidi"/>
          <w:sz w:val="24"/>
          <w:szCs w:val="24"/>
        </w:rPr>
        <w:t xml:space="preserve">like </w:t>
      </w:r>
      <w:r w:rsidR="001079C8" w:rsidRPr="00934F4B">
        <w:rPr>
          <w:rFonts w:asciiTheme="majorBidi" w:hAnsiTheme="majorBidi" w:cstheme="majorBidi"/>
          <w:sz w:val="24"/>
          <w:szCs w:val="24"/>
        </w:rPr>
        <w:t xml:space="preserve">those regarding </w:t>
      </w:r>
      <w:proofErr w:type="spellStart"/>
      <w:r w:rsidR="001079C8" w:rsidRPr="00934F4B">
        <w:rPr>
          <w:rFonts w:asciiTheme="majorBidi" w:hAnsiTheme="majorBidi" w:cstheme="majorBidi"/>
          <w:i/>
          <w:iCs/>
          <w:sz w:val="24"/>
          <w:szCs w:val="24"/>
        </w:rPr>
        <w:t>infames</w:t>
      </w:r>
      <w:proofErr w:type="spellEnd"/>
      <w:r w:rsidR="001079C8" w:rsidRPr="00934F4B">
        <w:rPr>
          <w:rFonts w:asciiTheme="majorBidi" w:hAnsiTheme="majorBidi" w:cstheme="majorBidi"/>
          <w:sz w:val="24"/>
          <w:szCs w:val="24"/>
        </w:rPr>
        <w:t xml:space="preserve">? Is it possible that they too were </w:t>
      </w:r>
      <w:r w:rsidR="006068E0" w:rsidRPr="00934F4B">
        <w:rPr>
          <w:rFonts w:asciiTheme="majorBidi" w:hAnsiTheme="majorBidi" w:cstheme="majorBidi"/>
          <w:sz w:val="24"/>
          <w:szCs w:val="24"/>
        </w:rPr>
        <w:t>initially</w:t>
      </w:r>
      <w:r w:rsidR="0054360D" w:rsidRPr="00934F4B">
        <w:rPr>
          <w:rFonts w:asciiTheme="majorBidi" w:hAnsiTheme="majorBidi" w:cstheme="majorBidi"/>
          <w:sz w:val="24"/>
          <w:szCs w:val="24"/>
        </w:rPr>
        <w:t xml:space="preserve"> </w:t>
      </w:r>
      <w:r w:rsidR="001079C8" w:rsidRPr="00934F4B">
        <w:rPr>
          <w:rFonts w:asciiTheme="majorBidi" w:hAnsiTheme="majorBidi" w:cstheme="majorBidi"/>
          <w:sz w:val="24"/>
          <w:szCs w:val="24"/>
        </w:rPr>
        <w:t xml:space="preserve">disqualified </w:t>
      </w:r>
      <w:r w:rsidR="002D00FD" w:rsidRPr="00934F4B">
        <w:rPr>
          <w:rFonts w:asciiTheme="majorBidi" w:hAnsiTheme="majorBidi" w:cstheme="majorBidi"/>
          <w:sz w:val="24"/>
          <w:szCs w:val="24"/>
        </w:rPr>
        <w:t>for</w:t>
      </w:r>
      <w:r w:rsidR="001079C8" w:rsidRPr="00934F4B">
        <w:rPr>
          <w:rFonts w:asciiTheme="majorBidi" w:hAnsiTheme="majorBidi" w:cstheme="majorBidi"/>
          <w:sz w:val="24"/>
          <w:szCs w:val="24"/>
        </w:rPr>
        <w:t xml:space="preserve"> court testimony, in the same way as they were excluded from </w:t>
      </w:r>
      <w:r w:rsidR="005B6CE5" w:rsidRPr="00934F4B">
        <w:rPr>
          <w:rFonts w:asciiTheme="majorBidi" w:hAnsiTheme="majorBidi" w:cstheme="majorBidi"/>
          <w:sz w:val="24"/>
          <w:szCs w:val="24"/>
        </w:rPr>
        <w:t xml:space="preserve">witnessing wills and from </w:t>
      </w:r>
      <w:r w:rsidR="004C59D2" w:rsidRPr="00934F4B">
        <w:rPr>
          <w:rFonts w:asciiTheme="majorBidi" w:hAnsiTheme="majorBidi" w:cstheme="majorBidi"/>
          <w:sz w:val="24"/>
          <w:szCs w:val="24"/>
        </w:rPr>
        <w:t xml:space="preserve">serving in a </w:t>
      </w:r>
      <w:r w:rsidR="001079C8" w:rsidRPr="00934F4B">
        <w:rPr>
          <w:rFonts w:asciiTheme="majorBidi" w:hAnsiTheme="majorBidi" w:cstheme="majorBidi"/>
          <w:sz w:val="24"/>
          <w:szCs w:val="24"/>
        </w:rPr>
        <w:t>political office, but when court testimony was no longer perceived as an office their status changed,</w:t>
      </w:r>
      <w:r w:rsidR="0054360D" w:rsidRPr="00934F4B">
        <w:rPr>
          <w:rFonts w:asciiTheme="majorBidi" w:hAnsiTheme="majorBidi" w:cstheme="majorBidi"/>
          <w:sz w:val="24"/>
          <w:szCs w:val="24"/>
        </w:rPr>
        <w:t xml:space="preserve"> so that the prior blanket exclusion was replaced with judicial discretion of the kind </w:t>
      </w:r>
      <w:r w:rsidR="001079C8" w:rsidRPr="00934F4B">
        <w:rPr>
          <w:rFonts w:asciiTheme="majorBidi" w:hAnsiTheme="majorBidi" w:cstheme="majorBidi"/>
          <w:sz w:val="24"/>
          <w:szCs w:val="24"/>
        </w:rPr>
        <w:t xml:space="preserve">portrayed by </w:t>
      </w:r>
      <w:proofErr w:type="spellStart"/>
      <w:r w:rsidR="002D00FD" w:rsidRPr="00934F4B">
        <w:rPr>
          <w:rFonts w:asciiTheme="majorBidi" w:hAnsiTheme="majorBidi" w:cstheme="majorBidi"/>
          <w:sz w:val="24"/>
          <w:szCs w:val="24"/>
        </w:rPr>
        <w:t>M</w:t>
      </w:r>
      <w:r w:rsidR="001079C8" w:rsidRPr="00934F4B">
        <w:rPr>
          <w:rFonts w:asciiTheme="majorBidi" w:hAnsiTheme="majorBidi" w:cstheme="majorBidi"/>
          <w:sz w:val="24"/>
          <w:szCs w:val="24"/>
        </w:rPr>
        <w:t>odestinus</w:t>
      </w:r>
      <w:proofErr w:type="spellEnd"/>
      <w:r w:rsidR="001079C8" w:rsidRPr="00934F4B">
        <w:rPr>
          <w:rFonts w:asciiTheme="majorBidi" w:hAnsiTheme="majorBidi" w:cstheme="majorBidi"/>
          <w:sz w:val="24"/>
          <w:szCs w:val="24"/>
        </w:rPr>
        <w:t xml:space="preserve">? </w:t>
      </w:r>
    </w:p>
    <w:p w14:paraId="077DE9CE" w14:textId="3E6B7362" w:rsidR="00316779" w:rsidRPr="00934F4B" w:rsidRDefault="002D00FD" w:rsidP="00952082">
      <w:pPr>
        <w:jc w:val="both"/>
        <w:rPr>
          <w:rFonts w:asciiTheme="majorBidi" w:hAnsiTheme="majorBidi" w:cstheme="majorBidi"/>
          <w:sz w:val="24"/>
          <w:szCs w:val="24"/>
        </w:rPr>
      </w:pPr>
      <w:r w:rsidRPr="00934F4B">
        <w:rPr>
          <w:rFonts w:asciiTheme="majorBidi" w:hAnsiTheme="majorBidi" w:cstheme="majorBidi"/>
          <w:sz w:val="24"/>
          <w:szCs w:val="24"/>
        </w:rPr>
        <w:t>O</w:t>
      </w:r>
      <w:r w:rsidR="0054360D" w:rsidRPr="00934F4B">
        <w:rPr>
          <w:rFonts w:asciiTheme="majorBidi" w:hAnsiTheme="majorBidi" w:cstheme="majorBidi"/>
          <w:sz w:val="24"/>
          <w:szCs w:val="24"/>
        </w:rPr>
        <w:t xml:space="preserve">ther indications </w:t>
      </w:r>
      <w:r w:rsidRPr="00934F4B">
        <w:rPr>
          <w:rFonts w:asciiTheme="majorBidi" w:hAnsiTheme="majorBidi" w:cstheme="majorBidi"/>
          <w:sz w:val="24"/>
          <w:szCs w:val="24"/>
        </w:rPr>
        <w:t xml:space="preserve">have been pointed out in scholarship for </w:t>
      </w:r>
      <w:r w:rsidR="0054360D" w:rsidRPr="00934F4B">
        <w:rPr>
          <w:rFonts w:asciiTheme="majorBidi" w:hAnsiTheme="majorBidi" w:cstheme="majorBidi"/>
          <w:sz w:val="24"/>
          <w:szCs w:val="24"/>
        </w:rPr>
        <w:t xml:space="preserve">a change in the perception of the role of witnesses took place in roman legal thought, </w:t>
      </w:r>
      <w:r w:rsidR="004C59D2" w:rsidRPr="00934F4B">
        <w:rPr>
          <w:rFonts w:asciiTheme="majorBidi" w:hAnsiTheme="majorBidi" w:cstheme="majorBidi"/>
          <w:sz w:val="24"/>
          <w:szCs w:val="24"/>
        </w:rPr>
        <w:t>r</w:t>
      </w:r>
      <w:r w:rsidRPr="00934F4B">
        <w:rPr>
          <w:rFonts w:asciiTheme="majorBidi" w:hAnsiTheme="majorBidi" w:cstheme="majorBidi"/>
          <w:sz w:val="24"/>
          <w:szCs w:val="24"/>
        </w:rPr>
        <w:t xml:space="preserve">oughly </w:t>
      </w:r>
      <w:r w:rsidR="0054360D" w:rsidRPr="00934F4B">
        <w:rPr>
          <w:rFonts w:asciiTheme="majorBidi" w:hAnsiTheme="majorBidi" w:cstheme="majorBidi"/>
          <w:sz w:val="24"/>
          <w:szCs w:val="24"/>
        </w:rPr>
        <w:t>around the</w:t>
      </w:r>
      <w:r w:rsidRPr="00934F4B">
        <w:rPr>
          <w:rFonts w:asciiTheme="majorBidi" w:hAnsiTheme="majorBidi" w:cstheme="majorBidi"/>
          <w:sz w:val="24"/>
          <w:szCs w:val="24"/>
        </w:rPr>
        <w:t xml:space="preserve"> first century CE</w:t>
      </w:r>
      <w:r w:rsidR="0054360D" w:rsidRPr="00934F4B">
        <w:rPr>
          <w:rFonts w:asciiTheme="majorBidi" w:hAnsiTheme="majorBidi" w:cstheme="majorBidi"/>
          <w:sz w:val="24"/>
          <w:szCs w:val="24"/>
        </w:rPr>
        <w:t>,</w:t>
      </w:r>
      <w:r w:rsidR="006068E0" w:rsidRPr="00934F4B">
        <w:rPr>
          <w:rStyle w:val="FootnoteReference"/>
          <w:rFonts w:asciiTheme="majorBidi" w:hAnsiTheme="majorBidi" w:cstheme="majorBidi"/>
          <w:sz w:val="24"/>
          <w:szCs w:val="24"/>
        </w:rPr>
        <w:footnoteReference w:id="19"/>
      </w:r>
      <w:r w:rsidR="0054360D" w:rsidRPr="00934F4B">
        <w:rPr>
          <w:rFonts w:asciiTheme="majorBidi" w:hAnsiTheme="majorBidi" w:cstheme="majorBidi"/>
          <w:sz w:val="24"/>
          <w:szCs w:val="24"/>
        </w:rPr>
        <w:t xml:space="preserve"> </w:t>
      </w:r>
      <w:r w:rsidR="006068E0" w:rsidRPr="00934F4B">
        <w:rPr>
          <w:rFonts w:asciiTheme="majorBidi" w:hAnsiTheme="majorBidi" w:cstheme="majorBidi"/>
          <w:sz w:val="24"/>
          <w:szCs w:val="24"/>
        </w:rPr>
        <w:t xml:space="preserve">and </w:t>
      </w:r>
      <w:r w:rsidR="0054360D" w:rsidRPr="00934F4B">
        <w:rPr>
          <w:rFonts w:asciiTheme="majorBidi" w:hAnsiTheme="majorBidi" w:cstheme="majorBidi"/>
          <w:sz w:val="24"/>
          <w:szCs w:val="24"/>
        </w:rPr>
        <w:t xml:space="preserve">this debate is far from </w:t>
      </w:r>
      <w:r w:rsidR="006068E0" w:rsidRPr="00934F4B">
        <w:rPr>
          <w:rFonts w:asciiTheme="majorBidi" w:hAnsiTheme="majorBidi" w:cstheme="majorBidi"/>
          <w:sz w:val="24"/>
          <w:szCs w:val="24"/>
        </w:rPr>
        <w:t>exhausted</w:t>
      </w:r>
      <w:r w:rsidR="0054360D" w:rsidRPr="00934F4B">
        <w:rPr>
          <w:rFonts w:asciiTheme="majorBidi" w:hAnsiTheme="majorBidi" w:cstheme="majorBidi"/>
          <w:sz w:val="24"/>
          <w:szCs w:val="24"/>
        </w:rPr>
        <w:t xml:space="preserve">. </w:t>
      </w:r>
      <w:r w:rsidR="006068E0" w:rsidRPr="00934F4B">
        <w:rPr>
          <w:rFonts w:asciiTheme="majorBidi" w:hAnsiTheme="majorBidi" w:cstheme="majorBidi"/>
          <w:sz w:val="24"/>
          <w:szCs w:val="24"/>
        </w:rPr>
        <w:t xml:space="preserve"> Until </w:t>
      </w:r>
      <w:r w:rsidRPr="00934F4B">
        <w:rPr>
          <w:rFonts w:asciiTheme="majorBidi" w:hAnsiTheme="majorBidi" w:cstheme="majorBidi"/>
          <w:sz w:val="24"/>
          <w:szCs w:val="24"/>
        </w:rPr>
        <w:t xml:space="preserve">we have </w:t>
      </w:r>
      <w:r w:rsidR="006068E0" w:rsidRPr="00934F4B">
        <w:rPr>
          <w:rFonts w:asciiTheme="majorBidi" w:hAnsiTheme="majorBidi" w:cstheme="majorBidi"/>
          <w:sz w:val="24"/>
          <w:szCs w:val="24"/>
        </w:rPr>
        <w:t xml:space="preserve">a better picture of this change </w:t>
      </w:r>
      <w:r w:rsidRPr="00934F4B">
        <w:rPr>
          <w:rFonts w:asciiTheme="majorBidi" w:hAnsiTheme="majorBidi" w:cstheme="majorBidi"/>
          <w:sz w:val="24"/>
          <w:szCs w:val="24"/>
        </w:rPr>
        <w:t>and its reasons</w:t>
      </w:r>
      <w:r w:rsidR="006068E0" w:rsidRPr="00934F4B">
        <w:rPr>
          <w:rFonts w:asciiTheme="majorBidi" w:hAnsiTheme="majorBidi" w:cstheme="majorBidi"/>
          <w:sz w:val="24"/>
          <w:szCs w:val="24"/>
        </w:rPr>
        <w:t xml:space="preserve">, we ought to be careful with </w:t>
      </w:r>
      <w:r w:rsidR="005B6CE5" w:rsidRPr="00934F4B">
        <w:rPr>
          <w:rFonts w:asciiTheme="majorBidi" w:hAnsiTheme="majorBidi" w:cstheme="majorBidi"/>
          <w:sz w:val="24"/>
          <w:szCs w:val="24"/>
        </w:rPr>
        <w:t xml:space="preserve">what </w:t>
      </w:r>
      <w:r w:rsidR="006068E0" w:rsidRPr="00934F4B">
        <w:rPr>
          <w:rFonts w:asciiTheme="majorBidi" w:hAnsiTheme="majorBidi" w:cstheme="majorBidi"/>
          <w:sz w:val="24"/>
          <w:szCs w:val="24"/>
        </w:rPr>
        <w:t xml:space="preserve">presuppositions we make when addressing ancient sources on witnesses and testimony. </w:t>
      </w:r>
      <w:r w:rsidR="004C59D2" w:rsidRPr="00934F4B">
        <w:rPr>
          <w:rFonts w:asciiTheme="majorBidi" w:hAnsiTheme="majorBidi" w:cstheme="majorBidi"/>
          <w:sz w:val="24"/>
          <w:szCs w:val="24"/>
        </w:rPr>
        <w:t xml:space="preserve">Now, a </w:t>
      </w:r>
      <w:r w:rsidR="006068E0" w:rsidRPr="00934F4B">
        <w:rPr>
          <w:rFonts w:asciiTheme="majorBidi" w:hAnsiTheme="majorBidi" w:cstheme="majorBidi"/>
          <w:sz w:val="24"/>
          <w:szCs w:val="24"/>
        </w:rPr>
        <w:t>clear-cut separation of the rules regarding court testimony and witnessing document</w:t>
      </w:r>
      <w:r w:rsidRPr="00934F4B">
        <w:rPr>
          <w:rFonts w:asciiTheme="majorBidi" w:hAnsiTheme="majorBidi" w:cstheme="majorBidi"/>
          <w:sz w:val="24"/>
          <w:szCs w:val="24"/>
        </w:rPr>
        <w:t>s, among them wills,</w:t>
      </w:r>
      <w:r w:rsidR="006068E0" w:rsidRPr="00934F4B">
        <w:rPr>
          <w:rFonts w:asciiTheme="majorBidi" w:hAnsiTheme="majorBidi" w:cstheme="majorBidi"/>
          <w:sz w:val="24"/>
          <w:szCs w:val="24"/>
        </w:rPr>
        <w:t xml:space="preserve"> m</w:t>
      </w:r>
      <w:r w:rsidR="004C59D2" w:rsidRPr="00934F4B">
        <w:rPr>
          <w:rFonts w:asciiTheme="majorBidi" w:hAnsiTheme="majorBidi" w:cstheme="majorBidi"/>
          <w:sz w:val="24"/>
          <w:szCs w:val="24"/>
        </w:rPr>
        <w:t>ight</w:t>
      </w:r>
      <w:r w:rsidR="006068E0" w:rsidRPr="00934F4B">
        <w:rPr>
          <w:rFonts w:asciiTheme="majorBidi" w:hAnsiTheme="majorBidi" w:cstheme="majorBidi"/>
          <w:sz w:val="24"/>
          <w:szCs w:val="24"/>
        </w:rPr>
        <w:t xml:space="preserve"> be guided by </w:t>
      </w:r>
      <w:r w:rsidR="009A25F1" w:rsidRPr="00934F4B">
        <w:rPr>
          <w:rFonts w:asciiTheme="majorBidi" w:hAnsiTheme="majorBidi" w:cstheme="majorBidi"/>
          <w:sz w:val="24"/>
          <w:szCs w:val="24"/>
        </w:rPr>
        <w:t xml:space="preserve">such </w:t>
      </w:r>
      <w:r w:rsidR="006068E0" w:rsidRPr="00934F4B">
        <w:rPr>
          <w:rFonts w:asciiTheme="majorBidi" w:hAnsiTheme="majorBidi" w:cstheme="majorBidi"/>
          <w:sz w:val="24"/>
          <w:szCs w:val="24"/>
        </w:rPr>
        <w:t>an anachroni</w:t>
      </w:r>
      <w:r w:rsidR="006C3602" w:rsidRPr="00934F4B">
        <w:rPr>
          <w:rFonts w:asciiTheme="majorBidi" w:hAnsiTheme="majorBidi" w:cstheme="majorBidi"/>
          <w:sz w:val="24"/>
          <w:szCs w:val="24"/>
        </w:rPr>
        <w:t>stic presupposition regarding the</w:t>
      </w:r>
      <w:r w:rsidR="006068E0" w:rsidRPr="00934F4B">
        <w:rPr>
          <w:rFonts w:asciiTheme="majorBidi" w:hAnsiTheme="majorBidi" w:cstheme="majorBidi"/>
          <w:sz w:val="24"/>
          <w:szCs w:val="24"/>
        </w:rPr>
        <w:t xml:space="preserve"> role of witnesses in courts</w:t>
      </w:r>
      <w:r w:rsidR="009A25F1" w:rsidRPr="00934F4B">
        <w:rPr>
          <w:rFonts w:asciiTheme="majorBidi" w:hAnsiTheme="majorBidi" w:cstheme="majorBidi"/>
          <w:sz w:val="24"/>
          <w:szCs w:val="24"/>
        </w:rPr>
        <w:t xml:space="preserve">. </w:t>
      </w:r>
      <w:r w:rsidRPr="00934F4B">
        <w:rPr>
          <w:rFonts w:asciiTheme="majorBidi" w:hAnsiTheme="majorBidi" w:cstheme="majorBidi"/>
          <w:sz w:val="24"/>
          <w:szCs w:val="24"/>
        </w:rPr>
        <w:t>For what is the justification for assuming that the role of witnesses in the two procedures was different? Such an assumption is not supported by any terminological distinction neither in Latin, nor in Hebrew.</w:t>
      </w:r>
      <w:r w:rsidR="00952082" w:rsidRPr="00934F4B">
        <w:rPr>
          <w:rStyle w:val="FootnoteReference"/>
          <w:rFonts w:asciiTheme="majorBidi" w:hAnsiTheme="majorBidi" w:cstheme="majorBidi"/>
          <w:sz w:val="24"/>
          <w:szCs w:val="24"/>
        </w:rPr>
        <w:footnoteReference w:id="20"/>
      </w:r>
      <w:r w:rsidRPr="00934F4B">
        <w:rPr>
          <w:rFonts w:asciiTheme="majorBidi" w:hAnsiTheme="majorBidi" w:cstheme="majorBidi"/>
          <w:sz w:val="24"/>
          <w:szCs w:val="24"/>
        </w:rPr>
        <w:t xml:space="preserve"> Obviously the function of these two types of witnesses is different from a modern perspective, since today we think of witnesses </w:t>
      </w:r>
      <w:r w:rsidRPr="00934F4B">
        <w:rPr>
          <w:rFonts w:asciiTheme="majorBidi" w:hAnsiTheme="majorBidi" w:cstheme="majorBidi"/>
          <w:sz w:val="24"/>
          <w:szCs w:val="24"/>
        </w:rPr>
        <w:lastRenderedPageBreak/>
        <w:t xml:space="preserve">in court as merely providing information to the judicial authority and not as bearing </w:t>
      </w:r>
      <w:r w:rsidR="00820D71" w:rsidRPr="00934F4B">
        <w:rPr>
          <w:rFonts w:asciiTheme="majorBidi" w:hAnsiTheme="majorBidi" w:cstheme="majorBidi"/>
          <w:sz w:val="24"/>
          <w:szCs w:val="24"/>
        </w:rPr>
        <w:t xml:space="preserve">any </w:t>
      </w:r>
      <w:r w:rsidRPr="00934F4B">
        <w:rPr>
          <w:rFonts w:asciiTheme="majorBidi" w:hAnsiTheme="majorBidi" w:cstheme="majorBidi"/>
          <w:sz w:val="24"/>
          <w:szCs w:val="24"/>
        </w:rPr>
        <w:t>substantial authority, wher</w:t>
      </w:r>
      <w:r w:rsidR="00820D71" w:rsidRPr="00934F4B">
        <w:rPr>
          <w:rFonts w:asciiTheme="majorBidi" w:hAnsiTheme="majorBidi" w:cstheme="majorBidi"/>
          <w:sz w:val="24"/>
          <w:szCs w:val="24"/>
        </w:rPr>
        <w:t>e</w:t>
      </w:r>
      <w:r w:rsidRPr="00934F4B">
        <w:rPr>
          <w:rFonts w:asciiTheme="majorBidi" w:hAnsiTheme="majorBidi" w:cstheme="majorBidi"/>
          <w:sz w:val="24"/>
          <w:szCs w:val="24"/>
        </w:rPr>
        <w:t xml:space="preserve">as </w:t>
      </w:r>
      <w:r w:rsidR="00820D71" w:rsidRPr="00934F4B">
        <w:rPr>
          <w:rFonts w:asciiTheme="majorBidi" w:hAnsiTheme="majorBidi" w:cstheme="majorBidi"/>
          <w:sz w:val="24"/>
          <w:szCs w:val="24"/>
        </w:rPr>
        <w:t>with regards</w:t>
      </w:r>
      <w:r w:rsidRPr="00934F4B">
        <w:rPr>
          <w:rFonts w:asciiTheme="majorBidi" w:hAnsiTheme="majorBidi" w:cstheme="majorBidi"/>
          <w:sz w:val="24"/>
          <w:szCs w:val="24"/>
        </w:rPr>
        <w:t xml:space="preserve"> to authorization of documents we are less invested in this argument. </w:t>
      </w:r>
      <w:r w:rsidR="00704C4C" w:rsidRPr="00934F4B">
        <w:rPr>
          <w:rFonts w:asciiTheme="majorBidi" w:hAnsiTheme="majorBidi" w:cstheme="majorBidi"/>
          <w:sz w:val="24"/>
          <w:szCs w:val="24"/>
        </w:rPr>
        <w:t>Du-Plessis openly admits to holding a modern perspective on this point, as he writes</w:t>
      </w:r>
      <w:r w:rsidR="004C59D2" w:rsidRPr="00934F4B">
        <w:rPr>
          <w:rFonts w:asciiTheme="majorBidi" w:hAnsiTheme="majorBidi" w:cstheme="majorBidi"/>
          <w:sz w:val="24"/>
          <w:szCs w:val="24"/>
        </w:rPr>
        <w:t xml:space="preserve"> that</w:t>
      </w:r>
      <w:r w:rsidR="00704C4C" w:rsidRPr="00934F4B">
        <w:rPr>
          <w:rFonts w:asciiTheme="majorBidi" w:hAnsiTheme="majorBidi" w:cstheme="majorBidi"/>
          <w:sz w:val="24"/>
          <w:szCs w:val="24"/>
        </w:rPr>
        <w:t xml:space="preserve"> “</w:t>
      </w:r>
      <w:r w:rsidR="00704C4C" w:rsidRPr="00934F4B">
        <w:rPr>
          <w:rFonts w:asciiTheme="majorBidi" w:hAnsiTheme="majorBidi" w:cstheme="majorBidi"/>
          <w:b/>
          <w:bCs/>
          <w:sz w:val="24"/>
          <w:szCs w:val="24"/>
        </w:rPr>
        <w:t>as in modern law</w:t>
      </w:r>
      <w:r w:rsidR="00704C4C" w:rsidRPr="00934F4B">
        <w:rPr>
          <w:rFonts w:asciiTheme="majorBidi" w:hAnsiTheme="majorBidi" w:cstheme="majorBidi"/>
          <w:sz w:val="24"/>
          <w:szCs w:val="24"/>
        </w:rPr>
        <w:t>, the value of the evidence [in roman courts of law] was judged with reference to its credibility</w:t>
      </w:r>
      <w:r w:rsidR="00957F0A" w:rsidRPr="00934F4B">
        <w:rPr>
          <w:rFonts w:asciiTheme="majorBidi" w:hAnsiTheme="majorBidi" w:cstheme="majorBidi"/>
          <w:sz w:val="24"/>
          <w:szCs w:val="24"/>
        </w:rPr>
        <w:t>”</w:t>
      </w:r>
      <w:r w:rsidR="00704C4C" w:rsidRPr="00934F4B">
        <w:rPr>
          <w:rFonts w:asciiTheme="majorBidi" w:hAnsiTheme="majorBidi" w:cstheme="majorBidi"/>
          <w:sz w:val="24"/>
          <w:szCs w:val="24"/>
        </w:rPr>
        <w:t xml:space="preserve"> (952</w:t>
      </w:r>
      <w:r w:rsidR="008A1DBB" w:rsidRPr="00934F4B">
        <w:rPr>
          <w:rFonts w:asciiTheme="majorBidi" w:hAnsiTheme="majorBidi" w:cstheme="majorBidi"/>
          <w:sz w:val="24"/>
          <w:szCs w:val="24"/>
        </w:rPr>
        <w:t>; my emphasis</w:t>
      </w:r>
      <w:r w:rsidR="00704C4C" w:rsidRPr="00934F4B">
        <w:rPr>
          <w:rFonts w:asciiTheme="majorBidi" w:hAnsiTheme="majorBidi" w:cstheme="majorBidi"/>
          <w:sz w:val="24"/>
          <w:szCs w:val="24"/>
        </w:rPr>
        <w:t xml:space="preserve">). </w:t>
      </w:r>
      <w:r w:rsidR="00BC2C38" w:rsidRPr="00934F4B">
        <w:rPr>
          <w:rFonts w:asciiTheme="majorBidi" w:hAnsiTheme="majorBidi" w:cstheme="majorBidi"/>
          <w:sz w:val="24"/>
          <w:szCs w:val="24"/>
        </w:rPr>
        <w:t xml:space="preserve">In his response he does not touch at all on the disqualification of </w:t>
      </w:r>
      <w:proofErr w:type="spellStart"/>
      <w:r w:rsidR="00BC2C38" w:rsidRPr="00934F4B">
        <w:rPr>
          <w:rFonts w:asciiTheme="majorBidi" w:hAnsiTheme="majorBidi" w:cstheme="majorBidi"/>
          <w:i/>
          <w:iCs/>
          <w:sz w:val="24"/>
          <w:szCs w:val="24"/>
        </w:rPr>
        <w:t>infames</w:t>
      </w:r>
      <w:proofErr w:type="spellEnd"/>
      <w:r w:rsidR="00BC2C38" w:rsidRPr="00934F4B">
        <w:rPr>
          <w:rFonts w:asciiTheme="majorBidi" w:hAnsiTheme="majorBidi" w:cstheme="majorBidi"/>
          <w:sz w:val="24"/>
          <w:szCs w:val="24"/>
        </w:rPr>
        <w:t xml:space="preserve"> or others for serving as witnesses to wills, implicitly assuming that it should be regarded on different grounds. </w:t>
      </w:r>
      <w:r w:rsidRPr="00934F4B">
        <w:rPr>
          <w:rFonts w:asciiTheme="majorBidi" w:hAnsiTheme="majorBidi" w:cstheme="majorBidi"/>
          <w:sz w:val="24"/>
          <w:szCs w:val="24"/>
        </w:rPr>
        <w:t>But what if this division is only the product of a change in the conceptual role occupied by witnesses in court, as Thomas suggests? It is my contention that we ought to avoid assuming this conceptual separation when it comes to the ancient sources, especially when these sources indicate a link between the two</w:t>
      </w:r>
      <w:r w:rsidR="00BC2C38" w:rsidRPr="00934F4B">
        <w:rPr>
          <w:rFonts w:asciiTheme="majorBidi" w:hAnsiTheme="majorBidi" w:cstheme="majorBidi"/>
          <w:sz w:val="24"/>
          <w:szCs w:val="24"/>
        </w:rPr>
        <w:t xml:space="preserve"> witness functions</w:t>
      </w:r>
      <w:r w:rsidRPr="00934F4B">
        <w:rPr>
          <w:rFonts w:asciiTheme="majorBidi" w:hAnsiTheme="majorBidi" w:cstheme="majorBidi"/>
          <w:sz w:val="24"/>
          <w:szCs w:val="24"/>
        </w:rPr>
        <w:t xml:space="preserve">, as is the case in the writings of the classical Roman Jurists. And if we think of court testimony and the role of witnesses to wills, or other documents, in tandem, we receive a picture that clearly connects </w:t>
      </w:r>
      <w:proofErr w:type="spellStart"/>
      <w:r w:rsidRPr="00934F4B">
        <w:rPr>
          <w:rFonts w:asciiTheme="majorBidi" w:hAnsiTheme="majorBidi" w:cstheme="majorBidi"/>
          <w:i/>
          <w:iCs/>
          <w:sz w:val="24"/>
          <w:szCs w:val="24"/>
        </w:rPr>
        <w:t>infamia</w:t>
      </w:r>
      <w:proofErr w:type="spellEnd"/>
      <w:r w:rsidRPr="00934F4B">
        <w:rPr>
          <w:rFonts w:asciiTheme="majorBidi" w:hAnsiTheme="majorBidi" w:cstheme="majorBidi"/>
          <w:sz w:val="24"/>
          <w:szCs w:val="24"/>
        </w:rPr>
        <w:t xml:space="preserve"> </w:t>
      </w:r>
      <w:r w:rsidR="00820D71" w:rsidRPr="00934F4B">
        <w:rPr>
          <w:rFonts w:asciiTheme="majorBidi" w:hAnsiTheme="majorBidi" w:cstheme="majorBidi"/>
          <w:sz w:val="24"/>
          <w:szCs w:val="24"/>
        </w:rPr>
        <w:t>with</w:t>
      </w:r>
      <w:r w:rsidRPr="00934F4B">
        <w:rPr>
          <w:rFonts w:asciiTheme="majorBidi" w:hAnsiTheme="majorBidi" w:cstheme="majorBidi"/>
          <w:sz w:val="24"/>
          <w:szCs w:val="24"/>
        </w:rPr>
        <w:t xml:space="preserve"> disqualification for witnesses’ roles, in their various forms.   </w:t>
      </w:r>
      <w:r w:rsidR="009A25F1" w:rsidRPr="00934F4B">
        <w:rPr>
          <w:rFonts w:asciiTheme="majorBidi" w:hAnsiTheme="majorBidi" w:cstheme="majorBidi"/>
          <w:sz w:val="24"/>
          <w:szCs w:val="24"/>
        </w:rPr>
        <w:t xml:space="preserve"> </w:t>
      </w:r>
    </w:p>
    <w:p w14:paraId="3D3F9E4C" w14:textId="2459E9E5" w:rsidR="00605A1F" w:rsidRPr="00934F4B" w:rsidRDefault="009A25F1" w:rsidP="005621CD">
      <w:pPr>
        <w:jc w:val="both"/>
        <w:rPr>
          <w:rFonts w:asciiTheme="majorBidi" w:hAnsiTheme="majorBidi" w:cstheme="majorBidi"/>
          <w:sz w:val="24"/>
          <w:szCs w:val="24"/>
        </w:rPr>
      </w:pPr>
      <w:r w:rsidRPr="00934F4B">
        <w:rPr>
          <w:rFonts w:asciiTheme="majorBidi" w:hAnsiTheme="majorBidi" w:cstheme="majorBidi"/>
          <w:sz w:val="24"/>
          <w:szCs w:val="24"/>
        </w:rPr>
        <w:t xml:space="preserve">Going back to the comparison between rabbinic and </w:t>
      </w:r>
      <w:r w:rsidR="002D00FD" w:rsidRPr="00934F4B">
        <w:rPr>
          <w:rFonts w:asciiTheme="majorBidi" w:hAnsiTheme="majorBidi" w:cstheme="majorBidi"/>
          <w:sz w:val="24"/>
          <w:szCs w:val="24"/>
        </w:rPr>
        <w:t>R</w:t>
      </w:r>
      <w:r w:rsidRPr="00934F4B">
        <w:rPr>
          <w:rFonts w:asciiTheme="majorBidi" w:hAnsiTheme="majorBidi" w:cstheme="majorBidi"/>
          <w:sz w:val="24"/>
          <w:szCs w:val="24"/>
        </w:rPr>
        <w:t xml:space="preserve">oman rules of disqualification for testimony, it should be noted that the disqualification of the list of four </w:t>
      </w:r>
      <w:r w:rsidR="002D00FD" w:rsidRPr="00934F4B">
        <w:rPr>
          <w:rFonts w:asciiTheme="majorBidi" w:hAnsiTheme="majorBidi" w:cstheme="majorBidi"/>
          <w:sz w:val="24"/>
          <w:szCs w:val="24"/>
        </w:rPr>
        <w:t>characters</w:t>
      </w:r>
      <w:r w:rsidRPr="00934F4B">
        <w:rPr>
          <w:rFonts w:asciiTheme="majorBidi" w:hAnsiTheme="majorBidi" w:cstheme="majorBidi"/>
          <w:sz w:val="24"/>
          <w:szCs w:val="24"/>
        </w:rPr>
        <w:t xml:space="preserve"> in rabbinic context is by no means </w:t>
      </w:r>
      <w:r w:rsidR="002D00FD" w:rsidRPr="00934F4B">
        <w:rPr>
          <w:rFonts w:asciiTheme="majorBidi" w:hAnsiTheme="majorBidi" w:cstheme="majorBidi"/>
          <w:sz w:val="24"/>
          <w:szCs w:val="24"/>
        </w:rPr>
        <w:t xml:space="preserve">limited </w:t>
      </w:r>
      <w:r w:rsidRPr="00934F4B">
        <w:rPr>
          <w:rFonts w:asciiTheme="majorBidi" w:hAnsiTheme="majorBidi" w:cstheme="majorBidi"/>
          <w:sz w:val="24"/>
          <w:szCs w:val="24"/>
        </w:rPr>
        <w:t>to cour</w:t>
      </w:r>
      <w:r w:rsidR="00820D71" w:rsidRPr="00934F4B">
        <w:rPr>
          <w:rFonts w:asciiTheme="majorBidi" w:hAnsiTheme="majorBidi" w:cstheme="majorBidi"/>
          <w:sz w:val="24"/>
          <w:szCs w:val="24"/>
        </w:rPr>
        <w:t xml:space="preserve">t testimony, and </w:t>
      </w:r>
      <w:r w:rsidR="005621CD" w:rsidRPr="00934F4B">
        <w:rPr>
          <w:rFonts w:asciiTheme="majorBidi" w:hAnsiTheme="majorBidi" w:cstheme="majorBidi"/>
          <w:sz w:val="24"/>
          <w:szCs w:val="24"/>
        </w:rPr>
        <w:t>similarly</w:t>
      </w:r>
      <w:r w:rsidR="00820D71" w:rsidRPr="00934F4B">
        <w:rPr>
          <w:rFonts w:asciiTheme="majorBidi" w:hAnsiTheme="majorBidi" w:cstheme="majorBidi"/>
          <w:sz w:val="24"/>
          <w:szCs w:val="24"/>
        </w:rPr>
        <w:t xml:space="preserve"> applies</w:t>
      </w:r>
      <w:r w:rsidRPr="00934F4B">
        <w:rPr>
          <w:rFonts w:asciiTheme="majorBidi" w:hAnsiTheme="majorBidi" w:cstheme="majorBidi"/>
          <w:sz w:val="24"/>
          <w:szCs w:val="24"/>
        </w:rPr>
        <w:t xml:space="preserve"> to the capacity of serving as a witnesses to legal documents</w:t>
      </w:r>
      <w:r w:rsidR="00820D71" w:rsidRPr="00934F4B">
        <w:rPr>
          <w:rFonts w:asciiTheme="majorBidi" w:hAnsiTheme="majorBidi" w:cstheme="majorBidi"/>
          <w:sz w:val="24"/>
          <w:szCs w:val="24"/>
        </w:rPr>
        <w:t xml:space="preserve">: </w:t>
      </w:r>
      <w:r w:rsidR="009B6EFF" w:rsidRPr="00934F4B">
        <w:rPr>
          <w:rFonts w:asciiTheme="majorBidi" w:hAnsiTheme="majorBidi" w:cstheme="majorBidi"/>
          <w:sz w:val="24"/>
          <w:szCs w:val="24"/>
        </w:rPr>
        <w:t>The</w:t>
      </w:r>
      <w:r w:rsidR="002D00FD" w:rsidRPr="00934F4B">
        <w:rPr>
          <w:rFonts w:asciiTheme="majorBidi" w:hAnsiTheme="majorBidi" w:cstheme="majorBidi"/>
          <w:sz w:val="24"/>
          <w:szCs w:val="24"/>
        </w:rPr>
        <w:t xml:space="preserve"> Hebrew word </w:t>
      </w:r>
      <w:r w:rsidR="002D00FD" w:rsidRPr="00934F4B">
        <w:rPr>
          <w:rFonts w:asciiTheme="majorBidi" w:hAnsiTheme="majorBidi" w:cstheme="majorBidi"/>
          <w:i/>
          <w:iCs/>
          <w:sz w:val="24"/>
          <w:szCs w:val="24"/>
        </w:rPr>
        <w:t>‘</w:t>
      </w:r>
      <w:proofErr w:type="spellStart"/>
      <w:r w:rsidR="002D00FD" w:rsidRPr="00934F4B">
        <w:rPr>
          <w:rFonts w:asciiTheme="majorBidi" w:hAnsiTheme="majorBidi" w:cstheme="majorBidi"/>
          <w:i/>
          <w:iCs/>
          <w:sz w:val="24"/>
          <w:szCs w:val="24"/>
        </w:rPr>
        <w:t>edut</w:t>
      </w:r>
      <w:proofErr w:type="spellEnd"/>
      <w:r w:rsidR="00DA29CB" w:rsidRPr="00934F4B">
        <w:rPr>
          <w:rFonts w:asciiTheme="majorBidi" w:hAnsiTheme="majorBidi" w:cstheme="majorBidi"/>
          <w:sz w:val="24"/>
          <w:szCs w:val="24"/>
        </w:rPr>
        <w:t xml:space="preserve"> [</w:t>
      </w:r>
      <w:r w:rsidR="00DA29CB" w:rsidRPr="00934F4B">
        <w:rPr>
          <w:rFonts w:asciiTheme="majorBidi" w:hAnsiTheme="majorBidi" w:cstheme="majorBidi" w:hint="cs"/>
          <w:sz w:val="24"/>
          <w:szCs w:val="24"/>
          <w:rtl/>
        </w:rPr>
        <w:t>עדות</w:t>
      </w:r>
      <w:r w:rsidR="00DA29CB" w:rsidRPr="00934F4B">
        <w:rPr>
          <w:rFonts w:asciiTheme="majorBidi" w:hAnsiTheme="majorBidi" w:cstheme="majorBidi"/>
          <w:sz w:val="24"/>
          <w:szCs w:val="24"/>
        </w:rPr>
        <w:t>]</w:t>
      </w:r>
      <w:r w:rsidR="002D00FD" w:rsidRPr="00934F4B">
        <w:rPr>
          <w:rFonts w:asciiTheme="majorBidi" w:hAnsiTheme="majorBidi" w:cstheme="majorBidi"/>
          <w:sz w:val="24"/>
          <w:szCs w:val="24"/>
        </w:rPr>
        <w:t xml:space="preserve"> refers equally to both </w:t>
      </w:r>
      <w:r w:rsidR="005621CD" w:rsidRPr="00934F4B">
        <w:rPr>
          <w:rFonts w:asciiTheme="majorBidi" w:hAnsiTheme="majorBidi" w:cstheme="majorBidi"/>
          <w:sz w:val="24"/>
          <w:szCs w:val="24"/>
        </w:rPr>
        <w:t xml:space="preserve">witness </w:t>
      </w:r>
      <w:r w:rsidR="002D00FD" w:rsidRPr="00934F4B">
        <w:rPr>
          <w:rFonts w:asciiTheme="majorBidi" w:hAnsiTheme="majorBidi" w:cstheme="majorBidi"/>
          <w:sz w:val="24"/>
          <w:szCs w:val="24"/>
        </w:rPr>
        <w:t>roles</w:t>
      </w:r>
      <w:r w:rsidRPr="00934F4B">
        <w:rPr>
          <w:rFonts w:asciiTheme="majorBidi" w:hAnsiTheme="majorBidi" w:cstheme="majorBidi"/>
          <w:sz w:val="24"/>
          <w:szCs w:val="24"/>
        </w:rPr>
        <w:t>.</w:t>
      </w:r>
      <w:r w:rsidR="00820D71" w:rsidRPr="00934F4B">
        <w:rPr>
          <w:rFonts w:asciiTheme="majorBidi" w:hAnsiTheme="majorBidi" w:cstheme="majorBidi"/>
          <w:sz w:val="24"/>
          <w:szCs w:val="24"/>
        </w:rPr>
        <w:t xml:space="preserve"> Thus, the </w:t>
      </w:r>
      <w:proofErr w:type="spellStart"/>
      <w:r w:rsidR="00820D71" w:rsidRPr="00934F4B">
        <w:rPr>
          <w:rFonts w:asciiTheme="majorBidi" w:hAnsiTheme="majorBidi" w:cstheme="majorBidi"/>
          <w:sz w:val="24"/>
          <w:szCs w:val="24"/>
        </w:rPr>
        <w:t>tannaitic</w:t>
      </w:r>
      <w:proofErr w:type="spellEnd"/>
      <w:r w:rsidR="00820D71" w:rsidRPr="00934F4B">
        <w:rPr>
          <w:rFonts w:asciiTheme="majorBidi" w:hAnsiTheme="majorBidi" w:cstheme="majorBidi"/>
          <w:sz w:val="24"/>
          <w:szCs w:val="24"/>
        </w:rPr>
        <w:t xml:space="preserve"> norm echoes the Roman bar on </w:t>
      </w:r>
      <w:proofErr w:type="spellStart"/>
      <w:r w:rsidR="00820D71" w:rsidRPr="00934F4B">
        <w:rPr>
          <w:rFonts w:asciiTheme="majorBidi" w:hAnsiTheme="majorBidi" w:cstheme="majorBidi"/>
          <w:i/>
          <w:iCs/>
          <w:sz w:val="24"/>
          <w:szCs w:val="24"/>
        </w:rPr>
        <w:t>infames</w:t>
      </w:r>
      <w:proofErr w:type="spellEnd"/>
      <w:r w:rsidR="00820D71" w:rsidRPr="00934F4B">
        <w:rPr>
          <w:rFonts w:asciiTheme="majorBidi" w:hAnsiTheme="majorBidi" w:cstheme="majorBidi"/>
          <w:sz w:val="24"/>
          <w:szCs w:val="24"/>
        </w:rPr>
        <w:t xml:space="preserve"> from witnessing wills.</w:t>
      </w:r>
      <w:r w:rsidRPr="00934F4B">
        <w:rPr>
          <w:rFonts w:asciiTheme="majorBidi" w:hAnsiTheme="majorBidi" w:cstheme="majorBidi"/>
          <w:sz w:val="24"/>
          <w:szCs w:val="24"/>
        </w:rPr>
        <w:t xml:space="preserve"> Moreover, women are disqualified for serving a</w:t>
      </w:r>
      <w:r w:rsidR="005621CD" w:rsidRPr="00934F4B">
        <w:rPr>
          <w:rFonts w:asciiTheme="majorBidi" w:hAnsiTheme="majorBidi" w:cstheme="majorBidi"/>
          <w:sz w:val="24"/>
          <w:szCs w:val="24"/>
        </w:rPr>
        <w:t>s witnesses to formal documents</w:t>
      </w:r>
      <w:r w:rsidRPr="00934F4B">
        <w:rPr>
          <w:rFonts w:asciiTheme="majorBidi" w:hAnsiTheme="majorBidi" w:cstheme="majorBidi"/>
          <w:sz w:val="24"/>
          <w:szCs w:val="24"/>
        </w:rPr>
        <w:t xml:space="preserve"> according to both </w:t>
      </w:r>
      <w:proofErr w:type="spellStart"/>
      <w:r w:rsidRPr="00934F4B">
        <w:rPr>
          <w:rFonts w:asciiTheme="majorBidi" w:hAnsiTheme="majorBidi" w:cstheme="majorBidi"/>
          <w:sz w:val="24"/>
          <w:szCs w:val="24"/>
        </w:rPr>
        <w:t>tannaitic</w:t>
      </w:r>
      <w:proofErr w:type="spellEnd"/>
      <w:r w:rsidRPr="00934F4B">
        <w:rPr>
          <w:rFonts w:asciiTheme="majorBidi" w:hAnsiTheme="majorBidi" w:cstheme="majorBidi"/>
          <w:sz w:val="24"/>
          <w:szCs w:val="24"/>
        </w:rPr>
        <w:t xml:space="preserve"> and </w:t>
      </w:r>
      <w:r w:rsidR="00E55E39" w:rsidRPr="00934F4B">
        <w:rPr>
          <w:rFonts w:asciiTheme="majorBidi" w:hAnsiTheme="majorBidi" w:cstheme="majorBidi"/>
          <w:sz w:val="24"/>
          <w:szCs w:val="24"/>
        </w:rPr>
        <w:t>Roman</w:t>
      </w:r>
      <w:r w:rsidR="005621CD" w:rsidRPr="00934F4B">
        <w:rPr>
          <w:rFonts w:asciiTheme="majorBidi" w:hAnsiTheme="majorBidi" w:cstheme="majorBidi"/>
          <w:sz w:val="24"/>
          <w:szCs w:val="24"/>
        </w:rPr>
        <w:t xml:space="preserve"> rules. </w:t>
      </w:r>
      <w:r w:rsidR="00E55E39" w:rsidRPr="00934F4B">
        <w:rPr>
          <w:rFonts w:asciiTheme="majorBidi" w:hAnsiTheme="majorBidi" w:cstheme="majorBidi"/>
          <w:sz w:val="24"/>
          <w:szCs w:val="24"/>
        </w:rPr>
        <w:t>Therefore,</w:t>
      </w:r>
      <w:r w:rsidRPr="00934F4B">
        <w:rPr>
          <w:rFonts w:asciiTheme="majorBidi" w:hAnsiTheme="majorBidi" w:cstheme="majorBidi"/>
          <w:sz w:val="24"/>
          <w:szCs w:val="24"/>
        </w:rPr>
        <w:t xml:space="preserve"> even</w:t>
      </w:r>
      <w:r w:rsidR="00352564" w:rsidRPr="00934F4B">
        <w:rPr>
          <w:rFonts w:asciiTheme="majorBidi" w:hAnsiTheme="majorBidi" w:cstheme="majorBidi"/>
          <w:sz w:val="24"/>
          <w:szCs w:val="24"/>
        </w:rPr>
        <w:t xml:space="preserve"> if</w:t>
      </w:r>
      <w:r w:rsidRPr="00934F4B">
        <w:rPr>
          <w:rFonts w:asciiTheme="majorBidi" w:hAnsiTheme="majorBidi" w:cstheme="majorBidi"/>
          <w:sz w:val="24"/>
          <w:szCs w:val="24"/>
        </w:rPr>
        <w:t xml:space="preserve"> there </w:t>
      </w:r>
      <w:r w:rsidR="00820D71" w:rsidRPr="00934F4B">
        <w:rPr>
          <w:rFonts w:asciiTheme="majorBidi" w:hAnsiTheme="majorBidi" w:cstheme="majorBidi"/>
          <w:sz w:val="24"/>
          <w:szCs w:val="24"/>
        </w:rPr>
        <w:t xml:space="preserve">is </w:t>
      </w:r>
      <w:r w:rsidRPr="00934F4B">
        <w:rPr>
          <w:rFonts w:asciiTheme="majorBidi" w:hAnsiTheme="majorBidi" w:cstheme="majorBidi"/>
          <w:sz w:val="24"/>
          <w:szCs w:val="24"/>
        </w:rPr>
        <w:t xml:space="preserve">a difference in the exact scope of disqualification of people subject to </w:t>
      </w:r>
      <w:proofErr w:type="spellStart"/>
      <w:r w:rsidRPr="00934F4B">
        <w:rPr>
          <w:rFonts w:asciiTheme="majorBidi" w:hAnsiTheme="majorBidi" w:cstheme="majorBidi"/>
          <w:i/>
          <w:iCs/>
          <w:sz w:val="24"/>
          <w:szCs w:val="24"/>
        </w:rPr>
        <w:t>infamia</w:t>
      </w:r>
      <w:proofErr w:type="spellEnd"/>
      <w:r w:rsidRPr="00934F4B">
        <w:rPr>
          <w:rFonts w:asciiTheme="majorBidi" w:hAnsiTheme="majorBidi" w:cstheme="majorBidi"/>
          <w:sz w:val="24"/>
          <w:szCs w:val="24"/>
        </w:rPr>
        <w:t xml:space="preserve"> between the </w:t>
      </w:r>
      <w:proofErr w:type="spellStart"/>
      <w:r w:rsidRPr="00934F4B">
        <w:rPr>
          <w:rFonts w:asciiTheme="majorBidi" w:hAnsiTheme="majorBidi" w:cstheme="majorBidi"/>
          <w:sz w:val="24"/>
          <w:szCs w:val="24"/>
        </w:rPr>
        <w:t>tannaitic</w:t>
      </w:r>
      <w:proofErr w:type="spellEnd"/>
      <w:r w:rsidRPr="00934F4B">
        <w:rPr>
          <w:rFonts w:asciiTheme="majorBidi" w:hAnsiTheme="majorBidi" w:cstheme="majorBidi"/>
          <w:sz w:val="24"/>
          <w:szCs w:val="24"/>
        </w:rPr>
        <w:t xml:space="preserve"> and the roman context, the large picture shows a strong tendency </w:t>
      </w:r>
      <w:r w:rsidR="00352564" w:rsidRPr="00934F4B">
        <w:rPr>
          <w:rFonts w:asciiTheme="majorBidi" w:hAnsiTheme="majorBidi" w:cstheme="majorBidi"/>
          <w:sz w:val="24"/>
          <w:szCs w:val="24"/>
        </w:rPr>
        <w:t xml:space="preserve">by both normative systems </w:t>
      </w:r>
      <w:r w:rsidRPr="00934F4B">
        <w:rPr>
          <w:rFonts w:asciiTheme="majorBidi" w:hAnsiTheme="majorBidi" w:cstheme="majorBidi"/>
          <w:sz w:val="24"/>
          <w:szCs w:val="24"/>
        </w:rPr>
        <w:t xml:space="preserve">to limit the capacity of such people in the context of </w:t>
      </w:r>
      <w:r w:rsidR="00BC2C38" w:rsidRPr="00934F4B">
        <w:rPr>
          <w:rFonts w:asciiTheme="majorBidi" w:hAnsiTheme="majorBidi" w:cstheme="majorBidi"/>
          <w:sz w:val="24"/>
          <w:szCs w:val="24"/>
        </w:rPr>
        <w:t>witness roles</w:t>
      </w:r>
      <w:r w:rsidR="002D00FD" w:rsidRPr="00934F4B">
        <w:rPr>
          <w:rFonts w:asciiTheme="majorBidi" w:hAnsiTheme="majorBidi" w:cstheme="majorBidi"/>
          <w:sz w:val="24"/>
          <w:szCs w:val="24"/>
        </w:rPr>
        <w:t>, and to associate their status with that of women</w:t>
      </w:r>
      <w:r w:rsidRPr="00934F4B">
        <w:rPr>
          <w:rFonts w:asciiTheme="majorBidi" w:hAnsiTheme="majorBidi" w:cstheme="majorBidi"/>
          <w:sz w:val="24"/>
          <w:szCs w:val="24"/>
        </w:rPr>
        <w:t>. This is all that that I have argued for in my article</w:t>
      </w:r>
      <w:r w:rsidR="00BC051D" w:rsidRPr="00934F4B">
        <w:rPr>
          <w:rFonts w:asciiTheme="majorBidi" w:hAnsiTheme="majorBidi" w:cstheme="majorBidi"/>
          <w:sz w:val="24"/>
          <w:szCs w:val="24"/>
        </w:rPr>
        <w:t xml:space="preserve">. </w:t>
      </w:r>
      <w:r w:rsidR="00605A1F" w:rsidRPr="00934F4B">
        <w:rPr>
          <w:rFonts w:asciiTheme="majorBidi" w:hAnsiTheme="majorBidi" w:cstheme="majorBidi"/>
          <w:sz w:val="24"/>
          <w:szCs w:val="24"/>
        </w:rPr>
        <w:t xml:space="preserve">This </w:t>
      </w:r>
      <w:r w:rsidR="00BC2C38" w:rsidRPr="00934F4B">
        <w:rPr>
          <w:rFonts w:asciiTheme="majorBidi" w:hAnsiTheme="majorBidi" w:cstheme="majorBidi"/>
          <w:sz w:val="24"/>
          <w:szCs w:val="24"/>
        </w:rPr>
        <w:t xml:space="preserve">shared tendency should in turn be </w:t>
      </w:r>
      <w:r w:rsidR="002D00FD" w:rsidRPr="00934F4B">
        <w:rPr>
          <w:rFonts w:asciiTheme="majorBidi" w:hAnsiTheme="majorBidi" w:cstheme="majorBidi"/>
          <w:sz w:val="24"/>
          <w:szCs w:val="24"/>
        </w:rPr>
        <w:t xml:space="preserve">combined </w:t>
      </w:r>
      <w:r w:rsidRPr="00934F4B">
        <w:rPr>
          <w:rFonts w:asciiTheme="majorBidi" w:hAnsiTheme="majorBidi" w:cstheme="majorBidi"/>
          <w:sz w:val="24"/>
          <w:szCs w:val="24"/>
        </w:rPr>
        <w:t xml:space="preserve">with </w:t>
      </w:r>
      <w:r w:rsidR="0052167D" w:rsidRPr="00934F4B">
        <w:rPr>
          <w:rFonts w:asciiTheme="majorBidi" w:hAnsiTheme="majorBidi" w:cstheme="majorBidi"/>
          <w:sz w:val="24"/>
          <w:szCs w:val="24"/>
        </w:rPr>
        <w:t>other aspects</w:t>
      </w:r>
      <w:r w:rsidRPr="00934F4B">
        <w:rPr>
          <w:rFonts w:asciiTheme="majorBidi" w:hAnsiTheme="majorBidi" w:cstheme="majorBidi"/>
          <w:sz w:val="24"/>
          <w:szCs w:val="24"/>
        </w:rPr>
        <w:t xml:space="preserve"> </w:t>
      </w:r>
      <w:r w:rsidR="0052167D" w:rsidRPr="00934F4B">
        <w:rPr>
          <w:rFonts w:asciiTheme="majorBidi" w:hAnsiTheme="majorBidi" w:cstheme="majorBidi"/>
          <w:sz w:val="24"/>
          <w:szCs w:val="24"/>
        </w:rPr>
        <w:t>of</w:t>
      </w:r>
      <w:r w:rsidRPr="00934F4B">
        <w:rPr>
          <w:rFonts w:asciiTheme="majorBidi" w:hAnsiTheme="majorBidi" w:cstheme="majorBidi"/>
          <w:sz w:val="24"/>
          <w:szCs w:val="24"/>
        </w:rPr>
        <w:t xml:space="preserve"> </w:t>
      </w:r>
      <w:r w:rsidR="00BC2C38" w:rsidRPr="00934F4B">
        <w:rPr>
          <w:rFonts w:asciiTheme="majorBidi" w:hAnsiTheme="majorBidi" w:cstheme="majorBidi"/>
          <w:sz w:val="24"/>
          <w:szCs w:val="24"/>
        </w:rPr>
        <w:t xml:space="preserve">resemblance </w:t>
      </w:r>
      <w:r w:rsidR="0052167D" w:rsidRPr="00934F4B">
        <w:rPr>
          <w:rFonts w:asciiTheme="majorBidi" w:hAnsiTheme="majorBidi" w:cstheme="majorBidi"/>
          <w:sz w:val="24"/>
          <w:szCs w:val="24"/>
        </w:rPr>
        <w:t>between</w:t>
      </w:r>
      <w:r w:rsidR="00BC2C38" w:rsidRPr="00934F4B">
        <w:rPr>
          <w:rFonts w:asciiTheme="majorBidi" w:hAnsiTheme="majorBidi" w:cstheme="majorBidi"/>
          <w:sz w:val="24"/>
          <w:szCs w:val="24"/>
        </w:rPr>
        <w:t xml:space="preserve"> </w:t>
      </w:r>
      <w:r w:rsidRPr="00934F4B">
        <w:rPr>
          <w:rFonts w:asciiTheme="majorBidi" w:hAnsiTheme="majorBidi" w:cstheme="majorBidi"/>
          <w:sz w:val="24"/>
          <w:szCs w:val="24"/>
        </w:rPr>
        <w:t>the two mechanism</w:t>
      </w:r>
      <w:r w:rsidR="00BC051D" w:rsidRPr="00934F4B">
        <w:rPr>
          <w:rFonts w:asciiTheme="majorBidi" w:hAnsiTheme="majorBidi" w:cstheme="majorBidi"/>
          <w:sz w:val="24"/>
          <w:szCs w:val="24"/>
        </w:rPr>
        <w:t>s</w:t>
      </w:r>
      <w:r w:rsidR="00BC2C38" w:rsidRPr="00934F4B">
        <w:rPr>
          <w:rFonts w:asciiTheme="majorBidi" w:hAnsiTheme="majorBidi" w:cstheme="majorBidi"/>
          <w:sz w:val="24"/>
          <w:szCs w:val="24"/>
        </w:rPr>
        <w:t xml:space="preserve"> to evaluate the</w:t>
      </w:r>
      <w:r w:rsidR="0052167D" w:rsidRPr="00934F4B">
        <w:rPr>
          <w:rFonts w:asciiTheme="majorBidi" w:hAnsiTheme="majorBidi" w:cstheme="majorBidi"/>
          <w:sz w:val="24"/>
          <w:szCs w:val="24"/>
        </w:rPr>
        <w:t xml:space="preserve"> argument for a </w:t>
      </w:r>
      <w:r w:rsidR="00BC2C38" w:rsidRPr="00934F4B">
        <w:rPr>
          <w:rFonts w:asciiTheme="majorBidi" w:hAnsiTheme="majorBidi" w:cstheme="majorBidi"/>
          <w:sz w:val="24"/>
          <w:szCs w:val="24"/>
        </w:rPr>
        <w:t>possible historical connection</w:t>
      </w:r>
      <w:r w:rsidR="0052167D" w:rsidRPr="00934F4B">
        <w:rPr>
          <w:rFonts w:asciiTheme="majorBidi" w:hAnsiTheme="majorBidi" w:cstheme="majorBidi"/>
          <w:sz w:val="24"/>
          <w:szCs w:val="24"/>
        </w:rPr>
        <w:t xml:space="preserve"> between them</w:t>
      </w:r>
      <w:r w:rsidR="00BC2C38" w:rsidRPr="00934F4B">
        <w:rPr>
          <w:rFonts w:asciiTheme="majorBidi" w:hAnsiTheme="majorBidi" w:cstheme="majorBidi"/>
          <w:sz w:val="24"/>
          <w:szCs w:val="24"/>
        </w:rPr>
        <w:t>.</w:t>
      </w:r>
    </w:p>
    <w:p w14:paraId="34DD4362" w14:textId="68A4DB37" w:rsidR="002D00FD" w:rsidRDefault="0052167D" w:rsidP="005621CD">
      <w:pPr>
        <w:jc w:val="both"/>
        <w:rPr>
          <w:rFonts w:asciiTheme="majorBidi" w:hAnsiTheme="majorBidi" w:cstheme="majorBidi"/>
          <w:sz w:val="24"/>
          <w:szCs w:val="24"/>
          <w:rtl/>
        </w:rPr>
      </w:pPr>
      <w:r w:rsidRPr="00934F4B">
        <w:rPr>
          <w:rFonts w:asciiTheme="majorBidi" w:hAnsiTheme="majorBidi" w:cstheme="majorBidi"/>
          <w:sz w:val="24"/>
          <w:szCs w:val="24"/>
        </w:rPr>
        <w:t>To clarify</w:t>
      </w:r>
      <w:r w:rsidR="00605A1F" w:rsidRPr="00934F4B">
        <w:rPr>
          <w:rFonts w:asciiTheme="majorBidi" w:hAnsiTheme="majorBidi" w:cstheme="majorBidi"/>
          <w:sz w:val="24"/>
          <w:szCs w:val="24"/>
        </w:rPr>
        <w:t xml:space="preserve">, I was not arguing for a direct and clear parallel </w:t>
      </w:r>
      <w:r w:rsidRPr="00934F4B">
        <w:rPr>
          <w:rFonts w:asciiTheme="majorBidi" w:hAnsiTheme="majorBidi" w:cstheme="majorBidi"/>
          <w:sz w:val="24"/>
          <w:szCs w:val="24"/>
        </w:rPr>
        <w:t>in the way that the</w:t>
      </w:r>
      <w:r w:rsidR="00E55E39" w:rsidRPr="00934F4B">
        <w:rPr>
          <w:rFonts w:asciiTheme="majorBidi" w:hAnsiTheme="majorBidi" w:cstheme="majorBidi"/>
          <w:sz w:val="24"/>
          <w:szCs w:val="24"/>
        </w:rPr>
        <w:t xml:space="preserve"> Roman and the </w:t>
      </w:r>
      <w:proofErr w:type="spellStart"/>
      <w:r w:rsidR="00E55E39" w:rsidRPr="00934F4B">
        <w:rPr>
          <w:rFonts w:asciiTheme="majorBidi" w:hAnsiTheme="majorBidi" w:cstheme="majorBidi"/>
          <w:sz w:val="24"/>
          <w:szCs w:val="24"/>
        </w:rPr>
        <w:t>tannaitic</w:t>
      </w:r>
      <w:proofErr w:type="spellEnd"/>
      <w:r w:rsidR="00E55E39" w:rsidRPr="00934F4B">
        <w:rPr>
          <w:rFonts w:asciiTheme="majorBidi" w:hAnsiTheme="majorBidi" w:cstheme="majorBidi"/>
          <w:sz w:val="24"/>
          <w:szCs w:val="24"/>
        </w:rPr>
        <w:t xml:space="preserve"> </w:t>
      </w:r>
      <w:r w:rsidRPr="00934F4B">
        <w:rPr>
          <w:rFonts w:asciiTheme="majorBidi" w:hAnsiTheme="majorBidi" w:cstheme="majorBidi"/>
          <w:sz w:val="24"/>
          <w:szCs w:val="24"/>
        </w:rPr>
        <w:t xml:space="preserve">mechanisms operated </w:t>
      </w:r>
      <w:r w:rsidR="008A1DBB" w:rsidRPr="00934F4B">
        <w:rPr>
          <w:rFonts w:asciiTheme="majorBidi" w:hAnsiTheme="majorBidi" w:cstheme="majorBidi"/>
          <w:sz w:val="24"/>
          <w:szCs w:val="24"/>
        </w:rPr>
        <w:t xml:space="preserve">on the ground, </w:t>
      </w:r>
      <w:r w:rsidR="00605A1F" w:rsidRPr="00934F4B">
        <w:rPr>
          <w:rFonts w:asciiTheme="majorBidi" w:hAnsiTheme="majorBidi" w:cstheme="majorBidi"/>
          <w:sz w:val="24"/>
          <w:szCs w:val="24"/>
        </w:rPr>
        <w:t xml:space="preserve">but rather to a </w:t>
      </w:r>
      <w:r w:rsidR="00292610" w:rsidRPr="00934F4B">
        <w:rPr>
          <w:rFonts w:asciiTheme="majorBidi" w:hAnsiTheme="majorBidi" w:cstheme="majorBidi"/>
          <w:sz w:val="24"/>
          <w:szCs w:val="24"/>
        </w:rPr>
        <w:t>strong</w:t>
      </w:r>
      <w:r w:rsidR="00605A1F" w:rsidRPr="00934F4B">
        <w:rPr>
          <w:rFonts w:asciiTheme="majorBidi" w:hAnsiTheme="majorBidi" w:cstheme="majorBidi"/>
          <w:sz w:val="24"/>
          <w:szCs w:val="24"/>
        </w:rPr>
        <w:t xml:space="preserve"> </w:t>
      </w:r>
      <w:r w:rsidR="008A1DBB" w:rsidRPr="00934F4B">
        <w:rPr>
          <w:rFonts w:asciiTheme="majorBidi" w:hAnsiTheme="majorBidi" w:cstheme="majorBidi"/>
          <w:sz w:val="24"/>
          <w:szCs w:val="24"/>
        </w:rPr>
        <w:t xml:space="preserve">literary </w:t>
      </w:r>
      <w:r w:rsidR="005621CD" w:rsidRPr="00934F4B">
        <w:rPr>
          <w:rFonts w:asciiTheme="majorBidi" w:hAnsiTheme="majorBidi" w:cstheme="majorBidi"/>
          <w:sz w:val="24"/>
          <w:szCs w:val="24"/>
        </w:rPr>
        <w:t>resonance</w:t>
      </w:r>
      <w:r w:rsidR="00605A1F" w:rsidRPr="00934F4B">
        <w:rPr>
          <w:rFonts w:asciiTheme="majorBidi" w:hAnsiTheme="majorBidi" w:cstheme="majorBidi"/>
          <w:sz w:val="24"/>
          <w:szCs w:val="24"/>
        </w:rPr>
        <w:t xml:space="preserve"> </w:t>
      </w:r>
      <w:r w:rsidRPr="00934F4B">
        <w:rPr>
          <w:rFonts w:asciiTheme="majorBidi" w:hAnsiTheme="majorBidi" w:cstheme="majorBidi"/>
          <w:sz w:val="24"/>
          <w:szCs w:val="24"/>
        </w:rPr>
        <w:t>between the surviving sources that allude to them</w:t>
      </w:r>
      <w:r w:rsidR="00D73742" w:rsidRPr="00934F4B">
        <w:rPr>
          <w:rFonts w:asciiTheme="majorBidi" w:hAnsiTheme="majorBidi" w:cstheme="majorBidi"/>
          <w:sz w:val="24"/>
          <w:szCs w:val="24"/>
        </w:rPr>
        <w:t xml:space="preserve">. </w:t>
      </w:r>
      <w:r w:rsidRPr="00934F4B">
        <w:rPr>
          <w:rFonts w:asciiTheme="majorBidi" w:hAnsiTheme="majorBidi" w:cstheme="majorBidi"/>
          <w:sz w:val="24"/>
          <w:szCs w:val="24"/>
        </w:rPr>
        <w:t>For this argument to stand, a clear</w:t>
      </w:r>
      <w:r w:rsidR="005621CD" w:rsidRPr="00934F4B">
        <w:rPr>
          <w:rFonts w:asciiTheme="majorBidi" w:hAnsiTheme="majorBidi" w:cstheme="majorBidi"/>
          <w:sz w:val="24"/>
          <w:szCs w:val="24"/>
        </w:rPr>
        <w:t>-</w:t>
      </w:r>
      <w:r w:rsidRPr="00934F4B">
        <w:rPr>
          <w:rFonts w:asciiTheme="majorBidi" w:hAnsiTheme="majorBidi" w:cstheme="majorBidi"/>
          <w:sz w:val="24"/>
          <w:szCs w:val="24"/>
        </w:rPr>
        <w:t xml:space="preserve">cut blanket exclusion of all </w:t>
      </w:r>
      <w:proofErr w:type="spellStart"/>
      <w:r w:rsidRPr="00934F4B">
        <w:rPr>
          <w:rFonts w:asciiTheme="majorBidi" w:hAnsiTheme="majorBidi" w:cstheme="majorBidi"/>
          <w:i/>
          <w:iCs/>
          <w:sz w:val="24"/>
          <w:szCs w:val="24"/>
        </w:rPr>
        <w:t>infames</w:t>
      </w:r>
      <w:proofErr w:type="spellEnd"/>
      <w:r w:rsidRPr="00934F4B">
        <w:rPr>
          <w:rFonts w:asciiTheme="majorBidi" w:hAnsiTheme="majorBidi" w:cstheme="majorBidi"/>
          <w:sz w:val="24"/>
          <w:szCs w:val="24"/>
        </w:rPr>
        <w:t xml:space="preserve"> for testimony is absolutely not </w:t>
      </w:r>
      <w:r w:rsidR="00E55E39" w:rsidRPr="00934F4B">
        <w:rPr>
          <w:rFonts w:asciiTheme="majorBidi" w:hAnsiTheme="majorBidi" w:cstheme="majorBidi"/>
          <w:sz w:val="24"/>
          <w:szCs w:val="24"/>
        </w:rPr>
        <w:t>necessary</w:t>
      </w:r>
      <w:r w:rsidRPr="00934F4B">
        <w:rPr>
          <w:rFonts w:asciiTheme="majorBidi" w:hAnsiTheme="majorBidi" w:cstheme="majorBidi"/>
          <w:sz w:val="24"/>
          <w:szCs w:val="24"/>
        </w:rPr>
        <w:t xml:space="preserve">. Likewise, </w:t>
      </w:r>
      <w:r w:rsidR="00605A1F" w:rsidRPr="00934F4B">
        <w:rPr>
          <w:rFonts w:asciiTheme="majorBidi" w:hAnsiTheme="majorBidi" w:cstheme="majorBidi"/>
          <w:sz w:val="24"/>
          <w:szCs w:val="24"/>
        </w:rPr>
        <w:t xml:space="preserve">it does not take all sources to </w:t>
      </w:r>
      <w:r w:rsidR="00D73742" w:rsidRPr="00934F4B">
        <w:rPr>
          <w:rFonts w:asciiTheme="majorBidi" w:hAnsiTheme="majorBidi" w:cstheme="majorBidi"/>
          <w:sz w:val="24"/>
          <w:szCs w:val="24"/>
        </w:rPr>
        <w:t>monolithically</w:t>
      </w:r>
      <w:r w:rsidR="00605A1F" w:rsidRPr="00934F4B">
        <w:rPr>
          <w:rFonts w:asciiTheme="majorBidi" w:hAnsiTheme="majorBidi" w:cstheme="majorBidi"/>
          <w:sz w:val="24"/>
          <w:szCs w:val="24"/>
        </w:rPr>
        <w:t xml:space="preserve"> </w:t>
      </w:r>
      <w:r w:rsidR="00D73742" w:rsidRPr="00934F4B">
        <w:rPr>
          <w:rFonts w:asciiTheme="majorBidi" w:hAnsiTheme="majorBidi" w:cstheme="majorBidi"/>
          <w:sz w:val="24"/>
          <w:szCs w:val="24"/>
        </w:rPr>
        <w:t>connect</w:t>
      </w:r>
      <w:r w:rsidR="00605A1F" w:rsidRPr="00934F4B">
        <w:rPr>
          <w:rFonts w:asciiTheme="majorBidi" w:hAnsiTheme="majorBidi" w:cstheme="majorBidi"/>
          <w:sz w:val="24"/>
          <w:szCs w:val="24"/>
        </w:rPr>
        <w:t xml:space="preserve"> women and </w:t>
      </w:r>
      <w:proofErr w:type="spellStart"/>
      <w:r w:rsidR="00605A1F" w:rsidRPr="00934F4B">
        <w:rPr>
          <w:rFonts w:asciiTheme="majorBidi" w:hAnsiTheme="majorBidi" w:cstheme="majorBidi"/>
          <w:i/>
          <w:iCs/>
          <w:sz w:val="24"/>
          <w:szCs w:val="24"/>
        </w:rPr>
        <w:t>infames</w:t>
      </w:r>
      <w:proofErr w:type="spellEnd"/>
      <w:r w:rsidR="00605A1F" w:rsidRPr="00934F4B">
        <w:rPr>
          <w:rFonts w:asciiTheme="majorBidi" w:hAnsiTheme="majorBidi" w:cstheme="majorBidi"/>
          <w:sz w:val="24"/>
          <w:szCs w:val="24"/>
        </w:rPr>
        <w:t xml:space="preserve">, neither to </w:t>
      </w:r>
      <w:r w:rsidR="00D73742" w:rsidRPr="00934F4B">
        <w:rPr>
          <w:rFonts w:asciiTheme="majorBidi" w:hAnsiTheme="majorBidi" w:cstheme="majorBidi"/>
          <w:sz w:val="24"/>
          <w:szCs w:val="24"/>
        </w:rPr>
        <w:t xml:space="preserve">harmonically declare all </w:t>
      </w:r>
      <w:r w:rsidR="00605A1F" w:rsidRPr="00934F4B">
        <w:rPr>
          <w:rFonts w:asciiTheme="majorBidi" w:hAnsiTheme="majorBidi" w:cstheme="majorBidi"/>
          <w:sz w:val="24"/>
          <w:szCs w:val="24"/>
        </w:rPr>
        <w:t xml:space="preserve">women week, to </w:t>
      </w:r>
      <w:r w:rsidR="00D73742" w:rsidRPr="00934F4B">
        <w:rPr>
          <w:rFonts w:asciiTheme="majorBidi" w:hAnsiTheme="majorBidi" w:cstheme="majorBidi"/>
          <w:sz w:val="24"/>
          <w:szCs w:val="24"/>
        </w:rPr>
        <w:t xml:space="preserve">support the </w:t>
      </w:r>
      <w:r w:rsidRPr="00934F4B">
        <w:rPr>
          <w:rFonts w:asciiTheme="majorBidi" w:hAnsiTheme="majorBidi" w:cstheme="majorBidi"/>
          <w:sz w:val="24"/>
          <w:szCs w:val="24"/>
        </w:rPr>
        <w:t>claim</w:t>
      </w:r>
      <w:r w:rsidR="00D73742" w:rsidRPr="00934F4B">
        <w:rPr>
          <w:rFonts w:asciiTheme="majorBidi" w:hAnsiTheme="majorBidi" w:cstheme="majorBidi"/>
          <w:sz w:val="24"/>
          <w:szCs w:val="24"/>
        </w:rPr>
        <w:t xml:space="preserve"> </w:t>
      </w:r>
      <w:r w:rsidR="005621CD" w:rsidRPr="00934F4B">
        <w:rPr>
          <w:rFonts w:asciiTheme="majorBidi" w:hAnsiTheme="majorBidi" w:cstheme="majorBidi"/>
          <w:sz w:val="24"/>
          <w:szCs w:val="24"/>
        </w:rPr>
        <w:t>established</w:t>
      </w:r>
      <w:r w:rsidR="00D73742" w:rsidRPr="00934F4B">
        <w:rPr>
          <w:rFonts w:asciiTheme="majorBidi" w:hAnsiTheme="majorBidi" w:cstheme="majorBidi"/>
          <w:sz w:val="24"/>
          <w:szCs w:val="24"/>
        </w:rPr>
        <w:t xml:space="preserve"> in </w:t>
      </w:r>
      <w:r w:rsidR="008A1DBB" w:rsidRPr="00934F4B">
        <w:rPr>
          <w:rFonts w:asciiTheme="majorBidi" w:hAnsiTheme="majorBidi" w:cstheme="majorBidi"/>
          <w:sz w:val="24"/>
          <w:szCs w:val="24"/>
        </w:rPr>
        <w:t xml:space="preserve">previous </w:t>
      </w:r>
      <w:r w:rsidRPr="00934F4B">
        <w:rPr>
          <w:rFonts w:asciiTheme="majorBidi" w:hAnsiTheme="majorBidi" w:cstheme="majorBidi"/>
          <w:sz w:val="24"/>
          <w:szCs w:val="24"/>
        </w:rPr>
        <w:t>scholarship</w:t>
      </w:r>
      <w:r w:rsidR="00D73742" w:rsidRPr="00934F4B">
        <w:rPr>
          <w:rFonts w:asciiTheme="majorBidi" w:hAnsiTheme="majorBidi" w:cstheme="majorBidi"/>
          <w:sz w:val="24"/>
          <w:szCs w:val="24"/>
        </w:rPr>
        <w:t xml:space="preserve"> </w:t>
      </w:r>
      <w:r w:rsidRPr="00934F4B">
        <w:rPr>
          <w:rFonts w:asciiTheme="majorBidi" w:hAnsiTheme="majorBidi" w:cstheme="majorBidi"/>
          <w:sz w:val="24"/>
          <w:szCs w:val="24"/>
        </w:rPr>
        <w:t xml:space="preserve">for a link </w:t>
      </w:r>
      <w:r w:rsidR="00D73742" w:rsidRPr="00934F4B">
        <w:rPr>
          <w:rFonts w:asciiTheme="majorBidi" w:hAnsiTheme="majorBidi" w:cstheme="majorBidi"/>
          <w:sz w:val="24"/>
          <w:szCs w:val="24"/>
        </w:rPr>
        <w:t xml:space="preserve">between </w:t>
      </w:r>
      <w:proofErr w:type="spellStart"/>
      <w:r w:rsidR="00D73742" w:rsidRPr="00934F4B">
        <w:rPr>
          <w:rFonts w:asciiTheme="majorBidi" w:hAnsiTheme="majorBidi" w:cstheme="majorBidi"/>
          <w:i/>
          <w:iCs/>
          <w:sz w:val="24"/>
          <w:szCs w:val="24"/>
        </w:rPr>
        <w:t>infamia</w:t>
      </w:r>
      <w:proofErr w:type="spellEnd"/>
      <w:r w:rsidR="00D73742" w:rsidRPr="00934F4B">
        <w:rPr>
          <w:rFonts w:asciiTheme="majorBidi" w:hAnsiTheme="majorBidi" w:cstheme="majorBidi"/>
          <w:sz w:val="24"/>
          <w:szCs w:val="24"/>
        </w:rPr>
        <w:t>, weakness and femininity. I</w:t>
      </w:r>
      <w:r w:rsidR="00605A1F" w:rsidRPr="00934F4B">
        <w:rPr>
          <w:rFonts w:asciiTheme="majorBidi" w:hAnsiTheme="majorBidi" w:cstheme="majorBidi"/>
          <w:sz w:val="24"/>
          <w:szCs w:val="24"/>
        </w:rPr>
        <w:t xml:space="preserve">t is sufficient that some sources clearly make </w:t>
      </w:r>
      <w:r w:rsidRPr="00934F4B">
        <w:rPr>
          <w:rFonts w:asciiTheme="majorBidi" w:hAnsiTheme="majorBidi" w:cstheme="majorBidi"/>
          <w:sz w:val="24"/>
          <w:szCs w:val="24"/>
        </w:rPr>
        <w:t>these</w:t>
      </w:r>
      <w:r w:rsidR="00605A1F" w:rsidRPr="00934F4B">
        <w:rPr>
          <w:rFonts w:asciiTheme="majorBidi" w:hAnsiTheme="majorBidi" w:cstheme="majorBidi"/>
          <w:sz w:val="24"/>
          <w:szCs w:val="24"/>
        </w:rPr>
        <w:t xml:space="preserve"> connection</w:t>
      </w:r>
      <w:r w:rsidRPr="00934F4B">
        <w:rPr>
          <w:rFonts w:asciiTheme="majorBidi" w:hAnsiTheme="majorBidi" w:cstheme="majorBidi"/>
          <w:sz w:val="24"/>
          <w:szCs w:val="24"/>
        </w:rPr>
        <w:t>s</w:t>
      </w:r>
      <w:r w:rsidR="00605A1F" w:rsidRPr="00934F4B">
        <w:rPr>
          <w:rFonts w:asciiTheme="majorBidi" w:hAnsiTheme="majorBidi" w:cstheme="majorBidi"/>
          <w:sz w:val="24"/>
          <w:szCs w:val="24"/>
        </w:rPr>
        <w:t xml:space="preserve">, as </w:t>
      </w:r>
      <w:r w:rsidR="00E55E39" w:rsidRPr="00934F4B">
        <w:rPr>
          <w:rFonts w:asciiTheme="majorBidi" w:hAnsiTheme="majorBidi" w:cstheme="majorBidi"/>
          <w:sz w:val="24"/>
          <w:szCs w:val="24"/>
        </w:rPr>
        <w:t xml:space="preserve">my contention is merely </w:t>
      </w:r>
      <w:r w:rsidR="00605A1F" w:rsidRPr="00934F4B">
        <w:rPr>
          <w:rFonts w:asciiTheme="majorBidi" w:hAnsiTheme="majorBidi" w:cstheme="majorBidi"/>
          <w:sz w:val="24"/>
          <w:szCs w:val="24"/>
        </w:rPr>
        <w:t xml:space="preserve">that the </w:t>
      </w:r>
      <w:proofErr w:type="spellStart"/>
      <w:r w:rsidR="00605A1F" w:rsidRPr="00934F4B">
        <w:rPr>
          <w:rFonts w:asciiTheme="majorBidi" w:hAnsiTheme="majorBidi" w:cstheme="majorBidi"/>
          <w:sz w:val="24"/>
          <w:szCs w:val="24"/>
        </w:rPr>
        <w:t>tannaim</w:t>
      </w:r>
      <w:proofErr w:type="spellEnd"/>
      <w:r w:rsidR="00605A1F" w:rsidRPr="00934F4B">
        <w:rPr>
          <w:rFonts w:asciiTheme="majorBidi" w:hAnsiTheme="majorBidi" w:cstheme="majorBidi"/>
          <w:sz w:val="24"/>
          <w:szCs w:val="24"/>
        </w:rPr>
        <w:t xml:space="preserve"> </w:t>
      </w:r>
      <w:r w:rsidR="00E55E39" w:rsidRPr="00934F4B">
        <w:rPr>
          <w:rFonts w:asciiTheme="majorBidi" w:hAnsiTheme="majorBidi" w:cstheme="majorBidi"/>
          <w:sz w:val="24"/>
          <w:szCs w:val="24"/>
        </w:rPr>
        <w:t xml:space="preserve">interpret </w:t>
      </w:r>
      <w:r w:rsidR="00605A1F" w:rsidRPr="00934F4B">
        <w:rPr>
          <w:rFonts w:asciiTheme="majorBidi" w:hAnsiTheme="majorBidi" w:cstheme="majorBidi"/>
          <w:sz w:val="24"/>
          <w:szCs w:val="24"/>
        </w:rPr>
        <w:t xml:space="preserve">the legal institute of </w:t>
      </w:r>
      <w:proofErr w:type="spellStart"/>
      <w:r w:rsidR="00605A1F" w:rsidRPr="00934F4B">
        <w:rPr>
          <w:rFonts w:asciiTheme="majorBidi" w:hAnsiTheme="majorBidi" w:cstheme="majorBidi"/>
          <w:i/>
          <w:iCs/>
          <w:sz w:val="24"/>
          <w:szCs w:val="24"/>
        </w:rPr>
        <w:t>infamia</w:t>
      </w:r>
      <w:proofErr w:type="spellEnd"/>
      <w:r w:rsidRPr="00934F4B">
        <w:rPr>
          <w:rFonts w:asciiTheme="majorBidi" w:hAnsiTheme="majorBidi" w:cstheme="majorBidi"/>
          <w:sz w:val="24"/>
          <w:szCs w:val="24"/>
        </w:rPr>
        <w:t xml:space="preserve"> </w:t>
      </w:r>
      <w:r w:rsidRPr="00934F4B">
        <w:rPr>
          <w:rFonts w:asciiTheme="majorBidi" w:hAnsiTheme="majorBidi" w:cstheme="majorBidi"/>
          <w:sz w:val="24"/>
          <w:szCs w:val="24"/>
        </w:rPr>
        <w:t>as they understand it</w:t>
      </w:r>
      <w:r w:rsidR="00605A1F" w:rsidRPr="00934F4B">
        <w:rPr>
          <w:rFonts w:asciiTheme="majorBidi" w:hAnsiTheme="majorBidi" w:cstheme="majorBidi"/>
          <w:sz w:val="24"/>
          <w:szCs w:val="24"/>
        </w:rPr>
        <w:t>,</w:t>
      </w:r>
      <w:r w:rsidR="008A1DBB" w:rsidRPr="00934F4B">
        <w:rPr>
          <w:rFonts w:asciiTheme="majorBidi" w:hAnsiTheme="majorBidi" w:cstheme="majorBidi"/>
          <w:sz w:val="24"/>
          <w:szCs w:val="24"/>
        </w:rPr>
        <w:t xml:space="preserve"> probably </w:t>
      </w:r>
      <w:r w:rsidRPr="00934F4B">
        <w:rPr>
          <w:rFonts w:asciiTheme="majorBidi" w:hAnsiTheme="majorBidi" w:cstheme="majorBidi"/>
          <w:sz w:val="24"/>
          <w:szCs w:val="24"/>
        </w:rPr>
        <w:t xml:space="preserve">based on its reflections </w:t>
      </w:r>
      <w:r w:rsidR="008A1DBB" w:rsidRPr="00934F4B">
        <w:rPr>
          <w:rFonts w:asciiTheme="majorBidi" w:hAnsiTheme="majorBidi" w:cstheme="majorBidi"/>
          <w:sz w:val="24"/>
          <w:szCs w:val="24"/>
        </w:rPr>
        <w:t xml:space="preserve">in aristocratic circles, </w:t>
      </w:r>
      <w:r w:rsidR="00E55E39" w:rsidRPr="00934F4B">
        <w:rPr>
          <w:rFonts w:asciiTheme="majorBidi" w:hAnsiTheme="majorBidi" w:cstheme="majorBidi"/>
          <w:sz w:val="24"/>
          <w:szCs w:val="24"/>
        </w:rPr>
        <w:t xml:space="preserve">while </w:t>
      </w:r>
      <w:r w:rsidR="008A1DBB" w:rsidRPr="00934F4B">
        <w:rPr>
          <w:rFonts w:asciiTheme="majorBidi" w:hAnsiTheme="majorBidi" w:cstheme="majorBidi"/>
          <w:sz w:val="24"/>
          <w:szCs w:val="24"/>
        </w:rPr>
        <w:t xml:space="preserve">adapting it </w:t>
      </w:r>
      <w:r w:rsidR="005621CD" w:rsidRPr="00934F4B">
        <w:rPr>
          <w:rFonts w:asciiTheme="majorBidi" w:hAnsiTheme="majorBidi" w:cstheme="majorBidi"/>
          <w:sz w:val="24"/>
          <w:szCs w:val="24"/>
        </w:rPr>
        <w:t>to</w:t>
      </w:r>
      <w:r w:rsidR="00605A1F" w:rsidRPr="00934F4B">
        <w:rPr>
          <w:rFonts w:asciiTheme="majorBidi" w:hAnsiTheme="majorBidi" w:cstheme="majorBidi"/>
          <w:sz w:val="24"/>
          <w:szCs w:val="24"/>
        </w:rPr>
        <w:t xml:space="preserve"> their needs. </w:t>
      </w:r>
      <w:r w:rsidR="00292610" w:rsidRPr="00934F4B">
        <w:rPr>
          <w:rFonts w:asciiTheme="majorBidi" w:hAnsiTheme="majorBidi" w:cstheme="majorBidi"/>
          <w:sz w:val="24"/>
          <w:szCs w:val="24"/>
        </w:rPr>
        <w:t>Given the structural</w:t>
      </w:r>
      <w:r w:rsidR="00D73742" w:rsidRPr="00934F4B">
        <w:rPr>
          <w:rFonts w:asciiTheme="majorBidi" w:hAnsiTheme="majorBidi" w:cstheme="majorBidi"/>
          <w:sz w:val="24"/>
          <w:szCs w:val="24"/>
        </w:rPr>
        <w:t>,</w:t>
      </w:r>
      <w:r w:rsidR="00292610" w:rsidRPr="00934F4B">
        <w:rPr>
          <w:rFonts w:asciiTheme="majorBidi" w:hAnsiTheme="majorBidi" w:cstheme="majorBidi"/>
          <w:sz w:val="24"/>
          <w:szCs w:val="24"/>
        </w:rPr>
        <w:t xml:space="preserve"> ideological and technical parallels </w:t>
      </w:r>
      <w:r w:rsidR="005621CD" w:rsidRPr="00934F4B">
        <w:rPr>
          <w:rFonts w:asciiTheme="majorBidi" w:hAnsiTheme="majorBidi" w:cstheme="majorBidi"/>
          <w:sz w:val="24"/>
          <w:szCs w:val="24"/>
        </w:rPr>
        <w:t>between</w:t>
      </w:r>
      <w:r w:rsidR="00292610" w:rsidRPr="00934F4B">
        <w:rPr>
          <w:rFonts w:asciiTheme="majorBidi" w:hAnsiTheme="majorBidi" w:cstheme="majorBidi"/>
          <w:sz w:val="24"/>
          <w:szCs w:val="24"/>
        </w:rPr>
        <w:t xml:space="preserve"> the two institutions</w:t>
      </w:r>
      <w:r w:rsidR="008A1DBB" w:rsidRPr="00934F4B">
        <w:rPr>
          <w:rFonts w:asciiTheme="majorBidi" w:hAnsiTheme="majorBidi" w:cstheme="majorBidi"/>
          <w:sz w:val="24"/>
          <w:szCs w:val="24"/>
        </w:rPr>
        <w:t xml:space="preserve"> </w:t>
      </w:r>
      <w:r w:rsidR="00292610" w:rsidRPr="00934F4B">
        <w:rPr>
          <w:rFonts w:asciiTheme="majorBidi" w:hAnsiTheme="majorBidi" w:cstheme="majorBidi"/>
          <w:sz w:val="24"/>
          <w:szCs w:val="24"/>
        </w:rPr>
        <w:t xml:space="preserve">(recall the phrase </w:t>
      </w:r>
      <w:r w:rsidR="00292610" w:rsidRPr="00934F4B">
        <w:rPr>
          <w:rFonts w:asciiTheme="majorBidi" w:hAnsiTheme="majorBidi" w:cstheme="majorBidi" w:hint="cs"/>
          <w:sz w:val="24"/>
          <w:szCs w:val="24"/>
          <w:rtl/>
        </w:rPr>
        <w:t xml:space="preserve">חזרה גמורה </w:t>
      </w:r>
      <w:r w:rsidR="00292610" w:rsidRPr="00934F4B">
        <w:rPr>
          <w:rFonts w:asciiTheme="majorBidi" w:hAnsiTheme="majorBidi" w:cstheme="majorBidi"/>
          <w:sz w:val="24"/>
          <w:szCs w:val="24"/>
        </w:rPr>
        <w:t xml:space="preserve">– which is a literal translation of </w:t>
      </w:r>
      <w:r w:rsidR="00292610" w:rsidRPr="00934F4B">
        <w:rPr>
          <w:rFonts w:asciiTheme="majorBidi" w:hAnsiTheme="majorBidi" w:cstheme="majorBidi"/>
          <w:i/>
          <w:iCs/>
          <w:sz w:val="24"/>
          <w:szCs w:val="24"/>
        </w:rPr>
        <w:t xml:space="preserve">restitution in </w:t>
      </w:r>
      <w:proofErr w:type="spellStart"/>
      <w:r w:rsidR="00292610" w:rsidRPr="00934F4B">
        <w:rPr>
          <w:rFonts w:asciiTheme="majorBidi" w:hAnsiTheme="majorBidi" w:cstheme="majorBidi"/>
          <w:i/>
          <w:iCs/>
          <w:sz w:val="24"/>
          <w:szCs w:val="24"/>
        </w:rPr>
        <w:t>integrum</w:t>
      </w:r>
      <w:proofErr w:type="spellEnd"/>
      <w:r w:rsidR="00292610" w:rsidRPr="00934F4B">
        <w:rPr>
          <w:rFonts w:asciiTheme="majorBidi" w:hAnsiTheme="majorBidi" w:cstheme="majorBidi"/>
          <w:sz w:val="24"/>
          <w:szCs w:val="24"/>
        </w:rPr>
        <w:t>, sugge</w:t>
      </w:r>
      <w:r w:rsidR="001D7F68">
        <w:rPr>
          <w:rFonts w:asciiTheme="majorBidi" w:hAnsiTheme="majorBidi" w:cstheme="majorBidi"/>
          <w:sz w:val="24"/>
          <w:szCs w:val="24"/>
        </w:rPr>
        <w:t>sting that some reference to a R</w:t>
      </w:r>
      <w:r w:rsidR="00292610" w:rsidRPr="00934F4B">
        <w:rPr>
          <w:rFonts w:asciiTheme="majorBidi" w:hAnsiTheme="majorBidi" w:cstheme="majorBidi"/>
          <w:sz w:val="24"/>
          <w:szCs w:val="24"/>
        </w:rPr>
        <w:t xml:space="preserve">oman legal institute is indeed in the </w:t>
      </w:r>
      <w:r w:rsidR="008A1DBB" w:rsidRPr="00934F4B">
        <w:rPr>
          <w:rFonts w:asciiTheme="majorBidi" w:hAnsiTheme="majorBidi" w:cstheme="majorBidi"/>
          <w:sz w:val="24"/>
          <w:szCs w:val="24"/>
        </w:rPr>
        <w:t>background</w:t>
      </w:r>
      <w:r w:rsidR="00292610" w:rsidRPr="00934F4B">
        <w:rPr>
          <w:rFonts w:asciiTheme="majorBidi" w:hAnsiTheme="majorBidi" w:cstheme="majorBidi"/>
          <w:sz w:val="24"/>
          <w:szCs w:val="24"/>
        </w:rPr>
        <w:t xml:space="preserve">!) </w:t>
      </w:r>
      <w:r w:rsidR="00BC051D" w:rsidRPr="00934F4B">
        <w:rPr>
          <w:rFonts w:asciiTheme="majorBidi" w:hAnsiTheme="majorBidi" w:cstheme="majorBidi"/>
          <w:sz w:val="24"/>
          <w:szCs w:val="24"/>
        </w:rPr>
        <w:t xml:space="preserve">I believe that the </w:t>
      </w:r>
      <w:r w:rsidR="002D00FD" w:rsidRPr="00934F4B">
        <w:rPr>
          <w:rFonts w:asciiTheme="majorBidi" w:hAnsiTheme="majorBidi" w:cstheme="majorBidi"/>
          <w:sz w:val="24"/>
          <w:szCs w:val="24"/>
        </w:rPr>
        <w:t xml:space="preserve">claim for a </w:t>
      </w:r>
      <w:r w:rsidR="00E55E39" w:rsidRPr="00934F4B">
        <w:rPr>
          <w:rFonts w:asciiTheme="majorBidi" w:hAnsiTheme="majorBidi" w:cstheme="majorBidi"/>
          <w:sz w:val="24"/>
          <w:szCs w:val="24"/>
        </w:rPr>
        <w:t>genealogical ancestry connecting</w:t>
      </w:r>
      <w:r w:rsidR="00BC051D" w:rsidRPr="00934F4B">
        <w:rPr>
          <w:rFonts w:asciiTheme="majorBidi" w:hAnsiTheme="majorBidi" w:cstheme="majorBidi"/>
          <w:sz w:val="24"/>
          <w:szCs w:val="24"/>
        </w:rPr>
        <w:t xml:space="preserve"> </w:t>
      </w:r>
      <w:r w:rsidR="002D00FD" w:rsidRPr="00934F4B">
        <w:rPr>
          <w:rFonts w:asciiTheme="majorBidi" w:hAnsiTheme="majorBidi" w:cstheme="majorBidi"/>
          <w:sz w:val="24"/>
          <w:szCs w:val="24"/>
        </w:rPr>
        <w:t>them</w:t>
      </w:r>
      <w:r w:rsidR="00E55E39" w:rsidRPr="00934F4B">
        <w:rPr>
          <w:rFonts w:asciiTheme="majorBidi" w:hAnsiTheme="majorBidi" w:cstheme="majorBidi"/>
          <w:sz w:val="24"/>
          <w:szCs w:val="24"/>
        </w:rPr>
        <w:t xml:space="preserve"> still</w:t>
      </w:r>
      <w:r w:rsidR="002D00FD" w:rsidRPr="00934F4B">
        <w:rPr>
          <w:rFonts w:asciiTheme="majorBidi" w:hAnsiTheme="majorBidi" w:cstheme="majorBidi"/>
          <w:sz w:val="24"/>
          <w:szCs w:val="24"/>
        </w:rPr>
        <w:t xml:space="preserve"> </w:t>
      </w:r>
      <w:r w:rsidR="00BC051D" w:rsidRPr="00934F4B">
        <w:rPr>
          <w:rFonts w:asciiTheme="majorBidi" w:hAnsiTheme="majorBidi" w:cstheme="majorBidi"/>
          <w:sz w:val="24"/>
          <w:szCs w:val="24"/>
        </w:rPr>
        <w:t>holds</w:t>
      </w:r>
      <w:r w:rsidR="009A25F1" w:rsidRPr="00934F4B">
        <w:rPr>
          <w:rFonts w:asciiTheme="majorBidi" w:hAnsiTheme="majorBidi" w:cstheme="majorBidi"/>
          <w:sz w:val="24"/>
          <w:szCs w:val="24"/>
        </w:rPr>
        <w:t>.</w:t>
      </w:r>
      <w:r w:rsidR="00BC051D" w:rsidRPr="00934F4B">
        <w:rPr>
          <w:rFonts w:asciiTheme="majorBidi" w:hAnsiTheme="majorBidi" w:cstheme="majorBidi"/>
          <w:sz w:val="24"/>
          <w:szCs w:val="24"/>
        </w:rPr>
        <w:t xml:space="preserve"> But even if I’m wrong, hopefully I have shown enough to </w:t>
      </w:r>
      <w:r w:rsidR="002D00FD" w:rsidRPr="00934F4B">
        <w:rPr>
          <w:rFonts w:asciiTheme="majorBidi" w:hAnsiTheme="majorBidi" w:cstheme="majorBidi"/>
          <w:sz w:val="24"/>
          <w:szCs w:val="24"/>
        </w:rPr>
        <w:t xml:space="preserve">demonstrate that the jurisprudential rationale of testimony in antiquity deserves further study, as it challenges common assumption regarding the logic of testimony as </w:t>
      </w:r>
      <w:r w:rsidR="005621CD" w:rsidRPr="00934F4B">
        <w:rPr>
          <w:rFonts w:asciiTheme="majorBidi" w:hAnsiTheme="majorBidi" w:cstheme="majorBidi"/>
          <w:sz w:val="24"/>
          <w:szCs w:val="24"/>
        </w:rPr>
        <w:t xml:space="preserve">mere </w:t>
      </w:r>
      <w:r w:rsidR="002D00FD" w:rsidRPr="00934F4B">
        <w:rPr>
          <w:rFonts w:asciiTheme="majorBidi" w:hAnsiTheme="majorBidi" w:cstheme="majorBidi"/>
          <w:sz w:val="24"/>
          <w:szCs w:val="24"/>
        </w:rPr>
        <w:t>evidence.</w:t>
      </w:r>
    </w:p>
    <w:sectPr w:rsidR="002D00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C597A" w14:textId="77777777" w:rsidR="00A72D82" w:rsidRDefault="00A72D82" w:rsidP="000136C9">
      <w:pPr>
        <w:spacing w:after="0" w:line="240" w:lineRule="auto"/>
      </w:pPr>
      <w:r>
        <w:separator/>
      </w:r>
    </w:p>
  </w:endnote>
  <w:endnote w:type="continuationSeparator" w:id="0">
    <w:p w14:paraId="6A3AFBB5" w14:textId="77777777" w:rsidR="00A72D82" w:rsidRDefault="00A72D82" w:rsidP="0001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424957"/>
      <w:docPartObj>
        <w:docPartGallery w:val="Page Numbers (Bottom of Page)"/>
        <w:docPartUnique/>
      </w:docPartObj>
    </w:sdtPr>
    <w:sdtEndPr>
      <w:rPr>
        <w:noProof/>
      </w:rPr>
    </w:sdtEndPr>
    <w:sdtContent>
      <w:p w14:paraId="6A3C1C1A" w14:textId="6DE7E18D" w:rsidR="00934F4B" w:rsidRDefault="00934F4B">
        <w:pPr>
          <w:pStyle w:val="Footer"/>
          <w:jc w:val="center"/>
        </w:pPr>
        <w:r>
          <w:fldChar w:fldCharType="begin"/>
        </w:r>
        <w:r>
          <w:instrText xml:space="preserve"> PAGE   \* MERGEFORMAT </w:instrText>
        </w:r>
        <w:r>
          <w:fldChar w:fldCharType="separate"/>
        </w:r>
        <w:r w:rsidR="008661A3">
          <w:rPr>
            <w:noProof/>
          </w:rPr>
          <w:t>6</w:t>
        </w:r>
        <w:r>
          <w:rPr>
            <w:noProof/>
          </w:rPr>
          <w:fldChar w:fldCharType="end"/>
        </w:r>
      </w:p>
    </w:sdtContent>
  </w:sdt>
  <w:p w14:paraId="1E333610" w14:textId="77777777" w:rsidR="00934F4B" w:rsidRDefault="00934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A3E2" w14:textId="77777777" w:rsidR="00A72D82" w:rsidRDefault="00A72D82" w:rsidP="000136C9">
      <w:pPr>
        <w:spacing w:after="0" w:line="240" w:lineRule="auto"/>
      </w:pPr>
      <w:r>
        <w:separator/>
      </w:r>
    </w:p>
  </w:footnote>
  <w:footnote w:type="continuationSeparator" w:id="0">
    <w:p w14:paraId="6AF6C57F" w14:textId="77777777" w:rsidR="00A72D82" w:rsidRDefault="00A72D82" w:rsidP="000136C9">
      <w:pPr>
        <w:spacing w:after="0" w:line="240" w:lineRule="auto"/>
      </w:pPr>
      <w:r>
        <w:continuationSeparator/>
      </w:r>
    </w:p>
  </w:footnote>
  <w:footnote w:id="1">
    <w:p w14:paraId="45B30F69" w14:textId="5FD1735A" w:rsidR="004A6E5B" w:rsidRPr="001D7F68" w:rsidRDefault="004A6E5B" w:rsidP="005621CD">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5621CD" w:rsidRPr="001D7F68">
        <w:rPr>
          <w:rFonts w:asciiTheme="majorBidi" w:hAnsiTheme="majorBidi" w:cstheme="majorBidi"/>
          <w:sz w:val="20"/>
          <w:szCs w:val="20"/>
        </w:rPr>
        <w:t>[]</w:t>
      </w:r>
      <w:r w:rsidRPr="001D7F68">
        <w:rPr>
          <w:rFonts w:asciiTheme="majorBidi" w:hAnsiTheme="majorBidi" w:cstheme="majorBidi"/>
          <w:sz w:val="20"/>
          <w:szCs w:val="20"/>
        </w:rPr>
        <w:t>.</w:t>
      </w:r>
      <w:r w:rsidR="00403AB0" w:rsidRPr="001D7F68">
        <w:rPr>
          <w:rFonts w:asciiTheme="majorBidi" w:hAnsiTheme="majorBidi" w:cstheme="majorBidi"/>
          <w:sz w:val="20"/>
          <w:szCs w:val="20"/>
        </w:rPr>
        <w:t xml:space="preserve"> That disqualification of witnesses according to this list is due to </w:t>
      </w:r>
      <w:proofErr w:type="spellStart"/>
      <w:r w:rsidR="00403AB0" w:rsidRPr="001D7F68">
        <w:rPr>
          <w:rFonts w:asciiTheme="majorBidi" w:hAnsiTheme="majorBidi" w:cstheme="majorBidi"/>
          <w:i/>
          <w:iCs/>
          <w:sz w:val="20"/>
          <w:szCs w:val="20"/>
        </w:rPr>
        <w:t>infa</w:t>
      </w:r>
      <w:r w:rsidR="00BC77E2" w:rsidRPr="001D7F68">
        <w:rPr>
          <w:rFonts w:asciiTheme="majorBidi" w:hAnsiTheme="majorBidi" w:cstheme="majorBidi"/>
          <w:i/>
          <w:iCs/>
          <w:sz w:val="20"/>
          <w:szCs w:val="20"/>
        </w:rPr>
        <w:t>m</w:t>
      </w:r>
      <w:r w:rsidR="00403AB0" w:rsidRPr="001D7F68">
        <w:rPr>
          <w:rFonts w:asciiTheme="majorBidi" w:hAnsiTheme="majorBidi" w:cstheme="majorBidi"/>
          <w:i/>
          <w:iCs/>
          <w:sz w:val="20"/>
          <w:szCs w:val="20"/>
        </w:rPr>
        <w:t>ia</w:t>
      </w:r>
      <w:proofErr w:type="spellEnd"/>
      <w:r w:rsidR="00403AB0" w:rsidRPr="001D7F68">
        <w:rPr>
          <w:rFonts w:asciiTheme="majorBidi" w:hAnsiTheme="majorBidi" w:cstheme="majorBidi"/>
          <w:sz w:val="20"/>
          <w:szCs w:val="20"/>
        </w:rPr>
        <w:t xml:space="preserve"> is </w:t>
      </w:r>
      <w:r w:rsidR="005621CD" w:rsidRPr="001D7F68">
        <w:rPr>
          <w:rFonts w:asciiTheme="majorBidi" w:hAnsiTheme="majorBidi" w:cstheme="majorBidi"/>
          <w:sz w:val="20"/>
          <w:szCs w:val="20"/>
        </w:rPr>
        <w:t>accepted by most scholars.</w:t>
      </w:r>
      <w:r w:rsidR="00403AB0" w:rsidRPr="001D7F68">
        <w:rPr>
          <w:rFonts w:asciiTheme="majorBidi" w:hAnsiTheme="majorBidi" w:cstheme="majorBidi"/>
          <w:sz w:val="20"/>
          <w:szCs w:val="20"/>
        </w:rPr>
        <w:t xml:space="preserve"> See e.g.</w:t>
      </w:r>
      <w:r w:rsidR="003151DF" w:rsidRPr="001D7F68">
        <w:rPr>
          <w:rFonts w:asciiTheme="majorBidi" w:hAnsiTheme="majorBidi" w:cstheme="majorBidi"/>
          <w:sz w:val="20"/>
          <w:szCs w:val="20"/>
        </w:rPr>
        <w:t xml:space="preserve"> Gardner, 123;</w:t>
      </w:r>
      <w:r w:rsidR="00403AB0" w:rsidRPr="001D7F68">
        <w:rPr>
          <w:rFonts w:asciiTheme="majorBidi" w:hAnsiTheme="majorBidi" w:cstheme="majorBidi"/>
          <w:sz w:val="20"/>
          <w:szCs w:val="20"/>
        </w:rPr>
        <w:t xml:space="preserve"> Peter Garnsey, </w:t>
      </w:r>
      <w:r w:rsidR="00403AB0" w:rsidRPr="001D7F68">
        <w:rPr>
          <w:rFonts w:asciiTheme="majorBidi" w:hAnsiTheme="majorBidi" w:cstheme="majorBidi"/>
          <w:i/>
          <w:iCs/>
          <w:sz w:val="20"/>
          <w:szCs w:val="20"/>
        </w:rPr>
        <w:t>Social status and legal privilege in the Roman Empire</w:t>
      </w:r>
      <w:r w:rsidR="00403AB0" w:rsidRPr="001D7F68">
        <w:rPr>
          <w:rFonts w:asciiTheme="majorBidi" w:hAnsiTheme="majorBidi" w:cstheme="majorBidi"/>
          <w:sz w:val="20"/>
          <w:szCs w:val="20"/>
        </w:rPr>
        <w:t>, 1970, p. 231</w:t>
      </w:r>
      <w:r w:rsidR="003151DF" w:rsidRPr="001D7F68">
        <w:rPr>
          <w:rFonts w:asciiTheme="majorBidi" w:hAnsiTheme="majorBidi" w:cstheme="majorBidi"/>
          <w:sz w:val="20"/>
          <w:szCs w:val="20"/>
        </w:rPr>
        <w:t>.</w:t>
      </w:r>
      <w:r w:rsidR="00403AB0" w:rsidRPr="001D7F68">
        <w:rPr>
          <w:rFonts w:asciiTheme="majorBidi" w:hAnsiTheme="majorBidi" w:cstheme="majorBidi"/>
          <w:sz w:val="20"/>
          <w:szCs w:val="20"/>
        </w:rPr>
        <w:t xml:space="preserve">  </w:t>
      </w:r>
    </w:p>
  </w:footnote>
  <w:footnote w:id="2">
    <w:p w14:paraId="38664EAC" w14:textId="4D9537F5" w:rsidR="00B67E61" w:rsidRPr="001D7F68" w:rsidRDefault="00B67E61" w:rsidP="006C3602">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2D00FD" w:rsidRPr="001D7F68">
        <w:rPr>
          <w:rFonts w:asciiTheme="majorBidi" w:hAnsiTheme="majorBidi" w:cstheme="majorBidi"/>
          <w:sz w:val="20"/>
          <w:szCs w:val="20"/>
        </w:rPr>
        <w:t xml:space="preserve">For </w:t>
      </w:r>
      <w:proofErr w:type="spellStart"/>
      <w:r w:rsidR="002D00FD" w:rsidRPr="001D7F68">
        <w:rPr>
          <w:rFonts w:asciiTheme="majorBidi" w:hAnsiTheme="majorBidi" w:cstheme="majorBidi"/>
          <w:i/>
          <w:iCs/>
          <w:sz w:val="20"/>
          <w:szCs w:val="20"/>
        </w:rPr>
        <w:t>lex</w:t>
      </w:r>
      <w:proofErr w:type="spellEnd"/>
      <w:r w:rsidR="00A250FB" w:rsidRPr="001D7F68">
        <w:rPr>
          <w:rFonts w:asciiTheme="majorBidi" w:hAnsiTheme="majorBidi" w:cstheme="majorBidi"/>
          <w:i/>
          <w:iCs/>
          <w:sz w:val="20"/>
          <w:szCs w:val="20"/>
        </w:rPr>
        <w:t xml:space="preserve"> </w:t>
      </w:r>
      <w:r w:rsidR="002D00FD" w:rsidRPr="001D7F68">
        <w:rPr>
          <w:rFonts w:asciiTheme="majorBidi" w:hAnsiTheme="majorBidi" w:cstheme="majorBidi"/>
          <w:i/>
          <w:iCs/>
          <w:sz w:val="20"/>
          <w:szCs w:val="20"/>
        </w:rPr>
        <w:t xml:space="preserve">Julia </w:t>
      </w:r>
      <w:proofErr w:type="spellStart"/>
      <w:r w:rsidR="002D00FD" w:rsidRPr="001D7F68">
        <w:rPr>
          <w:rFonts w:asciiTheme="majorBidi" w:hAnsiTheme="majorBidi" w:cstheme="majorBidi"/>
          <w:i/>
          <w:iCs/>
          <w:sz w:val="20"/>
          <w:szCs w:val="20"/>
        </w:rPr>
        <w:t>repetundarum</w:t>
      </w:r>
      <w:proofErr w:type="spellEnd"/>
      <w:r w:rsidR="002D00FD" w:rsidRPr="001D7F68">
        <w:rPr>
          <w:rFonts w:asciiTheme="majorBidi" w:hAnsiTheme="majorBidi" w:cstheme="majorBidi"/>
          <w:sz w:val="20"/>
          <w:szCs w:val="20"/>
        </w:rPr>
        <w:t xml:space="preserve"> see </w:t>
      </w:r>
      <w:r w:rsidRPr="001D7F68">
        <w:rPr>
          <w:rFonts w:asciiTheme="majorBidi" w:hAnsiTheme="majorBidi" w:cstheme="majorBidi"/>
          <w:sz w:val="20"/>
          <w:szCs w:val="20"/>
        </w:rPr>
        <w:t>D. 1.9.2</w:t>
      </w:r>
      <w:r w:rsidR="002D00FD" w:rsidRPr="001D7F68">
        <w:rPr>
          <w:rFonts w:asciiTheme="majorBidi" w:hAnsiTheme="majorBidi" w:cstheme="majorBidi"/>
          <w:sz w:val="20"/>
          <w:szCs w:val="20"/>
        </w:rPr>
        <w:t>;</w:t>
      </w:r>
      <w:r w:rsidR="00FE01E9" w:rsidRPr="001D7F68">
        <w:rPr>
          <w:rFonts w:asciiTheme="majorBidi" w:hAnsiTheme="majorBidi" w:cstheme="majorBidi"/>
          <w:sz w:val="20"/>
          <w:szCs w:val="20"/>
        </w:rPr>
        <w:t xml:space="preserve"> For </w:t>
      </w:r>
      <w:proofErr w:type="spellStart"/>
      <w:r w:rsidR="006C3602" w:rsidRPr="001D7F68">
        <w:rPr>
          <w:rFonts w:asciiTheme="majorBidi" w:hAnsiTheme="majorBidi" w:cstheme="majorBidi"/>
          <w:sz w:val="20"/>
          <w:szCs w:val="20"/>
        </w:rPr>
        <w:t>l</w:t>
      </w:r>
      <w:r w:rsidR="00FE01E9" w:rsidRPr="001D7F68">
        <w:rPr>
          <w:rFonts w:asciiTheme="majorBidi" w:hAnsiTheme="majorBidi" w:cstheme="majorBidi"/>
          <w:sz w:val="20"/>
          <w:szCs w:val="20"/>
        </w:rPr>
        <w:t>ex</w:t>
      </w:r>
      <w:proofErr w:type="spellEnd"/>
      <w:r w:rsidR="00FE01E9" w:rsidRPr="001D7F68">
        <w:rPr>
          <w:rFonts w:asciiTheme="majorBidi" w:hAnsiTheme="majorBidi" w:cstheme="majorBidi"/>
          <w:sz w:val="20"/>
          <w:szCs w:val="20"/>
        </w:rPr>
        <w:t xml:space="preserve"> Julia de </w:t>
      </w:r>
      <w:proofErr w:type="spellStart"/>
      <w:r w:rsidR="00FE01E9" w:rsidRPr="001D7F68">
        <w:rPr>
          <w:rFonts w:asciiTheme="majorBidi" w:hAnsiTheme="majorBidi" w:cstheme="majorBidi"/>
          <w:sz w:val="20"/>
          <w:szCs w:val="20"/>
        </w:rPr>
        <w:t>adulteriis</w:t>
      </w:r>
      <w:proofErr w:type="spellEnd"/>
      <w:r w:rsidR="00FE01E9" w:rsidRPr="001D7F68">
        <w:rPr>
          <w:rFonts w:asciiTheme="majorBidi" w:hAnsiTheme="majorBidi" w:cstheme="majorBidi"/>
          <w:sz w:val="20"/>
          <w:szCs w:val="20"/>
        </w:rPr>
        <w:t xml:space="preserve"> see 00.</w:t>
      </w:r>
    </w:p>
  </w:footnote>
  <w:footnote w:id="3">
    <w:p w14:paraId="15EE5262" w14:textId="5F425812" w:rsidR="00536ABC" w:rsidRPr="001D7F68" w:rsidRDefault="00536ABC"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Translation by Jeffrey A. Stevens, Staring into the Face of Roman Power: Resistance and Assimilation from behind the 'Mask of </w:t>
      </w:r>
      <w:proofErr w:type="spellStart"/>
      <w:r w:rsidRPr="001D7F68">
        <w:rPr>
          <w:rFonts w:asciiTheme="majorBidi" w:hAnsiTheme="majorBidi" w:cstheme="majorBidi"/>
        </w:rPr>
        <w:t>Infamia</w:t>
      </w:r>
      <w:proofErr w:type="spellEnd"/>
      <w:r w:rsidRPr="001D7F68">
        <w:rPr>
          <w:rFonts w:asciiTheme="majorBidi" w:hAnsiTheme="majorBidi" w:cstheme="majorBidi"/>
        </w:rPr>
        <w:t>' (PhD. Dissertation, University of California, 2014)</w:t>
      </w:r>
    </w:p>
  </w:footnote>
  <w:footnote w:id="4">
    <w:p w14:paraId="19AE7930" w14:textId="68032EA4" w:rsidR="00A10494" w:rsidRPr="001D7F68" w:rsidRDefault="00A10494" w:rsidP="005621CD">
      <w:pPr>
        <w:autoSpaceDE w:val="0"/>
        <w:autoSpaceDN w:val="0"/>
        <w:adjustRightInd w:val="0"/>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At least according to a limited interpretation. See Berger, 00. Some interpret it more broadly, as referring also to serving as a witness in court. See Gardner, p. 118. </w:t>
      </w:r>
      <w:r w:rsidR="005621CD" w:rsidRPr="001D7F68">
        <w:rPr>
          <w:rFonts w:asciiTheme="majorBidi" w:hAnsiTheme="majorBidi" w:cstheme="majorBidi"/>
          <w:sz w:val="20"/>
          <w:szCs w:val="20"/>
        </w:rPr>
        <w:t>This might be</w:t>
      </w:r>
      <w:r w:rsidRPr="001D7F68">
        <w:rPr>
          <w:rFonts w:asciiTheme="majorBidi" w:hAnsiTheme="majorBidi" w:cstheme="majorBidi"/>
          <w:sz w:val="20"/>
          <w:szCs w:val="20"/>
        </w:rPr>
        <w:t xml:space="preserve"> the plain reading of Gaius, D.28.1.26</w:t>
      </w:r>
      <w:r w:rsidR="00952082" w:rsidRPr="001D7F68">
        <w:rPr>
          <w:rFonts w:asciiTheme="majorBidi" w:hAnsiTheme="majorBidi" w:cstheme="majorBidi"/>
          <w:sz w:val="20"/>
          <w:szCs w:val="20"/>
        </w:rPr>
        <w:t>.</w:t>
      </w:r>
      <w:r w:rsidRPr="001D7F68">
        <w:rPr>
          <w:rFonts w:asciiTheme="majorBidi" w:hAnsiTheme="majorBidi" w:cstheme="majorBidi"/>
          <w:sz w:val="20"/>
          <w:szCs w:val="20"/>
        </w:rPr>
        <w:t xml:space="preserve"> </w:t>
      </w:r>
    </w:p>
  </w:footnote>
  <w:footnote w:id="5">
    <w:p w14:paraId="16396D9D" w14:textId="0C880AED" w:rsidR="00BC3B14" w:rsidRPr="001D7F68" w:rsidRDefault="00BC3B14"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See the analysis of the </w:t>
      </w:r>
      <w:r w:rsidR="00CE036D" w:rsidRPr="001D7F68">
        <w:rPr>
          <w:rFonts w:asciiTheme="majorBidi" w:hAnsiTheme="majorBidi" w:cstheme="majorBidi"/>
        </w:rPr>
        <w:t>connection</w:t>
      </w:r>
      <w:r w:rsidRPr="001D7F68">
        <w:rPr>
          <w:rFonts w:asciiTheme="majorBidi" w:hAnsiTheme="majorBidi" w:cstheme="majorBidi"/>
        </w:rPr>
        <w:t xml:space="preserve"> between the different terms by Stevens, p. </w:t>
      </w:r>
      <w:r w:rsidR="00CE036D" w:rsidRPr="001D7F68">
        <w:rPr>
          <w:rFonts w:asciiTheme="majorBidi" w:hAnsiTheme="majorBidi" w:cstheme="majorBidi"/>
        </w:rPr>
        <w:t xml:space="preserve">49-54. </w:t>
      </w:r>
    </w:p>
  </w:footnote>
  <w:footnote w:id="6">
    <w:p w14:paraId="6614CC49" w14:textId="4E0F15E2" w:rsidR="00C4766D" w:rsidRPr="001D7F68" w:rsidRDefault="00C4766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See also Paul, sent. 2.26.13</w:t>
      </w:r>
      <w:r w:rsidR="00E474B9" w:rsidRPr="001D7F68">
        <w:rPr>
          <w:rFonts w:asciiTheme="majorBidi" w:hAnsiTheme="majorBidi" w:cstheme="majorBidi"/>
          <w:rtl/>
        </w:rPr>
        <w:t xml:space="preserve"> </w:t>
      </w:r>
      <w:r w:rsidR="00E474B9" w:rsidRPr="001D7F68">
        <w:rPr>
          <w:rFonts w:asciiTheme="majorBidi" w:hAnsiTheme="majorBidi" w:cstheme="majorBidi"/>
        </w:rPr>
        <w:t>(Gardner p.122)</w:t>
      </w:r>
    </w:p>
  </w:footnote>
  <w:footnote w:id="7">
    <w:p w14:paraId="68637BF9" w14:textId="415A0AB2" w:rsidR="00C1513E" w:rsidRPr="001D7F68" w:rsidRDefault="00C1513E" w:rsidP="00DA29CB">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proofErr w:type="spellStart"/>
      <w:r w:rsidRPr="001D7F68">
        <w:rPr>
          <w:rFonts w:asciiTheme="majorBidi" w:hAnsiTheme="majorBidi" w:cstheme="majorBidi"/>
        </w:rPr>
        <w:t>Greenidge</w:t>
      </w:r>
      <w:proofErr w:type="spellEnd"/>
      <w:r w:rsidRPr="001D7F68">
        <w:rPr>
          <w:rFonts w:asciiTheme="majorBidi" w:hAnsiTheme="majorBidi" w:cstheme="majorBidi"/>
        </w:rPr>
        <w:t>, 9.34</w:t>
      </w:r>
    </w:p>
  </w:footnote>
  <w:footnote w:id="8">
    <w:p w14:paraId="66C5AE93" w14:textId="480746CA" w:rsidR="0000453D" w:rsidRPr="001D7F68" w:rsidRDefault="0000453D"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See </w:t>
      </w:r>
      <w:proofErr w:type="spellStart"/>
      <w:r w:rsidR="00A97F73" w:rsidRPr="001D7F68">
        <w:rPr>
          <w:rFonts w:asciiTheme="majorBidi" w:hAnsiTheme="majorBidi" w:cstheme="majorBidi"/>
        </w:rPr>
        <w:t>Greenidge</w:t>
      </w:r>
      <w:proofErr w:type="spellEnd"/>
      <w:r w:rsidR="00A97F73" w:rsidRPr="001D7F68">
        <w:rPr>
          <w:rFonts w:asciiTheme="majorBidi" w:hAnsiTheme="majorBidi" w:cstheme="majorBidi"/>
        </w:rPr>
        <w:t>, p. 2-6, Stevens, p. 46 n. 58.</w:t>
      </w:r>
    </w:p>
  </w:footnote>
  <w:footnote w:id="9">
    <w:p w14:paraId="0CE35AB7" w14:textId="035C91C7" w:rsidR="00C1513E" w:rsidRPr="001D7F68" w:rsidRDefault="00C1513E"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Stevens, p. </w:t>
      </w:r>
      <w:r w:rsidR="00FE01E9" w:rsidRPr="001D7F68">
        <w:rPr>
          <w:rFonts w:asciiTheme="majorBidi" w:hAnsiTheme="majorBidi" w:cstheme="majorBidi"/>
        </w:rPr>
        <w:t>46.</w:t>
      </w:r>
    </w:p>
  </w:footnote>
  <w:footnote w:id="10">
    <w:p w14:paraId="41E28A33" w14:textId="0871DCAA" w:rsidR="00A97F73" w:rsidRPr="001D7F68" w:rsidRDefault="00A97F73" w:rsidP="00FE01E9">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proofErr w:type="spellStart"/>
      <w:r w:rsidR="00FE01E9" w:rsidRPr="001D7F68">
        <w:rPr>
          <w:rFonts w:asciiTheme="majorBidi" w:hAnsiTheme="majorBidi" w:cstheme="majorBidi"/>
        </w:rPr>
        <w:t>G</w:t>
      </w:r>
      <w:r w:rsidRPr="001D7F68">
        <w:rPr>
          <w:rFonts w:asciiTheme="majorBidi" w:hAnsiTheme="majorBidi" w:cstheme="majorBidi"/>
        </w:rPr>
        <w:t>reenidge</w:t>
      </w:r>
      <w:proofErr w:type="spellEnd"/>
      <w:r w:rsidRPr="001D7F68">
        <w:rPr>
          <w:rFonts w:asciiTheme="majorBidi" w:hAnsiTheme="majorBidi" w:cstheme="majorBidi"/>
        </w:rPr>
        <w:t>, p. 161-162</w:t>
      </w:r>
    </w:p>
  </w:footnote>
  <w:footnote w:id="11">
    <w:p w14:paraId="36ADBFBF" w14:textId="227E7AE9" w:rsidR="00820D71" w:rsidRPr="001D7F68" w:rsidRDefault="00820D71" w:rsidP="00605A1F">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00605A1F" w:rsidRPr="001D7F68">
        <w:rPr>
          <w:rFonts w:asciiTheme="majorBidi" w:hAnsiTheme="majorBidi" w:cstheme="majorBidi"/>
        </w:rPr>
        <w:t>See note 00 above.</w:t>
      </w:r>
    </w:p>
  </w:footnote>
  <w:footnote w:id="12">
    <w:p w14:paraId="599624FB" w14:textId="68D21FB9" w:rsidR="00820D71" w:rsidRPr="001D7F68" w:rsidRDefault="00820D71" w:rsidP="005621C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005621CD" w:rsidRPr="001D7F68">
        <w:rPr>
          <w:rFonts w:asciiTheme="majorBidi" w:hAnsiTheme="majorBidi" w:cstheme="majorBidi"/>
        </w:rPr>
        <w:t>[]</w:t>
      </w:r>
    </w:p>
  </w:footnote>
  <w:footnote w:id="13">
    <w:p w14:paraId="11814D0B" w14:textId="5E340C10" w:rsidR="00820D71" w:rsidRPr="001D7F68" w:rsidRDefault="00820D71" w:rsidP="005621C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005621CD" w:rsidRPr="001D7F68">
        <w:rPr>
          <w:rFonts w:asciiTheme="majorBidi" w:hAnsiTheme="majorBidi" w:cstheme="majorBidi"/>
        </w:rPr>
        <w:t>[]</w:t>
      </w:r>
    </w:p>
  </w:footnote>
  <w:footnote w:id="14">
    <w:p w14:paraId="14AF33A6" w14:textId="021F00C1" w:rsidR="002D00FD" w:rsidRPr="001D7F68" w:rsidRDefault="002D00FD" w:rsidP="005621C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005621CD" w:rsidRPr="001D7F68">
        <w:rPr>
          <w:rFonts w:asciiTheme="majorBidi" w:hAnsiTheme="majorBidi" w:cstheme="majorBidi"/>
        </w:rPr>
        <w:t>[]</w:t>
      </w:r>
    </w:p>
  </w:footnote>
  <w:footnote w:id="15">
    <w:p w14:paraId="1425A584" w14:textId="02143CB5" w:rsidR="002D00FD" w:rsidRPr="001D7F68" w:rsidRDefault="002D00FD" w:rsidP="005621CD">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5621CD" w:rsidRPr="001D7F68">
        <w:rPr>
          <w:rFonts w:asciiTheme="majorBidi" w:hAnsiTheme="majorBidi" w:cstheme="majorBidi"/>
          <w:sz w:val="20"/>
          <w:szCs w:val="20"/>
        </w:rPr>
        <w:t>[]</w:t>
      </w:r>
    </w:p>
  </w:footnote>
  <w:footnote w:id="16">
    <w:p w14:paraId="5FF41A62" w14:textId="17915AE4" w:rsidR="00F52936" w:rsidRPr="001D7F68" w:rsidRDefault="005B6CE5" w:rsidP="005621CD">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00114983" w:rsidRPr="001D7F68">
        <w:rPr>
          <w:rFonts w:asciiTheme="majorBidi" w:hAnsiTheme="majorBidi" w:cstheme="majorBidi"/>
        </w:rPr>
        <w:t xml:space="preserve">For </w:t>
      </w:r>
      <w:r w:rsidR="006E1664" w:rsidRPr="001D7F68">
        <w:rPr>
          <w:rFonts w:asciiTheme="majorBidi" w:hAnsiTheme="majorBidi" w:cstheme="majorBidi"/>
        </w:rPr>
        <w:t xml:space="preserve">a description of witnesses functioning authoritatively, as pseudo- judges, </w:t>
      </w:r>
      <w:r w:rsidR="00114983" w:rsidRPr="001D7F68">
        <w:rPr>
          <w:rFonts w:asciiTheme="majorBidi" w:hAnsiTheme="majorBidi" w:cstheme="majorBidi"/>
        </w:rPr>
        <w:t xml:space="preserve">in Ancient Near </w:t>
      </w:r>
      <w:r w:rsidR="00E20E9E" w:rsidRPr="001D7F68">
        <w:rPr>
          <w:rFonts w:asciiTheme="majorBidi" w:hAnsiTheme="majorBidi" w:cstheme="majorBidi"/>
        </w:rPr>
        <w:t>Eastern</w:t>
      </w:r>
      <w:r w:rsidR="00114983" w:rsidRPr="001D7F68">
        <w:rPr>
          <w:rFonts w:asciiTheme="majorBidi" w:hAnsiTheme="majorBidi" w:cstheme="majorBidi"/>
        </w:rPr>
        <w:t xml:space="preserve"> Context</w:t>
      </w:r>
      <w:r w:rsidR="00E20E9E" w:rsidRPr="001D7F68">
        <w:rPr>
          <w:rFonts w:asciiTheme="majorBidi" w:hAnsiTheme="majorBidi" w:cstheme="majorBidi"/>
        </w:rPr>
        <w:t>,</w:t>
      </w:r>
      <w:r w:rsidR="00114983" w:rsidRPr="001D7F68">
        <w:rPr>
          <w:rFonts w:asciiTheme="majorBidi" w:hAnsiTheme="majorBidi" w:cstheme="majorBidi"/>
        </w:rPr>
        <w:t xml:space="preserve"> see </w:t>
      </w:r>
      <w:r w:rsidR="00F52936" w:rsidRPr="001D7F68">
        <w:rPr>
          <w:rFonts w:asciiTheme="majorBidi" w:hAnsiTheme="majorBidi" w:cstheme="majorBidi"/>
        </w:rPr>
        <w:t xml:space="preserve">Simonetta </w:t>
      </w:r>
      <w:proofErr w:type="spellStart"/>
      <w:r w:rsidR="00F52936" w:rsidRPr="001D7F68">
        <w:rPr>
          <w:rFonts w:asciiTheme="majorBidi" w:hAnsiTheme="majorBidi" w:cstheme="majorBidi"/>
        </w:rPr>
        <w:t>Ponchia</w:t>
      </w:r>
      <w:proofErr w:type="spellEnd"/>
      <w:r w:rsidR="00F52936" w:rsidRPr="001D7F68">
        <w:rPr>
          <w:rFonts w:asciiTheme="majorBidi" w:hAnsiTheme="majorBidi" w:cstheme="majorBidi"/>
        </w:rPr>
        <w:t xml:space="preserve"> &amp; Nicoletta </w:t>
      </w:r>
      <w:proofErr w:type="spellStart"/>
      <w:r w:rsidR="00F52936" w:rsidRPr="001D7F68">
        <w:rPr>
          <w:rFonts w:asciiTheme="majorBidi" w:hAnsiTheme="majorBidi" w:cstheme="majorBidi"/>
        </w:rPr>
        <w:t>Bellotto</w:t>
      </w:r>
      <w:proofErr w:type="spellEnd"/>
      <w:r w:rsidR="00F52936" w:rsidRPr="001D7F68">
        <w:rPr>
          <w:rFonts w:asciiTheme="majorBidi" w:hAnsiTheme="majorBidi" w:cstheme="majorBidi"/>
        </w:rPr>
        <w:t xml:space="preserve">, </w:t>
      </w:r>
      <w:r w:rsidR="00B9027C" w:rsidRPr="001D7F68">
        <w:rPr>
          <w:rFonts w:asciiTheme="majorBidi" w:hAnsiTheme="majorBidi" w:cstheme="majorBidi"/>
        </w:rPr>
        <w:t>“</w:t>
      </w:r>
      <w:r w:rsidR="00F52936" w:rsidRPr="001D7F68">
        <w:rPr>
          <w:rFonts w:asciiTheme="majorBidi" w:hAnsiTheme="majorBidi" w:cstheme="majorBidi"/>
          <w:smallCaps/>
        </w:rPr>
        <w:t>W</w:t>
      </w:r>
      <w:r w:rsidR="00F52936" w:rsidRPr="001D7F68">
        <w:rPr>
          <w:rFonts w:asciiTheme="majorBidi" w:hAnsiTheme="majorBidi" w:cstheme="majorBidi"/>
        </w:rPr>
        <w:t>itnessing Procedures in the Ancient Near East: Problems and Perspective of Research</w:t>
      </w:r>
      <w:r w:rsidR="00B9027C" w:rsidRPr="001D7F68">
        <w:rPr>
          <w:rFonts w:asciiTheme="majorBidi" w:hAnsiTheme="majorBidi" w:cstheme="majorBidi"/>
        </w:rPr>
        <w:t>”</w:t>
      </w:r>
      <w:r w:rsidR="00F52936" w:rsidRPr="001D7F68">
        <w:rPr>
          <w:rFonts w:asciiTheme="majorBidi" w:hAnsiTheme="majorBidi" w:cstheme="majorBidi"/>
        </w:rPr>
        <w:t xml:space="preserve">, in </w:t>
      </w:r>
      <w:r w:rsidR="00952082" w:rsidRPr="001D7F68">
        <w:rPr>
          <w:rFonts w:asciiTheme="majorBidi" w:hAnsiTheme="majorBidi" w:cstheme="majorBidi"/>
          <w:i/>
          <w:iCs/>
        </w:rPr>
        <w:t>Witnessing i</w:t>
      </w:r>
      <w:r w:rsidR="00B9027C" w:rsidRPr="001D7F68">
        <w:rPr>
          <w:rFonts w:asciiTheme="majorBidi" w:hAnsiTheme="majorBidi" w:cstheme="majorBidi"/>
          <w:i/>
          <w:iCs/>
        </w:rPr>
        <w:t>n The Ancient Near East</w:t>
      </w:r>
      <w:r w:rsidR="00B9027C" w:rsidRPr="001D7F68">
        <w:rPr>
          <w:rFonts w:asciiTheme="majorBidi" w:hAnsiTheme="majorBidi" w:cstheme="majorBidi"/>
          <w:smallCaps/>
        </w:rPr>
        <w:t xml:space="preserve"> </w:t>
      </w:r>
      <w:r w:rsidR="00F52936" w:rsidRPr="001D7F68">
        <w:rPr>
          <w:rFonts w:asciiTheme="majorBidi" w:hAnsiTheme="majorBidi" w:cstheme="majorBidi"/>
        </w:rPr>
        <w:t xml:space="preserve">225, 242-243 (Simonetta </w:t>
      </w:r>
      <w:proofErr w:type="spellStart"/>
      <w:r w:rsidR="00F52936" w:rsidRPr="001D7F68">
        <w:rPr>
          <w:rFonts w:asciiTheme="majorBidi" w:hAnsiTheme="majorBidi" w:cstheme="majorBidi"/>
        </w:rPr>
        <w:t>Ponchia</w:t>
      </w:r>
      <w:proofErr w:type="spellEnd"/>
      <w:r w:rsidR="00F52936" w:rsidRPr="001D7F68">
        <w:rPr>
          <w:rFonts w:asciiTheme="majorBidi" w:hAnsiTheme="majorBidi" w:cstheme="majorBidi"/>
        </w:rPr>
        <w:t xml:space="preserve"> &amp; Nicoletta </w:t>
      </w:r>
      <w:proofErr w:type="spellStart"/>
      <w:r w:rsidR="00F52936" w:rsidRPr="001D7F68">
        <w:rPr>
          <w:rFonts w:asciiTheme="majorBidi" w:hAnsiTheme="majorBidi" w:cstheme="majorBidi"/>
        </w:rPr>
        <w:t>Bellotto</w:t>
      </w:r>
      <w:proofErr w:type="spellEnd"/>
      <w:r w:rsidR="00F52936" w:rsidRPr="001D7F68">
        <w:rPr>
          <w:rFonts w:asciiTheme="majorBidi" w:hAnsiTheme="majorBidi" w:cstheme="majorBidi"/>
        </w:rPr>
        <w:t xml:space="preserve"> eds.,2009)</w:t>
      </w:r>
      <w:r w:rsidR="00114983" w:rsidRPr="001D7F68">
        <w:rPr>
          <w:rFonts w:asciiTheme="majorBidi" w:hAnsiTheme="majorBidi" w:cstheme="majorBidi"/>
        </w:rPr>
        <w:t xml:space="preserve">; </w:t>
      </w:r>
      <w:r w:rsidR="006E1664" w:rsidRPr="001D7F68">
        <w:rPr>
          <w:rFonts w:asciiTheme="majorBidi" w:hAnsiTheme="majorBidi" w:cstheme="majorBidi"/>
        </w:rPr>
        <w:t xml:space="preserve">and compare </w:t>
      </w:r>
      <w:r w:rsidR="00F52936" w:rsidRPr="001D7F68">
        <w:rPr>
          <w:rFonts w:asciiTheme="majorBidi" w:hAnsiTheme="majorBidi" w:cstheme="majorBidi"/>
        </w:rPr>
        <w:t xml:space="preserve">Shalom E. Holtz, </w:t>
      </w:r>
      <w:r w:rsidR="00F52936" w:rsidRPr="001D7F68">
        <w:rPr>
          <w:rFonts w:asciiTheme="majorBidi" w:hAnsiTheme="majorBidi" w:cstheme="majorBidi"/>
          <w:i/>
          <w:iCs/>
        </w:rPr>
        <w:t>Neo-Babylonian Court Procedure</w:t>
      </w:r>
      <w:r w:rsidR="00F52936" w:rsidRPr="001D7F68">
        <w:rPr>
          <w:rFonts w:asciiTheme="majorBidi" w:hAnsiTheme="majorBidi" w:cstheme="majorBidi"/>
          <w:smallCaps/>
        </w:rPr>
        <w:t xml:space="preserve"> (</w:t>
      </w:r>
      <w:r w:rsidR="00F52936" w:rsidRPr="001D7F68">
        <w:rPr>
          <w:rFonts w:asciiTheme="majorBidi" w:hAnsiTheme="majorBidi" w:cstheme="majorBidi"/>
        </w:rPr>
        <w:t>2009)</w:t>
      </w:r>
      <w:r w:rsidR="00114983" w:rsidRPr="001D7F68">
        <w:rPr>
          <w:rFonts w:asciiTheme="majorBidi" w:hAnsiTheme="majorBidi" w:cstheme="majorBidi"/>
        </w:rPr>
        <w:t xml:space="preserve"> 294-300</w:t>
      </w:r>
      <w:r w:rsidR="006A1BF1" w:rsidRPr="001D7F68">
        <w:rPr>
          <w:rFonts w:asciiTheme="majorBidi" w:hAnsiTheme="majorBidi" w:cstheme="majorBidi"/>
        </w:rPr>
        <w:t>. Throughout most of his book Ho</w:t>
      </w:r>
      <w:r w:rsidR="006E1664" w:rsidRPr="001D7F68">
        <w:rPr>
          <w:rFonts w:asciiTheme="majorBidi" w:hAnsiTheme="majorBidi" w:cstheme="majorBidi"/>
        </w:rPr>
        <w:t>l</w:t>
      </w:r>
      <w:r w:rsidR="006A1BF1" w:rsidRPr="001D7F68">
        <w:rPr>
          <w:rFonts w:asciiTheme="majorBidi" w:hAnsiTheme="majorBidi" w:cstheme="majorBidi"/>
        </w:rPr>
        <w:t xml:space="preserve">tz assumes that witnesses’ testimony is simply one kind of evidence, but in certain cases he is forced to </w:t>
      </w:r>
      <w:r w:rsidR="006E1664" w:rsidRPr="001D7F68">
        <w:rPr>
          <w:rFonts w:asciiTheme="majorBidi" w:hAnsiTheme="majorBidi" w:cstheme="majorBidi"/>
        </w:rPr>
        <w:t>back</w:t>
      </w:r>
      <w:r w:rsidR="00E20E9E" w:rsidRPr="001D7F68">
        <w:rPr>
          <w:rFonts w:asciiTheme="majorBidi" w:hAnsiTheme="majorBidi" w:cstheme="majorBidi"/>
        </w:rPr>
        <w:t xml:space="preserve"> off</w:t>
      </w:r>
      <w:r w:rsidR="006E1664" w:rsidRPr="001D7F68">
        <w:rPr>
          <w:rFonts w:asciiTheme="majorBidi" w:hAnsiTheme="majorBidi" w:cstheme="majorBidi"/>
        </w:rPr>
        <w:t xml:space="preserve"> from </w:t>
      </w:r>
      <w:r w:rsidR="006A1BF1" w:rsidRPr="001D7F68">
        <w:rPr>
          <w:rFonts w:asciiTheme="majorBidi" w:hAnsiTheme="majorBidi" w:cstheme="majorBidi"/>
        </w:rPr>
        <w:t xml:space="preserve">this </w:t>
      </w:r>
      <w:r w:rsidR="006E1664" w:rsidRPr="001D7F68">
        <w:rPr>
          <w:rFonts w:asciiTheme="majorBidi" w:hAnsiTheme="majorBidi" w:cstheme="majorBidi"/>
        </w:rPr>
        <w:t>assumption</w:t>
      </w:r>
      <w:r w:rsidR="006A1BF1" w:rsidRPr="001D7F68">
        <w:rPr>
          <w:rFonts w:asciiTheme="majorBidi" w:hAnsiTheme="majorBidi" w:cstheme="majorBidi"/>
        </w:rPr>
        <w:t>, where the procedure seems to be resolved by the presence of witness</w:t>
      </w:r>
      <w:r w:rsidR="00E20E9E" w:rsidRPr="001D7F68">
        <w:rPr>
          <w:rFonts w:asciiTheme="majorBidi" w:hAnsiTheme="majorBidi" w:cstheme="majorBidi"/>
        </w:rPr>
        <w:t>es</w:t>
      </w:r>
      <w:r w:rsidR="006A1BF1" w:rsidRPr="001D7F68">
        <w:rPr>
          <w:rFonts w:asciiTheme="majorBidi" w:hAnsiTheme="majorBidi" w:cstheme="majorBidi"/>
        </w:rPr>
        <w:t xml:space="preserve"> alone, with no judicial forum preset. </w:t>
      </w:r>
      <w:r w:rsidR="006E1664" w:rsidRPr="001D7F68">
        <w:rPr>
          <w:rFonts w:asciiTheme="majorBidi" w:hAnsiTheme="majorBidi" w:cstheme="majorBidi"/>
        </w:rPr>
        <w:t xml:space="preserve">For the role of </w:t>
      </w:r>
      <w:r w:rsidR="00952082" w:rsidRPr="001D7F68">
        <w:rPr>
          <w:rFonts w:asciiTheme="majorBidi" w:hAnsiTheme="majorBidi" w:cstheme="majorBidi"/>
        </w:rPr>
        <w:t xml:space="preserve">court </w:t>
      </w:r>
      <w:r w:rsidR="006E1664" w:rsidRPr="001D7F68">
        <w:rPr>
          <w:rFonts w:asciiTheme="majorBidi" w:hAnsiTheme="majorBidi" w:cstheme="majorBidi"/>
        </w:rPr>
        <w:t xml:space="preserve">witnesses in </w:t>
      </w:r>
      <w:r w:rsidR="00952082" w:rsidRPr="001D7F68">
        <w:rPr>
          <w:rFonts w:asciiTheme="majorBidi" w:hAnsiTheme="majorBidi" w:cstheme="majorBidi"/>
        </w:rPr>
        <w:t xml:space="preserve">the </w:t>
      </w:r>
      <w:r w:rsidR="006E1664" w:rsidRPr="001D7F68">
        <w:rPr>
          <w:rFonts w:asciiTheme="majorBidi" w:hAnsiTheme="majorBidi" w:cstheme="majorBidi"/>
        </w:rPr>
        <w:t>Hebrew</w:t>
      </w:r>
      <w:r w:rsidR="00114983" w:rsidRPr="001D7F68">
        <w:rPr>
          <w:rFonts w:asciiTheme="majorBidi" w:hAnsiTheme="majorBidi" w:cstheme="majorBidi"/>
        </w:rPr>
        <w:t xml:space="preserve"> Bible</w:t>
      </w:r>
      <w:r w:rsidR="006E1664" w:rsidRPr="001D7F68">
        <w:rPr>
          <w:rFonts w:asciiTheme="majorBidi" w:hAnsiTheme="majorBidi" w:cstheme="majorBidi"/>
        </w:rPr>
        <w:t xml:space="preserve"> see</w:t>
      </w:r>
      <w:r w:rsidR="00114983" w:rsidRPr="001D7F68">
        <w:rPr>
          <w:rFonts w:asciiTheme="majorBidi" w:hAnsiTheme="majorBidi" w:cstheme="majorBidi"/>
        </w:rPr>
        <w:t xml:space="preserve"> </w:t>
      </w:r>
      <w:r w:rsidR="00F52936" w:rsidRPr="001D7F68">
        <w:rPr>
          <w:rFonts w:asciiTheme="majorBidi" w:hAnsiTheme="majorBidi" w:cstheme="majorBidi"/>
          <w:smallCaps/>
        </w:rPr>
        <w:t>P</w:t>
      </w:r>
      <w:r w:rsidR="00F52936" w:rsidRPr="001D7F68">
        <w:rPr>
          <w:rFonts w:asciiTheme="majorBidi" w:hAnsiTheme="majorBidi" w:cstheme="majorBidi"/>
        </w:rPr>
        <w:t xml:space="preserve">ietro </w:t>
      </w:r>
      <w:proofErr w:type="spellStart"/>
      <w:r w:rsidR="00F52936" w:rsidRPr="001D7F68">
        <w:rPr>
          <w:rFonts w:asciiTheme="majorBidi" w:hAnsiTheme="majorBidi" w:cstheme="majorBidi"/>
        </w:rPr>
        <w:t>Bovati</w:t>
      </w:r>
      <w:proofErr w:type="spellEnd"/>
      <w:r w:rsidR="00F52936" w:rsidRPr="001D7F68">
        <w:rPr>
          <w:rFonts w:asciiTheme="majorBidi" w:hAnsiTheme="majorBidi" w:cstheme="majorBidi"/>
        </w:rPr>
        <w:t xml:space="preserve">, </w:t>
      </w:r>
      <w:r w:rsidR="00F52936" w:rsidRPr="001D7F68">
        <w:rPr>
          <w:rFonts w:asciiTheme="majorBidi" w:hAnsiTheme="majorBidi" w:cstheme="majorBidi"/>
          <w:i/>
          <w:iCs/>
        </w:rPr>
        <w:t>Re-Establishing Justice: Legal Terms, Concepts and Procedures in the Hebrew Bible</w:t>
      </w:r>
      <w:r w:rsidR="00F52936" w:rsidRPr="001D7F68">
        <w:rPr>
          <w:rFonts w:asciiTheme="majorBidi" w:hAnsiTheme="majorBidi" w:cstheme="majorBidi"/>
        </w:rPr>
        <w:t xml:space="preserve"> (105 </w:t>
      </w:r>
      <w:proofErr w:type="spellStart"/>
      <w:r w:rsidR="00F52936" w:rsidRPr="001D7F68">
        <w:rPr>
          <w:rFonts w:asciiTheme="majorBidi" w:hAnsiTheme="majorBidi" w:cstheme="majorBidi"/>
        </w:rPr>
        <w:t>JSOTSup</w:t>
      </w:r>
      <w:proofErr w:type="spellEnd"/>
      <w:r w:rsidR="00F52936" w:rsidRPr="001D7F68">
        <w:rPr>
          <w:rFonts w:asciiTheme="majorBidi" w:hAnsiTheme="majorBidi" w:cstheme="majorBidi"/>
        </w:rPr>
        <w:t>; Sheffield, 1994)</w:t>
      </w:r>
      <w:r w:rsidR="00114983" w:rsidRPr="001D7F68">
        <w:rPr>
          <w:rFonts w:asciiTheme="majorBidi" w:hAnsiTheme="majorBidi" w:cstheme="majorBidi"/>
        </w:rPr>
        <w:t xml:space="preserve">. </w:t>
      </w:r>
      <w:proofErr w:type="spellStart"/>
      <w:r w:rsidR="006A1BF1" w:rsidRPr="001D7F68">
        <w:rPr>
          <w:rFonts w:asciiTheme="majorBidi" w:hAnsiTheme="majorBidi" w:cstheme="majorBidi"/>
        </w:rPr>
        <w:t>Bovati</w:t>
      </w:r>
      <w:proofErr w:type="spellEnd"/>
      <w:r w:rsidR="006A1BF1" w:rsidRPr="001D7F68">
        <w:rPr>
          <w:rFonts w:asciiTheme="majorBidi" w:hAnsiTheme="majorBidi" w:cstheme="majorBidi"/>
        </w:rPr>
        <w:t xml:space="preserve"> </w:t>
      </w:r>
      <w:r w:rsidR="00E20E9E" w:rsidRPr="001D7F68">
        <w:rPr>
          <w:rFonts w:asciiTheme="majorBidi" w:hAnsiTheme="majorBidi" w:cstheme="majorBidi"/>
        </w:rPr>
        <w:t>depicts</w:t>
      </w:r>
      <w:r w:rsidR="006A1BF1" w:rsidRPr="001D7F68">
        <w:rPr>
          <w:rFonts w:asciiTheme="majorBidi" w:hAnsiTheme="majorBidi" w:cstheme="majorBidi"/>
        </w:rPr>
        <w:t xml:space="preserve"> a system where judicial disputes are resolved by a third party whom he describes as “witness-arbiter” who “does not pass a law court judgment, but the invocation of one has the same practical effect” </w:t>
      </w:r>
      <w:r w:rsidR="006E1664" w:rsidRPr="001D7F68">
        <w:rPr>
          <w:rFonts w:asciiTheme="majorBidi" w:hAnsiTheme="majorBidi" w:cstheme="majorBidi"/>
        </w:rPr>
        <w:t>(</w:t>
      </w:r>
      <w:r w:rsidR="006A1BF1" w:rsidRPr="001D7F68">
        <w:rPr>
          <w:rFonts w:asciiTheme="majorBidi" w:hAnsiTheme="majorBidi" w:cstheme="majorBidi"/>
        </w:rPr>
        <w:t>p</w:t>
      </w:r>
      <w:r w:rsidR="006E1664" w:rsidRPr="001D7F68">
        <w:rPr>
          <w:rFonts w:asciiTheme="majorBidi" w:hAnsiTheme="majorBidi" w:cstheme="majorBidi"/>
        </w:rPr>
        <w:t xml:space="preserve">. 82).  </w:t>
      </w:r>
      <w:r w:rsidR="006A1BF1" w:rsidRPr="001D7F68">
        <w:rPr>
          <w:rFonts w:asciiTheme="majorBidi" w:hAnsiTheme="majorBidi" w:cstheme="majorBidi"/>
        </w:rPr>
        <w:t xml:space="preserve">In the </w:t>
      </w:r>
      <w:r w:rsidR="006E1664" w:rsidRPr="001D7F68">
        <w:rPr>
          <w:rFonts w:asciiTheme="majorBidi" w:hAnsiTheme="majorBidi" w:cstheme="majorBidi"/>
        </w:rPr>
        <w:t>G</w:t>
      </w:r>
      <w:r w:rsidR="006A1BF1" w:rsidRPr="001D7F68">
        <w:rPr>
          <w:rFonts w:asciiTheme="majorBidi" w:hAnsiTheme="majorBidi" w:cstheme="majorBidi"/>
        </w:rPr>
        <w:t xml:space="preserve">reek context see </w:t>
      </w:r>
      <w:r w:rsidR="00114983" w:rsidRPr="001D7F68">
        <w:rPr>
          <w:rFonts w:asciiTheme="majorBidi" w:hAnsiTheme="majorBidi" w:cstheme="majorBidi"/>
        </w:rPr>
        <w:t xml:space="preserve">David C </w:t>
      </w:r>
      <w:proofErr w:type="spellStart"/>
      <w:r w:rsidR="00114983" w:rsidRPr="001D7F68">
        <w:rPr>
          <w:rFonts w:asciiTheme="majorBidi" w:hAnsiTheme="majorBidi" w:cstheme="majorBidi"/>
        </w:rPr>
        <w:t>Mirhady</w:t>
      </w:r>
      <w:proofErr w:type="spellEnd"/>
      <w:r w:rsidR="00114983" w:rsidRPr="001D7F68">
        <w:rPr>
          <w:rFonts w:asciiTheme="majorBidi" w:hAnsiTheme="majorBidi" w:cstheme="majorBidi"/>
        </w:rPr>
        <w:t xml:space="preserve">, </w:t>
      </w:r>
      <w:r w:rsidR="00114983" w:rsidRPr="001D7F68">
        <w:rPr>
          <w:rFonts w:asciiTheme="majorBidi" w:hAnsiTheme="majorBidi" w:cstheme="majorBidi"/>
          <w:i/>
          <w:iCs/>
        </w:rPr>
        <w:t>Athens' Democratic Witnesses</w:t>
      </w:r>
      <w:r w:rsidR="00114983" w:rsidRPr="001D7F68">
        <w:rPr>
          <w:rFonts w:asciiTheme="majorBidi" w:hAnsiTheme="majorBidi" w:cstheme="majorBidi"/>
        </w:rPr>
        <w:t>, 56 Phoenix 255, 264-265 (2002)</w:t>
      </w:r>
      <w:r w:rsidR="006E1664" w:rsidRPr="001D7F68">
        <w:rPr>
          <w:rFonts w:asciiTheme="majorBidi" w:hAnsiTheme="majorBidi" w:cstheme="majorBidi"/>
        </w:rPr>
        <w:t>;</w:t>
      </w:r>
      <w:r w:rsidR="006A1BF1" w:rsidRPr="001D7F68">
        <w:rPr>
          <w:rFonts w:asciiTheme="majorBidi" w:hAnsiTheme="majorBidi" w:cstheme="majorBidi"/>
        </w:rPr>
        <w:t xml:space="preserve"> </w:t>
      </w:r>
      <w:proofErr w:type="spellStart"/>
      <w:r w:rsidR="006A1BF1" w:rsidRPr="001D7F68">
        <w:rPr>
          <w:rFonts w:asciiTheme="majorBidi" w:hAnsiTheme="majorBidi" w:cstheme="majorBidi"/>
        </w:rPr>
        <w:t>Mirhandy</w:t>
      </w:r>
      <w:proofErr w:type="spellEnd"/>
      <w:r w:rsidR="006A1BF1" w:rsidRPr="001D7F68">
        <w:rPr>
          <w:rFonts w:asciiTheme="majorBidi" w:hAnsiTheme="majorBidi" w:cstheme="majorBidi"/>
        </w:rPr>
        <w:t xml:space="preserve"> describes certain circumstances in which witnesses must have acted as “surrogates for the court itself</w:t>
      </w:r>
      <w:r w:rsidR="006E1664" w:rsidRPr="001D7F68">
        <w:rPr>
          <w:rFonts w:asciiTheme="majorBidi" w:hAnsiTheme="majorBidi" w:cstheme="majorBidi"/>
        </w:rPr>
        <w:t>”</w:t>
      </w:r>
      <w:r w:rsidR="006A1BF1" w:rsidRPr="001D7F68">
        <w:rPr>
          <w:rFonts w:asciiTheme="majorBidi" w:hAnsiTheme="majorBidi" w:cstheme="majorBidi"/>
        </w:rPr>
        <w:t xml:space="preserve">. In </w:t>
      </w:r>
      <w:r w:rsidR="00114983" w:rsidRPr="001D7F68">
        <w:rPr>
          <w:rFonts w:asciiTheme="majorBidi" w:hAnsiTheme="majorBidi" w:cstheme="majorBidi"/>
        </w:rPr>
        <w:t xml:space="preserve">the Roman context </w:t>
      </w:r>
      <w:bookmarkStart w:id="1" w:name="_Hlk24296715"/>
      <w:r w:rsidR="006A1BF1" w:rsidRPr="001D7F68">
        <w:rPr>
          <w:rFonts w:asciiTheme="majorBidi" w:hAnsiTheme="majorBidi" w:cstheme="majorBidi"/>
        </w:rPr>
        <w:t xml:space="preserve">see </w:t>
      </w:r>
      <w:r w:rsidR="00B9027C" w:rsidRPr="001D7F68">
        <w:rPr>
          <w:rFonts w:asciiTheme="majorBidi" w:hAnsiTheme="majorBidi" w:cstheme="majorBidi"/>
        </w:rPr>
        <w:t xml:space="preserve">Alan Watson, </w:t>
      </w:r>
      <w:r w:rsidR="00B9027C" w:rsidRPr="001D7F68">
        <w:rPr>
          <w:rFonts w:asciiTheme="majorBidi" w:hAnsiTheme="majorBidi" w:cstheme="majorBidi"/>
          <w:i/>
          <w:iCs/>
        </w:rPr>
        <w:t xml:space="preserve">International Law </w:t>
      </w:r>
      <w:proofErr w:type="gramStart"/>
      <w:r w:rsidR="00B9027C" w:rsidRPr="001D7F68">
        <w:rPr>
          <w:rFonts w:asciiTheme="majorBidi" w:hAnsiTheme="majorBidi" w:cstheme="majorBidi"/>
          <w:i/>
          <w:iCs/>
        </w:rPr>
        <w:t>In</w:t>
      </w:r>
      <w:proofErr w:type="gramEnd"/>
      <w:r w:rsidR="00B9027C" w:rsidRPr="001D7F68">
        <w:rPr>
          <w:rFonts w:asciiTheme="majorBidi" w:hAnsiTheme="majorBidi" w:cstheme="majorBidi"/>
          <w:i/>
          <w:iCs/>
        </w:rPr>
        <w:t xml:space="preserve"> Archaic Rome: War And Religion </w:t>
      </w:r>
      <w:r w:rsidR="00F52936" w:rsidRPr="001D7F68">
        <w:rPr>
          <w:rFonts w:asciiTheme="majorBidi" w:hAnsiTheme="majorBidi" w:cstheme="majorBidi"/>
        </w:rPr>
        <w:t>10-19 (1993</w:t>
      </w:r>
      <w:bookmarkEnd w:id="1"/>
      <w:r w:rsidR="005621CD" w:rsidRPr="001D7F68">
        <w:rPr>
          <w:rFonts w:asciiTheme="majorBidi" w:hAnsiTheme="majorBidi" w:cstheme="majorBidi"/>
        </w:rPr>
        <w:t>).</w:t>
      </w:r>
      <w:r w:rsidR="005621CD" w:rsidRPr="001D7F68">
        <w:rPr>
          <w:rFonts w:asciiTheme="majorBidi" w:hAnsiTheme="majorBidi" w:cstheme="majorBidi" w:hint="cs"/>
          <w:rtl/>
        </w:rPr>
        <w:t xml:space="preserve"> </w:t>
      </w:r>
      <w:r w:rsidR="005621CD" w:rsidRPr="001D7F68">
        <w:rPr>
          <w:rFonts w:asciiTheme="majorBidi" w:hAnsiTheme="majorBidi" w:cstheme="majorBidi" w:hint="eastAsia"/>
          <w:rtl/>
        </w:rPr>
        <w:t>‏</w:t>
      </w:r>
      <w:r w:rsidR="00F52936" w:rsidRPr="001D7F68">
        <w:rPr>
          <w:rFonts w:asciiTheme="majorBidi" w:hAnsiTheme="majorBidi" w:cstheme="majorBidi"/>
          <w:rtl/>
        </w:rPr>
        <w:t xml:space="preserve"> </w:t>
      </w:r>
      <w:r w:rsidR="006E1664" w:rsidRPr="001D7F68">
        <w:rPr>
          <w:rFonts w:asciiTheme="majorBidi" w:hAnsiTheme="majorBidi" w:cstheme="majorBidi"/>
        </w:rPr>
        <w:t>A</w:t>
      </w:r>
      <w:r w:rsidR="00114983" w:rsidRPr="001D7F68">
        <w:rPr>
          <w:rFonts w:asciiTheme="majorBidi" w:hAnsiTheme="majorBidi" w:cstheme="majorBidi"/>
        </w:rPr>
        <w:t xml:space="preserve">ccording to </w:t>
      </w:r>
      <w:r w:rsidR="006A1BF1" w:rsidRPr="001D7F68">
        <w:rPr>
          <w:rFonts w:asciiTheme="majorBidi" w:hAnsiTheme="majorBidi" w:cstheme="majorBidi"/>
        </w:rPr>
        <w:t>Watson</w:t>
      </w:r>
      <w:r w:rsidR="00114983" w:rsidRPr="001D7F68">
        <w:rPr>
          <w:rFonts w:asciiTheme="majorBidi" w:hAnsiTheme="majorBidi" w:cstheme="majorBidi"/>
        </w:rPr>
        <w:t xml:space="preserve">, in several texts the word </w:t>
      </w:r>
      <w:r w:rsidR="00114983" w:rsidRPr="001D7F68">
        <w:rPr>
          <w:rFonts w:asciiTheme="majorBidi" w:hAnsiTheme="majorBidi" w:cstheme="majorBidi"/>
          <w:i/>
          <w:iCs/>
        </w:rPr>
        <w:t>testis</w:t>
      </w:r>
      <w:r w:rsidR="00114983" w:rsidRPr="001D7F68">
        <w:rPr>
          <w:rFonts w:asciiTheme="majorBidi" w:hAnsiTheme="majorBidi" w:cstheme="majorBidi"/>
        </w:rPr>
        <w:t xml:space="preserve"> means “judge” and not “witness”. He reaches this conclusion because of the </w:t>
      </w:r>
      <w:r w:rsidR="006A1BF1" w:rsidRPr="001D7F68">
        <w:rPr>
          <w:rFonts w:asciiTheme="majorBidi" w:hAnsiTheme="majorBidi" w:cstheme="majorBidi"/>
        </w:rPr>
        <w:t>authoritative</w:t>
      </w:r>
      <w:r w:rsidR="00114983" w:rsidRPr="001D7F68">
        <w:rPr>
          <w:rFonts w:asciiTheme="majorBidi" w:hAnsiTheme="majorBidi" w:cstheme="majorBidi"/>
        </w:rPr>
        <w:t xml:space="preserve"> function of </w:t>
      </w:r>
      <w:r w:rsidR="00114983" w:rsidRPr="001D7F68">
        <w:rPr>
          <w:rFonts w:asciiTheme="majorBidi" w:hAnsiTheme="majorBidi" w:cstheme="majorBidi"/>
          <w:i/>
          <w:iCs/>
        </w:rPr>
        <w:t>test</w:t>
      </w:r>
      <w:r w:rsidR="00E20E9E" w:rsidRPr="001D7F68">
        <w:rPr>
          <w:rFonts w:asciiTheme="majorBidi" w:hAnsiTheme="majorBidi" w:cstheme="majorBidi"/>
          <w:i/>
          <w:iCs/>
        </w:rPr>
        <w:t>e</w:t>
      </w:r>
      <w:r w:rsidR="00114983" w:rsidRPr="001D7F68">
        <w:rPr>
          <w:rFonts w:asciiTheme="majorBidi" w:hAnsiTheme="majorBidi" w:cstheme="majorBidi"/>
          <w:i/>
          <w:iCs/>
        </w:rPr>
        <w:t>s</w:t>
      </w:r>
      <w:r w:rsidR="00114983" w:rsidRPr="001D7F68">
        <w:rPr>
          <w:rFonts w:asciiTheme="majorBidi" w:hAnsiTheme="majorBidi" w:cstheme="majorBidi"/>
        </w:rPr>
        <w:t xml:space="preserve"> </w:t>
      </w:r>
      <w:r w:rsidR="00E20E9E" w:rsidRPr="001D7F68">
        <w:rPr>
          <w:rFonts w:asciiTheme="majorBidi" w:hAnsiTheme="majorBidi" w:cstheme="majorBidi"/>
        </w:rPr>
        <w:t>implied</w:t>
      </w:r>
      <w:r w:rsidR="00114983" w:rsidRPr="001D7F68">
        <w:rPr>
          <w:rFonts w:asciiTheme="majorBidi" w:hAnsiTheme="majorBidi" w:cstheme="majorBidi"/>
        </w:rPr>
        <w:t xml:space="preserve"> by th</w:t>
      </w:r>
      <w:r w:rsidR="00E20E9E" w:rsidRPr="001D7F68">
        <w:rPr>
          <w:rFonts w:asciiTheme="majorBidi" w:hAnsiTheme="majorBidi" w:cstheme="majorBidi"/>
        </w:rPr>
        <w:t>e</w:t>
      </w:r>
      <w:r w:rsidR="00114983" w:rsidRPr="001D7F68">
        <w:rPr>
          <w:rFonts w:asciiTheme="majorBidi" w:hAnsiTheme="majorBidi" w:cstheme="majorBidi"/>
        </w:rPr>
        <w:t xml:space="preserve">se texts. The research in this field is far from </w:t>
      </w:r>
      <w:r w:rsidR="006A1BF1" w:rsidRPr="001D7F68">
        <w:rPr>
          <w:rFonts w:asciiTheme="majorBidi" w:hAnsiTheme="majorBidi" w:cstheme="majorBidi"/>
        </w:rPr>
        <w:t>exhausted</w:t>
      </w:r>
      <w:r w:rsidR="0010468A" w:rsidRPr="001D7F68">
        <w:rPr>
          <w:rFonts w:asciiTheme="majorBidi" w:hAnsiTheme="majorBidi" w:cstheme="majorBidi"/>
        </w:rPr>
        <w:t xml:space="preserve">, and the meaning of combined findings from the various cultural contexts requires further scrutiny. </w:t>
      </w:r>
    </w:p>
  </w:footnote>
  <w:footnote w:id="17">
    <w:p w14:paraId="47695077" w14:textId="49B7B396" w:rsidR="004815C1" w:rsidRPr="001D7F68" w:rsidRDefault="004815C1" w:rsidP="00952082">
      <w:pPr>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952082" w:rsidRPr="001D7F68">
        <w:rPr>
          <w:rFonts w:asciiTheme="majorBidi" w:hAnsiTheme="majorBidi" w:cstheme="majorBidi"/>
          <w:sz w:val="20"/>
          <w:szCs w:val="20"/>
        </w:rPr>
        <w:t>Yan Thomas, “</w:t>
      </w:r>
      <w:r w:rsidRPr="001D7F68">
        <w:rPr>
          <w:rFonts w:asciiTheme="majorBidi" w:hAnsiTheme="majorBidi" w:cstheme="majorBidi"/>
          <w:sz w:val="20"/>
          <w:szCs w:val="20"/>
        </w:rPr>
        <w:t>The division of the sexes in Roman</w:t>
      </w:r>
      <w:r w:rsidRPr="001D7F68">
        <w:rPr>
          <w:rFonts w:asciiTheme="majorBidi" w:hAnsiTheme="majorBidi" w:cstheme="majorBidi"/>
          <w:sz w:val="20"/>
          <w:szCs w:val="20"/>
          <w:rtl/>
        </w:rPr>
        <w:t xml:space="preserve"> </w:t>
      </w:r>
      <w:r w:rsidR="00952082" w:rsidRPr="001D7F68">
        <w:rPr>
          <w:rFonts w:asciiTheme="majorBidi" w:hAnsiTheme="majorBidi" w:cstheme="majorBidi"/>
          <w:sz w:val="20"/>
          <w:szCs w:val="20"/>
        </w:rPr>
        <w:t>law”</w:t>
      </w:r>
      <w:r w:rsidRPr="001D7F68">
        <w:rPr>
          <w:rFonts w:asciiTheme="majorBidi" w:hAnsiTheme="majorBidi" w:cstheme="majorBidi"/>
          <w:sz w:val="20"/>
          <w:szCs w:val="20"/>
        </w:rPr>
        <w:t xml:space="preserve">, </w:t>
      </w:r>
      <w:r w:rsidRPr="001D7F68">
        <w:rPr>
          <w:rFonts w:asciiTheme="majorBidi" w:hAnsiTheme="majorBidi" w:cstheme="majorBidi"/>
          <w:i/>
          <w:iCs/>
          <w:sz w:val="20"/>
          <w:szCs w:val="20"/>
        </w:rPr>
        <w:t xml:space="preserve">A </w:t>
      </w:r>
      <w:r w:rsidR="00952082" w:rsidRPr="001D7F68">
        <w:rPr>
          <w:rFonts w:asciiTheme="majorBidi" w:hAnsiTheme="majorBidi" w:cstheme="majorBidi"/>
          <w:i/>
          <w:iCs/>
          <w:sz w:val="20"/>
          <w:szCs w:val="20"/>
        </w:rPr>
        <w:t xml:space="preserve">History </w:t>
      </w:r>
      <w:r w:rsidRPr="001D7F68">
        <w:rPr>
          <w:rFonts w:asciiTheme="majorBidi" w:hAnsiTheme="majorBidi" w:cstheme="majorBidi"/>
          <w:i/>
          <w:iCs/>
          <w:sz w:val="20"/>
          <w:szCs w:val="20"/>
        </w:rPr>
        <w:t>of wom</w:t>
      </w:r>
      <w:r w:rsidR="00952082" w:rsidRPr="001D7F68">
        <w:rPr>
          <w:rFonts w:asciiTheme="majorBidi" w:hAnsiTheme="majorBidi" w:cstheme="majorBidi"/>
          <w:i/>
          <w:iCs/>
          <w:sz w:val="20"/>
          <w:szCs w:val="20"/>
        </w:rPr>
        <w:t xml:space="preserve">en: </w:t>
      </w:r>
      <w:r w:rsidRPr="001D7F68">
        <w:rPr>
          <w:rFonts w:asciiTheme="majorBidi" w:hAnsiTheme="majorBidi" w:cstheme="majorBidi"/>
          <w:i/>
          <w:iCs/>
          <w:sz w:val="20"/>
          <w:szCs w:val="20"/>
        </w:rPr>
        <w:t xml:space="preserve">From </w:t>
      </w:r>
      <w:r w:rsidR="00952082" w:rsidRPr="001D7F68">
        <w:rPr>
          <w:rFonts w:asciiTheme="majorBidi" w:hAnsiTheme="majorBidi" w:cstheme="majorBidi"/>
          <w:i/>
          <w:iCs/>
          <w:sz w:val="20"/>
          <w:szCs w:val="20"/>
        </w:rPr>
        <w:t xml:space="preserve">Ancient Goddesses to </w:t>
      </w:r>
      <w:r w:rsidRPr="001D7F68">
        <w:rPr>
          <w:rFonts w:asciiTheme="majorBidi" w:hAnsiTheme="majorBidi" w:cstheme="majorBidi"/>
          <w:i/>
          <w:iCs/>
          <w:sz w:val="20"/>
          <w:szCs w:val="20"/>
        </w:rPr>
        <w:t xml:space="preserve">Christian </w:t>
      </w:r>
      <w:r w:rsidR="00952082" w:rsidRPr="001D7F68">
        <w:rPr>
          <w:rFonts w:asciiTheme="majorBidi" w:hAnsiTheme="majorBidi" w:cstheme="majorBidi"/>
          <w:i/>
          <w:iCs/>
          <w:sz w:val="20"/>
          <w:szCs w:val="20"/>
        </w:rPr>
        <w:t>Saint</w:t>
      </w:r>
      <w:r w:rsidRPr="001D7F68">
        <w:rPr>
          <w:rFonts w:asciiTheme="majorBidi" w:hAnsiTheme="majorBidi" w:cstheme="majorBidi"/>
          <w:i/>
          <w:iCs/>
          <w:sz w:val="20"/>
          <w:szCs w:val="20"/>
        </w:rPr>
        <w:t>s</w:t>
      </w:r>
      <w:r w:rsidR="00952082" w:rsidRPr="001D7F68">
        <w:rPr>
          <w:rFonts w:asciiTheme="majorBidi" w:hAnsiTheme="majorBidi" w:cstheme="majorBidi"/>
          <w:i/>
          <w:iCs/>
          <w:sz w:val="20"/>
          <w:szCs w:val="20"/>
        </w:rPr>
        <w:t>.</w:t>
      </w:r>
      <w:r w:rsidRPr="001D7F68">
        <w:rPr>
          <w:rFonts w:asciiTheme="majorBidi" w:hAnsiTheme="majorBidi" w:cstheme="majorBidi"/>
          <w:sz w:val="20"/>
          <w:szCs w:val="20"/>
        </w:rPr>
        <w:t xml:space="preserve"> Cambridge </w:t>
      </w:r>
      <w:r w:rsidR="006A1BF1" w:rsidRPr="001D7F68">
        <w:rPr>
          <w:rFonts w:asciiTheme="majorBidi" w:hAnsiTheme="majorBidi" w:cstheme="majorBidi"/>
          <w:sz w:val="20"/>
          <w:szCs w:val="20"/>
        </w:rPr>
        <w:t>Massachusetts</w:t>
      </w:r>
      <w:r w:rsidR="00F2330F" w:rsidRPr="001D7F68">
        <w:rPr>
          <w:rFonts w:asciiTheme="majorBidi" w:hAnsiTheme="majorBidi" w:cstheme="majorBidi"/>
          <w:sz w:val="20"/>
          <w:szCs w:val="20"/>
        </w:rPr>
        <w:t xml:space="preserve"> 1992, pp. 83-138,</w:t>
      </w:r>
      <w:r w:rsidR="0010468A" w:rsidRPr="001D7F68">
        <w:rPr>
          <w:rFonts w:asciiTheme="majorBidi" w:hAnsiTheme="majorBidi" w:cstheme="majorBidi"/>
          <w:sz w:val="20"/>
          <w:szCs w:val="20"/>
        </w:rPr>
        <w:t xml:space="preserve"> </w:t>
      </w:r>
      <w:r w:rsidR="00F2330F" w:rsidRPr="001D7F68">
        <w:rPr>
          <w:rFonts w:asciiTheme="majorBidi" w:hAnsiTheme="majorBidi" w:cstheme="majorBidi"/>
          <w:sz w:val="20"/>
          <w:szCs w:val="20"/>
        </w:rPr>
        <w:t>137</w:t>
      </w:r>
      <w:r w:rsidRPr="001D7F68">
        <w:rPr>
          <w:rFonts w:asciiTheme="majorBidi" w:hAnsiTheme="majorBidi" w:cstheme="majorBidi"/>
          <w:sz w:val="20"/>
          <w:szCs w:val="20"/>
        </w:rPr>
        <w:t>.</w:t>
      </w:r>
    </w:p>
  </w:footnote>
  <w:footnote w:id="18">
    <w:p w14:paraId="76577B4C" w14:textId="3F6FF128" w:rsidR="002D00FD" w:rsidRPr="001D7F68" w:rsidRDefault="005B6CE5" w:rsidP="00952082">
      <w:pPr>
        <w:autoSpaceDE w:val="0"/>
        <w:autoSpaceDN w:val="0"/>
        <w:adjustRightInd w:val="0"/>
        <w:spacing w:after="0" w:line="240" w:lineRule="auto"/>
        <w:rPr>
          <w:rFonts w:asciiTheme="majorBidi" w:hAnsiTheme="majorBidi" w:cstheme="majorBidi"/>
          <w:sz w:val="20"/>
          <w:szCs w:val="20"/>
        </w:rPr>
      </w:pPr>
      <w:r w:rsidRPr="001D7F68">
        <w:rPr>
          <w:rStyle w:val="FootnoteReference"/>
          <w:rFonts w:asciiTheme="majorBidi" w:hAnsiTheme="majorBidi" w:cstheme="majorBidi"/>
          <w:sz w:val="20"/>
          <w:szCs w:val="20"/>
        </w:rPr>
        <w:footnoteRef/>
      </w:r>
      <w:r w:rsidRPr="001D7F68">
        <w:rPr>
          <w:rFonts w:asciiTheme="majorBidi" w:hAnsiTheme="majorBidi" w:cstheme="majorBidi"/>
          <w:sz w:val="20"/>
          <w:szCs w:val="20"/>
        </w:rPr>
        <w:t xml:space="preserve"> </w:t>
      </w:r>
      <w:r w:rsidR="00957F0A" w:rsidRPr="001D7F68">
        <w:rPr>
          <w:rFonts w:asciiTheme="majorBidi" w:hAnsiTheme="majorBidi" w:cstheme="majorBidi"/>
          <w:sz w:val="20"/>
          <w:szCs w:val="20"/>
        </w:rPr>
        <w:t xml:space="preserve">Contrary to Du- Plessis statement that “gender was not a bar to acting as a </w:t>
      </w:r>
      <w:r w:rsidR="005621CD" w:rsidRPr="001D7F68">
        <w:rPr>
          <w:rFonts w:asciiTheme="majorBidi" w:hAnsiTheme="majorBidi" w:cstheme="majorBidi"/>
          <w:sz w:val="20"/>
          <w:szCs w:val="20"/>
        </w:rPr>
        <w:t>witness” (</w:t>
      </w:r>
      <w:r w:rsidR="00957F0A" w:rsidRPr="001D7F68">
        <w:rPr>
          <w:rFonts w:asciiTheme="majorBidi" w:hAnsiTheme="majorBidi" w:cstheme="majorBidi"/>
          <w:sz w:val="20"/>
          <w:szCs w:val="20"/>
        </w:rPr>
        <w:t>953).</w:t>
      </w:r>
      <w:r w:rsidR="0010468A" w:rsidRPr="001D7F68">
        <w:rPr>
          <w:rFonts w:asciiTheme="majorBidi" w:hAnsiTheme="majorBidi" w:cstheme="majorBidi"/>
          <w:sz w:val="20"/>
          <w:szCs w:val="20"/>
        </w:rPr>
        <w:t xml:space="preserve"> </w:t>
      </w:r>
      <w:r w:rsidRPr="001D7F68">
        <w:rPr>
          <w:rFonts w:asciiTheme="majorBidi" w:hAnsiTheme="majorBidi" w:cstheme="majorBidi"/>
          <w:sz w:val="20"/>
          <w:szCs w:val="20"/>
        </w:rPr>
        <w:t xml:space="preserve">One indication noted by Thomas </w:t>
      </w:r>
      <w:r w:rsidR="0010468A" w:rsidRPr="001D7F68">
        <w:rPr>
          <w:rFonts w:asciiTheme="majorBidi" w:hAnsiTheme="majorBidi" w:cstheme="majorBidi"/>
          <w:sz w:val="20"/>
          <w:szCs w:val="20"/>
        </w:rPr>
        <w:t xml:space="preserve">for the claim that </w:t>
      </w:r>
      <w:r w:rsidRPr="001D7F68">
        <w:rPr>
          <w:rFonts w:asciiTheme="majorBidi" w:hAnsiTheme="majorBidi" w:cstheme="majorBidi"/>
          <w:sz w:val="20"/>
          <w:szCs w:val="20"/>
        </w:rPr>
        <w:t xml:space="preserve">women were previously barred from court testimony is the fact that the vestal priests were granted the capacity to testify in what seems to be a special </w:t>
      </w:r>
      <w:r w:rsidR="00F2330F" w:rsidRPr="001D7F68">
        <w:rPr>
          <w:rFonts w:asciiTheme="majorBidi" w:hAnsiTheme="majorBidi" w:cstheme="majorBidi"/>
          <w:sz w:val="20"/>
          <w:szCs w:val="20"/>
        </w:rPr>
        <w:t>privilege</w:t>
      </w:r>
      <w:r w:rsidRPr="001D7F68">
        <w:rPr>
          <w:rFonts w:asciiTheme="majorBidi" w:hAnsiTheme="majorBidi" w:cstheme="majorBidi"/>
          <w:sz w:val="20"/>
          <w:szCs w:val="20"/>
        </w:rPr>
        <w:t xml:space="preserve"> deprived from regular women who did not belong to this selected group (</w:t>
      </w:r>
      <w:r w:rsidR="00F2330F" w:rsidRPr="001D7F68">
        <w:rPr>
          <w:rFonts w:asciiTheme="majorBidi" w:hAnsiTheme="majorBidi" w:cstheme="majorBidi"/>
          <w:i/>
          <w:iCs/>
          <w:sz w:val="20"/>
          <w:szCs w:val="20"/>
        </w:rPr>
        <w:t>ibid,</w:t>
      </w:r>
      <w:r w:rsidR="00F2330F" w:rsidRPr="001D7F68">
        <w:rPr>
          <w:rFonts w:asciiTheme="majorBidi" w:hAnsiTheme="majorBidi" w:cstheme="majorBidi"/>
          <w:sz w:val="20"/>
          <w:szCs w:val="20"/>
        </w:rPr>
        <w:t xml:space="preserve"> n. 166</w:t>
      </w:r>
      <w:r w:rsidRPr="001D7F68">
        <w:rPr>
          <w:rFonts w:asciiTheme="majorBidi" w:hAnsiTheme="majorBidi" w:cstheme="majorBidi"/>
          <w:sz w:val="20"/>
          <w:szCs w:val="20"/>
        </w:rPr>
        <w:t xml:space="preserve">). </w:t>
      </w:r>
      <w:r w:rsidR="00B9027C" w:rsidRPr="001D7F68">
        <w:rPr>
          <w:rFonts w:asciiTheme="majorBidi" w:hAnsiTheme="majorBidi" w:cstheme="majorBidi"/>
          <w:sz w:val="20"/>
          <w:szCs w:val="20"/>
        </w:rPr>
        <w:t>F</w:t>
      </w:r>
      <w:r w:rsidR="00F2330F" w:rsidRPr="001D7F68">
        <w:rPr>
          <w:rFonts w:asciiTheme="majorBidi" w:hAnsiTheme="majorBidi" w:cstheme="majorBidi"/>
          <w:sz w:val="20"/>
          <w:szCs w:val="20"/>
        </w:rPr>
        <w:t xml:space="preserve">or a detailed discussion of the sources referring to this prerogative see </w:t>
      </w:r>
      <w:r w:rsidR="00FB06FA" w:rsidRPr="001D7F68">
        <w:rPr>
          <w:rFonts w:asciiTheme="majorBidi" w:hAnsiTheme="majorBidi" w:cstheme="majorBidi"/>
          <w:sz w:val="20"/>
          <w:szCs w:val="20"/>
        </w:rPr>
        <w:t xml:space="preserve">Robin </w:t>
      </w:r>
      <w:proofErr w:type="spellStart"/>
      <w:r w:rsidR="00FB06FA" w:rsidRPr="001D7F68">
        <w:rPr>
          <w:rFonts w:asciiTheme="majorBidi" w:hAnsiTheme="majorBidi" w:cstheme="majorBidi"/>
          <w:sz w:val="20"/>
          <w:szCs w:val="20"/>
        </w:rPr>
        <w:t>Lorsch</w:t>
      </w:r>
      <w:proofErr w:type="spellEnd"/>
      <w:r w:rsidR="00FB06FA" w:rsidRPr="001D7F68">
        <w:rPr>
          <w:rFonts w:asciiTheme="majorBidi" w:hAnsiTheme="majorBidi" w:cstheme="majorBidi"/>
          <w:sz w:val="20"/>
          <w:szCs w:val="20"/>
        </w:rPr>
        <w:t xml:space="preserve"> </w:t>
      </w:r>
      <w:proofErr w:type="spellStart"/>
      <w:r w:rsidR="00FB06FA" w:rsidRPr="001D7F68">
        <w:rPr>
          <w:rFonts w:asciiTheme="majorBidi" w:hAnsiTheme="majorBidi" w:cstheme="majorBidi"/>
          <w:sz w:val="20"/>
          <w:szCs w:val="20"/>
        </w:rPr>
        <w:t>Wildfang</w:t>
      </w:r>
      <w:proofErr w:type="spellEnd"/>
      <w:r w:rsidR="00F2330F" w:rsidRPr="001D7F68">
        <w:rPr>
          <w:rFonts w:asciiTheme="majorBidi" w:hAnsiTheme="majorBidi" w:cstheme="majorBidi"/>
          <w:sz w:val="20"/>
          <w:szCs w:val="20"/>
        </w:rPr>
        <w:t xml:space="preserve">, </w:t>
      </w:r>
      <w:r w:rsidR="00F2330F" w:rsidRPr="001D7F68">
        <w:rPr>
          <w:rFonts w:asciiTheme="majorBidi" w:hAnsiTheme="majorBidi" w:cstheme="majorBidi"/>
          <w:i/>
          <w:iCs/>
          <w:sz w:val="20"/>
          <w:szCs w:val="20"/>
        </w:rPr>
        <w:t>Rome's Vestal virgins</w:t>
      </w:r>
      <w:r w:rsidR="00F2330F" w:rsidRPr="001D7F68">
        <w:rPr>
          <w:rFonts w:asciiTheme="majorBidi" w:hAnsiTheme="majorBidi" w:cstheme="majorBidi"/>
          <w:sz w:val="20"/>
          <w:szCs w:val="20"/>
        </w:rPr>
        <w:t>, Routledge</w:t>
      </w:r>
      <w:r w:rsidR="00FB06FA" w:rsidRPr="001D7F68">
        <w:rPr>
          <w:rFonts w:asciiTheme="majorBidi" w:hAnsiTheme="majorBidi" w:cstheme="majorBidi"/>
          <w:sz w:val="20"/>
          <w:szCs w:val="20"/>
        </w:rPr>
        <w:t xml:space="preserve"> 2006</w:t>
      </w:r>
      <w:r w:rsidR="00F2330F" w:rsidRPr="001D7F68">
        <w:rPr>
          <w:rFonts w:asciiTheme="majorBidi" w:hAnsiTheme="majorBidi" w:cstheme="majorBidi"/>
          <w:sz w:val="20"/>
          <w:szCs w:val="20"/>
        </w:rPr>
        <w:t>, p. 67-69.</w:t>
      </w:r>
      <w:r w:rsidR="0010468A" w:rsidRPr="001D7F68">
        <w:rPr>
          <w:rFonts w:asciiTheme="majorBidi" w:hAnsiTheme="majorBidi" w:cstheme="majorBidi"/>
          <w:sz w:val="20"/>
          <w:szCs w:val="20"/>
        </w:rPr>
        <w:t xml:space="preserve"> </w:t>
      </w:r>
      <w:r w:rsidRPr="001D7F68">
        <w:rPr>
          <w:rFonts w:asciiTheme="majorBidi" w:hAnsiTheme="majorBidi" w:cstheme="majorBidi"/>
          <w:sz w:val="20"/>
          <w:szCs w:val="20"/>
        </w:rPr>
        <w:t xml:space="preserve">Notably, the very same </w:t>
      </w:r>
      <w:r w:rsidR="00F2330F" w:rsidRPr="001D7F68">
        <w:rPr>
          <w:rFonts w:asciiTheme="majorBidi" w:hAnsiTheme="majorBidi" w:cstheme="majorBidi"/>
          <w:sz w:val="20"/>
          <w:szCs w:val="20"/>
        </w:rPr>
        <w:t xml:space="preserve">logic is used by Paul </w:t>
      </w:r>
      <w:r w:rsidR="00FB06FA" w:rsidRPr="001D7F68">
        <w:rPr>
          <w:rFonts w:asciiTheme="majorBidi" w:hAnsiTheme="majorBidi" w:cstheme="majorBidi"/>
          <w:sz w:val="20"/>
          <w:szCs w:val="20"/>
        </w:rPr>
        <w:t xml:space="preserve">(D. 22.5.18) </w:t>
      </w:r>
      <w:r w:rsidR="00F2330F" w:rsidRPr="001D7F68">
        <w:rPr>
          <w:rFonts w:asciiTheme="majorBidi" w:hAnsiTheme="majorBidi" w:cstheme="majorBidi"/>
          <w:sz w:val="20"/>
          <w:szCs w:val="20"/>
        </w:rPr>
        <w:t xml:space="preserve">and Ulpian </w:t>
      </w:r>
      <w:r w:rsidR="00FB06FA" w:rsidRPr="001D7F68">
        <w:rPr>
          <w:rFonts w:asciiTheme="majorBidi" w:hAnsiTheme="majorBidi" w:cstheme="majorBidi"/>
          <w:sz w:val="20"/>
          <w:szCs w:val="20"/>
        </w:rPr>
        <w:t xml:space="preserve">(D.28.1.20.6) </w:t>
      </w:r>
      <w:r w:rsidRPr="001D7F68">
        <w:rPr>
          <w:rFonts w:asciiTheme="majorBidi" w:hAnsiTheme="majorBidi" w:cstheme="majorBidi"/>
          <w:sz w:val="20"/>
          <w:szCs w:val="20"/>
        </w:rPr>
        <w:t xml:space="preserve">to deduce </w:t>
      </w:r>
      <w:r w:rsidR="00F2330F" w:rsidRPr="001D7F68">
        <w:rPr>
          <w:rFonts w:asciiTheme="majorBidi" w:hAnsiTheme="majorBidi" w:cstheme="majorBidi"/>
          <w:sz w:val="20"/>
          <w:szCs w:val="20"/>
        </w:rPr>
        <w:t xml:space="preserve">the reverse conclusion, i.e., </w:t>
      </w:r>
      <w:r w:rsidRPr="001D7F68">
        <w:rPr>
          <w:rFonts w:asciiTheme="majorBidi" w:hAnsiTheme="majorBidi" w:cstheme="majorBidi"/>
          <w:sz w:val="20"/>
          <w:szCs w:val="20"/>
        </w:rPr>
        <w:t>that women were, at a certain point, accepted as court witnesses</w:t>
      </w:r>
      <w:r w:rsidR="00FB06FA" w:rsidRPr="001D7F68">
        <w:rPr>
          <w:rFonts w:asciiTheme="majorBidi" w:hAnsiTheme="majorBidi" w:cstheme="majorBidi"/>
          <w:sz w:val="20"/>
          <w:szCs w:val="20"/>
        </w:rPr>
        <w:t xml:space="preserve">: they note that certain women are disqualified for testimony according to the </w:t>
      </w:r>
      <w:proofErr w:type="spellStart"/>
      <w:r w:rsidR="00FB06FA" w:rsidRPr="001D7F68">
        <w:rPr>
          <w:rFonts w:asciiTheme="majorBidi" w:hAnsiTheme="majorBidi" w:cstheme="majorBidi"/>
          <w:i/>
          <w:iCs/>
          <w:sz w:val="20"/>
          <w:szCs w:val="20"/>
        </w:rPr>
        <w:t>lex</w:t>
      </w:r>
      <w:proofErr w:type="spellEnd"/>
      <w:r w:rsidR="00FB06FA" w:rsidRPr="001D7F68">
        <w:rPr>
          <w:rFonts w:asciiTheme="majorBidi" w:hAnsiTheme="majorBidi" w:cstheme="majorBidi"/>
          <w:i/>
          <w:iCs/>
          <w:sz w:val="20"/>
          <w:szCs w:val="20"/>
        </w:rPr>
        <w:t xml:space="preserve"> Julia de </w:t>
      </w:r>
      <w:proofErr w:type="spellStart"/>
      <w:r w:rsidR="00FB06FA" w:rsidRPr="001D7F68">
        <w:rPr>
          <w:rFonts w:asciiTheme="majorBidi" w:hAnsiTheme="majorBidi" w:cstheme="majorBidi"/>
          <w:i/>
          <w:iCs/>
          <w:sz w:val="20"/>
          <w:szCs w:val="20"/>
        </w:rPr>
        <w:t>adulteriis</w:t>
      </w:r>
      <w:proofErr w:type="spellEnd"/>
      <w:r w:rsidR="00FB06FA" w:rsidRPr="001D7F68">
        <w:rPr>
          <w:rFonts w:asciiTheme="majorBidi" w:hAnsiTheme="majorBidi" w:cstheme="majorBidi"/>
          <w:sz w:val="20"/>
          <w:szCs w:val="20"/>
        </w:rPr>
        <w:t>, and therefore this must mean that othe</w:t>
      </w:r>
      <w:r w:rsidR="005949F5" w:rsidRPr="001D7F68">
        <w:rPr>
          <w:rFonts w:asciiTheme="majorBidi" w:hAnsiTheme="majorBidi" w:cstheme="majorBidi"/>
          <w:sz w:val="20"/>
          <w:szCs w:val="20"/>
        </w:rPr>
        <w:t>r women are allowed to testify</w:t>
      </w:r>
      <w:r w:rsidR="00F2330F" w:rsidRPr="001D7F68">
        <w:rPr>
          <w:rFonts w:asciiTheme="majorBidi" w:hAnsiTheme="majorBidi" w:cstheme="majorBidi"/>
          <w:sz w:val="20"/>
          <w:szCs w:val="20"/>
        </w:rPr>
        <w:t xml:space="preserve">. </w:t>
      </w:r>
      <w:r w:rsidR="00FB06FA" w:rsidRPr="001D7F68">
        <w:rPr>
          <w:rFonts w:asciiTheme="majorBidi" w:hAnsiTheme="majorBidi" w:cstheme="majorBidi"/>
          <w:sz w:val="20"/>
          <w:szCs w:val="20"/>
        </w:rPr>
        <w:t xml:space="preserve">More important for our context, </w:t>
      </w:r>
      <w:r w:rsidRPr="001D7F68">
        <w:rPr>
          <w:rFonts w:asciiTheme="majorBidi" w:hAnsiTheme="majorBidi" w:cstheme="majorBidi"/>
          <w:sz w:val="20"/>
          <w:szCs w:val="20"/>
        </w:rPr>
        <w:t xml:space="preserve">the very fact that </w:t>
      </w:r>
      <w:r w:rsidR="00FB06FA" w:rsidRPr="001D7F68">
        <w:rPr>
          <w:rFonts w:asciiTheme="majorBidi" w:hAnsiTheme="majorBidi" w:cstheme="majorBidi"/>
          <w:sz w:val="20"/>
          <w:szCs w:val="20"/>
        </w:rPr>
        <w:t xml:space="preserve">Paul and Ulpian </w:t>
      </w:r>
      <w:r w:rsidRPr="001D7F68">
        <w:rPr>
          <w:rFonts w:asciiTheme="majorBidi" w:hAnsiTheme="majorBidi" w:cstheme="majorBidi"/>
          <w:sz w:val="20"/>
          <w:szCs w:val="20"/>
        </w:rPr>
        <w:t xml:space="preserve">even </w:t>
      </w:r>
      <w:r w:rsidR="00FB06FA" w:rsidRPr="001D7F68">
        <w:rPr>
          <w:rFonts w:asciiTheme="majorBidi" w:hAnsiTheme="majorBidi" w:cstheme="majorBidi"/>
          <w:sz w:val="20"/>
          <w:szCs w:val="20"/>
        </w:rPr>
        <w:t xml:space="preserve">address the question of women’s eligibility for testimony at all </w:t>
      </w:r>
      <w:r w:rsidRPr="001D7F68">
        <w:rPr>
          <w:rFonts w:asciiTheme="majorBidi" w:hAnsiTheme="majorBidi" w:cstheme="majorBidi"/>
          <w:sz w:val="20"/>
          <w:szCs w:val="20"/>
        </w:rPr>
        <w:t>shows that it was not evident or clear</w:t>
      </w:r>
      <w:r w:rsidR="0010468A" w:rsidRPr="001D7F68">
        <w:rPr>
          <w:rFonts w:asciiTheme="majorBidi" w:hAnsiTheme="majorBidi" w:cstheme="majorBidi"/>
          <w:sz w:val="20"/>
          <w:szCs w:val="20"/>
        </w:rPr>
        <w:t>-</w:t>
      </w:r>
      <w:r w:rsidRPr="001D7F68">
        <w:rPr>
          <w:rFonts w:asciiTheme="majorBidi" w:hAnsiTheme="majorBidi" w:cstheme="majorBidi"/>
          <w:sz w:val="20"/>
          <w:szCs w:val="20"/>
        </w:rPr>
        <w:t>cut</w:t>
      </w:r>
      <w:r w:rsidR="00FB06FA" w:rsidRPr="001D7F68">
        <w:rPr>
          <w:rFonts w:asciiTheme="majorBidi" w:hAnsiTheme="majorBidi" w:cstheme="majorBidi"/>
          <w:sz w:val="20"/>
          <w:szCs w:val="20"/>
        </w:rPr>
        <w:t xml:space="preserve"> that women were indeed legitimate witnesses at their days</w:t>
      </w:r>
      <w:r w:rsidRPr="001D7F68">
        <w:rPr>
          <w:rFonts w:asciiTheme="majorBidi" w:hAnsiTheme="majorBidi" w:cstheme="majorBidi"/>
          <w:sz w:val="20"/>
          <w:szCs w:val="20"/>
        </w:rPr>
        <w:t xml:space="preserve">, again reinforcing the claim that the status of women must have changed at about this period. </w:t>
      </w:r>
    </w:p>
  </w:footnote>
  <w:footnote w:id="19">
    <w:p w14:paraId="43B8C3B6" w14:textId="333B67B2" w:rsidR="006068E0" w:rsidRPr="001D7F68" w:rsidRDefault="006068E0" w:rsidP="00952082">
      <w:pPr>
        <w:pStyle w:val="FootnoteText"/>
        <w:rPr>
          <w:rFonts w:asciiTheme="majorBidi" w:hAnsiTheme="majorBidi" w:cstheme="majorBidi"/>
        </w:rPr>
      </w:pPr>
      <w:r w:rsidRPr="001D7F68">
        <w:rPr>
          <w:rStyle w:val="FootnoteReference"/>
          <w:rFonts w:asciiTheme="majorBidi" w:hAnsiTheme="majorBidi" w:cstheme="majorBidi"/>
        </w:rPr>
        <w:footnoteRef/>
      </w:r>
      <w:r w:rsidRPr="001D7F68">
        <w:rPr>
          <w:rFonts w:asciiTheme="majorBidi" w:hAnsiTheme="majorBidi" w:cstheme="majorBidi"/>
        </w:rPr>
        <w:t xml:space="preserve"> Elizabeth A. Meyer, </w:t>
      </w:r>
      <w:r w:rsidRPr="001D7F68">
        <w:rPr>
          <w:rFonts w:asciiTheme="majorBidi" w:hAnsiTheme="majorBidi" w:cstheme="majorBidi"/>
          <w:i/>
          <w:iCs/>
        </w:rPr>
        <w:t>Legitimacy and law in the Roman world: tabulae in Roman belief and practice</w:t>
      </w:r>
      <w:r w:rsidRPr="001D7F68">
        <w:rPr>
          <w:rFonts w:asciiTheme="majorBidi" w:hAnsiTheme="majorBidi" w:cstheme="majorBidi"/>
        </w:rPr>
        <w:t>, (Cambridge UK</w:t>
      </w:r>
      <w:r w:rsidRPr="001D7F68">
        <w:rPr>
          <w:rFonts w:asciiTheme="majorBidi" w:hAnsiTheme="majorBidi" w:cstheme="majorBidi"/>
          <w:rtl/>
        </w:rPr>
        <w:t>:</w:t>
      </w:r>
      <w:r w:rsidRPr="001D7F68">
        <w:rPr>
          <w:rFonts w:asciiTheme="majorBidi" w:hAnsiTheme="majorBidi" w:cstheme="majorBidi"/>
        </w:rPr>
        <w:t xml:space="preserve"> Cambridge University Press, 2004), 118-119 and notes 111-112.</w:t>
      </w:r>
      <w:r w:rsidR="00952082" w:rsidRPr="001D7F68">
        <w:rPr>
          <w:rFonts w:asciiTheme="majorBidi" w:hAnsiTheme="majorBidi" w:cstheme="majorBidi"/>
        </w:rPr>
        <w:t xml:space="preserve"> M</w:t>
      </w:r>
      <w:r w:rsidR="00241C41" w:rsidRPr="001D7F68">
        <w:rPr>
          <w:rFonts w:asciiTheme="majorBidi" w:hAnsiTheme="majorBidi" w:cstheme="majorBidi"/>
        </w:rPr>
        <w:t>eyer discusse</w:t>
      </w:r>
      <w:r w:rsidR="0010468A" w:rsidRPr="001D7F68">
        <w:rPr>
          <w:rFonts w:asciiTheme="majorBidi" w:hAnsiTheme="majorBidi" w:cstheme="majorBidi"/>
        </w:rPr>
        <w:t>s the change in the conception</w:t>
      </w:r>
      <w:r w:rsidR="00241C41" w:rsidRPr="001D7F68">
        <w:rPr>
          <w:rFonts w:asciiTheme="majorBidi" w:hAnsiTheme="majorBidi" w:cstheme="majorBidi"/>
        </w:rPr>
        <w:t xml:space="preserve"> of </w:t>
      </w:r>
      <w:r w:rsidR="00241C41" w:rsidRPr="001D7F68">
        <w:rPr>
          <w:rFonts w:asciiTheme="majorBidi" w:hAnsiTheme="majorBidi" w:cstheme="majorBidi"/>
          <w:i/>
          <w:iCs/>
        </w:rPr>
        <w:t>testes</w:t>
      </w:r>
      <w:r w:rsidR="00241C41" w:rsidRPr="001D7F68">
        <w:rPr>
          <w:rFonts w:asciiTheme="majorBidi" w:hAnsiTheme="majorBidi" w:cstheme="majorBidi"/>
        </w:rPr>
        <w:t xml:space="preserve"> authorizing act</w:t>
      </w:r>
      <w:r w:rsidR="00952082" w:rsidRPr="001D7F68">
        <w:rPr>
          <w:rFonts w:asciiTheme="majorBidi" w:hAnsiTheme="majorBidi" w:cstheme="majorBidi"/>
        </w:rPr>
        <w:t>s</w:t>
      </w:r>
      <w:r w:rsidR="00241C41" w:rsidRPr="001D7F68">
        <w:rPr>
          <w:rFonts w:asciiTheme="majorBidi" w:hAnsiTheme="majorBidi" w:cstheme="majorBidi"/>
        </w:rPr>
        <w:t xml:space="preserve"> of private law, and their gradual merge with </w:t>
      </w:r>
      <w:proofErr w:type="spellStart"/>
      <w:r w:rsidR="00241C41" w:rsidRPr="001D7F68">
        <w:rPr>
          <w:rFonts w:asciiTheme="majorBidi" w:hAnsiTheme="majorBidi" w:cstheme="majorBidi"/>
          <w:i/>
          <w:iCs/>
        </w:rPr>
        <w:t>signatores</w:t>
      </w:r>
      <w:proofErr w:type="spellEnd"/>
      <w:r w:rsidR="00241C41" w:rsidRPr="001D7F68">
        <w:rPr>
          <w:rFonts w:asciiTheme="majorBidi" w:hAnsiTheme="majorBidi" w:cstheme="majorBidi"/>
        </w:rPr>
        <w:t xml:space="preserve"> of documents, </w:t>
      </w:r>
      <w:r w:rsidR="00952082" w:rsidRPr="001D7F68">
        <w:rPr>
          <w:rFonts w:asciiTheme="majorBidi" w:hAnsiTheme="majorBidi" w:cstheme="majorBidi"/>
        </w:rPr>
        <w:t>around</w:t>
      </w:r>
      <w:r w:rsidR="00241C41" w:rsidRPr="001D7F68">
        <w:rPr>
          <w:rFonts w:asciiTheme="majorBidi" w:hAnsiTheme="majorBidi" w:cstheme="majorBidi"/>
        </w:rPr>
        <w:t xml:space="preserve"> the 1</w:t>
      </w:r>
      <w:r w:rsidR="00241C41" w:rsidRPr="001D7F68">
        <w:rPr>
          <w:rFonts w:asciiTheme="majorBidi" w:hAnsiTheme="majorBidi" w:cstheme="majorBidi"/>
          <w:vertAlign w:val="superscript"/>
        </w:rPr>
        <w:t>st</w:t>
      </w:r>
      <w:r w:rsidR="00952082" w:rsidRPr="001D7F68">
        <w:rPr>
          <w:rFonts w:asciiTheme="majorBidi" w:hAnsiTheme="majorBidi" w:cstheme="majorBidi"/>
        </w:rPr>
        <w:t xml:space="preserve"> c</w:t>
      </w:r>
      <w:r w:rsidR="00241C41" w:rsidRPr="001D7F68">
        <w:rPr>
          <w:rFonts w:asciiTheme="majorBidi" w:hAnsiTheme="majorBidi" w:cstheme="majorBidi"/>
        </w:rPr>
        <w:t>entury CE (p. 158)</w:t>
      </w:r>
    </w:p>
  </w:footnote>
  <w:footnote w:id="20">
    <w:p w14:paraId="045BA10B" w14:textId="070505A7" w:rsidR="00952082" w:rsidRPr="0010468A" w:rsidRDefault="00952082" w:rsidP="00952082">
      <w:pPr>
        <w:pStyle w:val="FootnoteText"/>
        <w:rPr>
          <w:rFonts w:asciiTheme="majorBidi" w:hAnsiTheme="majorBidi" w:cstheme="majorBidi"/>
          <w:rtl/>
        </w:rPr>
      </w:pPr>
      <w:r w:rsidRPr="001D7F68">
        <w:rPr>
          <w:rStyle w:val="FootnoteReference"/>
          <w:rFonts w:asciiTheme="majorBidi" w:hAnsiTheme="majorBidi" w:cstheme="majorBidi"/>
        </w:rPr>
        <w:footnoteRef/>
      </w:r>
      <w:r w:rsidRPr="001D7F68">
        <w:rPr>
          <w:rFonts w:asciiTheme="majorBidi" w:hAnsiTheme="majorBidi" w:cstheme="majorBidi"/>
        </w:rPr>
        <w:t xml:space="preserve"> </w:t>
      </w:r>
      <w:r w:rsidRPr="001D7F68">
        <w:rPr>
          <w:rFonts w:asciiTheme="majorBidi" w:hAnsiTheme="majorBidi" w:cstheme="majorBidi"/>
        </w:rPr>
        <w:t xml:space="preserve">In both contexts it is </w:t>
      </w:r>
      <w:r w:rsidRPr="001D7F68">
        <w:rPr>
          <w:rFonts w:asciiTheme="majorBidi" w:hAnsiTheme="majorBidi" w:cstheme="majorBidi" w:hint="cs"/>
          <w:rtl/>
        </w:rPr>
        <w:t>עד</w:t>
      </w:r>
      <w:r w:rsidRPr="001D7F68">
        <w:rPr>
          <w:rFonts w:asciiTheme="majorBidi" w:hAnsiTheme="majorBidi" w:cstheme="majorBidi"/>
        </w:rPr>
        <w:t xml:space="preserve"> in Hebrew, </w:t>
      </w:r>
      <w:r w:rsidRPr="001D7F68">
        <w:rPr>
          <w:rFonts w:asciiTheme="majorBidi" w:hAnsiTheme="majorBidi" w:cstheme="majorBidi"/>
          <w:i/>
          <w:iCs/>
        </w:rPr>
        <w:t>testis</w:t>
      </w:r>
      <w:r w:rsidRPr="001D7F68">
        <w:rPr>
          <w:rFonts w:asciiTheme="majorBidi" w:hAnsiTheme="majorBidi" w:cstheme="majorBidi"/>
        </w:rPr>
        <w:t xml:space="preserve"> in Latin. Moreover, i</w:t>
      </w:r>
      <w:r w:rsidRPr="001D7F68">
        <w:rPr>
          <w:rFonts w:asciiTheme="majorBidi" w:hAnsiTheme="majorBidi" w:cstheme="majorBidi"/>
        </w:rPr>
        <w:t xml:space="preserve">n the Hebrew Bible, the language used to describe </w:t>
      </w:r>
      <w:r w:rsidRPr="001D7F68">
        <w:rPr>
          <w:rFonts w:asciiTheme="majorBidi" w:hAnsiTheme="majorBidi" w:cstheme="majorBidi"/>
        </w:rPr>
        <w:t xml:space="preserve">the authorization of legal </w:t>
      </w:r>
      <w:r w:rsidRPr="001D7F68">
        <w:rPr>
          <w:rFonts w:asciiTheme="majorBidi" w:hAnsiTheme="majorBidi" w:cstheme="majorBidi"/>
        </w:rPr>
        <w:t xml:space="preserve">transactions and </w:t>
      </w:r>
      <w:r w:rsidRPr="001D7F68">
        <w:rPr>
          <w:rFonts w:asciiTheme="majorBidi" w:hAnsiTheme="majorBidi" w:cstheme="majorBidi"/>
        </w:rPr>
        <w:t xml:space="preserve">the role of witnesses </w:t>
      </w:r>
      <w:r w:rsidRPr="001D7F68">
        <w:rPr>
          <w:rFonts w:asciiTheme="majorBidi" w:hAnsiTheme="majorBidi" w:cstheme="majorBidi"/>
        </w:rPr>
        <w:t xml:space="preserve">in judicial proceedings is the same (see Det. 19.16, </w:t>
      </w:r>
      <w:r w:rsidRPr="001D7F68">
        <w:rPr>
          <w:rFonts w:asciiTheme="majorBidi" w:hAnsiTheme="majorBidi" w:cstheme="majorBidi"/>
          <w:rtl/>
        </w:rPr>
        <w:t>יקום דבר</w:t>
      </w:r>
      <w:r w:rsidRPr="001D7F68">
        <w:rPr>
          <w:rFonts w:asciiTheme="majorBidi" w:hAnsiTheme="majorBidi" w:cstheme="majorBidi"/>
        </w:rPr>
        <w:t xml:space="preserve">, and cf. Ruth </w:t>
      </w:r>
      <w:r w:rsidRPr="001D7F68">
        <w:rPr>
          <w:rFonts w:asciiTheme="majorBidi" w:hAnsiTheme="majorBidi" w:cstheme="majorBidi"/>
          <w:rtl/>
        </w:rPr>
        <w:t>4.7</w:t>
      </w:r>
      <w:r w:rsidRPr="001D7F68">
        <w:rPr>
          <w:rFonts w:asciiTheme="majorBidi" w:hAnsiTheme="majorBidi" w:cstheme="majorBidi"/>
        </w:rPr>
        <w:t xml:space="preserve"> </w:t>
      </w:r>
      <w:r w:rsidRPr="001D7F68">
        <w:rPr>
          <w:rFonts w:asciiTheme="majorBidi" w:hAnsiTheme="majorBidi" w:cstheme="majorBidi"/>
          <w:rtl/>
        </w:rPr>
        <w:t>לקיים כל דבר</w:t>
      </w:r>
      <w:r w:rsidRPr="001D7F68">
        <w:rPr>
          <w:rFonts w:asciiTheme="majorBidi" w:hAnsiTheme="majorBidi" w:cstheme="majorBidi"/>
        </w:rPr>
        <w:t>); Gene M. Tucker, “The Legal Background of Genesis 23”, 85.1 Journal of Biblical Literature 77, 83 (1966).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1B6"/>
    <w:multiLevelType w:val="hybridMultilevel"/>
    <w:tmpl w:val="C9D8076A"/>
    <w:lvl w:ilvl="0" w:tplc="1D70A5D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33B57"/>
    <w:multiLevelType w:val="hybridMultilevel"/>
    <w:tmpl w:val="A2E473C2"/>
    <w:lvl w:ilvl="0" w:tplc="8BCED9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C02ED"/>
    <w:multiLevelType w:val="hybridMultilevel"/>
    <w:tmpl w:val="48C29D6C"/>
    <w:lvl w:ilvl="0" w:tplc="6FB87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A0E7A"/>
    <w:multiLevelType w:val="hybridMultilevel"/>
    <w:tmpl w:val="DB166A78"/>
    <w:lvl w:ilvl="0" w:tplc="25A0E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E8"/>
    <w:rsid w:val="0000453D"/>
    <w:rsid w:val="000136C9"/>
    <w:rsid w:val="00015986"/>
    <w:rsid w:val="000227BA"/>
    <w:rsid w:val="0002489C"/>
    <w:rsid w:val="00025AB8"/>
    <w:rsid w:val="000323F4"/>
    <w:rsid w:val="00053C55"/>
    <w:rsid w:val="00087A3C"/>
    <w:rsid w:val="00091C70"/>
    <w:rsid w:val="000A09D5"/>
    <w:rsid w:val="000A2837"/>
    <w:rsid w:val="000C090D"/>
    <w:rsid w:val="000E6497"/>
    <w:rsid w:val="000F34D4"/>
    <w:rsid w:val="000F7E67"/>
    <w:rsid w:val="0010373B"/>
    <w:rsid w:val="0010468A"/>
    <w:rsid w:val="00104A31"/>
    <w:rsid w:val="00104ADA"/>
    <w:rsid w:val="001079C8"/>
    <w:rsid w:val="0011385A"/>
    <w:rsid w:val="00114983"/>
    <w:rsid w:val="00116EB7"/>
    <w:rsid w:val="00137F28"/>
    <w:rsid w:val="001472CA"/>
    <w:rsid w:val="001723E9"/>
    <w:rsid w:val="00190CED"/>
    <w:rsid w:val="0019399B"/>
    <w:rsid w:val="00193E6D"/>
    <w:rsid w:val="001B619D"/>
    <w:rsid w:val="001D3C41"/>
    <w:rsid w:val="001D6351"/>
    <w:rsid w:val="001D7F68"/>
    <w:rsid w:val="0020391E"/>
    <w:rsid w:val="00206657"/>
    <w:rsid w:val="00231142"/>
    <w:rsid w:val="0023634E"/>
    <w:rsid w:val="00241C41"/>
    <w:rsid w:val="00255EAE"/>
    <w:rsid w:val="002572F1"/>
    <w:rsid w:val="00261770"/>
    <w:rsid w:val="00266632"/>
    <w:rsid w:val="00287722"/>
    <w:rsid w:val="002913F0"/>
    <w:rsid w:val="00292610"/>
    <w:rsid w:val="00293AFB"/>
    <w:rsid w:val="002A3ABE"/>
    <w:rsid w:val="002D00FD"/>
    <w:rsid w:val="002D6671"/>
    <w:rsid w:val="002E1301"/>
    <w:rsid w:val="0030700E"/>
    <w:rsid w:val="00314797"/>
    <w:rsid w:val="003151DF"/>
    <w:rsid w:val="00316779"/>
    <w:rsid w:val="00326691"/>
    <w:rsid w:val="00333328"/>
    <w:rsid w:val="003433B6"/>
    <w:rsid w:val="00346D9D"/>
    <w:rsid w:val="00352564"/>
    <w:rsid w:val="003565D6"/>
    <w:rsid w:val="003753D5"/>
    <w:rsid w:val="00381305"/>
    <w:rsid w:val="00390D67"/>
    <w:rsid w:val="003A55DF"/>
    <w:rsid w:val="003A6D74"/>
    <w:rsid w:val="003B06B8"/>
    <w:rsid w:val="003F4483"/>
    <w:rsid w:val="00403AB0"/>
    <w:rsid w:val="00407A82"/>
    <w:rsid w:val="004126AA"/>
    <w:rsid w:val="004168C6"/>
    <w:rsid w:val="004352DC"/>
    <w:rsid w:val="004369E8"/>
    <w:rsid w:val="00441757"/>
    <w:rsid w:val="00441D3E"/>
    <w:rsid w:val="004815C1"/>
    <w:rsid w:val="004A048B"/>
    <w:rsid w:val="004A6E5B"/>
    <w:rsid w:val="004B5513"/>
    <w:rsid w:val="004C55FC"/>
    <w:rsid w:val="004C59D2"/>
    <w:rsid w:val="004E49C6"/>
    <w:rsid w:val="00507F16"/>
    <w:rsid w:val="00510E43"/>
    <w:rsid w:val="0052167D"/>
    <w:rsid w:val="0052631B"/>
    <w:rsid w:val="00536ABC"/>
    <w:rsid w:val="00537035"/>
    <w:rsid w:val="00540FCC"/>
    <w:rsid w:val="0054360D"/>
    <w:rsid w:val="005607BC"/>
    <w:rsid w:val="00560FFF"/>
    <w:rsid w:val="005621CD"/>
    <w:rsid w:val="00583FF9"/>
    <w:rsid w:val="005949F5"/>
    <w:rsid w:val="005A351F"/>
    <w:rsid w:val="005A3614"/>
    <w:rsid w:val="005B4DCF"/>
    <w:rsid w:val="005B6CE5"/>
    <w:rsid w:val="005C0F62"/>
    <w:rsid w:val="005F1E83"/>
    <w:rsid w:val="005F3312"/>
    <w:rsid w:val="00605A1F"/>
    <w:rsid w:val="006068E0"/>
    <w:rsid w:val="006246AB"/>
    <w:rsid w:val="006359F9"/>
    <w:rsid w:val="00642671"/>
    <w:rsid w:val="006522B0"/>
    <w:rsid w:val="006830F6"/>
    <w:rsid w:val="00696D8C"/>
    <w:rsid w:val="006A07ED"/>
    <w:rsid w:val="006A0B82"/>
    <w:rsid w:val="006A1BF1"/>
    <w:rsid w:val="006A21B3"/>
    <w:rsid w:val="006A68AC"/>
    <w:rsid w:val="006B387B"/>
    <w:rsid w:val="006C1A3E"/>
    <w:rsid w:val="006C3602"/>
    <w:rsid w:val="006D1925"/>
    <w:rsid w:val="006E1664"/>
    <w:rsid w:val="006F1C66"/>
    <w:rsid w:val="006F2E2A"/>
    <w:rsid w:val="006F7B80"/>
    <w:rsid w:val="00704C4C"/>
    <w:rsid w:val="00731CFA"/>
    <w:rsid w:val="00745389"/>
    <w:rsid w:val="00746012"/>
    <w:rsid w:val="00756E24"/>
    <w:rsid w:val="00771021"/>
    <w:rsid w:val="00771D87"/>
    <w:rsid w:val="00795BC6"/>
    <w:rsid w:val="007A03B7"/>
    <w:rsid w:val="007C1371"/>
    <w:rsid w:val="007C5D28"/>
    <w:rsid w:val="007D6706"/>
    <w:rsid w:val="007F0594"/>
    <w:rsid w:val="007F06E9"/>
    <w:rsid w:val="007F2790"/>
    <w:rsid w:val="008106D6"/>
    <w:rsid w:val="0081229D"/>
    <w:rsid w:val="00815D40"/>
    <w:rsid w:val="00816D2F"/>
    <w:rsid w:val="00820D71"/>
    <w:rsid w:val="00821E2F"/>
    <w:rsid w:val="00827307"/>
    <w:rsid w:val="00841E41"/>
    <w:rsid w:val="008661A3"/>
    <w:rsid w:val="00886AF3"/>
    <w:rsid w:val="008A1DBB"/>
    <w:rsid w:val="008A6F35"/>
    <w:rsid w:val="008C1007"/>
    <w:rsid w:val="008C12CF"/>
    <w:rsid w:val="008C1DAF"/>
    <w:rsid w:val="008C3A61"/>
    <w:rsid w:val="008C58C2"/>
    <w:rsid w:val="008D74F2"/>
    <w:rsid w:val="008F2673"/>
    <w:rsid w:val="009019F5"/>
    <w:rsid w:val="00902AB2"/>
    <w:rsid w:val="00903E16"/>
    <w:rsid w:val="00920EE8"/>
    <w:rsid w:val="0092117C"/>
    <w:rsid w:val="00926B34"/>
    <w:rsid w:val="00934F4B"/>
    <w:rsid w:val="00935346"/>
    <w:rsid w:val="009476AC"/>
    <w:rsid w:val="00952082"/>
    <w:rsid w:val="00957F0A"/>
    <w:rsid w:val="00961277"/>
    <w:rsid w:val="00970125"/>
    <w:rsid w:val="00971A1E"/>
    <w:rsid w:val="009851A1"/>
    <w:rsid w:val="00995237"/>
    <w:rsid w:val="009A07EE"/>
    <w:rsid w:val="009A2086"/>
    <w:rsid w:val="009A25F1"/>
    <w:rsid w:val="009A5341"/>
    <w:rsid w:val="009A77A6"/>
    <w:rsid w:val="009B6EFF"/>
    <w:rsid w:val="009C5112"/>
    <w:rsid w:val="009C7568"/>
    <w:rsid w:val="009F1B1A"/>
    <w:rsid w:val="009F4F93"/>
    <w:rsid w:val="00A0339B"/>
    <w:rsid w:val="00A033FA"/>
    <w:rsid w:val="00A10494"/>
    <w:rsid w:val="00A14552"/>
    <w:rsid w:val="00A152E6"/>
    <w:rsid w:val="00A250FB"/>
    <w:rsid w:val="00A5459B"/>
    <w:rsid w:val="00A56D85"/>
    <w:rsid w:val="00A7152D"/>
    <w:rsid w:val="00A72D82"/>
    <w:rsid w:val="00A94E54"/>
    <w:rsid w:val="00A9563B"/>
    <w:rsid w:val="00A97F73"/>
    <w:rsid w:val="00AB17D7"/>
    <w:rsid w:val="00AC48FE"/>
    <w:rsid w:val="00AE7FE8"/>
    <w:rsid w:val="00AF7DCE"/>
    <w:rsid w:val="00B00891"/>
    <w:rsid w:val="00B04A5E"/>
    <w:rsid w:val="00B134FC"/>
    <w:rsid w:val="00B1680B"/>
    <w:rsid w:val="00B17A64"/>
    <w:rsid w:val="00B33E92"/>
    <w:rsid w:val="00B6192F"/>
    <w:rsid w:val="00B67E61"/>
    <w:rsid w:val="00B72D1E"/>
    <w:rsid w:val="00B75321"/>
    <w:rsid w:val="00B9027C"/>
    <w:rsid w:val="00BA1B6A"/>
    <w:rsid w:val="00BA6AE7"/>
    <w:rsid w:val="00BB0973"/>
    <w:rsid w:val="00BC051D"/>
    <w:rsid w:val="00BC2C38"/>
    <w:rsid w:val="00BC340D"/>
    <w:rsid w:val="00BC3B14"/>
    <w:rsid w:val="00BC77E2"/>
    <w:rsid w:val="00BD1F71"/>
    <w:rsid w:val="00BE5943"/>
    <w:rsid w:val="00BF2A93"/>
    <w:rsid w:val="00C004C6"/>
    <w:rsid w:val="00C032E2"/>
    <w:rsid w:val="00C1513E"/>
    <w:rsid w:val="00C155C6"/>
    <w:rsid w:val="00C17AB3"/>
    <w:rsid w:val="00C23DEC"/>
    <w:rsid w:val="00C26E08"/>
    <w:rsid w:val="00C35C07"/>
    <w:rsid w:val="00C4766D"/>
    <w:rsid w:val="00C50027"/>
    <w:rsid w:val="00C51899"/>
    <w:rsid w:val="00C5409B"/>
    <w:rsid w:val="00C76DC6"/>
    <w:rsid w:val="00C82746"/>
    <w:rsid w:val="00C97FED"/>
    <w:rsid w:val="00CA2FAE"/>
    <w:rsid w:val="00CB7CC7"/>
    <w:rsid w:val="00CD5F2A"/>
    <w:rsid w:val="00CE036D"/>
    <w:rsid w:val="00CF236D"/>
    <w:rsid w:val="00CF5E64"/>
    <w:rsid w:val="00CF7C20"/>
    <w:rsid w:val="00CF7FCF"/>
    <w:rsid w:val="00D004D0"/>
    <w:rsid w:val="00D232AB"/>
    <w:rsid w:val="00D41538"/>
    <w:rsid w:val="00D6449B"/>
    <w:rsid w:val="00D71ABB"/>
    <w:rsid w:val="00D73742"/>
    <w:rsid w:val="00D80CA7"/>
    <w:rsid w:val="00D86A89"/>
    <w:rsid w:val="00DA29CB"/>
    <w:rsid w:val="00DB2F8D"/>
    <w:rsid w:val="00DC38CB"/>
    <w:rsid w:val="00DD5F3D"/>
    <w:rsid w:val="00DE0DDD"/>
    <w:rsid w:val="00DE3743"/>
    <w:rsid w:val="00E041DF"/>
    <w:rsid w:val="00E109EF"/>
    <w:rsid w:val="00E124AD"/>
    <w:rsid w:val="00E16D84"/>
    <w:rsid w:val="00E16D86"/>
    <w:rsid w:val="00E20E9E"/>
    <w:rsid w:val="00E41CC8"/>
    <w:rsid w:val="00E448D4"/>
    <w:rsid w:val="00E474B9"/>
    <w:rsid w:val="00E520EF"/>
    <w:rsid w:val="00E55E39"/>
    <w:rsid w:val="00E56CDD"/>
    <w:rsid w:val="00E61E44"/>
    <w:rsid w:val="00E63F79"/>
    <w:rsid w:val="00E730F4"/>
    <w:rsid w:val="00E7747E"/>
    <w:rsid w:val="00E84DF9"/>
    <w:rsid w:val="00EB17D8"/>
    <w:rsid w:val="00EC0387"/>
    <w:rsid w:val="00EE083F"/>
    <w:rsid w:val="00EE3325"/>
    <w:rsid w:val="00EF003B"/>
    <w:rsid w:val="00EF7904"/>
    <w:rsid w:val="00F0130B"/>
    <w:rsid w:val="00F063D3"/>
    <w:rsid w:val="00F21C5C"/>
    <w:rsid w:val="00F22433"/>
    <w:rsid w:val="00F2330F"/>
    <w:rsid w:val="00F32A36"/>
    <w:rsid w:val="00F3527A"/>
    <w:rsid w:val="00F52936"/>
    <w:rsid w:val="00F5615D"/>
    <w:rsid w:val="00F65C01"/>
    <w:rsid w:val="00F84A86"/>
    <w:rsid w:val="00F941CC"/>
    <w:rsid w:val="00FB05B4"/>
    <w:rsid w:val="00FB06FA"/>
    <w:rsid w:val="00FC716D"/>
    <w:rsid w:val="00FE01E9"/>
    <w:rsid w:val="00FE2EB9"/>
    <w:rsid w:val="00FF3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3F6C5"/>
  <w15:chartTrackingRefBased/>
  <w15:docId w15:val="{CA561642-2E4A-4D37-9C66-2441236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52936"/>
    <w:pPr>
      <w:keepNext/>
      <w:keepLines/>
      <w:bidi/>
      <w:spacing w:before="40" w:after="240" w:line="480" w:lineRule="auto"/>
      <w:ind w:right="-284"/>
      <w:jc w:val="both"/>
      <w:outlineLvl w:val="3"/>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61"/>
    <w:pPr>
      <w:ind w:left="720"/>
      <w:contextualSpacing/>
    </w:pPr>
  </w:style>
  <w:style w:type="paragraph" w:styleId="BalloonText">
    <w:name w:val="Balloon Text"/>
    <w:basedOn w:val="Normal"/>
    <w:link w:val="BalloonTextChar"/>
    <w:uiPriority w:val="99"/>
    <w:semiHidden/>
    <w:unhideWhenUsed/>
    <w:rsid w:val="00795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BC6"/>
    <w:rPr>
      <w:rFonts w:ascii="Segoe UI" w:hAnsi="Segoe UI" w:cs="Segoe UI"/>
      <w:sz w:val="18"/>
      <w:szCs w:val="18"/>
    </w:rPr>
  </w:style>
  <w:style w:type="paragraph" w:styleId="FootnoteText">
    <w:name w:val="footnote text"/>
    <w:basedOn w:val="Normal"/>
    <w:link w:val="FootnoteTextChar"/>
    <w:uiPriority w:val="99"/>
    <w:unhideWhenUsed/>
    <w:rsid w:val="000136C9"/>
    <w:pPr>
      <w:spacing w:after="0" w:line="240" w:lineRule="auto"/>
    </w:pPr>
    <w:rPr>
      <w:sz w:val="20"/>
      <w:szCs w:val="20"/>
    </w:rPr>
  </w:style>
  <w:style w:type="character" w:customStyle="1" w:styleId="FootnoteTextChar">
    <w:name w:val="Footnote Text Char"/>
    <w:basedOn w:val="DefaultParagraphFont"/>
    <w:link w:val="FootnoteText"/>
    <w:uiPriority w:val="99"/>
    <w:rsid w:val="000136C9"/>
    <w:rPr>
      <w:sz w:val="20"/>
      <w:szCs w:val="20"/>
    </w:rPr>
  </w:style>
  <w:style w:type="character" w:styleId="FootnoteReference">
    <w:name w:val="footnote reference"/>
    <w:basedOn w:val="DefaultParagraphFont"/>
    <w:uiPriority w:val="99"/>
    <w:semiHidden/>
    <w:unhideWhenUsed/>
    <w:rsid w:val="000136C9"/>
    <w:rPr>
      <w:vertAlign w:val="superscript"/>
    </w:rPr>
  </w:style>
  <w:style w:type="character" w:styleId="Strong">
    <w:name w:val="Strong"/>
    <w:basedOn w:val="DefaultParagraphFont"/>
    <w:uiPriority w:val="22"/>
    <w:qFormat/>
    <w:rsid w:val="00756E24"/>
    <w:rPr>
      <w:b/>
      <w:bCs/>
    </w:rPr>
  </w:style>
  <w:style w:type="character" w:styleId="CommentReference">
    <w:name w:val="annotation reference"/>
    <w:basedOn w:val="DefaultParagraphFont"/>
    <w:uiPriority w:val="99"/>
    <w:semiHidden/>
    <w:unhideWhenUsed/>
    <w:rsid w:val="00C032E2"/>
    <w:rPr>
      <w:sz w:val="16"/>
      <w:szCs w:val="16"/>
    </w:rPr>
  </w:style>
  <w:style w:type="paragraph" w:styleId="CommentText">
    <w:name w:val="annotation text"/>
    <w:basedOn w:val="Normal"/>
    <w:link w:val="CommentTextChar"/>
    <w:uiPriority w:val="99"/>
    <w:semiHidden/>
    <w:unhideWhenUsed/>
    <w:rsid w:val="00C032E2"/>
    <w:pPr>
      <w:spacing w:line="240" w:lineRule="auto"/>
    </w:pPr>
    <w:rPr>
      <w:sz w:val="20"/>
      <w:szCs w:val="20"/>
    </w:rPr>
  </w:style>
  <w:style w:type="character" w:customStyle="1" w:styleId="CommentTextChar">
    <w:name w:val="Comment Text Char"/>
    <w:basedOn w:val="DefaultParagraphFont"/>
    <w:link w:val="CommentText"/>
    <w:uiPriority w:val="99"/>
    <w:semiHidden/>
    <w:rsid w:val="00C032E2"/>
    <w:rPr>
      <w:sz w:val="20"/>
      <w:szCs w:val="20"/>
    </w:rPr>
  </w:style>
  <w:style w:type="paragraph" w:styleId="CommentSubject">
    <w:name w:val="annotation subject"/>
    <w:basedOn w:val="CommentText"/>
    <w:next w:val="CommentText"/>
    <w:link w:val="CommentSubjectChar"/>
    <w:uiPriority w:val="99"/>
    <w:semiHidden/>
    <w:unhideWhenUsed/>
    <w:rsid w:val="00C032E2"/>
    <w:rPr>
      <w:b/>
      <w:bCs/>
    </w:rPr>
  </w:style>
  <w:style w:type="character" w:customStyle="1" w:styleId="CommentSubjectChar">
    <w:name w:val="Comment Subject Char"/>
    <w:basedOn w:val="CommentTextChar"/>
    <w:link w:val="CommentSubject"/>
    <w:uiPriority w:val="99"/>
    <w:semiHidden/>
    <w:rsid w:val="00C032E2"/>
    <w:rPr>
      <w:b/>
      <w:bCs/>
      <w:sz w:val="20"/>
      <w:szCs w:val="20"/>
    </w:rPr>
  </w:style>
  <w:style w:type="character" w:customStyle="1" w:styleId="Heading4Char">
    <w:name w:val="Heading 4 Char"/>
    <w:basedOn w:val="DefaultParagraphFont"/>
    <w:link w:val="Heading4"/>
    <w:uiPriority w:val="9"/>
    <w:rsid w:val="00F52936"/>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934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F4B"/>
  </w:style>
  <w:style w:type="paragraph" w:styleId="Footer">
    <w:name w:val="footer"/>
    <w:basedOn w:val="Normal"/>
    <w:link w:val="FooterChar"/>
    <w:uiPriority w:val="99"/>
    <w:unhideWhenUsed/>
    <w:rsid w:val="00934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4454">
      <w:bodyDiv w:val="1"/>
      <w:marLeft w:val="0"/>
      <w:marRight w:val="0"/>
      <w:marTop w:val="0"/>
      <w:marBottom w:val="0"/>
      <w:divBdr>
        <w:top w:val="none" w:sz="0" w:space="0" w:color="auto"/>
        <w:left w:val="none" w:sz="0" w:space="0" w:color="auto"/>
        <w:bottom w:val="none" w:sz="0" w:space="0" w:color="auto"/>
        <w:right w:val="none" w:sz="0" w:space="0" w:color="auto"/>
      </w:divBdr>
      <w:divsChild>
        <w:div w:id="221647744">
          <w:marLeft w:val="0"/>
          <w:marRight w:val="0"/>
          <w:marTop w:val="0"/>
          <w:marBottom w:val="0"/>
          <w:divBdr>
            <w:top w:val="none" w:sz="0" w:space="0" w:color="auto"/>
            <w:left w:val="none" w:sz="0" w:space="0" w:color="auto"/>
            <w:bottom w:val="none" w:sz="0" w:space="0" w:color="auto"/>
            <w:right w:val="none" w:sz="0" w:space="0" w:color="auto"/>
          </w:divBdr>
        </w:div>
      </w:divsChild>
    </w:div>
    <w:div w:id="1230532182">
      <w:bodyDiv w:val="1"/>
      <w:marLeft w:val="0"/>
      <w:marRight w:val="0"/>
      <w:marTop w:val="0"/>
      <w:marBottom w:val="0"/>
      <w:divBdr>
        <w:top w:val="none" w:sz="0" w:space="0" w:color="auto"/>
        <w:left w:val="none" w:sz="0" w:space="0" w:color="auto"/>
        <w:bottom w:val="none" w:sz="0" w:space="0" w:color="auto"/>
        <w:right w:val="none" w:sz="0" w:space="0" w:color="auto"/>
      </w:divBdr>
      <w:divsChild>
        <w:div w:id="1929725432">
          <w:marLeft w:val="0"/>
          <w:marRight w:val="0"/>
          <w:marTop w:val="0"/>
          <w:marBottom w:val="0"/>
          <w:divBdr>
            <w:top w:val="none" w:sz="0" w:space="0" w:color="auto"/>
            <w:left w:val="none" w:sz="0" w:space="0" w:color="auto"/>
            <w:bottom w:val="none" w:sz="0" w:space="0" w:color="auto"/>
            <w:right w:val="none" w:sz="0" w:space="0" w:color="auto"/>
          </w:divBdr>
        </w:div>
      </w:divsChild>
    </w:div>
    <w:div w:id="1909458377">
      <w:bodyDiv w:val="1"/>
      <w:marLeft w:val="0"/>
      <w:marRight w:val="0"/>
      <w:marTop w:val="0"/>
      <w:marBottom w:val="0"/>
      <w:divBdr>
        <w:top w:val="none" w:sz="0" w:space="0" w:color="auto"/>
        <w:left w:val="none" w:sz="0" w:space="0" w:color="auto"/>
        <w:bottom w:val="none" w:sz="0" w:space="0" w:color="auto"/>
        <w:right w:val="none" w:sz="0" w:space="0" w:color="auto"/>
      </w:divBdr>
      <w:divsChild>
        <w:div w:id="1771512023">
          <w:marLeft w:val="0"/>
          <w:marRight w:val="0"/>
          <w:marTop w:val="0"/>
          <w:marBottom w:val="0"/>
          <w:divBdr>
            <w:top w:val="none" w:sz="0" w:space="0" w:color="auto"/>
            <w:left w:val="none" w:sz="0" w:space="0" w:color="auto"/>
            <w:bottom w:val="none" w:sz="0" w:space="0" w:color="auto"/>
            <w:right w:val="none" w:sz="0" w:space="0" w:color="auto"/>
          </w:divBdr>
        </w:div>
      </w:divsChild>
    </w:div>
    <w:div w:id="2093700429">
      <w:bodyDiv w:val="1"/>
      <w:marLeft w:val="0"/>
      <w:marRight w:val="0"/>
      <w:marTop w:val="0"/>
      <w:marBottom w:val="0"/>
      <w:divBdr>
        <w:top w:val="none" w:sz="0" w:space="0" w:color="auto"/>
        <w:left w:val="none" w:sz="0" w:space="0" w:color="auto"/>
        <w:bottom w:val="none" w:sz="0" w:space="0" w:color="auto"/>
        <w:right w:val="none" w:sz="0" w:space="0" w:color="auto"/>
      </w:divBdr>
      <w:divsChild>
        <w:div w:id="9374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7BD2D121-62FE-4652-8A4C-730196B8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Ram Rivlin</cp:lastModifiedBy>
  <cp:revision>9</cp:revision>
  <dcterms:created xsi:type="dcterms:W3CDTF">2020-09-29T10:25:00Z</dcterms:created>
  <dcterms:modified xsi:type="dcterms:W3CDTF">2020-09-29T10:50:00Z</dcterms:modified>
</cp:coreProperties>
</file>