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93" w:rsidRPr="007C1AFE" w:rsidRDefault="00EA2293" w:rsidP="00EA2293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pacing w:val="-5"/>
          <w:lang w:val="en-GB"/>
        </w:rPr>
      </w:pPr>
      <w:r w:rsidRPr="007C1AFE">
        <w:rPr>
          <w:rFonts w:asciiTheme="majorBidi" w:eastAsia="Times New Roman" w:hAnsiTheme="majorBidi" w:cstheme="majorBidi"/>
          <w:b/>
          <w:bCs/>
          <w:spacing w:val="-5"/>
          <w:lang w:val="en-GB"/>
        </w:rPr>
        <w:t>List of Figures and Tables</w:t>
      </w:r>
    </w:p>
    <w:p w:rsidR="00EA2293" w:rsidRPr="007C1AFE" w:rsidRDefault="00EA2293" w:rsidP="00EA2293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iCs/>
          <w:spacing w:val="-5"/>
          <w:lang w:val="en-GB"/>
        </w:rPr>
      </w:pPr>
    </w:p>
    <w:p w:rsidR="00EA2293" w:rsidRPr="007C1AFE" w:rsidRDefault="009602FD" w:rsidP="00EA2293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iCs/>
          <w:spacing w:val="-5"/>
          <w:lang w:val="en-GB"/>
        </w:rPr>
      </w:pPr>
      <w:r w:rsidRPr="007C1AFE">
        <w:rPr>
          <w:rFonts w:asciiTheme="majorBidi" w:eastAsia="Times New Roman" w:hAnsiTheme="majorBidi" w:cstheme="majorBidi"/>
          <w:iCs/>
          <w:spacing w:val="-5"/>
          <w:lang w:val="en-GB"/>
        </w:rPr>
        <w:t>Fig 2.1</w:t>
      </w:r>
      <w:r w:rsidRPr="007C1AFE">
        <w:rPr>
          <w:rFonts w:asciiTheme="majorBidi" w:eastAsia="Times New Roman" w:hAnsiTheme="majorBidi" w:cstheme="majorBidi"/>
          <w:iCs/>
          <w:spacing w:val="-5"/>
          <w:lang w:val="en-GB"/>
        </w:rPr>
        <w:tab/>
      </w:r>
      <w:r w:rsidRPr="007C1AFE">
        <w:rPr>
          <w:rFonts w:asciiTheme="majorBidi" w:eastAsia="Times New Roman" w:hAnsiTheme="majorBidi" w:cstheme="majorBidi"/>
          <w:iCs/>
          <w:spacing w:val="-5"/>
          <w:lang w:val="en-GB"/>
        </w:rPr>
        <w:tab/>
      </w:r>
      <w:r w:rsidR="00EA2293" w:rsidRPr="007C1AFE">
        <w:rPr>
          <w:rFonts w:asciiTheme="majorBidi" w:eastAsia="Times New Roman" w:hAnsiTheme="majorBidi" w:cstheme="majorBidi"/>
          <w:iCs/>
          <w:spacing w:val="-5"/>
          <w:lang w:val="en-GB"/>
        </w:rPr>
        <w:t>Models for Valuing a Company’s Projected Revenues</w:t>
      </w:r>
    </w:p>
    <w:p w:rsidR="00EA2293" w:rsidRPr="007C1AFE" w:rsidRDefault="009602FD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4.1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</w:r>
      <w:r w:rsidR="00EA2293" w:rsidRPr="007C1AFE">
        <w:rPr>
          <w:rFonts w:asciiTheme="majorBidi" w:eastAsia="Times New Roman" w:hAnsiTheme="majorBidi" w:cstheme="majorBidi"/>
          <w:iCs/>
          <w:color w:val="000000"/>
        </w:rPr>
        <w:t>Cybersecurity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12.1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  <w:t>Drug Development Costs and Duration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12.2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  <w:t>The Different FDA NDA Application Tracks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13.1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  <w:t>Global Biologics and Biosimilar Markets by Sales, 2017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14.1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  <w:t>Applying the Network and Information Security Directive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16.1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  <w:t>Competitor Sales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16.2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  <w:t xml:space="preserve">Worldwide Sales for the Top 10 Condition II Drugs </w:t>
      </w:r>
      <w:r w:rsidRPr="007C1AFE">
        <w:rPr>
          <w:rFonts w:asciiTheme="majorBidi" w:eastAsia="Times New Roman" w:hAnsiTheme="majorBidi" w:cstheme="majorBidi"/>
          <w:iCs/>
          <w:color w:val="000000"/>
          <w:highlight w:val="yellow"/>
        </w:rPr>
        <w:t xml:space="preserve">[this includes both a figure and a </w:t>
      </w:r>
      <w:r w:rsidRPr="007C1AFE">
        <w:rPr>
          <w:rFonts w:asciiTheme="majorBidi" w:eastAsia="Times New Roman" w:hAnsiTheme="majorBidi" w:cstheme="majorBidi"/>
          <w:iCs/>
          <w:color w:val="000000"/>
          <w:highlight w:val="yellow"/>
        </w:rPr>
        <w:tab/>
      </w:r>
      <w:r w:rsidRPr="007C1AFE">
        <w:rPr>
          <w:rFonts w:asciiTheme="majorBidi" w:eastAsia="Times New Roman" w:hAnsiTheme="majorBidi" w:cstheme="majorBidi"/>
          <w:iCs/>
          <w:color w:val="000000"/>
          <w:highlight w:val="yellow"/>
        </w:rPr>
        <w:tab/>
        <w:t>table – are they both necessary, or should they be separated?]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16.3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  <w:t>Clinical Development Success Rates (SR)</w:t>
      </w:r>
    </w:p>
    <w:p w:rsidR="008829FB" w:rsidRPr="007C1AFE" w:rsidRDefault="008829FB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color w:val="000000"/>
        </w:rPr>
        <w:t>Fig 17.1</w:t>
      </w:r>
      <w:r w:rsidRPr="007C1AFE">
        <w:rPr>
          <w:rFonts w:asciiTheme="majorBidi" w:eastAsia="Times New Roman" w:hAnsiTheme="majorBidi" w:cstheme="majorBidi"/>
          <w:iCs/>
          <w:color w:val="000000"/>
        </w:rPr>
        <w:tab/>
      </w:r>
      <w:proofErr w:type="spellStart"/>
      <w:r w:rsidRPr="007C1AFE">
        <w:rPr>
          <w:rFonts w:asciiTheme="majorBidi" w:eastAsia="Times New Roman" w:hAnsiTheme="majorBidi" w:cstheme="majorBidi"/>
          <w:iCs/>
          <w:lang w:bidi="ar-SA"/>
        </w:rPr>
        <w:t>Adalimumab</w:t>
      </w:r>
      <w:proofErr w:type="spellEnd"/>
      <w:r w:rsidRPr="007C1AFE">
        <w:rPr>
          <w:rFonts w:asciiTheme="majorBidi" w:eastAsia="Times New Roman" w:hAnsiTheme="majorBidi" w:cstheme="majorBidi"/>
          <w:iCs/>
          <w:lang w:bidi="ar-SA"/>
        </w:rPr>
        <w:t xml:space="preserve"> </w:t>
      </w:r>
      <w:proofErr w:type="spellStart"/>
      <w:r w:rsidRPr="007C1AFE">
        <w:rPr>
          <w:rFonts w:asciiTheme="majorBidi" w:eastAsia="Times New Roman" w:hAnsiTheme="majorBidi" w:cstheme="majorBidi"/>
          <w:iCs/>
          <w:lang w:bidi="ar-SA"/>
        </w:rPr>
        <w:t>Biosimilars</w:t>
      </w:r>
      <w:proofErr w:type="spellEnd"/>
      <w:r w:rsidRPr="007C1AFE">
        <w:rPr>
          <w:rFonts w:asciiTheme="majorBidi" w:eastAsia="Times New Roman" w:hAnsiTheme="majorBidi" w:cstheme="majorBidi"/>
          <w:iCs/>
          <w:lang w:bidi="ar-SA"/>
        </w:rPr>
        <w:t xml:space="preserve"> Competition, Sales Data and Forecast through 2024</w:t>
      </w:r>
    </w:p>
    <w:p w:rsidR="008829FB" w:rsidRPr="007C1AFE" w:rsidRDefault="008829FB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18.1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Company C’s Position in Sector Ecosystem</w:t>
      </w:r>
    </w:p>
    <w:p w:rsidR="008829FB" w:rsidRPr="007C1AFE" w:rsidRDefault="008829FB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18.2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Company C’s Position in User Network</w:t>
      </w:r>
    </w:p>
    <w:p w:rsidR="008829FB" w:rsidRPr="007C1AFE" w:rsidRDefault="008829FB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18.3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Consumers of Company C Solutions</w:t>
      </w:r>
    </w:p>
    <w:p w:rsidR="008829FB" w:rsidRPr="007C1AFE" w:rsidRDefault="008829FB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18.4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Company C’s Position un User Network</w:t>
      </w:r>
    </w:p>
    <w:p w:rsidR="008829FB" w:rsidRPr="007C1AFE" w:rsidRDefault="008829FB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18.5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DPI Advantages</w:t>
      </w:r>
    </w:p>
    <w:p w:rsidR="0091418E" w:rsidRPr="007C1AFE" w:rsidRDefault="0091418E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18.6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DPI Regional Trends</w:t>
      </w:r>
    </w:p>
    <w:p w:rsidR="0091418E" w:rsidRPr="007C1AFE" w:rsidRDefault="0091418E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19.1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Ireland Wind Capacity Projections</w:t>
      </w:r>
    </w:p>
    <w:p w:rsidR="0091418E" w:rsidRPr="007C1AFE" w:rsidRDefault="0091418E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bidi="ar-SA"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19.2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  <w:t>Serbia Electricity Consumption</w:t>
      </w:r>
    </w:p>
    <w:p w:rsidR="0091418E" w:rsidRPr="007C1AFE" w:rsidRDefault="0091418E" w:rsidP="00EA2293">
      <w:pPr>
        <w:spacing w:after="0" w:line="360" w:lineRule="auto"/>
        <w:jc w:val="both"/>
        <w:rPr>
          <w:rStyle w:val="1"/>
          <w:rFonts w:asciiTheme="majorBidi" w:hAnsiTheme="majorBidi" w:cstheme="majorBidi"/>
          <w:iCs/>
        </w:rPr>
      </w:pPr>
      <w:r w:rsidRPr="007C1AFE">
        <w:rPr>
          <w:rFonts w:asciiTheme="majorBidi" w:eastAsia="Times New Roman" w:hAnsiTheme="majorBidi" w:cstheme="majorBidi"/>
          <w:iCs/>
          <w:lang w:bidi="ar-SA"/>
        </w:rPr>
        <w:t>Fig 19.3</w:t>
      </w:r>
      <w:r w:rsidRPr="007C1AFE">
        <w:rPr>
          <w:rFonts w:asciiTheme="majorBidi" w:eastAsia="Times New Roman" w:hAnsiTheme="majorBidi" w:cstheme="majorBidi"/>
          <w:iCs/>
          <w:lang w:bidi="ar-SA"/>
        </w:rPr>
        <w:tab/>
      </w:r>
      <w:r w:rsidRPr="007C1AFE">
        <w:rPr>
          <w:rStyle w:val="1"/>
          <w:rFonts w:asciiTheme="majorBidi" w:hAnsiTheme="majorBidi" w:cstheme="majorBidi"/>
          <w:iCs/>
        </w:rPr>
        <w:t>Company D’s Hungary Projections</w:t>
      </w:r>
    </w:p>
    <w:p w:rsidR="0091418E" w:rsidRPr="007C1AFE" w:rsidRDefault="0091418E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  <w:r w:rsidRPr="007C1AFE">
        <w:rPr>
          <w:rStyle w:val="1"/>
          <w:rFonts w:asciiTheme="majorBidi" w:hAnsiTheme="majorBidi" w:cstheme="majorBidi"/>
          <w:iCs/>
        </w:rPr>
        <w:t>Fig 19.4</w:t>
      </w:r>
      <w:r w:rsidRPr="007C1AFE">
        <w:rPr>
          <w:rStyle w:val="1"/>
          <w:rFonts w:asciiTheme="majorBidi" w:hAnsiTheme="majorBidi" w:cstheme="majorBidi"/>
          <w:iCs/>
        </w:rPr>
        <w:tab/>
        <w:t>Company D Project Breakdown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</w:p>
    <w:p w:rsidR="009602FD" w:rsidRPr="007C1AFE" w:rsidRDefault="009602FD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color w:val="000000"/>
        </w:rPr>
      </w:pPr>
    </w:p>
    <w:p w:rsidR="009602FD" w:rsidRPr="007C1AFE" w:rsidRDefault="009602FD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color w:val="000000"/>
        </w:rPr>
      </w:pPr>
      <w:r w:rsidRPr="007C1AFE">
        <w:rPr>
          <w:rFonts w:asciiTheme="majorBidi" w:eastAsia="Times New Roman" w:hAnsiTheme="majorBidi" w:cstheme="majorBidi"/>
          <w:color w:val="000000"/>
        </w:rPr>
        <w:t xml:space="preserve">Table </w:t>
      </w:r>
      <w:r w:rsidRPr="007C1AFE">
        <w:rPr>
          <w:rFonts w:asciiTheme="majorBidi" w:eastAsia="Times New Roman" w:hAnsiTheme="majorBidi" w:cstheme="majorBidi"/>
          <w:color w:val="000000"/>
        </w:rPr>
        <w:t>4.</w:t>
      </w:r>
      <w:r w:rsidRPr="007C1AFE">
        <w:rPr>
          <w:rFonts w:asciiTheme="majorBidi" w:eastAsia="Times New Roman" w:hAnsiTheme="majorBidi" w:cstheme="majorBidi"/>
          <w:color w:val="000000"/>
        </w:rPr>
        <w:t>1</w:t>
      </w:r>
      <w:r w:rsidRPr="007C1AFE">
        <w:rPr>
          <w:rFonts w:asciiTheme="majorBidi" w:eastAsia="Times New Roman" w:hAnsiTheme="majorBidi" w:cstheme="majorBidi"/>
          <w:color w:val="000000"/>
        </w:rPr>
        <w:tab/>
      </w:r>
      <w:r w:rsidRPr="007C1AFE">
        <w:rPr>
          <w:rFonts w:asciiTheme="majorBidi" w:eastAsia="Times New Roman" w:hAnsiTheme="majorBidi" w:cstheme="majorBidi"/>
          <w:color w:val="000000"/>
        </w:rPr>
        <w:t>Comparative Market Sector Analysis of Competing Applications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eastAsia="Times New Roman" w:hAnsiTheme="majorBidi" w:cstheme="majorBidi"/>
          <w:iCs/>
          <w:lang w:val="en-GB"/>
        </w:rPr>
      </w:pPr>
      <w:r w:rsidRPr="007C1AFE">
        <w:rPr>
          <w:rFonts w:asciiTheme="majorBidi" w:eastAsia="Times New Roman" w:hAnsiTheme="majorBidi" w:cstheme="majorBidi"/>
          <w:color w:val="000000"/>
        </w:rPr>
        <w:t>Table 5.1</w:t>
      </w:r>
      <w:r w:rsidRPr="007C1AFE">
        <w:rPr>
          <w:rFonts w:asciiTheme="majorBidi" w:eastAsia="Times New Roman" w:hAnsiTheme="majorBidi" w:cstheme="majorBidi"/>
          <w:color w:val="000000"/>
        </w:rPr>
        <w:tab/>
      </w:r>
      <w:r w:rsidRPr="007C1AFE">
        <w:rPr>
          <w:rFonts w:asciiTheme="majorBidi" w:eastAsia="Times New Roman" w:hAnsiTheme="majorBidi" w:cstheme="majorBidi"/>
          <w:iCs/>
          <w:lang w:val="en-GB"/>
        </w:rPr>
        <w:t>New Stem Cell Technologies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eastAsia="Times New Roman" w:hAnsiTheme="majorBidi" w:cstheme="majorBidi"/>
          <w:iCs/>
          <w:lang w:val="en-GB"/>
        </w:rPr>
        <w:t>Table 5.2</w:t>
      </w:r>
      <w:r w:rsidRPr="007C1AFE">
        <w:rPr>
          <w:rFonts w:asciiTheme="majorBidi" w:eastAsia="Times New Roman" w:hAnsiTheme="majorBidi" w:cstheme="majorBidi"/>
          <w:iCs/>
          <w:lang w:val="en-GB"/>
        </w:rPr>
        <w:tab/>
      </w:r>
      <w:r w:rsidRPr="007C1AFE">
        <w:rPr>
          <w:rFonts w:asciiTheme="majorBidi" w:hAnsiTheme="majorBidi" w:cstheme="majorBidi"/>
        </w:rPr>
        <w:t>Valuation Parameters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5.3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  <w:highlight w:val="yellow"/>
        </w:rPr>
        <w:t>[Blue table/box following Table 5.2]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5.4</w:t>
      </w:r>
      <w:r w:rsidRPr="007C1AFE">
        <w:rPr>
          <w:rFonts w:asciiTheme="majorBidi" w:hAnsiTheme="majorBidi" w:cstheme="majorBidi"/>
        </w:rPr>
        <w:tab/>
        <w:t>ROV Valuation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5.5</w:t>
      </w:r>
      <w:r w:rsidRPr="007C1AFE">
        <w:rPr>
          <w:rFonts w:asciiTheme="majorBidi" w:hAnsiTheme="majorBidi" w:cstheme="majorBidi"/>
        </w:rPr>
        <w:tab/>
        <w:t>Pre-patent Expiration Scenarios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5.6</w:t>
      </w:r>
      <w:r w:rsidRPr="007C1AFE">
        <w:rPr>
          <w:rFonts w:asciiTheme="majorBidi" w:hAnsiTheme="majorBidi" w:cstheme="majorBidi"/>
        </w:rPr>
        <w:tab/>
        <w:t>NPV Valuation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5.7</w:t>
      </w:r>
      <w:r w:rsidRPr="007C1AFE">
        <w:rPr>
          <w:rFonts w:asciiTheme="majorBidi" w:hAnsiTheme="majorBidi" w:cstheme="majorBidi"/>
        </w:rPr>
        <w:tab/>
        <w:t>Comprehensive Evaluation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8.1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</w:rPr>
        <w:t xml:space="preserve">Recognized Psychology and Behavioral Biases that Can Affect Financial Decisions 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</w:rPr>
        <w:t>and Valuations</w:t>
      </w:r>
    </w:p>
    <w:p w:rsidR="009602FD" w:rsidRPr="007C1AFE" w:rsidRDefault="009602FD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11.1</w:t>
      </w:r>
      <w:r w:rsidRPr="007C1AFE">
        <w:rPr>
          <w:rFonts w:asciiTheme="majorBidi" w:hAnsiTheme="majorBidi" w:cstheme="majorBidi"/>
        </w:rPr>
        <w:tab/>
        <w:t>Success Rates of Solar and Wind Energy Projects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11.2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  <w:highlight w:val="yellow"/>
        </w:rPr>
        <w:t>[No title – Valuation of Technology?]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lastRenderedPageBreak/>
        <w:t>Table 12.1</w:t>
      </w:r>
      <w:r w:rsidRPr="007C1AFE">
        <w:rPr>
          <w:rFonts w:asciiTheme="majorBidi" w:hAnsiTheme="majorBidi" w:cstheme="majorBidi"/>
        </w:rPr>
        <w:tab/>
        <w:t>Ride-sharing Sales</w:t>
      </w:r>
    </w:p>
    <w:p w:rsidR="004423E9" w:rsidRPr="007C1AFE" w:rsidRDefault="004423E9" w:rsidP="00EA2293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14.1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  <w:highlight w:val="yellow"/>
        </w:rPr>
        <w:t>[No title – Network Security Market]</w:t>
      </w:r>
    </w:p>
    <w:p w:rsidR="004423E9" w:rsidRPr="007C1AFE" w:rsidRDefault="004423E9" w:rsidP="004423E9">
      <w:pPr>
        <w:spacing w:after="0" w:line="360" w:lineRule="auto"/>
        <w:jc w:val="both"/>
        <w:rPr>
          <w:rFonts w:asciiTheme="majorBidi" w:hAnsiTheme="majorBidi" w:cstheme="majorBidi"/>
          <w:color w:val="000000"/>
          <w:lang w:val="en-GB"/>
        </w:rPr>
      </w:pPr>
      <w:r w:rsidRPr="007C1AFE">
        <w:rPr>
          <w:rFonts w:asciiTheme="majorBidi" w:hAnsiTheme="majorBidi" w:cstheme="majorBidi"/>
        </w:rPr>
        <w:t>Table 14.2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  <w:color w:val="000000"/>
          <w:lang w:val="en-GB"/>
        </w:rPr>
        <w:t>Four Major Drivers Affecting the Adoption of Network Security Measures</w:t>
      </w:r>
    </w:p>
    <w:p w:rsidR="004423E9" w:rsidRPr="007C1AFE" w:rsidRDefault="004423E9" w:rsidP="004423E9">
      <w:pPr>
        <w:spacing w:after="0" w:line="360" w:lineRule="auto"/>
        <w:jc w:val="both"/>
        <w:rPr>
          <w:rFonts w:asciiTheme="majorBidi" w:hAnsiTheme="majorBidi" w:cstheme="majorBidi"/>
          <w:color w:val="000000"/>
          <w:lang w:val="en-GB"/>
        </w:rPr>
      </w:pPr>
      <w:r w:rsidRPr="007C1AFE">
        <w:rPr>
          <w:rFonts w:asciiTheme="majorBidi" w:hAnsiTheme="majorBidi" w:cstheme="majorBidi"/>
          <w:color w:val="000000"/>
          <w:lang w:val="en-GB"/>
        </w:rPr>
        <w:t>Table 14.3</w:t>
      </w:r>
      <w:r w:rsidRPr="007C1AFE">
        <w:rPr>
          <w:rFonts w:asciiTheme="majorBidi" w:hAnsiTheme="majorBidi" w:cstheme="majorBidi"/>
          <w:color w:val="000000"/>
          <w:lang w:val="en-GB"/>
        </w:rPr>
        <w:tab/>
      </w:r>
      <w:r w:rsidRPr="007C1AFE">
        <w:rPr>
          <w:rFonts w:asciiTheme="majorBidi" w:hAnsiTheme="majorBidi" w:cstheme="majorBidi"/>
          <w:color w:val="000000"/>
          <w:lang w:val="en-GB"/>
        </w:rPr>
        <w:t>Major Constraints Affecting the Adoption of Network Security</w:t>
      </w:r>
    </w:p>
    <w:p w:rsidR="004423E9" w:rsidRPr="007C1AFE" w:rsidRDefault="004423E9" w:rsidP="004423E9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  <w:color w:val="000000"/>
          <w:lang w:val="en-GB"/>
        </w:rPr>
        <w:t>Table 16.1</w:t>
      </w:r>
      <w:r w:rsidRPr="007C1AFE">
        <w:rPr>
          <w:rFonts w:asciiTheme="majorBidi" w:hAnsiTheme="majorBidi" w:cstheme="majorBidi"/>
          <w:color w:val="000000"/>
          <w:lang w:val="en-GB"/>
        </w:rPr>
        <w:tab/>
      </w:r>
      <w:r w:rsidRPr="007C1AFE">
        <w:rPr>
          <w:rFonts w:asciiTheme="majorBidi" w:hAnsiTheme="majorBidi" w:cstheme="majorBidi"/>
        </w:rPr>
        <w:t>Company A’s R&amp;D and Clinical Testing Status</w:t>
      </w:r>
    </w:p>
    <w:p w:rsidR="004423E9" w:rsidRPr="007C1AFE" w:rsidRDefault="004423E9" w:rsidP="004423E9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16.2</w:t>
      </w:r>
      <w:r w:rsidRPr="007C1AFE">
        <w:rPr>
          <w:rFonts w:asciiTheme="majorBidi" w:hAnsiTheme="majorBidi" w:cstheme="majorBidi"/>
        </w:rPr>
        <w:tab/>
        <w:t>Potential Direct Competitors for Company A’s Products</w:t>
      </w:r>
    </w:p>
    <w:p w:rsidR="004423E9" w:rsidRPr="007C1AFE" w:rsidRDefault="004423E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16.3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</w:rPr>
        <w:t>Company A’s Clinical Applications</w:t>
      </w:r>
    </w:p>
    <w:p w:rsidR="004423E9" w:rsidRPr="007C1AFE" w:rsidRDefault="004423E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16.4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hAnsiTheme="majorBidi" w:cstheme="majorBidi"/>
        </w:rPr>
        <w:t>Main Valuation Parameters for Conditions I and II</w:t>
      </w:r>
    </w:p>
    <w:p w:rsidR="004423E9" w:rsidRPr="007C1AFE" w:rsidRDefault="004423E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16.5</w:t>
      </w:r>
      <w:r w:rsidRPr="007C1AFE">
        <w:rPr>
          <w:rFonts w:asciiTheme="majorBidi" w:hAnsiTheme="majorBidi" w:cstheme="majorBidi"/>
        </w:rPr>
        <w:tab/>
        <w:t>Company A Pipeline Analysis</w:t>
      </w:r>
    </w:p>
    <w:p w:rsidR="004423E9" w:rsidRPr="007C1AFE" w:rsidRDefault="004423E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16.6</w:t>
      </w:r>
      <w:r w:rsidR="000007D9" w:rsidRPr="007C1AFE">
        <w:rPr>
          <w:rFonts w:asciiTheme="majorBidi" w:hAnsiTheme="majorBidi" w:cstheme="majorBidi"/>
        </w:rPr>
        <w:tab/>
      </w:r>
      <w:r w:rsidR="000007D9" w:rsidRPr="007C1AFE">
        <w:rPr>
          <w:rFonts w:asciiTheme="majorBidi" w:hAnsiTheme="majorBidi" w:cstheme="majorBidi"/>
        </w:rPr>
        <w:t>Primary Valuation Parameters of Company A’s Technological Platform</w:t>
      </w:r>
    </w:p>
    <w:p w:rsidR="000007D9" w:rsidRPr="007C1AFE" w:rsidRDefault="000007D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16.7</w:t>
      </w:r>
      <w:r w:rsidRPr="007C1AFE">
        <w:rPr>
          <w:rFonts w:asciiTheme="majorBidi" w:hAnsiTheme="majorBidi" w:cstheme="majorBidi"/>
        </w:rPr>
        <w:tab/>
        <w:t>Company A Pipeline Analysis</w:t>
      </w:r>
    </w:p>
    <w:p w:rsidR="000007D9" w:rsidRPr="007C1AFE" w:rsidRDefault="000007D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16.8</w:t>
      </w:r>
      <w:r w:rsidRPr="007C1AFE">
        <w:rPr>
          <w:rFonts w:asciiTheme="majorBidi" w:hAnsiTheme="majorBidi" w:cstheme="majorBidi"/>
        </w:rPr>
        <w:tab/>
        <w:t>Company A Sensitivity Analysis</w:t>
      </w:r>
    </w:p>
    <w:p w:rsidR="000007D9" w:rsidRPr="007C1AFE" w:rsidRDefault="000007D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16.9</w:t>
      </w:r>
      <w:r w:rsidRPr="007C1AFE">
        <w:rPr>
          <w:rFonts w:asciiTheme="majorBidi" w:hAnsiTheme="majorBidi" w:cstheme="majorBidi"/>
        </w:rPr>
        <w:tab/>
        <w:t>Company A Forecasts</w:t>
      </w:r>
    </w:p>
    <w:p w:rsidR="000007D9" w:rsidRPr="007C1AFE" w:rsidRDefault="000007D9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16.10</w:t>
      </w:r>
      <w:r w:rsidRPr="007C1AFE">
        <w:rPr>
          <w:rFonts w:asciiTheme="majorBidi" w:hAnsiTheme="majorBidi" w:cstheme="majorBidi"/>
        </w:rPr>
        <w:tab/>
        <w:t>Company A CAPM Model</w:t>
      </w:r>
    </w:p>
    <w:p w:rsidR="008829FB" w:rsidRPr="007C1AFE" w:rsidRDefault="008829FB" w:rsidP="004423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lang w:bidi="ar-SA"/>
        </w:rPr>
      </w:pPr>
      <w:r w:rsidRPr="007C1AFE">
        <w:rPr>
          <w:rFonts w:asciiTheme="majorBidi" w:hAnsiTheme="majorBidi" w:cstheme="majorBidi"/>
        </w:rPr>
        <w:t>Table 17.1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eastAsia="Times New Roman" w:hAnsiTheme="majorBidi" w:cstheme="majorBidi"/>
          <w:lang w:bidi="ar-SA"/>
        </w:rPr>
        <w:t>Key Competitors of Company B: A Comparative Analysis</w:t>
      </w:r>
    </w:p>
    <w:p w:rsidR="008829FB" w:rsidRPr="007C1AFE" w:rsidRDefault="008829FB" w:rsidP="008829FB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eastAsia="Times New Roman" w:hAnsiTheme="majorBidi" w:cstheme="majorBidi"/>
          <w:lang w:bidi="ar-SA"/>
        </w:rPr>
        <w:t>Table 17.2</w:t>
      </w:r>
      <w:r w:rsidRPr="007C1AFE">
        <w:rPr>
          <w:rFonts w:asciiTheme="majorBidi" w:eastAsia="Times New Roman" w:hAnsiTheme="majorBidi" w:cstheme="majorBidi"/>
          <w:lang w:bidi="ar-SA"/>
        </w:rPr>
        <w:tab/>
      </w:r>
      <w:r w:rsidRPr="007C1AFE">
        <w:rPr>
          <w:rFonts w:asciiTheme="majorBidi" w:hAnsiTheme="majorBidi" w:cstheme="majorBidi"/>
        </w:rPr>
        <w:t>Primary</w:t>
      </w:r>
      <w:r w:rsidRPr="007C1AFE">
        <w:rPr>
          <w:rFonts w:asciiTheme="majorBidi" w:hAnsiTheme="majorBidi" w:cstheme="majorBidi"/>
        </w:rPr>
        <w:t xml:space="preserve"> Valuation Parameters of Company B’s Technological Platform</w:t>
      </w:r>
    </w:p>
    <w:p w:rsidR="008829FB" w:rsidRPr="007C1AFE" w:rsidRDefault="008829FB" w:rsidP="008829FB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17.3</w:t>
      </w:r>
      <w:r w:rsidRPr="007C1AFE">
        <w:rPr>
          <w:rFonts w:asciiTheme="majorBidi" w:hAnsiTheme="majorBidi" w:cstheme="majorBidi"/>
        </w:rPr>
        <w:tab/>
        <w:t>Company B Valuation Elements</w:t>
      </w:r>
    </w:p>
    <w:p w:rsidR="008829FB" w:rsidRPr="007C1AFE" w:rsidRDefault="008829FB" w:rsidP="008829FB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17.4</w:t>
      </w:r>
      <w:r w:rsidRPr="007C1AFE">
        <w:rPr>
          <w:rFonts w:asciiTheme="majorBidi" w:hAnsiTheme="majorBidi" w:cstheme="majorBidi"/>
        </w:rPr>
        <w:tab/>
        <w:t>Company B Sensitivity Analysis</w:t>
      </w:r>
    </w:p>
    <w:p w:rsidR="008829FB" w:rsidRPr="007C1AFE" w:rsidRDefault="008829FB" w:rsidP="008829FB">
      <w:pPr>
        <w:spacing w:after="0" w:line="360" w:lineRule="auto"/>
        <w:jc w:val="both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17.5</w:t>
      </w:r>
      <w:r w:rsidRPr="007C1AFE">
        <w:rPr>
          <w:rFonts w:asciiTheme="majorBidi" w:hAnsiTheme="majorBidi" w:cstheme="majorBidi"/>
        </w:rPr>
        <w:tab/>
        <w:t>Company B’s CAPM Model</w:t>
      </w:r>
    </w:p>
    <w:p w:rsidR="008829FB" w:rsidRPr="007C1AFE" w:rsidRDefault="008829FB" w:rsidP="008829FB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7C1AFE">
        <w:rPr>
          <w:rFonts w:asciiTheme="majorBidi" w:hAnsiTheme="majorBidi" w:cstheme="majorBidi"/>
        </w:rPr>
        <w:t>Table 17.6</w:t>
      </w:r>
      <w:r w:rsidRPr="007C1AFE">
        <w:rPr>
          <w:rFonts w:asciiTheme="majorBidi" w:hAnsiTheme="majorBidi" w:cstheme="majorBidi"/>
        </w:rPr>
        <w:tab/>
      </w:r>
      <w:r w:rsidRPr="007C1AFE">
        <w:rPr>
          <w:rFonts w:asciiTheme="majorBidi" w:eastAsia="Times New Roman" w:hAnsiTheme="majorBidi" w:cstheme="majorBidi"/>
        </w:rPr>
        <w:t>Company B’s Competitors’ Capital Rounds and Recent M&amp;As</w:t>
      </w:r>
    </w:p>
    <w:p w:rsidR="0091418E" w:rsidRPr="007C1AFE" w:rsidRDefault="0091418E" w:rsidP="008829FB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7C1AFE">
        <w:rPr>
          <w:rFonts w:asciiTheme="majorBidi" w:eastAsia="Times New Roman" w:hAnsiTheme="majorBidi" w:cstheme="majorBidi"/>
        </w:rPr>
        <w:t>Table 18.1</w:t>
      </w:r>
      <w:r w:rsidRPr="007C1AFE">
        <w:rPr>
          <w:rFonts w:asciiTheme="majorBidi" w:eastAsia="Times New Roman" w:hAnsiTheme="majorBidi" w:cstheme="majorBidi"/>
        </w:rPr>
        <w:tab/>
        <w:t>DPI Market Segmentation</w:t>
      </w:r>
    </w:p>
    <w:p w:rsidR="0091418E" w:rsidRPr="007C1AFE" w:rsidRDefault="0091418E" w:rsidP="008829FB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7C1AFE">
        <w:rPr>
          <w:rFonts w:asciiTheme="majorBidi" w:eastAsia="Times New Roman" w:hAnsiTheme="majorBidi" w:cstheme="majorBidi"/>
        </w:rPr>
        <w:t>Table 18.2</w:t>
      </w:r>
      <w:r w:rsidRPr="007C1AFE">
        <w:rPr>
          <w:rFonts w:asciiTheme="majorBidi" w:eastAsia="Times New Roman" w:hAnsiTheme="majorBidi" w:cstheme="majorBidi"/>
        </w:rPr>
        <w:tab/>
        <w:t>Major Drivers Impacting Adoption of DPI</w:t>
      </w:r>
    </w:p>
    <w:p w:rsidR="0091418E" w:rsidRPr="007C1AFE" w:rsidRDefault="0091418E" w:rsidP="0091418E">
      <w:pPr>
        <w:spacing w:after="0" w:line="360" w:lineRule="auto"/>
        <w:jc w:val="both"/>
        <w:rPr>
          <w:rFonts w:asciiTheme="majorBidi" w:hAnsiTheme="majorBidi" w:cstheme="majorBidi"/>
          <w:iCs/>
        </w:rPr>
      </w:pPr>
      <w:r w:rsidRPr="007C1AFE">
        <w:rPr>
          <w:rFonts w:asciiTheme="majorBidi" w:eastAsia="Times New Roman" w:hAnsiTheme="majorBidi" w:cstheme="majorBidi"/>
        </w:rPr>
        <w:t>Table 18.3</w:t>
      </w:r>
      <w:r w:rsidRPr="007C1AFE">
        <w:rPr>
          <w:rFonts w:asciiTheme="majorBidi" w:eastAsia="Times New Roman" w:hAnsiTheme="majorBidi" w:cstheme="majorBidi"/>
        </w:rPr>
        <w:tab/>
      </w:r>
      <w:r w:rsidRPr="007C1AFE">
        <w:rPr>
          <w:rFonts w:asciiTheme="majorBidi" w:hAnsiTheme="majorBidi" w:cstheme="majorBidi"/>
          <w:iCs/>
        </w:rPr>
        <w:t>Major Constraints Impacting Adoption of DPI</w:t>
      </w:r>
    </w:p>
    <w:p w:rsidR="0091418E" w:rsidRPr="007C1AFE" w:rsidRDefault="0091418E" w:rsidP="0091418E">
      <w:pPr>
        <w:spacing w:after="0" w:line="360" w:lineRule="auto"/>
        <w:jc w:val="both"/>
        <w:rPr>
          <w:rFonts w:asciiTheme="majorBidi" w:hAnsiTheme="majorBidi" w:cstheme="majorBidi"/>
          <w:iCs/>
        </w:rPr>
      </w:pPr>
      <w:r w:rsidRPr="007C1AFE">
        <w:rPr>
          <w:rFonts w:asciiTheme="majorBidi" w:hAnsiTheme="majorBidi" w:cstheme="majorBidi"/>
          <w:iCs/>
        </w:rPr>
        <w:t>Table 18.4</w:t>
      </w:r>
      <w:r w:rsidRPr="007C1AFE">
        <w:rPr>
          <w:rFonts w:asciiTheme="majorBidi" w:hAnsiTheme="majorBidi" w:cstheme="majorBidi"/>
          <w:iCs/>
        </w:rPr>
        <w:tab/>
        <w:t>Company C Five-Year Forecast</w:t>
      </w:r>
    </w:p>
    <w:p w:rsidR="0091418E" w:rsidRPr="007C1AFE" w:rsidRDefault="0091418E" w:rsidP="0091418E">
      <w:pPr>
        <w:spacing w:after="0" w:line="360" w:lineRule="auto"/>
        <w:jc w:val="both"/>
        <w:rPr>
          <w:rFonts w:asciiTheme="majorBidi" w:hAnsiTheme="majorBidi" w:cstheme="majorBidi"/>
          <w:iCs/>
        </w:rPr>
      </w:pPr>
      <w:r w:rsidRPr="007C1AFE">
        <w:rPr>
          <w:rFonts w:asciiTheme="majorBidi" w:hAnsiTheme="majorBidi" w:cstheme="majorBidi"/>
          <w:iCs/>
        </w:rPr>
        <w:t>Table 19.1</w:t>
      </w:r>
      <w:r w:rsidRPr="007C1AFE">
        <w:rPr>
          <w:rFonts w:asciiTheme="majorBidi" w:hAnsiTheme="majorBidi" w:cstheme="majorBidi"/>
          <w:iCs/>
        </w:rPr>
        <w:tab/>
      </w:r>
      <w:r w:rsidRPr="007C1AFE">
        <w:rPr>
          <w:rFonts w:asciiTheme="majorBidi" w:hAnsiTheme="majorBidi" w:cstheme="majorBidi"/>
          <w:iCs/>
        </w:rPr>
        <w:t>Hungary Renewable Electricity Capacity</w:t>
      </w:r>
    </w:p>
    <w:p w:rsidR="0091418E" w:rsidRPr="007C1AFE" w:rsidRDefault="0091418E" w:rsidP="0091418E">
      <w:pPr>
        <w:spacing w:after="0" w:line="360" w:lineRule="auto"/>
        <w:rPr>
          <w:rStyle w:val="1"/>
          <w:rFonts w:asciiTheme="majorBidi" w:hAnsiTheme="majorBidi" w:cstheme="majorBidi"/>
        </w:rPr>
      </w:pPr>
      <w:r w:rsidRPr="007C1AFE">
        <w:rPr>
          <w:rFonts w:asciiTheme="majorBidi" w:hAnsiTheme="majorBidi" w:cstheme="majorBidi"/>
          <w:iCs/>
        </w:rPr>
        <w:t>Table 19.2</w:t>
      </w:r>
      <w:r w:rsidRPr="007C1AFE">
        <w:rPr>
          <w:rFonts w:asciiTheme="majorBidi" w:hAnsiTheme="majorBidi" w:cstheme="majorBidi"/>
          <w:iCs/>
        </w:rPr>
        <w:tab/>
      </w:r>
      <w:r w:rsidRPr="007C1AFE">
        <w:rPr>
          <w:rStyle w:val="1"/>
          <w:rFonts w:asciiTheme="majorBidi" w:hAnsiTheme="majorBidi" w:cstheme="majorBidi"/>
        </w:rPr>
        <w:t>Company D’s Israeli and Irish Holdings</w:t>
      </w:r>
    </w:p>
    <w:p w:rsidR="0091418E" w:rsidRPr="007C1AFE" w:rsidRDefault="0091418E" w:rsidP="0091418E">
      <w:pPr>
        <w:spacing w:after="0" w:line="360" w:lineRule="auto"/>
        <w:rPr>
          <w:rStyle w:val="1"/>
          <w:rFonts w:asciiTheme="majorBidi" w:hAnsiTheme="majorBidi" w:cstheme="majorBidi"/>
        </w:rPr>
      </w:pPr>
      <w:r w:rsidRPr="007C1AFE">
        <w:rPr>
          <w:rStyle w:val="1"/>
          <w:rFonts w:asciiTheme="majorBidi" w:hAnsiTheme="majorBidi" w:cstheme="majorBidi"/>
        </w:rPr>
        <w:t>Table 19.3</w:t>
      </w:r>
      <w:r w:rsidRPr="007C1AFE">
        <w:rPr>
          <w:rStyle w:val="1"/>
          <w:rFonts w:asciiTheme="majorBidi" w:hAnsiTheme="majorBidi" w:cstheme="majorBidi"/>
        </w:rPr>
        <w:tab/>
        <w:t>Company D Project Breakdown</w:t>
      </w:r>
    </w:p>
    <w:p w:rsidR="0091418E" w:rsidRPr="007C1AFE" w:rsidRDefault="0091418E" w:rsidP="0091418E">
      <w:pPr>
        <w:spacing w:after="0" w:line="360" w:lineRule="auto"/>
        <w:rPr>
          <w:rStyle w:val="1"/>
          <w:rFonts w:asciiTheme="majorBidi" w:hAnsiTheme="majorBidi" w:cstheme="majorBidi"/>
        </w:rPr>
      </w:pPr>
      <w:r w:rsidRPr="007C1AFE">
        <w:rPr>
          <w:rStyle w:val="1"/>
          <w:rFonts w:asciiTheme="majorBidi" w:hAnsiTheme="majorBidi" w:cstheme="majorBidi"/>
        </w:rPr>
        <w:t>Table 19.4</w:t>
      </w:r>
      <w:r w:rsidRPr="007C1AFE">
        <w:rPr>
          <w:rStyle w:val="1"/>
          <w:rFonts w:asciiTheme="majorBidi" w:hAnsiTheme="majorBidi" w:cstheme="majorBidi"/>
        </w:rPr>
        <w:tab/>
      </w:r>
      <w:r w:rsidRPr="007C1AFE">
        <w:rPr>
          <w:rStyle w:val="1"/>
          <w:rFonts w:asciiTheme="majorBidi" w:hAnsiTheme="majorBidi" w:cstheme="majorBidi"/>
        </w:rPr>
        <w:t>Company D’s Project Variables</w:t>
      </w:r>
    </w:p>
    <w:p w:rsidR="00EA2293" w:rsidRPr="007C1AFE" w:rsidRDefault="0091418E" w:rsidP="00EA2293">
      <w:pPr>
        <w:spacing w:after="0" w:line="360" w:lineRule="auto"/>
        <w:rPr>
          <w:rStyle w:val="1"/>
          <w:rFonts w:asciiTheme="majorBidi" w:hAnsiTheme="majorBidi" w:cstheme="majorBidi"/>
        </w:rPr>
      </w:pPr>
      <w:r w:rsidRPr="007C1AFE">
        <w:rPr>
          <w:rStyle w:val="1"/>
          <w:rFonts w:asciiTheme="majorBidi" w:hAnsiTheme="majorBidi" w:cstheme="majorBidi"/>
        </w:rPr>
        <w:t>Table 19.5</w:t>
      </w:r>
      <w:r w:rsidRPr="007C1AFE">
        <w:rPr>
          <w:rStyle w:val="1"/>
          <w:rFonts w:asciiTheme="majorBidi" w:hAnsiTheme="majorBidi" w:cstheme="majorBidi"/>
        </w:rPr>
        <w:tab/>
      </w:r>
      <w:r w:rsidR="00EA2293" w:rsidRPr="007C1AFE">
        <w:rPr>
          <w:rStyle w:val="1"/>
          <w:rFonts w:asciiTheme="majorBidi" w:hAnsiTheme="majorBidi" w:cstheme="majorBidi"/>
        </w:rPr>
        <w:t>Company D’s Pipeline Values</w:t>
      </w:r>
    </w:p>
    <w:p w:rsidR="00EA2293" w:rsidRPr="007C1AFE" w:rsidRDefault="0091418E" w:rsidP="00EA2293">
      <w:pPr>
        <w:spacing w:after="0" w:line="360" w:lineRule="auto"/>
        <w:rPr>
          <w:rFonts w:asciiTheme="majorBidi" w:hAnsiTheme="majorBidi" w:cstheme="majorBidi"/>
        </w:rPr>
      </w:pPr>
      <w:r w:rsidRPr="007C1AFE">
        <w:rPr>
          <w:rFonts w:asciiTheme="majorBidi" w:hAnsiTheme="majorBidi" w:cstheme="majorBidi"/>
        </w:rPr>
        <w:t>Table 19.6</w:t>
      </w:r>
      <w:r w:rsidRPr="007C1AFE">
        <w:rPr>
          <w:rFonts w:asciiTheme="majorBidi" w:hAnsiTheme="majorBidi" w:cstheme="majorBidi"/>
        </w:rPr>
        <w:tab/>
      </w:r>
      <w:r w:rsidR="00EA2293" w:rsidRPr="007C1AFE">
        <w:rPr>
          <w:rFonts w:asciiTheme="majorBidi" w:hAnsiTheme="majorBidi" w:cstheme="majorBidi"/>
        </w:rPr>
        <w:t>Company D Equity Breakdown</w:t>
      </w:r>
    </w:p>
    <w:p w:rsidR="00D7310F" w:rsidRPr="007C1AFE" w:rsidRDefault="00EA2293" w:rsidP="0091418E">
      <w:pPr>
        <w:spacing w:after="0" w:line="360" w:lineRule="auto"/>
      </w:pPr>
      <w:r w:rsidRPr="007C1AFE">
        <w:rPr>
          <w:rFonts w:asciiTheme="majorBidi" w:hAnsiTheme="majorBidi" w:cstheme="majorBidi"/>
        </w:rPr>
        <w:t xml:space="preserve">Table </w:t>
      </w:r>
      <w:r w:rsidR="0091418E" w:rsidRPr="007C1AFE">
        <w:rPr>
          <w:rFonts w:asciiTheme="majorBidi" w:hAnsiTheme="majorBidi" w:cstheme="majorBidi"/>
        </w:rPr>
        <w:t>19.7</w:t>
      </w:r>
      <w:r w:rsidR="0091418E" w:rsidRPr="007C1AFE">
        <w:rPr>
          <w:rFonts w:asciiTheme="majorBidi" w:hAnsiTheme="majorBidi" w:cstheme="majorBidi"/>
        </w:rPr>
        <w:tab/>
      </w:r>
      <w:bookmarkStart w:id="0" w:name="_GoBack"/>
      <w:bookmarkEnd w:id="0"/>
      <w:r w:rsidRPr="007C1AFE">
        <w:rPr>
          <w:rFonts w:asciiTheme="majorBidi" w:hAnsiTheme="majorBidi" w:cstheme="majorBidi"/>
        </w:rPr>
        <w:t>Company D Sensitivity Analysis</w:t>
      </w:r>
    </w:p>
    <w:sectPr w:rsidR="00D7310F" w:rsidRPr="007C1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93"/>
    <w:rsid w:val="000007D9"/>
    <w:rsid w:val="004423E9"/>
    <w:rsid w:val="007C1AFE"/>
    <w:rsid w:val="008829FB"/>
    <w:rsid w:val="0091418E"/>
    <w:rsid w:val="009602FD"/>
    <w:rsid w:val="00D7310F"/>
    <w:rsid w:val="00EA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2C8F"/>
  <w15:chartTrackingRefBased/>
  <w15:docId w15:val="{1049C945-4E39-47D1-A74A-00BC99A7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93"/>
    <w:rPr>
      <w:lang w:val="en-US" w:bidi="he-IL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2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2293"/>
    <w:rPr>
      <w:rFonts w:ascii="Arial" w:hAnsi="Arial" w:cs="Arial"/>
      <w:b/>
      <w:bCs/>
      <w:sz w:val="26"/>
      <w:szCs w:val="26"/>
      <w:lang w:val="en-US" w:bidi="he-IL"/>
    </w:rPr>
  </w:style>
  <w:style w:type="paragraph" w:styleId="NormalWeb">
    <w:name w:val="Normal (Web)"/>
    <w:basedOn w:val="Normal"/>
    <w:uiPriority w:val="99"/>
    <w:unhideWhenUsed/>
    <w:rsid w:val="00EA2293"/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"/>
    <w:uiPriority w:val="99"/>
    <w:unhideWhenUsed/>
    <w:rsid w:val="00EA2293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rsid w:val="00EA2293"/>
    <w:rPr>
      <w:sz w:val="20"/>
      <w:szCs w:val="20"/>
      <w:lang w:val="en-US" w:bidi="he-IL"/>
    </w:rPr>
  </w:style>
  <w:style w:type="character" w:customStyle="1" w:styleId="1">
    <w:name w:val="גופן ברירת המחדל של פיסקה1"/>
    <w:rsid w:val="00EA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Kidwell</dc:creator>
  <cp:keywords/>
  <dc:description/>
  <cp:lastModifiedBy>Lucy Kidwell</cp:lastModifiedBy>
  <cp:revision>3</cp:revision>
  <dcterms:created xsi:type="dcterms:W3CDTF">2020-06-18T09:15:00Z</dcterms:created>
  <dcterms:modified xsi:type="dcterms:W3CDTF">2020-06-18T10:14:00Z</dcterms:modified>
</cp:coreProperties>
</file>