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034" w:rsidRPr="00142230" w:rsidRDefault="00364034" w:rsidP="00C87A73">
      <w:pPr>
        <w:bidi w:val="0"/>
        <w:spacing w:line="360" w:lineRule="auto"/>
        <w:rPr>
          <w:rFonts w:asciiTheme="majorBidi" w:hAnsiTheme="majorBidi" w:cstheme="majorBidi"/>
          <w:b/>
          <w:bCs/>
          <w:sz w:val="24"/>
          <w:szCs w:val="24"/>
        </w:rPr>
      </w:pPr>
      <w:bookmarkStart w:id="0" w:name="_GoBack"/>
      <w:bookmarkEnd w:id="0"/>
      <w:r w:rsidRPr="00142230">
        <w:rPr>
          <w:rFonts w:asciiTheme="majorBidi" w:hAnsiTheme="majorBidi" w:cstheme="majorBidi"/>
          <w:b/>
          <w:bCs/>
          <w:sz w:val="24"/>
          <w:szCs w:val="24"/>
        </w:rPr>
        <w:t>Background</w:t>
      </w:r>
    </w:p>
    <w:p w:rsidR="00364034" w:rsidRDefault="00364034" w:rsidP="00364034">
      <w:pPr>
        <w:bidi w:val="0"/>
        <w:spacing w:line="480" w:lineRule="auto"/>
        <w:rPr>
          <w:rFonts w:asciiTheme="majorBidi" w:hAnsiTheme="majorBidi" w:cstheme="majorBidi"/>
          <w:sz w:val="24"/>
          <w:szCs w:val="24"/>
        </w:rPr>
      </w:pPr>
      <w:r w:rsidRPr="00AF6F40">
        <w:rPr>
          <w:rFonts w:asciiTheme="majorBidi" w:hAnsiTheme="majorBidi" w:cstheme="majorBidi"/>
          <w:sz w:val="24"/>
          <w:szCs w:val="24"/>
        </w:rPr>
        <w:t xml:space="preserve">ICU patients </w:t>
      </w:r>
      <w:r>
        <w:rPr>
          <w:rFonts w:asciiTheme="majorBidi" w:hAnsiTheme="majorBidi" w:cstheme="majorBidi"/>
          <w:sz w:val="24"/>
          <w:szCs w:val="24"/>
        </w:rPr>
        <w:t>are at</w:t>
      </w:r>
      <w:r w:rsidRPr="00AF6F40">
        <w:rPr>
          <w:rFonts w:asciiTheme="majorBidi" w:hAnsiTheme="majorBidi" w:cstheme="majorBidi"/>
          <w:sz w:val="24"/>
          <w:szCs w:val="24"/>
        </w:rPr>
        <w:t xml:space="preserve"> risk of developing </w:t>
      </w:r>
      <w:r w:rsidRPr="00E26155">
        <w:rPr>
          <w:rFonts w:asciiTheme="majorBidi" w:hAnsiTheme="majorBidi" w:cstheme="majorBidi"/>
          <w:sz w:val="24"/>
          <w:szCs w:val="24"/>
        </w:rPr>
        <w:t>Hypophosphatemia</w:t>
      </w:r>
      <w:r>
        <w:rPr>
          <w:rFonts w:asciiTheme="majorBidi" w:hAnsiTheme="majorBidi" w:cstheme="majorBidi"/>
          <w:sz w:val="24"/>
          <w:szCs w:val="24"/>
        </w:rPr>
        <w:t xml:space="preserve"> (HP) and </w:t>
      </w:r>
      <w:r w:rsidRPr="00E26155">
        <w:rPr>
          <w:rFonts w:asciiTheme="majorBidi" w:hAnsiTheme="majorBidi" w:cstheme="majorBidi"/>
          <w:sz w:val="24"/>
          <w:szCs w:val="24"/>
        </w:rPr>
        <w:t xml:space="preserve">Refeeding </w:t>
      </w:r>
      <w:r>
        <w:rPr>
          <w:rFonts w:asciiTheme="majorBidi" w:hAnsiTheme="majorBidi" w:cstheme="majorBidi"/>
          <w:sz w:val="24"/>
          <w:szCs w:val="24"/>
        </w:rPr>
        <w:t xml:space="preserve">  </w:t>
      </w:r>
      <w:r w:rsidRPr="00E26155">
        <w:rPr>
          <w:rFonts w:asciiTheme="majorBidi" w:hAnsiTheme="majorBidi" w:cstheme="majorBidi"/>
          <w:sz w:val="24"/>
          <w:szCs w:val="24"/>
        </w:rPr>
        <w:t>Syndrome (RS)</w:t>
      </w:r>
      <w:r w:rsidRPr="00D43680">
        <w:t xml:space="preserve"> </w:t>
      </w:r>
      <w:r w:rsidRPr="00D43680">
        <w:rPr>
          <w:rFonts w:asciiTheme="majorBidi" w:hAnsiTheme="majorBidi" w:cstheme="majorBidi"/>
          <w:sz w:val="24"/>
          <w:szCs w:val="24"/>
        </w:rPr>
        <w:t xml:space="preserve">providing over nutrition to patient suspected with RS </w:t>
      </w:r>
      <w:proofErr w:type="gramStart"/>
      <w:r w:rsidRPr="00D43680">
        <w:rPr>
          <w:rFonts w:asciiTheme="majorBidi" w:hAnsiTheme="majorBidi" w:cstheme="majorBidi"/>
          <w:sz w:val="24"/>
          <w:szCs w:val="24"/>
        </w:rPr>
        <w:t>might be ended</w:t>
      </w:r>
      <w:proofErr w:type="gramEnd"/>
      <w:r w:rsidRPr="00D43680">
        <w:rPr>
          <w:rFonts w:asciiTheme="majorBidi" w:hAnsiTheme="majorBidi" w:cstheme="majorBidi"/>
          <w:sz w:val="24"/>
          <w:szCs w:val="24"/>
        </w:rPr>
        <w:t xml:space="preserve"> with fatal results. Preventing and early identification could be saving life</w:t>
      </w:r>
      <w:r>
        <w:rPr>
          <w:rFonts w:asciiTheme="majorBidi" w:hAnsiTheme="majorBidi" w:cstheme="majorBidi"/>
          <w:sz w:val="24"/>
          <w:szCs w:val="24"/>
        </w:rPr>
        <w:t>. I</w:t>
      </w:r>
      <w:r w:rsidRPr="007A477B">
        <w:rPr>
          <w:rFonts w:asciiTheme="majorBidi" w:hAnsiTheme="majorBidi" w:cstheme="majorBidi"/>
          <w:sz w:val="24"/>
          <w:szCs w:val="24"/>
        </w:rPr>
        <w:t>nadequate</w:t>
      </w:r>
      <w:r w:rsidRPr="007A477B">
        <w:t xml:space="preserve"> </w:t>
      </w:r>
      <w:r w:rsidRPr="007A477B">
        <w:rPr>
          <w:rFonts w:asciiTheme="majorBidi" w:hAnsiTheme="majorBidi" w:cstheme="majorBidi"/>
          <w:sz w:val="24"/>
          <w:szCs w:val="24"/>
        </w:rPr>
        <w:t xml:space="preserve">conception </w:t>
      </w:r>
      <w:r>
        <w:rPr>
          <w:rFonts w:asciiTheme="majorBidi" w:hAnsiTheme="majorBidi" w:cstheme="majorBidi"/>
          <w:sz w:val="24"/>
          <w:szCs w:val="24"/>
        </w:rPr>
        <w:t>about the n</w:t>
      </w:r>
      <w:r w:rsidRPr="00B266EB">
        <w:rPr>
          <w:rFonts w:asciiTheme="majorBidi" w:hAnsiTheme="majorBidi" w:cstheme="majorBidi"/>
          <w:sz w:val="24"/>
          <w:szCs w:val="24"/>
        </w:rPr>
        <w:t>urse's</w:t>
      </w:r>
      <w:r>
        <w:rPr>
          <w:rFonts w:asciiTheme="majorBidi" w:hAnsiTheme="majorBidi" w:cstheme="majorBidi"/>
          <w:sz w:val="24"/>
          <w:szCs w:val="24"/>
        </w:rPr>
        <w:t xml:space="preserve"> </w:t>
      </w:r>
      <w:r w:rsidRPr="0068399E">
        <w:rPr>
          <w:rFonts w:asciiTheme="majorBidi" w:hAnsiTheme="majorBidi" w:cstheme="majorBidi"/>
          <w:sz w:val="24"/>
          <w:szCs w:val="24"/>
        </w:rPr>
        <w:t>role and responsibility in nutrition</w:t>
      </w:r>
      <w:r>
        <w:rPr>
          <w:rFonts w:asciiTheme="majorBidi" w:hAnsiTheme="majorBidi" w:cstheme="majorBidi"/>
          <w:sz w:val="24"/>
          <w:szCs w:val="24"/>
        </w:rPr>
        <w:t xml:space="preserve"> therapy </w:t>
      </w:r>
      <w:r w:rsidRPr="007A477B">
        <w:rPr>
          <w:rFonts w:asciiTheme="majorBidi" w:hAnsiTheme="majorBidi" w:cstheme="majorBidi"/>
          <w:sz w:val="24"/>
          <w:szCs w:val="24"/>
        </w:rPr>
        <w:t xml:space="preserve">may </w:t>
      </w:r>
      <w:r>
        <w:rPr>
          <w:rFonts w:asciiTheme="majorBidi" w:hAnsiTheme="majorBidi" w:cstheme="majorBidi"/>
          <w:sz w:val="24"/>
          <w:szCs w:val="24"/>
        </w:rPr>
        <w:t>cause</w:t>
      </w:r>
      <w:r w:rsidRPr="005321B9">
        <w:t xml:space="preserve"> </w:t>
      </w:r>
      <w:r w:rsidRPr="005321B9">
        <w:rPr>
          <w:rFonts w:asciiTheme="majorBidi" w:hAnsiTheme="majorBidi" w:cstheme="majorBidi"/>
          <w:sz w:val="24"/>
          <w:szCs w:val="24"/>
        </w:rPr>
        <w:t>defective</w:t>
      </w:r>
      <w:r>
        <w:rPr>
          <w:rFonts w:asciiTheme="majorBidi" w:hAnsiTheme="majorBidi" w:cstheme="majorBidi"/>
          <w:sz w:val="24"/>
          <w:szCs w:val="24"/>
        </w:rPr>
        <w:t xml:space="preserve"> </w:t>
      </w:r>
      <w:r w:rsidRPr="007A477B">
        <w:rPr>
          <w:rFonts w:asciiTheme="majorBidi" w:hAnsiTheme="majorBidi" w:cstheme="majorBidi"/>
          <w:sz w:val="24"/>
          <w:szCs w:val="24"/>
        </w:rPr>
        <w:t>results</w:t>
      </w:r>
      <w:r>
        <w:rPr>
          <w:rFonts w:asciiTheme="majorBidi" w:hAnsiTheme="majorBidi" w:cstheme="majorBidi"/>
          <w:sz w:val="24"/>
          <w:szCs w:val="24"/>
        </w:rPr>
        <w:t xml:space="preserve">. </w:t>
      </w:r>
    </w:p>
    <w:p w:rsidR="00364034" w:rsidRPr="008625E1" w:rsidRDefault="00364034" w:rsidP="00C87A73">
      <w:pPr>
        <w:bidi w:val="0"/>
        <w:spacing w:line="480" w:lineRule="auto"/>
        <w:rPr>
          <w:rFonts w:asciiTheme="majorBidi" w:hAnsiTheme="majorBidi" w:cstheme="majorBidi"/>
          <w:b/>
          <w:bCs/>
          <w:sz w:val="24"/>
          <w:szCs w:val="24"/>
        </w:rPr>
      </w:pPr>
      <w:r w:rsidRPr="008625E1">
        <w:rPr>
          <w:rFonts w:asciiTheme="majorBidi" w:hAnsiTheme="majorBidi" w:cstheme="majorBidi"/>
          <w:b/>
          <w:bCs/>
          <w:sz w:val="24"/>
          <w:szCs w:val="24"/>
        </w:rPr>
        <w:t>Objectives</w:t>
      </w:r>
    </w:p>
    <w:p w:rsidR="00364034" w:rsidRPr="008625E1" w:rsidRDefault="00364034" w:rsidP="00C87A73">
      <w:pPr>
        <w:bidi w:val="0"/>
        <w:spacing w:line="480" w:lineRule="auto"/>
        <w:rPr>
          <w:rFonts w:asciiTheme="majorBidi" w:hAnsiTheme="majorBidi" w:cstheme="majorBidi"/>
          <w:sz w:val="24"/>
          <w:szCs w:val="24"/>
        </w:rPr>
      </w:pPr>
      <w:r w:rsidRPr="008625E1">
        <w:rPr>
          <w:rFonts w:asciiTheme="majorBidi" w:hAnsiTheme="majorBidi" w:cstheme="majorBidi"/>
          <w:sz w:val="24"/>
          <w:szCs w:val="24"/>
        </w:rPr>
        <w:t>This study aimed to examine the knowledge and behaviors of intensive care unit (ICU) nurses in the case of hypophosphatemia and re-feeding syndrome and nutrition in general. We analyzed the correlation between the nurses' knowledge of these subjects to the rate HP in their unit, length of ICU stay, duration of mechanical ventilation, and mortality</w:t>
      </w:r>
      <w:r w:rsidRPr="008625E1">
        <w:rPr>
          <w:rFonts w:asciiTheme="majorBidi" w:hAnsiTheme="majorBidi" w:cs="Times New Roman"/>
          <w:sz w:val="24"/>
          <w:szCs w:val="24"/>
          <w:rtl/>
        </w:rPr>
        <w:t>.</w:t>
      </w:r>
    </w:p>
    <w:p w:rsidR="00364034" w:rsidRPr="008625E1" w:rsidRDefault="00364034" w:rsidP="00C87A73">
      <w:pPr>
        <w:bidi w:val="0"/>
        <w:spacing w:line="480" w:lineRule="auto"/>
        <w:rPr>
          <w:rFonts w:asciiTheme="majorBidi" w:hAnsiTheme="majorBidi" w:cstheme="majorBidi"/>
          <w:b/>
          <w:bCs/>
          <w:sz w:val="24"/>
          <w:szCs w:val="24"/>
        </w:rPr>
      </w:pPr>
      <w:r w:rsidRPr="008625E1">
        <w:rPr>
          <w:rFonts w:asciiTheme="majorBidi" w:hAnsiTheme="majorBidi" w:cstheme="majorBidi"/>
          <w:b/>
          <w:bCs/>
          <w:sz w:val="24"/>
          <w:szCs w:val="24"/>
        </w:rPr>
        <w:t>Methods</w:t>
      </w:r>
    </w:p>
    <w:p w:rsidR="00364034" w:rsidRPr="008625E1" w:rsidRDefault="00364034" w:rsidP="00C87A73">
      <w:pPr>
        <w:bidi w:val="0"/>
        <w:spacing w:line="480" w:lineRule="auto"/>
        <w:rPr>
          <w:rFonts w:asciiTheme="majorBidi" w:hAnsiTheme="majorBidi" w:cstheme="majorBidi"/>
          <w:sz w:val="24"/>
          <w:szCs w:val="24"/>
        </w:rPr>
      </w:pPr>
      <w:r w:rsidRPr="008625E1">
        <w:rPr>
          <w:rFonts w:asciiTheme="majorBidi" w:hAnsiTheme="majorBidi" w:cstheme="majorBidi"/>
          <w:sz w:val="24"/>
          <w:szCs w:val="24"/>
        </w:rPr>
        <w:t xml:space="preserve">Data collection and analysis for this study </w:t>
      </w:r>
      <w:proofErr w:type="gramStart"/>
      <w:r w:rsidRPr="008625E1">
        <w:rPr>
          <w:rFonts w:asciiTheme="majorBidi" w:hAnsiTheme="majorBidi" w:cstheme="majorBidi"/>
          <w:sz w:val="24"/>
          <w:szCs w:val="24"/>
        </w:rPr>
        <w:t>were obtained</w:t>
      </w:r>
      <w:proofErr w:type="gramEnd"/>
      <w:r w:rsidRPr="008625E1">
        <w:rPr>
          <w:rFonts w:asciiTheme="majorBidi" w:hAnsiTheme="majorBidi" w:cstheme="majorBidi"/>
          <w:sz w:val="24"/>
          <w:szCs w:val="24"/>
        </w:rPr>
        <w:t xml:space="preserve"> </w:t>
      </w:r>
      <w:r>
        <w:rPr>
          <w:rFonts w:asciiTheme="majorBidi" w:hAnsiTheme="majorBidi" w:cstheme="majorBidi"/>
          <w:sz w:val="24"/>
          <w:szCs w:val="24"/>
        </w:rPr>
        <w:t>during</w:t>
      </w:r>
      <w:r w:rsidRPr="008625E1">
        <w:rPr>
          <w:rFonts w:asciiTheme="majorBidi" w:hAnsiTheme="majorBidi" w:cstheme="majorBidi"/>
          <w:sz w:val="24"/>
          <w:szCs w:val="24"/>
        </w:rPr>
        <w:t xml:space="preserve"> 2018 from 45 ICU (intensive care unit) nurses about their Hypophosphatemia</w:t>
      </w:r>
      <w:r>
        <w:rPr>
          <w:rFonts w:asciiTheme="majorBidi" w:hAnsiTheme="majorBidi" w:cstheme="majorBidi"/>
          <w:sz w:val="24"/>
          <w:szCs w:val="24"/>
        </w:rPr>
        <w:t xml:space="preserve"> </w:t>
      </w:r>
      <w:r w:rsidRPr="008625E1">
        <w:rPr>
          <w:rFonts w:asciiTheme="majorBidi" w:hAnsiTheme="majorBidi" w:cstheme="majorBidi"/>
          <w:sz w:val="24"/>
          <w:szCs w:val="24"/>
        </w:rPr>
        <w:t>(HP) and Refeeding Syndrome (RS) knowledge</w:t>
      </w:r>
      <w:r>
        <w:rPr>
          <w:rFonts w:asciiTheme="majorBidi" w:hAnsiTheme="majorBidi" w:cstheme="majorBidi"/>
          <w:sz w:val="24"/>
          <w:szCs w:val="24"/>
        </w:rPr>
        <w:t xml:space="preserve"> and their role in nutrition</w:t>
      </w:r>
      <w:r w:rsidRPr="008625E1">
        <w:rPr>
          <w:rFonts w:asciiTheme="majorBidi" w:hAnsiTheme="majorBidi" w:cstheme="majorBidi"/>
          <w:sz w:val="24"/>
          <w:szCs w:val="24"/>
        </w:rPr>
        <w:t xml:space="preserve"> </w:t>
      </w:r>
      <w:r>
        <w:rPr>
          <w:rFonts w:asciiTheme="majorBidi" w:hAnsiTheme="majorBidi" w:cstheme="majorBidi"/>
          <w:sz w:val="24"/>
          <w:szCs w:val="24"/>
        </w:rPr>
        <w:t>among</w:t>
      </w:r>
      <w:r w:rsidRPr="008625E1">
        <w:rPr>
          <w:rFonts w:asciiTheme="majorBidi" w:hAnsiTheme="majorBidi" w:cstheme="majorBidi"/>
          <w:sz w:val="24"/>
          <w:szCs w:val="24"/>
        </w:rPr>
        <w:t xml:space="preserve"> ICU patients. Besides, data collected retrospectively included an observational study on 275 medical-surgical ICU patients. Data was withdrawn from the same unit were the participant nurses were working at</w:t>
      </w:r>
      <w:r w:rsidRPr="008625E1">
        <w:rPr>
          <w:rFonts w:asciiTheme="majorBidi" w:hAnsiTheme="majorBidi" w:cs="Times New Roman"/>
          <w:sz w:val="24"/>
          <w:szCs w:val="24"/>
          <w:rtl/>
        </w:rPr>
        <w:t>.</w:t>
      </w:r>
    </w:p>
    <w:p w:rsidR="00364034" w:rsidRPr="00A771AE" w:rsidRDefault="00364034" w:rsidP="00C87A73">
      <w:pPr>
        <w:bidi w:val="0"/>
        <w:spacing w:line="480" w:lineRule="auto"/>
        <w:rPr>
          <w:rFonts w:asciiTheme="majorBidi" w:hAnsiTheme="majorBidi" w:cstheme="majorBidi"/>
          <w:b/>
          <w:bCs/>
          <w:sz w:val="24"/>
          <w:szCs w:val="24"/>
        </w:rPr>
      </w:pPr>
      <w:r w:rsidRPr="00A771AE">
        <w:rPr>
          <w:rFonts w:asciiTheme="majorBidi" w:hAnsiTheme="majorBidi" w:cstheme="majorBidi"/>
          <w:b/>
          <w:bCs/>
          <w:sz w:val="24"/>
          <w:szCs w:val="24"/>
        </w:rPr>
        <w:t>Results</w:t>
      </w:r>
    </w:p>
    <w:p w:rsidR="00364034" w:rsidRPr="008625E1" w:rsidRDefault="00364034" w:rsidP="00C87A73">
      <w:pPr>
        <w:bidi w:val="0"/>
        <w:spacing w:line="480" w:lineRule="auto"/>
        <w:rPr>
          <w:rFonts w:asciiTheme="majorBidi" w:hAnsiTheme="majorBidi" w:cstheme="majorBidi"/>
          <w:sz w:val="24"/>
          <w:szCs w:val="24"/>
        </w:rPr>
      </w:pPr>
      <w:r w:rsidRPr="008625E1">
        <w:rPr>
          <w:rFonts w:asciiTheme="majorBidi" w:hAnsiTheme="majorBidi" w:cstheme="majorBidi"/>
          <w:sz w:val="24"/>
          <w:szCs w:val="24"/>
        </w:rPr>
        <w:t xml:space="preserve">Analyses led to the importance of monitoring the patient's levels of phosphate and treating them accordingly. HP and RS can result in more complications such as length of hospitalization and length of mechanical ventilation. Besides, there is a correlation between the level of nurses' knowledge and there approach toward current nutrition </w:t>
      </w:r>
      <w:r w:rsidRPr="008625E1">
        <w:rPr>
          <w:rFonts w:asciiTheme="majorBidi" w:hAnsiTheme="majorBidi" w:cstheme="majorBidi"/>
          <w:sz w:val="24"/>
          <w:szCs w:val="24"/>
        </w:rPr>
        <w:lastRenderedPageBreak/>
        <w:t>guidelines, the higher the nurses' knowledge, the more he/she will follow the current nutrition guidelines</w:t>
      </w:r>
      <w:r w:rsidRPr="008625E1">
        <w:rPr>
          <w:rFonts w:asciiTheme="majorBidi" w:hAnsiTheme="majorBidi" w:cs="Times New Roman"/>
          <w:sz w:val="24"/>
          <w:szCs w:val="24"/>
          <w:rtl/>
        </w:rPr>
        <w:t xml:space="preserve">. </w:t>
      </w:r>
    </w:p>
    <w:p w:rsidR="00364034" w:rsidRPr="00A771AE" w:rsidRDefault="00364034" w:rsidP="00C87A73">
      <w:pPr>
        <w:bidi w:val="0"/>
        <w:spacing w:line="480" w:lineRule="auto"/>
        <w:rPr>
          <w:rFonts w:asciiTheme="majorBidi" w:hAnsiTheme="majorBidi" w:cstheme="majorBidi"/>
          <w:b/>
          <w:bCs/>
          <w:sz w:val="24"/>
          <w:szCs w:val="24"/>
        </w:rPr>
      </w:pPr>
      <w:r w:rsidRPr="00A771AE">
        <w:rPr>
          <w:rFonts w:asciiTheme="majorBidi" w:hAnsiTheme="majorBidi" w:cstheme="majorBidi"/>
          <w:b/>
          <w:bCs/>
          <w:sz w:val="24"/>
          <w:szCs w:val="24"/>
        </w:rPr>
        <w:t>Conclusions</w:t>
      </w:r>
    </w:p>
    <w:p w:rsidR="00364034" w:rsidRDefault="00364034" w:rsidP="00C87A73">
      <w:pPr>
        <w:bidi w:val="0"/>
        <w:spacing w:line="480" w:lineRule="auto"/>
        <w:rPr>
          <w:rFonts w:asciiTheme="majorBidi" w:hAnsiTheme="majorBidi" w:cstheme="majorBidi"/>
          <w:sz w:val="24"/>
          <w:szCs w:val="24"/>
        </w:rPr>
      </w:pPr>
      <w:r w:rsidRPr="008625E1">
        <w:rPr>
          <w:rFonts w:asciiTheme="majorBidi" w:hAnsiTheme="majorBidi" w:cstheme="majorBidi"/>
          <w:sz w:val="24"/>
          <w:szCs w:val="24"/>
        </w:rPr>
        <w:t>The present study shows there is a direct influence of the nurses' knowledge to the patients' complications that resulted from HP and/or RF. Educate the ICU nurses in clinical nutrition is essential and part of critical care patient's treatment. This can be crucial to patients' outcomes and ultimately save the patient's life.</w:t>
      </w:r>
    </w:p>
    <w:p w:rsidR="00546925" w:rsidRPr="00E26155" w:rsidRDefault="00A35554" w:rsidP="00364034">
      <w:pPr>
        <w:bidi w:val="0"/>
        <w:spacing w:line="360" w:lineRule="auto"/>
        <w:rPr>
          <w:rFonts w:asciiTheme="majorBidi" w:hAnsiTheme="majorBidi" w:cstheme="majorBidi"/>
          <w:b/>
          <w:bCs/>
          <w:sz w:val="24"/>
          <w:szCs w:val="24"/>
        </w:rPr>
      </w:pPr>
      <w:r w:rsidRPr="00E26155">
        <w:rPr>
          <w:rFonts w:asciiTheme="majorBidi" w:hAnsiTheme="majorBidi" w:cstheme="majorBidi"/>
          <w:b/>
          <w:bCs/>
          <w:sz w:val="24"/>
          <w:szCs w:val="24"/>
        </w:rPr>
        <w:t>Introduction:</w:t>
      </w:r>
    </w:p>
    <w:p w:rsidR="000D394B" w:rsidRPr="00E26155" w:rsidRDefault="00546925"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ICU patients oftentimes create electrolyte imbalance in general and hypophosphatemia in particular. Hypophosphatemia (HP) is a disruption in the body's phosphorus level, which is characterized by low levels of phosphorus in the bloodstream.</w:t>
      </w:r>
      <w:r w:rsidR="00F10656" w:rsidRPr="00E26155">
        <w:rPr>
          <w:rFonts w:asciiTheme="majorBidi" w:hAnsiTheme="majorBidi" w:cstheme="majorBidi"/>
          <w:sz w:val="24"/>
          <w:szCs w:val="24"/>
        </w:rPr>
        <w:fldChar w:fldCharType="begin"/>
      </w:r>
      <w:r w:rsidR="00F10656" w:rsidRPr="00E26155">
        <w:rPr>
          <w:rFonts w:asciiTheme="majorBidi" w:hAnsiTheme="majorBidi" w:cstheme="majorBidi"/>
          <w:sz w:val="24"/>
          <w:szCs w:val="24"/>
        </w:rPr>
        <w:instrText>ADDIN F1000_CSL_CITATION&lt;~#@#~&gt;[{"title":"Fluid and electrolyte disturbances in critically ill patients.","id":"4626414","page":"72-81","type":"article-journal","volume":"8","issue":"2","author":[{"family":"Lee","given":"Jay Wook"}],"issued":{"date-parts":[["2010","12","31"]]},"container-title":"Electrolyte &amp; blood pressure : E &amp; BP","container-title-short":"Electrolyte Blood Press.","journalAbbreviation":"Electrolyte Blood Press.","DOI":"10.5049/EBP.2010.8.2.72","PMID":"21468200","PMCID":"PMC3043756","citation-label":"4626414","Abstract":"Disturbances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patients.","CleanAbstract":"Disturbances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w:instrText>
      </w:r>
      <w:r w:rsidR="00F10656"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w:t>
      </w:r>
      <w:r w:rsidR="00F10656" w:rsidRPr="00E26155">
        <w:rPr>
          <w:rFonts w:asciiTheme="majorBidi" w:hAnsiTheme="majorBidi" w:cstheme="majorBidi"/>
          <w:sz w:val="24"/>
          <w:szCs w:val="24"/>
        </w:rPr>
        <w:fldChar w:fldCharType="end"/>
      </w:r>
      <w:r w:rsidR="00856B89" w:rsidRPr="00E26155">
        <w:rPr>
          <w:rFonts w:asciiTheme="majorBidi" w:eastAsia="Times New Roman" w:hAnsiTheme="majorBidi" w:cstheme="majorBidi"/>
          <w:color w:val="2E2E2E"/>
          <w:sz w:val="24"/>
          <w:szCs w:val="24"/>
        </w:rPr>
        <w:t xml:space="preserve"> </w:t>
      </w:r>
      <w:r w:rsidR="00C11D0D" w:rsidRPr="00E26155">
        <w:rPr>
          <w:rFonts w:asciiTheme="majorBidi" w:eastAsia="Times New Roman" w:hAnsiTheme="majorBidi" w:cstheme="majorBidi"/>
          <w:color w:val="2E2E2E"/>
          <w:sz w:val="24"/>
          <w:szCs w:val="24"/>
        </w:rPr>
        <w:t xml:space="preserve"> </w:t>
      </w:r>
      <w:r w:rsidR="00856B89" w:rsidRPr="00E26155">
        <w:rPr>
          <w:rFonts w:asciiTheme="majorBidi" w:eastAsia="Times New Roman" w:hAnsiTheme="majorBidi" w:cstheme="majorBidi"/>
          <w:color w:val="2E2E2E"/>
          <w:sz w:val="24"/>
          <w:szCs w:val="24"/>
        </w:rPr>
        <w:t>ICU patients have serious circumstances that put them at risk of developing</w:t>
      </w:r>
      <w:r w:rsidR="00C11D0D" w:rsidRPr="00E26155">
        <w:rPr>
          <w:rFonts w:asciiTheme="majorBidi" w:eastAsia="Times New Roman" w:hAnsiTheme="majorBidi" w:cstheme="majorBidi"/>
          <w:color w:val="2E2E2E"/>
          <w:sz w:val="24"/>
          <w:szCs w:val="24"/>
        </w:rPr>
        <w:t xml:space="preserve"> </w:t>
      </w:r>
      <w:r w:rsidR="00856B89" w:rsidRPr="00E26155">
        <w:rPr>
          <w:rFonts w:asciiTheme="majorBidi" w:eastAsia="Times New Roman" w:hAnsiTheme="majorBidi" w:cstheme="majorBidi"/>
          <w:color w:val="2E2E2E"/>
          <w:sz w:val="24"/>
          <w:szCs w:val="24"/>
        </w:rPr>
        <w:t xml:space="preserve"> hypophosphatemia, such as sepsis, acute respiratory alkalosis, diabetic ketoacidosis</w:t>
      </w:r>
      <w:r w:rsidR="008F4A03" w:rsidRPr="00E26155">
        <w:rPr>
          <w:rFonts w:asciiTheme="majorBidi" w:eastAsia="Times New Roman" w:hAnsiTheme="majorBidi" w:cstheme="majorBidi"/>
          <w:color w:val="2E2E2E"/>
          <w:sz w:val="24"/>
          <w:szCs w:val="24"/>
        </w:rPr>
        <w:t xml:space="preserve">, levels of albumin and </w:t>
      </w:r>
      <w:proofErr w:type="spellStart"/>
      <w:r w:rsidR="008F4A03" w:rsidRPr="00E26155">
        <w:rPr>
          <w:rFonts w:asciiTheme="majorBidi" w:eastAsia="Times New Roman" w:hAnsiTheme="majorBidi" w:cstheme="majorBidi"/>
          <w:color w:val="2E2E2E"/>
          <w:sz w:val="24"/>
          <w:szCs w:val="24"/>
        </w:rPr>
        <w:t>prealbumin</w:t>
      </w:r>
      <w:proofErr w:type="spellEnd"/>
      <w:r w:rsidR="00856B89" w:rsidRPr="00E26155">
        <w:rPr>
          <w:rFonts w:asciiTheme="majorBidi" w:eastAsia="Times New Roman" w:hAnsiTheme="majorBidi" w:cstheme="majorBidi"/>
          <w:color w:val="2E2E2E"/>
          <w:sz w:val="24"/>
          <w:szCs w:val="24"/>
        </w:rPr>
        <w:t xml:space="preserve"> as well as malnutrition and defective body phosphorus reservoir</w:t>
      </w:r>
      <w:r w:rsidR="000D394B" w:rsidRPr="00E26155">
        <w:rPr>
          <w:rFonts w:asciiTheme="majorBidi" w:eastAsia="Times New Roman" w:hAnsiTheme="majorBidi" w:cstheme="majorBidi"/>
          <w:color w:val="2E2E2E"/>
          <w:sz w:val="24"/>
          <w:szCs w:val="24"/>
        </w:rPr>
        <w:t xml:space="preserve"> </w:t>
      </w:r>
      <w:r w:rsidR="00856B89" w:rsidRPr="00E26155">
        <w:rPr>
          <w:rFonts w:asciiTheme="majorBidi" w:eastAsia="Times New Roman" w:hAnsiTheme="majorBidi" w:cstheme="majorBidi"/>
          <w:color w:val="2E2E2E"/>
          <w:sz w:val="24"/>
          <w:szCs w:val="24"/>
        </w:rPr>
        <w:fldChar w:fldCharType="begin"/>
      </w:r>
      <w:r w:rsidR="008F4A03" w:rsidRPr="00E26155">
        <w:rPr>
          <w:rFonts w:asciiTheme="majorBidi" w:eastAsia="Times New Roman" w:hAnsiTheme="majorBidi" w:cstheme="majorBidi"/>
          <w:color w:val="2E2E2E"/>
          <w:sz w:val="24"/>
          <w:szCs w:val="24"/>
        </w:rPr>
        <w:instrText>ADDIN F1000_CSL_CITATION&lt;~#@#~&gt;[{"title":"Fluid and electrolyte disturbances in critically ill patients.","id":"4626414","page":"72-81","type":"article-journal","volume":"8","issue":"2","author":[{"family":"Lee","given":"Jay Wook"}],"issued":{"date-parts":[["2010","12","31"]]},"container-title":"Electrolyte &amp; blood pressure : E &amp; BP","container-title-short":"Electrolyte Blood Press.","journalAbbreviation":"Electrolyte Blood Press.","DOI":"10.5049/EBP.2010.8.2.72","PMID":"21468200","PMCID":"PMC3043756","citation-label":"4626414","Abstract":"Disturbances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patients.","CleanAbstract":"Disturbances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patients."},{"title":"Revisiting the refeeding syndrome: Results of a systematic review.","id":"7358262","page":"151-160","type":"article-journal","volume":"35","author":[{"family":"Friedli","given":"Natalie"},{"family":"Stanga","given":"Zeno"},{"family":"Sobotka","given":"Lubos"},{"family":"Culkin","given":"Alison"},{"family":"Kondrup","given":"Jens"},{"family":"Laviano","given":"Alessandro"},{"family":"Mueller","given":"Beat"},{"family":"Schuetz","given":"Philipp"}],"issued":{"date-parts":[["2017","3"]]},"container-title":"Nutrition","container-title-short":"Nutrition","journalAbbreviation":"Nutrition","DOI":"10.1016/j.nut.2016.05.016","PMID":"28087222","citation-label":"7358262","Abstract":"&lt;strong&gt;OBJECTIVE:&lt;/strong&gt; Although described &gt;70 y ago, the refeeding syndrome (RFS) remains understudied with lack of standardized definition and treatment recommendations. The aim of this systematic review was to gather evidence regarding standardized definition, incidence rate and time course of occurrence, association with adverse clinical outcomes, risk factors, and therapeutic strategies to prevent or treat this condition.&lt;br&gt;&lt;br&gt;&lt;strong&gt;METHODS:&lt;/strong&gt; We searched MEDLINE and EMBASE for interventional and observational clinical trials focusing on RFS, excluding case reports and reviews. We extracted data based on a predefined case report form and assessed bias.&lt;br&gt;&lt;br&gt;&lt;strong&gt;RESULTS:&lt;/strong&gt; Of 2207 potential abstracts, 45 records with a total of 6608 patients were included (3 interventional trials, 16 studies focusing on anorexic patients). Definitions for RFS were highly heterogenous with most studies relying on blood electrolyte disturbances only and others also including clinical symptoms. Incidence rates varied between 0% and 80%, depending on the definition and patient population studied. Occurrence was mostly within the first 72 h of start of nutritional therapy. Most of the risk factors were in accordance with National Institute for Health and Care Excellence guidelines, with older age and enteral feeding being additional factors. There was no strong evidence regarding association of RFS and adverse outcomes, as well as regarding preventive measures and treatment algorithms.&lt;br&gt;&lt;br&gt;&lt;strong&gt;CONCLUSION:&lt;/strong&gt; This systematic review focusing on RFS found consensus regarding risk factors and timing of occurrence, but wide variations regarding definition, reported incidence rates, preventive measures and treatment recommendations. Further research to fill this gap is urgently needed.&lt;br&gt;&lt;br&gt;Copyright © 2016 Elsevier Inc. All rights reserved.","CleanAbstract":"OBJECTIVE: Although described &gt;70 y ago, the refeeding syndrome (RFS) remains understudied with lack of standardized definition and treatment recommendations. The aim of this systematic review was to gather evidence regarding standardized definition, incidence rate and time course of occurrence, association with adverse clinical outcomes, risk factors, and therapeutic strategies to prevent or treat this condition.METHODS: We searched MEDLINE and EMBASE for interventional and observational clinical trials focusing on RFS, excluding case reports and reviews. We extracted data based on a predefined case report form and assessed bias.RESULTS: Of 2207 potential abstracts, 45 records with a total of 6608 patients were included (3 interventional trials, 16 studies focusing on anorexic patients). Definitions for RFS were highly heterogenous with most studies relying on blood electrolyte disturbances only and others also including clinical symptoms. Incidence rates varied between 0% and 80%, depending on the definition and patient population studied. Occurrence was mostly within the first 72 h of start of nutritional therapy. Most of the risk factors were in accordance with National Institute for Health and Care Excellence guidelines, with older age and enteral feeding being additional factors. There was no strong evidence regarding association of RFS and adverse outcomes, as well as regarding preventive measures and treatment algorithms.CONCLUSION: This systematic review focusing on RFS found consensus regarding risk factors and timing of occurrence, but wide variations regarding definition, reported incidence rates, preventive measures and treatment recommendations. Further research to fill this gap is urgently needed.Copyright © 2016 Elsevier Inc. All rights reserved."}]</w:instrText>
      </w:r>
      <w:r w:rsidR="00856B89" w:rsidRPr="00E26155">
        <w:rPr>
          <w:rFonts w:asciiTheme="majorBidi" w:eastAsia="Times New Roman" w:hAnsiTheme="majorBidi" w:cstheme="majorBidi"/>
          <w:color w:val="2E2E2E"/>
          <w:sz w:val="24"/>
          <w:szCs w:val="24"/>
        </w:rPr>
        <w:fldChar w:fldCharType="separate"/>
      </w:r>
      <w:r w:rsidR="000E5F63" w:rsidRPr="00E26155">
        <w:rPr>
          <w:rFonts w:asciiTheme="majorBidi" w:eastAsia="Times New Roman" w:hAnsiTheme="majorBidi" w:cstheme="majorBidi"/>
          <w:color w:val="2E2E2E"/>
          <w:sz w:val="24"/>
          <w:szCs w:val="24"/>
        </w:rPr>
        <w:t>(1,2)</w:t>
      </w:r>
      <w:r w:rsidR="00856B89" w:rsidRPr="00E26155">
        <w:rPr>
          <w:rFonts w:asciiTheme="majorBidi" w:eastAsia="Times New Roman" w:hAnsiTheme="majorBidi" w:cstheme="majorBidi"/>
          <w:color w:val="2E2E2E"/>
          <w:sz w:val="24"/>
          <w:szCs w:val="24"/>
        </w:rPr>
        <w:fldChar w:fldCharType="end"/>
      </w:r>
      <w:r w:rsidR="000D394B" w:rsidRPr="00E26155">
        <w:rPr>
          <w:rFonts w:asciiTheme="majorBidi" w:eastAsia="Times New Roman" w:hAnsiTheme="majorBidi" w:cstheme="majorBidi"/>
          <w:color w:val="2E2E2E"/>
          <w:sz w:val="24"/>
          <w:szCs w:val="24"/>
        </w:rPr>
        <w:t>.</w:t>
      </w:r>
      <w:r w:rsidR="009B7F5E" w:rsidRPr="00E26155">
        <w:rPr>
          <w:rFonts w:asciiTheme="majorBidi" w:eastAsia="Times New Roman" w:hAnsiTheme="majorBidi" w:cstheme="majorBidi"/>
          <w:color w:val="2E2E2E"/>
          <w:sz w:val="24"/>
          <w:szCs w:val="24"/>
        </w:rPr>
        <w:t xml:space="preserve"> </w:t>
      </w:r>
    </w:p>
    <w:p w:rsidR="003A7081" w:rsidRPr="00E26155" w:rsidRDefault="000D394B" w:rsidP="00E26155">
      <w:pPr>
        <w:autoSpaceDE w:val="0"/>
        <w:autoSpaceDN w:val="0"/>
        <w:bidi w:val="0"/>
        <w:adjustRightInd w:val="0"/>
        <w:spacing w:after="0" w:line="360" w:lineRule="auto"/>
        <w:ind w:firstLine="720"/>
        <w:rPr>
          <w:rFonts w:asciiTheme="majorBidi" w:hAnsiTheme="majorBidi" w:cstheme="majorBidi"/>
          <w:sz w:val="24"/>
          <w:szCs w:val="24"/>
        </w:rPr>
      </w:pPr>
      <w:r w:rsidRPr="00E26155">
        <w:rPr>
          <w:rFonts w:asciiTheme="majorBidi" w:hAnsiTheme="majorBidi" w:cstheme="majorBidi"/>
          <w:sz w:val="24"/>
          <w:szCs w:val="24"/>
        </w:rPr>
        <w:t>H</w:t>
      </w:r>
      <w:r w:rsidR="009B7F5E" w:rsidRPr="00E26155">
        <w:rPr>
          <w:rFonts w:asciiTheme="majorBidi" w:hAnsiTheme="majorBidi" w:cstheme="majorBidi"/>
          <w:sz w:val="24"/>
          <w:szCs w:val="24"/>
        </w:rPr>
        <w:t xml:space="preserve">ypophosphatemia </w:t>
      </w:r>
      <w:r w:rsidRPr="00E26155">
        <w:rPr>
          <w:rFonts w:asciiTheme="majorBidi" w:hAnsiTheme="majorBidi" w:cstheme="majorBidi"/>
          <w:sz w:val="24"/>
          <w:szCs w:val="24"/>
        </w:rPr>
        <w:t>is found to be highly correlated to R</w:t>
      </w:r>
      <w:r w:rsidR="009B7F5E" w:rsidRPr="00E26155">
        <w:rPr>
          <w:rFonts w:asciiTheme="majorBidi" w:hAnsiTheme="majorBidi" w:cstheme="majorBidi"/>
          <w:sz w:val="24"/>
          <w:szCs w:val="24"/>
        </w:rPr>
        <w:t xml:space="preserve">efeeding </w:t>
      </w:r>
      <w:r w:rsidRPr="00E26155">
        <w:rPr>
          <w:rFonts w:asciiTheme="majorBidi" w:hAnsiTheme="majorBidi" w:cstheme="majorBidi"/>
          <w:sz w:val="24"/>
          <w:szCs w:val="24"/>
        </w:rPr>
        <w:t>S</w:t>
      </w:r>
      <w:r w:rsidR="009B7F5E" w:rsidRPr="00E26155">
        <w:rPr>
          <w:rFonts w:asciiTheme="majorBidi" w:hAnsiTheme="majorBidi" w:cstheme="majorBidi"/>
          <w:sz w:val="24"/>
          <w:szCs w:val="24"/>
        </w:rPr>
        <w:t>yndrome</w:t>
      </w:r>
      <w:r w:rsidRPr="00E26155">
        <w:rPr>
          <w:rFonts w:asciiTheme="majorBidi" w:hAnsiTheme="majorBidi" w:cstheme="majorBidi"/>
          <w:sz w:val="24"/>
          <w:szCs w:val="24"/>
        </w:rPr>
        <w:t xml:space="preserve"> </w:t>
      </w:r>
      <w:r w:rsidR="00030BDB" w:rsidRPr="00E26155">
        <w:rPr>
          <w:rFonts w:asciiTheme="majorBidi" w:hAnsiTheme="majorBidi" w:cstheme="majorBidi"/>
          <w:sz w:val="24"/>
          <w:szCs w:val="24"/>
        </w:rPr>
        <w:t>(RS)</w:t>
      </w:r>
      <w:r w:rsidRPr="00E26155">
        <w:rPr>
          <w:rFonts w:asciiTheme="majorBidi" w:hAnsiTheme="majorBidi" w:cstheme="majorBidi"/>
          <w:sz w:val="24"/>
          <w:szCs w:val="24"/>
        </w:rPr>
        <w:t xml:space="preserve"> </w:t>
      </w:r>
      <w:r w:rsidR="00C14782" w:rsidRPr="00E26155">
        <w:rPr>
          <w:rFonts w:asciiTheme="majorBidi" w:hAnsiTheme="majorBidi" w:cstheme="majorBidi"/>
          <w:sz w:val="24"/>
          <w:szCs w:val="24"/>
        </w:rPr>
        <w:fldChar w:fldCharType="begin"/>
      </w:r>
      <w:r w:rsidR="00C14782" w:rsidRPr="00E26155">
        <w:rPr>
          <w:rFonts w:asciiTheme="majorBidi" w:hAnsiTheme="majorBidi" w:cstheme="majorBidi"/>
          <w:sz w:val="24"/>
          <w:szCs w:val="24"/>
        </w:rPr>
        <w: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w:instrText>
      </w:r>
      <w:r w:rsidR="00C14782"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(3)</w:t>
      </w:r>
      <w:r w:rsidR="00C14782" w:rsidRPr="00E26155">
        <w:rPr>
          <w:rFonts w:asciiTheme="majorBidi" w:hAnsiTheme="majorBidi" w:cstheme="majorBidi"/>
          <w:sz w:val="24"/>
          <w:szCs w:val="24"/>
        </w:rPr>
        <w:fldChar w:fldCharType="end"/>
      </w:r>
      <w:r w:rsidRPr="00E26155">
        <w:rPr>
          <w:rFonts w:asciiTheme="majorBidi" w:hAnsiTheme="majorBidi" w:cstheme="majorBidi"/>
          <w:sz w:val="24"/>
          <w:szCs w:val="24"/>
        </w:rPr>
        <w:t xml:space="preserve">. </w:t>
      </w:r>
      <w:r w:rsidR="00546925" w:rsidRPr="00E26155">
        <w:rPr>
          <w:rFonts w:asciiTheme="majorBidi" w:hAnsiTheme="majorBidi" w:cstheme="majorBidi"/>
          <w:sz w:val="24"/>
          <w:szCs w:val="24"/>
        </w:rPr>
        <w:t xml:space="preserve">The main reason for </w:t>
      </w:r>
      <w:r w:rsidR="00030BDB" w:rsidRPr="00E26155">
        <w:rPr>
          <w:rFonts w:asciiTheme="majorBidi" w:hAnsiTheme="majorBidi" w:cstheme="majorBidi"/>
          <w:sz w:val="24"/>
          <w:szCs w:val="24"/>
        </w:rPr>
        <w:t>Refeeding Syndrome</w:t>
      </w:r>
      <w:r w:rsidR="00546925" w:rsidRPr="00E26155">
        <w:rPr>
          <w:rFonts w:asciiTheme="majorBidi" w:hAnsiTheme="majorBidi" w:cstheme="majorBidi"/>
          <w:sz w:val="24"/>
          <w:szCs w:val="24"/>
        </w:rPr>
        <w:t xml:space="preserve"> is a process that occurs when undernourished individual eat carbohydrates, and as a </w:t>
      </w:r>
      <w:r w:rsidR="00BB55F7" w:rsidRPr="00E26155">
        <w:rPr>
          <w:rFonts w:asciiTheme="majorBidi" w:hAnsiTheme="majorBidi" w:cstheme="majorBidi"/>
          <w:sz w:val="24"/>
          <w:szCs w:val="24"/>
        </w:rPr>
        <w:t>result,</w:t>
      </w:r>
      <w:r w:rsidR="00546925" w:rsidRPr="00E26155">
        <w:rPr>
          <w:rFonts w:asciiTheme="majorBidi" w:hAnsiTheme="majorBidi" w:cstheme="majorBidi"/>
          <w:sz w:val="24"/>
          <w:szCs w:val="24"/>
        </w:rPr>
        <w:t xml:space="preserve"> insulin </w:t>
      </w:r>
      <w:proofErr w:type="gramStart"/>
      <w:r w:rsidR="00BB55F7" w:rsidRPr="00E26155">
        <w:rPr>
          <w:rFonts w:asciiTheme="majorBidi" w:hAnsiTheme="majorBidi" w:cstheme="majorBidi"/>
          <w:sz w:val="24"/>
          <w:szCs w:val="24"/>
        </w:rPr>
        <w:t>is</w:t>
      </w:r>
      <w:r w:rsidR="00546925" w:rsidRPr="00E26155">
        <w:rPr>
          <w:rFonts w:asciiTheme="majorBidi" w:hAnsiTheme="majorBidi" w:cstheme="majorBidi"/>
          <w:sz w:val="24"/>
          <w:szCs w:val="24"/>
        </w:rPr>
        <w:t xml:space="preserve"> released</w:t>
      </w:r>
      <w:proofErr w:type="gramEnd"/>
      <w:r w:rsidR="00546925" w:rsidRPr="00E26155">
        <w:rPr>
          <w:rFonts w:asciiTheme="majorBidi" w:hAnsiTheme="majorBidi" w:cstheme="majorBidi"/>
          <w:sz w:val="24"/>
          <w:szCs w:val="24"/>
        </w:rPr>
        <w:t>, which encourages glucose and phosphorus into the cells.</w:t>
      </w:r>
      <w:r w:rsidR="0025253B" w:rsidRPr="00E26155">
        <w:rPr>
          <w:rFonts w:asciiTheme="majorBidi" w:hAnsiTheme="majorBidi" w:cstheme="majorBidi"/>
          <w:sz w:val="24"/>
          <w:szCs w:val="24"/>
        </w:rPr>
        <w:t xml:space="preserve"> RS is t</w:t>
      </w:r>
      <w:r w:rsidR="00546925" w:rsidRPr="00E26155">
        <w:rPr>
          <w:rFonts w:asciiTheme="majorBidi" w:hAnsiTheme="majorBidi" w:cstheme="majorBidi"/>
          <w:sz w:val="24"/>
          <w:szCs w:val="24"/>
        </w:rPr>
        <w:t>he abrupt imbalance of electrolytes through the intra-extracellular composition</w:t>
      </w:r>
      <w:r w:rsidR="009C3FB3" w:rsidRPr="00E26155">
        <w:rPr>
          <w:rFonts w:asciiTheme="majorBidi" w:hAnsiTheme="majorBidi" w:cstheme="majorBidi"/>
          <w:sz w:val="24"/>
          <w:szCs w:val="24"/>
        </w:rPr>
        <w:t xml:space="preserve"> </w:t>
      </w:r>
      <w:r w:rsidR="009C3FB3" w:rsidRPr="00E26155">
        <w:rPr>
          <w:rFonts w:asciiTheme="majorBidi" w:hAnsiTheme="majorBidi" w:cstheme="majorBidi"/>
          <w:sz w:val="24"/>
          <w:szCs w:val="24"/>
        </w:rPr>
        <w:fldChar w:fldCharType="begin"/>
      </w:r>
      <w:r w:rsidR="009C3FB3" w:rsidRPr="00E26155">
        <w:rPr>
          <w:rFonts w:asciiTheme="majorBidi" w:hAnsiTheme="majorBidi" w:cstheme="majorBidi"/>
          <w:sz w:val="24"/>
          <w:szCs w:val="24"/>
        </w:rPr>
        <w:instrText>ADDIN F1000_CSL_CITATION&lt;~#@#~&gt;[{"title":"Impact of caloric intake in critically ill patients with, and without, refeeding syndrome: A retrospective study.","id":"7361525","page":"1609-1617","type":"article-journal","volume":"37","issue":"5","author":[{"family":"Olthof","given":"Laura E"},{"family":"Koekkoek","given":"W A C Kristine"},{"family":"van Setten","given":"Coralien"},{"family":"Kars","given":"Johannes C N"},{"family":"van Blokland","given":"Dick"},{"family":"van Zanten","given":"Arthur R H"}],"issued":{"date-parts":[["2018"]]},"container-title":"Clinical Nutrition","container-title-short":"Clin. Nutr.","journalAbbreviation":"Clin. Nutr.","DOI":"10.1016/j.clnu.2017.08.001","PMID":"28866139","citation-label":"7361525","Abstract":"&lt;strong&gt;BACKGROUND &amp; AIMS:&lt;/strong&gt;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syndrome.&lt;br&gt;&lt;br&gt;&lt;strong&gt;METHODS:&lt;/strong&gt; A retrospective study among critically ill invasive mechanically ventilated patients admitted for &gt;7 days to a medical-surgical ICU. Refeeding syndrome was diagnosed by the occurrence of new onset hypophosphatemia (&lt; 0.65 mmol/l) within 72 h of the start of nutritional support. Primary outcome was 6-month mortality. Secondary outcomes were 3-month mortality, ICU and hospital length of stay and duration of mechanical ventilation. Outcomes of patients with and without refeeding syndrome were compared and subgroup analysis on energy intake within the refeeding population was performed for the duration of survival.&lt;br&gt;&lt;br&gt;&lt;strong&gt;RESULTS:&lt;/strong&gt;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(&lt; 50% of target) was seen compared with normal intake, adjusted Hazard Ratio 0.39, (95% CI 0.16-0.95, p = 0.037). In this group, low caloric intake was associated with an increased overall survival time at day 180 (153.0 (SE 10.1) vs 119.1 (SE 8.0) days, log-rank p = 0.018).&lt;br&gt;&lt;br&gt;&lt;strong&gt;CONCLUSIONS:&lt;/strong&gt;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illness.&lt;br&gt;&lt;br&gt;Copyright © 2017 The Authors. Published by Elsevier Ltd.. All rights reserved.","CleanAbstract":"BACKGROUND &amp; AIMS: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syndrome.METHODS: A retrospective study among critically ill invasive mechanically ventilated patients admitted for &gt;7 days to a medical-surgical ICU. Refeeding syndrome was diagnosed by the occurrence of new onset hypophosphatemia (RESULTS: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(CONCLUSIONS: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illness.Copyright © 2017 The Authors. Published by Elsevier Ltd.. All rights reserved."}]</w:instrText>
      </w:r>
      <w:r w:rsidR="009C3FB3"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(4)</w:t>
      </w:r>
      <w:r w:rsidR="009C3FB3" w:rsidRPr="00E26155">
        <w:rPr>
          <w:rFonts w:asciiTheme="majorBidi" w:hAnsiTheme="majorBidi" w:cstheme="majorBidi"/>
          <w:sz w:val="24"/>
          <w:szCs w:val="24"/>
        </w:rPr>
        <w:fldChar w:fldCharType="end"/>
      </w:r>
      <w:r w:rsidR="0025253B" w:rsidRPr="00E26155">
        <w:rPr>
          <w:rFonts w:asciiTheme="majorBidi" w:hAnsiTheme="majorBidi" w:cstheme="majorBidi"/>
          <w:sz w:val="24"/>
          <w:szCs w:val="24"/>
        </w:rPr>
        <w:t>.</w:t>
      </w:r>
      <w:r w:rsidRPr="00E26155">
        <w:rPr>
          <w:rFonts w:asciiTheme="majorBidi" w:hAnsiTheme="majorBidi" w:cstheme="majorBidi"/>
          <w:sz w:val="24"/>
          <w:szCs w:val="24"/>
        </w:rPr>
        <w:t xml:space="preserve"> </w:t>
      </w:r>
      <w:r w:rsidR="003A7081" w:rsidRPr="00E26155">
        <w:rPr>
          <w:rFonts w:asciiTheme="majorBidi" w:hAnsiTheme="majorBidi" w:cstheme="majorBidi"/>
          <w:sz w:val="24"/>
          <w:szCs w:val="24"/>
        </w:rPr>
        <w:t>Critically ill patients are at risk of adverse events during starting food deliveries</w:t>
      </w:r>
      <w:r w:rsidR="009C3FB3" w:rsidRPr="00E26155">
        <w:rPr>
          <w:rFonts w:asciiTheme="majorBidi" w:hAnsiTheme="majorBidi" w:cstheme="majorBidi"/>
          <w:sz w:val="24"/>
          <w:szCs w:val="24"/>
        </w:rPr>
        <w:t xml:space="preserve"> </w:t>
      </w:r>
      <w:r w:rsidR="009C3FB3" w:rsidRPr="00E26155">
        <w:rPr>
          <w:rFonts w:asciiTheme="majorBidi" w:hAnsiTheme="majorBidi" w:cstheme="majorBidi"/>
          <w:sz w:val="24"/>
          <w:szCs w:val="24"/>
        </w:rPr>
        <w:fldChar w:fldCharType="begin"/>
      </w:r>
      <w:r w:rsidR="009C3FB3" w:rsidRPr="00E26155">
        <w:rPr>
          <w:rFonts w:asciiTheme="majorBidi" w:hAnsiTheme="majorBidi" w:cstheme="majorBidi"/>
          <w:sz w:val="24"/>
          <w:szCs w:val="24"/>
        </w:rPr>
        <w: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w:instrText>
      </w:r>
      <w:r w:rsidR="009C3FB3"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(5)</w:t>
      </w:r>
      <w:r w:rsidR="009C3FB3" w:rsidRPr="00E26155">
        <w:rPr>
          <w:rFonts w:asciiTheme="majorBidi" w:hAnsiTheme="majorBidi" w:cstheme="majorBidi"/>
          <w:sz w:val="24"/>
          <w:szCs w:val="24"/>
        </w:rPr>
        <w:fldChar w:fldCharType="end"/>
      </w:r>
      <w:r w:rsidR="009C3FB3" w:rsidRPr="00E26155">
        <w:rPr>
          <w:rFonts w:asciiTheme="majorBidi" w:hAnsiTheme="majorBidi" w:cstheme="majorBidi"/>
          <w:sz w:val="24"/>
          <w:szCs w:val="24"/>
        </w:rPr>
        <w:t>.</w:t>
      </w:r>
    </w:p>
    <w:p w:rsidR="003A7081" w:rsidRPr="00E26155" w:rsidRDefault="003A7081" w:rsidP="00E26155">
      <w:pPr>
        <w:autoSpaceDE w:val="0"/>
        <w:autoSpaceDN w:val="0"/>
        <w:bidi w:val="0"/>
        <w:adjustRightInd w:val="0"/>
        <w:spacing w:after="0" w:line="360" w:lineRule="auto"/>
        <w:ind w:firstLine="720"/>
        <w:rPr>
          <w:rFonts w:asciiTheme="majorBidi" w:hAnsiTheme="majorBidi" w:cstheme="majorBidi"/>
          <w:sz w:val="24"/>
          <w:szCs w:val="24"/>
        </w:rPr>
      </w:pPr>
      <w:r w:rsidRPr="00E26155">
        <w:rPr>
          <w:rFonts w:asciiTheme="majorBidi" w:hAnsiTheme="majorBidi" w:cstheme="majorBidi"/>
          <w:sz w:val="24"/>
          <w:szCs w:val="24"/>
        </w:rPr>
        <w:t xml:space="preserve">Providing over nutrition to patient suspected with RS </w:t>
      </w:r>
      <w:proofErr w:type="gramStart"/>
      <w:r w:rsidRPr="00E26155">
        <w:rPr>
          <w:rFonts w:asciiTheme="majorBidi" w:hAnsiTheme="majorBidi" w:cstheme="majorBidi"/>
          <w:sz w:val="24"/>
          <w:szCs w:val="24"/>
        </w:rPr>
        <w:t>might be ended</w:t>
      </w:r>
      <w:proofErr w:type="gramEnd"/>
      <w:r w:rsidRPr="00E26155">
        <w:rPr>
          <w:rFonts w:asciiTheme="majorBidi" w:hAnsiTheme="majorBidi" w:cstheme="majorBidi"/>
          <w:sz w:val="24"/>
          <w:szCs w:val="24"/>
        </w:rPr>
        <w:t xml:space="preserve"> with fatal results. Preventing</w:t>
      </w:r>
      <w:r w:rsidRPr="00E26155">
        <w:rPr>
          <w:rFonts w:asciiTheme="majorBidi" w:hAnsiTheme="majorBidi" w:cstheme="majorBidi"/>
          <w:color w:val="191919"/>
          <w:sz w:val="24"/>
          <w:szCs w:val="24"/>
        </w:rPr>
        <w:t xml:space="preserve"> and </w:t>
      </w:r>
      <w:r w:rsidRPr="00E26155">
        <w:rPr>
          <w:rFonts w:asciiTheme="majorBidi" w:hAnsiTheme="majorBidi" w:cstheme="majorBidi"/>
          <w:sz w:val="24"/>
          <w:szCs w:val="24"/>
        </w:rPr>
        <w:t>early identification</w:t>
      </w:r>
      <w:r w:rsidRPr="00E26155">
        <w:rPr>
          <w:rFonts w:asciiTheme="majorBidi" w:hAnsiTheme="majorBidi" w:cstheme="majorBidi"/>
          <w:color w:val="191919"/>
          <w:sz w:val="24"/>
          <w:szCs w:val="24"/>
        </w:rPr>
        <w:t xml:space="preserve"> could be saving life</w:t>
      </w:r>
      <w:r w:rsidRPr="00E26155">
        <w:rPr>
          <w:rFonts w:asciiTheme="majorBidi" w:eastAsia="Calibri" w:hAnsiTheme="majorBidi" w:cstheme="majorBidi"/>
          <w:sz w:val="24"/>
          <w:szCs w:val="24"/>
        </w:rPr>
        <w:t xml:space="preserve"> </w:t>
      </w:r>
      <w:r w:rsidRPr="00E26155">
        <w:rPr>
          <w:rFonts w:asciiTheme="majorBidi" w:eastAsia="Calibri" w:hAnsiTheme="majorBidi" w:cstheme="majorBidi"/>
          <w:sz w:val="24"/>
          <w:szCs w:val="24"/>
        </w:rPr>
        <w:fldChar w:fldCharType="begin"/>
      </w:r>
      <w:r w:rsidRPr="00E26155">
        <w:rPr>
          <w:rFonts w:asciiTheme="majorBidi" w:eastAsia="Calibri" w:hAnsiTheme="majorBidi" w:cstheme="majorBidi"/>
          <w:sz w:val="24"/>
          <w:szCs w:val="24"/>
        </w:rPr>
        <w:instrText>ADDIN F1000_CSL_CITATION&lt;~#@#~&gt;[{"title":"Refeeding syndrome: problems with definition and management.","id":"7446647","page":"1448-1455","type":"article-journal","volume":"30","issue":"11-12","author":[{"family":"Crook","given":"Martin A"}],"issued":{"date-parts":[["2014","12"]]},"container-title":"Nutrition","container-title-short":"Nutrition","journalAbbreviation":"Nutrition","DOI":"10.1016/j.nut.2014.03.026","PMID":"25280426","citation-label":"7446647","Abstract":"Refeeding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&lt;br&gt;&lt;br&gt;Copyright © 2014 Elsevier Inc. All rights reserved.","CleanAbstract":"Refeeding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Copyright © 2014 Elsevier Inc. All rights reserved."}]</w:instrText>
      </w:r>
      <w:r w:rsidRPr="00E26155">
        <w:rPr>
          <w:rFonts w:asciiTheme="majorBidi" w:eastAsia="Calibri" w:hAnsiTheme="majorBidi" w:cstheme="majorBidi"/>
          <w:sz w:val="24"/>
          <w:szCs w:val="24"/>
        </w:rPr>
        <w:fldChar w:fldCharType="separate"/>
      </w:r>
      <w:r w:rsidR="000E5F63" w:rsidRPr="00E26155">
        <w:rPr>
          <w:rFonts w:asciiTheme="majorBidi" w:eastAsia="Calibri" w:hAnsiTheme="majorBidi" w:cstheme="majorBidi"/>
          <w:sz w:val="24"/>
          <w:szCs w:val="24"/>
        </w:rPr>
        <w:t>(6)</w:t>
      </w:r>
      <w:r w:rsidRPr="00E26155">
        <w:rPr>
          <w:rFonts w:asciiTheme="majorBidi" w:eastAsia="Calibri" w:hAnsiTheme="majorBidi" w:cstheme="majorBidi"/>
          <w:sz w:val="24"/>
          <w:szCs w:val="24"/>
        </w:rPr>
        <w:fldChar w:fldCharType="end"/>
      </w:r>
      <w:r w:rsidR="009C3FB3" w:rsidRPr="00E26155">
        <w:rPr>
          <w:rFonts w:asciiTheme="majorBidi" w:hAnsiTheme="majorBidi" w:cstheme="majorBidi"/>
          <w:color w:val="191919"/>
          <w:sz w:val="24"/>
          <w:szCs w:val="24"/>
        </w:rPr>
        <w:t>.</w:t>
      </w:r>
    </w:p>
    <w:p w:rsidR="003A7081" w:rsidRPr="00E26155" w:rsidRDefault="00AF38CB" w:rsidP="00E26155">
      <w:pPr>
        <w:bidi w:val="0"/>
        <w:spacing w:line="360" w:lineRule="auto"/>
        <w:rPr>
          <w:rFonts w:asciiTheme="majorBidi" w:hAnsiTheme="majorBidi" w:cstheme="majorBidi"/>
          <w:sz w:val="24"/>
          <w:szCs w:val="24"/>
        </w:rPr>
      </w:pPr>
      <w:r w:rsidRPr="00E26155">
        <w:rPr>
          <w:rFonts w:asciiTheme="majorBidi" w:hAnsiTheme="majorBidi" w:cstheme="majorBidi"/>
          <w:sz w:val="24"/>
          <w:szCs w:val="24"/>
        </w:rPr>
        <w:t>Prevalence of RS varies across studies due to deficient in global definition and objective diagnostic criteria.</w:t>
      </w:r>
      <w:r w:rsidR="000D394B" w:rsidRPr="00E26155">
        <w:rPr>
          <w:rFonts w:asciiTheme="majorBidi" w:hAnsiTheme="majorBidi" w:cstheme="majorBidi"/>
          <w:sz w:val="24"/>
          <w:szCs w:val="24"/>
        </w:rPr>
        <w:t xml:space="preserve"> </w:t>
      </w:r>
      <w:r w:rsidRPr="00E26155">
        <w:rPr>
          <w:rFonts w:asciiTheme="majorBidi" w:hAnsiTheme="majorBidi" w:cstheme="majorBidi"/>
          <w:sz w:val="24"/>
          <w:szCs w:val="24"/>
        </w:rPr>
        <w:t>RS ranging from 25% to 45% for ICU patients</w:t>
      </w:r>
      <w:r w:rsidR="009C3FB3" w:rsidRPr="00E26155">
        <w:rPr>
          <w:rFonts w:asciiTheme="majorBidi" w:hAnsiTheme="majorBidi" w:cstheme="majorBidi"/>
          <w:sz w:val="24"/>
          <w:szCs w:val="24"/>
        </w:rPr>
        <w:t xml:space="preserve"> </w:t>
      </w:r>
      <w:r w:rsidRPr="00E26155">
        <w:rPr>
          <w:rFonts w:asciiTheme="majorBidi" w:hAnsiTheme="majorBidi" w:cstheme="majorBidi"/>
          <w:sz w:val="24"/>
          <w:szCs w:val="24"/>
          <w:rtl/>
        </w:rPr>
        <w:fldChar w:fldCharType="begin"/>
      </w:r>
      <w:r w:rsidRPr="00E26155">
        <w:rPr>
          <w:rFonts w:asciiTheme="majorBidi" w:hAnsiTheme="majorBidi" w:cstheme="majorBidi"/>
          <w:sz w:val="24"/>
          <w:szCs w:val="24"/>
        </w:rPr>
        <w:instrText>ADDIN F1000_CSL_CITATION&lt;~#@#~&gt;[{"title":"Refeeding hypophosphatemia in critically ill patients in an intensive care unit. A prospective study.","id":"4626389","page":"1043-1047","type":"article-journal","volume":"131","issue":"10","author":[{"family":"Marik","given":"P E"},{"family":"Bedigian","given":"M K"}],"issued":{"date-parts":[["1996","10"]]},"container-title":"Archives of Surgery","container-title-short":"Arch. Surg.","journalAbbreviation":"Arch. Surg.","DOI":"10.1001/archsurg.1996.01430220037007","PMID":"8857900","citation-label":"4626389","Abstract":"&lt;strong&gt;BACKGROUND:&lt;/strong&gt; Hypophosphatemia has been reported after refeeding of malnourished patients. Nutritional support is often delayed in patients in the intensive care unit (ICU) as a consequence of enteral intolerance and bowel hypomotility.&lt;br&gt;&lt;br&gt;&lt;strong&gt;OBJECTIVE:&lt;/strong&gt; To determine the incidence, risk factors, and clinical impact of refeeding hypophosphatemia in a heterogeneous group of patients in an ICU.&lt;br&gt;&lt;br&gt;&lt;strong&gt;DESIGN:&lt;/strong&gt; Prospective, noninterventional study.&lt;br&gt;&lt;br&gt;&lt;strong&gt;SETTINGS:&lt;/strong&gt; Surgical and medical ICUs of a university-affiliated community hospital.&lt;br&gt;&lt;br&gt;&lt;strong&gt;PATIENTS:&lt;/strong&gt; Sixty-two patients in the ICU who were refed after being starved for at least 48 hours were prospectively followed up.&lt;br&gt;&lt;br&gt;&lt;strong&gt;INTERVENTIONS:&lt;/strong&gt; None.&lt;br&gt;&lt;br&gt;&lt;strong&gt;MAIN OUTCOME MEASURES:&lt;/strong&gt;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mmol/L.&lt;br&gt;&lt;br&gt;&lt;strong&gt;RESULTS:&lt;/strong&gt; Twenty-one patients (34%) experienced refeeding hypophosphatemia. In 6 patients, the serum phosphorus level fell below 0.32 mmol/L. The only risk factor studied that could predict the development of hypophosphatemia was the serum prealbumin concentration (mean +/- SD, 127 +/- 34 vs 79 +/- 40 g/L, P &lt;  .001). Seventeen (81%) of these 21 patients in whom hypophosphatemia developed had a prealbumin concentration less than 110 g/L compared with that in 12 (30%) of the patients who did not experience this complication (P &lt;  .001). In those patients in whom refeeding hypophosphatemia developed, the serum phosphorus level reached a mean +/- SD nadir of 1.9 +/- 1.1 days after feeding was started. Although the Acute Physiology and Chronic Health Evaluation II score was similar (mean +/- SD, 19 +/- 6 vs 18 +/- 7), the length of mechanical ventilation (mean +/- SD, 10.5 +/- 5.2 vs 7.1 +/- 2.8 days; P = .04) and the length of hospital stay (mean +/- SD, 12.1 +/- 7.1 vs 8.2 +/- 4.6 days; P = .01) were significantly longer in those patients who experienced hypophosphatemia compared with those patients who did not experience this complication.&lt;br&gt;&lt;br&gt;&lt;strong&gt;CONCLUSIONS:&lt;/strong&gt;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required.","CleanAbstract":"BACKGROUND: Hypophosphatemia has been reported after refeeding of malnourished patients. Nutritional support is often delayed in patients in the intensive care unit (ICU) as a consequence of enteral intolerance and bowel hypomotility.OBJECTIVE: To determine the incidence, risk factors, and clinical impact of refeeding hypophosphatemia in a heterogeneous group of patients in an ICU.DESIGN: Prospective, noninterventional study.SETTINGS: Surgical and medical ICUs of a university-affiliated community hospital.PATIENTS: Sixty-two patients in the ICU who were refed after being starved for at least 48 hours were prospectively followed up.INTERVENTIONS: None.MAIN OUTCOME MEASURES: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mmol/L.RESULTS: Twenty-one patients (34%) experienced refeeding hypophosphatemia. In 6 patients, the serum phosphorus level fell below 0.32 mmol/L. The only risk factor studied that could predict the development of hypophosphatemia was the serum prealbumin concentration (mean +/- SD, 127 +/- 34 vs 79 +/- 40 g/L, P CONCLUSIONS: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required."},{"title":"Refeeding syndrome: problems with definition and management.","id":"7446647","page":"1448-1455","type":"article-journal","volume":"30","issue":"11-12","author":[{"family":"Crook","given":"Martin A"}],"issued":{"date-parts":[["2014","12"]]},"container-title":"Nutrition","container-title-short":"Nutrition","journalAbbreviation":"Nutrition","DOI":"10.1016/j.nut.2014.03.026","PMID":"25280426","citation-label":"7446647","Abstract":"Refeeding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&lt;br&gt;&lt;br&gt;Copyright © 2014 Elsevier Inc. All rights reserved.","CleanAbstract":"Refeeding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Copyright © 2014 Elsevier Inc. All rights reserved."},{"title":"Impact of caloric intake in critically ill patients with, and without, refeeding syndrome: A retrospective study.","id":"7361525","page":"1609-1617","type":"article-journal","volume":"37","issue":"5","author":[{"family":"Olthof","given":"Laura E"},{"family":"Koekkoek","given":"W A C Kristine"},{"family":"van Setten","given":"Coralien"},{"family":"Kars","given":"Johannes C N"},{"family":"van Blokland","given":"Dick"},{"family":"van Zanten","given":"Arthur R H"}],"issued":{"date-parts":[["2018"]]},"container-title":"Clinical Nutrition","container-title-short":"Clin. Nutr.","journalAbbreviation":"Clin. Nutr.","DOI":"10.1016/j.clnu.2017.08.001","PMID":"28866139","citation-label":"7361525","Abstract":"&lt;strong&gt;BACKGROUND &amp; AIMS:&lt;/strong&gt;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syndrome.&lt;br&gt;&lt;br&gt;&lt;strong&gt;METHODS:&lt;/strong&gt; A retrospective study among critically ill invasive mechanically ventilated patients admitted for &gt;7 days to a medical-surgical ICU. Refeeding syndrome was diagnosed by the occurrence of new onset hypophosphatemia (&lt; 0.65 mmol/l) within 72 h of the start of nutritional support. Primary outcome was 6-month mortality. Secondary outcomes were 3-month mortality, ICU and hospital length of stay and duration of mechanical ventilation. Outcomes of patients with and without refeeding syndrome were compared and subgroup analysis on energy intake within the refeeding population was performed for the duration of survival.&lt;br&gt;&lt;br&gt;&lt;strong&gt;RESULTS:&lt;/strong&gt;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(&lt; 50% of target) was seen compared with normal intake, adjusted Hazard Ratio 0.39, (95% CI 0.16-0.95, p = 0.037). In this group, low caloric intake was associated with an increased overall survival time at day 180 (153.0 (SE 10.1) vs 119.1 (SE 8.0) days, log-rank p = 0.018).&lt;br&gt;&lt;br&gt;&lt;strong&gt;CONCLUSIONS:&lt;/strong&gt;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illness.&lt;br&gt;&lt;br&gt;Copyright © 2017 The Authors. Published by Elsevier Ltd.. All rights reserved.","CleanAbstract":"BACKGROUND &amp; AIMS: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syndrome.METHODS: A retrospective study among critically ill invasive mechanically ventilated patients admitted for &gt;7 days to a medical-surgical ICU. Refeeding syndrome was diagnosed by the occurrence of new onset hypophosphatemia (RESULTS: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(CONCLUSIONS: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illness.Copyright © 2017 The Authors. Published by Elsevier Ltd.. All rights reserved."}]</w:instrText>
      </w:r>
      <w:r w:rsidRPr="00E26155">
        <w:rPr>
          <w:rFonts w:asciiTheme="majorBidi" w:hAnsiTheme="majorBidi" w:cstheme="majorBidi"/>
          <w:sz w:val="24"/>
          <w:szCs w:val="24"/>
          <w:rtl/>
        </w:rPr>
        <w:fldChar w:fldCharType="separate"/>
      </w:r>
      <w:r w:rsidR="000E5F63" w:rsidRPr="00E26155">
        <w:rPr>
          <w:rFonts w:asciiTheme="majorBidi" w:hAnsiTheme="majorBidi" w:cstheme="majorBidi"/>
          <w:sz w:val="24"/>
          <w:szCs w:val="24"/>
          <w:rtl/>
        </w:rPr>
        <w:t>(4,6,7)</w:t>
      </w:r>
      <w:r w:rsidRPr="00E26155">
        <w:rPr>
          <w:rFonts w:asciiTheme="majorBidi" w:hAnsiTheme="majorBidi" w:cstheme="majorBidi"/>
          <w:sz w:val="24"/>
          <w:szCs w:val="24"/>
          <w:rtl/>
        </w:rPr>
        <w:fldChar w:fldCharType="end"/>
      </w:r>
      <w:r w:rsidR="003A7081" w:rsidRPr="00E26155">
        <w:rPr>
          <w:rFonts w:asciiTheme="majorBidi" w:hAnsiTheme="majorBidi" w:cstheme="majorBidi"/>
          <w:sz w:val="24"/>
          <w:szCs w:val="24"/>
        </w:rPr>
        <w:t>.</w:t>
      </w:r>
      <w:r w:rsidR="009958A6" w:rsidRPr="00E26155">
        <w:rPr>
          <w:rFonts w:asciiTheme="majorBidi" w:hAnsiTheme="majorBidi" w:cstheme="majorBidi"/>
          <w:sz w:val="24"/>
          <w:szCs w:val="24"/>
        </w:rPr>
        <w:t xml:space="preserve"> The rate of RS might be even higher due to the fact that RS is underdiagnosed and therefore</w:t>
      </w:r>
      <w:r w:rsidR="009C3FB3" w:rsidRPr="00E26155">
        <w:rPr>
          <w:rFonts w:asciiTheme="majorBidi" w:hAnsiTheme="majorBidi" w:cstheme="majorBidi"/>
          <w:sz w:val="24"/>
          <w:szCs w:val="24"/>
        </w:rPr>
        <w:t xml:space="preserve"> in many cases</w:t>
      </w:r>
      <w:r w:rsidR="009958A6" w:rsidRPr="00E26155">
        <w:rPr>
          <w:rFonts w:asciiTheme="majorBidi" w:hAnsiTheme="majorBidi" w:cstheme="majorBidi"/>
          <w:sz w:val="24"/>
          <w:szCs w:val="24"/>
        </w:rPr>
        <w:t xml:space="preserve"> it is not reported </w:t>
      </w:r>
      <w:r w:rsidR="009958A6" w:rsidRPr="00E26155">
        <w:rPr>
          <w:rFonts w:asciiTheme="majorBidi" w:hAnsiTheme="majorBidi" w:cstheme="majorBidi"/>
          <w:sz w:val="24"/>
          <w:szCs w:val="24"/>
        </w:rPr>
        <w:fldChar w:fldCharType="begin"/>
      </w:r>
      <w:r w:rsidR="009958A6" w:rsidRPr="00E26155">
        <w:rPr>
          <w:rFonts w:asciiTheme="majorBidi" w:hAnsiTheme="majorBidi" w:cstheme="majorBidi"/>
          <w:sz w:val="24"/>
          <w:szCs w:val="24"/>
        </w:rPr>
        <w:instrText>ADDIN F1000_CSL_CITATION&lt;~#@#~&gt;[{"title":"Refeeding syndrome or refeeding hypophosphatemia: a systematic review of cases.","id":"7446743","page":"34-40","type":"article-journal","volume":"27","issue":"1","author":[{"family":"Skipper","given":"Annalynn"}],"issued":{"date-parts":[["2012","2"]]},"container-title":"Nutrition in Clinical Practice","container-title-short":"Nutr. Clin. Pract.","journalAbbreviation":"Nutr. Clin. Pract.","DOI":"10.1177/0884533611427916","PMID":"22307490","citation-label":"7446743","Abstract":"Nutrition support clinicians refer to the abnormalities in laboratory data and changes in clinical signs and symptoms that follow refeeding of starved or malnourished patients as refeeding syndrome. Theoretical descriptions of refeeding syndrome include a complex and extensive list of changes, such as hypophosphatemia, hypomagnesemia, hypokalemia, hyponatremia, hypocalcemia, hyperglycemia, and vitamin deficiency--all of which are accompanied by clinical signs and symptoms. In practice, clinicians see asymptomatic refeeding hypophosphatemia more often than a full-blown syndrome with multiple laboratory and clinical abnormalities. Confusion results because there is no widely accepted or uniformly applied set of defining characteristics for diagnosing refeeding syndrome. To gain insight into the clinical characteristics of refeeding syndrome described in the literature, a systematic review of reported cases and case series was conducted. Since 2000, 20 authors described 27 cases that contained sufficient data for review. Hypophosphatemia occurred in 26 patients (96%). While 19 patients (71%) experienced at least 1 other laboratory abnormality, only 14 (51%) exhibited a consistent pattern of abnormally low phosphorus and magnesium levels. Seven patients had hypocalcemia (26%), and hyponatremia was reported in 3 patients (11%). There were no reports of hyperglycemia. Mean data reported in case series containing data from 63 patients showed that hypophosphatemia was a consistent finding but that other abnormalities were not consistently identified. Findings suggest that refeeding hypophosphatemia is not accompanied by a consistent pattern of biochemical or clinical abnormalities among case reports or case series of patients reported to have refeeding syndrome.","CleanAbstract":"Nutrition support clinicians refer to the abnormalities in laboratory data and changes in clinical signs and symptoms that follow refeeding of starved or malnourished patients as refeeding syndrome. Theoretical descriptions of refeeding syndrome include a complex and extensive list of changes, such as hypophosphatemia, hypomagnesemia, hypokalemia, hyponatremia, hypocalcemia, hyperglycemia, and vitamin deficiency--all of which are accompanied by clinical signs and symptoms. In practice, clinicians see asymptomatic refeeding hypophosphatemia more often than a full-blown syndrome with multiple laboratory and clinical abnormalities. Confusion results because there is no widely accepted or uniformly applied set of defining characteristics for diagnosing refeeding syndrome. To gain insight into the clinical characteristics of refeeding syndrome described in the literature, a systematic review of reported cases and case series was conducted. Since 2000, 20 authors described 27 cases that contained sufficient data for review. Hypophosphatemia occurred in 26 patients (96%). While 19 patients (71%) experienced at least 1 other laboratory abnormality, only 14 (51%) exhibited a consistent pattern of abnormally low phosphorus and magnesium levels. Seven patients had hypocalcemia (26%), and hyponatremia was reported in 3 patients (11%). There were no reports of hyperglycemia. Mean data reported in case series containing data from 63 patients showed that hypophosphatemia was a consistent finding but that other abnormalities were not consistently identified. Findings suggest that refeeding hypophosphatemia is not accompanied by a consistent pattern of biochemical or clinical abnormalities among case reports or case series of patients reported to have refeeding syndrome."}]</w:instrText>
      </w:r>
      <w:r w:rsidR="009958A6"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(8)</w:t>
      </w:r>
      <w:r w:rsidR="009958A6" w:rsidRPr="00E26155">
        <w:rPr>
          <w:rFonts w:asciiTheme="majorBidi" w:hAnsiTheme="majorBidi" w:cstheme="majorBidi"/>
          <w:sz w:val="24"/>
          <w:szCs w:val="24"/>
        </w:rPr>
        <w:fldChar w:fldCharType="end"/>
      </w:r>
      <w:r w:rsidR="009958A6" w:rsidRPr="00E26155">
        <w:rPr>
          <w:rFonts w:asciiTheme="majorBidi" w:hAnsiTheme="majorBidi" w:cstheme="majorBidi"/>
          <w:sz w:val="24"/>
          <w:szCs w:val="24"/>
        </w:rPr>
        <w:t>.</w:t>
      </w:r>
      <w:r w:rsidR="003A7081" w:rsidRPr="00E26155">
        <w:rPr>
          <w:rFonts w:asciiTheme="majorBidi" w:hAnsiTheme="majorBidi" w:cstheme="majorBidi"/>
          <w:sz w:val="24"/>
          <w:szCs w:val="24"/>
        </w:rPr>
        <w:t xml:space="preserve"> HP and RS is associated to longer hospitalization, impair outcomes</w:t>
      </w:r>
      <w:r w:rsidR="003A7081" w:rsidRPr="00E26155">
        <w:rPr>
          <w:rFonts w:asciiTheme="majorBidi" w:hAnsiTheme="majorBidi" w:cstheme="majorBidi"/>
          <w:sz w:val="24"/>
          <w:szCs w:val="24"/>
          <w:rtl/>
        </w:rPr>
        <w:t xml:space="preserve"> </w:t>
      </w:r>
      <w:r w:rsidR="003A7081" w:rsidRPr="00E26155">
        <w:rPr>
          <w:rFonts w:asciiTheme="majorBidi" w:hAnsiTheme="majorBidi" w:cstheme="majorBidi"/>
          <w:sz w:val="24"/>
          <w:szCs w:val="24"/>
        </w:rPr>
        <w:t>and mortality</w:t>
      </w:r>
      <w:r w:rsidR="009C3FB3" w:rsidRPr="00E26155">
        <w:rPr>
          <w:rFonts w:asciiTheme="majorBidi" w:hAnsiTheme="majorBidi" w:cstheme="majorBidi"/>
          <w:sz w:val="24"/>
          <w:szCs w:val="24"/>
        </w:rPr>
        <w:t xml:space="preserve"> </w:t>
      </w:r>
      <w:r w:rsidR="003A7081" w:rsidRPr="00E26155">
        <w:rPr>
          <w:rFonts w:asciiTheme="majorBidi" w:eastAsia="Times New Roman" w:hAnsiTheme="majorBidi" w:cstheme="majorBidi"/>
          <w:color w:val="2E2E2E"/>
          <w:sz w:val="24"/>
          <w:szCs w:val="24"/>
        </w:rPr>
        <w:fldChar w:fldCharType="begin"/>
      </w:r>
      <w:r w:rsidR="003A7081" w:rsidRPr="00E26155">
        <w:rPr>
          <w:rFonts w:asciiTheme="majorBidi" w:eastAsia="Times New Roman" w:hAnsiTheme="majorBidi" w:cstheme="majorBidi"/>
          <w:color w:val="2E2E2E"/>
          <w:sz w:val="24"/>
          <w:szCs w:val="24"/>
        </w:rPr>
        <w:instrText>ADDIN F1000_CSL_CITATION&lt;~#@#~&gt;[{"title":"Management and prevention of refeeding syndrome in medical inpatients: An evidence-based and consensus-supported algorithm.","id":"7446672","page":"13-20","type":"article-journal","volume":"47","author":[{"family":"Friedli","given":"Natalie"},{"family":"Stanga","given":"Zeno"},{"family":"Culkin","given":"Alison"},{"family":"Crook","given":"Martin"},{"family":"Laviano","given":"Alessandro"},{"family":"Sobotka","given":"Lubos"},{"family":"Kressig","given":"Reto W"},{"family":"Kondrup","given":"Jens"},{"family":"Mueller","given":"Beat"},{"family":"Schuetz","given":"Philipp"}],"issued":{"date-parts":[["2018"]]},"container-title":"Nutrition","container-title-short":"Nutrition","journalAbbreviation":"Nutrition","DOI":"10.1016/j.nut.2017.09.007","PMID":"29429529","citation-label":"7446672","Abstract":"&lt;strong&gt;OBJECTIVES:&lt;/strong&gt; Refeeding syndrome (RFS) can be a life-threatening metabolic condition after nutritional replenishment if not recognized early and treated adequately. There is a lack of evidence-based treatment and monitoring algorithm for daily clinical practice. The aim of the study was to propose an expert consensus guideline for RFS for the medical inpatient (not including anorexic patients) regarding risk factors, diagnostic criteria, and preventive and therapeutic measures based on a previous systematic literature search.&lt;br&gt;&lt;br&gt;&lt;strong&gt;METHODS:&lt;/strong&gt; Based on a recent qualitative systematic review on the topic, we developed clinically relevant recommendations as well as a treatment and monitoring algorithm for the clinical management of inpatients regarding RFS. With international experts, these recommendations were discussed and agreement with the recommendation was rated.&lt;br&gt;&lt;br&gt;&lt;strong&gt;RESULTS:&lt;/strong&gt; Upon hospital admission, we recommend the use of specific screening criteria (i.e., low body mass index, large unintentional weight loss, little or no nutritional intake, history of alcohol or drug abuse) for risk assessment regarding the occurrence of RFS. According to the patient's individual risk for RFS, a careful start of nutritional therapy with a stepwise increase in energy and fluids goals and supplementation of electrolyte and vitamins, as well as close clinical monitoring, is recommended. We also propose criteria for the diagnosis of imminent and manifest RFS with practical treatment recommendations with adoption of the nutritional therapy.&lt;br&gt;&lt;br&gt;&lt;strong&gt;CONCLUSION:&lt;/strong&gt; Based on the available evidence, we developed a practical algorithm for risk assessment, treatment, and monitoring of RFS in medical inpatients. In daily routine clinical care, this may help to optimize and standardize the management of this vulnerable patient population. We encourage future quality studies to further refine these recommendations.&lt;br&gt;&lt;br&gt;Copyright © 2017 Elsevier Inc. All rights reserved.","CleanAbstract":"OBJECTIVES: Refeeding syndrome (RFS) can be a life-threatening metabolic condition after nutritional replenishment if not recognized early and treated adequately. There is a lack of evidence-based treatment and monitoring algorithm for daily clinical practice. The aim of the study was to propose an expert consensus guideline for RFS for the medical inpatient (not including anorexic patients) regarding risk factors, diagnostic criteria, and preventive and therapeutic measures based on a previous systematic literature search.METHODS: Based on a recent qualitative systematic review on the topic, we developed clinically relevant recommendations as well as a treatment and monitoring algorithm for the clinical management of inpatients regarding RFS. With international experts, these recommendations were discussed and agreement with the recommendation was rated.RESULTS: Upon hospital admission, we recommend the use of specific screening criteria (i.e., low body mass index, large unintentional weight loss, little or no nutritional intake, history of alcohol or drug abuse) for risk assessment regarding the occurrence of RFS. According to the patient's individual risk for RFS, a careful start of nutritional therapy with a stepwise increase in energy and fluids goals and supplementation of electrolyte and vitamins, as well as close clinical monitoring, is recommended. We also propose criteria for the diagnosis of imminent and manifest RFS with practical treatment recommendations with adoption of the nutritional therapy.CONCLUSION: Based on the available evidence, we developed a practical algorithm for risk assessment, treatment, and monitoring of RFS in medical inpatients. In daily routine clinical care, this may help to optimize and standardize the management of this vulnerable patient population. We encourage future quality studies to further refine these recommendations.Copyright © 2017 Elsevier Inc. All rights reserved."}]</w:instrText>
      </w:r>
      <w:r w:rsidR="003A7081" w:rsidRPr="00E26155">
        <w:rPr>
          <w:rFonts w:asciiTheme="majorBidi" w:eastAsia="Times New Roman" w:hAnsiTheme="majorBidi" w:cstheme="majorBidi"/>
          <w:color w:val="2E2E2E"/>
          <w:sz w:val="24"/>
          <w:szCs w:val="24"/>
        </w:rPr>
        <w:fldChar w:fldCharType="separate"/>
      </w:r>
      <w:r w:rsidR="000E5F63" w:rsidRPr="00E26155">
        <w:rPr>
          <w:rFonts w:asciiTheme="majorBidi" w:eastAsia="Times New Roman" w:hAnsiTheme="majorBidi" w:cstheme="majorBidi"/>
          <w:color w:val="2E2E2E"/>
          <w:sz w:val="24"/>
          <w:szCs w:val="24"/>
        </w:rPr>
        <w:t>(9)</w:t>
      </w:r>
      <w:r w:rsidR="003A7081" w:rsidRPr="00E26155">
        <w:rPr>
          <w:rFonts w:asciiTheme="majorBidi" w:eastAsia="Times New Roman" w:hAnsiTheme="majorBidi" w:cstheme="majorBidi"/>
          <w:color w:val="2E2E2E"/>
          <w:sz w:val="24"/>
          <w:szCs w:val="24"/>
        </w:rPr>
        <w:fldChar w:fldCharType="end"/>
      </w:r>
      <w:r w:rsidR="003A7081" w:rsidRPr="00E26155">
        <w:rPr>
          <w:rFonts w:asciiTheme="majorBidi" w:eastAsia="Times New Roman" w:hAnsiTheme="majorBidi" w:cstheme="majorBidi"/>
          <w:color w:val="2E2E2E"/>
          <w:sz w:val="24"/>
          <w:szCs w:val="24"/>
        </w:rPr>
        <w:t xml:space="preserve"> .</w:t>
      </w:r>
    </w:p>
    <w:p w:rsidR="009958A6" w:rsidRPr="00E26155" w:rsidRDefault="009870E4"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lastRenderedPageBreak/>
        <w:t>In case of HP, if the low phosphate levels are ignored by the nursing stuff and the patient is fed</w:t>
      </w:r>
      <w:r w:rsidR="009958A6" w:rsidRPr="00E26155">
        <w:rPr>
          <w:rFonts w:asciiTheme="majorBidi" w:hAnsiTheme="majorBidi" w:cstheme="majorBidi"/>
          <w:sz w:val="24"/>
          <w:szCs w:val="24"/>
        </w:rPr>
        <w:t xml:space="preserve"> despite the low phosphate levels</w:t>
      </w:r>
      <w:r w:rsidRPr="00E26155">
        <w:rPr>
          <w:rFonts w:asciiTheme="majorBidi" w:hAnsiTheme="majorBidi" w:cstheme="majorBidi"/>
          <w:sz w:val="24"/>
          <w:szCs w:val="24"/>
        </w:rPr>
        <w:t xml:space="preserve">, this can lead to additional </w:t>
      </w:r>
      <w:r w:rsidR="009958A6" w:rsidRPr="00E26155">
        <w:rPr>
          <w:rFonts w:asciiTheme="majorBidi" w:hAnsiTheme="majorBidi" w:cstheme="majorBidi"/>
          <w:sz w:val="24"/>
          <w:szCs w:val="24"/>
        </w:rPr>
        <w:t xml:space="preserve">dangerous </w:t>
      </w:r>
      <w:r w:rsidRPr="00E26155">
        <w:rPr>
          <w:rFonts w:asciiTheme="majorBidi" w:hAnsiTheme="majorBidi" w:cstheme="majorBidi"/>
          <w:sz w:val="24"/>
          <w:szCs w:val="24"/>
        </w:rPr>
        <w:t>decrease in phosphates level, rapid changes in other electrolytes</w:t>
      </w:r>
      <w:r w:rsidR="009958A6" w:rsidRPr="00E26155">
        <w:rPr>
          <w:rFonts w:asciiTheme="majorBidi" w:hAnsiTheme="majorBidi" w:cstheme="majorBidi"/>
          <w:sz w:val="24"/>
          <w:szCs w:val="24"/>
        </w:rPr>
        <w:t xml:space="preserve"> (RS)</w:t>
      </w:r>
      <w:r w:rsidRPr="00E26155">
        <w:rPr>
          <w:rFonts w:asciiTheme="majorBidi" w:hAnsiTheme="majorBidi" w:cstheme="majorBidi"/>
          <w:sz w:val="24"/>
          <w:szCs w:val="24"/>
        </w:rPr>
        <w:t xml:space="preserve"> that can also result in death</w:t>
      </w:r>
      <w:r w:rsidR="009958A6" w:rsidRPr="00E26155">
        <w:rPr>
          <w:rFonts w:asciiTheme="majorBidi" w:hAnsiTheme="majorBidi" w:cstheme="majorBidi"/>
          <w:sz w:val="24"/>
          <w:szCs w:val="24"/>
        </w:rPr>
        <w:t xml:space="preserve"> </w:t>
      </w:r>
      <w:r w:rsidRPr="00E26155">
        <w:rPr>
          <w:rFonts w:asciiTheme="majorBidi" w:hAnsiTheme="majorBidi" w:cstheme="majorBidi"/>
          <w:color w:val="2E2E2E"/>
          <w:sz w:val="24"/>
          <w:szCs w:val="24"/>
        </w:rPr>
        <w:fldChar w:fldCharType="begin"/>
      </w:r>
      <w:r w:rsidRPr="00E26155">
        <w:rPr>
          <w:rFonts w:asciiTheme="majorBidi" w:hAnsiTheme="majorBidi" w:cstheme="majorBidi"/>
          <w:color w:val="2E2E2E"/>
          <w:sz w:val="24"/>
          <w:szCs w:val="24"/>
        </w:rPr>
        <w: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Ltd."},{"title":"Intravenous amino acid therapy for kidney function in critically ill patients: a randomized controlled trial.","id":"1969682","page":"1197-1208","type":"article-journal","volume":"41","issue":"7","author":[{"family":"Doig","given":"Gordon S"},{"family":"Simpson","given":"Fiona"},{"family":"Bellomo","given":"Rinaldo"},{"family":"Heighes","given":"Philippa T"},{"family":"Sweetman","given":"Elizabeth A"},{"family":"Chesher","given":"Douglas"},{"family":"Pollock","given":"Carol"},{"family":"Davies","given":"Andrew"},{"family":"Botha","given":"John"},{"family":"Harrigan","given":"Peter"},{"family":"Reade","given":"Michael C"}],"issued":{"date-parts":[["2015","7"]]},"container-title":"Intensive Care Medicine","container-title-short":"Intensive Care Med.","journalAbbreviation":"Intensive Care Med.","DOI":"10.1007/s00134-015-3827-9","PMID":"25925203","citation-label":"1969682","CleanAbstract":"No abstract available"},{"title":"Fluid, electrolytes and nutrition: physiological and clinical aspects.","id":"7446694","page":"453-466","type":"article-journal","volume":"63","issue":"3","author":[{"family":"Lobo","given":"Dileep N"}],"issued":{"date-parts":[["2004","8"]]},"container-title":"The Proceedings of the Nutrition Society","container-title-short":"Proc. Nutr. Soc.","journalAbbreviation":"Proc. Nutr. Soc.","PMID":"15373958","citation-label":"7446694","Abstract":"Fluid and electrolyte balance is often poorly understood and inappropriate prescribing can cause increased post-operative morbidity and mortality. The efficiency of the physiological response to a salt or water deficit, developed through evolution, contrasts with the relatively inefficient mechanism for dealing with salt excess. Saline has a Na+:Cl- of 1:1 and can produce hyperchloraemic acidosis, renal vasoconstriction and reduced glomerular filtration rate. In contrast, the more physiological Hartmann's solution with a Na+:Cl- of 1.18:1 does not cause hyperchloraemia and Na excretion following infusion is more rapid. Salt and water overload causes not only peripheral and pulmonary oedema, but may also produce splanchnic oedema, resulting in ileus or acute intestinal failure. This overload may sometimes be an inevitable consequence of resuscitation, yet it may take 3 weeks to excrete this excess. It is important to avoid unnecessary additional overload by not prescribing excessive maintenance fluids after the need for resuscitation has passed. Most patients require 2-2.5 litres water and 60-100 mmol Na/d for maintenance in order to prevent a positive fluid balance. This requirement must not be confused with those for resuscitation of the hypovolaemic patient in whom the main aim of fluid therapy is repletion of the intravascular volume. Fluid and electrolyte balance is a vital component of the metabolic care of surgical and critically-ill patients, with important consequences for gastrointestinal function and hence nutrition. It is also of importance when prescribing artificial nutrition and should be given the same careful consideration as other nutritional and pharmacological needs.","CleanAbstract":"Fluid and electrolyte balance is often poorly understood and inappropriate prescribing can cause increased post-operative morbidity and mortality. The efficiency of the physiological response to a salt or water deficit, developed through evolution, contrasts with the relatively inefficient mechanism for dealing with salt excess. Saline has a Na+:Cl- of 1:1 and can produce hyperchloraemic acidosis, renal vasoconstriction and reduced glomerular filtration rate. In contrast, the more physiological Hartmann's solution with a Na+:Cl- of 1.18:1 does not cause hyperchloraemia and Na excretion following infusion is more rapid. Salt and water overload causes not only peripheral and pulmonary oedema, but may also produce splanchnic oedema, resulting in ileus or acute intestinal failure. This overload may sometimes be an inevitable consequence of resuscitation, yet it may take 3 weeks to excrete this excess. It is important to avoid unnecessary additional overload by not prescribing excessive maintenance fluids after the need for resuscitation has passed. Most patients require 2-2.5 litres water and 60-100 mmol Na/d for maintenance in order to prevent a positive fluid balance. This requirement must not be confused with those for resuscitation of the hypovolaemic patient in whom the main aim of fluid therapy is repletion of the intravascular volume. Fluid and electrolyte balance is a vital component of the metabolic care of surgical and critically-ill patients, with important consequences for gastrointestinal function and hence nutrition. It is also of importance when prescribing artificial nutrition and should be given the same careful consideration as other nutritional and pharmacological needs."}]</w:instrText>
      </w:r>
      <w:r w:rsidRPr="00E26155">
        <w:rPr>
          <w:rFonts w:asciiTheme="majorBidi" w:hAnsiTheme="majorBidi" w:cstheme="majorBidi"/>
          <w:color w:val="2E2E2E"/>
          <w:sz w:val="24"/>
          <w:szCs w:val="24"/>
        </w:rPr>
        <w:fldChar w:fldCharType="separate"/>
      </w:r>
      <w:r w:rsidR="000E5F63" w:rsidRPr="00E26155">
        <w:rPr>
          <w:rFonts w:asciiTheme="majorBidi" w:hAnsiTheme="majorBidi" w:cstheme="majorBidi"/>
          <w:color w:val="2E2E2E"/>
          <w:sz w:val="24"/>
          <w:szCs w:val="24"/>
        </w:rPr>
        <w:t>(5,10,11)</w:t>
      </w:r>
      <w:r w:rsidRPr="00E26155">
        <w:rPr>
          <w:rFonts w:asciiTheme="majorBidi" w:hAnsiTheme="majorBidi" w:cstheme="majorBidi"/>
          <w:color w:val="2E2E2E"/>
          <w:sz w:val="24"/>
          <w:szCs w:val="24"/>
        </w:rPr>
        <w:fldChar w:fldCharType="end"/>
      </w:r>
      <w:r w:rsidRPr="00E26155">
        <w:rPr>
          <w:rFonts w:asciiTheme="majorBidi" w:hAnsiTheme="majorBidi" w:cstheme="majorBidi"/>
          <w:sz w:val="24"/>
          <w:szCs w:val="24"/>
        </w:rPr>
        <w:t xml:space="preserve">. </w:t>
      </w:r>
      <w:r w:rsidR="009958A6" w:rsidRPr="00E26155">
        <w:rPr>
          <w:rFonts w:asciiTheme="majorBidi" w:hAnsiTheme="majorBidi" w:cstheme="majorBidi"/>
          <w:sz w:val="24"/>
          <w:szCs w:val="24"/>
        </w:rPr>
        <w:t xml:space="preserve">Therefore, to provide effective nutritional treatment it is necessary to monitor the patients in the ICU </w:t>
      </w:r>
      <w:r w:rsidR="009958A6" w:rsidRPr="00E26155">
        <w:rPr>
          <w:rFonts w:asciiTheme="majorBidi" w:hAnsiTheme="majorBidi" w:cstheme="majorBidi"/>
          <w:sz w:val="24"/>
          <w:szCs w:val="24"/>
        </w:rPr>
        <w:fldChar w:fldCharType="begin"/>
      </w:r>
      <w:r w:rsidR="009958A6" w:rsidRPr="00E26155">
        <w:rPr>
          <w:rFonts w:asciiTheme="majorBidi" w:hAnsiTheme="majorBidi" w:cstheme="majorBidi"/>
          <w:sz w:val="24"/>
          <w:szCs w:val="24"/>
        </w:rPr>
        <w: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w:instrText>
      </w:r>
      <w:r w:rsidR="009958A6"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(5)</w:t>
      </w:r>
      <w:r w:rsidR="009958A6" w:rsidRPr="00E26155">
        <w:rPr>
          <w:rFonts w:asciiTheme="majorBidi" w:hAnsiTheme="majorBidi" w:cstheme="majorBidi"/>
          <w:sz w:val="24"/>
          <w:szCs w:val="24"/>
        </w:rPr>
        <w:fldChar w:fldCharType="end"/>
      </w:r>
      <w:r w:rsidR="009958A6" w:rsidRPr="00E26155">
        <w:rPr>
          <w:rFonts w:asciiTheme="majorBidi" w:eastAsia="TimesNewRomanPSMT" w:hAnsiTheme="majorBidi" w:cstheme="majorBidi"/>
          <w:sz w:val="24"/>
          <w:szCs w:val="24"/>
        </w:rPr>
        <w:t>.</w:t>
      </w:r>
      <w:r w:rsidR="009958A6" w:rsidRPr="00E26155">
        <w:rPr>
          <w:rFonts w:asciiTheme="majorBidi" w:hAnsiTheme="majorBidi" w:cstheme="majorBidi"/>
          <w:sz w:val="24"/>
          <w:szCs w:val="24"/>
        </w:rPr>
        <w:t xml:space="preserve"> </w:t>
      </w:r>
    </w:p>
    <w:p w:rsidR="00D2030C" w:rsidRPr="00E26155" w:rsidRDefault="00401B33"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 xml:space="preserve">According to </w:t>
      </w:r>
      <w:proofErr w:type="spellStart"/>
      <w:r w:rsidRPr="00E26155">
        <w:rPr>
          <w:rFonts w:asciiTheme="majorBidi" w:hAnsiTheme="majorBidi" w:cstheme="majorBidi"/>
          <w:sz w:val="24"/>
          <w:szCs w:val="24"/>
        </w:rPr>
        <w:t>Tagney</w:t>
      </w:r>
      <w:proofErr w:type="spellEnd"/>
      <w:r w:rsidRPr="00E26155">
        <w:rPr>
          <w:rFonts w:asciiTheme="majorBidi" w:hAnsiTheme="majorBidi" w:cstheme="majorBidi"/>
          <w:sz w:val="24"/>
          <w:szCs w:val="24"/>
        </w:rPr>
        <w:t xml:space="preserve"> &amp; Haines </w:t>
      </w:r>
      <w:r w:rsidRPr="00E26155">
        <w:rPr>
          <w:rFonts w:asciiTheme="majorBidi" w:hAnsiTheme="majorBidi" w:cstheme="majorBidi"/>
          <w:sz w:val="24"/>
          <w:szCs w:val="24"/>
        </w:rPr>
        <w:fldChar w:fldCharType="begin"/>
      </w:r>
      <w:r w:rsidRPr="00E26155">
        <w:rPr>
          <w:rFonts w:asciiTheme="majorBidi" w:hAnsiTheme="majorBidi" w:cstheme="majorBidi"/>
          <w:sz w:val="24"/>
          <w:szCs w:val="24"/>
        </w:rPr>
        <w:instrText>ADDIN F1000_CSL_CITATION&lt;~#@#~&gt;[{"title":"Using evidence-based practice to address gaps in nursing knowledge.","id":"6813451","page":"484-489","type":"article-journal","volume":"18","issue":"8","author":[{"family":"Tagney","given":"Jenny"},{"family":"Haines","given":"Caroline"}],"issued":{"date-parts":[["2009"]]},"container-title":"British Journal of Nursing","container-title-short":"Br. J. Nurs.","journalAbbreviation":"Br. J. Nurs.","DOI":"10.12968/bjon.2009.18.8.41811","PMID":"19377394","citation-label":"6813451","Abstract":"Implementing evidence based-practice and research findings into nursing care has been identified as a challenge to nursing staff. This article identifies key barriers to the use of research in the international literature, however, there are limited suggestions as to how to improve this in the clinical arena. This article aims to identify how nurses could optimize the implementation of evidence and research into their clinical care and reviews barriers to implementing and undertaking nursing research, suggesting a framework for improvement. It considers the widely varied levels of knowledge of research and equally varied critical appraisal skills present both at a pre and post-registration nursing level. The authors discuss an innovative, collaborative approach that considers the role of the nurse consultant, clinical academic and research facilitator posts. To ensure quality evidence-based practice is implemented into clinical nursing care a realistic and practical structure must be applied. With the appropriate framework, clinical structure and organizational support, promotion of evidence-based practice and research for patient benefit can be optimized. The implications for practice are also discussed. The implementation of a realistic research framework into clinical nursing practice has the potential to influence and develop a more active nursing research culture and promote evidence-based care within the workplace.","CleanAbstract":"Implementing evidence based-practice and research findings into nursing care has been identified as a challenge to nursing staff. This article identifies key barriers to the use of research in the international literature, however, there are limited suggestions as to how to improve this in the clinical arena. This article aims to identify how nurses could optimize the implementation of evidence and research into their clinical care and reviews barriers to implementing and undertaking nursing research, suggesting a framework for improvement. It considers the widely varied levels of knowledge of research and equally varied critical appraisal skills present both at a pre and post-registration nursing level. The authors discuss an innovative, collaborative approach that considers the role of the nurse consultant, clinical academic and research facilitator posts. To ensure quality evidence-based practice is implemented into clinical nursing care a realistic and practical structure must be applied. With the appropriate framework, clinical structure and organizational support, promotion of evidence-based practice and research for patient benefit can be optimized. The implications for practice are also discussed. The implementation of a realistic research framework into clinical nursing practice has the potential to influence and develop a more active nursing research culture and promote evidence-based care within the workplace."}]</w:instrText>
      </w:r>
      <w:r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(12)</w:t>
      </w:r>
      <w:r w:rsidRPr="00E26155">
        <w:rPr>
          <w:rFonts w:asciiTheme="majorBidi" w:hAnsiTheme="majorBidi" w:cstheme="majorBidi"/>
          <w:sz w:val="24"/>
          <w:szCs w:val="24"/>
        </w:rPr>
        <w:fldChar w:fldCharType="end"/>
      </w:r>
      <w:r w:rsidRPr="00E26155">
        <w:rPr>
          <w:rFonts w:asciiTheme="majorBidi" w:hAnsiTheme="majorBidi" w:cstheme="majorBidi"/>
          <w:sz w:val="24"/>
          <w:szCs w:val="24"/>
        </w:rPr>
        <w:t>, knowledge provide the nurse with the tools to function in varying patient care situations and to predict the outcomes of the desired intervention. In addition, as the nurse's knowledge is broader, the more inventive resources the nurse can rely on when needed, thereby providing knowledge-based care.</w:t>
      </w:r>
    </w:p>
    <w:p w:rsidR="00401B33" w:rsidRPr="00E26155" w:rsidRDefault="00401B33" w:rsidP="00E26155">
      <w:pPr>
        <w:bidi w:val="0"/>
        <w:spacing w:line="360" w:lineRule="auto"/>
        <w:ind w:firstLine="720"/>
        <w:rPr>
          <w:rFonts w:asciiTheme="majorBidi" w:hAnsiTheme="majorBidi" w:cstheme="majorBidi"/>
          <w:sz w:val="24"/>
          <w:szCs w:val="24"/>
        </w:rPr>
      </w:pPr>
      <w:r w:rsidRPr="00AA5087">
        <w:rPr>
          <w:rFonts w:asciiTheme="majorBidi" w:hAnsiTheme="majorBidi" w:cstheme="majorBidi"/>
          <w:sz w:val="24"/>
          <w:szCs w:val="24"/>
        </w:rPr>
        <w:t>ICU nurses require a high level of knowledge and skills due to the complexity of the patients. The extended 24-hour stay of the nurses stuff with the patient brings a great deal of responsibility</w:t>
      </w:r>
      <w:r w:rsidRPr="00E26155">
        <w:rPr>
          <w:rFonts w:asciiTheme="majorBidi" w:hAnsiTheme="majorBidi" w:cstheme="majorBidi"/>
          <w:sz w:val="24"/>
          <w:szCs w:val="24"/>
        </w:rPr>
        <w:t xml:space="preserve"> for continuous monitoring of the patient's condition, so in case of deterioration that is reflected in physiological or laboratory changes, the nurse is responsible for identifying this deterioration. However, it can be said that most of the deterioration cases are not detected in time due to lack of knowledge, lack of communication or failure to report</w:t>
      </w:r>
      <w:r w:rsidR="001E32E4" w:rsidRPr="00E26155">
        <w:rPr>
          <w:rFonts w:asciiTheme="majorBidi" w:hAnsiTheme="majorBidi" w:cstheme="majorBidi"/>
          <w:sz w:val="24"/>
          <w:szCs w:val="24"/>
        </w:rPr>
        <w:t xml:space="preserve"> </w:t>
      </w:r>
      <w:r w:rsidR="001E32E4" w:rsidRPr="00E26155">
        <w:rPr>
          <w:rFonts w:asciiTheme="majorBidi" w:hAnsiTheme="majorBidi" w:cstheme="majorBidi"/>
          <w:sz w:val="24"/>
          <w:szCs w:val="24"/>
        </w:rPr>
        <w:fldChar w:fldCharType="begin"/>
      </w:r>
      <w:r w:rsidR="001E32E4" w:rsidRPr="00E26155">
        <w:rPr>
          <w:rFonts w:asciiTheme="majorBidi" w:hAnsiTheme="majorBidi" w:cstheme="majorBidi"/>
          <w:sz w:val="24"/>
          <w:szCs w:val="24"/>
        </w:rPr>
        <w:instrText>ADDIN F1000_CSL_CITATION&lt;~#@#~&gt;[{"title":"A review of educational strategies to improve nurses' roles in recognizing and responding to deteriorating patients.","id":"7447285","page":"296-303","type":"article-journal","volume":"58","issue":"3","author":[{"family":"Liaw","given":"S Y"},{"family":"Scherpbier","given":"A"},{"family":"Klainin-Yobas","given":"P"},{"family":"Rethans","given":"J J"}],"issued":{"date-parts":[["2011","9"]]},"container-title":"International nursing review","container-title-short":"Int. Nurs. Rev.","journalAbbreviation":"Int. Nurs. Rev.","DOI":"10.1111/j.1466-7657.2011.00915.x","PMID":"21848774","citation-label":"7447285","Abstract":"&lt;strong&gt;BACKGROUND:&lt;/strong&gt; Physiological instability leading to clinical deterioration often precedes cardiopulmonary arrest. Nurses, who have the most frequent patient contact and responsibility for ongoing monitoring of patients, play a crucial role in recognizing and responding to clinical deterioration. The importance of education in supporting such a role has been addressed in numerous studies.&lt;br&gt;&lt;br&gt;&lt;strong&gt;AIM:&lt;/strong&gt; This study aimed to identify nurses' educational needs and explore educational strategies to enhance their ability in recognizing and managing wards with deteriorating patients.&lt;br&gt;&lt;br&gt;&lt;strong&gt;METHODS:&lt;/strong&gt; A literature search from databases (2000-2010) was undertaken to include papers that identified the educational needs of ward nurses and existing educational programmes related to the care of deteriorating patients.&lt;br&gt;&lt;br&gt;&lt;strong&gt;FINDINGS:&lt;/strong&gt; Twenty-six papers were included in this review. Findings identified the educational need to empower nurses with the appropriate knowledge and skills in recognizing, reporting and responding to patient deterioration. The review of existing educational programmes and their outcomes identified valuable teaching information and strategies, and areas that could be improved in meeting nurses' educational needs.&lt;br&gt;&lt;br&gt;&lt;strong&gt;CONCLUSION:&lt;/strong&gt; The review has highlighted important aspects of patient safety in clinical deterioration that could be further addressed by educational strategies targeting the role of ward nurses. These strategies include: utilizing clinical decision-making models to develop nurses' decision making skills; developing a standardized tool for systematic nursing assessment and management of clinical deterioration; incorporating training in clinical deterioration as a core competence of pre-registered nursing education; providing vital signs training to nursing assistants; and conducting more rigorous studies to evaluate the effectiveness of the educational programmes.&lt;br&gt;&lt;br&gt;© 2011 The Authors. International Nursing Review © 2011 International Council of Nurses.","CleanAbstract":"BACKGROUND: Physiological instability leading to clinical deterioration often precedes cardiopulmonary arrest. Nurses, who have the most frequent patient contact and responsibility for ongoing monitoring of patients, play a crucial role in recognizing and responding to clinical deterioration. The importance of education in supporting such a role has been addressed in numerous studies.AIM: This study aimed to identify nurses' educational needs and explore educational strategies to enhance their ability in recognizing and managing wards with deteriorating patients.METHODS: A literature search from databases (2000-2010) was undertaken to include papers that identified the educational needs of ward nurses and existing educational programmes related to the care of deteriorating patients.FINDINGS: Twenty-six papers were included in this review. Findings identified the educational need to empower nurses with the appropriate knowledge and skills in recognizing, reporting and responding to patient deterioration. The review of existing educational programmes and their outcomes identified valuable teaching information and strategies, and areas that could be improved in meeting nurses' educational needs.CONCLUSION: The review has highlighted important aspects of patient safety in clinical deterioration that could be further addressed by educational strategies targeting the role of ward nurses. These strategies include: utilizing clinical decision-making models to develop nurses' decision making skills; developing a standardized tool for systematic nursing assessment and management of clinical deterioration; incorporating training in clinical deterioration as a core competence of pre-registered nursing education; providing vital signs training to nursing assistants; and conducting more rigorous studies to evaluate the effectiveness of the educational programmes.© 2011 The Authors. International Nursing Review © 2011 International Council of Nurses."},{"title":"Matching nurse skill with patient acuity in the intensive care units: a risk management mandate.","id":"7447273","page":"397-404","type":"article-journal","volume":"14","issue":"5","author":[{"family":"Rischbieth","given":"Amanda"}],"issued":{"date-parts":[["2006","7"]]},"container-title":"Journal of nursing management","container-title-short":"J. Nurs. Manag.","journalAbbreviation":"J. Nurs. Manag.","DOI":"10.1111/j.1365-2934.2006.00622.x","PMID":"16787475","citation-label":"7447273","Abstract":"&lt;strong&gt;AIM:&lt;/strong&gt; This paper aims to highlight the need for the traditional concept of nursing skill mix to be reconfigured within a new concept of skill matching.&lt;br&gt;&lt;br&gt;&lt;strong&gt;BACKGROUND:&lt;/strong&gt; Substantive literature describes staff deployment and patient-dependency models. However, limited information exists as to what informs decision making regarding nurse skill assessment and subsequent patient allocation in intensive care units.&lt;br&gt;&lt;br&gt;&lt;strong&gt;KEY ISSUES:&lt;/strong&gt; In intensive care units, nurse numbers, available nursing skills and patient allocation decisions, impact directly on care provision and outcomes. This paper argues that staffing decisions that are based on insufficient knowledge which lack consideration of all pertinent factors result in poor 'skill matching', potential adverse events and poor outcomes. A critical inextricable link exists between staffing decisions, patient safety and risk in the intensive care unit. Use of a multifactorial skill-matching approach within a dedicated staffing decision-support system is recommended.&lt;br&gt;&lt;br&gt;&lt;strong&gt;CONCLUSION:&lt;/strong&gt; This commentary paper adds a new perspective to nurse-staffing decision practices and their relationship to risk management in the intensive care unit and offers a new research direction.","CleanAbstract":"AIM: This paper aims to highlight the need for the traditional concept of nursing skill mix to be reconfigured within a new concept of skill matching.BACKGROUND: Substantive literature describes staff deployment and patient-dependency models. However, limited information exists as to what informs decision making regarding nurse skill assessment and subsequent patient allocation in intensive care units.KEY ISSUES: In intensive care units, nurse numbers, available nursing skills and patient allocation decisions, impact directly on care provision and outcomes. This paper argues that staffing decisions that are based on insufficient knowledge which lack consideration of all pertinent factors result in poor 'skill matching', potential adverse events and poor outcomes. A critical inextricable link exists between staffing decisions, patient safety and risk in the intensive care unit. Use of a multifactorial skill-matching approach within a dedicated staffing decision-support system is recommended.CONCLUSION: This commentary paper adds a new perspective to nurse-staffing decision practices and their relationship to risk management in the intensive care unit and offers a new research direction."}]</w:instrText>
      </w:r>
      <w:r w:rsidR="001E32E4"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(13,14)</w:t>
      </w:r>
      <w:r w:rsidR="001E32E4" w:rsidRPr="00E26155">
        <w:rPr>
          <w:rFonts w:asciiTheme="majorBidi" w:hAnsiTheme="majorBidi" w:cstheme="majorBidi"/>
          <w:sz w:val="24"/>
          <w:szCs w:val="24"/>
        </w:rPr>
        <w:fldChar w:fldCharType="end"/>
      </w:r>
      <w:r w:rsidRPr="00E26155">
        <w:rPr>
          <w:rFonts w:asciiTheme="majorBidi" w:hAnsiTheme="majorBidi" w:cstheme="majorBidi"/>
          <w:sz w:val="24"/>
          <w:szCs w:val="24"/>
        </w:rPr>
        <w:t>.</w:t>
      </w:r>
    </w:p>
    <w:p w:rsidR="00E15656" w:rsidRPr="004607B9" w:rsidRDefault="00D2030C" w:rsidP="004607B9">
      <w:pPr>
        <w:bidi w:val="0"/>
        <w:spacing w:line="360" w:lineRule="auto"/>
        <w:ind w:firstLine="720"/>
        <w:rPr>
          <w:rFonts w:asciiTheme="majorBidi" w:hAnsiTheme="majorBidi" w:cstheme="majorBidi"/>
          <w:sz w:val="24"/>
          <w:szCs w:val="24"/>
          <w:rtl/>
        </w:rPr>
      </w:pPr>
      <w:r w:rsidRPr="00E26155">
        <w:rPr>
          <w:rFonts w:asciiTheme="majorBidi" w:hAnsiTheme="majorBidi" w:cstheme="majorBidi"/>
          <w:sz w:val="24"/>
          <w:szCs w:val="24"/>
        </w:rPr>
        <w:t xml:space="preserve">The present study aims to examine the nurses' knowledge on HP, RS, and nutrition in general. We analyzed the correlation between the nurses' knowledge on these subjects to rate of HP in their unit, length of ICU stay, duration of mechanical ventilation, and mortality. </w:t>
      </w:r>
    </w:p>
    <w:p w:rsidR="002549BC" w:rsidRPr="00E26155" w:rsidRDefault="008C2AC4" w:rsidP="00E26155">
      <w:pPr>
        <w:bidi w:val="0"/>
        <w:spacing w:line="360" w:lineRule="auto"/>
        <w:rPr>
          <w:rFonts w:asciiTheme="majorBidi" w:hAnsiTheme="majorBidi" w:cstheme="majorBidi"/>
          <w:b/>
          <w:bCs/>
          <w:sz w:val="24"/>
          <w:szCs w:val="24"/>
        </w:rPr>
      </w:pPr>
      <w:r w:rsidRPr="00E26155">
        <w:rPr>
          <w:rFonts w:asciiTheme="majorBidi" w:hAnsiTheme="majorBidi" w:cstheme="majorBidi"/>
          <w:b/>
          <w:bCs/>
          <w:sz w:val="24"/>
          <w:szCs w:val="24"/>
        </w:rPr>
        <w:t>Participants and Methods:</w:t>
      </w:r>
    </w:p>
    <w:p w:rsidR="00DF33B4" w:rsidRPr="00E26155" w:rsidRDefault="00B27F73" w:rsidP="00E26155">
      <w:pPr>
        <w:bidi w:val="0"/>
        <w:spacing w:line="360" w:lineRule="auto"/>
        <w:ind w:firstLine="720"/>
        <w:rPr>
          <w:rFonts w:asciiTheme="majorBidi" w:eastAsia="Calibri" w:hAnsiTheme="majorBidi" w:cstheme="majorBidi"/>
          <w:sz w:val="24"/>
          <w:szCs w:val="24"/>
        </w:rPr>
      </w:pPr>
      <w:r w:rsidRPr="00E26155">
        <w:rPr>
          <w:rFonts w:asciiTheme="majorBidi" w:hAnsiTheme="majorBidi" w:cstheme="majorBidi"/>
          <w:sz w:val="24"/>
          <w:szCs w:val="24"/>
        </w:rPr>
        <w:t>This study included a</w:t>
      </w:r>
      <w:r w:rsidR="002549BC" w:rsidRPr="00E26155">
        <w:rPr>
          <w:rFonts w:asciiTheme="majorBidi" w:hAnsiTheme="majorBidi" w:cstheme="majorBidi"/>
          <w:sz w:val="24"/>
          <w:szCs w:val="24"/>
        </w:rPr>
        <w:t xml:space="preserve"> convenience sample of 45 ICU nurses</w:t>
      </w:r>
      <w:r w:rsidR="00DF33B4" w:rsidRPr="00E26155">
        <w:rPr>
          <w:rFonts w:asciiTheme="majorBidi" w:hAnsiTheme="majorBidi" w:cstheme="majorBidi"/>
          <w:sz w:val="24"/>
          <w:szCs w:val="24"/>
        </w:rPr>
        <w:t>.</w:t>
      </w:r>
      <w:r w:rsidR="002549BC" w:rsidRPr="00E26155">
        <w:rPr>
          <w:rFonts w:asciiTheme="majorBidi" w:eastAsia="Calibri" w:hAnsiTheme="majorBidi" w:cstheme="majorBidi"/>
          <w:sz w:val="24"/>
          <w:szCs w:val="24"/>
        </w:rPr>
        <w:t xml:space="preserve"> </w:t>
      </w:r>
      <w:r w:rsidRPr="00E26155">
        <w:rPr>
          <w:rFonts w:asciiTheme="majorBidi" w:eastAsia="Calibri" w:hAnsiTheme="majorBidi" w:cstheme="majorBidi"/>
          <w:sz w:val="24"/>
          <w:szCs w:val="24"/>
        </w:rPr>
        <w:t>We</w:t>
      </w:r>
      <w:r w:rsidR="002549BC" w:rsidRPr="00E26155">
        <w:rPr>
          <w:rFonts w:asciiTheme="majorBidi" w:eastAsia="Calibri" w:hAnsiTheme="majorBidi" w:cstheme="majorBidi"/>
          <w:sz w:val="24"/>
          <w:szCs w:val="24"/>
        </w:rPr>
        <w:t xml:space="preserve"> develop </w:t>
      </w:r>
      <w:r w:rsidR="00DF33B4" w:rsidRPr="00E26155">
        <w:rPr>
          <w:rFonts w:asciiTheme="majorBidi" w:eastAsia="Calibri" w:hAnsiTheme="majorBidi" w:cstheme="majorBidi"/>
          <w:sz w:val="24"/>
          <w:szCs w:val="24"/>
        </w:rPr>
        <w:t>an</w:t>
      </w:r>
      <w:r w:rsidR="002549BC" w:rsidRPr="00E26155">
        <w:rPr>
          <w:rFonts w:asciiTheme="majorBidi" w:eastAsia="Calibri" w:hAnsiTheme="majorBidi" w:cstheme="majorBidi"/>
          <w:sz w:val="24"/>
          <w:szCs w:val="24"/>
        </w:rPr>
        <w:t xml:space="preserve"> </w:t>
      </w:r>
      <w:r w:rsidR="00622D96" w:rsidRPr="00E26155">
        <w:rPr>
          <w:rFonts w:asciiTheme="majorBidi" w:eastAsia="Calibri" w:hAnsiTheme="majorBidi" w:cstheme="majorBidi"/>
          <w:sz w:val="24"/>
          <w:szCs w:val="24"/>
        </w:rPr>
        <w:t xml:space="preserve">ICU </w:t>
      </w:r>
      <w:r w:rsidR="00DF33B4" w:rsidRPr="00E26155">
        <w:rPr>
          <w:rFonts w:asciiTheme="majorBidi" w:eastAsia="Calibri" w:hAnsiTheme="majorBidi" w:cstheme="majorBidi"/>
          <w:sz w:val="24"/>
          <w:szCs w:val="24"/>
        </w:rPr>
        <w:t>nurse's</w:t>
      </w:r>
      <w:r w:rsidR="002549BC" w:rsidRPr="00E26155">
        <w:rPr>
          <w:rFonts w:asciiTheme="majorBidi" w:eastAsia="Calibri" w:hAnsiTheme="majorBidi" w:cstheme="majorBidi"/>
          <w:sz w:val="24"/>
          <w:szCs w:val="24"/>
        </w:rPr>
        <w:t xml:space="preserve"> </w:t>
      </w:r>
      <w:r w:rsidR="002549BC" w:rsidRPr="00E26155">
        <w:rPr>
          <w:rFonts w:asciiTheme="majorBidi" w:hAnsiTheme="majorBidi" w:cstheme="majorBidi"/>
          <w:sz w:val="24"/>
          <w:szCs w:val="24"/>
        </w:rPr>
        <w:t>questionnaire</w:t>
      </w:r>
      <w:r w:rsidR="00DF33B4" w:rsidRPr="00E26155">
        <w:rPr>
          <w:rFonts w:asciiTheme="majorBidi" w:hAnsiTheme="majorBidi" w:cstheme="majorBidi"/>
          <w:sz w:val="24"/>
          <w:szCs w:val="24"/>
        </w:rPr>
        <w:t xml:space="preserve">. The questionnaires were face validated by two </w:t>
      </w:r>
      <w:r w:rsidR="00DF33B4" w:rsidRPr="00E26155">
        <w:rPr>
          <w:rFonts w:asciiTheme="majorBidi" w:eastAsia="Times New Roman" w:hAnsiTheme="majorBidi" w:cstheme="majorBidi"/>
          <w:color w:val="2E2E2E"/>
          <w:sz w:val="24"/>
          <w:szCs w:val="24"/>
        </w:rPr>
        <w:t>nursing</w:t>
      </w:r>
      <w:r w:rsidR="00DF33B4" w:rsidRPr="00E26155">
        <w:rPr>
          <w:rFonts w:asciiTheme="majorBidi" w:hAnsiTheme="majorBidi" w:cstheme="majorBidi"/>
          <w:sz w:val="24"/>
          <w:szCs w:val="24"/>
        </w:rPr>
        <w:t xml:space="preserve"> master</w:t>
      </w:r>
      <w:r w:rsidR="00DF33B4" w:rsidRPr="00E26155">
        <w:rPr>
          <w:rFonts w:asciiTheme="majorBidi" w:eastAsia="Times New Roman" w:hAnsiTheme="majorBidi" w:cstheme="majorBidi"/>
          <w:color w:val="2E2E2E"/>
          <w:sz w:val="24"/>
          <w:szCs w:val="24"/>
        </w:rPr>
        <w:t xml:space="preserve"> degree</w:t>
      </w:r>
      <w:r w:rsidR="00DF33B4" w:rsidRPr="00E26155">
        <w:rPr>
          <w:rFonts w:asciiTheme="majorBidi" w:hAnsiTheme="majorBidi" w:cstheme="majorBidi"/>
          <w:sz w:val="24"/>
          <w:szCs w:val="24"/>
        </w:rPr>
        <w:t xml:space="preserve"> students and </w:t>
      </w:r>
      <w:r w:rsidR="00DF33B4" w:rsidRPr="00E26155">
        <w:rPr>
          <w:rFonts w:asciiTheme="majorBidi" w:eastAsia="Times New Roman" w:hAnsiTheme="majorBidi" w:cstheme="majorBidi"/>
          <w:color w:val="2E2E2E"/>
          <w:sz w:val="24"/>
          <w:szCs w:val="24"/>
        </w:rPr>
        <w:t xml:space="preserve">two nurses from the academic staff in the nursing department at Tel Aviv University, one of whom is an expert in the field. The nurses' </w:t>
      </w:r>
      <w:proofErr w:type="gramStart"/>
      <w:r w:rsidR="00DF33B4" w:rsidRPr="00E26155">
        <w:rPr>
          <w:rFonts w:asciiTheme="majorBidi" w:eastAsia="Times New Roman" w:hAnsiTheme="majorBidi" w:cstheme="majorBidi"/>
          <w:color w:val="2E2E2E"/>
          <w:sz w:val="24"/>
          <w:szCs w:val="24"/>
        </w:rPr>
        <w:t>were asked</w:t>
      </w:r>
      <w:proofErr w:type="gramEnd"/>
      <w:r w:rsidR="00DF33B4" w:rsidRPr="00E26155">
        <w:rPr>
          <w:rFonts w:asciiTheme="majorBidi" w:eastAsia="Times New Roman" w:hAnsiTheme="majorBidi" w:cstheme="majorBidi"/>
          <w:color w:val="2E2E2E"/>
          <w:sz w:val="24"/>
          <w:szCs w:val="24"/>
        </w:rPr>
        <w:t xml:space="preserve"> rate the questionnaire statements on how much they relate to the variable.</w:t>
      </w:r>
      <w:r w:rsidR="00DF33B4" w:rsidRPr="00E26155">
        <w:rPr>
          <w:rFonts w:asciiTheme="majorBidi" w:hAnsiTheme="majorBidi" w:cstheme="majorBidi"/>
          <w:sz w:val="24"/>
          <w:szCs w:val="24"/>
        </w:rPr>
        <w:t xml:space="preserve"> </w:t>
      </w:r>
    </w:p>
    <w:p w:rsidR="002549BC" w:rsidRPr="00E26155" w:rsidRDefault="00DF33B4"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 xml:space="preserve">The questionnaire </w:t>
      </w:r>
      <w:proofErr w:type="gramStart"/>
      <w:r w:rsidRPr="00E26155">
        <w:rPr>
          <w:rFonts w:asciiTheme="majorBidi" w:hAnsiTheme="majorBidi" w:cstheme="majorBidi"/>
          <w:sz w:val="24"/>
          <w:szCs w:val="24"/>
        </w:rPr>
        <w:t>was divided</w:t>
      </w:r>
      <w:proofErr w:type="gramEnd"/>
      <w:r w:rsidRPr="00E26155">
        <w:rPr>
          <w:rFonts w:asciiTheme="majorBidi" w:hAnsiTheme="majorBidi" w:cstheme="majorBidi"/>
          <w:sz w:val="24"/>
          <w:szCs w:val="24"/>
        </w:rPr>
        <w:t xml:space="preserve"> into the f</w:t>
      </w:r>
      <w:r w:rsidR="00DF0DA7" w:rsidRPr="00E26155">
        <w:rPr>
          <w:rFonts w:asciiTheme="majorBidi" w:hAnsiTheme="majorBidi" w:cstheme="majorBidi"/>
          <w:sz w:val="24"/>
          <w:szCs w:val="24"/>
        </w:rPr>
        <w:t>ollowing</w:t>
      </w:r>
      <w:r w:rsidR="002549BC" w:rsidRPr="00E26155">
        <w:rPr>
          <w:rFonts w:asciiTheme="majorBidi" w:hAnsiTheme="majorBidi" w:cstheme="majorBidi"/>
          <w:sz w:val="24"/>
          <w:szCs w:val="24"/>
        </w:rPr>
        <w:t xml:space="preserve"> topics</w:t>
      </w:r>
      <w:r w:rsidR="002549BC" w:rsidRPr="00E26155">
        <w:rPr>
          <w:rFonts w:asciiTheme="majorBidi" w:hAnsiTheme="majorBidi" w:cstheme="majorBidi"/>
          <w:sz w:val="24"/>
          <w:szCs w:val="24"/>
          <w:rtl/>
        </w:rPr>
        <w:t xml:space="preserve"> :</w:t>
      </w:r>
      <w:r w:rsidR="00DF0DA7" w:rsidRPr="00E26155">
        <w:rPr>
          <w:rFonts w:asciiTheme="majorBidi" w:hAnsiTheme="majorBidi" w:cstheme="majorBidi"/>
          <w:sz w:val="24"/>
          <w:szCs w:val="24"/>
        </w:rPr>
        <w:t>( A</w:t>
      </w:r>
      <w:r w:rsidR="002549BC" w:rsidRPr="00E26155">
        <w:rPr>
          <w:rFonts w:asciiTheme="majorBidi" w:hAnsiTheme="majorBidi" w:cstheme="majorBidi"/>
          <w:sz w:val="24"/>
          <w:szCs w:val="24"/>
        </w:rPr>
        <w:t xml:space="preserve">) </w:t>
      </w:r>
      <w:r w:rsidR="00DF0DA7" w:rsidRPr="00E26155">
        <w:rPr>
          <w:rFonts w:asciiTheme="majorBidi" w:hAnsiTheme="majorBidi" w:cstheme="majorBidi"/>
          <w:sz w:val="24"/>
          <w:szCs w:val="24"/>
        </w:rPr>
        <w:t>Sociodemographic</w:t>
      </w:r>
      <w:r w:rsidR="002549BC" w:rsidRPr="00E26155">
        <w:rPr>
          <w:rFonts w:asciiTheme="majorBidi" w:hAnsiTheme="majorBidi" w:cstheme="majorBidi"/>
          <w:sz w:val="24"/>
          <w:szCs w:val="24"/>
        </w:rPr>
        <w:t xml:space="preserve"> data</w:t>
      </w:r>
      <w:r w:rsidRPr="00E26155">
        <w:rPr>
          <w:rFonts w:asciiTheme="majorBidi" w:hAnsiTheme="majorBidi" w:cstheme="majorBidi"/>
          <w:sz w:val="24"/>
          <w:szCs w:val="24"/>
        </w:rPr>
        <w:t xml:space="preserve"> that i</w:t>
      </w:r>
      <w:r w:rsidR="002549BC" w:rsidRPr="00E26155">
        <w:rPr>
          <w:rFonts w:asciiTheme="majorBidi" w:hAnsiTheme="majorBidi" w:cstheme="majorBidi"/>
          <w:sz w:val="24"/>
          <w:szCs w:val="24"/>
        </w:rPr>
        <w:t>ncludes 13 items. Items 1-5 relate to socio-demographic characteristics</w:t>
      </w:r>
      <w:r w:rsidR="002549BC" w:rsidRPr="00E26155">
        <w:rPr>
          <w:rFonts w:asciiTheme="majorBidi" w:eastAsia="Times New Roman" w:hAnsiTheme="majorBidi" w:cstheme="majorBidi"/>
          <w:color w:val="2E2E2E"/>
          <w:sz w:val="24"/>
          <w:szCs w:val="24"/>
        </w:rPr>
        <w:t xml:space="preserve"> age, gender, country of birth.</w:t>
      </w:r>
      <w:r w:rsidR="002549BC" w:rsidRPr="00E26155">
        <w:rPr>
          <w:rFonts w:asciiTheme="majorBidi" w:hAnsiTheme="majorBidi" w:cstheme="majorBidi"/>
          <w:sz w:val="24"/>
          <w:szCs w:val="24"/>
        </w:rPr>
        <w:t xml:space="preserve"> Items 6-11 refer to </w:t>
      </w:r>
      <w:r w:rsidR="002549BC" w:rsidRPr="00E26155">
        <w:rPr>
          <w:rFonts w:asciiTheme="majorBidi" w:eastAsia="Times New Roman" w:hAnsiTheme="majorBidi" w:cstheme="majorBidi"/>
          <w:color w:val="2E2E2E"/>
          <w:sz w:val="24"/>
          <w:szCs w:val="24"/>
        </w:rPr>
        <w:t>professional education</w:t>
      </w:r>
      <w:r w:rsidR="002549BC" w:rsidRPr="00E26155">
        <w:rPr>
          <w:rFonts w:asciiTheme="majorBidi" w:hAnsiTheme="majorBidi" w:cstheme="majorBidi"/>
          <w:sz w:val="24"/>
          <w:szCs w:val="24"/>
        </w:rPr>
        <w:t>,</w:t>
      </w:r>
      <w:r w:rsidR="002549BC" w:rsidRPr="00E26155">
        <w:rPr>
          <w:rFonts w:asciiTheme="majorBidi" w:eastAsia="Times New Roman" w:hAnsiTheme="majorBidi" w:cstheme="majorBidi"/>
          <w:color w:val="2E2E2E"/>
          <w:sz w:val="24"/>
          <w:szCs w:val="24"/>
        </w:rPr>
        <w:t xml:space="preserve"> profession, seniority,</w:t>
      </w:r>
      <w:r w:rsidR="002549BC" w:rsidRPr="00E26155">
        <w:rPr>
          <w:rFonts w:asciiTheme="majorBidi" w:hAnsiTheme="majorBidi" w:cstheme="majorBidi"/>
          <w:sz w:val="24"/>
          <w:szCs w:val="24"/>
        </w:rPr>
        <w:t xml:space="preserve"> questionnaire 12-13 relate to education on nutrition</w:t>
      </w:r>
      <w:r w:rsidR="002549BC" w:rsidRPr="00E26155">
        <w:rPr>
          <w:rFonts w:asciiTheme="majorBidi" w:hAnsiTheme="majorBidi" w:cstheme="majorBidi"/>
          <w:sz w:val="24"/>
          <w:szCs w:val="24"/>
          <w:rtl/>
        </w:rPr>
        <w:t>.</w:t>
      </w:r>
    </w:p>
    <w:p w:rsidR="003C4CD0" w:rsidRPr="00E26155" w:rsidRDefault="002549BC" w:rsidP="00E26155">
      <w:pPr>
        <w:bidi w:val="0"/>
        <w:spacing w:after="0" w:line="360" w:lineRule="auto"/>
        <w:ind w:firstLine="720"/>
        <w:rPr>
          <w:rFonts w:asciiTheme="majorBidi" w:hAnsiTheme="majorBidi" w:cstheme="majorBidi"/>
          <w:sz w:val="24"/>
          <w:szCs w:val="24"/>
        </w:rPr>
      </w:pPr>
      <w:r w:rsidRPr="00E26155">
        <w:rPr>
          <w:rFonts w:asciiTheme="majorBidi" w:hAnsiTheme="majorBidi" w:cstheme="majorBidi"/>
          <w:sz w:val="24"/>
          <w:szCs w:val="24"/>
        </w:rPr>
        <w:lastRenderedPageBreak/>
        <w:t xml:space="preserve"> (B) The nurse's level of knowledge about </w:t>
      </w:r>
      <w:r w:rsidR="00367246" w:rsidRPr="00E26155">
        <w:rPr>
          <w:rFonts w:asciiTheme="majorBidi" w:hAnsiTheme="majorBidi" w:cstheme="majorBidi"/>
          <w:sz w:val="24"/>
          <w:szCs w:val="24"/>
        </w:rPr>
        <w:t>hypophosphatemia</w:t>
      </w:r>
      <w:r w:rsidRPr="00E26155">
        <w:rPr>
          <w:rFonts w:asciiTheme="majorBidi" w:hAnsiTheme="majorBidi" w:cstheme="majorBidi"/>
          <w:sz w:val="24"/>
          <w:szCs w:val="24"/>
        </w:rPr>
        <w:t xml:space="preserve"> and RS. This section divided to four parts (B1) - </w:t>
      </w:r>
      <w:r w:rsidRPr="00E26155">
        <w:rPr>
          <w:rFonts w:asciiTheme="majorBidi" w:eastAsia="Times New Roman" w:hAnsiTheme="majorBidi" w:cstheme="majorBidi"/>
          <w:color w:val="2E2E2E"/>
          <w:sz w:val="24"/>
          <w:szCs w:val="24"/>
        </w:rPr>
        <w:t>Which include 20 statements</w:t>
      </w:r>
      <w:r w:rsidR="00DF33B4" w:rsidRPr="00E26155">
        <w:rPr>
          <w:rFonts w:asciiTheme="majorBidi" w:eastAsia="Times New Roman" w:hAnsiTheme="majorBidi" w:cstheme="majorBidi"/>
          <w:color w:val="2E2E2E"/>
          <w:sz w:val="24"/>
          <w:szCs w:val="24"/>
        </w:rPr>
        <w:t>.</w:t>
      </w:r>
      <w:r w:rsidRPr="00E26155">
        <w:rPr>
          <w:rFonts w:asciiTheme="majorBidi" w:eastAsia="Times New Roman" w:hAnsiTheme="majorBidi" w:cstheme="majorBidi"/>
          <w:color w:val="2E2E2E"/>
          <w:sz w:val="24"/>
          <w:szCs w:val="24"/>
        </w:rPr>
        <w:t xml:space="preserve"> Nurses were requested to mark their agreement on the scale 1 = Yes 2 = No and </w:t>
      </w:r>
      <w:proofErr w:type="gramStart"/>
      <w:r w:rsidRPr="00E26155">
        <w:rPr>
          <w:rFonts w:asciiTheme="majorBidi" w:eastAsia="Times New Roman" w:hAnsiTheme="majorBidi" w:cstheme="majorBidi"/>
          <w:color w:val="2E2E2E"/>
          <w:sz w:val="24"/>
          <w:szCs w:val="24"/>
        </w:rPr>
        <w:t>3</w:t>
      </w:r>
      <w:proofErr w:type="gramEnd"/>
      <w:r w:rsidRPr="00E26155">
        <w:rPr>
          <w:rFonts w:asciiTheme="majorBidi" w:eastAsia="Times New Roman" w:hAnsiTheme="majorBidi" w:cstheme="majorBidi"/>
          <w:color w:val="2E2E2E"/>
          <w:sz w:val="24"/>
          <w:szCs w:val="24"/>
        </w:rPr>
        <w:t xml:space="preserve"> = I do not know.</w:t>
      </w:r>
      <w:r w:rsidRPr="00E26155">
        <w:rPr>
          <w:rFonts w:asciiTheme="majorBidi" w:hAnsiTheme="majorBidi" w:cstheme="majorBidi"/>
          <w:color w:val="2E2E2E"/>
          <w:sz w:val="24"/>
          <w:szCs w:val="24"/>
        </w:rPr>
        <w:t xml:space="preserve"> The </w:t>
      </w:r>
      <w:r w:rsidR="00DF33B4" w:rsidRPr="00E26155">
        <w:rPr>
          <w:rFonts w:asciiTheme="majorBidi" w:hAnsiTheme="majorBidi" w:cstheme="majorBidi"/>
          <w:color w:val="2E2E2E"/>
          <w:sz w:val="24"/>
          <w:szCs w:val="24"/>
        </w:rPr>
        <w:t xml:space="preserve">alpha </w:t>
      </w:r>
      <w:r w:rsidRPr="00E26155">
        <w:rPr>
          <w:rFonts w:asciiTheme="majorBidi" w:hAnsiTheme="majorBidi" w:cstheme="majorBidi"/>
          <w:color w:val="2E2E2E"/>
          <w:sz w:val="24"/>
          <w:szCs w:val="24"/>
        </w:rPr>
        <w:t>Cronbach of this section was 0.78,</w:t>
      </w:r>
      <w:r w:rsidRPr="00E26155">
        <w:rPr>
          <w:rFonts w:asciiTheme="majorBidi" w:eastAsia="Times New Roman" w:hAnsiTheme="majorBidi" w:cstheme="majorBidi"/>
          <w:color w:val="2E2E2E"/>
          <w:sz w:val="24"/>
          <w:szCs w:val="24"/>
        </w:rPr>
        <w:t xml:space="preserve"> </w:t>
      </w:r>
      <w:r w:rsidRPr="00E26155">
        <w:rPr>
          <w:rFonts w:asciiTheme="majorBidi" w:hAnsiTheme="majorBidi" w:cstheme="majorBidi"/>
          <w:sz w:val="24"/>
          <w:szCs w:val="24"/>
        </w:rPr>
        <w:t xml:space="preserve"> section 1</w:t>
      </w:r>
      <w:r w:rsidRPr="00E26155">
        <w:rPr>
          <w:rFonts w:asciiTheme="majorBidi" w:eastAsia="Times New Roman" w:hAnsiTheme="majorBidi" w:cstheme="majorBidi"/>
          <w:color w:val="2E2E2E"/>
          <w:sz w:val="24"/>
          <w:szCs w:val="24"/>
        </w:rPr>
        <w:t xml:space="preserve">(Questions 1-4) </w:t>
      </w:r>
      <w:r w:rsidRPr="00E26155">
        <w:rPr>
          <w:rFonts w:asciiTheme="majorBidi" w:hAnsiTheme="majorBidi" w:cstheme="majorBidi"/>
          <w:sz w:val="24"/>
          <w:szCs w:val="24"/>
        </w:rPr>
        <w:t xml:space="preserve">-the level of the nurse's knowledge of </w:t>
      </w:r>
      <w:r w:rsidR="00DF33B4" w:rsidRPr="00E26155">
        <w:rPr>
          <w:rFonts w:asciiTheme="majorBidi" w:hAnsiTheme="majorBidi" w:cstheme="majorBidi"/>
          <w:sz w:val="24"/>
          <w:szCs w:val="24"/>
        </w:rPr>
        <w:t>his/her</w:t>
      </w:r>
      <w:r w:rsidRPr="00E26155">
        <w:rPr>
          <w:rFonts w:asciiTheme="majorBidi" w:hAnsiTheme="majorBidi" w:cstheme="majorBidi"/>
          <w:sz w:val="24"/>
          <w:szCs w:val="24"/>
        </w:rPr>
        <w:t xml:space="preserve"> role in nutrition</w:t>
      </w:r>
      <w:r w:rsidRPr="00E26155">
        <w:rPr>
          <w:rFonts w:asciiTheme="majorBidi" w:eastAsia="Times New Roman" w:hAnsiTheme="majorBidi" w:cstheme="majorBidi"/>
          <w:color w:val="2E2E2E"/>
          <w:sz w:val="24"/>
          <w:szCs w:val="24"/>
        </w:rPr>
        <w:t xml:space="preserve"> </w:t>
      </w:r>
      <w:r w:rsidRPr="00E26155">
        <w:rPr>
          <w:rFonts w:asciiTheme="majorBidi" w:hAnsiTheme="majorBidi" w:cstheme="majorBidi"/>
          <w:sz w:val="24"/>
          <w:szCs w:val="24"/>
        </w:rPr>
        <w:t xml:space="preserve">(B2)- </w:t>
      </w:r>
      <w:r w:rsidRPr="00E26155">
        <w:rPr>
          <w:rFonts w:asciiTheme="majorBidi" w:eastAsia="Times New Roman" w:hAnsiTheme="majorBidi" w:cstheme="majorBidi"/>
          <w:color w:val="2E2E2E"/>
          <w:sz w:val="24"/>
          <w:szCs w:val="24"/>
        </w:rPr>
        <w:t xml:space="preserve">(Questions 5-7) </w:t>
      </w:r>
      <w:r w:rsidRPr="00E26155">
        <w:rPr>
          <w:rFonts w:asciiTheme="majorBidi" w:hAnsiTheme="majorBidi" w:cstheme="majorBidi"/>
          <w:sz w:val="24"/>
          <w:szCs w:val="24"/>
        </w:rPr>
        <w:t>Knowledge regarding the importance of electrolyte monitoring before feeding the ICU patients. (B3)- (Questions</w:t>
      </w:r>
      <w:r w:rsidRPr="00E26155">
        <w:rPr>
          <w:rFonts w:asciiTheme="majorBidi" w:eastAsia="Times New Roman" w:hAnsiTheme="majorBidi" w:cstheme="majorBidi"/>
          <w:color w:val="2E2E2E"/>
          <w:sz w:val="24"/>
          <w:szCs w:val="24"/>
        </w:rPr>
        <w:t xml:space="preserve"> 8-9)</w:t>
      </w:r>
      <w:r w:rsidRPr="00E26155">
        <w:rPr>
          <w:rFonts w:asciiTheme="majorBidi" w:hAnsiTheme="majorBidi" w:cstheme="majorBidi"/>
          <w:sz w:val="24"/>
          <w:szCs w:val="24"/>
        </w:rPr>
        <w:t xml:space="preserve"> Statements examining the nurse's level of knowledge regarding intensive care nutrition (B4) (Questions 10-20) statements examining the nurse's knowledge in general regarding re-feeding syndrome: risk factors, consequences, and treatment. </w:t>
      </w:r>
    </w:p>
    <w:p w:rsidR="002549BC" w:rsidRPr="00E26155" w:rsidRDefault="003C4CD0" w:rsidP="00E26155">
      <w:pPr>
        <w:bidi w:val="0"/>
        <w:spacing w:after="0" w:line="360" w:lineRule="auto"/>
        <w:ind w:firstLine="720"/>
        <w:rPr>
          <w:rFonts w:asciiTheme="majorBidi" w:eastAsia="Times New Roman" w:hAnsiTheme="majorBidi" w:cstheme="majorBidi"/>
          <w:color w:val="2E2E2E"/>
          <w:sz w:val="24"/>
          <w:szCs w:val="24"/>
        </w:rPr>
      </w:pPr>
      <w:r w:rsidRPr="00E26155">
        <w:rPr>
          <w:rFonts w:asciiTheme="majorBidi" w:hAnsiTheme="majorBidi" w:cstheme="majorBidi"/>
          <w:sz w:val="24"/>
          <w:szCs w:val="24"/>
        </w:rPr>
        <w:t xml:space="preserve">Lastly, section </w:t>
      </w:r>
      <w:r w:rsidR="002549BC" w:rsidRPr="00E26155">
        <w:rPr>
          <w:rFonts w:asciiTheme="majorBidi" w:hAnsiTheme="majorBidi" w:cstheme="majorBidi"/>
          <w:sz w:val="24"/>
          <w:szCs w:val="24"/>
        </w:rPr>
        <w:t xml:space="preserve">(C) </w:t>
      </w:r>
      <w:r w:rsidR="002549BC" w:rsidRPr="00E26155">
        <w:rPr>
          <w:rFonts w:asciiTheme="majorBidi" w:eastAsia="Times New Roman" w:hAnsiTheme="majorBidi" w:cstheme="majorBidi"/>
          <w:color w:val="2E2E2E"/>
          <w:sz w:val="24"/>
          <w:szCs w:val="24"/>
        </w:rPr>
        <w:t xml:space="preserve">included 11 items related to what actually happens in the ICU unit. Nurses were requested to </w:t>
      </w:r>
      <w:r w:rsidRPr="00E26155">
        <w:rPr>
          <w:rFonts w:asciiTheme="majorBidi" w:eastAsia="Times New Roman" w:hAnsiTheme="majorBidi" w:cstheme="majorBidi"/>
          <w:color w:val="2E2E2E"/>
          <w:sz w:val="24"/>
          <w:szCs w:val="24"/>
        </w:rPr>
        <w:t>rate</w:t>
      </w:r>
      <w:r w:rsidR="002549BC" w:rsidRPr="00E26155">
        <w:rPr>
          <w:rFonts w:asciiTheme="majorBidi" w:eastAsia="Times New Roman" w:hAnsiTheme="majorBidi" w:cstheme="majorBidi"/>
          <w:color w:val="2E2E2E"/>
          <w:sz w:val="24"/>
          <w:szCs w:val="24"/>
        </w:rPr>
        <w:t xml:space="preserve"> their agreement with each item on a scale ranging from </w:t>
      </w:r>
      <w:proofErr w:type="gramStart"/>
      <w:r w:rsidR="002549BC" w:rsidRPr="00E26155">
        <w:rPr>
          <w:rFonts w:asciiTheme="majorBidi" w:eastAsia="Times New Roman" w:hAnsiTheme="majorBidi" w:cstheme="majorBidi"/>
          <w:color w:val="2E2E2E"/>
          <w:sz w:val="24"/>
          <w:szCs w:val="24"/>
        </w:rPr>
        <w:t>1</w:t>
      </w:r>
      <w:proofErr w:type="gramEnd"/>
      <w:r w:rsidR="002549BC" w:rsidRPr="00E26155">
        <w:rPr>
          <w:rFonts w:asciiTheme="majorBidi" w:eastAsia="Times New Roman" w:hAnsiTheme="majorBidi" w:cstheme="majorBidi"/>
          <w:color w:val="2E2E2E"/>
          <w:sz w:val="24"/>
          <w:szCs w:val="24"/>
        </w:rPr>
        <w:t xml:space="preserve"> (never) to 5 (always)</w:t>
      </w:r>
      <w:r w:rsidRPr="00E26155">
        <w:rPr>
          <w:rFonts w:asciiTheme="majorBidi" w:eastAsia="Times New Roman" w:hAnsiTheme="majorBidi" w:cstheme="majorBidi"/>
          <w:color w:val="2E2E2E"/>
          <w:sz w:val="24"/>
          <w:szCs w:val="24"/>
        </w:rPr>
        <w:t>.</w:t>
      </w:r>
      <w:r w:rsidR="002549BC" w:rsidRPr="00E26155">
        <w:rPr>
          <w:rFonts w:asciiTheme="majorBidi" w:eastAsia="Times New Roman" w:hAnsiTheme="majorBidi" w:cstheme="majorBidi"/>
          <w:color w:val="2E2E2E"/>
          <w:sz w:val="24"/>
          <w:szCs w:val="24"/>
        </w:rPr>
        <w:t xml:space="preserve"> The </w:t>
      </w:r>
      <w:r w:rsidRPr="00E26155">
        <w:rPr>
          <w:rFonts w:asciiTheme="majorBidi" w:eastAsia="Times New Roman" w:hAnsiTheme="majorBidi" w:cstheme="majorBidi"/>
          <w:color w:val="2E2E2E"/>
          <w:sz w:val="24"/>
          <w:szCs w:val="24"/>
        </w:rPr>
        <w:t xml:space="preserve">alpha </w:t>
      </w:r>
      <w:r w:rsidR="002549BC" w:rsidRPr="00E26155">
        <w:rPr>
          <w:rFonts w:asciiTheme="majorBidi" w:eastAsia="Times New Roman" w:hAnsiTheme="majorBidi" w:cstheme="majorBidi"/>
          <w:color w:val="2E2E2E"/>
          <w:sz w:val="24"/>
          <w:szCs w:val="24"/>
        </w:rPr>
        <w:t>Cronbach of this section was 0.76.</w:t>
      </w:r>
    </w:p>
    <w:p w:rsidR="00B810A8" w:rsidRPr="00E26155" w:rsidRDefault="00F238F9" w:rsidP="00DB70E2">
      <w:pPr>
        <w:bidi w:val="0"/>
        <w:spacing w:line="360" w:lineRule="auto"/>
        <w:ind w:firstLine="720"/>
        <w:rPr>
          <w:rFonts w:asciiTheme="majorBidi" w:hAnsiTheme="majorBidi" w:cstheme="majorBidi"/>
          <w:sz w:val="24"/>
          <w:szCs w:val="24"/>
        </w:rPr>
      </w:pPr>
      <w:r w:rsidRPr="00E26155">
        <w:rPr>
          <w:rFonts w:asciiTheme="majorBidi" w:eastAsia="Calibri" w:hAnsiTheme="majorBidi" w:cstheme="majorBidi"/>
          <w:sz w:val="24"/>
          <w:szCs w:val="24"/>
        </w:rPr>
        <w:t>In addition</w:t>
      </w:r>
      <w:r w:rsidR="003C4CD0" w:rsidRPr="00E26155">
        <w:rPr>
          <w:rFonts w:asciiTheme="majorBidi" w:eastAsia="Calibri" w:hAnsiTheme="majorBidi" w:cstheme="majorBidi"/>
          <w:sz w:val="24"/>
          <w:szCs w:val="24"/>
        </w:rPr>
        <w:t>,</w:t>
      </w:r>
      <w:r w:rsidRPr="00E26155">
        <w:rPr>
          <w:rFonts w:asciiTheme="majorBidi" w:hAnsiTheme="majorBidi" w:cstheme="majorBidi"/>
          <w:sz w:val="24"/>
          <w:szCs w:val="24"/>
        </w:rPr>
        <w:t xml:space="preserve"> d</w:t>
      </w:r>
      <w:r w:rsidR="008C2AC4" w:rsidRPr="00E26155">
        <w:rPr>
          <w:rFonts w:asciiTheme="majorBidi" w:hAnsiTheme="majorBidi" w:cstheme="majorBidi"/>
          <w:sz w:val="24"/>
          <w:szCs w:val="24"/>
        </w:rPr>
        <w:t xml:space="preserve">ata collection </w:t>
      </w:r>
      <w:r w:rsidR="003C4CD0" w:rsidRPr="00E26155">
        <w:rPr>
          <w:rFonts w:asciiTheme="majorBidi" w:hAnsiTheme="majorBidi" w:cstheme="majorBidi"/>
          <w:sz w:val="24"/>
          <w:szCs w:val="24"/>
          <w:shd w:val="clear" w:color="auto" w:fill="FFFFFF"/>
        </w:rPr>
        <w:t xml:space="preserve">retrospectively </w:t>
      </w:r>
      <w:r w:rsidR="003C4CD0" w:rsidRPr="00E26155">
        <w:rPr>
          <w:rFonts w:asciiTheme="majorBidi" w:eastAsia="Times New Roman" w:hAnsiTheme="majorBidi" w:cstheme="majorBidi"/>
          <w:kern w:val="36"/>
          <w:sz w:val="24"/>
          <w:szCs w:val="24"/>
        </w:rPr>
        <w:t xml:space="preserve">in 2018. The data included </w:t>
      </w:r>
      <w:r w:rsidR="008C2AC4" w:rsidRPr="00E26155">
        <w:rPr>
          <w:rFonts w:asciiTheme="majorBidi" w:hAnsiTheme="majorBidi" w:cstheme="majorBidi"/>
          <w:sz w:val="24"/>
          <w:szCs w:val="24"/>
          <w:shd w:val="clear" w:color="auto" w:fill="FFFFFF"/>
        </w:rPr>
        <w:t>an observational study on 275</w:t>
      </w:r>
      <w:r w:rsidR="00DB70E2">
        <w:rPr>
          <w:rFonts w:asciiTheme="majorBidi" w:hAnsiTheme="majorBidi" w:cstheme="majorBidi"/>
          <w:color w:val="2E2E2E"/>
          <w:sz w:val="24"/>
          <w:szCs w:val="24"/>
        </w:rPr>
        <w:t xml:space="preserve"> medical- surgical ICU</w:t>
      </w:r>
      <w:r w:rsidR="00546925" w:rsidRPr="00E26155">
        <w:rPr>
          <w:rFonts w:asciiTheme="majorBidi" w:hAnsiTheme="majorBidi" w:cstheme="majorBidi"/>
          <w:color w:val="2E2E2E"/>
          <w:sz w:val="24"/>
          <w:szCs w:val="24"/>
        </w:rPr>
        <w:t xml:space="preserve"> </w:t>
      </w:r>
      <w:r w:rsidR="00A34039" w:rsidRPr="00E26155">
        <w:rPr>
          <w:rFonts w:asciiTheme="majorBidi" w:hAnsiTheme="majorBidi" w:cstheme="majorBidi"/>
          <w:sz w:val="24"/>
          <w:szCs w:val="24"/>
          <w:shd w:val="clear" w:color="auto" w:fill="FFFFFF"/>
        </w:rPr>
        <w:t>patients in</w:t>
      </w:r>
      <w:r w:rsidR="008C2AC4" w:rsidRPr="00E26155">
        <w:rPr>
          <w:rFonts w:asciiTheme="majorBidi" w:hAnsiTheme="majorBidi" w:cstheme="majorBidi"/>
          <w:sz w:val="24"/>
          <w:szCs w:val="24"/>
          <w:shd w:val="clear" w:color="auto" w:fill="FFFFFF"/>
        </w:rPr>
        <w:t xml:space="preserve"> a</w:t>
      </w:r>
      <w:r w:rsidR="008C2AC4" w:rsidRPr="00E26155">
        <w:rPr>
          <w:rFonts w:asciiTheme="majorBidi" w:eastAsia="Times New Roman" w:hAnsiTheme="majorBidi" w:cstheme="majorBidi"/>
          <w:kern w:val="36"/>
          <w:sz w:val="24"/>
          <w:szCs w:val="24"/>
        </w:rPr>
        <w:t xml:space="preserve"> tertiary hospital in central Israel.</w:t>
      </w:r>
      <w:r w:rsidR="003C4CD0" w:rsidRPr="00E26155">
        <w:rPr>
          <w:rFonts w:asciiTheme="majorBidi" w:hAnsiTheme="majorBidi" w:cstheme="majorBidi"/>
          <w:sz w:val="24"/>
          <w:szCs w:val="24"/>
        </w:rPr>
        <w:t xml:space="preserve"> The data was withdrawn from the same unit were the participant nurses were working at.</w:t>
      </w:r>
      <w:r w:rsidR="008C2AC4" w:rsidRPr="00E26155">
        <w:rPr>
          <w:rFonts w:asciiTheme="majorBidi" w:hAnsiTheme="majorBidi" w:cstheme="majorBidi"/>
          <w:sz w:val="24"/>
          <w:szCs w:val="24"/>
        </w:rPr>
        <w:t xml:space="preserve"> A standard statistical power analysis </w:t>
      </w:r>
      <w:proofErr w:type="gramStart"/>
      <w:r w:rsidR="008C2AC4" w:rsidRPr="00E26155">
        <w:rPr>
          <w:rFonts w:asciiTheme="majorBidi" w:hAnsiTheme="majorBidi" w:cstheme="majorBidi"/>
          <w:sz w:val="24"/>
          <w:szCs w:val="24"/>
        </w:rPr>
        <w:t>was performed</w:t>
      </w:r>
      <w:proofErr w:type="gramEnd"/>
      <w:r w:rsidR="008C2AC4" w:rsidRPr="00E26155">
        <w:rPr>
          <w:rFonts w:asciiTheme="majorBidi" w:hAnsiTheme="majorBidi" w:cstheme="majorBidi"/>
          <w:sz w:val="24"/>
          <w:szCs w:val="24"/>
        </w:rPr>
        <w:t xml:space="preserve"> to determine the size of the study population that would be necessary to d</w:t>
      </w:r>
      <w:r w:rsidR="003C4CD0" w:rsidRPr="00E26155">
        <w:rPr>
          <w:rFonts w:asciiTheme="majorBidi" w:hAnsiTheme="majorBidi" w:cstheme="majorBidi"/>
          <w:sz w:val="24"/>
          <w:szCs w:val="24"/>
        </w:rPr>
        <w:t>emonstrate the study hypothesis</w:t>
      </w:r>
      <w:r w:rsidR="008C2AC4" w:rsidRPr="00E26155">
        <w:rPr>
          <w:rFonts w:asciiTheme="majorBidi" w:hAnsiTheme="majorBidi" w:cstheme="majorBidi"/>
          <w:sz w:val="24"/>
          <w:szCs w:val="24"/>
        </w:rPr>
        <w:t xml:space="preserve"> (For the model variables other than the nurses' questionnaire). The sample size at a power level of 80% and a significance level of 0.05 was calculated using </w:t>
      </w:r>
      <w:proofErr w:type="spellStart"/>
      <w:r w:rsidR="008C2AC4" w:rsidRPr="00E26155">
        <w:rPr>
          <w:rFonts w:asciiTheme="majorBidi" w:hAnsiTheme="majorBidi" w:cstheme="majorBidi"/>
          <w:sz w:val="24"/>
          <w:szCs w:val="24"/>
        </w:rPr>
        <w:t>WinPepi</w:t>
      </w:r>
      <w:proofErr w:type="spellEnd"/>
      <w:r w:rsidR="008C2AC4" w:rsidRPr="00E26155">
        <w:rPr>
          <w:rFonts w:asciiTheme="majorBidi" w:hAnsiTheme="majorBidi" w:cstheme="majorBidi"/>
          <w:sz w:val="24"/>
          <w:szCs w:val="24"/>
        </w:rPr>
        <w:t xml:space="preserve"> software with the expectation that in patients with hypophosphatemia and RS the intended difference in mortality and complications was low</w:t>
      </w:r>
      <w:r w:rsidR="003C4CD0" w:rsidRPr="00E26155">
        <w:rPr>
          <w:rFonts w:asciiTheme="majorBidi" w:hAnsiTheme="majorBidi" w:cstheme="majorBidi"/>
          <w:sz w:val="24"/>
          <w:szCs w:val="24"/>
        </w:rPr>
        <w:t>er</w:t>
      </w:r>
      <w:r w:rsidR="008C2AC4" w:rsidRPr="00E26155">
        <w:rPr>
          <w:rFonts w:asciiTheme="majorBidi" w:hAnsiTheme="majorBidi" w:cstheme="majorBidi"/>
          <w:sz w:val="24"/>
          <w:szCs w:val="24"/>
        </w:rPr>
        <w:t xml:space="preserve"> than 0.05. The patient's data study </w:t>
      </w:r>
      <w:proofErr w:type="gramStart"/>
      <w:r w:rsidR="003C4CD0" w:rsidRPr="00E26155">
        <w:rPr>
          <w:rFonts w:asciiTheme="majorBidi" w:hAnsiTheme="majorBidi" w:cstheme="majorBidi"/>
          <w:sz w:val="24"/>
          <w:szCs w:val="24"/>
        </w:rPr>
        <w:t xml:space="preserve">was </w:t>
      </w:r>
      <w:r w:rsidR="008C2AC4" w:rsidRPr="00E26155">
        <w:rPr>
          <w:rFonts w:asciiTheme="majorBidi" w:hAnsiTheme="majorBidi" w:cstheme="majorBidi"/>
          <w:sz w:val="24"/>
          <w:szCs w:val="24"/>
        </w:rPr>
        <w:t>collected</w:t>
      </w:r>
      <w:proofErr w:type="gramEnd"/>
      <w:r w:rsidR="008C2AC4" w:rsidRPr="00E26155">
        <w:rPr>
          <w:rFonts w:asciiTheme="majorBidi" w:hAnsiTheme="majorBidi" w:cstheme="majorBidi"/>
          <w:sz w:val="24"/>
          <w:szCs w:val="24"/>
        </w:rPr>
        <w:t xml:space="preserve"> in the patient data management system (</w:t>
      </w:r>
      <w:proofErr w:type="spellStart"/>
      <w:r w:rsidR="008C2AC4" w:rsidRPr="00E26155">
        <w:rPr>
          <w:rFonts w:asciiTheme="majorBidi" w:hAnsiTheme="majorBidi" w:cstheme="majorBidi"/>
          <w:sz w:val="24"/>
          <w:szCs w:val="24"/>
        </w:rPr>
        <w:t>MetaVision</w:t>
      </w:r>
      <w:proofErr w:type="spellEnd"/>
      <w:r w:rsidR="008C2AC4" w:rsidRPr="00E26155">
        <w:rPr>
          <w:rFonts w:asciiTheme="majorBidi" w:hAnsiTheme="majorBidi" w:cstheme="majorBidi"/>
          <w:sz w:val="24"/>
          <w:szCs w:val="24"/>
        </w:rPr>
        <w:t xml:space="preserve">; </w:t>
      </w:r>
      <w:proofErr w:type="spellStart"/>
      <w:r w:rsidR="008C2AC4" w:rsidRPr="00E26155">
        <w:rPr>
          <w:rFonts w:asciiTheme="majorBidi" w:hAnsiTheme="majorBidi" w:cstheme="majorBidi"/>
          <w:sz w:val="24"/>
          <w:szCs w:val="24"/>
        </w:rPr>
        <w:t>iMDsoft</w:t>
      </w:r>
      <w:proofErr w:type="spellEnd"/>
      <w:r w:rsidR="008C2AC4" w:rsidRPr="00E26155">
        <w:rPr>
          <w:rFonts w:asciiTheme="majorBidi" w:hAnsiTheme="majorBidi" w:cstheme="majorBidi"/>
          <w:sz w:val="24"/>
          <w:szCs w:val="24"/>
        </w:rPr>
        <w:t>, Tel Aviv, Israel). For each patient, a CRF (Case Report Form) was prepared about</w:t>
      </w:r>
      <w:r w:rsidR="003C4CD0" w:rsidRPr="00E26155">
        <w:rPr>
          <w:rFonts w:asciiTheme="majorBidi" w:hAnsiTheme="majorBidi" w:cstheme="majorBidi"/>
          <w:sz w:val="24"/>
          <w:szCs w:val="24"/>
        </w:rPr>
        <w:t xml:space="preserve"> the following characteristics:</w:t>
      </w:r>
      <w:r w:rsidR="008C2AC4" w:rsidRPr="00E26155">
        <w:rPr>
          <w:rFonts w:asciiTheme="majorBidi" w:hAnsiTheme="majorBidi" w:cstheme="majorBidi"/>
          <w:sz w:val="24"/>
          <w:szCs w:val="24"/>
        </w:rPr>
        <w:t xml:space="preserve"> A. demographic data such as age, sex, weight, height and body mass index (BMI).</w:t>
      </w:r>
      <w:r w:rsidR="003C4CD0" w:rsidRPr="00E26155">
        <w:rPr>
          <w:rFonts w:asciiTheme="majorBidi" w:hAnsiTheme="majorBidi" w:cstheme="majorBidi"/>
          <w:sz w:val="24"/>
          <w:szCs w:val="24"/>
        </w:rPr>
        <w:t xml:space="preserve"> </w:t>
      </w:r>
      <w:r w:rsidR="008C2AC4" w:rsidRPr="00E26155">
        <w:rPr>
          <w:rFonts w:asciiTheme="majorBidi" w:hAnsiTheme="majorBidi" w:cstheme="majorBidi"/>
          <w:sz w:val="24"/>
          <w:szCs w:val="24"/>
        </w:rPr>
        <w:t>B. Blood laboratory tests at day o</w:t>
      </w:r>
      <w:proofErr w:type="gramStart"/>
      <w:r w:rsidR="008C2AC4" w:rsidRPr="00E26155">
        <w:rPr>
          <w:rFonts w:asciiTheme="majorBidi" w:hAnsiTheme="majorBidi" w:cstheme="majorBidi"/>
          <w:sz w:val="24"/>
          <w:szCs w:val="24"/>
        </w:rPr>
        <w:t>,1,2,3,4</w:t>
      </w:r>
      <w:proofErr w:type="gramEnd"/>
      <w:r w:rsidR="008C2AC4" w:rsidRPr="00E26155">
        <w:rPr>
          <w:rFonts w:asciiTheme="majorBidi" w:hAnsiTheme="majorBidi" w:cstheme="majorBidi"/>
          <w:sz w:val="24"/>
          <w:szCs w:val="24"/>
        </w:rPr>
        <w:t xml:space="preserve">  of  Phosphate</w:t>
      </w:r>
      <w:r w:rsidR="003C4CD0" w:rsidRPr="00E26155">
        <w:rPr>
          <w:rFonts w:asciiTheme="majorBidi" w:hAnsiTheme="majorBidi" w:cstheme="majorBidi"/>
          <w:sz w:val="24"/>
          <w:szCs w:val="24"/>
        </w:rPr>
        <w:t xml:space="preserve"> </w:t>
      </w:r>
      <w:r w:rsidR="008C2AC4" w:rsidRPr="00E26155">
        <w:rPr>
          <w:rFonts w:asciiTheme="majorBidi" w:hAnsiTheme="majorBidi" w:cstheme="majorBidi"/>
          <w:sz w:val="24"/>
          <w:szCs w:val="24"/>
        </w:rPr>
        <w:t xml:space="preserve">(2.5-4.5 mg/dl) Magnesium (1.5-2.00 </w:t>
      </w:r>
      <w:proofErr w:type="spellStart"/>
      <w:r w:rsidR="008C2AC4" w:rsidRPr="00E26155">
        <w:rPr>
          <w:rFonts w:asciiTheme="majorBidi" w:hAnsiTheme="majorBidi" w:cstheme="majorBidi"/>
          <w:sz w:val="24"/>
          <w:szCs w:val="24"/>
        </w:rPr>
        <w:t>meq</w:t>
      </w:r>
      <w:proofErr w:type="spellEnd"/>
      <w:r w:rsidR="008C2AC4" w:rsidRPr="00E26155">
        <w:rPr>
          <w:rFonts w:asciiTheme="majorBidi" w:hAnsiTheme="majorBidi" w:cstheme="majorBidi"/>
          <w:sz w:val="24"/>
          <w:szCs w:val="24"/>
        </w:rPr>
        <w:t xml:space="preserve">/l), Glucose (70-110 mg/dl), Calcium (8.5-10.9 mg/dl), all of the above tests </w:t>
      </w:r>
      <w:r w:rsidR="003C4CD0" w:rsidRPr="00E26155">
        <w:rPr>
          <w:rFonts w:asciiTheme="majorBidi" w:hAnsiTheme="majorBidi" w:cstheme="majorBidi"/>
          <w:sz w:val="24"/>
          <w:szCs w:val="24"/>
        </w:rPr>
        <w:t>were</w:t>
      </w:r>
      <w:r w:rsidR="008C2AC4" w:rsidRPr="00E26155">
        <w:rPr>
          <w:rFonts w:asciiTheme="majorBidi" w:hAnsiTheme="majorBidi" w:cstheme="majorBidi"/>
          <w:sz w:val="24"/>
          <w:szCs w:val="24"/>
        </w:rPr>
        <w:t xml:space="preserve"> performed using the Au, Colorimetric method in the automated device </w:t>
      </w:r>
      <w:r w:rsidR="00B810A8" w:rsidRPr="00E26155">
        <w:rPr>
          <w:rFonts w:asciiTheme="majorBidi" w:hAnsiTheme="majorBidi" w:cstheme="majorBidi"/>
          <w:sz w:val="24"/>
          <w:szCs w:val="24"/>
        </w:rPr>
        <w:t xml:space="preserve">&lt; 2.5 </w:t>
      </w:r>
    </w:p>
    <w:p w:rsidR="003C4CD0" w:rsidRPr="00E26155" w:rsidRDefault="008C2AC4"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Beckman Coulter, Fullerton, CA, USA (analyzer)</w:t>
      </w:r>
      <w:r w:rsidRPr="00E26155">
        <w:rPr>
          <w:rFonts w:asciiTheme="majorBidi" w:hAnsiTheme="majorBidi" w:cstheme="majorBidi"/>
          <w:sz w:val="24"/>
          <w:szCs w:val="24"/>
          <w:rtl/>
        </w:rPr>
        <w:t xml:space="preserve"> </w:t>
      </w:r>
      <w:r w:rsidRPr="00E26155">
        <w:rPr>
          <w:rFonts w:asciiTheme="majorBidi" w:hAnsiTheme="majorBidi" w:cstheme="majorBidi"/>
          <w:sz w:val="24"/>
          <w:szCs w:val="24"/>
        </w:rPr>
        <w:t xml:space="preserve">Sodium (136-145 </w:t>
      </w:r>
      <w:proofErr w:type="spellStart"/>
      <w:r w:rsidRPr="00E26155">
        <w:rPr>
          <w:rFonts w:asciiTheme="majorBidi" w:hAnsiTheme="majorBidi" w:cstheme="majorBidi"/>
          <w:color w:val="000000"/>
          <w:sz w:val="24"/>
          <w:szCs w:val="24"/>
        </w:rPr>
        <w:t>mmol</w:t>
      </w:r>
      <w:proofErr w:type="spellEnd"/>
      <w:r w:rsidRPr="00E26155">
        <w:rPr>
          <w:rFonts w:asciiTheme="majorBidi" w:hAnsiTheme="majorBidi" w:cstheme="majorBidi"/>
          <w:color w:val="000000"/>
          <w:sz w:val="24"/>
          <w:szCs w:val="24"/>
        </w:rPr>
        <w:t>/l</w:t>
      </w:r>
      <w:r w:rsidRPr="00E26155">
        <w:rPr>
          <w:rFonts w:asciiTheme="majorBidi" w:hAnsiTheme="majorBidi" w:cstheme="majorBidi"/>
          <w:sz w:val="24"/>
          <w:szCs w:val="24"/>
        </w:rPr>
        <w:t xml:space="preserve"> ) potassium (3.5-5.2 </w:t>
      </w:r>
      <w:proofErr w:type="spellStart"/>
      <w:r w:rsidRPr="00E26155">
        <w:rPr>
          <w:rFonts w:asciiTheme="majorBidi" w:hAnsiTheme="majorBidi" w:cstheme="majorBidi"/>
          <w:color w:val="000000"/>
          <w:sz w:val="24"/>
          <w:szCs w:val="24"/>
        </w:rPr>
        <w:t>mmol</w:t>
      </w:r>
      <w:proofErr w:type="spellEnd"/>
      <w:r w:rsidRPr="00E26155">
        <w:rPr>
          <w:rFonts w:asciiTheme="majorBidi" w:hAnsiTheme="majorBidi" w:cstheme="majorBidi"/>
          <w:color w:val="000000"/>
          <w:sz w:val="24"/>
          <w:szCs w:val="24"/>
        </w:rPr>
        <w:t>/l</w:t>
      </w:r>
      <w:r w:rsidRPr="00E26155">
        <w:rPr>
          <w:rFonts w:asciiTheme="majorBidi" w:hAnsiTheme="majorBidi" w:cstheme="majorBidi"/>
          <w:sz w:val="24"/>
          <w:szCs w:val="24"/>
        </w:rPr>
        <w:t xml:space="preserve">) </w:t>
      </w:r>
      <w:r w:rsidR="003C4CD0" w:rsidRPr="00E26155">
        <w:rPr>
          <w:rFonts w:asciiTheme="majorBidi" w:hAnsiTheme="majorBidi" w:cstheme="majorBidi"/>
          <w:sz w:val="24"/>
          <w:szCs w:val="24"/>
        </w:rPr>
        <w:t>were</w:t>
      </w:r>
      <w:r w:rsidRPr="00E26155">
        <w:rPr>
          <w:rFonts w:asciiTheme="majorBidi" w:hAnsiTheme="majorBidi" w:cstheme="majorBidi"/>
          <w:sz w:val="24"/>
          <w:szCs w:val="24"/>
        </w:rPr>
        <w:t xml:space="preserve"> tested using the ISE method;  ion-sensing electrodes indirect method (Beckman-Coulter, Inc., Fullerton,  CA, USA). Information about nutrition consumption</w:t>
      </w:r>
      <w:r w:rsidR="003C4CD0" w:rsidRPr="00E26155">
        <w:rPr>
          <w:rFonts w:asciiTheme="majorBidi" w:hAnsiTheme="majorBidi" w:cstheme="majorBidi"/>
          <w:sz w:val="24"/>
          <w:szCs w:val="24"/>
        </w:rPr>
        <w:t>.</w:t>
      </w:r>
      <w:r w:rsidRPr="00E26155">
        <w:rPr>
          <w:rFonts w:asciiTheme="majorBidi" w:hAnsiTheme="majorBidi" w:cstheme="majorBidi"/>
          <w:sz w:val="24"/>
          <w:szCs w:val="24"/>
        </w:rPr>
        <w:t xml:space="preserve"> D. complication </w:t>
      </w:r>
      <w:r w:rsidR="003C4CD0" w:rsidRPr="00E26155">
        <w:rPr>
          <w:rFonts w:asciiTheme="majorBidi" w:hAnsiTheme="majorBidi" w:cstheme="majorBidi"/>
          <w:sz w:val="24"/>
          <w:szCs w:val="24"/>
        </w:rPr>
        <w:t>data:</w:t>
      </w:r>
      <w:r w:rsidRPr="00E26155">
        <w:rPr>
          <w:rFonts w:asciiTheme="majorBidi" w:hAnsiTheme="majorBidi" w:cstheme="majorBidi"/>
          <w:sz w:val="24"/>
          <w:szCs w:val="24"/>
        </w:rPr>
        <w:t xml:space="preserve"> mechanical ventilation, length of </w:t>
      </w:r>
      <w:r w:rsidR="003C4CD0" w:rsidRPr="00E26155">
        <w:rPr>
          <w:rFonts w:asciiTheme="majorBidi" w:hAnsiTheme="majorBidi" w:cstheme="majorBidi"/>
          <w:sz w:val="24"/>
          <w:szCs w:val="24"/>
        </w:rPr>
        <w:t>ICU</w:t>
      </w:r>
      <w:r w:rsidRPr="00E26155">
        <w:rPr>
          <w:rFonts w:asciiTheme="majorBidi" w:hAnsiTheme="majorBidi" w:cstheme="majorBidi"/>
          <w:sz w:val="24"/>
          <w:szCs w:val="24"/>
        </w:rPr>
        <w:t xml:space="preserve"> stay (days)</w:t>
      </w:r>
      <w:r w:rsidR="003C4CD0" w:rsidRPr="00E26155">
        <w:rPr>
          <w:rFonts w:asciiTheme="majorBidi" w:hAnsiTheme="majorBidi" w:cstheme="majorBidi"/>
          <w:sz w:val="24"/>
          <w:szCs w:val="24"/>
        </w:rPr>
        <w:t>,</w:t>
      </w:r>
      <w:r w:rsidRPr="00E26155">
        <w:rPr>
          <w:rFonts w:asciiTheme="majorBidi" w:hAnsiTheme="majorBidi" w:cstheme="majorBidi"/>
          <w:sz w:val="24"/>
          <w:szCs w:val="24"/>
        </w:rPr>
        <w:t xml:space="preserve"> and mortality after 28 days.  </w:t>
      </w:r>
    </w:p>
    <w:p w:rsidR="008C2AC4" w:rsidRPr="00E26155" w:rsidRDefault="008C2AC4" w:rsidP="00E26155">
      <w:pPr>
        <w:bidi w:val="0"/>
        <w:spacing w:line="360" w:lineRule="auto"/>
        <w:ind w:firstLine="720"/>
        <w:rPr>
          <w:rFonts w:asciiTheme="majorBidi" w:eastAsia="Calibri" w:hAnsiTheme="majorBidi" w:cstheme="majorBidi"/>
          <w:sz w:val="24"/>
          <w:szCs w:val="24"/>
        </w:rPr>
      </w:pPr>
      <w:r w:rsidRPr="00E26155">
        <w:rPr>
          <w:rFonts w:asciiTheme="majorBidi" w:hAnsiTheme="majorBidi" w:cstheme="majorBidi"/>
          <w:sz w:val="24"/>
          <w:szCs w:val="24"/>
        </w:rPr>
        <w:lastRenderedPageBreak/>
        <w:t xml:space="preserve">The study participants </w:t>
      </w:r>
      <w:r w:rsidRPr="00E26155">
        <w:rPr>
          <w:rFonts w:asciiTheme="majorBidi" w:eastAsia="Calibri" w:hAnsiTheme="majorBidi" w:cstheme="majorBidi"/>
          <w:sz w:val="24"/>
          <w:szCs w:val="24"/>
        </w:rPr>
        <w:t>divided into three groups:  group A: patients with serum phosphates&lt;2.5 (N=102) during 4 days after receiving nutrition. Group B (N=63) their phosphates level</w:t>
      </w:r>
      <w:r w:rsidRPr="00E26155">
        <w:rPr>
          <w:rFonts w:asciiTheme="majorBidi" w:hAnsiTheme="majorBidi" w:cstheme="majorBidi"/>
          <w:sz w:val="24"/>
          <w:szCs w:val="24"/>
        </w:rPr>
        <w:t xml:space="preserve"> </w:t>
      </w:r>
      <w:r w:rsidRPr="00E26155">
        <w:rPr>
          <w:rFonts w:asciiTheme="majorBidi" w:eastAsia="Calibri" w:hAnsiTheme="majorBidi" w:cstheme="majorBidi"/>
          <w:sz w:val="24"/>
          <w:szCs w:val="24"/>
        </w:rPr>
        <w:t xml:space="preserve">(2.5-4.5) remained normal during four days after initiation. Group C (N=90) with high phosphate level (&gt;4.5) from the ICU hospitalization and four days after initiation, missing data (N=20). </w:t>
      </w:r>
    </w:p>
    <w:p w:rsidR="004513A1" w:rsidRPr="00E26155" w:rsidRDefault="004513A1" w:rsidP="00E26155">
      <w:pPr>
        <w:bidi w:val="0"/>
        <w:spacing w:line="360" w:lineRule="auto"/>
        <w:rPr>
          <w:rFonts w:asciiTheme="majorBidi" w:hAnsiTheme="majorBidi" w:cstheme="majorBidi"/>
          <w:sz w:val="24"/>
          <w:szCs w:val="24"/>
        </w:rPr>
      </w:pPr>
    </w:p>
    <w:p w:rsidR="00B27F73" w:rsidRPr="00E26155" w:rsidRDefault="004513A1" w:rsidP="00E26155">
      <w:pPr>
        <w:bidi w:val="0"/>
        <w:spacing w:line="360" w:lineRule="auto"/>
        <w:rPr>
          <w:rFonts w:asciiTheme="majorBidi" w:hAnsiTheme="majorBidi" w:cstheme="majorBidi"/>
          <w:sz w:val="24"/>
          <w:szCs w:val="24"/>
        </w:rPr>
      </w:pPr>
      <w:r w:rsidRPr="00E26155">
        <w:rPr>
          <w:rFonts w:asciiTheme="majorBidi" w:hAnsiTheme="majorBidi" w:cstheme="majorBidi"/>
          <w:b/>
          <w:bCs/>
          <w:sz w:val="24"/>
          <w:szCs w:val="24"/>
        </w:rPr>
        <w:t>Results:</w:t>
      </w:r>
    </w:p>
    <w:p w:rsidR="005159F1" w:rsidRPr="00E26155" w:rsidRDefault="004513A1" w:rsidP="00E26155">
      <w:pPr>
        <w:bidi w:val="0"/>
        <w:spacing w:line="360" w:lineRule="auto"/>
        <w:rPr>
          <w:rFonts w:asciiTheme="majorBidi" w:hAnsiTheme="majorBidi" w:cstheme="majorBidi"/>
          <w:sz w:val="24"/>
          <w:szCs w:val="24"/>
        </w:rPr>
      </w:pPr>
      <w:r w:rsidRPr="00E26155">
        <w:rPr>
          <w:rFonts w:asciiTheme="majorBidi" w:hAnsiTheme="majorBidi" w:cstheme="majorBidi"/>
          <w:sz w:val="24"/>
          <w:szCs w:val="24"/>
        </w:rPr>
        <w:t xml:space="preserve"> </w:t>
      </w:r>
      <w:r w:rsidR="003C4CD0" w:rsidRPr="00E26155">
        <w:rPr>
          <w:rFonts w:asciiTheme="majorBidi" w:hAnsiTheme="majorBidi" w:cstheme="majorBidi"/>
          <w:sz w:val="24"/>
          <w:szCs w:val="24"/>
        </w:rPr>
        <w:tab/>
      </w:r>
      <w:r w:rsidR="002549BC" w:rsidRPr="00E26155">
        <w:rPr>
          <w:rFonts w:asciiTheme="majorBidi" w:hAnsiTheme="majorBidi" w:cstheme="majorBidi"/>
          <w:sz w:val="24"/>
          <w:szCs w:val="24"/>
        </w:rPr>
        <w:t>T</w:t>
      </w:r>
      <w:r w:rsidR="002549BC" w:rsidRPr="00E26155">
        <w:rPr>
          <w:rFonts w:asciiTheme="majorBidi" w:hAnsiTheme="majorBidi" w:cstheme="majorBidi"/>
          <w:color w:val="333333"/>
          <w:sz w:val="24"/>
          <w:szCs w:val="24"/>
          <w:shd w:val="clear" w:color="auto" w:fill="FFFFFF"/>
        </w:rPr>
        <w:t xml:space="preserve">he mean </w:t>
      </w:r>
      <w:r w:rsidR="003C4CD0" w:rsidRPr="00E26155">
        <w:rPr>
          <w:rFonts w:asciiTheme="majorBidi" w:hAnsiTheme="majorBidi" w:cstheme="majorBidi"/>
          <w:color w:val="333333"/>
          <w:sz w:val="24"/>
          <w:szCs w:val="24"/>
          <w:shd w:val="clear" w:color="auto" w:fill="FFFFFF"/>
        </w:rPr>
        <w:t>rate</w:t>
      </w:r>
      <w:r w:rsidR="002549BC" w:rsidRPr="00E26155">
        <w:rPr>
          <w:rFonts w:asciiTheme="majorBidi" w:hAnsiTheme="majorBidi" w:cstheme="majorBidi"/>
          <w:color w:val="333333"/>
          <w:sz w:val="24"/>
          <w:szCs w:val="24"/>
          <w:shd w:val="clear" w:color="auto" w:fill="FFFFFF"/>
        </w:rPr>
        <w:t xml:space="preserve"> of </w:t>
      </w:r>
      <w:r w:rsidR="003C4CD0" w:rsidRPr="00E26155">
        <w:rPr>
          <w:rFonts w:asciiTheme="majorBidi" w:hAnsiTheme="majorBidi" w:cstheme="majorBidi"/>
          <w:color w:val="333333"/>
          <w:sz w:val="24"/>
          <w:szCs w:val="24"/>
          <w:shd w:val="clear" w:color="auto" w:fill="FFFFFF"/>
        </w:rPr>
        <w:t>response</w:t>
      </w:r>
      <w:r w:rsidR="002549BC" w:rsidRPr="00E26155">
        <w:rPr>
          <w:rFonts w:asciiTheme="majorBidi" w:hAnsiTheme="majorBidi" w:cstheme="majorBidi"/>
          <w:color w:val="333333"/>
          <w:sz w:val="24"/>
          <w:szCs w:val="24"/>
          <w:shd w:val="clear" w:color="auto" w:fill="FFFFFF"/>
        </w:rPr>
        <w:t xml:space="preserve"> to the ICU nurses questionnaire was 84%.</w:t>
      </w:r>
      <w:r w:rsidR="002549BC" w:rsidRPr="00E26155">
        <w:rPr>
          <w:rFonts w:asciiTheme="majorBidi" w:hAnsiTheme="majorBidi" w:cstheme="majorBidi"/>
          <w:sz w:val="24"/>
          <w:szCs w:val="24"/>
        </w:rPr>
        <w:t xml:space="preserve"> </w:t>
      </w:r>
      <w:r w:rsidRPr="00E26155">
        <w:rPr>
          <w:rFonts w:asciiTheme="majorBidi" w:hAnsiTheme="majorBidi" w:cstheme="majorBidi"/>
          <w:sz w:val="24"/>
          <w:szCs w:val="24"/>
        </w:rPr>
        <w:t>The results revealed that most ICU nurses are female (64.6%</w:t>
      </w:r>
      <w:r w:rsidR="00EF526C" w:rsidRPr="00E26155">
        <w:rPr>
          <w:rFonts w:asciiTheme="majorBidi" w:hAnsiTheme="majorBidi" w:cstheme="majorBidi"/>
          <w:sz w:val="24"/>
          <w:szCs w:val="24"/>
        </w:rPr>
        <w:t>).</w:t>
      </w:r>
      <w:r w:rsidRPr="00E26155">
        <w:rPr>
          <w:rFonts w:asciiTheme="majorBidi" w:hAnsiTheme="majorBidi" w:cstheme="majorBidi"/>
          <w:sz w:val="24"/>
          <w:szCs w:val="24"/>
        </w:rPr>
        <w:t xml:space="preserve"> </w:t>
      </w:r>
      <w:r w:rsidR="00EF526C" w:rsidRPr="00E26155">
        <w:rPr>
          <w:rFonts w:asciiTheme="majorBidi" w:hAnsiTheme="majorBidi" w:cstheme="majorBidi"/>
          <w:sz w:val="24"/>
          <w:szCs w:val="24"/>
        </w:rPr>
        <w:t>sixty-two</w:t>
      </w:r>
      <w:r w:rsidR="003C4CD0" w:rsidRPr="00E26155">
        <w:rPr>
          <w:rFonts w:asciiTheme="majorBidi" w:hAnsiTheme="majorBidi" w:cstheme="majorBidi"/>
          <w:sz w:val="24"/>
          <w:szCs w:val="24"/>
        </w:rPr>
        <w:t xml:space="preserve"> percent of the nurses </w:t>
      </w:r>
      <w:r w:rsidRPr="00E26155">
        <w:rPr>
          <w:rFonts w:asciiTheme="majorBidi" w:hAnsiTheme="majorBidi" w:cstheme="majorBidi"/>
          <w:sz w:val="24"/>
          <w:szCs w:val="24"/>
        </w:rPr>
        <w:t>reported that they had studied</w:t>
      </w:r>
      <w:r w:rsidR="001B4B40" w:rsidRPr="00E26155">
        <w:rPr>
          <w:rFonts w:asciiTheme="majorBidi" w:hAnsiTheme="majorBidi" w:cstheme="majorBidi"/>
          <w:sz w:val="24"/>
          <w:szCs w:val="24"/>
        </w:rPr>
        <w:t xml:space="preserve"> a basic course in</w:t>
      </w:r>
      <w:r w:rsidRPr="00E26155">
        <w:rPr>
          <w:rFonts w:asciiTheme="majorBidi" w:hAnsiTheme="majorBidi" w:cstheme="majorBidi"/>
          <w:sz w:val="24"/>
          <w:szCs w:val="24"/>
        </w:rPr>
        <w:t xml:space="preserve"> nutrition as part of their </w:t>
      </w:r>
      <w:r w:rsidR="003719B7" w:rsidRPr="00E26155">
        <w:rPr>
          <w:rFonts w:asciiTheme="majorBidi" w:hAnsiTheme="majorBidi" w:cstheme="majorBidi"/>
          <w:sz w:val="24"/>
          <w:szCs w:val="24"/>
        </w:rPr>
        <w:t>primary</w:t>
      </w:r>
      <w:r w:rsidRPr="00E26155">
        <w:rPr>
          <w:rFonts w:asciiTheme="majorBidi" w:hAnsiTheme="majorBidi" w:cstheme="majorBidi"/>
          <w:sz w:val="24"/>
          <w:szCs w:val="24"/>
        </w:rPr>
        <w:t xml:space="preserve"> nursing studies. </w:t>
      </w:r>
      <w:r w:rsidR="003C4CD0" w:rsidRPr="00E26155">
        <w:rPr>
          <w:rFonts w:asciiTheme="majorBidi" w:hAnsiTheme="majorBidi" w:cstheme="majorBidi"/>
          <w:sz w:val="24"/>
          <w:szCs w:val="24"/>
        </w:rPr>
        <w:t xml:space="preserve">Majority of </w:t>
      </w:r>
      <w:r w:rsidRPr="00E26155">
        <w:rPr>
          <w:rFonts w:asciiTheme="majorBidi" w:hAnsiTheme="majorBidi" w:cstheme="majorBidi"/>
          <w:sz w:val="24"/>
          <w:szCs w:val="24"/>
        </w:rPr>
        <w:t xml:space="preserve">91.1% thought </w:t>
      </w:r>
      <w:r w:rsidR="003C4CD0" w:rsidRPr="00E26155">
        <w:rPr>
          <w:rFonts w:asciiTheme="majorBidi" w:hAnsiTheme="majorBidi" w:cstheme="majorBidi"/>
          <w:sz w:val="24"/>
          <w:szCs w:val="24"/>
        </w:rPr>
        <w:t>that nutrition</w:t>
      </w:r>
      <w:r w:rsidRPr="00E26155">
        <w:rPr>
          <w:rFonts w:asciiTheme="majorBidi" w:hAnsiTheme="majorBidi" w:cstheme="majorBidi"/>
          <w:sz w:val="24"/>
          <w:szCs w:val="24"/>
        </w:rPr>
        <w:t xml:space="preserve"> follow-up of the ICU patient is not nurse responsibility.</w:t>
      </w:r>
      <w:r w:rsidR="003C4CD0" w:rsidRPr="00E26155">
        <w:rPr>
          <w:rFonts w:asciiTheme="majorBidi" w:hAnsiTheme="majorBidi" w:cstheme="majorBidi"/>
          <w:sz w:val="24"/>
          <w:szCs w:val="24"/>
        </w:rPr>
        <w:t xml:space="preserve"> Only</w:t>
      </w:r>
      <w:r w:rsidRPr="00E26155">
        <w:rPr>
          <w:rFonts w:asciiTheme="majorBidi" w:hAnsiTheme="majorBidi" w:cstheme="majorBidi"/>
          <w:sz w:val="24"/>
          <w:szCs w:val="24"/>
        </w:rPr>
        <w:t xml:space="preserve"> 22% think that it is not their duty to perform daily monitoring of electrolytes. However, 75.6% </w:t>
      </w:r>
      <w:r w:rsidR="003C4CD0" w:rsidRPr="00E26155">
        <w:rPr>
          <w:rFonts w:asciiTheme="majorBidi" w:hAnsiTheme="majorBidi" w:cstheme="majorBidi"/>
          <w:sz w:val="24"/>
          <w:szCs w:val="24"/>
        </w:rPr>
        <w:t xml:space="preserve">stated that they think there is </w:t>
      </w:r>
      <w:r w:rsidRPr="00E26155">
        <w:rPr>
          <w:rFonts w:asciiTheme="majorBidi" w:hAnsiTheme="majorBidi" w:cstheme="majorBidi"/>
          <w:sz w:val="24"/>
          <w:szCs w:val="24"/>
        </w:rPr>
        <w:t xml:space="preserve">no </w:t>
      </w:r>
      <w:r w:rsidR="003C4CD0" w:rsidRPr="00E26155">
        <w:rPr>
          <w:rFonts w:asciiTheme="majorBidi" w:hAnsiTheme="majorBidi" w:cstheme="majorBidi"/>
          <w:sz w:val="24"/>
          <w:szCs w:val="24"/>
        </w:rPr>
        <w:t>significance</w:t>
      </w:r>
      <w:r w:rsidRPr="00E26155">
        <w:rPr>
          <w:rFonts w:asciiTheme="majorBidi" w:hAnsiTheme="majorBidi" w:cstheme="majorBidi"/>
          <w:sz w:val="24"/>
          <w:szCs w:val="24"/>
        </w:rPr>
        <w:t xml:space="preserve"> for monitoring phosphate levels prior to initiation of feeding. More than 64.4% of nurses </w:t>
      </w:r>
      <w:r w:rsidR="003C4CD0" w:rsidRPr="00E26155">
        <w:rPr>
          <w:rFonts w:asciiTheme="majorBidi" w:hAnsiTheme="majorBidi" w:cstheme="majorBidi"/>
          <w:sz w:val="24"/>
          <w:szCs w:val="24"/>
        </w:rPr>
        <w:t xml:space="preserve">think that they should </w:t>
      </w:r>
      <w:r w:rsidRPr="00E26155">
        <w:rPr>
          <w:rFonts w:asciiTheme="majorBidi" w:hAnsiTheme="majorBidi" w:cstheme="majorBidi"/>
          <w:sz w:val="24"/>
          <w:szCs w:val="24"/>
        </w:rPr>
        <w:t xml:space="preserve">start </w:t>
      </w:r>
      <w:r w:rsidR="003C4CD0" w:rsidRPr="00E26155">
        <w:rPr>
          <w:rFonts w:asciiTheme="majorBidi" w:hAnsiTheme="majorBidi" w:cstheme="majorBidi"/>
          <w:sz w:val="24"/>
          <w:szCs w:val="24"/>
        </w:rPr>
        <w:t xml:space="preserve">to provide the patient with the </w:t>
      </w:r>
      <w:r w:rsidRPr="00E26155">
        <w:rPr>
          <w:rFonts w:asciiTheme="majorBidi" w:hAnsiTheme="majorBidi" w:cstheme="majorBidi"/>
          <w:sz w:val="24"/>
          <w:szCs w:val="24"/>
        </w:rPr>
        <w:t xml:space="preserve">full caloric </w:t>
      </w:r>
      <w:r w:rsidR="00CB2D33" w:rsidRPr="00E26155">
        <w:rPr>
          <w:rFonts w:asciiTheme="majorBidi" w:hAnsiTheme="majorBidi" w:cstheme="majorBidi"/>
          <w:sz w:val="24"/>
          <w:szCs w:val="24"/>
        </w:rPr>
        <w:t>intake</w:t>
      </w:r>
      <w:r w:rsidRPr="00E26155">
        <w:rPr>
          <w:rFonts w:asciiTheme="majorBidi" w:hAnsiTheme="majorBidi" w:cstheme="majorBidi"/>
          <w:sz w:val="24"/>
          <w:szCs w:val="24"/>
        </w:rPr>
        <w:t xml:space="preserve"> immediately after hospitalization in ICU, as opposed to a 35.6% of nurses </w:t>
      </w:r>
      <w:r w:rsidR="003C4CD0" w:rsidRPr="00E26155">
        <w:rPr>
          <w:rFonts w:asciiTheme="majorBidi" w:hAnsiTheme="majorBidi" w:cstheme="majorBidi"/>
          <w:sz w:val="24"/>
          <w:szCs w:val="24"/>
        </w:rPr>
        <w:t xml:space="preserve">that </w:t>
      </w:r>
      <w:r w:rsidRPr="00E26155">
        <w:rPr>
          <w:rFonts w:asciiTheme="majorBidi" w:hAnsiTheme="majorBidi" w:cstheme="majorBidi"/>
          <w:sz w:val="24"/>
          <w:szCs w:val="24"/>
        </w:rPr>
        <w:t xml:space="preserve">believes </w:t>
      </w:r>
      <w:r w:rsidR="003C4CD0" w:rsidRPr="00E26155">
        <w:rPr>
          <w:rFonts w:asciiTheme="majorBidi" w:hAnsiTheme="majorBidi" w:cstheme="majorBidi"/>
          <w:sz w:val="24"/>
          <w:szCs w:val="24"/>
        </w:rPr>
        <w:t>they</w:t>
      </w:r>
      <w:r w:rsidRPr="00E26155">
        <w:rPr>
          <w:rFonts w:asciiTheme="majorBidi" w:hAnsiTheme="majorBidi" w:cstheme="majorBidi"/>
          <w:sz w:val="24"/>
          <w:szCs w:val="24"/>
        </w:rPr>
        <w:t xml:space="preserve"> should withhold the feeding, </w:t>
      </w:r>
      <w:r w:rsidR="003C4CD0" w:rsidRPr="00E26155">
        <w:rPr>
          <w:rFonts w:asciiTheme="majorBidi" w:hAnsiTheme="majorBidi" w:cstheme="majorBidi"/>
          <w:sz w:val="24"/>
          <w:szCs w:val="24"/>
        </w:rPr>
        <w:t>as instructed in the</w:t>
      </w:r>
      <w:r w:rsidRPr="00E26155">
        <w:rPr>
          <w:rFonts w:asciiTheme="majorBidi" w:hAnsiTheme="majorBidi" w:cstheme="majorBidi"/>
          <w:sz w:val="24"/>
          <w:szCs w:val="24"/>
        </w:rPr>
        <w:t xml:space="preserve"> latest guidelines</w:t>
      </w:r>
      <w:r w:rsidR="002E2C87" w:rsidRPr="00E26155">
        <w:rPr>
          <w:rFonts w:asciiTheme="majorBidi" w:hAnsiTheme="majorBidi" w:cstheme="majorBidi"/>
          <w:sz w:val="24"/>
          <w:szCs w:val="24"/>
        </w:rPr>
        <w:fldChar w:fldCharType="begin"/>
      </w:r>
      <w:r w:rsidR="001C3F41" w:rsidRPr="00E26155">
        <w:rPr>
          <w:rFonts w:asciiTheme="majorBidi" w:hAnsiTheme="majorBidi" w:cstheme="majorBidi"/>
          <w:sz w:val="24"/>
          <w:szCs w:val="24"/>
        </w:rPr>
        <w: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Ltd."},{"title":"Guidelines for the provision and assessment of nutrition support therapy in the adult critically ill patient: society of critical care medicine (SCCM) and american society for parenteral and enteral nutrition (A.S.P.E.N.).","id":"2337766","page":"159-211","type":"article-journal","volume":"40","issue":"2","author":[{"family":"McClave","given":"Stephen A"},{"family":"Taylor","given":"Beth E"},{"family":"Martindale","given":"Robert G"},{"family":"Warren","given":"Malissa M"},{"family":"Johnson","given":"Debbie R"},{"family":"Braunschweig","given":"Carol"},{"family":"McCarthy","given":"Mary S"},{"family":"Davanos","given":"Evangelia"},{"family":"Rice","given":"Todd W"},{"family":"Cresci","given":"Gail A"},{"family":"Gervasio","given":"Jane M"},{"family":"Sacks","given":"Gordon S"},{"family":"Roberts","given":"Pamela R"},{"family":"Compher","given":"Charlene"},{"family":"Society of Critical Care Medicine"},{"family":"American Society for Parenteral and Enteral Nutrition"}],"issued":{"date-parts":[["2016","2"]]},"container-title":"Journal of Parenteral and Enteral Nutrition","container-title-short":"JPEN J Parenter Enteral Nutr","journalAbbreviation":"JPEN J Parenter Enteral Nutr","DOI":"10.1177/0148607115621863","PMID":"26773077","citation-label":"2337766","CleanAbstract":"No abstract available"},{"title":"Introduction to the 2018 ESPEN guidelines on clinical nutrition in the intensive care unit: food for thought and valuable directives for clinicians!.","id":"7447919","type":"article-journal","volume":"22","issue":"2","issued":{"date-parts":[["2019"]]},"container-title":"Current Opinion in Clinical Nutrition &amp; Metabolic Care","container-title-short":"Current Opinion in Clinical Nutrition &amp; Metabolic Care","journalAbbreviation":"Current Opinion in Clinical Nutrition &amp; Metabolic Care","citation-label":"7447919","CleanAbstract":"No abstract available"}]</w:instrText>
      </w:r>
      <w:r w:rsidR="002E2C87"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(5,15,16)</w:t>
      </w:r>
      <w:r w:rsidR="002E2C87" w:rsidRPr="00E26155">
        <w:rPr>
          <w:rFonts w:asciiTheme="majorBidi" w:hAnsiTheme="majorBidi" w:cstheme="majorBidi"/>
          <w:sz w:val="24"/>
          <w:szCs w:val="24"/>
        </w:rPr>
        <w:fldChar w:fldCharType="end"/>
      </w:r>
      <w:r w:rsidR="002E2C87" w:rsidRPr="00E26155">
        <w:rPr>
          <w:rFonts w:asciiTheme="majorBidi" w:hAnsiTheme="majorBidi" w:cstheme="majorBidi"/>
          <w:sz w:val="24"/>
          <w:szCs w:val="24"/>
        </w:rPr>
        <w:t>.</w:t>
      </w:r>
      <w:r w:rsidRPr="00E26155">
        <w:rPr>
          <w:rFonts w:asciiTheme="majorBidi" w:hAnsiTheme="majorBidi" w:cstheme="majorBidi"/>
          <w:sz w:val="24"/>
          <w:szCs w:val="24"/>
        </w:rPr>
        <w:t xml:space="preserve"> </w:t>
      </w:r>
    </w:p>
    <w:p w:rsidR="003C4CD0" w:rsidRPr="00E26155" w:rsidRDefault="003C4CD0"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Sixty eight percent of the nurses are</w:t>
      </w:r>
      <w:r w:rsidR="005159F1" w:rsidRPr="00E26155">
        <w:rPr>
          <w:rFonts w:asciiTheme="majorBidi" w:hAnsiTheme="majorBidi" w:cstheme="majorBidi"/>
          <w:sz w:val="24"/>
          <w:szCs w:val="24"/>
        </w:rPr>
        <w:t xml:space="preserve"> not aware of </w:t>
      </w:r>
      <w:r w:rsidRPr="00E26155">
        <w:rPr>
          <w:rFonts w:asciiTheme="majorBidi" w:hAnsiTheme="majorBidi" w:cstheme="majorBidi"/>
          <w:sz w:val="24"/>
          <w:szCs w:val="24"/>
        </w:rPr>
        <w:t xml:space="preserve">the </w:t>
      </w:r>
      <w:r w:rsidR="005159F1" w:rsidRPr="00E26155">
        <w:rPr>
          <w:rFonts w:asciiTheme="majorBidi" w:hAnsiTheme="majorBidi" w:cstheme="majorBidi"/>
          <w:sz w:val="24"/>
          <w:szCs w:val="24"/>
        </w:rPr>
        <w:t>increase risk of RS when</w:t>
      </w:r>
      <w:r w:rsidRPr="00E26155">
        <w:rPr>
          <w:rFonts w:asciiTheme="majorBidi" w:hAnsiTheme="majorBidi" w:cstheme="majorBidi"/>
          <w:sz w:val="24"/>
          <w:szCs w:val="24"/>
        </w:rPr>
        <w:t xml:space="preserve"> the patients'</w:t>
      </w:r>
      <w:r w:rsidR="005159F1" w:rsidRPr="00E26155">
        <w:rPr>
          <w:rFonts w:asciiTheme="majorBidi" w:hAnsiTheme="majorBidi" w:cstheme="majorBidi"/>
          <w:sz w:val="24"/>
          <w:szCs w:val="24"/>
        </w:rPr>
        <w:t xml:space="preserve"> level of Phosphate is low. </w:t>
      </w:r>
      <w:r w:rsidRPr="00E26155">
        <w:rPr>
          <w:rFonts w:asciiTheme="majorBidi" w:hAnsiTheme="majorBidi" w:cstheme="majorBidi"/>
          <w:sz w:val="24"/>
          <w:szCs w:val="24"/>
        </w:rPr>
        <w:t>More than half of the nurses (59.1</w:t>
      </w:r>
      <w:r w:rsidR="004513A1" w:rsidRPr="00E26155">
        <w:rPr>
          <w:rFonts w:asciiTheme="majorBidi" w:hAnsiTheme="majorBidi" w:cstheme="majorBidi"/>
          <w:sz w:val="24"/>
          <w:szCs w:val="24"/>
        </w:rPr>
        <w:t>%</w:t>
      </w:r>
      <w:r w:rsidRPr="00E26155">
        <w:rPr>
          <w:rFonts w:asciiTheme="majorBidi" w:hAnsiTheme="majorBidi" w:cstheme="majorBidi"/>
          <w:sz w:val="24"/>
          <w:szCs w:val="24"/>
        </w:rPr>
        <w:t>)</w:t>
      </w:r>
      <w:r w:rsidR="00721552" w:rsidRPr="00E26155">
        <w:rPr>
          <w:rFonts w:asciiTheme="majorBidi" w:hAnsiTheme="majorBidi" w:cstheme="majorBidi"/>
          <w:sz w:val="24"/>
          <w:szCs w:val="24"/>
        </w:rPr>
        <w:t xml:space="preserve"> </w:t>
      </w:r>
      <w:r w:rsidR="00062595" w:rsidRPr="00E26155">
        <w:rPr>
          <w:rFonts w:asciiTheme="majorBidi" w:hAnsiTheme="majorBidi" w:cstheme="majorBidi"/>
          <w:sz w:val="24"/>
          <w:szCs w:val="24"/>
        </w:rPr>
        <w:t>do not</w:t>
      </w:r>
      <w:r w:rsidR="00721552" w:rsidRPr="00E26155">
        <w:rPr>
          <w:rFonts w:asciiTheme="majorBidi" w:hAnsiTheme="majorBidi" w:cstheme="majorBidi"/>
          <w:sz w:val="24"/>
          <w:szCs w:val="24"/>
        </w:rPr>
        <w:t xml:space="preserve"> think that there is a correlation between RS and level of</w:t>
      </w:r>
      <w:r w:rsidR="00721552" w:rsidRPr="00E26155">
        <w:rPr>
          <w:rFonts w:asciiTheme="majorBidi" w:hAnsiTheme="majorBidi" w:cstheme="majorBidi"/>
          <w:color w:val="222222"/>
          <w:sz w:val="24"/>
          <w:szCs w:val="24"/>
          <w:shd w:val="clear" w:color="auto" w:fill="FFFFFF"/>
        </w:rPr>
        <w:t xml:space="preserve"> </w:t>
      </w:r>
      <w:r w:rsidR="0006214C" w:rsidRPr="00E26155">
        <w:rPr>
          <w:rFonts w:asciiTheme="majorBidi" w:hAnsiTheme="majorBidi" w:cstheme="majorBidi"/>
          <w:color w:val="222222"/>
          <w:sz w:val="24"/>
          <w:szCs w:val="24"/>
          <w:shd w:val="clear" w:color="auto" w:fill="FFFFFF"/>
        </w:rPr>
        <w:t>electrolyte (</w:t>
      </w:r>
      <w:r w:rsidR="00721552" w:rsidRPr="00E26155">
        <w:rPr>
          <w:rFonts w:asciiTheme="majorBidi" w:hAnsiTheme="majorBidi" w:cstheme="majorBidi"/>
          <w:color w:val="222222"/>
          <w:sz w:val="24"/>
          <w:szCs w:val="24"/>
          <w:shd w:val="clear" w:color="auto" w:fill="FFFFFF"/>
        </w:rPr>
        <w:t>Potassium</w:t>
      </w:r>
      <w:r w:rsidR="0010379C" w:rsidRPr="00E26155">
        <w:rPr>
          <w:rFonts w:asciiTheme="majorBidi" w:hAnsiTheme="majorBidi" w:cstheme="majorBidi"/>
          <w:color w:val="222222"/>
          <w:sz w:val="24"/>
          <w:szCs w:val="24"/>
          <w:shd w:val="clear" w:color="auto" w:fill="FFFFFF"/>
        </w:rPr>
        <w:t xml:space="preserve">, </w:t>
      </w:r>
      <w:r w:rsidR="0006214C" w:rsidRPr="00E26155">
        <w:rPr>
          <w:rFonts w:asciiTheme="majorBidi" w:hAnsiTheme="majorBidi" w:cstheme="majorBidi"/>
          <w:color w:val="222222"/>
          <w:sz w:val="24"/>
          <w:szCs w:val="24"/>
          <w:shd w:val="clear" w:color="auto" w:fill="FFFFFF"/>
        </w:rPr>
        <w:t xml:space="preserve">Sodium, Calcium, </w:t>
      </w:r>
      <w:r w:rsidR="00BD0C56" w:rsidRPr="00E26155">
        <w:rPr>
          <w:rFonts w:asciiTheme="majorBidi" w:hAnsiTheme="majorBidi" w:cstheme="majorBidi"/>
          <w:color w:val="222222"/>
          <w:sz w:val="24"/>
          <w:szCs w:val="24"/>
          <w:shd w:val="clear" w:color="auto" w:fill="FFFFFF"/>
        </w:rPr>
        <w:t>and Magnesium</w:t>
      </w:r>
      <w:r w:rsidR="0006214C" w:rsidRPr="00E26155">
        <w:rPr>
          <w:rFonts w:asciiTheme="majorBidi" w:hAnsiTheme="majorBidi" w:cstheme="majorBidi"/>
          <w:color w:val="222222"/>
          <w:sz w:val="24"/>
          <w:szCs w:val="24"/>
          <w:shd w:val="clear" w:color="auto" w:fill="FFFFFF"/>
        </w:rPr>
        <w:t>)</w:t>
      </w:r>
      <w:r w:rsidR="00721552" w:rsidRPr="00E26155">
        <w:rPr>
          <w:rFonts w:asciiTheme="majorBidi" w:hAnsiTheme="majorBidi" w:cstheme="majorBidi"/>
          <w:sz w:val="24"/>
          <w:szCs w:val="24"/>
        </w:rPr>
        <w:t xml:space="preserve"> level</w:t>
      </w:r>
      <w:r w:rsidR="0010379C" w:rsidRPr="00E26155">
        <w:rPr>
          <w:rFonts w:asciiTheme="majorBidi" w:hAnsiTheme="majorBidi" w:cstheme="majorBidi"/>
          <w:sz w:val="24"/>
          <w:szCs w:val="24"/>
        </w:rPr>
        <w:t xml:space="preserve">s. </w:t>
      </w:r>
    </w:p>
    <w:p w:rsidR="00D16C7F" w:rsidRPr="00E26155" w:rsidRDefault="004513A1"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In addition,</w:t>
      </w:r>
      <w:r w:rsidR="0068009E" w:rsidRPr="00E26155">
        <w:rPr>
          <w:rFonts w:asciiTheme="majorBidi" w:hAnsiTheme="majorBidi" w:cstheme="majorBidi"/>
          <w:sz w:val="24"/>
          <w:szCs w:val="24"/>
        </w:rPr>
        <w:t xml:space="preserve"> 63.6% think that patients with RS </w:t>
      </w:r>
      <w:r w:rsidR="0006214C" w:rsidRPr="00E26155">
        <w:rPr>
          <w:rFonts w:asciiTheme="majorBidi" w:hAnsiTheme="majorBidi" w:cstheme="majorBidi"/>
          <w:sz w:val="24"/>
          <w:szCs w:val="24"/>
        </w:rPr>
        <w:t>do</w:t>
      </w:r>
      <w:r w:rsidR="003C4CD0" w:rsidRPr="00E26155">
        <w:rPr>
          <w:rFonts w:asciiTheme="majorBidi" w:hAnsiTheme="majorBidi" w:cstheme="majorBidi"/>
          <w:sz w:val="24"/>
          <w:szCs w:val="24"/>
        </w:rPr>
        <w:t xml:space="preserve"> not</w:t>
      </w:r>
      <w:r w:rsidR="0006214C" w:rsidRPr="00E26155">
        <w:rPr>
          <w:rFonts w:asciiTheme="majorBidi" w:hAnsiTheme="majorBidi" w:cstheme="majorBidi"/>
          <w:sz w:val="24"/>
          <w:szCs w:val="24"/>
        </w:rPr>
        <w:t xml:space="preserve"> need any changes or tuning the maximum amount of calories</w:t>
      </w:r>
      <w:r w:rsidR="003C4CD0" w:rsidRPr="00E26155">
        <w:rPr>
          <w:rFonts w:asciiTheme="majorBidi" w:hAnsiTheme="majorBidi" w:cstheme="majorBidi"/>
          <w:sz w:val="24"/>
          <w:szCs w:val="24"/>
        </w:rPr>
        <w:t xml:space="preserve"> intake</w:t>
      </w:r>
      <w:r w:rsidR="0006214C" w:rsidRPr="00E26155">
        <w:rPr>
          <w:rFonts w:asciiTheme="majorBidi" w:hAnsiTheme="majorBidi" w:cstheme="majorBidi"/>
          <w:sz w:val="24"/>
          <w:szCs w:val="24"/>
        </w:rPr>
        <w:t>.</w:t>
      </w:r>
      <w:r w:rsidR="003C4CD0" w:rsidRPr="00E26155">
        <w:rPr>
          <w:rFonts w:asciiTheme="majorBidi" w:hAnsiTheme="majorBidi" w:cstheme="majorBidi"/>
          <w:sz w:val="24"/>
          <w:szCs w:val="24"/>
        </w:rPr>
        <w:t xml:space="preserve"> </w:t>
      </w:r>
      <w:r w:rsidR="00D16C7F" w:rsidRPr="00E26155">
        <w:rPr>
          <w:rFonts w:asciiTheme="majorBidi" w:hAnsiTheme="majorBidi" w:cstheme="majorBidi"/>
          <w:sz w:val="24"/>
          <w:szCs w:val="24"/>
        </w:rPr>
        <w:t xml:space="preserve">Sixty two percent of the nurses think that there is no </w:t>
      </w:r>
      <w:r w:rsidR="00C66F20" w:rsidRPr="00E26155">
        <w:rPr>
          <w:rFonts w:asciiTheme="majorBidi" w:hAnsiTheme="majorBidi" w:cstheme="majorBidi"/>
          <w:sz w:val="24"/>
          <w:szCs w:val="24"/>
        </w:rPr>
        <w:t>relationships between hypophosphatemia and length of ICU stay and weening from mechanical ventilation.</w:t>
      </w:r>
      <w:r w:rsidR="0006214C" w:rsidRPr="00E26155">
        <w:rPr>
          <w:rFonts w:asciiTheme="majorBidi" w:hAnsiTheme="majorBidi" w:cstheme="majorBidi"/>
          <w:sz w:val="24"/>
          <w:szCs w:val="24"/>
        </w:rPr>
        <w:t xml:space="preserve"> </w:t>
      </w:r>
      <w:r w:rsidRPr="00E26155">
        <w:rPr>
          <w:rFonts w:asciiTheme="majorBidi" w:hAnsiTheme="majorBidi" w:cstheme="majorBidi"/>
          <w:sz w:val="24"/>
          <w:szCs w:val="24"/>
        </w:rPr>
        <w:t>About a third of the nurses (34%) reported that there was no awareness in their department of early detection of RS</w:t>
      </w:r>
      <w:r w:rsidR="00D16C7F" w:rsidRPr="00E26155">
        <w:rPr>
          <w:rFonts w:asciiTheme="majorBidi" w:hAnsiTheme="majorBidi" w:cstheme="majorBidi"/>
          <w:sz w:val="24"/>
          <w:szCs w:val="24"/>
        </w:rPr>
        <w:t>.</w:t>
      </w:r>
    </w:p>
    <w:p w:rsidR="0006214C" w:rsidRPr="00E26155" w:rsidRDefault="004513A1"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T</w:t>
      </w:r>
      <w:r w:rsidR="00907C5F" w:rsidRPr="00E26155">
        <w:rPr>
          <w:rFonts w:asciiTheme="majorBidi" w:hAnsiTheme="majorBidi" w:cstheme="majorBidi"/>
          <w:sz w:val="24"/>
          <w:szCs w:val="24"/>
        </w:rPr>
        <w:t>he results show that t</w:t>
      </w:r>
      <w:r w:rsidRPr="00E26155">
        <w:rPr>
          <w:rFonts w:asciiTheme="majorBidi" w:hAnsiTheme="majorBidi" w:cstheme="majorBidi"/>
          <w:sz w:val="24"/>
          <w:szCs w:val="24"/>
        </w:rPr>
        <w:t xml:space="preserve">here is a relationship between the level of knowledge of ICU nurses and behavior in preventing and treating HP and RS. </w:t>
      </w:r>
      <w:proofErr w:type="gramStart"/>
      <w:r w:rsidRPr="00E26155">
        <w:rPr>
          <w:rFonts w:asciiTheme="majorBidi" w:hAnsiTheme="majorBidi" w:cstheme="majorBidi"/>
          <w:sz w:val="24"/>
          <w:szCs w:val="24"/>
        </w:rPr>
        <w:t xml:space="preserve">The </w:t>
      </w:r>
      <w:r w:rsidR="00EB3C32" w:rsidRPr="00E26155">
        <w:rPr>
          <w:rFonts w:asciiTheme="majorBidi" w:hAnsiTheme="majorBidi" w:cstheme="majorBidi"/>
          <w:sz w:val="24"/>
          <w:szCs w:val="24"/>
        </w:rPr>
        <w:t xml:space="preserve"> average</w:t>
      </w:r>
      <w:proofErr w:type="gramEnd"/>
      <w:r w:rsidR="00EB3C32" w:rsidRPr="00E26155">
        <w:rPr>
          <w:rFonts w:asciiTheme="majorBidi" w:hAnsiTheme="majorBidi" w:cstheme="majorBidi"/>
          <w:sz w:val="24"/>
          <w:szCs w:val="24"/>
        </w:rPr>
        <w:t xml:space="preserve"> of the </w:t>
      </w:r>
      <w:r w:rsidRPr="00E26155">
        <w:rPr>
          <w:rFonts w:asciiTheme="majorBidi" w:hAnsiTheme="majorBidi" w:cstheme="majorBidi"/>
          <w:sz w:val="24"/>
          <w:szCs w:val="24"/>
        </w:rPr>
        <w:t>knowledge</w:t>
      </w:r>
      <w:r w:rsidR="00EB3C32" w:rsidRPr="00E26155">
        <w:rPr>
          <w:rFonts w:asciiTheme="majorBidi" w:hAnsiTheme="majorBidi" w:cstheme="majorBidi"/>
          <w:sz w:val="24"/>
          <w:szCs w:val="24"/>
        </w:rPr>
        <w:t xml:space="preserve"> test</w:t>
      </w:r>
      <w:r w:rsidRPr="00E26155">
        <w:rPr>
          <w:rFonts w:asciiTheme="majorBidi" w:hAnsiTheme="majorBidi" w:cstheme="majorBidi"/>
          <w:sz w:val="24"/>
          <w:szCs w:val="24"/>
        </w:rPr>
        <w:t xml:space="preserve"> score for all ICU nurses was 61.7</w:t>
      </w:r>
      <w:r w:rsidR="00EB3C32" w:rsidRPr="00E26155">
        <w:rPr>
          <w:rFonts w:asciiTheme="majorBidi" w:hAnsiTheme="majorBidi" w:cstheme="majorBidi"/>
          <w:sz w:val="24"/>
          <w:szCs w:val="24"/>
        </w:rPr>
        <w:t>%</w:t>
      </w:r>
      <w:r w:rsidRPr="00E26155">
        <w:rPr>
          <w:rFonts w:asciiTheme="majorBidi" w:hAnsiTheme="majorBidi" w:cstheme="majorBidi"/>
          <w:sz w:val="24"/>
          <w:szCs w:val="24"/>
        </w:rPr>
        <w:t>.</w:t>
      </w:r>
      <w:r w:rsidR="0006214C" w:rsidRPr="00E26155">
        <w:rPr>
          <w:rFonts w:asciiTheme="majorBidi" w:hAnsiTheme="majorBidi" w:cstheme="majorBidi"/>
          <w:sz w:val="24"/>
          <w:szCs w:val="24"/>
        </w:rPr>
        <w:t xml:space="preserve"> In the Pearson correlation test, the nurse's knowledge level matches with the medical guidelines and protocol (P &lt;0.05)</w:t>
      </w:r>
      <w:r w:rsidR="00EB3C32" w:rsidRPr="00E26155">
        <w:rPr>
          <w:rFonts w:asciiTheme="majorBidi" w:hAnsiTheme="majorBidi" w:cstheme="majorBidi"/>
          <w:sz w:val="24"/>
          <w:szCs w:val="24"/>
        </w:rPr>
        <w:t xml:space="preserve">. The results show that </w:t>
      </w:r>
      <w:r w:rsidR="00952E74" w:rsidRPr="00E26155">
        <w:rPr>
          <w:rFonts w:asciiTheme="majorBidi" w:hAnsiTheme="majorBidi" w:cstheme="majorBidi"/>
          <w:sz w:val="24"/>
          <w:szCs w:val="24"/>
        </w:rPr>
        <w:t>as</w:t>
      </w:r>
      <w:r w:rsidR="0006214C" w:rsidRPr="00E26155">
        <w:rPr>
          <w:rFonts w:asciiTheme="majorBidi" w:hAnsiTheme="majorBidi" w:cstheme="majorBidi"/>
          <w:sz w:val="24"/>
          <w:szCs w:val="24"/>
        </w:rPr>
        <w:t xml:space="preserve"> the nurses' knowledge level was higher (</w:t>
      </w:r>
      <w:proofErr w:type="spellStart"/>
      <w:r w:rsidR="005C6720" w:rsidRPr="00E26155">
        <w:rPr>
          <w:rFonts w:asciiTheme="majorBidi" w:hAnsiTheme="majorBidi" w:cstheme="majorBidi"/>
          <w:sz w:val="24"/>
          <w:szCs w:val="24"/>
        </w:rPr>
        <w:t>r</w:t>
      </w:r>
      <w:r w:rsidR="005C6720" w:rsidRPr="00E26155">
        <w:rPr>
          <w:rFonts w:asciiTheme="majorBidi" w:hAnsiTheme="majorBidi" w:cstheme="majorBidi"/>
          <w:sz w:val="24"/>
          <w:szCs w:val="24"/>
          <w:vertAlign w:val="subscript"/>
        </w:rPr>
        <w:t>p</w:t>
      </w:r>
      <w:proofErr w:type="spellEnd"/>
      <w:r w:rsidR="005C6720" w:rsidRPr="00E26155">
        <w:rPr>
          <w:rFonts w:asciiTheme="majorBidi" w:hAnsiTheme="majorBidi" w:cstheme="majorBidi"/>
          <w:sz w:val="24"/>
          <w:szCs w:val="24"/>
        </w:rPr>
        <w:t>=0.303, p&lt;0.05</w:t>
      </w:r>
      <w:r w:rsidR="0006214C" w:rsidRPr="00E26155">
        <w:rPr>
          <w:rFonts w:asciiTheme="majorBidi" w:hAnsiTheme="majorBidi" w:cstheme="majorBidi"/>
          <w:sz w:val="24"/>
          <w:szCs w:val="24"/>
        </w:rPr>
        <w:t>)</w:t>
      </w:r>
      <w:r w:rsidR="00EB3C32" w:rsidRPr="00E26155">
        <w:rPr>
          <w:rFonts w:asciiTheme="majorBidi" w:hAnsiTheme="majorBidi" w:cstheme="majorBidi"/>
          <w:sz w:val="24"/>
          <w:szCs w:val="24"/>
        </w:rPr>
        <w:t>,</w:t>
      </w:r>
      <w:r w:rsidR="0006214C" w:rsidRPr="00E26155">
        <w:rPr>
          <w:rFonts w:asciiTheme="majorBidi" w:hAnsiTheme="majorBidi" w:cstheme="majorBidi"/>
          <w:sz w:val="24"/>
          <w:szCs w:val="24"/>
        </w:rPr>
        <w:t xml:space="preserve"> </w:t>
      </w:r>
      <w:r w:rsidR="00EB3C32" w:rsidRPr="00E26155">
        <w:rPr>
          <w:rFonts w:asciiTheme="majorBidi" w:hAnsiTheme="majorBidi" w:cstheme="majorBidi"/>
          <w:sz w:val="24"/>
          <w:szCs w:val="24"/>
        </w:rPr>
        <w:t xml:space="preserve">the </w:t>
      </w:r>
      <w:r w:rsidR="00EB3C32" w:rsidRPr="00E26155">
        <w:rPr>
          <w:rFonts w:asciiTheme="majorBidi" w:hAnsiTheme="majorBidi" w:cstheme="majorBidi"/>
          <w:sz w:val="24"/>
          <w:szCs w:val="24"/>
        </w:rPr>
        <w:lastRenderedPageBreak/>
        <w:t>more the nurses</w:t>
      </w:r>
      <w:r w:rsidR="0006214C" w:rsidRPr="00E26155">
        <w:rPr>
          <w:rFonts w:asciiTheme="majorBidi" w:hAnsiTheme="majorBidi" w:cstheme="majorBidi"/>
          <w:sz w:val="24"/>
          <w:szCs w:val="24"/>
        </w:rPr>
        <w:t xml:space="preserve"> applied according to the current nutrition guidelines. However, there is no difference between a nurse undergoing intensive care and a nurse without a course</w:t>
      </w:r>
      <w:r w:rsidR="002F18FB" w:rsidRPr="00E26155">
        <w:rPr>
          <w:rFonts w:asciiTheme="majorBidi" w:hAnsiTheme="majorBidi" w:cstheme="majorBidi"/>
          <w:sz w:val="24"/>
          <w:szCs w:val="24"/>
        </w:rPr>
        <w:t xml:space="preserve"> </w:t>
      </w:r>
      <w:proofErr w:type="gramStart"/>
      <w:r w:rsidR="002F18FB" w:rsidRPr="00E26155">
        <w:rPr>
          <w:rFonts w:asciiTheme="majorBidi" w:hAnsiTheme="majorBidi" w:cstheme="majorBidi"/>
          <w:sz w:val="24"/>
          <w:szCs w:val="24"/>
        </w:rPr>
        <w:t>in intensive care in association with the nurse responsibility for the patient's nutritional status</w:t>
      </w:r>
      <w:proofErr w:type="gramEnd"/>
      <w:r w:rsidR="0006214C" w:rsidRPr="00E26155">
        <w:rPr>
          <w:rFonts w:asciiTheme="majorBidi" w:hAnsiTheme="majorBidi" w:cstheme="majorBidi"/>
          <w:sz w:val="24"/>
          <w:szCs w:val="24"/>
        </w:rPr>
        <w:t>.</w:t>
      </w:r>
    </w:p>
    <w:p w:rsidR="0006214C" w:rsidRPr="00E26155" w:rsidRDefault="0006214C" w:rsidP="00E26155">
      <w:pPr>
        <w:bidi w:val="0"/>
        <w:spacing w:line="360" w:lineRule="auto"/>
        <w:rPr>
          <w:rFonts w:asciiTheme="majorBidi" w:hAnsiTheme="majorBidi" w:cstheme="majorBidi"/>
          <w:sz w:val="24"/>
          <w:szCs w:val="24"/>
        </w:rPr>
      </w:pPr>
    </w:p>
    <w:p w:rsidR="00896DA5" w:rsidRPr="00E26155" w:rsidRDefault="0041257C" w:rsidP="00E26155">
      <w:pPr>
        <w:bidi w:val="0"/>
        <w:spacing w:line="360" w:lineRule="auto"/>
        <w:rPr>
          <w:rFonts w:asciiTheme="majorBidi" w:hAnsiTheme="majorBidi" w:cstheme="majorBidi"/>
          <w:sz w:val="24"/>
          <w:szCs w:val="24"/>
        </w:rPr>
      </w:pPr>
      <w:r w:rsidRPr="00E26155">
        <w:rPr>
          <w:rFonts w:asciiTheme="majorBidi" w:hAnsiTheme="majorBidi" w:cstheme="majorBidi"/>
          <w:sz w:val="24"/>
          <w:szCs w:val="24"/>
        </w:rPr>
        <w:t xml:space="preserve">      </w:t>
      </w:r>
      <w:r w:rsidR="006E1D52" w:rsidRPr="00E26155">
        <w:rPr>
          <w:rFonts w:asciiTheme="majorBidi" w:hAnsiTheme="majorBidi" w:cstheme="majorBidi"/>
          <w:sz w:val="24"/>
          <w:szCs w:val="24"/>
        </w:rPr>
        <w:t xml:space="preserve">Data for ICU patients </w:t>
      </w:r>
      <w:proofErr w:type="gramStart"/>
      <w:r w:rsidR="006E1D52" w:rsidRPr="00E26155">
        <w:rPr>
          <w:rFonts w:asciiTheme="majorBidi" w:hAnsiTheme="majorBidi" w:cstheme="majorBidi"/>
          <w:sz w:val="24"/>
          <w:szCs w:val="24"/>
        </w:rPr>
        <w:t>were collected</w:t>
      </w:r>
      <w:proofErr w:type="gramEnd"/>
      <w:r w:rsidR="006E1D52" w:rsidRPr="00E26155">
        <w:rPr>
          <w:rFonts w:asciiTheme="majorBidi" w:hAnsiTheme="majorBidi" w:cstheme="majorBidi"/>
          <w:sz w:val="24"/>
          <w:szCs w:val="24"/>
        </w:rPr>
        <w:t xml:space="preserve"> retrospectively. </w:t>
      </w:r>
      <w:r w:rsidR="00896DA5" w:rsidRPr="00E26155">
        <w:rPr>
          <w:rFonts w:asciiTheme="majorBidi" w:hAnsiTheme="majorBidi" w:cstheme="majorBidi"/>
          <w:sz w:val="24"/>
          <w:szCs w:val="24"/>
        </w:rPr>
        <w:t>P</w:t>
      </w:r>
      <w:r w:rsidR="006E1D52" w:rsidRPr="00E26155">
        <w:rPr>
          <w:rFonts w:asciiTheme="majorBidi" w:hAnsiTheme="majorBidi" w:cstheme="majorBidi"/>
          <w:sz w:val="24"/>
          <w:szCs w:val="24"/>
        </w:rPr>
        <w:t xml:space="preserve">atients Mean age was 57±20.3.  Mean APACHE II score was 20.4±7.44.  On second day after start feeding 45% of the patients with HP significantly lower their phosphate level (Mean = 1.87), which </w:t>
      </w:r>
      <w:r w:rsidR="00896DA5" w:rsidRPr="00E26155">
        <w:rPr>
          <w:rFonts w:asciiTheme="majorBidi" w:hAnsiTheme="majorBidi" w:cstheme="majorBidi"/>
          <w:sz w:val="24"/>
          <w:szCs w:val="24"/>
        </w:rPr>
        <w:t xml:space="preserve">developed into </w:t>
      </w:r>
      <w:proofErr w:type="gramStart"/>
      <w:r w:rsidR="00896DA5" w:rsidRPr="00E26155">
        <w:rPr>
          <w:rFonts w:asciiTheme="majorBidi" w:hAnsiTheme="majorBidi" w:cstheme="majorBidi"/>
          <w:sz w:val="24"/>
          <w:szCs w:val="24"/>
        </w:rPr>
        <w:t>RS</w:t>
      </w:r>
      <w:r w:rsidR="006E1D52" w:rsidRPr="00E26155">
        <w:rPr>
          <w:rFonts w:asciiTheme="majorBidi" w:hAnsiTheme="majorBidi" w:cstheme="majorBidi"/>
          <w:sz w:val="24"/>
          <w:szCs w:val="24"/>
          <w:rtl/>
        </w:rPr>
        <w:t xml:space="preserve"> </w:t>
      </w:r>
      <w:r w:rsidR="00896DA5" w:rsidRPr="00E26155">
        <w:rPr>
          <w:rFonts w:asciiTheme="majorBidi" w:hAnsiTheme="majorBidi" w:cstheme="majorBidi"/>
          <w:sz w:val="24"/>
          <w:szCs w:val="24"/>
        </w:rPr>
        <w:t>.</w:t>
      </w:r>
      <w:proofErr w:type="gramEnd"/>
      <w:r w:rsidR="00896DA5" w:rsidRPr="00E26155">
        <w:rPr>
          <w:rFonts w:asciiTheme="majorBidi" w:hAnsiTheme="majorBidi" w:cstheme="majorBidi"/>
          <w:sz w:val="24"/>
          <w:szCs w:val="24"/>
        </w:rPr>
        <w:t xml:space="preserve"> Moreover,</w:t>
      </w:r>
      <w:r w:rsidR="006E1D52" w:rsidRPr="00E26155">
        <w:rPr>
          <w:rFonts w:asciiTheme="majorBidi" w:hAnsiTheme="majorBidi" w:cstheme="majorBidi"/>
          <w:sz w:val="24"/>
          <w:szCs w:val="24"/>
        </w:rPr>
        <w:t xml:space="preserve"> after 72 hours, the number of patients with HP was still double (31.4%) compared to the baseline (15%). </w:t>
      </w:r>
      <w:r w:rsidR="00896DA5" w:rsidRPr="00E26155">
        <w:rPr>
          <w:rFonts w:asciiTheme="majorBidi" w:hAnsiTheme="majorBidi" w:cstheme="majorBidi"/>
          <w:sz w:val="24"/>
          <w:szCs w:val="24"/>
        </w:rPr>
        <w:t>About one-third (</w:t>
      </w:r>
      <w:r w:rsidR="006E1D52" w:rsidRPr="00E26155">
        <w:rPr>
          <w:rFonts w:asciiTheme="majorBidi" w:hAnsiTheme="majorBidi" w:cstheme="majorBidi"/>
          <w:sz w:val="24"/>
          <w:szCs w:val="24"/>
        </w:rPr>
        <w:t>157</w:t>
      </w:r>
      <w:r w:rsidR="00896DA5" w:rsidRPr="00E26155">
        <w:rPr>
          <w:rFonts w:asciiTheme="majorBidi" w:hAnsiTheme="majorBidi" w:cstheme="majorBidi"/>
          <w:sz w:val="24"/>
          <w:szCs w:val="24"/>
        </w:rPr>
        <w:t>) of the</w:t>
      </w:r>
      <w:r w:rsidR="006E1D52" w:rsidRPr="00E26155">
        <w:rPr>
          <w:rFonts w:asciiTheme="majorBidi" w:hAnsiTheme="majorBidi" w:cstheme="majorBidi"/>
          <w:sz w:val="24"/>
          <w:szCs w:val="24"/>
        </w:rPr>
        <w:t xml:space="preserve"> patien</w:t>
      </w:r>
      <w:r w:rsidR="00896DA5" w:rsidRPr="00E26155">
        <w:rPr>
          <w:rFonts w:asciiTheme="majorBidi" w:hAnsiTheme="majorBidi" w:cstheme="majorBidi"/>
          <w:sz w:val="24"/>
          <w:szCs w:val="24"/>
        </w:rPr>
        <w:t xml:space="preserve">ts with normal phosphate level </w:t>
      </w:r>
      <w:r w:rsidR="006E1D52" w:rsidRPr="00E26155">
        <w:rPr>
          <w:rFonts w:asciiTheme="majorBidi" w:hAnsiTheme="majorBidi" w:cstheme="majorBidi"/>
          <w:sz w:val="24"/>
          <w:szCs w:val="24"/>
        </w:rPr>
        <w:t xml:space="preserve">developed </w:t>
      </w:r>
      <w:r w:rsidR="00896DA5" w:rsidRPr="00E26155">
        <w:rPr>
          <w:rFonts w:asciiTheme="majorBidi" w:hAnsiTheme="majorBidi" w:cstheme="majorBidi"/>
          <w:sz w:val="24"/>
          <w:szCs w:val="24"/>
        </w:rPr>
        <w:t>HP</w:t>
      </w:r>
      <w:r w:rsidR="006E1D52" w:rsidRPr="00E26155">
        <w:rPr>
          <w:rFonts w:asciiTheme="majorBidi" w:hAnsiTheme="majorBidi" w:cstheme="majorBidi"/>
          <w:sz w:val="24"/>
          <w:szCs w:val="24"/>
        </w:rPr>
        <w:t xml:space="preserve"> after 24 hours of feeding. In addition, 40% of the</w:t>
      </w:r>
      <w:r w:rsidR="00B476CD" w:rsidRPr="00E26155">
        <w:rPr>
          <w:rFonts w:asciiTheme="majorBidi" w:hAnsiTheme="majorBidi" w:cstheme="majorBidi"/>
          <w:sz w:val="24"/>
          <w:szCs w:val="24"/>
        </w:rPr>
        <w:t>se</w:t>
      </w:r>
      <w:r w:rsidR="006E1D52" w:rsidRPr="00E26155">
        <w:rPr>
          <w:rFonts w:asciiTheme="majorBidi" w:hAnsiTheme="majorBidi" w:cstheme="majorBidi"/>
          <w:sz w:val="24"/>
          <w:szCs w:val="24"/>
        </w:rPr>
        <w:t xml:space="preserve"> patients remained with a low phosphate level after two days, and about a quarter</w:t>
      </w:r>
      <w:r w:rsidR="00896DA5" w:rsidRPr="00E26155">
        <w:rPr>
          <w:rFonts w:asciiTheme="majorBidi" w:hAnsiTheme="majorBidi" w:cstheme="majorBidi"/>
          <w:sz w:val="24"/>
          <w:szCs w:val="24"/>
        </w:rPr>
        <w:t xml:space="preserve"> (</w:t>
      </w:r>
      <w:r w:rsidR="00B476CD" w:rsidRPr="00E26155">
        <w:rPr>
          <w:rFonts w:asciiTheme="majorBidi" w:hAnsiTheme="majorBidi" w:cstheme="majorBidi"/>
          <w:sz w:val="24"/>
          <w:szCs w:val="24"/>
        </w:rPr>
        <w:t>22%</w:t>
      </w:r>
      <w:r w:rsidR="00896DA5" w:rsidRPr="00E26155">
        <w:rPr>
          <w:rFonts w:asciiTheme="majorBidi" w:hAnsiTheme="majorBidi" w:cstheme="majorBidi"/>
          <w:sz w:val="24"/>
          <w:szCs w:val="24"/>
        </w:rPr>
        <w:t>)</w:t>
      </w:r>
      <w:r w:rsidR="006E1D52" w:rsidRPr="00E26155">
        <w:rPr>
          <w:rFonts w:asciiTheme="majorBidi" w:hAnsiTheme="majorBidi" w:cstheme="majorBidi"/>
          <w:sz w:val="24"/>
          <w:szCs w:val="24"/>
        </w:rPr>
        <w:t xml:space="preserve"> of them remained with a low phosphate level after 72 hours (Figure 5). These patients also have abnormal additional electrolyte such as Potassium,</w:t>
      </w:r>
      <w:r w:rsidR="00896DA5" w:rsidRPr="00E26155">
        <w:rPr>
          <w:rFonts w:asciiTheme="majorBidi" w:hAnsiTheme="majorBidi" w:cstheme="majorBidi"/>
          <w:sz w:val="24"/>
          <w:szCs w:val="24"/>
        </w:rPr>
        <w:t xml:space="preserve"> Sodium, Calcium, and Magnesium,</w:t>
      </w:r>
      <w:r w:rsidR="006E1D52" w:rsidRPr="00E26155">
        <w:rPr>
          <w:rFonts w:asciiTheme="majorBidi" w:hAnsiTheme="majorBidi" w:cstheme="majorBidi"/>
          <w:sz w:val="24"/>
          <w:szCs w:val="24"/>
        </w:rPr>
        <w:t xml:space="preserve"> </w:t>
      </w:r>
      <w:r w:rsidR="00896DA5" w:rsidRPr="00E26155">
        <w:rPr>
          <w:rFonts w:asciiTheme="majorBidi" w:hAnsiTheme="majorBidi" w:cstheme="majorBidi"/>
          <w:sz w:val="24"/>
          <w:szCs w:val="24"/>
        </w:rPr>
        <w:t>c</w:t>
      </w:r>
      <w:r w:rsidR="00727C60" w:rsidRPr="00E26155">
        <w:rPr>
          <w:rFonts w:asciiTheme="majorBidi" w:hAnsiTheme="majorBidi" w:cstheme="majorBidi"/>
          <w:sz w:val="24"/>
          <w:szCs w:val="24"/>
        </w:rPr>
        <w:t>ompared</w:t>
      </w:r>
      <w:r w:rsidR="006E1D52" w:rsidRPr="00E26155">
        <w:rPr>
          <w:rFonts w:asciiTheme="majorBidi" w:hAnsiTheme="majorBidi" w:cstheme="majorBidi"/>
          <w:sz w:val="24"/>
          <w:szCs w:val="24"/>
        </w:rPr>
        <w:t xml:space="preserve"> with patients with normal phosphate.</w:t>
      </w:r>
    </w:p>
    <w:p w:rsidR="00B476CD" w:rsidRPr="00E26155" w:rsidRDefault="006E1D52"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 xml:space="preserve"> </w:t>
      </w:r>
      <w:r w:rsidR="00B476CD" w:rsidRPr="00E26155">
        <w:rPr>
          <w:rFonts w:asciiTheme="majorBidi" w:hAnsiTheme="majorBidi" w:cstheme="majorBidi"/>
          <w:sz w:val="24"/>
          <w:szCs w:val="24"/>
        </w:rPr>
        <w:t>From t</w:t>
      </w:r>
      <w:r w:rsidRPr="00E26155">
        <w:rPr>
          <w:rFonts w:asciiTheme="majorBidi" w:hAnsiTheme="majorBidi" w:cstheme="majorBidi"/>
          <w:sz w:val="24"/>
          <w:szCs w:val="24"/>
        </w:rPr>
        <w:t>he HP group</w:t>
      </w:r>
      <w:r w:rsidR="00B476CD" w:rsidRPr="00E26155">
        <w:rPr>
          <w:rFonts w:asciiTheme="majorBidi" w:hAnsiTheme="majorBidi" w:cstheme="majorBidi"/>
          <w:sz w:val="24"/>
          <w:szCs w:val="24"/>
        </w:rPr>
        <w:t>,</w:t>
      </w:r>
      <w:r w:rsidRPr="00E26155">
        <w:rPr>
          <w:rFonts w:asciiTheme="majorBidi" w:hAnsiTheme="majorBidi" w:cstheme="majorBidi"/>
          <w:sz w:val="24"/>
          <w:szCs w:val="24"/>
        </w:rPr>
        <w:t xml:space="preserve"> 67% of patients developed RS and received dietary intake </w:t>
      </w:r>
      <w:r w:rsidR="00B476CD" w:rsidRPr="00E26155">
        <w:rPr>
          <w:rFonts w:asciiTheme="majorBidi" w:hAnsiTheme="majorBidi" w:cstheme="majorBidi"/>
          <w:sz w:val="24"/>
          <w:szCs w:val="24"/>
        </w:rPr>
        <w:t>higher in</w:t>
      </w:r>
      <w:r w:rsidRPr="00E26155">
        <w:rPr>
          <w:rFonts w:asciiTheme="majorBidi" w:hAnsiTheme="majorBidi" w:cstheme="majorBidi"/>
          <w:sz w:val="24"/>
          <w:szCs w:val="24"/>
        </w:rPr>
        <w:t xml:space="preserve"> 50% of the recommended intake</w:t>
      </w:r>
      <w:r w:rsidR="00B476CD" w:rsidRPr="00E26155">
        <w:rPr>
          <w:rFonts w:asciiTheme="majorBidi" w:hAnsiTheme="majorBidi" w:cstheme="majorBidi"/>
          <w:sz w:val="24"/>
          <w:szCs w:val="24"/>
        </w:rPr>
        <w:t>.</w:t>
      </w:r>
      <w:r w:rsidRPr="00E26155">
        <w:rPr>
          <w:rFonts w:asciiTheme="majorBidi" w:hAnsiTheme="majorBidi" w:cstheme="majorBidi"/>
          <w:sz w:val="24"/>
          <w:szCs w:val="24"/>
        </w:rPr>
        <w:t xml:space="preserve"> However, in the Kramer correlation test, no significant correlation </w:t>
      </w:r>
      <w:proofErr w:type="gramStart"/>
      <w:r w:rsidRPr="00E26155">
        <w:rPr>
          <w:rFonts w:asciiTheme="majorBidi" w:hAnsiTheme="majorBidi" w:cstheme="majorBidi"/>
          <w:sz w:val="24"/>
          <w:szCs w:val="24"/>
        </w:rPr>
        <w:t>were found</w:t>
      </w:r>
      <w:proofErr w:type="gramEnd"/>
      <w:r w:rsidRPr="00E26155">
        <w:rPr>
          <w:rFonts w:asciiTheme="majorBidi" w:hAnsiTheme="majorBidi" w:cstheme="majorBidi"/>
          <w:sz w:val="24"/>
          <w:szCs w:val="24"/>
        </w:rPr>
        <w:t xml:space="preserve"> between high caloric intake and development of RS in hypophosphatemia patients and in the normal phosphate groups. </w:t>
      </w:r>
    </w:p>
    <w:p w:rsidR="00B476CD" w:rsidRPr="00E26155" w:rsidRDefault="006E1D52"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 xml:space="preserve">In T- Test for independent samples, a significant difference was found (p &lt;0.006) in the number of length of ICU hospitalization between the groups. Patients with HP and RS with caloric intake greater than 50% of the recommended intake were more likely to be hospitalized in the ICU </w:t>
      </w:r>
      <w:r w:rsidR="00B476CD" w:rsidRPr="00E26155">
        <w:rPr>
          <w:rFonts w:asciiTheme="majorBidi" w:hAnsiTheme="majorBidi" w:cstheme="majorBidi"/>
          <w:sz w:val="24"/>
          <w:szCs w:val="24"/>
        </w:rPr>
        <w:t xml:space="preserve">with </w:t>
      </w:r>
      <w:r w:rsidRPr="00E26155">
        <w:rPr>
          <w:rFonts w:asciiTheme="majorBidi" w:hAnsiTheme="majorBidi" w:cstheme="majorBidi"/>
          <w:sz w:val="24"/>
          <w:szCs w:val="24"/>
        </w:rPr>
        <w:t>mean</w:t>
      </w:r>
      <w:r w:rsidR="00B476CD" w:rsidRPr="00E26155">
        <w:rPr>
          <w:rFonts w:asciiTheme="majorBidi" w:hAnsiTheme="majorBidi" w:cstheme="majorBidi"/>
          <w:sz w:val="24"/>
          <w:szCs w:val="24"/>
        </w:rPr>
        <w:t xml:space="preserve"> of</w:t>
      </w:r>
      <w:r w:rsidRPr="00E26155">
        <w:rPr>
          <w:rFonts w:asciiTheme="majorBidi" w:hAnsiTheme="majorBidi" w:cstheme="majorBidi"/>
          <w:sz w:val="24"/>
          <w:szCs w:val="24"/>
        </w:rPr>
        <w:t xml:space="preserve"> 14±9.9 days compare </w:t>
      </w:r>
      <w:r w:rsidR="00B476CD" w:rsidRPr="00E26155">
        <w:rPr>
          <w:rFonts w:asciiTheme="majorBidi" w:hAnsiTheme="majorBidi" w:cstheme="majorBidi"/>
          <w:sz w:val="24"/>
          <w:szCs w:val="24"/>
        </w:rPr>
        <w:t>to</w:t>
      </w:r>
      <w:r w:rsidRPr="00E26155">
        <w:rPr>
          <w:rFonts w:asciiTheme="majorBidi" w:hAnsiTheme="majorBidi" w:cstheme="majorBidi"/>
          <w:sz w:val="24"/>
          <w:szCs w:val="24"/>
        </w:rPr>
        <w:t xml:space="preserve"> patients in the same group who received lower caloric </w:t>
      </w:r>
      <w:r w:rsidR="00B476CD" w:rsidRPr="00E26155">
        <w:rPr>
          <w:rFonts w:asciiTheme="majorBidi" w:hAnsiTheme="majorBidi" w:cstheme="majorBidi"/>
          <w:sz w:val="24"/>
          <w:szCs w:val="24"/>
        </w:rPr>
        <w:t>intake</w:t>
      </w:r>
      <w:r w:rsidRPr="00E26155">
        <w:rPr>
          <w:rFonts w:asciiTheme="majorBidi" w:hAnsiTheme="majorBidi" w:cstheme="majorBidi"/>
          <w:sz w:val="24"/>
          <w:szCs w:val="24"/>
        </w:rPr>
        <w:t xml:space="preserve"> than 50% of the </w:t>
      </w:r>
      <w:r w:rsidR="00B476CD" w:rsidRPr="00E26155">
        <w:rPr>
          <w:rFonts w:asciiTheme="majorBidi" w:hAnsiTheme="majorBidi" w:cstheme="majorBidi"/>
          <w:sz w:val="24"/>
          <w:szCs w:val="24"/>
        </w:rPr>
        <w:t>recommended</w:t>
      </w:r>
      <w:r w:rsidRPr="00E26155">
        <w:rPr>
          <w:rFonts w:asciiTheme="majorBidi" w:hAnsiTheme="majorBidi" w:cstheme="majorBidi"/>
          <w:sz w:val="24"/>
          <w:szCs w:val="24"/>
        </w:rPr>
        <w:t xml:space="preserve"> daily intake </w:t>
      </w:r>
      <w:r w:rsidR="00B476CD" w:rsidRPr="00E26155">
        <w:rPr>
          <w:rFonts w:asciiTheme="majorBidi" w:hAnsiTheme="majorBidi" w:cstheme="majorBidi"/>
          <w:sz w:val="24"/>
          <w:szCs w:val="24"/>
        </w:rPr>
        <w:t>(</w:t>
      </w:r>
      <w:r w:rsidRPr="00E26155">
        <w:rPr>
          <w:rFonts w:asciiTheme="majorBidi" w:hAnsiTheme="majorBidi" w:cstheme="majorBidi"/>
          <w:sz w:val="24"/>
          <w:szCs w:val="24"/>
        </w:rPr>
        <w:t>mean 10±7.5 days (p &lt;0.006)</w:t>
      </w:r>
      <w:r w:rsidR="00B476CD" w:rsidRPr="00E26155">
        <w:rPr>
          <w:rFonts w:asciiTheme="majorBidi" w:hAnsiTheme="majorBidi" w:cstheme="majorBidi"/>
          <w:sz w:val="24"/>
          <w:szCs w:val="24"/>
        </w:rPr>
        <w:t>).</w:t>
      </w:r>
      <w:r w:rsidRPr="00E26155">
        <w:rPr>
          <w:rFonts w:asciiTheme="majorBidi" w:hAnsiTheme="majorBidi" w:cstheme="majorBidi"/>
          <w:sz w:val="24"/>
          <w:szCs w:val="24"/>
        </w:rPr>
        <w:t xml:space="preserve"> </w:t>
      </w:r>
    </w:p>
    <w:p w:rsidR="00692172" w:rsidRPr="00E26155" w:rsidRDefault="006E1D52"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In addition</w:t>
      </w:r>
      <w:r w:rsidR="00B476CD" w:rsidRPr="00E26155">
        <w:rPr>
          <w:rFonts w:asciiTheme="majorBidi" w:hAnsiTheme="majorBidi" w:cstheme="majorBidi"/>
          <w:sz w:val="24"/>
          <w:szCs w:val="24"/>
        </w:rPr>
        <w:t>,</w:t>
      </w:r>
      <w:r w:rsidRPr="00E26155">
        <w:rPr>
          <w:rFonts w:asciiTheme="majorBidi" w:hAnsiTheme="majorBidi" w:cstheme="majorBidi"/>
          <w:sz w:val="24"/>
          <w:szCs w:val="24"/>
        </w:rPr>
        <w:t xml:space="preserve"> in the HP and RS group a significant difference was found in numbers of mechanical ventilation days in the maximum caloric intake </w:t>
      </w:r>
      <w:r w:rsidR="00B476CD" w:rsidRPr="00E26155">
        <w:rPr>
          <w:rFonts w:asciiTheme="majorBidi" w:hAnsiTheme="majorBidi" w:cstheme="majorBidi"/>
          <w:sz w:val="24"/>
          <w:szCs w:val="24"/>
        </w:rPr>
        <w:t xml:space="preserve">with </w:t>
      </w:r>
      <w:r w:rsidRPr="00E26155">
        <w:rPr>
          <w:rFonts w:asciiTheme="majorBidi" w:hAnsiTheme="majorBidi" w:cstheme="majorBidi"/>
          <w:sz w:val="24"/>
          <w:szCs w:val="24"/>
        </w:rPr>
        <w:t xml:space="preserve">mean </w:t>
      </w:r>
      <w:r w:rsidR="00B476CD" w:rsidRPr="00E26155">
        <w:rPr>
          <w:rFonts w:asciiTheme="majorBidi" w:hAnsiTheme="majorBidi" w:cstheme="majorBidi"/>
          <w:sz w:val="24"/>
          <w:szCs w:val="24"/>
        </w:rPr>
        <w:t xml:space="preserve">of </w:t>
      </w:r>
      <w:r w:rsidRPr="00E26155">
        <w:rPr>
          <w:rFonts w:asciiTheme="majorBidi" w:hAnsiTheme="majorBidi" w:cstheme="majorBidi"/>
          <w:sz w:val="24"/>
          <w:szCs w:val="24"/>
        </w:rPr>
        <w:t>14±10.1 days compare to the reduce caloric intake group</w:t>
      </w:r>
      <w:r w:rsidR="00B476CD" w:rsidRPr="00E26155">
        <w:rPr>
          <w:rFonts w:asciiTheme="majorBidi" w:hAnsiTheme="majorBidi" w:cstheme="majorBidi"/>
          <w:sz w:val="24"/>
          <w:szCs w:val="24"/>
        </w:rPr>
        <w:t xml:space="preserve"> with the</w:t>
      </w:r>
      <w:r w:rsidRPr="00E26155">
        <w:rPr>
          <w:rFonts w:asciiTheme="majorBidi" w:hAnsiTheme="majorBidi" w:cstheme="majorBidi"/>
          <w:sz w:val="24"/>
          <w:szCs w:val="24"/>
        </w:rPr>
        <w:t xml:space="preserve"> mean</w:t>
      </w:r>
      <w:r w:rsidR="00B476CD" w:rsidRPr="00E26155">
        <w:rPr>
          <w:rFonts w:asciiTheme="majorBidi" w:hAnsiTheme="majorBidi" w:cstheme="majorBidi"/>
          <w:sz w:val="24"/>
          <w:szCs w:val="24"/>
        </w:rPr>
        <w:t xml:space="preserve"> of</w:t>
      </w:r>
      <w:r w:rsidRPr="00E26155">
        <w:rPr>
          <w:rFonts w:asciiTheme="majorBidi" w:hAnsiTheme="majorBidi" w:cstheme="majorBidi"/>
          <w:sz w:val="24"/>
          <w:szCs w:val="24"/>
        </w:rPr>
        <w:t xml:space="preserve"> 8±7.3 days (p &lt;0.015). No significant difference in mortality rate between the low and normal phosphate level patients</w:t>
      </w:r>
      <w:r w:rsidR="00B476CD" w:rsidRPr="00E26155">
        <w:rPr>
          <w:rFonts w:asciiTheme="majorBidi" w:hAnsiTheme="majorBidi" w:cstheme="majorBidi"/>
          <w:sz w:val="24"/>
          <w:szCs w:val="24"/>
        </w:rPr>
        <w:t>,</w:t>
      </w:r>
      <w:r w:rsidRPr="00E26155">
        <w:rPr>
          <w:rFonts w:asciiTheme="majorBidi" w:hAnsiTheme="majorBidi" w:cstheme="majorBidi"/>
          <w:sz w:val="24"/>
          <w:szCs w:val="24"/>
        </w:rPr>
        <w:t xml:space="preserve"> however</w:t>
      </w:r>
      <w:r w:rsidR="00B476CD" w:rsidRPr="00E26155">
        <w:rPr>
          <w:rFonts w:asciiTheme="majorBidi" w:hAnsiTheme="majorBidi" w:cstheme="majorBidi"/>
          <w:sz w:val="24"/>
          <w:szCs w:val="24"/>
        </w:rPr>
        <w:t>,</w:t>
      </w:r>
      <w:r w:rsidRPr="00E26155">
        <w:rPr>
          <w:rFonts w:asciiTheme="majorBidi" w:hAnsiTheme="majorBidi" w:cstheme="majorBidi"/>
          <w:sz w:val="24"/>
          <w:szCs w:val="24"/>
        </w:rPr>
        <w:t xml:space="preserve"> the Kramer test found that patients with high phosphate levels (57.8%) had significant high mortality rate (p &lt;0.002 Kramer test 0.219)</w:t>
      </w:r>
      <w:r w:rsidR="00B476CD" w:rsidRPr="00E26155">
        <w:rPr>
          <w:rFonts w:asciiTheme="majorBidi" w:hAnsiTheme="majorBidi" w:cstheme="majorBidi"/>
          <w:sz w:val="24"/>
          <w:szCs w:val="24"/>
        </w:rPr>
        <w:t>,</w:t>
      </w:r>
      <w:r w:rsidRPr="00E26155">
        <w:rPr>
          <w:rFonts w:asciiTheme="majorBidi" w:hAnsiTheme="majorBidi" w:cstheme="majorBidi"/>
          <w:sz w:val="24"/>
          <w:szCs w:val="24"/>
        </w:rPr>
        <w:t xml:space="preserve"> compared with patien</w:t>
      </w:r>
      <w:r w:rsidR="00B476CD" w:rsidRPr="00E26155">
        <w:rPr>
          <w:rFonts w:asciiTheme="majorBidi" w:hAnsiTheme="majorBidi" w:cstheme="majorBidi"/>
          <w:sz w:val="24"/>
          <w:szCs w:val="24"/>
        </w:rPr>
        <w:t xml:space="preserve">ts with normal phosphate levels </w:t>
      </w:r>
      <w:r w:rsidRPr="00E26155">
        <w:rPr>
          <w:rFonts w:asciiTheme="majorBidi" w:hAnsiTheme="majorBidi" w:cstheme="majorBidi"/>
          <w:sz w:val="24"/>
          <w:szCs w:val="24"/>
        </w:rPr>
        <w:t>(35.3%)</w:t>
      </w:r>
      <w:r w:rsidR="00B476CD" w:rsidRPr="00E26155">
        <w:rPr>
          <w:rFonts w:asciiTheme="majorBidi" w:hAnsiTheme="majorBidi" w:cstheme="majorBidi"/>
          <w:sz w:val="24"/>
          <w:szCs w:val="24"/>
        </w:rPr>
        <w:t>.</w:t>
      </w:r>
    </w:p>
    <w:p w:rsidR="001B64A0" w:rsidRDefault="001B64A0" w:rsidP="00E26155">
      <w:pPr>
        <w:bidi w:val="0"/>
        <w:spacing w:line="360" w:lineRule="auto"/>
        <w:ind w:firstLine="720"/>
        <w:rPr>
          <w:rFonts w:asciiTheme="majorBidi" w:hAnsiTheme="majorBidi" w:cstheme="majorBidi"/>
          <w:sz w:val="24"/>
          <w:szCs w:val="24"/>
          <w:u w:val="single"/>
        </w:rPr>
      </w:pPr>
    </w:p>
    <w:p w:rsidR="004607B9" w:rsidRDefault="004607B9" w:rsidP="004607B9">
      <w:pPr>
        <w:bidi w:val="0"/>
        <w:spacing w:line="360" w:lineRule="auto"/>
        <w:ind w:firstLine="720"/>
        <w:rPr>
          <w:rFonts w:asciiTheme="majorBidi" w:hAnsiTheme="majorBidi" w:cstheme="majorBidi"/>
          <w:sz w:val="24"/>
          <w:szCs w:val="24"/>
          <w:u w:val="single"/>
        </w:rPr>
      </w:pPr>
    </w:p>
    <w:p w:rsidR="004607B9" w:rsidRDefault="004607B9" w:rsidP="004607B9">
      <w:pPr>
        <w:bidi w:val="0"/>
        <w:spacing w:line="360" w:lineRule="auto"/>
        <w:ind w:firstLine="720"/>
        <w:rPr>
          <w:rFonts w:asciiTheme="majorBidi" w:hAnsiTheme="majorBidi" w:cstheme="majorBidi"/>
          <w:sz w:val="24"/>
          <w:szCs w:val="24"/>
          <w:u w:val="single"/>
        </w:rPr>
      </w:pPr>
    </w:p>
    <w:p w:rsidR="004607B9" w:rsidRPr="00E26155" w:rsidRDefault="004607B9" w:rsidP="004607B9">
      <w:pPr>
        <w:bidi w:val="0"/>
        <w:spacing w:line="360" w:lineRule="auto"/>
        <w:ind w:firstLine="720"/>
        <w:rPr>
          <w:rFonts w:asciiTheme="majorBidi" w:hAnsiTheme="majorBidi" w:cstheme="majorBidi"/>
          <w:sz w:val="24"/>
          <w:szCs w:val="24"/>
          <w:u w:val="single"/>
        </w:rPr>
      </w:pPr>
    </w:p>
    <w:p w:rsidR="001B64A0" w:rsidRPr="00E26155" w:rsidRDefault="001B64A0" w:rsidP="00E26155">
      <w:pPr>
        <w:bidi w:val="0"/>
        <w:spacing w:line="360" w:lineRule="auto"/>
        <w:ind w:firstLine="720"/>
        <w:rPr>
          <w:rFonts w:asciiTheme="majorBidi" w:hAnsiTheme="majorBidi" w:cstheme="majorBidi"/>
          <w:b/>
          <w:bCs/>
          <w:sz w:val="24"/>
          <w:szCs w:val="24"/>
          <w:u w:val="single"/>
        </w:rPr>
      </w:pPr>
      <w:r w:rsidRPr="00E26155">
        <w:rPr>
          <w:rFonts w:asciiTheme="majorBidi" w:hAnsiTheme="majorBidi" w:cstheme="majorBidi"/>
          <w:b/>
          <w:bCs/>
          <w:sz w:val="24"/>
          <w:szCs w:val="24"/>
          <w:u w:val="single"/>
        </w:rPr>
        <w:t>Discussion</w:t>
      </w:r>
    </w:p>
    <w:p w:rsidR="001B64A0" w:rsidRPr="00E26155" w:rsidRDefault="001B64A0"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 xml:space="preserve">The present study goal is to examine the correlation between the nurses' level of knowledge on HP, RF and nutrition, to the patients' outcomes. Overall, the present study shows there is a direct influence of the nurses' knowledge to the patients' complications that resulted from HP and/or RF. </w:t>
      </w:r>
    </w:p>
    <w:p w:rsidR="001B64A0" w:rsidRPr="00E26155" w:rsidRDefault="001B64A0"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The present study results show that the vast majority (91.1%) of nurses believe that nutrition follow-up of the ICU patient is not their responsibility. Nutrition is interdisciplinary process</w:t>
      </w:r>
      <w:r w:rsidR="00960DA5" w:rsidRPr="00E26155">
        <w:rPr>
          <w:rFonts w:asciiTheme="majorBidi" w:hAnsiTheme="majorBidi" w:cstheme="majorBidi"/>
          <w:sz w:val="24"/>
          <w:szCs w:val="24"/>
        </w:rPr>
        <w:fldChar w:fldCharType="begin"/>
      </w:r>
      <w:r w:rsidR="00960DA5" w:rsidRPr="00E26155">
        <w:rPr>
          <w:rFonts w:asciiTheme="majorBidi" w:hAnsiTheme="majorBidi" w:cstheme="majorBidi"/>
          <w:sz w:val="24"/>
          <w:szCs w:val="24"/>
        </w:rPr>
        <w:instrText>ADDIN F1000_CSL_CITATION&lt;~#@#~&gt;[{"title":"Critical role of nutrition in improving quality of care: an interdisciplinary call to action to address adult hospital malnutrition.","id":"3558029","page":"482-497","type":"article-journal","volume":"37","issue":"4","author":[{"family":"Tappenden","given":"Kelly A"},{"family":"Quatrara","given":"Beth"},{"family":"Parkhurst","given":"Melissa L"},{"family":"Malone","given":"Ainsley M"},{"family":"Fanjiang","given":"Gary"},{"family":"Ziegler","given":"Thomas R"}],"issued":{"date-parts":[["2013","7"]]},"container-title":"Journal of Parenteral and Enteral Nutrition","container-title-short":"JPEN J Parenter Enteral Nutr","journalAbbreviation":"JPEN J Parenter Enteral Nutr","DOI":"10.1177/0148607113484066","PMID":"23736864","citation-label":"3558029","Abstract":"The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plan.","CleanAbstract":"The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w:instrText>
      </w:r>
      <w:r w:rsidR="00960DA5"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(17)</w:t>
      </w:r>
      <w:r w:rsidR="00960DA5" w:rsidRPr="00E26155">
        <w:rPr>
          <w:rFonts w:asciiTheme="majorBidi" w:hAnsiTheme="majorBidi" w:cstheme="majorBidi"/>
          <w:sz w:val="24"/>
          <w:szCs w:val="24"/>
        </w:rPr>
        <w:fldChar w:fldCharType="end"/>
      </w:r>
      <w:r w:rsidR="00960DA5" w:rsidRPr="00E26155">
        <w:rPr>
          <w:rFonts w:asciiTheme="majorBidi" w:hAnsiTheme="majorBidi" w:cstheme="majorBidi"/>
          <w:sz w:val="24"/>
          <w:szCs w:val="24"/>
        </w:rPr>
        <w:t>.</w:t>
      </w:r>
      <w:r w:rsidRPr="00E26155">
        <w:rPr>
          <w:rFonts w:asciiTheme="majorBidi" w:hAnsiTheme="majorBidi" w:cstheme="majorBidi"/>
          <w:sz w:val="24"/>
          <w:szCs w:val="24"/>
        </w:rPr>
        <w:t xml:space="preserve"> Nutrition is one of thirteen domain in nursing practice</w:t>
      </w:r>
      <w:r w:rsidR="00960DA5" w:rsidRPr="00E26155">
        <w:rPr>
          <w:rFonts w:asciiTheme="majorBidi" w:hAnsiTheme="majorBidi" w:cstheme="majorBidi"/>
          <w:sz w:val="24"/>
          <w:szCs w:val="24"/>
        </w:rPr>
        <w:t xml:space="preserve"> </w:t>
      </w:r>
      <w:r w:rsidR="00960DA5" w:rsidRPr="00E26155">
        <w:rPr>
          <w:rFonts w:asciiTheme="majorBidi" w:hAnsiTheme="majorBidi" w:cstheme="majorBidi"/>
          <w:sz w:val="24"/>
          <w:szCs w:val="24"/>
        </w:rPr>
        <w:fldChar w:fldCharType="begin"/>
      </w:r>
      <w:r w:rsidR="00960DA5" w:rsidRPr="00E26155">
        <w:rPr>
          <w:rFonts w:asciiTheme="majorBidi" w:hAnsiTheme="majorBidi" w:cstheme="majorBidi"/>
          <w:sz w:val="24"/>
          <w:szCs w:val="24"/>
        </w:rPr>
        <w:instrText>ADDIN F1000_CSL_CITATION&lt;~#@#~&gt;[{"title":"Nursing diagnoses 2012-14: definitions and classification","id":"7454976","type":"book","publisher":"John Wiley &amp; Sons","author":[{"family":"Herdman","given":"T H"}],"issued":{"date-parts":[["2012"]]},"citation-label":"7454976","CleanAbstract":"No abstract available"}]</w:instrText>
      </w:r>
      <w:r w:rsidR="00960DA5"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(18)</w:t>
      </w:r>
      <w:r w:rsidR="00960DA5" w:rsidRPr="00E26155">
        <w:rPr>
          <w:rFonts w:asciiTheme="majorBidi" w:hAnsiTheme="majorBidi" w:cstheme="majorBidi"/>
          <w:sz w:val="24"/>
          <w:szCs w:val="24"/>
        </w:rPr>
        <w:fldChar w:fldCharType="end"/>
      </w:r>
      <w:r w:rsidR="00960DA5" w:rsidRPr="00E26155">
        <w:rPr>
          <w:rFonts w:asciiTheme="majorBidi" w:hAnsiTheme="majorBidi" w:cstheme="majorBidi"/>
          <w:sz w:val="24"/>
          <w:szCs w:val="24"/>
        </w:rPr>
        <w:t>.</w:t>
      </w:r>
      <w:r w:rsidRPr="00E26155">
        <w:rPr>
          <w:rFonts w:asciiTheme="majorBidi" w:hAnsiTheme="majorBidi" w:cstheme="majorBidi"/>
          <w:sz w:val="24"/>
          <w:szCs w:val="24"/>
        </w:rPr>
        <w:t xml:space="preserve"> However, from 1950-1970 the nursing role in nutrition separate into </w:t>
      </w:r>
      <w:proofErr w:type="gramStart"/>
      <w:r w:rsidRPr="00E26155">
        <w:rPr>
          <w:rFonts w:asciiTheme="majorBidi" w:hAnsiTheme="majorBidi" w:cstheme="majorBidi"/>
          <w:sz w:val="24"/>
          <w:szCs w:val="24"/>
        </w:rPr>
        <w:t>two</w:t>
      </w:r>
      <w:proofErr w:type="gramEnd"/>
      <w:r w:rsidRPr="00E26155">
        <w:rPr>
          <w:rFonts w:asciiTheme="majorBidi" w:hAnsiTheme="majorBidi" w:cstheme="majorBidi"/>
          <w:sz w:val="24"/>
          <w:szCs w:val="24"/>
        </w:rPr>
        <w:t xml:space="preserve"> disciplines profession nursing and </w:t>
      </w:r>
      <w:r w:rsidR="00734CE2" w:rsidRPr="00E26155">
        <w:rPr>
          <w:rFonts w:asciiTheme="majorBidi" w:hAnsiTheme="majorBidi" w:cstheme="majorBidi"/>
          <w:sz w:val="24"/>
          <w:szCs w:val="24"/>
        </w:rPr>
        <w:t xml:space="preserve">dietitian </w:t>
      </w:r>
      <w:r w:rsidR="00960DA5" w:rsidRPr="00E26155">
        <w:rPr>
          <w:rFonts w:asciiTheme="majorBidi" w:hAnsiTheme="majorBidi" w:cstheme="majorBidi"/>
          <w:sz w:val="24"/>
          <w:szCs w:val="24"/>
        </w:rPr>
        <w:fldChar w:fldCharType="begin"/>
      </w:r>
      <w:r w:rsidR="00960DA5" w:rsidRPr="00E26155">
        <w:rPr>
          <w:rFonts w:asciiTheme="majorBidi" w:hAnsiTheme="majorBidi" w:cstheme="majorBidi"/>
          <w:sz w:val="24"/>
          <w:szCs w:val="24"/>
        </w:rPr>
        <w:instrText>ADDIN F1000_CSL_CITATION&lt;~#@#~&gt;[{"title":"1860, Notes on Nursing: What it is and what it is not.","id":"7454992","type":"article-journal","author":[{"family":"Nightingale","given":"F"}],"issued":{"date-parts":[["1969"]]},"citation-label":"7454992","CleanAbstract":"No abstract available"}]</w:instrText>
      </w:r>
      <w:r w:rsidR="00960DA5"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(19)</w:t>
      </w:r>
      <w:r w:rsidR="00960DA5" w:rsidRPr="00E26155">
        <w:rPr>
          <w:rFonts w:asciiTheme="majorBidi" w:hAnsiTheme="majorBidi" w:cstheme="majorBidi"/>
          <w:sz w:val="24"/>
          <w:szCs w:val="24"/>
        </w:rPr>
        <w:fldChar w:fldCharType="end"/>
      </w:r>
      <w:r w:rsidRPr="00E26155">
        <w:rPr>
          <w:rFonts w:asciiTheme="majorBidi" w:hAnsiTheme="majorBidi" w:cstheme="majorBidi"/>
          <w:sz w:val="24"/>
          <w:szCs w:val="24"/>
        </w:rPr>
        <w:t>. from than the nurses responsibility and involvement in patients nutrition therapy has largely been relegated to ancillary staff</w:t>
      </w:r>
      <w:r w:rsidR="00E631DA" w:rsidRPr="00E26155">
        <w:rPr>
          <w:rFonts w:asciiTheme="majorBidi" w:hAnsiTheme="majorBidi" w:cstheme="majorBidi"/>
          <w:sz w:val="24"/>
          <w:szCs w:val="24"/>
        </w:rPr>
        <w:t xml:space="preserve"> </w:t>
      </w:r>
      <w:r w:rsidR="00734CE2" w:rsidRPr="00E26155">
        <w:rPr>
          <w:rFonts w:asciiTheme="majorBidi" w:hAnsiTheme="majorBidi" w:cstheme="majorBidi"/>
          <w:sz w:val="24"/>
          <w:szCs w:val="24"/>
        </w:rPr>
        <w:fldChar w:fldCharType="begin"/>
      </w:r>
      <w:r w:rsidR="00734CE2" w:rsidRPr="00E26155">
        <w:rPr>
          <w:rFonts w:asciiTheme="majorBidi" w:hAnsiTheme="majorBidi" w:cstheme="majorBidi"/>
          <w:sz w:val="24"/>
          <w:szCs w:val="24"/>
        </w:rPr>
        <w:instrText>ADDIN F1000_CSL_CITATION&lt;~#@#~&gt;[{"title":"Challenges and opportunities for nutrition education and training in the health care professions: intraprofessional and interprofessional call to action.","id":"1645759","page":"1184S-93S","type":"article-journal","volume":"99","issue":"5 Suppl","author":[{"family":"DiMaria-Ghalili","given":"Rose Ann"},{"family":"Mirtallo","given":"Jay M"},{"family":"Tobin","given":"Brian W"},{"family":"Hark","given":"Lisa"},{"family":"Van Horn","given":"Linda"},{"family":"Palmer","given":"Carole A"}],"issued":{"date-parts":[["2014","5"]]},"container-title":"The American Journal of Clinical Nutrition","container-title-short":"Am. J. Clin. Nutr.","journalAbbreviation":"Am. J. Clin. Nutr.","DOI":"10.3945/ajcn.113.073536","PMID":"24646823","PMCID":"PMC3985220","citation-label":"1645759","Abstract":"Understanding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therapists.","CleanAbstract":"Understanding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w:instrText>
      </w:r>
      <w:r w:rsidR="00734CE2"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(20)</w:t>
      </w:r>
      <w:r w:rsidR="00734CE2" w:rsidRPr="00E26155">
        <w:rPr>
          <w:rFonts w:asciiTheme="majorBidi" w:hAnsiTheme="majorBidi" w:cstheme="majorBidi"/>
          <w:sz w:val="24"/>
          <w:szCs w:val="24"/>
        </w:rPr>
        <w:fldChar w:fldCharType="end"/>
      </w:r>
      <w:r w:rsidRPr="00E26155">
        <w:rPr>
          <w:rFonts w:asciiTheme="majorBidi" w:hAnsiTheme="majorBidi" w:cstheme="majorBidi"/>
          <w:sz w:val="24"/>
          <w:szCs w:val="24"/>
        </w:rPr>
        <w:t xml:space="preserve"> </w:t>
      </w:r>
      <w:r w:rsidR="00734CE2" w:rsidRPr="00E26155">
        <w:rPr>
          <w:rFonts w:asciiTheme="majorBidi" w:hAnsiTheme="majorBidi" w:cstheme="majorBidi"/>
          <w:sz w:val="24"/>
          <w:szCs w:val="24"/>
        </w:rPr>
        <w:t>.</w:t>
      </w:r>
      <w:r w:rsidRPr="00E26155">
        <w:rPr>
          <w:rFonts w:asciiTheme="majorBidi" w:hAnsiTheme="majorBidi" w:cstheme="majorBidi"/>
          <w:sz w:val="24"/>
          <w:szCs w:val="24"/>
        </w:rPr>
        <w:t xml:space="preserve"> These results </w:t>
      </w:r>
      <w:proofErr w:type="gramStart"/>
      <w:r w:rsidRPr="00E26155">
        <w:rPr>
          <w:rFonts w:asciiTheme="majorBidi" w:hAnsiTheme="majorBidi" w:cstheme="majorBidi"/>
          <w:sz w:val="24"/>
          <w:szCs w:val="24"/>
        </w:rPr>
        <w:t>are supported</w:t>
      </w:r>
      <w:proofErr w:type="gramEnd"/>
      <w:r w:rsidRPr="00E26155">
        <w:rPr>
          <w:rFonts w:asciiTheme="majorBidi" w:hAnsiTheme="majorBidi" w:cstheme="majorBidi"/>
          <w:sz w:val="24"/>
          <w:szCs w:val="24"/>
        </w:rPr>
        <w:t xml:space="preserve"> by the results obtained in the present study. Effective nutrition therapy should include collaboration between medicine, nursing, dietitian and other health care profession. In many institutions, malnutrition managed with isolation in responsibility provided mainly by the dietitian</w:t>
      </w:r>
      <w:r w:rsidR="00D22F98" w:rsidRPr="00E26155">
        <w:rPr>
          <w:rFonts w:asciiTheme="majorBidi" w:hAnsiTheme="majorBidi" w:cstheme="majorBidi"/>
          <w:sz w:val="24"/>
          <w:szCs w:val="24"/>
        </w:rPr>
        <w:fldChar w:fldCharType="begin"/>
      </w:r>
      <w:r w:rsidR="00D22F98" w:rsidRPr="00E26155">
        <w:rPr>
          <w:rFonts w:asciiTheme="majorBidi" w:hAnsiTheme="majorBidi" w:cstheme="majorBidi"/>
          <w:sz w:val="24"/>
          <w:szCs w:val="24"/>
        </w:rPr>
        <w:instrText>ADDIN F1000_CSL_CITATION&lt;~#@#~&gt;[{"title":"Critical role of nutrition in improving quality of care: an interdisciplinary call to action to address adult hospital malnutrition.","id":"3558029","page":"482-497","type":"article-journal","volume":"37","issue":"4","author":[{"family":"Tappenden","given":"Kelly A"},{"family":"Quatrara","given":"Beth"},{"family":"Parkhurst","given":"Melissa L"},{"family":"Malone","given":"Ainsley M"},{"family":"Fanjiang","given":"Gary"},{"family":"Ziegler","given":"Thomas R"}],"issued":{"date-parts":[["2013","7"]]},"container-title":"Journal of Parenteral and Enteral Nutrition","container-title-short":"JPEN J Parenter Enteral Nutr","journalAbbreviation":"JPEN J Parenter Enteral Nutr","DOI":"10.1177/0148607113484066","PMID":"23736864","citation-label":"3558029","Abstract":"The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plan.","CleanAbstract":"The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w:instrText>
      </w:r>
      <w:r w:rsidR="00D22F98"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(17)</w:t>
      </w:r>
      <w:r w:rsidR="00D22F98" w:rsidRPr="00E26155">
        <w:rPr>
          <w:rFonts w:asciiTheme="majorBidi" w:hAnsiTheme="majorBidi" w:cstheme="majorBidi"/>
          <w:sz w:val="24"/>
          <w:szCs w:val="24"/>
        </w:rPr>
        <w:fldChar w:fldCharType="end"/>
      </w:r>
      <w:r w:rsidR="00D22F98" w:rsidRPr="00E26155">
        <w:rPr>
          <w:rFonts w:asciiTheme="majorBidi" w:hAnsiTheme="majorBidi" w:cstheme="majorBidi"/>
          <w:sz w:val="24"/>
          <w:szCs w:val="24"/>
        </w:rPr>
        <w:t xml:space="preserve"> .</w:t>
      </w:r>
      <w:r w:rsidRPr="00E26155">
        <w:rPr>
          <w:rFonts w:asciiTheme="majorBidi" w:hAnsiTheme="majorBidi" w:cstheme="majorBidi"/>
          <w:sz w:val="24"/>
          <w:szCs w:val="24"/>
        </w:rPr>
        <w:t xml:space="preserve"> In </w:t>
      </w:r>
      <w:r w:rsidR="00D22F98" w:rsidRPr="00E26155">
        <w:rPr>
          <w:rFonts w:asciiTheme="majorBidi" w:hAnsiTheme="majorBidi" w:cstheme="majorBidi"/>
          <w:sz w:val="24"/>
          <w:szCs w:val="24"/>
        </w:rPr>
        <w:t>spite,</w:t>
      </w:r>
      <w:r w:rsidRPr="00E26155">
        <w:rPr>
          <w:rFonts w:asciiTheme="majorBidi" w:hAnsiTheme="majorBidi" w:cstheme="majorBidi"/>
          <w:sz w:val="24"/>
          <w:szCs w:val="24"/>
        </w:rPr>
        <w:t xml:space="preserve"> the activities of taking in nutrition therapy by nurses the role of the nurse in nutrition is not clearly defined</w:t>
      </w:r>
      <w:r w:rsidR="00786C07" w:rsidRPr="00E26155">
        <w:rPr>
          <w:rFonts w:asciiTheme="majorBidi" w:hAnsiTheme="majorBidi" w:cstheme="majorBidi"/>
          <w:sz w:val="24"/>
          <w:szCs w:val="24"/>
        </w:rPr>
        <w:fldChar w:fldCharType="begin"/>
      </w:r>
      <w:r w:rsidR="00786C07" w:rsidRPr="00E26155">
        <w:rPr>
          <w:rFonts w:asciiTheme="majorBidi" w:hAnsiTheme="majorBidi" w:cstheme="majorBidi"/>
          <w:sz w:val="24"/>
          <w:szCs w:val="24"/>
        </w:rPr>
        <w:instrText>ADDIN F1000_CSL_CITATION&lt;~#@#~&gt;[{"title":"Introducing a nutrition screening tool: an exploratory study in a district general hospital.","id":"7455147","page":"12-23","type":"article-journal","volume":"44","issue":"1","author":[{"family":"Jordan","given":"Sue"},{"family":"Snow","given":"Dawn"},{"family":"Hayes","given":"Chris"},{"family":"Williams","given":"Anne"}],"issued":{"date-parts":[["2003","10"]]},"container-title":"Journal of Advanced Nursing","container-title-short":"J. Adv. Nurs.","journalAbbreviation":"J. Adv. Nurs.","DOI":"10.1046/j.1365-2648.2003.02763.x","PMID":"12956665","citation-label":"7455147","Abstract":"&lt;strong&gt;BACKGROUND:&lt;/strong&gt; Concerns have been raised that patients' nutrition is a neglected aspect of care. Accordingly, 'nutrition screening tools' have been devised to ensure that all patients are assessed by nurses and, where appropriate, referred to dieticians. The tool adopted in our hospital was the 'Nursing Nutritional Screening Tool'.&lt;br&gt;&lt;br&gt;&lt;strong&gt;AIM:&lt;/strong&gt; To investigate the impact of this screening tool on: nutrition-related nursing documentation; patient care at mealtimes; dietician referral.&lt;br&gt;&lt;br&gt;&lt;strong&gt;METHODS:&lt;/strong&gt; This study was conducted on two similar general medical wards in a United Kingdom (UK) district general hospital, with the help of staff and patients (n = 175) admitted during two study periods, May 1999 and January 2000. Data were collected over 28 days before and after introduction of the screening tool on one of the wards. For both wards, in each stage of the study, data were collected b: review of patients' notes, non-participant observations of mealtimes. Frequencies of dietician referral and documentation of weight were compared by cross-tabulations and chi2 tests. Nine months later, the findings were discussed with ward sisters in a group interview.&lt;br&gt;&lt;br&gt;&lt;strong&gt;FINDINGS:&lt;/strong&gt; Introduction of the screening tool impacted on the process but not the outcomes of screening. Use of the screening tool increased the frequency of nutrition-related documentation: the proportion of patients with weights recorded increased on the intervention ward (P &lt;  0.001), and decreased on the comparator ward. Frequency of dietician referral decreased on both wards, but differences were statistically insignificant. There was no observable change in patient care at mealtimes. The nurses in charge of the wards felt that introduction of the screening tool had raised awareness of nutrition-related care.&lt;br&gt;&lt;br&gt;&lt;strong&gt;CONCLUSIONS:&lt;/strong&gt; Meeting patients' nutritional needs is a complex aspect of care which may benefit from introduction of structured guidelines. However, the potential of screening tools to improve care is limited by diverse factors, which warrant further exploration.","CleanAbstract":"BACKGROUND: Concerns have been raised that patients' nutrition is a neglected aspect of care. Accordingly, 'nutrition screening tools' have been devised to ensure that all patients are assessed by nurses and, where appropriate, referred to dieticians. The tool adopted in our hospital was the 'Nursing Nutritional Screening Tool'.AIM: To investigate the impact of this screening tool on: nutrition-related nursing documentation; patient care at mealtimes; dietician referral.METHODS: This study was conducted on two similar general medical wards in a United Kingdom (UK) district general hospital, with the help of staff and patients (n = 175) admitted during two study periods, May 1999 and January 2000. Data were collected over 28 days before and after introduction of the screening tool on one of the wards. For both wards, in each stage of the study, data were collected b: review of patients' notes, non-participant observations of mealtimes. Frequencies of dietician referral and documentation of weight were compared by cross-tabulations and chi2 tests. Nine months later, the findings were discussed with ward sisters in a group interview.FINDINGS: Introduction of the screening tool impacted on the process but not the outcomes of screening. Use of the screening tool increased the frequency of nutrition-related documentation: the proportion of patients with weights recorded increased on the intervention ward (P CONCLUSIONS: Meeting patients' nutritional needs is a complex aspect of care which may benefit from introduction of structured guidelines. However, the potential of screening tools to improve care is limited by diverse factors, which warrant further exploration."}]</w:instrText>
      </w:r>
      <w:r w:rsidR="00786C07"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(21)</w:t>
      </w:r>
      <w:r w:rsidR="00786C07" w:rsidRPr="00E26155">
        <w:rPr>
          <w:rFonts w:asciiTheme="majorBidi" w:hAnsiTheme="majorBidi" w:cstheme="majorBidi"/>
          <w:sz w:val="24"/>
          <w:szCs w:val="24"/>
        </w:rPr>
        <w:fldChar w:fldCharType="end"/>
      </w:r>
      <w:r w:rsidR="00786C07" w:rsidRPr="00E26155">
        <w:rPr>
          <w:rFonts w:asciiTheme="majorBidi" w:hAnsiTheme="majorBidi" w:cstheme="majorBidi"/>
          <w:sz w:val="24"/>
          <w:szCs w:val="24"/>
        </w:rPr>
        <w:t xml:space="preserve">. </w:t>
      </w:r>
      <w:r w:rsidRPr="00E26155">
        <w:rPr>
          <w:rFonts w:asciiTheme="majorBidi" w:hAnsiTheme="majorBidi" w:cstheme="majorBidi"/>
          <w:sz w:val="24"/>
          <w:szCs w:val="24"/>
        </w:rPr>
        <w:t xml:space="preserve"> </w:t>
      </w:r>
    </w:p>
    <w:p w:rsidR="001B64A0" w:rsidRPr="00E26155" w:rsidRDefault="001B64A0" w:rsidP="00E26155">
      <w:pPr>
        <w:bidi w:val="0"/>
        <w:spacing w:line="360" w:lineRule="auto"/>
        <w:ind w:firstLine="720"/>
        <w:rPr>
          <w:rStyle w:val="f1kat-hl"/>
          <w:rFonts w:asciiTheme="majorBidi" w:hAnsiTheme="majorBidi" w:cstheme="majorBidi"/>
          <w:sz w:val="24"/>
          <w:szCs w:val="24"/>
        </w:rPr>
      </w:pPr>
      <w:r w:rsidRPr="00E26155">
        <w:rPr>
          <w:rFonts w:asciiTheme="majorBidi" w:hAnsiTheme="majorBidi" w:cstheme="majorBidi"/>
          <w:sz w:val="24"/>
          <w:szCs w:val="24"/>
        </w:rPr>
        <w:t xml:space="preserve">The present study results show that most of nurses (75.6%) consider monitoring phosphate levels, prior to initiation of feeding, is not significant. In fact, many (64.4%) of nurses believe that they should start to provide the patient with the full caloric intake immediately after admission to the ICU. According to the results of the data collected from the ICU patients, the majority of the patients that received more than 50% of the recommended caloric intake developed complications and RS. From the current results, it is clear why ICU nurses do not update the new guidelines in nutrition. The nutrition education for nurses include basic knowledge. There is no obliged educational hours in basic nutrition for Bachelor of Science in nursing programs. Moreover, no strategies for implementing and continuing nutrition education and what is the role and responsibility </w:t>
      </w:r>
      <w:r w:rsidRPr="00E26155">
        <w:rPr>
          <w:rFonts w:asciiTheme="majorBidi" w:hAnsiTheme="majorBidi" w:cstheme="majorBidi"/>
          <w:sz w:val="24"/>
          <w:szCs w:val="24"/>
        </w:rPr>
        <w:lastRenderedPageBreak/>
        <w:t>of nurses in nutrition</w:t>
      </w:r>
      <w:r w:rsidR="00C25303" w:rsidRPr="00E26155">
        <w:rPr>
          <w:rFonts w:asciiTheme="majorBidi" w:hAnsiTheme="majorBidi" w:cstheme="majorBidi"/>
          <w:sz w:val="24"/>
          <w:szCs w:val="24"/>
        </w:rPr>
        <w:fldChar w:fldCharType="begin"/>
      </w:r>
      <w:r w:rsidR="00C25303" w:rsidRPr="00E26155">
        <w:rPr>
          <w:rFonts w:asciiTheme="majorBidi" w:hAnsiTheme="majorBidi" w:cstheme="majorBidi"/>
          <w:sz w:val="24"/>
          <w:szCs w:val="24"/>
        </w:rPr>
        <w:instrText>ADDIN F1000_CSL_CITATION&lt;~#@#~&gt;[{"title":"Challenges and opportunities for nutrition education and training in the health care professions: intraprofessional and interprofessional call to action.","id":"1645759","page":"1184S-93S","type":"article-journal","volume":"99","issue":"5 Suppl","author":[{"family":"DiMaria-Ghalili","given":"Rose Ann"},{"family":"Mirtallo","given":"Jay M"},{"family":"Tobin","given":"Brian W"},{"family":"Hark","given":"Lisa"},{"family":"Van Horn","given":"Linda"},{"family":"Palmer","given":"Carole A"}],"issued":{"date-parts":[["2014","5"]]},"container-title":"The American Journal of Clinical Nutrition","container-title-short":"Am. J. Clin. Nutr.","journalAbbreviation":"Am. J. Clin. Nutr.","DOI":"10.3945/ajcn.113.073536","PMID":"24646823","PMCID":"PMC3985220","citation-label":"1645759","Abstract":"Understanding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therapists.","CleanAbstract":"Understanding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w:instrText>
      </w:r>
      <w:r w:rsidR="00C25303"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(20)</w:t>
      </w:r>
      <w:r w:rsidR="00C25303" w:rsidRPr="00E26155">
        <w:rPr>
          <w:rFonts w:asciiTheme="majorBidi" w:hAnsiTheme="majorBidi" w:cstheme="majorBidi"/>
          <w:sz w:val="24"/>
          <w:szCs w:val="24"/>
        </w:rPr>
        <w:fldChar w:fldCharType="end"/>
      </w:r>
      <w:r w:rsidR="00C25303" w:rsidRPr="00E26155">
        <w:rPr>
          <w:rFonts w:asciiTheme="majorBidi" w:hAnsiTheme="majorBidi" w:cstheme="majorBidi"/>
          <w:sz w:val="24"/>
          <w:szCs w:val="24"/>
        </w:rPr>
        <w:t>.</w:t>
      </w:r>
      <w:r w:rsidRPr="00E26155">
        <w:rPr>
          <w:rFonts w:asciiTheme="majorBidi" w:hAnsiTheme="majorBidi" w:cstheme="majorBidi"/>
          <w:sz w:val="24"/>
          <w:szCs w:val="24"/>
        </w:rPr>
        <w:t xml:space="preserve"> </w:t>
      </w:r>
      <w:r w:rsidRPr="00E26155">
        <w:rPr>
          <w:rStyle w:val="f1kat-hl"/>
          <w:rFonts w:asciiTheme="majorBidi" w:hAnsiTheme="majorBidi" w:cstheme="majorBidi"/>
          <w:color w:val="2E2E2E"/>
          <w:sz w:val="24"/>
          <w:szCs w:val="24"/>
        </w:rPr>
        <w:t>According to a study by</w:t>
      </w:r>
      <w:r w:rsidR="00C25303" w:rsidRPr="00E26155">
        <w:rPr>
          <w:rStyle w:val="f1kat-hl"/>
          <w:rFonts w:asciiTheme="majorBidi" w:hAnsiTheme="majorBidi" w:cstheme="majorBidi"/>
          <w:color w:val="2E2E2E"/>
          <w:sz w:val="24"/>
          <w:szCs w:val="24"/>
        </w:rPr>
        <w:t xml:space="preserve"> </w:t>
      </w:r>
      <w:proofErr w:type="spellStart"/>
      <w:r w:rsidR="00C25303" w:rsidRPr="00E26155">
        <w:rPr>
          <w:rStyle w:val="f1kat-hl"/>
          <w:rFonts w:asciiTheme="majorBidi" w:hAnsiTheme="majorBidi" w:cstheme="majorBidi"/>
          <w:color w:val="2E2E2E"/>
          <w:sz w:val="24"/>
          <w:szCs w:val="24"/>
        </w:rPr>
        <w:t>Stotts</w:t>
      </w:r>
      <w:proofErr w:type="spellEnd"/>
      <w:r w:rsidR="00C25303" w:rsidRPr="00E26155">
        <w:rPr>
          <w:rStyle w:val="f1kat-hl"/>
          <w:rFonts w:asciiTheme="majorBidi" w:hAnsiTheme="majorBidi" w:cstheme="majorBidi"/>
          <w:color w:val="2E2E2E"/>
          <w:sz w:val="24"/>
          <w:szCs w:val="24"/>
        </w:rPr>
        <w:t xml:space="preserve"> et al</w:t>
      </w:r>
      <w:r w:rsidRPr="00E26155">
        <w:rPr>
          <w:rStyle w:val="f1kat-hl"/>
          <w:rFonts w:asciiTheme="majorBidi" w:hAnsiTheme="majorBidi" w:cstheme="majorBidi"/>
          <w:color w:val="2E2E2E"/>
          <w:sz w:val="24"/>
          <w:szCs w:val="24"/>
        </w:rPr>
        <w:t xml:space="preserve"> </w:t>
      </w:r>
      <w:r w:rsidR="00C25303" w:rsidRPr="00E26155">
        <w:rPr>
          <w:rStyle w:val="f1kat-hl"/>
          <w:rFonts w:asciiTheme="majorBidi" w:hAnsiTheme="majorBidi" w:cstheme="majorBidi"/>
          <w:color w:val="2E2E2E"/>
          <w:sz w:val="24"/>
          <w:szCs w:val="24"/>
        </w:rPr>
        <w:fldChar w:fldCharType="begin"/>
      </w:r>
      <w:r w:rsidR="00C25303" w:rsidRPr="00E26155">
        <w:rPr>
          <w:rStyle w:val="f1kat-hl"/>
          <w:rFonts w:asciiTheme="majorBidi" w:hAnsiTheme="majorBidi" w:cstheme="majorBidi"/>
          <w:color w:val="2E2E2E"/>
          <w:sz w:val="24"/>
          <w:szCs w:val="24"/>
        </w:rPr>
        <w:instrText>ADDIN F1000_CSL_CITATION&lt;~#@#~&gt;[{"title":"Nutrition education in schools of nursing in the United States. Part 2: The status of nutrition education in schools of nursing.","id":"7455644","page":"406-411","type":"article-journal","volume":"11","issue":"4","author":[{"family":"Stotts","given":"N A"},{"family":"Englert","given":"D"},{"family":"Crocker","given":"K S"},{"family":"Bennum","given":"N W"},{"family":"Hoppe","given":"M"}],"issued":{"date-parts":[["1987","8"]]},"container-title":"Journal of Parenteral and Enteral Nutrition","container-title-short":"JPEN J Parenter Enteral Nutr","journalAbbreviation":"JPEN J Parenter Enteral Nutr","DOI":"10.1177/0148607187011004406","PMID":"3112433","citation-label":"7455644","Abstract":"To explore whether nurses in academic institutions are being adequately educated to care for patients' nutritional needs, we conducted a survey of National League for Nursing accredited baccalaureate programs in the United States and their associated graduate programs. Data indicate that nutrition content is an integral part of baccalaureate nursing programs. Less emphasis is reported on nutrition content at the graduate level. Recommendations include revision of the substantive nutritive content and increased clinical experience in nutrition in both undergraduate and graduate nursing education.","CleanAbstract":"To explore whether nurses in academic institutions are being adequately educated to care for patients' nutritional needs, we conducted a survey of National League for Nursing accredited baccalaureate programs in the United States and their associated graduate programs. Data indicate that nutrition content is an integral part of baccalaureate nursing programs. Less emphasis is reported on nutrition content at the graduate level. Recommendations include revision of the substantive nutritive content and increased clinical experience in nutrition in both undergraduate and graduate nursing education."}]</w:instrText>
      </w:r>
      <w:r w:rsidR="00C25303" w:rsidRPr="00E26155">
        <w:rPr>
          <w:rStyle w:val="f1kat-hl"/>
          <w:rFonts w:asciiTheme="majorBidi" w:hAnsiTheme="majorBidi" w:cstheme="majorBidi"/>
          <w:color w:val="2E2E2E"/>
          <w:sz w:val="24"/>
          <w:szCs w:val="24"/>
        </w:rPr>
        <w:fldChar w:fldCharType="separate"/>
      </w:r>
      <w:r w:rsidR="000E5F63" w:rsidRPr="00E26155">
        <w:rPr>
          <w:rStyle w:val="f1kat-hl"/>
          <w:rFonts w:asciiTheme="majorBidi" w:hAnsiTheme="majorBidi" w:cstheme="majorBidi"/>
          <w:color w:val="2E2E2E"/>
          <w:sz w:val="24"/>
          <w:szCs w:val="24"/>
        </w:rPr>
        <w:t>(22)</w:t>
      </w:r>
      <w:r w:rsidR="00C25303" w:rsidRPr="00E26155">
        <w:rPr>
          <w:rStyle w:val="f1kat-hl"/>
          <w:rFonts w:asciiTheme="majorBidi" w:hAnsiTheme="majorBidi" w:cstheme="majorBidi"/>
          <w:color w:val="2E2E2E"/>
          <w:sz w:val="24"/>
          <w:szCs w:val="24"/>
        </w:rPr>
        <w:fldChar w:fldCharType="end"/>
      </w:r>
      <w:r w:rsidRPr="00E26155">
        <w:rPr>
          <w:rStyle w:val="f1kat-hl"/>
          <w:rFonts w:asciiTheme="majorBidi" w:hAnsiTheme="majorBidi" w:cstheme="majorBidi"/>
          <w:color w:val="2E2E2E"/>
          <w:sz w:val="24"/>
          <w:szCs w:val="24"/>
        </w:rPr>
        <w:t xml:space="preserve">, only 50% of the nurse's students feel satisfied with their nutrition studies. </w:t>
      </w:r>
    </w:p>
    <w:p w:rsidR="001B64A0" w:rsidRPr="00E26155" w:rsidRDefault="001B64A0" w:rsidP="00E26155">
      <w:pPr>
        <w:bidi w:val="0"/>
        <w:spacing w:line="360" w:lineRule="auto"/>
        <w:ind w:firstLine="720"/>
        <w:rPr>
          <w:rStyle w:val="f1kat-hl"/>
          <w:rFonts w:asciiTheme="majorBidi" w:hAnsiTheme="majorBidi" w:cstheme="majorBidi"/>
          <w:color w:val="2E2E2E"/>
          <w:sz w:val="24"/>
          <w:szCs w:val="24"/>
        </w:rPr>
      </w:pPr>
      <w:r w:rsidRPr="00E26155">
        <w:rPr>
          <w:rStyle w:val="f1kat-hl"/>
          <w:rFonts w:asciiTheme="majorBidi" w:hAnsiTheme="majorBidi" w:cstheme="majorBidi"/>
          <w:color w:val="2E2E2E"/>
          <w:sz w:val="24"/>
          <w:szCs w:val="24"/>
        </w:rPr>
        <w:t>Additional results of the current study reveal that majority of the nurses are not aware of the increase risk of RS when the patients' level of Phosphate is low. According to the ICU patients' results, on second day after start feeding 45% of the patients with HP significantly lower their phosphate level, which developed into RS and after 72 hours the number of patients with HP double. As mentioned above, hypophosphatemia is the indication of RS</w:t>
      </w:r>
      <w:r w:rsidR="0039300A" w:rsidRPr="00E26155">
        <w:rPr>
          <w:rStyle w:val="f1kat-hl"/>
          <w:rFonts w:asciiTheme="majorBidi" w:hAnsiTheme="majorBidi" w:cstheme="majorBidi"/>
          <w:color w:val="2E2E2E"/>
          <w:sz w:val="24"/>
          <w:szCs w:val="24"/>
        </w:rPr>
        <w:fldChar w:fldCharType="begin"/>
      </w:r>
      <w:r w:rsidR="0039300A" w:rsidRPr="00E26155">
        <w:rPr>
          <w:rStyle w:val="f1kat-hl"/>
          <w:rFonts w:asciiTheme="majorBidi" w:hAnsiTheme="majorBidi" w:cstheme="majorBidi"/>
          <w:color w:val="2E2E2E"/>
          <w:sz w:val="24"/>
          <w:szCs w:val="24"/>
        </w:rPr>
        <w:instrText>ADDIN F1000_CSL_CITATION&lt;~#@#~&gt;[{"title":"The refeeding syndrome and hypophosphatemia.","id":"7449741","page":"320-323","type":"article-journal","volume":"61","issue":"9","author":[{"family":"Marinella","given":"Mark A"}],"issued":{"date-parts":[["2003","9"]]},"container-title":"Nutrition Reviews","container-title-short":"Nutr. Rev.","journalAbbreviation":"Nutr. Rev.","DOI":"10.1301/nr.2003.sept.320-323","PMID":"14552069","citation-label":"7449741","Abstract":"The refeeding syndrome is an underappreciated entity characterized by acute electrolyte derangements--notably hypophosphatemia--that occur during nutritional repletion of patients with significant suboptimal caloric intake. Adverse effects of hypophosphatemia include cardiac failure, muscle weakness, immune dysfunction, and death. Hypokalemia and hypomagnesemia commonly complicate refeeding syndrome as well; however, this report briefly reviews the clinical manifestations of refeeding-induced hypophosphatemia.","CleanAbstract":"The refeeding syndrome is an underappreciated entity characterized by acute electrolyte derangements--notably hypophosphatemia--that occur during nutritional repletion of patients with significant suboptimal caloric intake. Adverse effects of hypophosphatemia include cardiac failure, muscle weakness, immune dysfunction, and death. Hypokalemia and hypomagnesemia commonly complicate refeeding syndrome as well; however, this report briefly reviews the clinical manifestations of refeeding-induced hypophosphatemia."}]</w:instrText>
      </w:r>
      <w:r w:rsidR="0039300A" w:rsidRPr="00E26155">
        <w:rPr>
          <w:rStyle w:val="f1kat-hl"/>
          <w:rFonts w:asciiTheme="majorBidi" w:hAnsiTheme="majorBidi" w:cstheme="majorBidi"/>
          <w:color w:val="2E2E2E"/>
          <w:sz w:val="24"/>
          <w:szCs w:val="24"/>
        </w:rPr>
        <w:fldChar w:fldCharType="separate"/>
      </w:r>
      <w:r w:rsidR="000E5F63" w:rsidRPr="00E26155">
        <w:rPr>
          <w:rStyle w:val="f1kat-hl"/>
          <w:rFonts w:asciiTheme="majorBidi" w:hAnsiTheme="majorBidi" w:cstheme="majorBidi"/>
          <w:color w:val="2E2E2E"/>
          <w:sz w:val="24"/>
          <w:szCs w:val="24"/>
        </w:rPr>
        <w:t>(23)</w:t>
      </w:r>
      <w:r w:rsidR="0039300A" w:rsidRPr="00E26155">
        <w:rPr>
          <w:rStyle w:val="f1kat-hl"/>
          <w:rFonts w:asciiTheme="majorBidi" w:hAnsiTheme="majorBidi" w:cstheme="majorBidi"/>
          <w:color w:val="2E2E2E"/>
          <w:sz w:val="24"/>
          <w:szCs w:val="24"/>
        </w:rPr>
        <w:fldChar w:fldCharType="end"/>
      </w:r>
      <w:r w:rsidR="0039300A" w:rsidRPr="00E26155">
        <w:rPr>
          <w:rStyle w:val="f1kat-hl"/>
          <w:rFonts w:asciiTheme="majorBidi" w:hAnsiTheme="majorBidi" w:cstheme="majorBidi"/>
          <w:color w:val="2E2E2E"/>
          <w:sz w:val="24"/>
          <w:szCs w:val="24"/>
        </w:rPr>
        <w:t>.</w:t>
      </w:r>
      <w:r w:rsidRPr="00E26155">
        <w:rPr>
          <w:rStyle w:val="f1kat-hl"/>
          <w:rFonts w:asciiTheme="majorBidi" w:hAnsiTheme="majorBidi" w:cstheme="majorBidi"/>
          <w:color w:val="2E2E2E"/>
          <w:sz w:val="24"/>
          <w:szCs w:val="24"/>
        </w:rPr>
        <w:t xml:space="preserve"> </w:t>
      </w:r>
      <w:proofErr w:type="spellStart"/>
      <w:r w:rsidRPr="00E26155">
        <w:rPr>
          <w:rStyle w:val="f1kat-hl"/>
          <w:rFonts w:asciiTheme="majorBidi" w:hAnsiTheme="majorBidi" w:cstheme="majorBidi"/>
          <w:color w:val="2E2E2E"/>
          <w:sz w:val="24"/>
          <w:szCs w:val="24"/>
        </w:rPr>
        <w:t>Marik</w:t>
      </w:r>
      <w:proofErr w:type="spellEnd"/>
      <w:r w:rsidRPr="00E26155">
        <w:rPr>
          <w:rStyle w:val="f1kat-hl"/>
          <w:rFonts w:asciiTheme="majorBidi" w:hAnsiTheme="majorBidi" w:cstheme="majorBidi"/>
          <w:color w:val="2E2E2E"/>
          <w:sz w:val="24"/>
          <w:szCs w:val="24"/>
        </w:rPr>
        <w:t xml:space="preserve"> et al.</w:t>
      </w:r>
      <w:r w:rsidR="002A0EE2" w:rsidRPr="00E26155">
        <w:rPr>
          <w:rStyle w:val="f1kat-hl"/>
          <w:rFonts w:asciiTheme="majorBidi" w:hAnsiTheme="majorBidi" w:cstheme="majorBidi"/>
          <w:color w:val="2E2E2E"/>
          <w:sz w:val="24"/>
          <w:szCs w:val="24"/>
        </w:rPr>
        <w:fldChar w:fldCharType="begin"/>
      </w:r>
      <w:r w:rsidR="002A0EE2" w:rsidRPr="00E26155">
        <w:rPr>
          <w:rStyle w:val="f1kat-hl"/>
          <w:rFonts w:asciiTheme="majorBidi" w:hAnsiTheme="majorBidi" w:cstheme="majorBidi"/>
          <w:color w:val="2E2E2E"/>
          <w:sz w:val="24"/>
          <w:szCs w:val="24"/>
        </w:rPr>
        <w:instrText>ADDIN F1000_CSL_CITATION&lt;~#@#~&gt;[{"title":"Refeeding hypophosphatemia in critically ill patients in an intensive care unit. A prospective study.","id":"4626389","page":"1043-1047","type":"article-journal","volume":"131","issue":"10","author":[{"family":"Marik","given":"P E"},{"family":"Bedigian","given":"M K"}],"issued":{"date-parts":[["1996","10"]]},"container-title":"Archives of Surgery","container-title-short":"Arch. Surg.","journalAbbreviation":"Arch. Surg.","DOI":"10.1001/archsurg.1996.01430220037007","PMID":"8857900","citation-label":"4626389","Abstract":"&lt;strong&gt;BACKGROUND:&lt;/strong&gt; Hypophosphatemia has been reported after refeeding of malnourished patients. Nutritional support is often delayed in patients in the intensive care unit (ICU) as a consequence of enteral intolerance and bowel hypomotility.&lt;br&gt;&lt;br&gt;&lt;strong&gt;OBJECTIVE:&lt;/strong&gt; To determine the incidence, risk factors, and clinical impact of refeeding hypophosphatemia in a heterogeneous group of patients in an ICU.&lt;br&gt;&lt;br&gt;&lt;strong&gt;DESIGN:&lt;/strong&gt; Prospective, noninterventional study.&lt;br&gt;&lt;br&gt;&lt;strong&gt;SETTINGS:&lt;/strong&gt; Surgical and medical ICUs of a university-affiliated community hospital.&lt;br&gt;&lt;br&gt;&lt;strong&gt;PATIENTS:&lt;/strong&gt; Sixty-two patients in the ICU who were refed after being starved for at least 48 hours were prospectively followed up.&lt;br&gt;&lt;br&gt;&lt;strong&gt;INTERVENTIONS:&lt;/strong&gt; None.&lt;br&gt;&lt;br&gt;&lt;strong&gt;MAIN OUTCOME MEASURES:&lt;/strong&gt;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mmol/L.&lt;br&gt;&lt;br&gt;&lt;strong&gt;RESULTS:&lt;/strong&gt; Twenty-one patients (34%) experienced refeeding hypophosphatemia. In 6 patients, the serum phosphorus level fell below 0.32 mmol/L. The only risk factor studied that could predict the development of hypophosphatemia was the serum prealbumin concentration (mean +/- SD, 127 +/- 34 vs 79 +/- 40 g/L, P &lt;  .001). Seventeen (81%) of these 21 patients in whom hypophosphatemia developed had a prealbumin concentration less than 110 g/L compared with that in 12 (30%) of the patients who did not experience this complication (P &lt;  .001). In those patients in whom refeeding hypophosphatemia developed, the serum phosphorus level reached a mean +/- SD nadir of 1.9 +/- 1.1 days after feeding was started. Although the Acute Physiology and Chronic Health Evaluation II score was similar (mean +/- SD, 19 +/- 6 vs 18 +/- 7), the length of mechanical ventilation (mean +/- SD, 10.5 +/- 5.2 vs 7.1 +/- 2.8 days; P = .04) and the length of hospital stay (mean +/- SD, 12.1 +/- 7.1 vs 8.2 +/- 4.6 days; P = .01) were significantly longer in those patients who experienced hypophosphatemia compared with those patients who did not experience this complication.&lt;br&gt;&lt;br&gt;&lt;strong&gt;CONCLUSIONS:&lt;/strong&gt;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required.","CleanAbstract":"BACKGROUND: Hypophosphatemia has been reported after refeeding of malnourished patients. Nutritional support is often delayed in patients in the intensive care unit (ICU) as a consequence of enteral intolerance and bowel hypomotility.OBJECTIVE: To determine the incidence, risk factors, and clinical impact of refeeding hypophosphatemia in a heterogeneous group of patients in an ICU.DESIGN: Prospective, noninterventional study.SETTINGS: Surgical and medical ICUs of a university-affiliated community hospital.PATIENTS: Sixty-two patients in the ICU who were refed after being starved for at least 48 hours were prospectively followed up.INTERVENTIONS: None.MAIN OUTCOME MEASURES: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mmol/L.RESULTS: Twenty-one patients (34%) experienced refeeding hypophosphatemia. In 6 patients, the serum phosphorus level fell below 0.32 mmol/L. The only risk factor studied that could predict the development of hypophosphatemia was the serum prealbumin concentration (mean +/- SD, 127 +/- 34 vs 79 +/- 40 g/L, P CONCLUSIONS: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w:instrText>
      </w:r>
      <w:r w:rsidR="002A0EE2" w:rsidRPr="00E26155">
        <w:rPr>
          <w:rStyle w:val="f1kat-hl"/>
          <w:rFonts w:asciiTheme="majorBidi" w:hAnsiTheme="majorBidi" w:cstheme="majorBidi"/>
          <w:color w:val="2E2E2E"/>
          <w:sz w:val="24"/>
          <w:szCs w:val="24"/>
        </w:rPr>
        <w:fldChar w:fldCharType="separate"/>
      </w:r>
      <w:r w:rsidR="000E5F63" w:rsidRPr="00E26155">
        <w:rPr>
          <w:rStyle w:val="f1kat-hl"/>
          <w:rFonts w:asciiTheme="majorBidi" w:hAnsiTheme="majorBidi" w:cstheme="majorBidi"/>
          <w:color w:val="2E2E2E"/>
          <w:sz w:val="24"/>
          <w:szCs w:val="24"/>
        </w:rPr>
        <w:t>(7)</w:t>
      </w:r>
      <w:r w:rsidR="002A0EE2" w:rsidRPr="00E26155">
        <w:rPr>
          <w:rStyle w:val="f1kat-hl"/>
          <w:rFonts w:asciiTheme="majorBidi" w:hAnsiTheme="majorBidi" w:cstheme="majorBidi"/>
          <w:color w:val="2E2E2E"/>
          <w:sz w:val="24"/>
          <w:szCs w:val="24"/>
        </w:rPr>
        <w:fldChar w:fldCharType="end"/>
      </w:r>
      <w:r w:rsidRPr="00E26155">
        <w:rPr>
          <w:rStyle w:val="f1kat-hl"/>
          <w:rFonts w:asciiTheme="majorBidi" w:hAnsiTheme="majorBidi" w:cstheme="majorBidi"/>
          <w:color w:val="2E2E2E"/>
          <w:sz w:val="24"/>
          <w:szCs w:val="24"/>
        </w:rPr>
        <w:t xml:space="preserve"> </w:t>
      </w:r>
      <w:r w:rsidR="00724555" w:rsidRPr="00E26155">
        <w:rPr>
          <w:rStyle w:val="f1kat-hl"/>
          <w:rFonts w:asciiTheme="majorBidi" w:hAnsiTheme="majorBidi" w:cstheme="majorBidi"/>
          <w:color w:val="2E2E2E"/>
          <w:sz w:val="24"/>
          <w:szCs w:val="24"/>
        </w:rPr>
        <w:t>Show</w:t>
      </w:r>
      <w:r w:rsidRPr="00E26155">
        <w:rPr>
          <w:rStyle w:val="f1kat-hl"/>
          <w:rFonts w:asciiTheme="majorBidi" w:hAnsiTheme="majorBidi" w:cstheme="majorBidi"/>
          <w:color w:val="2E2E2E"/>
          <w:sz w:val="24"/>
          <w:szCs w:val="24"/>
        </w:rPr>
        <w:t xml:space="preserve"> in prospective study of ICU </w:t>
      </w:r>
      <w:r w:rsidR="00724555" w:rsidRPr="00E26155">
        <w:rPr>
          <w:rStyle w:val="f1kat-hl"/>
          <w:rFonts w:asciiTheme="majorBidi" w:hAnsiTheme="majorBidi" w:cstheme="majorBidi"/>
          <w:color w:val="2E2E2E"/>
          <w:sz w:val="24"/>
          <w:szCs w:val="24"/>
        </w:rPr>
        <w:t>patient's</w:t>
      </w:r>
      <w:r w:rsidRPr="00E26155">
        <w:rPr>
          <w:rStyle w:val="f1kat-hl"/>
          <w:rFonts w:asciiTheme="majorBidi" w:hAnsiTheme="majorBidi" w:cstheme="majorBidi"/>
          <w:color w:val="2E2E2E"/>
          <w:sz w:val="24"/>
          <w:szCs w:val="24"/>
        </w:rPr>
        <w:t xml:space="preserve"> shows that 34% of patients </w:t>
      </w:r>
      <w:proofErr w:type="gramStart"/>
      <w:r w:rsidRPr="00E26155">
        <w:rPr>
          <w:rStyle w:val="f1kat-hl"/>
          <w:rFonts w:asciiTheme="majorBidi" w:hAnsiTheme="majorBidi" w:cstheme="majorBidi"/>
          <w:color w:val="2E2E2E"/>
          <w:sz w:val="24"/>
          <w:szCs w:val="24"/>
        </w:rPr>
        <w:t>were diagnosed</w:t>
      </w:r>
      <w:proofErr w:type="gramEnd"/>
      <w:r w:rsidRPr="00E26155">
        <w:rPr>
          <w:rStyle w:val="f1kat-hl"/>
          <w:rFonts w:asciiTheme="majorBidi" w:hAnsiTheme="majorBidi" w:cstheme="majorBidi"/>
          <w:color w:val="2E2E2E"/>
          <w:sz w:val="24"/>
          <w:szCs w:val="24"/>
        </w:rPr>
        <w:t xml:space="preserve"> with RS, and all of those patients had additional decrease of phosphate levels during their ICU stay. </w:t>
      </w:r>
    </w:p>
    <w:p w:rsidR="001B64A0" w:rsidRPr="00E26155" w:rsidRDefault="001B64A0" w:rsidP="00E26155">
      <w:pPr>
        <w:bidi w:val="0"/>
        <w:spacing w:line="360" w:lineRule="auto"/>
        <w:ind w:firstLine="720"/>
        <w:rPr>
          <w:rFonts w:asciiTheme="majorBidi" w:hAnsiTheme="majorBidi" w:cstheme="majorBidi"/>
          <w:color w:val="2E2E2E"/>
          <w:sz w:val="24"/>
          <w:szCs w:val="24"/>
        </w:rPr>
      </w:pPr>
      <w:r w:rsidRPr="00E26155">
        <w:rPr>
          <w:rStyle w:val="f1kat-hl"/>
          <w:rFonts w:asciiTheme="majorBidi" w:hAnsiTheme="majorBidi" w:cstheme="majorBidi"/>
          <w:color w:val="2E2E2E"/>
          <w:sz w:val="24"/>
          <w:szCs w:val="24"/>
        </w:rPr>
        <w:t xml:space="preserve">Other metabolic irregularity blood tests are observed, in the present study results, and defines as part of RS include hypokalemia, hypomagnesaemia, and hypocalcemia these results are similar to other studies </w:t>
      </w:r>
      <w:r w:rsidR="00724555" w:rsidRPr="00E26155">
        <w:rPr>
          <w:rStyle w:val="f1kat-hl"/>
          <w:rFonts w:asciiTheme="majorBidi" w:hAnsiTheme="majorBidi" w:cstheme="majorBidi"/>
          <w:color w:val="2E2E2E"/>
          <w:sz w:val="24"/>
          <w:szCs w:val="24"/>
        </w:rPr>
        <w:fldChar w:fldCharType="begin"/>
      </w:r>
      <w:r w:rsidR="00724555" w:rsidRPr="00E26155">
        <w:rPr>
          <w:rStyle w:val="f1kat-hl"/>
          <w:rFonts w:asciiTheme="majorBidi" w:hAnsiTheme="majorBidi" w:cstheme="majorBidi"/>
          <w:color w:val="2E2E2E"/>
          <w:sz w:val="24"/>
          <w:szCs w:val="24"/>
        </w:rPr>
        <w: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reserved."},{"title":"Death resulting from overzealous total parenteral nutrition: the refeeding syndrome revisited.","id":"7455842","page":"393-399","type":"article-journal","volume":"34","issue":"3","author":[{"family":"Weinsier","given":"R L"},{"family":"Krumdieck","given":"C L"}],"issued":{"date-parts":[["1981","3"]]},"container-title":"The American Journal of Clinical Nutrition","container-title-short":"Am. J. Clin. Nutr.","journalAbbreviation":"Am. J. Clin. Nutr.","DOI":"10.1093/ajcn/34.3.393","PMID":"6782855","citation-label":"7455842","Abstract":"Although cachectic patients are relatively well adapted to their calorically deprived state, they are prone to acute metabolic imbalances when infused with hypertonic solutions of dextrose and amino acids. Of particular concern is hypophosphatemia and its associated disorders of cardiac, pulmonary, hematological, and neuromuscular functions. This report describes two chronically malnourished but stable patients who were given aggressive total parenteral nutrition support, which was rapidly followed by acute cardiopulmonary decompensation associated with severe hypophosphatemia and other metabolic abnormalities. Despite attempts at correction, progressive multiple systems failure led to death. In light of the high prevalence of hospital malnutrition and the ready availability of total parenteral nutrition, attention is brought to these examples of how overzealous nutrition repletion can paradoxically precipitate deterioration in clinical status.","CleanAbstract":"Although cachectic patients are relatively well adapted to their calorically deprived state, they are prone to acute metabolic imbalances when infused with hypertonic solutions of dextrose and amino acids. Of particular concern is hypophosphatemia and its associated disorders of cardiac, pulmonary, hematological, and neuromuscular functions. This report describes two chronically malnourished but stable patients who were given aggressive total parenteral nutrition support, which was rapidly followed by acute cardiopulmonary decompensation associated with severe hypophosphatemia and other metabolic abnormalities. Despite attempts at correction, progressive multiple systems failure led to death. In light of the high prevalence of hospital malnutrition and the ready availability of total parenteral nutrition, attention is brought to these examples of how overzealous nutrition repletion can paradoxically precipitate deterioration in clinical status."},{"title":"Death resulting from overzealous total parenteral nutrition: the refeeding syndrome revisited.","id":"4662193","page":"166-171","type":"article-journal","volume":"23","issue":"2","author":[{"family":"Miller","given":"Sarah J"}],"issued":{"date-parts":[["2008","5"]]},"container-title":"Nutrition in Clinical Practice","container-title-short":"Nutr. Clin. Pract.","journalAbbreviation":"Nutr. Clin. Pract.","DOI":"10.1177/0884533608314538","PMID":"18390784","citation-label":"4662193","Abstract":"Commentary is provided on the pivotal paper by Weinsier and Krumdieck from 1981 describing 2 patients who developed profound and fatal refeeding syndrome following initiation of aggressive total parenteral nutrition. This classic description was among the first to describe the overwhelming cardiovascular and pulmonary manifestations that can accompany parenteral refeeding with carbohydrate in chronically malnourished patients. The syndrome has also been described with oral and enteral nutrition. One of the hallmarks of the syndrome is hypophosphatemia. Since 1981, dosing schemes for addressing hypophosphatemia have been refined. Other manifestations of the syndrome include other electrolyte abnormalities such as hypokalemia and hypomagnesemia, hyperglycemia, fluid and sodium retention, and neurologic and hematologic complications. Case reports of refeeding syndrome continue to be published, particularly in the anorexia nervosa population. Stressed, critically ill patients may be at risk of refeeding following short periods of fasting; hypophosphatemia is commonly encountered in this situation. It behooves the current nutrition support practitioner to keep in mind the types of patients at risk of refeeding syndrome and to approach refeeding of such patients with caution and careful monitoring.","CleanAbstract":"Commentary is provided on the pivotal paper by Weinsier and Krumdieck from 1981 describing 2 patients who developed profound and fatal refeeding syndrome following initiation of aggressive total parenteral nutrition. This classic description was among the first to describe the overwhelming cardiovascular and pulmonary manifestations that can accompany parenteral refeeding with carbohydrate in chronically malnourished patients. The syndrome has also been described with oral and enteral nutrition. One of the hallmarks of the syndrome is hypophosphatemia. Since 1981, dosing schemes for addressing hypophosphatemia have been refined. Other manifestations of the syndrome include other electrolyte abnormalities such as hypokalemia and hypomagnesemia, hyperglycemia, fluid and sodium retention, and neurologic and hematologic complications. Case reports of refeeding syndrome continue to be published, particularly in the anorexia nervosa population. Stressed, critically ill patients may be at risk of refeeding following short periods of fasting; hypophosphatemia is commonly encountered in this situation. It behooves the current nutrition support practitioner to keep in mind the types of patients at risk of refeeding syndrome and to approach refeeding of such patients with caution and careful monitoring."}]</w:instrText>
      </w:r>
      <w:r w:rsidR="00724555" w:rsidRPr="00E26155">
        <w:rPr>
          <w:rStyle w:val="f1kat-hl"/>
          <w:rFonts w:asciiTheme="majorBidi" w:hAnsiTheme="majorBidi" w:cstheme="majorBidi"/>
          <w:color w:val="2E2E2E"/>
          <w:sz w:val="24"/>
          <w:szCs w:val="24"/>
        </w:rPr>
        <w:fldChar w:fldCharType="separate"/>
      </w:r>
      <w:r w:rsidR="000E5F63" w:rsidRPr="00E26155">
        <w:rPr>
          <w:rStyle w:val="f1kat-hl"/>
          <w:rFonts w:asciiTheme="majorBidi" w:hAnsiTheme="majorBidi" w:cstheme="majorBidi"/>
          <w:color w:val="2E2E2E"/>
          <w:sz w:val="24"/>
          <w:szCs w:val="24"/>
        </w:rPr>
        <w:t>(3,24,25)</w:t>
      </w:r>
      <w:r w:rsidR="00724555" w:rsidRPr="00E26155">
        <w:rPr>
          <w:rStyle w:val="f1kat-hl"/>
          <w:rFonts w:asciiTheme="majorBidi" w:hAnsiTheme="majorBidi" w:cstheme="majorBidi"/>
          <w:color w:val="2E2E2E"/>
          <w:sz w:val="24"/>
          <w:szCs w:val="24"/>
        </w:rPr>
        <w:fldChar w:fldCharType="end"/>
      </w:r>
      <w:r w:rsidRPr="00E26155">
        <w:rPr>
          <w:rStyle w:val="f1kat-hl"/>
          <w:rFonts w:asciiTheme="majorBidi" w:hAnsiTheme="majorBidi" w:cstheme="majorBidi"/>
          <w:color w:val="2E2E2E"/>
          <w:sz w:val="24"/>
          <w:szCs w:val="24"/>
        </w:rPr>
        <w:t xml:space="preserve"> Nonetheless,  the present study results shows that more than half of the nurses do not think that there is a correlation between RS and level of electrolyte levels. </w:t>
      </w:r>
    </w:p>
    <w:p w:rsidR="001B64A0" w:rsidRPr="00E26155" w:rsidRDefault="001B64A0"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 xml:space="preserve">In addition, the present study results show 63.6% think that patients with RS do not need any changes or tuning the maximum amount of calories intake. </w:t>
      </w:r>
      <w:proofErr w:type="spellStart"/>
      <w:r w:rsidRPr="00E26155">
        <w:rPr>
          <w:rFonts w:asciiTheme="majorBidi" w:hAnsiTheme="majorBidi" w:cstheme="majorBidi"/>
          <w:color w:val="2E2E2E"/>
          <w:sz w:val="24"/>
          <w:szCs w:val="24"/>
        </w:rPr>
        <w:t>zaki</w:t>
      </w:r>
      <w:proofErr w:type="spellEnd"/>
      <w:r w:rsidRPr="00E26155">
        <w:rPr>
          <w:rFonts w:asciiTheme="majorBidi" w:hAnsiTheme="majorBidi" w:cstheme="majorBidi"/>
          <w:color w:val="2E2E2E"/>
          <w:sz w:val="24"/>
          <w:szCs w:val="24"/>
        </w:rPr>
        <w:t xml:space="preserve"> et al</w:t>
      </w:r>
      <w:r w:rsidR="000C05CE" w:rsidRPr="00E26155">
        <w:rPr>
          <w:rFonts w:asciiTheme="majorBidi" w:hAnsiTheme="majorBidi" w:cstheme="majorBidi"/>
          <w:color w:val="2E2E2E"/>
          <w:sz w:val="24"/>
          <w:szCs w:val="24"/>
        </w:rPr>
        <w:fldChar w:fldCharType="begin"/>
      </w:r>
      <w:r w:rsidR="000C05CE" w:rsidRPr="00E26155">
        <w:rPr>
          <w:rFonts w:asciiTheme="majorBidi" w:hAnsiTheme="majorBidi" w:cstheme="majorBidi"/>
          <w:color w:val="2E2E2E"/>
          <w:sz w:val="24"/>
          <w:szCs w:val="24"/>
        </w:rPr>
        <w: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w:instrText>
      </w:r>
      <w:r w:rsidR="000C05CE" w:rsidRPr="00E26155">
        <w:rPr>
          <w:rFonts w:asciiTheme="majorBidi" w:hAnsiTheme="majorBidi" w:cstheme="majorBidi"/>
          <w:color w:val="2E2E2E"/>
          <w:sz w:val="24"/>
          <w:szCs w:val="24"/>
        </w:rPr>
        <w:fldChar w:fldCharType="separate"/>
      </w:r>
      <w:r w:rsidR="000E5F63" w:rsidRPr="00E26155">
        <w:rPr>
          <w:rFonts w:asciiTheme="majorBidi" w:hAnsiTheme="majorBidi" w:cstheme="majorBidi"/>
          <w:color w:val="2E2E2E"/>
          <w:sz w:val="24"/>
          <w:szCs w:val="24"/>
        </w:rPr>
        <w:t>(3)</w:t>
      </w:r>
      <w:r w:rsidR="000C05CE" w:rsidRPr="00E26155">
        <w:rPr>
          <w:rFonts w:asciiTheme="majorBidi" w:hAnsiTheme="majorBidi" w:cstheme="majorBidi"/>
          <w:color w:val="2E2E2E"/>
          <w:sz w:val="24"/>
          <w:szCs w:val="24"/>
        </w:rPr>
        <w:fldChar w:fldCharType="end"/>
      </w:r>
      <w:r w:rsidRPr="00E26155">
        <w:rPr>
          <w:rFonts w:asciiTheme="majorBidi" w:hAnsiTheme="majorBidi" w:cstheme="majorBidi"/>
          <w:color w:val="2E2E2E"/>
          <w:sz w:val="24"/>
          <w:szCs w:val="24"/>
        </w:rPr>
        <w:t xml:space="preserve"> shows that around third of the patients that start artificial nutrition developed refeeding hypophosphatemia.</w:t>
      </w:r>
      <w:r w:rsidRPr="00E26155">
        <w:rPr>
          <w:rFonts w:asciiTheme="majorBidi" w:hAnsiTheme="majorBidi" w:cstheme="majorBidi"/>
          <w:sz w:val="24"/>
          <w:szCs w:val="24"/>
        </w:rPr>
        <w:t xml:space="preserve"> Moreover, </w:t>
      </w:r>
      <w:proofErr w:type="spellStart"/>
      <w:r w:rsidRPr="00E26155">
        <w:rPr>
          <w:rFonts w:asciiTheme="majorBidi" w:hAnsiTheme="majorBidi" w:cstheme="majorBidi"/>
          <w:sz w:val="24"/>
          <w:szCs w:val="24"/>
        </w:rPr>
        <w:t>Doig</w:t>
      </w:r>
      <w:proofErr w:type="spellEnd"/>
      <w:r w:rsidRPr="00E26155">
        <w:rPr>
          <w:rFonts w:asciiTheme="majorBidi" w:hAnsiTheme="majorBidi" w:cstheme="majorBidi"/>
          <w:sz w:val="24"/>
          <w:szCs w:val="24"/>
        </w:rPr>
        <w:t xml:space="preserve"> et al</w:t>
      </w:r>
      <w:r w:rsidR="00EA6582" w:rsidRPr="00E26155">
        <w:rPr>
          <w:rFonts w:asciiTheme="majorBidi" w:hAnsiTheme="majorBidi" w:cstheme="majorBidi"/>
          <w:sz w:val="24"/>
          <w:szCs w:val="24"/>
        </w:rPr>
        <w:fldChar w:fldCharType="begin"/>
      </w:r>
      <w:r w:rsidR="00EA6582" w:rsidRPr="00E26155">
        <w:rPr>
          <w:rFonts w:asciiTheme="majorBidi" w:hAnsiTheme="majorBidi" w:cstheme="majorBidi"/>
          <w:sz w:val="24"/>
          <w:szCs w:val="24"/>
        </w:rPr>
        <w:instrText>ADDIN F1000_CSL_CITATION&lt;~#@#~&gt;[{"title":"Intravenous amino acid therapy for kidney function in critically ill patients: a randomized controlled trial.","id":"1969682","page":"1197-1208","type":"article-journal","volume":"41","issue":"7","author":[{"family":"Doig","given":"Gordon S"},{"family":"Simpson","given":"Fiona"},{"family":"Bellomo","given":"Rinaldo"},{"family":"Heighes","given":"Philippa T"},{"family":"Sweetman","given":"Elizabeth A"},{"family":"Chesher","given":"Douglas"},{"family":"Pollock","given":"Carol"},{"family":"Davies","given":"Andrew"},{"family":"Botha","given":"John"},{"family":"Harrigan","given":"Peter"},{"family":"Reade","given":"Michael C"}],"issued":{"date-parts":[["2015","7"]]},"container-title":"Intensive Care Medicine","container-title-short":"Intensive Care Med.","journalAbbreviation":"Intensive Care Med.","DOI":"10.1007/s00134-015-3827-9","PMID":"25925203","citation-label":"1969682","CleanAbstract":"No abstract available"}]</w:instrText>
      </w:r>
      <w:r w:rsidR="00EA6582"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(10)</w:t>
      </w:r>
      <w:r w:rsidR="00EA6582" w:rsidRPr="00E26155">
        <w:rPr>
          <w:rFonts w:asciiTheme="majorBidi" w:hAnsiTheme="majorBidi" w:cstheme="majorBidi"/>
          <w:sz w:val="24"/>
          <w:szCs w:val="24"/>
        </w:rPr>
        <w:fldChar w:fldCharType="end"/>
      </w:r>
      <w:r w:rsidRPr="00E26155">
        <w:rPr>
          <w:rFonts w:asciiTheme="majorBidi" w:hAnsiTheme="majorBidi" w:cstheme="majorBidi"/>
          <w:sz w:val="24"/>
          <w:szCs w:val="24"/>
        </w:rPr>
        <w:t xml:space="preserve"> shows in randomized control trial that restricted caloric intake compare to normal caloric intake in RS critically ill patients significantly reduce complication and mortality rate in ICU. </w:t>
      </w:r>
      <w:r w:rsidRPr="00E26155">
        <w:rPr>
          <w:rFonts w:asciiTheme="majorBidi" w:hAnsiTheme="majorBidi" w:cstheme="majorBidi"/>
          <w:color w:val="1C1E29"/>
          <w:sz w:val="24"/>
          <w:szCs w:val="24"/>
        </w:rPr>
        <w:t>According to the guidelines for ICU patients at nutritional risk healthcare team should monitor their phosphate and electrolyte, correction fluid insufficiency, thiamine additive and also the healthcare team should restrict their feeding</w:t>
      </w:r>
      <w:r w:rsidR="00EA6582" w:rsidRPr="00E26155">
        <w:rPr>
          <w:rFonts w:asciiTheme="majorBidi" w:hAnsiTheme="majorBidi" w:cstheme="majorBidi"/>
          <w:color w:val="1C1E29"/>
          <w:sz w:val="24"/>
          <w:szCs w:val="24"/>
        </w:rPr>
        <w:fldChar w:fldCharType="begin"/>
      </w:r>
      <w:r w:rsidR="00EA6582" w:rsidRPr="00E26155">
        <w:rPr>
          <w:rFonts w:asciiTheme="majorBidi" w:hAnsiTheme="majorBidi" w:cstheme="majorBidi"/>
          <w:color w:val="1C1E29"/>
          <w:sz w:val="24"/>
          <w:szCs w:val="24"/>
        </w:rPr>
        <w:instrText>ADDIN F1000_CSL_CITATION&lt;~#@#~&gt;[{"title":"Introduction to the 2018 ESPEN guidelines on clinical nutrition in the intensive care unit: food for thought and valuable directives for clinicians!.","id":"7447919","type":"article-journal","volume":"22","issue":"2","issued":{"date-parts":[["2019"]]},"container-title":"Current Opinion in Clinical Nutrition &amp; Metabolic Care","container-title-short":"Current Opinion in Clinical Nutrition &amp; Metabolic Care","journalAbbreviation":"Current Opinion in Clinical Nutrition &amp; Metabolic Care","citation-label":"7447919","CleanAbstract":"No abstract available"},{"title":"Guidelines for the provision and assessment of nutrition support therapy in the adult critically ill patient: society of critical care medicine (SCCM) and american society for parenteral and enteral nutrition (A.S.P.E.N.).","id":"2337766","page":"159-211","type":"article-journal","volume":"40","issue":"2","author":[{"family":"McClave","given":"Stephen A"},{"family":"Taylor","given":"Beth E"},{"family":"Martindale","given":"Robert G"},{"family":"Warren","given":"Malissa M"},{"family":"Johnson","given":"Debbie R"},{"family":"Braunschweig","given":"Carol"},{"family":"McCarthy","given":"Mary S"},{"family":"Davanos","given":"Evangelia"},{"family":"Rice","given":"Todd W"},{"family":"Cresci","given":"Gail A"},{"family":"Gervasio","given":"Jane M"},{"family":"Sacks","given":"Gordon S"},{"family":"Roberts","given":"Pamela R"},{"family":"Compher","given":"Charlene"},{"family":"Society of Critical Care Medicine"},{"family":"American Society for Parenteral and Enteral Nutrition"}],"issued":{"date-parts":[["2016","2"]]},"container-title":"Journal of Parenteral and Enteral Nutrition","container-title-short":"JPEN J Parenter Enteral Nutr","journalAbbreviation":"JPEN J Parenter Enteral Nutr","DOI":"10.1177/0148607115621863","PMID":"26773077","citation-label":"2337766","CleanAbstract":"No abstract available"},{"title":"Monitoring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w:instrText>
      </w:r>
      <w:r w:rsidR="00EA6582" w:rsidRPr="00E26155">
        <w:rPr>
          <w:rFonts w:asciiTheme="majorBidi" w:hAnsiTheme="majorBidi" w:cstheme="majorBidi"/>
          <w:color w:val="1C1E29"/>
          <w:sz w:val="24"/>
          <w:szCs w:val="24"/>
        </w:rPr>
        <w:fldChar w:fldCharType="separate"/>
      </w:r>
      <w:r w:rsidR="000E5F63" w:rsidRPr="00E26155">
        <w:rPr>
          <w:rFonts w:asciiTheme="majorBidi" w:hAnsiTheme="majorBidi" w:cstheme="majorBidi"/>
          <w:color w:val="1C1E29"/>
          <w:sz w:val="24"/>
          <w:szCs w:val="24"/>
        </w:rPr>
        <w:t>(5,15,16)</w:t>
      </w:r>
      <w:r w:rsidR="00EA6582" w:rsidRPr="00E26155">
        <w:rPr>
          <w:rFonts w:asciiTheme="majorBidi" w:hAnsiTheme="majorBidi" w:cstheme="majorBidi"/>
          <w:color w:val="1C1E29"/>
          <w:sz w:val="24"/>
          <w:szCs w:val="24"/>
        </w:rPr>
        <w:fldChar w:fldCharType="end"/>
      </w:r>
      <w:r w:rsidRPr="00E26155">
        <w:rPr>
          <w:rFonts w:asciiTheme="majorBidi" w:hAnsiTheme="majorBidi" w:cstheme="majorBidi"/>
          <w:color w:val="1C1E29"/>
          <w:sz w:val="24"/>
          <w:szCs w:val="24"/>
        </w:rPr>
        <w:t xml:space="preserve">. </w:t>
      </w:r>
      <w:r w:rsidRPr="00E26155">
        <w:rPr>
          <w:rFonts w:asciiTheme="majorBidi" w:hAnsiTheme="majorBidi" w:cstheme="majorBidi"/>
          <w:sz w:val="24"/>
          <w:szCs w:val="24"/>
        </w:rPr>
        <w:t xml:space="preserve">In the current </w:t>
      </w:r>
      <w:r w:rsidR="00E631DA" w:rsidRPr="00E26155">
        <w:rPr>
          <w:rFonts w:asciiTheme="majorBidi" w:hAnsiTheme="majorBidi" w:cstheme="majorBidi"/>
          <w:sz w:val="24"/>
          <w:szCs w:val="24"/>
        </w:rPr>
        <w:t>study,</w:t>
      </w:r>
      <w:r w:rsidRPr="00E26155">
        <w:rPr>
          <w:rFonts w:asciiTheme="majorBidi" w:hAnsiTheme="majorBidi" w:cstheme="majorBidi"/>
          <w:sz w:val="24"/>
          <w:szCs w:val="24"/>
        </w:rPr>
        <w:t xml:space="preserve"> results shown no increase of mortality rate in the RH groups. These results are similar to the results obtained in a study by </w:t>
      </w:r>
      <w:proofErr w:type="spellStart"/>
      <w:r w:rsidRPr="00E26155">
        <w:rPr>
          <w:rFonts w:asciiTheme="majorBidi" w:hAnsiTheme="majorBidi" w:cstheme="majorBidi"/>
          <w:sz w:val="24"/>
          <w:szCs w:val="24"/>
        </w:rPr>
        <w:t>Z</w:t>
      </w:r>
      <w:r w:rsidR="00EA6582" w:rsidRPr="00E26155">
        <w:rPr>
          <w:rFonts w:asciiTheme="majorBidi" w:hAnsiTheme="majorBidi" w:cstheme="majorBidi"/>
          <w:sz w:val="24"/>
          <w:szCs w:val="24"/>
        </w:rPr>
        <w:t>eki</w:t>
      </w:r>
      <w:proofErr w:type="spellEnd"/>
      <w:r w:rsidR="00EA6582" w:rsidRPr="00E26155">
        <w:rPr>
          <w:rFonts w:asciiTheme="majorBidi" w:hAnsiTheme="majorBidi" w:cstheme="majorBidi"/>
          <w:sz w:val="24"/>
          <w:szCs w:val="24"/>
        </w:rPr>
        <w:t xml:space="preserve"> et al</w:t>
      </w:r>
      <w:r w:rsidRPr="00E26155">
        <w:rPr>
          <w:rFonts w:asciiTheme="majorBidi" w:hAnsiTheme="majorBidi" w:cstheme="majorBidi"/>
          <w:sz w:val="24"/>
          <w:szCs w:val="24"/>
        </w:rPr>
        <w:t xml:space="preserve"> </w:t>
      </w:r>
      <w:r w:rsidR="00EA6582" w:rsidRPr="00E26155">
        <w:rPr>
          <w:rFonts w:asciiTheme="majorBidi" w:hAnsiTheme="majorBidi" w:cstheme="majorBidi"/>
          <w:sz w:val="24"/>
          <w:szCs w:val="24"/>
        </w:rPr>
        <w:fldChar w:fldCharType="begin"/>
      </w:r>
      <w:r w:rsidR="00EA6582" w:rsidRPr="00E26155">
        <w:rPr>
          <w:rFonts w:asciiTheme="majorBidi" w:hAnsiTheme="majorBidi" w:cstheme="majorBidi"/>
          <w:sz w:val="24"/>
          <w:szCs w:val="24"/>
        </w:rPr>
        <w: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w:instrText>
      </w:r>
      <w:r w:rsidR="00EA6582"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(3)</w:t>
      </w:r>
      <w:r w:rsidR="00EA6582" w:rsidRPr="00E26155">
        <w:rPr>
          <w:rFonts w:asciiTheme="majorBidi" w:hAnsiTheme="majorBidi" w:cstheme="majorBidi"/>
          <w:sz w:val="24"/>
          <w:szCs w:val="24"/>
        </w:rPr>
        <w:fldChar w:fldCharType="end"/>
      </w:r>
      <w:r w:rsidRPr="00E26155">
        <w:rPr>
          <w:rFonts w:asciiTheme="majorBidi" w:hAnsiTheme="majorBidi" w:cstheme="majorBidi"/>
          <w:sz w:val="24"/>
          <w:szCs w:val="24"/>
        </w:rPr>
        <w:t xml:space="preserve">. </w:t>
      </w:r>
      <w:r w:rsidR="00EA6582" w:rsidRPr="00E26155">
        <w:rPr>
          <w:rFonts w:asciiTheme="majorBidi" w:hAnsiTheme="majorBidi" w:cstheme="majorBidi"/>
          <w:sz w:val="24"/>
          <w:szCs w:val="24"/>
        </w:rPr>
        <w:t xml:space="preserve">Which </w:t>
      </w:r>
      <w:r w:rsidRPr="00E26155">
        <w:rPr>
          <w:rFonts w:asciiTheme="majorBidi" w:hAnsiTheme="majorBidi" w:cstheme="majorBidi"/>
          <w:sz w:val="24"/>
          <w:szCs w:val="24"/>
        </w:rPr>
        <w:t xml:space="preserve">concluded that these results are </w:t>
      </w:r>
      <w:r w:rsidR="00E631DA" w:rsidRPr="00E26155">
        <w:rPr>
          <w:rFonts w:asciiTheme="majorBidi" w:hAnsiTheme="majorBidi" w:cstheme="majorBidi"/>
          <w:sz w:val="24"/>
          <w:szCs w:val="24"/>
        </w:rPr>
        <w:t>because</w:t>
      </w:r>
      <w:r w:rsidRPr="00E26155">
        <w:rPr>
          <w:rFonts w:asciiTheme="majorBidi" w:hAnsiTheme="majorBidi" w:cstheme="majorBidi"/>
          <w:sz w:val="24"/>
          <w:szCs w:val="24"/>
        </w:rPr>
        <w:t xml:space="preserve"> there is already many co-morbidities that can cause death in ICU patients, therefore it is hard to distinguish the cause. </w:t>
      </w:r>
    </w:p>
    <w:p w:rsidR="001B64A0" w:rsidRPr="00E26155" w:rsidRDefault="001B64A0"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The results demonstrate that there is a lack of knowledge on the relationships between hypophosphatemia and patients' outcomes. Nurses stated that there is no correlation between HP and length of ICU stay and weening from mechanical ventilation. In prospective cohort study conduct by</w:t>
      </w:r>
      <w:r w:rsidR="00F01108" w:rsidRPr="00E26155">
        <w:rPr>
          <w:rFonts w:asciiTheme="majorBidi" w:hAnsiTheme="majorBidi" w:cstheme="majorBidi"/>
          <w:sz w:val="24"/>
          <w:szCs w:val="24"/>
        </w:rPr>
        <w:t xml:space="preserve"> </w:t>
      </w:r>
      <w:proofErr w:type="spellStart"/>
      <w:r w:rsidR="00F01108" w:rsidRPr="00E26155">
        <w:rPr>
          <w:rFonts w:asciiTheme="majorBidi" w:hAnsiTheme="majorBidi" w:cstheme="majorBidi"/>
          <w:sz w:val="24"/>
          <w:szCs w:val="24"/>
        </w:rPr>
        <w:t>Alsumarain</w:t>
      </w:r>
      <w:proofErr w:type="spellEnd"/>
      <w:r w:rsidR="00F01108" w:rsidRPr="00E26155">
        <w:rPr>
          <w:rFonts w:asciiTheme="majorBidi" w:hAnsiTheme="majorBidi" w:cstheme="majorBidi"/>
          <w:sz w:val="24"/>
          <w:szCs w:val="24"/>
        </w:rPr>
        <w:t xml:space="preserve"> et al</w:t>
      </w:r>
      <w:r w:rsidR="00806890" w:rsidRPr="00E26155">
        <w:rPr>
          <w:rFonts w:asciiTheme="majorBidi" w:hAnsiTheme="majorBidi" w:cstheme="majorBidi"/>
          <w:sz w:val="24"/>
          <w:szCs w:val="24"/>
        </w:rPr>
        <w:t>.</w:t>
      </w:r>
      <w:r w:rsidRPr="00E26155">
        <w:rPr>
          <w:rFonts w:asciiTheme="majorBidi" w:hAnsiTheme="majorBidi" w:cstheme="majorBidi"/>
          <w:sz w:val="24"/>
          <w:szCs w:val="24"/>
        </w:rPr>
        <w:t xml:space="preserve"> </w:t>
      </w:r>
      <w:r w:rsidR="00F01108" w:rsidRPr="00E26155">
        <w:rPr>
          <w:rFonts w:asciiTheme="majorBidi" w:hAnsiTheme="majorBidi" w:cstheme="majorBidi"/>
          <w:sz w:val="24"/>
          <w:szCs w:val="24"/>
        </w:rPr>
        <w:fldChar w:fldCharType="begin"/>
      </w:r>
      <w:r w:rsidR="00F01108" w:rsidRPr="00E26155">
        <w:rPr>
          <w:rFonts w:asciiTheme="majorBidi" w:hAnsiTheme="majorBidi" w:cstheme="majorBidi"/>
          <w:sz w:val="24"/>
          <w:szCs w:val="24"/>
        </w:rPr>
        <w:instrText>ADDIN F1000_CSL_CITATION&lt;~#@#~&gt;[{"title":"Association of hypophosphatemia with failure-to-wean from mechanical ventilation.","id":"4626229","page":"144-148","type":"article-journal","volume":"40","issue":"2","author":[{"family":"Alsumrain","given":"Mohammad H"},{"family":"Jawad","given":"Sami Abdul"},{"family":"Imran","given":"Nashat B"},{"family":"Riar","given":"Sandeep"},{"family":"DeBari","given":"Vincent A"},{"family":"Adelman","given":"Marc"}],"issued":{"date-parts":[["2010"]]},"container-title":"Annals of Clinical and Laboratory Science","container-title-short":"Ann. Clin. Lab. Sci.","journalAbbreviation":"Ann. Clin. Lab. Sci.","PMID":"20421625","citation-label":"4626229","Abstract":"Severe hypophosphatemia is known to be associated with respiratory failure, but there are few studies that specifically examine the relationship between serum phosphorus concentration and failure to wean patients from mechanical ventilation. This study investigated the association between hypophosphatemia and weaning failure in patients in two medical intensive care units (ICU). The study was conducted in a prospectively developed cohort of 66 patients being treated with ventilatory support and in whom 193 weaning trials were attempted. Ultimately, all 66 subjects were successfully weaned. A cross-sectional analysis was conducted on serum phosphorus levels and success or failure to wean the patients from ventilators. At the time of the successful weaning attempts (n = 66), the subjects' serum phosphorus concentrations (mean +/- SD) were 1.18 +/- 0.27 mmol/L, whereas at all failed weaning attempts (n = 127) serum phosphorus concentrations averaged 1.06 +/- 0.31 mmol/L (p = 0.008). Subjects with phosphorus concentrations below the reference interval (RI) in our laboratory (&lt; 0.80 mmol/L) had greater risk for weaning failure compared to subjects with phosphorus concentrations at or above the RI (relative risk = 1.18; 95% confidence interval = 1.06 to 1.32; p = 0.01). Serum calcium concentrations were not significantly different at the time of successful weaning compared to those at failed weaning attempts. This study indicates that there is an association between hypophosphatemia and failure-to-wean from mechanical ventilation in ICU patients on ventilatory support.","CleanAbstract":"Severe hypophosphatemia is known to be associated with respiratory failure, but there are few studies that specifically examine the relationship between serum phosphorus concentration and failure to wean patients from mechanical ventilation. This study investigated the association between hypophosphatemia and weaning failure in patients in two medical intensive care units (ICU). The study was conducted in a prospectively developed cohort of 66 patients being treated with ventilatory support and in whom 193 weaning trials were attempted. Ultimately, all 66 subjects were successfully weaned. A cross-sectional analysis was conducted on serum phosphorus levels and success or failure to wean the patients from ventilators. At the time of the successful weaning attempts (n = 66), the subjects' serum phosphorus concentrations (mean +/- SD) were 1.18 +/- 0.27 mmol/L, whereas at all failed weaning attempts (n = 127) serum phosphorus concentrations averaged 1.06 +/- 0.31 mmol/L (p = 0.008). Subjects with phosphorus concentrations below the reference interval (RI) in our laboratory (&lt; 0.80 mmol/L) had greater risk for weaning failure compared to subjects with phosphorus concentrations at or above the RI (relative risk = 1.18; 95% confidence interval = 1.06 to 1.32; p = 0.01). Serum calcium concentrations were not significantly different at the time of successful weaning compared to those at failed weaning attempts. This study indicates that there is an association between hypophosphatemia and failure-to-wean from mechanical ventilation in ICU patients on ventilatory support."}]</w:instrText>
      </w:r>
      <w:r w:rsidR="00F01108"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(26)</w:t>
      </w:r>
      <w:r w:rsidR="00F01108" w:rsidRPr="00E26155">
        <w:rPr>
          <w:rFonts w:asciiTheme="majorBidi" w:hAnsiTheme="majorBidi" w:cstheme="majorBidi"/>
          <w:sz w:val="24"/>
          <w:szCs w:val="24"/>
        </w:rPr>
        <w:fldChar w:fldCharType="end"/>
      </w:r>
      <w:r w:rsidR="00806890" w:rsidRPr="00E26155">
        <w:rPr>
          <w:rFonts w:asciiTheme="majorBidi" w:hAnsiTheme="majorBidi" w:cstheme="majorBidi"/>
          <w:sz w:val="24"/>
          <w:szCs w:val="24"/>
        </w:rPr>
        <w:t xml:space="preserve"> </w:t>
      </w:r>
      <w:r w:rsidRPr="00E26155">
        <w:rPr>
          <w:rFonts w:asciiTheme="majorBidi" w:hAnsiTheme="majorBidi" w:cstheme="majorBidi"/>
          <w:sz w:val="24"/>
          <w:szCs w:val="24"/>
        </w:rPr>
        <w:t xml:space="preserve">on 66 ICU </w:t>
      </w:r>
      <w:r w:rsidRPr="00E26155">
        <w:rPr>
          <w:rFonts w:asciiTheme="majorBidi" w:hAnsiTheme="majorBidi" w:cstheme="majorBidi"/>
          <w:sz w:val="24"/>
          <w:szCs w:val="24"/>
        </w:rPr>
        <w:lastRenderedPageBreak/>
        <w:t>ventilated patients the results show there is an association between hypophosphatemia and failure-to-wean from mechanical ventilation. HP and other electrolyte deviation.</w:t>
      </w:r>
    </w:p>
    <w:p w:rsidR="001B64A0" w:rsidRPr="00E26155" w:rsidRDefault="001B64A0" w:rsidP="00E26155">
      <w:pPr>
        <w:bidi w:val="0"/>
        <w:spacing w:line="360" w:lineRule="auto"/>
        <w:rPr>
          <w:rFonts w:asciiTheme="majorBidi" w:hAnsiTheme="majorBidi" w:cstheme="majorBidi"/>
          <w:sz w:val="24"/>
          <w:szCs w:val="24"/>
        </w:rPr>
      </w:pPr>
      <w:r w:rsidRPr="00E26155">
        <w:rPr>
          <w:rFonts w:asciiTheme="majorBidi" w:hAnsiTheme="majorBidi" w:cstheme="majorBidi"/>
          <w:sz w:val="24"/>
          <w:szCs w:val="24"/>
        </w:rPr>
        <w:t>Can cause respiratory failure some study provide explanation of each metabolic discombobulation to failure from mechanical ventilation</w:t>
      </w:r>
      <w:r w:rsidR="00806890" w:rsidRPr="00E26155">
        <w:rPr>
          <w:rFonts w:asciiTheme="majorBidi" w:hAnsiTheme="majorBidi" w:cstheme="majorBidi"/>
          <w:sz w:val="24"/>
          <w:szCs w:val="24"/>
        </w:rPr>
        <w:fldChar w:fldCharType="begin"/>
      </w:r>
      <w:r w:rsidR="00806890" w:rsidRPr="00E26155">
        <w:rPr>
          <w:rFonts w:asciiTheme="majorBidi" w:hAnsiTheme="majorBidi" w:cstheme="majorBidi"/>
          <w:sz w:val="24"/>
          <w:szCs w:val="24"/>
        </w:rPr>
        <w:instrText>ADDIN F1000_CSL_CITATION&lt;~#@#~&gt;[{"title":"Weaning from mechanical ventilation.","id":"1169289","page":"1033-1056","type":"article-journal","volume":"29","issue":"5","author":[{"family":"Boles","given":"J M"},{"family":"Bion","given":"J"},{"family":"Connors","given":"A"},{"family":"Herridge","given":"M"},{"family":"Marsh","given":"B"},{"family":"Melot","given":"C"},{"family":"Pearl","given":"R"},{"family":"Silverman","given":"H"},{"family":"Stanchina","given":"M"},{"family":"Vieillard-Baron","given":"A"},{"family":"Welte","given":"T"}],"issued":{"date-parts":[["2007","5","1"]]},"container-title":"The European Respiratory Journal","container-title-short":"Eur. Respir. J.","journalAbbreviation":"Eur. Respir. J.","DOI":"10.1183/09031936.00010206","PMID":"17470624","citation-label":"1169289","Abstract":"Weaning covers the entire process of liberating the patient from mechanical support and from the endotracheal tube. Many controversial questions remain concerning the best methods for conducting this process. An International Consensus Conference was held in April 2005 to provide recommendations regarding the management of this process. An 11-member international jury answered five pre-defined questions. 1) What is known about the epidemiology of weaning problems? 2) What is the pathophysiology of weaning failure? 3) What is the usual process of initial weaning from the ventilator? 4) Is there a role for different ventilator modes in more difficult weaning? 5) How should patients with prolonged weaning failure be managed? The main recommendations were as follows. 1) Patients should be categorised into three groups based on the difficulty and duration of the weaning process. 2) Weaning should be considered as early as possible. 3) A spontaneous breathing trial is the major diagnostic test to determine whether patients can be successfully extubated. 4) The initial trial should last 30 min and consist of either T-tube breathing or low levels of pressure support. 5) Pressure support or assist-control ventilation modes should be favoured in patients failing an initial trial/trials. 6) Noninvasive ventilation techniques should be considered in selected patients to shorten the duration of intubation but should not be routinely used as a tool for extubation failure.","CleanAbstract":"Weaning covers the entire process of liberating the patient from mechanical support and from the endotracheal tube. Many controversial questions remain concerning the best methods for conducting this process. An International Consensus Conference was held in April 2005 to provide recommendations regarding the management of this process. An 11-member international jury answered five pre-defined questions. 1) What is known about the epidemiology of weaning problems? 2) What is the pathophysiology of weaning failure? 3) What is the usual process of initial weaning from the ventilator? 4) Is there a role for different ventilator modes in more difficult weaning? 5) How should patients with prolonged weaning failure be managed? The main recommendations were as follows. 1) Patients should be categorised into three groups based on the difficulty and duration of the weaning process. 2) Weaning should be considered as early as possible. 3) A spontaneous breathing trial is the major diagnostic test to determine whether patients can be successfully extubated. 4) The initial trial should last 30 min and consist of either T-tube breathing or low levels of pressure support. 5) Pressure support or assist-control ventilation modes should be favoured in patients failing an initial trial/trials. 6) Noninvasive ventilation techniques should be considered in selected patients to shorten the duration of intubation but should not be routinely used as a tool for extubation failure."}]</w:instrText>
      </w:r>
      <w:r w:rsidR="00806890"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(27)</w:t>
      </w:r>
      <w:r w:rsidR="00806890" w:rsidRPr="00E26155">
        <w:rPr>
          <w:rFonts w:asciiTheme="majorBidi" w:hAnsiTheme="majorBidi" w:cstheme="majorBidi"/>
          <w:sz w:val="24"/>
          <w:szCs w:val="24"/>
        </w:rPr>
        <w:fldChar w:fldCharType="end"/>
      </w:r>
      <w:r w:rsidRPr="00E26155">
        <w:rPr>
          <w:rFonts w:asciiTheme="majorBidi" w:hAnsiTheme="majorBidi" w:cstheme="majorBidi"/>
          <w:sz w:val="24"/>
          <w:szCs w:val="24"/>
        </w:rPr>
        <w:t xml:space="preserve"> </w:t>
      </w:r>
      <w:r w:rsidR="00806890" w:rsidRPr="00E26155">
        <w:rPr>
          <w:rFonts w:asciiTheme="majorBidi" w:hAnsiTheme="majorBidi" w:cstheme="majorBidi"/>
          <w:sz w:val="24"/>
          <w:szCs w:val="24"/>
        </w:rPr>
        <w:t>.</w:t>
      </w:r>
      <w:r w:rsidRPr="00E26155">
        <w:rPr>
          <w:rFonts w:asciiTheme="majorBidi" w:hAnsiTheme="majorBidi" w:cstheme="majorBidi"/>
          <w:sz w:val="24"/>
          <w:szCs w:val="24"/>
        </w:rPr>
        <w:t xml:space="preserve"> In study, demonstrate by </w:t>
      </w:r>
      <w:proofErr w:type="spellStart"/>
      <w:r w:rsidRPr="00E26155">
        <w:rPr>
          <w:rFonts w:asciiTheme="majorBidi" w:hAnsiTheme="majorBidi" w:cstheme="majorBidi"/>
          <w:sz w:val="24"/>
          <w:szCs w:val="24"/>
        </w:rPr>
        <w:t>Coşkun</w:t>
      </w:r>
      <w:proofErr w:type="spellEnd"/>
      <w:r w:rsidR="008A3801" w:rsidRPr="00E26155">
        <w:rPr>
          <w:rFonts w:asciiTheme="majorBidi" w:hAnsiTheme="majorBidi" w:cstheme="majorBidi"/>
          <w:sz w:val="24"/>
          <w:szCs w:val="24"/>
        </w:rPr>
        <w:t xml:space="preserve"> et al</w:t>
      </w:r>
      <w:r w:rsidR="008A3801" w:rsidRPr="00E26155">
        <w:rPr>
          <w:rFonts w:asciiTheme="majorBidi" w:hAnsiTheme="majorBidi" w:cstheme="majorBidi"/>
          <w:sz w:val="24"/>
          <w:szCs w:val="24"/>
        </w:rPr>
        <w:fldChar w:fldCharType="begin"/>
      </w:r>
      <w:r w:rsidR="008A3801" w:rsidRPr="00E26155">
        <w:rPr>
          <w:rFonts w:asciiTheme="majorBidi" w:hAnsiTheme="majorBidi" w:cstheme="majorBidi"/>
          <w:sz w:val="24"/>
          <w:szCs w:val="24"/>
        </w:rPr>
        <w:instrText>ADDIN F1000_CSL_CITATION&lt;~#@#~&gt;[{"title":"Refeeding hypophosphatemia: a potentially fatal danger in the intensive care unit.","id":"6562155","page":"369-374","type":"article-journal","volume":"44","issue":"3","author":[{"family":"Coşkun","given":"Ramazan"},{"family":"Gündoğan","given":"Kürşat"},{"family":"Baldane","given":"Süleyman"},{"family":"Güven","given":"Muhammet"},{"family":"Sungur","given":"Murat"}],"issued":{"date-parts":[["2014"]]},"container-title":"Turkish journal of medical sciences","container-title-short":"Turk. J. Med. Sci.","journalAbbreviation":"Turk. J. Med. Sci.","DOI":"10.3906/sag-1211-49","PMID":"25558635","citation-label":"6562155","Abstract":"&lt;strong&gt;AIM:&lt;/strong&gt; To determine the overall and comparative incidence of refeeding hypophosphatemia (RH) between enteral and parenteral nutrition in general adult intensive care unit (ICU) patients.\n&lt;br&gt;\n&lt;br&gt;\n&lt;strong&gt;MATERIALS AND METHODS:&lt;/strong&gt; This study was performed as a retrospective analysis. A total of 117 patients who received enteral and parenteral nutrition were included in the study. Demographic characteristics, type of nutrition, daily energy intake, and serum phosphorus levels before and after the initiation of the nutrition were recorded for 7 days.\n&lt;br&gt;\n&lt;br&gt;\n&lt;strong&gt;RESULTS:&lt;/strong&gt; The mean age of the patients was 65.8 ± 16.7 years. RH was found in 61 patients (52.14%). There was no significant difference in RH with regard to nutrition type (P = 0.756). The duration of the ICU stay was longer in the patients with RH compared with the patients without RH [median: 12 (3-68) and 8.5 (3-41) days, respectively; P = 0.025]. The mortality rate was higher in patients with RH compared with patients without RH (P = 0.037).\n&lt;br&gt;\n&lt;br&gt;\n&lt;strong&gt;CONCLUSION:&lt;/strong&gt; The incidence of RH was quite high in our medical ICU. The mortality rate and the duration of ICU stay were higher in the patients with RH than those without RH.","CleanAbstract":"AIM: To determine the overall and comparative incidence of refeeding hypophosphatemia (RH) between enteral and parenteral nutrition in general adult intensive care unit (ICU) patients.\n\n\nMATERIALS AND METHODS: This study was performed as a retrospective analysis. A total of 117 patients who received enteral and parenteral nutrition were included in the study. Demographic characteristics, type of nutrition, daily energy intake, and serum phosphorus levels before and after the initiation of the nutrition were recorded for 7 days.\n\n\nRESULTS: The mean age of the patients was 65.8 ± 16.7 years. RH was found in 61 patients (52.14%). There was no significant difference in RH with regard to nutrition type (P = 0.756). The duration of the ICU stay was longer in the patients with RH compared with the patients without RH [median: 12 (3-68) and 8.5 (3-41) days, respectively; P = 0.025]. The mortality rate was higher in patients with RH compared with patients without RH (P = 0.037).\n\n\nCONCLUSION: The incidence of RH was quite high in our medical ICU. The mortality rate and the duration of ICU stay were higher in the patients with RH than those without RH."}]</w:instrText>
      </w:r>
      <w:r w:rsidR="008A3801"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(28)</w:t>
      </w:r>
      <w:r w:rsidR="008A3801" w:rsidRPr="00E26155">
        <w:rPr>
          <w:rFonts w:asciiTheme="majorBidi" w:hAnsiTheme="majorBidi" w:cstheme="majorBidi"/>
          <w:sz w:val="24"/>
          <w:szCs w:val="24"/>
        </w:rPr>
        <w:fldChar w:fldCharType="end"/>
      </w:r>
      <w:r w:rsidR="008A3801" w:rsidRPr="00E26155">
        <w:rPr>
          <w:rFonts w:asciiTheme="majorBidi" w:hAnsiTheme="majorBidi" w:cstheme="majorBidi"/>
          <w:sz w:val="24"/>
          <w:szCs w:val="24"/>
        </w:rPr>
        <w:t>.</w:t>
      </w:r>
      <w:r w:rsidRPr="00E26155">
        <w:rPr>
          <w:rFonts w:asciiTheme="majorBidi" w:hAnsiTheme="majorBidi" w:cstheme="majorBidi"/>
          <w:sz w:val="24"/>
          <w:szCs w:val="24"/>
        </w:rPr>
        <w:t xml:space="preserve"> </w:t>
      </w:r>
      <w:proofErr w:type="gramStart"/>
      <w:r w:rsidRPr="00E26155">
        <w:rPr>
          <w:rFonts w:asciiTheme="majorBidi" w:hAnsiTheme="majorBidi" w:cstheme="majorBidi"/>
          <w:sz w:val="24"/>
          <w:szCs w:val="24"/>
        </w:rPr>
        <w:t>refeeding</w:t>
      </w:r>
      <w:proofErr w:type="gramEnd"/>
      <w:r w:rsidRPr="00E26155">
        <w:rPr>
          <w:rFonts w:asciiTheme="majorBidi" w:hAnsiTheme="majorBidi" w:cstheme="majorBidi"/>
          <w:sz w:val="24"/>
          <w:szCs w:val="24"/>
        </w:rPr>
        <w:t xml:space="preserve"> hypophosphatemia found in 52.14% from 117 ICU patients. The mortality rate was higher and ICU length of stay was longer in the patients with refeeding hypophosphatemia.</w:t>
      </w:r>
    </w:p>
    <w:p w:rsidR="001B64A0" w:rsidRPr="00E26155" w:rsidRDefault="001B64A0"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 xml:space="preserve">The results show that there is a relationship between the level of knowledge of ICU nurses and behavior in preventing and treating HP and RS. The results show that as the nurses' knowledge level was higher, the more the nurses applied according to the current nutrition guidelines. Up to date, the role of nurses in nutrition is suboptimal. Many factors affecting nurses' nutrition therapy knowledge and responsivity in the ICU, including lack of nutrition education, lack of interprofessional collaborative practice, interprofessional team based care </w:t>
      </w:r>
      <w:proofErr w:type="spellStart"/>
      <w:r w:rsidRPr="00E26155">
        <w:rPr>
          <w:rFonts w:asciiTheme="majorBidi" w:hAnsiTheme="majorBidi" w:cstheme="majorBidi"/>
          <w:sz w:val="24"/>
          <w:szCs w:val="24"/>
        </w:rPr>
        <w:t>etc</w:t>
      </w:r>
      <w:proofErr w:type="spellEnd"/>
      <w:r w:rsidR="000603B1" w:rsidRPr="00E26155">
        <w:rPr>
          <w:rFonts w:asciiTheme="majorBidi" w:hAnsiTheme="majorBidi" w:cstheme="majorBidi"/>
          <w:sz w:val="24"/>
          <w:szCs w:val="24"/>
        </w:rPr>
        <w:t xml:space="preserve"> </w:t>
      </w:r>
      <w:r w:rsidR="000603B1" w:rsidRPr="00E26155">
        <w:rPr>
          <w:rFonts w:asciiTheme="majorBidi" w:hAnsiTheme="majorBidi" w:cstheme="majorBidi"/>
          <w:sz w:val="24"/>
          <w:szCs w:val="24"/>
        </w:rPr>
        <w:fldChar w:fldCharType="begin"/>
      </w:r>
      <w:r w:rsidR="000603B1" w:rsidRPr="00E26155">
        <w:rPr>
          <w:rFonts w:asciiTheme="majorBidi" w:hAnsiTheme="majorBidi" w:cstheme="majorBidi"/>
          <w:sz w:val="24"/>
          <w:szCs w:val="24"/>
        </w:rPr>
        <w:instrText>ADDIN F1000_CSL_CITATION&lt;~#@#~&gt;[{"title":"Optimizing nutrition in intensive care units: empowering critical care nurses to be effective agents of change.","id":"7452688","page":"186-194","type":"article-journal","volume":"21","issue":"3","author":[{"family":"Marshall","given":"Andrea P"},{"family":"Cahill","given":"Naomi E"},{"family":"Gramlich","given":"Leah"},{"family":"MacDonald","given":"Gwynne"},{"family":"Alberda","given":"Cathy"},{"family":"Heyland","given":"Daren K"}],"issued":{"date-parts":[["2012","5"]]},"container-title":"American Journal of Critical Care","container-title-short":"Am. J. Crit. Care","journalAbbreviation":"Am. J. Crit. Care","DOI":"10.4037/ajcc2012697","PMID":"22549575","citation-label":"7452688","Abstract":"Observational studies have consistently revealed wide variation in nutritional practices across intensive care units and indicated that the provision of adequate nutrition to critically ill patients is suboptimal. To date, the potential role of critical care nurses in implementing nutritional guideline recommendations and improving nutritional therapy has received little consideration. Factors that influence nurses' nutritional practices include the lack of guidelines or conflicting evidence-based recommendations pertaining to nurses' practice, strategies for implementing guidelines that are not tailored to barriers nurses face when feeding patients, strategies to communicate best evidence that do not capitalize on nurses' preference for seeking information through social interaction, prioritization of nutrition in initial and continuing nursing education, and a lack of interdisciplinary team collaboration in the intensive care unit when decisions on how to feed patients are made. Future research and quality improvement strategies are required to correct these deficits and successfully empower nurses to become nutritional champions at the bedside. Using nurses as agents of change will help standardize nutritional practices and ensure that critically ill patients are optimally fed.","CleanAbstract":"Observational studies have consistently revealed wide variation in nutritional practices across intensive care units and indicated that the provision of adequate nutrition to critically ill patients is suboptimal. To date, the potential role of critical care nurses in implementing nutritional guideline recommendations and improving nutritional therapy has received little consideration. Factors that influence nurses' nutritional practices include the lack of guidelines or conflicting evidence-based recommendations pertaining to nurses' practice, strategies for implementing guidelines that are not tailored to barriers nurses face when feeding patients, strategies to communicate best evidence that do not capitalize on nurses' preference for seeking information through social interaction, prioritization of nutrition in initial and continuing nursing education, and a lack of interdisciplinary team collaboration in the intensive care unit when decisions on how to feed patients are made. Future research and quality improvement strategies are required to correct these deficits and successfully empower nurses to become nutritional champions at the bedside. Using nurses as agents of change will help standardize nutritional practices and ensure that critically ill patients are optimally fed."}]</w:instrText>
      </w:r>
      <w:r w:rsidR="000603B1"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(29)</w:t>
      </w:r>
      <w:r w:rsidR="000603B1" w:rsidRPr="00E26155">
        <w:rPr>
          <w:rFonts w:asciiTheme="majorBidi" w:hAnsiTheme="majorBidi" w:cstheme="majorBidi"/>
          <w:sz w:val="24"/>
          <w:szCs w:val="24"/>
        </w:rPr>
        <w:fldChar w:fldCharType="end"/>
      </w:r>
      <w:r w:rsidRPr="00E26155">
        <w:rPr>
          <w:rFonts w:asciiTheme="majorBidi" w:hAnsiTheme="majorBidi" w:cstheme="majorBidi"/>
          <w:sz w:val="24"/>
          <w:szCs w:val="24"/>
        </w:rPr>
        <w:t>. Studies</w:t>
      </w:r>
      <w:r w:rsidR="000603B1" w:rsidRPr="00E26155">
        <w:rPr>
          <w:rFonts w:asciiTheme="majorBidi" w:hAnsiTheme="majorBidi" w:cstheme="majorBidi"/>
          <w:sz w:val="24"/>
          <w:szCs w:val="24"/>
        </w:rPr>
        <w:fldChar w:fldCharType="begin"/>
      </w:r>
      <w:r w:rsidR="000603B1" w:rsidRPr="00E26155">
        <w:rPr>
          <w:rFonts w:asciiTheme="majorBidi" w:hAnsiTheme="majorBidi" w:cstheme="majorBidi"/>
          <w:sz w:val="24"/>
          <w:szCs w:val="24"/>
        </w:rPr>
        <w:instrText>ADDIN F1000_CSL_CITATION&lt;~#@#~&gt;[{"title":"Nutrition support in the critical care setting: current practice in canadian ICUs--opportunities for improvement?","id":"7454848","page":"74-83","type":"article-journal","volume":"27","issue":"1","author":[{"family":"Heyland","given":"Daren K"},{"family":"Schroter-Noppe","given":"Deborah"},{"family":"Drover","given":"John W"},{"family":"Jain","given":"Minto"},{"family":"Keefe","given":"Laurie"},{"family":"Dhaliwal","given":"Rupinder"},{"family":"Day","given":"Andrew"}],"issued":{"date-parts":[["2003","2"]]},"container-title":"Journal of Parenteral and Enteral Nutrition","container-title-short":"JPEN J Parenter Enteral Nutr","journalAbbreviation":"JPEN J Parenter Enteral Nutr","DOI":"10.1177/014860710302700174","PMID":"12549603","citation-label":"7454848","Abstract":"&lt;strong&gt;BACKGROUND:&lt;/strong&gt; The purpose of this project was to describe current nutrition support practice in the critical care setting and to identify interventions to target for quality improvement initiatives.&lt;br&gt;&lt;br&gt;&lt;strong&gt;METHODS:&lt;/strong&gt; We conducted a cross-sectional national survey of dietitians working in intensive care units (ICUs) across Canada to document various aspects of nutrition support practice.&lt;br&gt;&lt;br&gt;&lt;strong&gt;RESULTS:&lt;/strong&gt; Of the 79 dietitians sent study materials, 66 responded (83%). Sixteen of 66 sites (24.2%) reported the presence of a nutrition support team, and 35 of 66 (53%) used a standard enteral feeding protocol. Dietitians retrospectively abstracted data from charts of all patients in the ICU on April 18, 2001. Of 702 patients, 313 (44.6%) received enteral nutrition only, 50 (7.1%) received parenteral nutrition only, 60 (8.5%) received both, and 279 (39.7%) received no form of nutrition support. Enteral nutrition was initiated on 1.6 days (median) after admission to ICU; 10.7% of patients were initiated on day 1. Of those receiving any form of nutrition support, on average, patients received 58% of their prescribed amounts of calories and protein over the first 12 days in the ICU. Of all days on enteral feeds, patients received feeds into the small bowel on 381 of 2321 (16.4%) days. The mean head of the bed elevation for all patients was 30 degrees. Controlling for differences in patient characteristics, site factors contributing the most successful application of nutrition support included the amount of funded dietitians per ICU bed, size of ICU, and the fact that the ICU was located in an academic setting.&lt;br&gt;&lt;br&gt;&lt;strong&gt;CONCLUSIONS:&lt;/strong&gt; A significant number of critically ill patients did not receive any form of nutrition support for the study period. Those that did receive nutrition support did not meet their prescribed energy or protein needs, especially earlier in the course of their illness. Significant opportunities to improve provision of nutrition support to critically ill patients exist.","CleanAbstract":"BACKGROUND: The purpose of this project was to describe current nutrition support practice in the critical care setting and to identify interventions to target for quality improvement initiatives.METHODS: We conducted a cross-sectional national survey of dietitians working in intensive care units (ICUs) across Canada to document various aspects of nutrition support practice.RESULTS: Of the 79 dietitians sent study materials, 66 responded (83%). Sixteen of 66 sites (24.2%) reported the presence of a nutrition support team, and 35 of 66 (53%) used a standard enteral feeding protocol. Dietitians retrospectively abstracted data from charts of all patients in the ICU on April 18, 2001. Of 702 patients, 313 (44.6%) received enteral nutrition only, 50 (7.1%) received parenteral nutrition only, 60 (8.5%) received both, and 279 (39.7%) received no form of nutrition support. Enteral nutrition was initiated on 1.6 days (median) after admission to ICU; 10.7% of patients were initiated on day 1. Of those receiving any form of nutrition support, on average, patients received 58% of their prescribed amounts of calories and protein over the first 12 days in the ICU. Of all days on enteral feeds, patients received feeds into the small bowel on 381 of 2321 (16.4%) days. The mean head of the bed elevation for all patients was 30 degrees. Controlling for differences in patient characteristics, site factors contributing the most successful application of nutrition support included the amount of funded dietitians per ICU bed, size of ICU, and the fact that the ICU was located in an academic setting.CONCLUSIONS: A significant number of critically ill patients did not receive any form of nutrition support for the study period. Those that did receive nutrition support did not meet their prescribed energy or protein needs, especially earlier in the course of their illness. Significant opportunities to improve provision of nutrition support to critically ill patients exist."},{"title":"NutritionDay ICU: A 7 year worldwide prevalence study of nutrition practice in intensive care.","id":"7454845","page":"1122-1129","type":"article-journal","volume":"36","issue":"4","author":[{"family":"Bendavid","given":"Itai"},{"family":"Singer","given":"Pierre"},{"family":"Theilla","given":"Miriam"},{"family":"Themessl-Huber","given":"Michael"},{"family":"Sulz","given":"Isabella"},{"family":"Mouhieddine","given":"Mohamed"},{"family":"Schuh","given":"Christian"},{"family":"Mora","given":"Bruno"},{"family":"Hiesmayr","given":"Michael"}],"issued":{"date-parts":[["2017"]]},"container-title":"Clinical Nutrition","container-title-short":"Clin. Nutr.","journalAbbreviation":"Clin. Nutr.","DOI":"10.1016/j.clnu.2016.07.012","PMID":"27637833","citation-label":"7454845","Abstract":"&lt;strong&gt;INTRODUCTION:&lt;/strong&gt; To determine the nutrition practice in intensive care units and the associated outcome across the world, a yearly 1 day cross sectional audit was performed from 2007 to 2013. The data of this initiative called \"nutritionDay ICU\" were analyzed.&lt;br&gt;&lt;br&gt;&lt;strong&gt;MATERIAL AND METHODS:&lt;/strong&gt; A questionnaire translated in 17 languages was used to determine the unit's characteristics, patient's condition, nutrition condition and therapy as well as outcome. All the patients present in the morning of the 1 day prevalence study were included from 2007 to 2013.&lt;br&gt;&lt;br&gt;&lt;strong&gt;RESULTS:&lt;/strong&gt; 9777 patients from 46 countries and 880 units were included. Their SAPS 2 was median 38 (IQR 27-51), predicted mortality was 30.7% ± 26.9, and their SOFA score 4.5 ± 3.4 with median 4 (IQR 2-7). Administration of calories did not appear to be related to actual or ideal body weight within all BMI groups. Patients with a BMI &lt; 18.5 or &gt;40 received slightly less calories than all other BMI groups. Two third of the patients were either ventilated or were in the ICU for longer than 24 h at nutritionDay. Routes of feeding used were the oral, enteral and parenteral routes. More than 40% of the patients were not fed during the first day. The mean energy administered using enteral route was 1286 ± 663 kcal/day and using parenteral nutrition 1440 ± 652 kcal/day. 60 days mortality was 26.0%.&lt;br&gt;&lt;br&gt;&lt;strong&gt;DISCUSSION:&lt;/strong&gt; This very large collaborative cohort study shows that most of the patients are underfed during according to actual recommendations their ICU stay. Prescribed calories appear to be ordered regardless to the ideal weight of the patient. Nutritional support is slow to start and never reaches the recommended targets. Parenteral nutrition prescription is increasing during the ICU stay but reaching only 20% of the population studied if ICU stay is one week or longer. The nutritional support worldwide does not seem to be guided by weight or disease but more to be standardized and limited to a certain level of calories. These observations are showing the poor observance to guidelines.&lt;br&gt;&lt;br&gt;Copyright © 2016 Elsevier Ltd and European Society for Clinical Nutrition and Metabolism. All rights reserved.","CleanAbstract":"INTRODUCTION: To determine the nutrition practice in intensive care units and the associated outcome across the world, a yearly 1 day cross sectional audit was performed from 2007 to 2013. The data of this initiative called \"nutritionDay ICU\" were analyzed.MATERIAL AND METHODS: A questionnaire translated in 17 languages was used to determine the unit's characteristics, patient's condition, nutrition condition and therapy as well as outcome. All the patients present in the morning of the 1 day prevalence study were included from 2007 to 2013.RESULTS: 9777 patients from 46 countries and 880 units were included. Their SAPS 2 was median 38 (IQR 27-51), predicted mortality was 30.7% ± 26.9, and their SOFA score 4.5 ± 3.4 with median 4 (IQR 2-7). Administration of calories did not appear to be related to actual or ideal body weight within all BMI groups. Patients with a BMI 40 received slightly less calories than all other BMI groups. Two third of the patients were either ventilated or were in the ICU for longer than 24 h at nutritionDay. Routes of feeding used were the oral, enteral and parenteral routes. More than 40% of the patients were not fed during the first day. The mean energy administered using enteral route was 1286 ± 663 kcal/day and using parenteral nutrition 1440 ± 652 kcal/day. 60 days mortality was 26.0%.DISCUSSION: This very large collaborative cohort study shows that most of the patients are underfed during according to actual recommendations their ICU stay. Prescribed calories appear to be ordered regardless to the ideal weight of the patient. Nutritional support is slow to start and never reaches the recommended targets. Parenteral nutrition prescription is increasing during the ICU stay but reaching only 20% of the population studied if ICU stay is one week or longer. The nutritional support worldwide does not seem to be guided by weight or disease but more to be standardized and limited to a certain level of calories. These observations are showing the poor observance to guidelines.Copyright © 2016 Elsevier Ltd and European Society for Clinical Nutrition and Metabolism. All rights reserved."}]</w:instrText>
      </w:r>
      <w:r w:rsidR="000603B1"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(30,31)</w:t>
      </w:r>
      <w:r w:rsidR="000603B1" w:rsidRPr="00E26155">
        <w:rPr>
          <w:rFonts w:asciiTheme="majorBidi" w:hAnsiTheme="majorBidi" w:cstheme="majorBidi"/>
          <w:sz w:val="24"/>
          <w:szCs w:val="24"/>
        </w:rPr>
        <w:fldChar w:fldCharType="end"/>
      </w:r>
      <w:r w:rsidRPr="00E26155">
        <w:rPr>
          <w:rFonts w:asciiTheme="majorBidi" w:hAnsiTheme="majorBidi" w:cstheme="majorBidi"/>
          <w:sz w:val="24"/>
          <w:szCs w:val="24"/>
        </w:rPr>
        <w:t xml:space="preserve"> examining ICU patients nutrition therapy for a period of time, show that most of the ICU patients are underfed during their ICU stay. Nutritional treatment start quite slow and not in any way reaches the fulfilled caloric targets. The results of the present study demonstrate that there is a direct effect of the nurses' knowledge to their following current nutrition guidelines, which eventually will improve outcomes. These </w:t>
      </w:r>
      <w:r w:rsidR="00C76670" w:rsidRPr="00E26155">
        <w:rPr>
          <w:rFonts w:asciiTheme="majorBidi" w:hAnsiTheme="majorBidi" w:cstheme="majorBidi"/>
          <w:sz w:val="24"/>
          <w:szCs w:val="24"/>
        </w:rPr>
        <w:t>results</w:t>
      </w:r>
      <w:r w:rsidRPr="00E26155">
        <w:rPr>
          <w:rFonts w:asciiTheme="majorBidi" w:hAnsiTheme="majorBidi" w:cstheme="majorBidi"/>
          <w:sz w:val="24"/>
          <w:szCs w:val="24"/>
        </w:rPr>
        <w:t xml:space="preserve"> indicate that if the nurses received more education, and have positive attitude towards nutrition, it may reduce the incidence of malnutrition in ICU and hospitals. In light of the above, we need develop an interprofessional approach to implementations nutrition therapy to improve quality of care in ICU patients.  </w:t>
      </w:r>
    </w:p>
    <w:p w:rsidR="00C20717" w:rsidRPr="00E26155" w:rsidRDefault="00C20717"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 xml:space="preserve">In conclusion, the present study demonstrate the importance of monitoring the patients levels of phosphate and treating them accordingly. HP and RS can result in more complications such as length of hospitalization and length of mechanical ventilation. In addition, there is correlation between the level of nurses' knowledge and there approach toward current nutrition guidelines, the higher the nurses' knowledge, the more he/she will follow the current nutrition guidelines. This can be crucial to patients' outcomes and ultimately save the patients life. Therefore, it is essential to educate the nurses more on their role of ICU nutrition. </w:t>
      </w:r>
    </w:p>
    <w:p w:rsidR="00C20717" w:rsidRPr="00E26155" w:rsidRDefault="00C20717" w:rsidP="00E26155">
      <w:pPr>
        <w:bidi w:val="0"/>
        <w:spacing w:line="360" w:lineRule="auto"/>
        <w:ind w:firstLine="720"/>
        <w:rPr>
          <w:rFonts w:asciiTheme="majorBidi" w:hAnsiTheme="majorBidi" w:cstheme="majorBidi"/>
          <w:b/>
          <w:bCs/>
          <w:sz w:val="24"/>
          <w:szCs w:val="24"/>
        </w:rPr>
      </w:pPr>
      <w:r w:rsidRPr="00E26155">
        <w:rPr>
          <w:rFonts w:asciiTheme="majorBidi" w:hAnsiTheme="majorBidi" w:cstheme="majorBidi"/>
          <w:b/>
          <w:bCs/>
          <w:sz w:val="24"/>
          <w:szCs w:val="24"/>
        </w:rPr>
        <w:t xml:space="preserve">Limitations </w:t>
      </w:r>
    </w:p>
    <w:p w:rsidR="00457619" w:rsidRPr="00E26155" w:rsidRDefault="00457619"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lastRenderedPageBreak/>
        <w:t xml:space="preserve">Our convenience sample might be unique in their perceptions of a topic, since all participants </w:t>
      </w:r>
      <w:proofErr w:type="gramStart"/>
      <w:r w:rsidRPr="00E26155">
        <w:rPr>
          <w:rFonts w:asciiTheme="majorBidi" w:hAnsiTheme="majorBidi" w:cstheme="majorBidi"/>
          <w:sz w:val="24"/>
          <w:szCs w:val="24"/>
        </w:rPr>
        <w:t>were selected</w:t>
      </w:r>
      <w:proofErr w:type="gramEnd"/>
      <w:r w:rsidRPr="00E26155">
        <w:rPr>
          <w:rFonts w:asciiTheme="majorBidi" w:hAnsiTheme="majorBidi" w:cstheme="majorBidi"/>
          <w:sz w:val="24"/>
          <w:szCs w:val="24"/>
        </w:rPr>
        <w:t xml:space="preserve"> from the same ICU. Additionally, the accuracy of the questionnaire could be adversely affected by the nurses' high workload that limited there time to answer the questionnaire. A further issue concerns is that the patients' data </w:t>
      </w:r>
      <w:proofErr w:type="gramStart"/>
      <w:r w:rsidRPr="00E26155">
        <w:rPr>
          <w:rFonts w:asciiTheme="majorBidi" w:hAnsiTheme="majorBidi" w:cstheme="majorBidi"/>
          <w:sz w:val="24"/>
          <w:szCs w:val="24"/>
        </w:rPr>
        <w:t>was collected</w:t>
      </w:r>
      <w:proofErr w:type="gramEnd"/>
      <w:r w:rsidRPr="00E26155">
        <w:rPr>
          <w:rFonts w:asciiTheme="majorBidi" w:hAnsiTheme="majorBidi" w:cstheme="majorBidi"/>
          <w:sz w:val="24"/>
          <w:szCs w:val="24"/>
        </w:rPr>
        <w:t xml:space="preserve"> retrospectively, and there is no certainty that the same nurses that participated in the study treated these patients, though the patients were admitted to the same unit as the participating nurses.</w:t>
      </w:r>
    </w:p>
    <w:p w:rsidR="000E5F63" w:rsidRPr="00E26155" w:rsidRDefault="000E5F63" w:rsidP="00E26155">
      <w:pPr>
        <w:bidi w:val="0"/>
        <w:spacing w:line="360" w:lineRule="auto"/>
        <w:rPr>
          <w:rFonts w:asciiTheme="majorBidi" w:hAnsiTheme="majorBidi" w:cstheme="majorBidi"/>
          <w:b/>
          <w:bCs/>
          <w:sz w:val="24"/>
          <w:szCs w:val="24"/>
          <w:rtl/>
        </w:rPr>
      </w:pPr>
      <w:r w:rsidRPr="00E26155">
        <w:rPr>
          <w:rFonts w:asciiTheme="majorBidi" w:hAnsiTheme="majorBidi" w:cstheme="majorBidi"/>
          <w:b/>
          <w:bCs/>
          <w:sz w:val="24"/>
          <w:szCs w:val="24"/>
        </w:rPr>
        <w:t>Bibliography</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fldChar w:fldCharType="begin"/>
      </w:r>
      <w:r w:rsidRPr="00E26155">
        <w:rPr>
          <w:rFonts w:asciiTheme="majorBidi" w:hAnsiTheme="majorBidi" w:cstheme="majorBidi"/>
          <w:sz w:val="24"/>
          <w:szCs w:val="24"/>
        </w:rPr>
        <w:instrText>ADDIN F1000_CSL_BIBLIOGRAPHY</w:instrText>
      </w:r>
      <w:r w:rsidRPr="00E26155">
        <w:rPr>
          <w:rFonts w:asciiTheme="majorBidi" w:hAnsiTheme="majorBidi" w:cstheme="majorBidi"/>
          <w:sz w:val="24"/>
          <w:szCs w:val="24"/>
        </w:rPr>
        <w:fldChar w:fldCharType="separate"/>
      </w:r>
      <w:r w:rsidRPr="00E26155">
        <w:rPr>
          <w:rFonts w:asciiTheme="majorBidi" w:hAnsiTheme="majorBidi" w:cstheme="majorBidi"/>
          <w:sz w:val="24"/>
          <w:szCs w:val="24"/>
        </w:rPr>
        <w:t xml:space="preserve">1. </w:t>
      </w:r>
      <w:r w:rsidRPr="00E26155">
        <w:rPr>
          <w:rFonts w:asciiTheme="majorBidi" w:hAnsiTheme="majorBidi" w:cstheme="majorBidi"/>
          <w:sz w:val="24"/>
          <w:szCs w:val="24"/>
        </w:rPr>
        <w:tab/>
        <w:t xml:space="preserve">Lee JW. Fluid and electrolyte disturbances in critically ill patients. Electrolyte Blood Press. 2010 Dec 31;8(2):72–81.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 </w:t>
      </w:r>
      <w:r w:rsidRPr="00E26155">
        <w:rPr>
          <w:rFonts w:asciiTheme="majorBidi" w:hAnsiTheme="majorBidi" w:cstheme="majorBidi"/>
          <w:sz w:val="24"/>
          <w:szCs w:val="24"/>
        </w:rPr>
        <w:tab/>
        <w:t xml:space="preserve">Friedli N, Stanga Z, Sobotka L, Culkin A, Kondrup J, Laviano A, et al. Revisiting the refeeding syndrome: Results of a systematic review. Nutrition. 2017 Mar;35:151–160.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3. </w:t>
      </w:r>
      <w:r w:rsidRPr="00E26155">
        <w:rPr>
          <w:rFonts w:asciiTheme="majorBidi" w:hAnsiTheme="majorBidi" w:cstheme="majorBidi"/>
          <w:sz w:val="24"/>
          <w:szCs w:val="24"/>
        </w:rPr>
        <w:tab/>
        <w:t xml:space="preserve">Zeki S, Culkin A, Gabe SM, Nightingale JM. Refeeding hypophosphataemia is more common in enteral than parenteral feeding in adult in patients. Clin Nutr. 2011 Jun;30(3):365–368.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4. </w:t>
      </w:r>
      <w:r w:rsidRPr="00E26155">
        <w:rPr>
          <w:rFonts w:asciiTheme="majorBidi" w:hAnsiTheme="majorBidi" w:cstheme="majorBidi"/>
          <w:sz w:val="24"/>
          <w:szCs w:val="24"/>
        </w:rPr>
        <w:tab/>
        <w:t xml:space="preserve">Olthof LE, Koekkoek WACK, van Setten C, Kars JCN, van Blokland D, van Zanten ARH. Impact of caloric intake in critically ill patients with, and without, refeeding syndrome: A retrospective study. Clin Nutr. 2018;37(5):1609–1617.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5. </w:t>
      </w:r>
      <w:r w:rsidRPr="00E26155">
        <w:rPr>
          <w:rFonts w:asciiTheme="majorBidi" w:hAnsiTheme="majorBidi" w:cstheme="majorBidi"/>
          <w:sz w:val="24"/>
          <w:szCs w:val="24"/>
        </w:rPr>
        <w:tab/>
        <w:t xml:space="preserve">Berger MM, Reintam-Blaser A, Calder PC, Casaer M, Hiesmayr MJ, Mayer K, et al. Monitoring nutrition in the ICU. Clin Nutr. 2019 Apr;38(2):584–593.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6. </w:t>
      </w:r>
      <w:r w:rsidRPr="00E26155">
        <w:rPr>
          <w:rFonts w:asciiTheme="majorBidi" w:hAnsiTheme="majorBidi" w:cstheme="majorBidi"/>
          <w:sz w:val="24"/>
          <w:szCs w:val="24"/>
        </w:rPr>
        <w:tab/>
        <w:t xml:space="preserve">Crook MA. Refeeding syndrome: problems with definition and management. Nutrition. 2014 Dec;30(11-12):1448–1455.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7. </w:t>
      </w:r>
      <w:r w:rsidRPr="00E26155">
        <w:rPr>
          <w:rFonts w:asciiTheme="majorBidi" w:hAnsiTheme="majorBidi" w:cstheme="majorBidi"/>
          <w:sz w:val="24"/>
          <w:szCs w:val="24"/>
        </w:rPr>
        <w:tab/>
        <w:t xml:space="preserve">Marik PE, Bedigian MK. Refeeding hypophosphatemia in critically ill patients in an intensive care unit. A prospective study. Arch Surg. 1996 Oct;131(10):1043–1047.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8. </w:t>
      </w:r>
      <w:r w:rsidRPr="00E26155">
        <w:rPr>
          <w:rFonts w:asciiTheme="majorBidi" w:hAnsiTheme="majorBidi" w:cstheme="majorBidi"/>
          <w:sz w:val="24"/>
          <w:szCs w:val="24"/>
        </w:rPr>
        <w:tab/>
        <w:t xml:space="preserve">Skipper A. Refeeding syndrome or refeeding hypophosphatemia: a systematic review of cases. Nutr Clin Pract. 2012 Feb;27(1):34–40.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lastRenderedPageBreak/>
        <w:t xml:space="preserve">9. </w:t>
      </w:r>
      <w:r w:rsidRPr="00E26155">
        <w:rPr>
          <w:rFonts w:asciiTheme="majorBidi" w:hAnsiTheme="majorBidi" w:cstheme="majorBidi"/>
          <w:sz w:val="24"/>
          <w:szCs w:val="24"/>
        </w:rPr>
        <w:tab/>
        <w:t xml:space="preserve">Friedli N, Stanga Z, Culkin A, Crook M, Laviano A, Sobotka L, et al. Management and prevention of refeeding syndrome in medical inpatients: An evidence-based and consensus-supported algorithm. Nutrition. 2018;47:13–20.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10. </w:t>
      </w:r>
      <w:r w:rsidRPr="00E26155">
        <w:rPr>
          <w:rFonts w:asciiTheme="majorBidi" w:hAnsiTheme="majorBidi" w:cstheme="majorBidi"/>
          <w:sz w:val="24"/>
          <w:szCs w:val="24"/>
        </w:rPr>
        <w:tab/>
        <w:t xml:space="preserve">Doig GS, Simpson F, Bellomo R, Heighes PT, Sweetman EA, Chesher D, et al. Intravenous amino acid therapy for kidney function in critically ill patients: a randomized controlled trial. Intensive Care Med. 2015 Jul;41(7):1197–1208.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11. </w:t>
      </w:r>
      <w:r w:rsidRPr="00E26155">
        <w:rPr>
          <w:rFonts w:asciiTheme="majorBidi" w:hAnsiTheme="majorBidi" w:cstheme="majorBidi"/>
          <w:sz w:val="24"/>
          <w:szCs w:val="24"/>
        </w:rPr>
        <w:tab/>
        <w:t xml:space="preserve">Lobo DN. Fluid, electrolytes and nutrition: physiological and clinical aspects. Proc Nutr Soc. 2004 Aug;63(3):453–466.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12. </w:t>
      </w:r>
      <w:r w:rsidRPr="00E26155">
        <w:rPr>
          <w:rFonts w:asciiTheme="majorBidi" w:hAnsiTheme="majorBidi" w:cstheme="majorBidi"/>
          <w:sz w:val="24"/>
          <w:szCs w:val="24"/>
        </w:rPr>
        <w:tab/>
        <w:t xml:space="preserve">Tagney J, Haines C. Using evidence-based practice to address gaps in nursing knowledge. Br J Nurs. 2009;18(8):484–489.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13. </w:t>
      </w:r>
      <w:r w:rsidRPr="00E26155">
        <w:rPr>
          <w:rFonts w:asciiTheme="majorBidi" w:hAnsiTheme="majorBidi" w:cstheme="majorBidi"/>
          <w:sz w:val="24"/>
          <w:szCs w:val="24"/>
        </w:rPr>
        <w:tab/>
        <w:t xml:space="preserve">Liaw SY, Scherpbier A, Klainin-Yobas P, Rethans JJ. A review of educational strategies to improve nurses’ roles in recognizing and responding to deteriorating patients. Int Nurs Rev. 2011 Sep;58(3):296–303.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14. </w:t>
      </w:r>
      <w:r w:rsidRPr="00E26155">
        <w:rPr>
          <w:rFonts w:asciiTheme="majorBidi" w:hAnsiTheme="majorBidi" w:cstheme="majorBidi"/>
          <w:sz w:val="24"/>
          <w:szCs w:val="24"/>
        </w:rPr>
        <w:tab/>
        <w:t xml:space="preserve">Rischbieth A. Matching nurse skill with patient acuity in the intensive care units: a risk management mandate. J Nurs Manag. 2006 Jul;14(5):397–404.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15. </w:t>
      </w:r>
      <w:r w:rsidRPr="00E26155">
        <w:rPr>
          <w:rFonts w:asciiTheme="majorBidi" w:hAnsiTheme="majorBidi" w:cstheme="majorBidi"/>
          <w:sz w:val="24"/>
          <w:szCs w:val="24"/>
        </w:rPr>
        <w:tab/>
        <w:t xml:space="preserve">McClave SA, Taylor BE, Martindale RG, Warren MM, Johnson DR, Braunschweig C, et al. Guidelines for the provision and assessment of nutrition support therapy in the adult critically ill patient: society of critical care medicine (SCCM) and american society for parenteral and enteral nutrition (A.S.P.E.N.). JPEN J Parenter Enteral Nutr. 2016 Feb;40(2):159–211.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16. </w:t>
      </w:r>
      <w:r w:rsidRPr="00E26155">
        <w:rPr>
          <w:rFonts w:asciiTheme="majorBidi" w:hAnsiTheme="majorBidi" w:cstheme="majorBidi"/>
          <w:sz w:val="24"/>
          <w:szCs w:val="24"/>
        </w:rPr>
        <w:tab/>
        <w:t xml:space="preserve">Introduction to the 2018 ESPEN guidelines on clinical nutrition in the intensive care unit: food for thought and valuable directives for clinicians!. Current Opinion in Clinical Nutrition &amp; Metabolic Care. 2019;22(2).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17. </w:t>
      </w:r>
      <w:r w:rsidRPr="00E26155">
        <w:rPr>
          <w:rFonts w:asciiTheme="majorBidi" w:hAnsiTheme="majorBidi" w:cstheme="majorBidi"/>
          <w:sz w:val="24"/>
          <w:szCs w:val="24"/>
        </w:rPr>
        <w:tab/>
        <w:t xml:space="preserve">Tappenden KA, Quatrara B, Parkhurst ML, Malone AM, Fanjiang G, Ziegler TR. Critical role of nutrition in improving quality of care: an interdisciplinary call to action to address adult hospital malnutrition. JPEN J Parenter Enteral Nutr. 2013 Jul;37(4):482–497.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18. </w:t>
      </w:r>
      <w:r w:rsidRPr="00E26155">
        <w:rPr>
          <w:rFonts w:asciiTheme="majorBidi" w:hAnsiTheme="majorBidi" w:cstheme="majorBidi"/>
          <w:sz w:val="24"/>
          <w:szCs w:val="24"/>
        </w:rPr>
        <w:tab/>
        <w:t xml:space="preserve">Herdman TH. Nursing diagnoses 2012-14: definitions and classification. John Wiley &amp; Sons; 2012.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19. </w:t>
      </w:r>
      <w:r w:rsidRPr="00E26155">
        <w:rPr>
          <w:rFonts w:asciiTheme="majorBidi" w:hAnsiTheme="majorBidi" w:cstheme="majorBidi"/>
          <w:sz w:val="24"/>
          <w:szCs w:val="24"/>
        </w:rPr>
        <w:tab/>
        <w:t xml:space="preserve">Nightingale F. 1860, Notes on Nursing: What it is and what it is not. 1969;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lastRenderedPageBreak/>
        <w:t xml:space="preserve">20. </w:t>
      </w:r>
      <w:r w:rsidRPr="00E26155">
        <w:rPr>
          <w:rFonts w:asciiTheme="majorBidi" w:hAnsiTheme="majorBidi" w:cstheme="majorBidi"/>
          <w:sz w:val="24"/>
          <w:szCs w:val="24"/>
        </w:rPr>
        <w:tab/>
        <w:t xml:space="preserve">DiMaria-Ghalili RA, Mirtallo JM, Tobin BW, Hark L, Van Horn L, Palmer CA. Challenges and opportunities for nutrition education and training in the health care professions: intraprofessional and interprofessional call to action. Am J Clin Nutr. 2014 May;99(5 Suppl):1184S–93S.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21. </w:t>
      </w:r>
      <w:r w:rsidRPr="00E26155">
        <w:rPr>
          <w:rFonts w:asciiTheme="majorBidi" w:hAnsiTheme="majorBidi" w:cstheme="majorBidi"/>
          <w:sz w:val="24"/>
          <w:szCs w:val="24"/>
        </w:rPr>
        <w:tab/>
        <w:t xml:space="preserve">Jordan S, Snow D, Hayes C, Williams A. Introducing a nutrition screening tool: an exploratory study in a district general hospital. J Adv Nurs. 2003 Oct;44(1):12–23.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22. </w:t>
      </w:r>
      <w:r w:rsidRPr="00E26155">
        <w:rPr>
          <w:rFonts w:asciiTheme="majorBidi" w:hAnsiTheme="majorBidi" w:cstheme="majorBidi"/>
          <w:sz w:val="24"/>
          <w:szCs w:val="24"/>
        </w:rPr>
        <w:tab/>
        <w:t xml:space="preserve">Stotts NA, Englert D, Crocker KS, Bennum NW, Hoppe M. Nutrition education in schools of nursing in the United States. Part 2: The status of nutrition education in schools of nursing. JPEN J Parenter Enteral Nutr. 1987 Aug;11(4):406–411.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23. </w:t>
      </w:r>
      <w:r w:rsidRPr="00E26155">
        <w:rPr>
          <w:rFonts w:asciiTheme="majorBidi" w:hAnsiTheme="majorBidi" w:cstheme="majorBidi"/>
          <w:sz w:val="24"/>
          <w:szCs w:val="24"/>
        </w:rPr>
        <w:tab/>
        <w:t xml:space="preserve">Marinella MA. The refeeding syndrome and hypophosphatemia. Nutr Rev. 2003 Sep;61(9):320–323.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24. </w:t>
      </w:r>
      <w:r w:rsidRPr="00E26155">
        <w:rPr>
          <w:rFonts w:asciiTheme="majorBidi" w:hAnsiTheme="majorBidi" w:cstheme="majorBidi"/>
          <w:sz w:val="24"/>
          <w:szCs w:val="24"/>
        </w:rPr>
        <w:tab/>
        <w:t xml:space="preserve">Weinsier RL, Krumdieck CL. Death resulting from overzealous total parenteral nutrition: the refeeding syndrome revisited. Am J Clin Nutr. 1981 Mar;34(3):393–399.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25. </w:t>
      </w:r>
      <w:r w:rsidRPr="00E26155">
        <w:rPr>
          <w:rFonts w:asciiTheme="majorBidi" w:hAnsiTheme="majorBidi" w:cstheme="majorBidi"/>
          <w:sz w:val="24"/>
          <w:szCs w:val="24"/>
        </w:rPr>
        <w:tab/>
        <w:t xml:space="preserve">Miller SJ. Death resulting from overzealous total parenteral nutrition: the refeeding syndrome revisited. Nutr Clin Pract. 2008 May;23(2):166–171.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26. </w:t>
      </w:r>
      <w:r w:rsidRPr="00E26155">
        <w:rPr>
          <w:rFonts w:asciiTheme="majorBidi" w:hAnsiTheme="majorBidi" w:cstheme="majorBidi"/>
          <w:sz w:val="24"/>
          <w:szCs w:val="24"/>
        </w:rPr>
        <w:tab/>
        <w:t xml:space="preserve">Alsumrain MH, Jawad SA, Imran NB, Riar S, DeBari VA, Adelman M. Association of hypophosphatemia with failure-to-wean from mechanical ventilation. Ann Clin Lab Sci. 2010;40(2):144–148.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27. </w:t>
      </w:r>
      <w:r w:rsidRPr="00E26155">
        <w:rPr>
          <w:rFonts w:asciiTheme="majorBidi" w:hAnsiTheme="majorBidi" w:cstheme="majorBidi"/>
          <w:sz w:val="24"/>
          <w:szCs w:val="24"/>
        </w:rPr>
        <w:tab/>
        <w:t xml:space="preserve">Boles JM, Bion J, Connors A, Herridge M, Marsh B, Melot C, et al. Weaning from mechanical ventilation. Eur Respir J. 2007 May 1;29(5):1033–1056.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28. </w:t>
      </w:r>
      <w:r w:rsidRPr="00E26155">
        <w:rPr>
          <w:rFonts w:asciiTheme="majorBidi" w:hAnsiTheme="majorBidi" w:cstheme="majorBidi"/>
          <w:sz w:val="24"/>
          <w:szCs w:val="24"/>
        </w:rPr>
        <w:tab/>
        <w:t xml:space="preserve">Coşkun R, Gündoğan K, Baldane S, Güven M, Sungur M. Refeeding hypophosphatemia: a potentially fatal danger in the intensive care unit. Turk J Med Sci. 2014;44(3):369–374.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29. </w:t>
      </w:r>
      <w:r w:rsidRPr="00E26155">
        <w:rPr>
          <w:rFonts w:asciiTheme="majorBidi" w:hAnsiTheme="majorBidi" w:cstheme="majorBidi"/>
          <w:sz w:val="24"/>
          <w:szCs w:val="24"/>
        </w:rPr>
        <w:tab/>
        <w:t xml:space="preserve">Marshall AP, Cahill NE, Gramlich L, MacDonald G, Alberda C, Heyland DK. Optimizing nutrition in intensive care units: empowering critical care nurses to be effective agents of change. Am J Crit Care. 2012 May;21(3):186–194.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30. </w:t>
      </w:r>
      <w:r w:rsidRPr="00E26155">
        <w:rPr>
          <w:rFonts w:asciiTheme="majorBidi" w:hAnsiTheme="majorBidi" w:cstheme="majorBidi"/>
          <w:sz w:val="24"/>
          <w:szCs w:val="24"/>
        </w:rPr>
        <w:tab/>
        <w:t>Heyland DK, Schroter-Noppe D, Drover JW, Jain M, Keefe L, Dhaliwal R, et al. Nutrition support in the critical care setting: current practice in canadian ICUs--</w:t>
      </w:r>
      <w:r w:rsidRPr="00E26155">
        <w:rPr>
          <w:rFonts w:asciiTheme="majorBidi" w:hAnsiTheme="majorBidi" w:cstheme="majorBidi"/>
          <w:sz w:val="24"/>
          <w:szCs w:val="24"/>
        </w:rPr>
        <w:lastRenderedPageBreak/>
        <w:t xml:space="preserve">opportunities for improvement? JPEN J Parenter Enteral Nutr. 2003 Feb;27(1):74–83.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31. </w:t>
      </w:r>
      <w:r w:rsidRPr="00E26155">
        <w:rPr>
          <w:rFonts w:asciiTheme="majorBidi" w:hAnsiTheme="majorBidi" w:cstheme="majorBidi"/>
          <w:sz w:val="24"/>
          <w:szCs w:val="24"/>
        </w:rPr>
        <w:tab/>
        <w:t xml:space="preserve">Bendavid I, Singer P, Theilla M, Themessl-Huber M, Sulz I, Mouhieddine M, et al. NutritionDay ICU: A 7 year worldwide prevalence study of nutrition practice in intensive care. Clin Nutr. 2017;36(4):1122–1129. </w:t>
      </w:r>
    </w:p>
    <w:p w:rsidR="00154242"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fldChar w:fldCharType="end"/>
      </w:r>
    </w:p>
    <w:sectPr w:rsidR="00154242" w:rsidRPr="00E26155" w:rsidSect="00E96448">
      <w:pgSz w:w="11906" w:h="16838"/>
      <w:pgMar w:top="1440" w:right="1558"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TimesNewRomanPSMT">
    <w:altName w:val="MS Gothic"/>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12541"/>
    <w:multiLevelType w:val="multilevel"/>
    <w:tmpl w:val="C776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A5"/>
    <w:rsid w:val="00030BDB"/>
    <w:rsid w:val="00032AF4"/>
    <w:rsid w:val="000603B1"/>
    <w:rsid w:val="0006214C"/>
    <w:rsid w:val="00062595"/>
    <w:rsid w:val="0007206F"/>
    <w:rsid w:val="00086D1E"/>
    <w:rsid w:val="00090633"/>
    <w:rsid w:val="000B1921"/>
    <w:rsid w:val="000C05CE"/>
    <w:rsid w:val="000C533E"/>
    <w:rsid w:val="000D009F"/>
    <w:rsid w:val="000D394B"/>
    <w:rsid w:val="000E5F63"/>
    <w:rsid w:val="000E67AF"/>
    <w:rsid w:val="0010379C"/>
    <w:rsid w:val="00112F30"/>
    <w:rsid w:val="00117254"/>
    <w:rsid w:val="00120B0E"/>
    <w:rsid w:val="0012408A"/>
    <w:rsid w:val="001243B5"/>
    <w:rsid w:val="00154242"/>
    <w:rsid w:val="00171B94"/>
    <w:rsid w:val="00182E17"/>
    <w:rsid w:val="001A16F7"/>
    <w:rsid w:val="001A3606"/>
    <w:rsid w:val="001B4B40"/>
    <w:rsid w:val="001B64A0"/>
    <w:rsid w:val="001C3F41"/>
    <w:rsid w:val="001C5EF0"/>
    <w:rsid w:val="001E32E4"/>
    <w:rsid w:val="001F5F04"/>
    <w:rsid w:val="001F6497"/>
    <w:rsid w:val="00205018"/>
    <w:rsid w:val="00211F22"/>
    <w:rsid w:val="0021204F"/>
    <w:rsid w:val="00221813"/>
    <w:rsid w:val="0025253B"/>
    <w:rsid w:val="002549BC"/>
    <w:rsid w:val="002604DA"/>
    <w:rsid w:val="00277A55"/>
    <w:rsid w:val="00292CA5"/>
    <w:rsid w:val="002961C1"/>
    <w:rsid w:val="002A0EE2"/>
    <w:rsid w:val="002C35F7"/>
    <w:rsid w:val="002E2C87"/>
    <w:rsid w:val="002F18FB"/>
    <w:rsid w:val="003114BD"/>
    <w:rsid w:val="00330C96"/>
    <w:rsid w:val="00341B0F"/>
    <w:rsid w:val="00364034"/>
    <w:rsid w:val="00367246"/>
    <w:rsid w:val="003719B7"/>
    <w:rsid w:val="00375FCE"/>
    <w:rsid w:val="0039300A"/>
    <w:rsid w:val="003A1C54"/>
    <w:rsid w:val="003A5CA0"/>
    <w:rsid w:val="003A7081"/>
    <w:rsid w:val="003B796E"/>
    <w:rsid w:val="003C4CD0"/>
    <w:rsid w:val="003C516B"/>
    <w:rsid w:val="003D2B63"/>
    <w:rsid w:val="003E6B57"/>
    <w:rsid w:val="00401B33"/>
    <w:rsid w:val="004026F2"/>
    <w:rsid w:val="0041257C"/>
    <w:rsid w:val="00442831"/>
    <w:rsid w:val="004513A1"/>
    <w:rsid w:val="00457619"/>
    <w:rsid w:val="004607B9"/>
    <w:rsid w:val="004A2FEB"/>
    <w:rsid w:val="004A55DD"/>
    <w:rsid w:val="004D48B6"/>
    <w:rsid w:val="004D6D6B"/>
    <w:rsid w:val="004F14A9"/>
    <w:rsid w:val="004F54BB"/>
    <w:rsid w:val="004F62E5"/>
    <w:rsid w:val="0050135A"/>
    <w:rsid w:val="005113C4"/>
    <w:rsid w:val="005159F1"/>
    <w:rsid w:val="0052515A"/>
    <w:rsid w:val="00546925"/>
    <w:rsid w:val="0055495A"/>
    <w:rsid w:val="0056241C"/>
    <w:rsid w:val="00570144"/>
    <w:rsid w:val="005747E3"/>
    <w:rsid w:val="00582300"/>
    <w:rsid w:val="005B395F"/>
    <w:rsid w:val="005C3DCF"/>
    <w:rsid w:val="005C6720"/>
    <w:rsid w:val="005D0C3F"/>
    <w:rsid w:val="006001E4"/>
    <w:rsid w:val="0060249A"/>
    <w:rsid w:val="00611E0E"/>
    <w:rsid w:val="00622D96"/>
    <w:rsid w:val="00634A4B"/>
    <w:rsid w:val="0068009E"/>
    <w:rsid w:val="00681751"/>
    <w:rsid w:val="00682F58"/>
    <w:rsid w:val="00686104"/>
    <w:rsid w:val="006914BF"/>
    <w:rsid w:val="00692172"/>
    <w:rsid w:val="006C7BD9"/>
    <w:rsid w:val="006E1D52"/>
    <w:rsid w:val="00701B6D"/>
    <w:rsid w:val="00706787"/>
    <w:rsid w:val="00713292"/>
    <w:rsid w:val="00717D17"/>
    <w:rsid w:val="00721552"/>
    <w:rsid w:val="0072383A"/>
    <w:rsid w:val="00724555"/>
    <w:rsid w:val="00726C87"/>
    <w:rsid w:val="00727C60"/>
    <w:rsid w:val="00734CE2"/>
    <w:rsid w:val="00735FFC"/>
    <w:rsid w:val="00752620"/>
    <w:rsid w:val="00767AEA"/>
    <w:rsid w:val="0077476F"/>
    <w:rsid w:val="00776521"/>
    <w:rsid w:val="00786C07"/>
    <w:rsid w:val="007F5C09"/>
    <w:rsid w:val="00806890"/>
    <w:rsid w:val="00810BDE"/>
    <w:rsid w:val="008203D3"/>
    <w:rsid w:val="008428E6"/>
    <w:rsid w:val="00856B89"/>
    <w:rsid w:val="008774D4"/>
    <w:rsid w:val="00896DA5"/>
    <w:rsid w:val="008A3801"/>
    <w:rsid w:val="008C2AC4"/>
    <w:rsid w:val="008E7707"/>
    <w:rsid w:val="008F4A03"/>
    <w:rsid w:val="00907C5F"/>
    <w:rsid w:val="00932769"/>
    <w:rsid w:val="00932DEE"/>
    <w:rsid w:val="0093330F"/>
    <w:rsid w:val="00952E74"/>
    <w:rsid w:val="00960DA5"/>
    <w:rsid w:val="009825E6"/>
    <w:rsid w:val="009870E4"/>
    <w:rsid w:val="009940B3"/>
    <w:rsid w:val="009958A6"/>
    <w:rsid w:val="009B7F5E"/>
    <w:rsid w:val="009C3FB3"/>
    <w:rsid w:val="009E6AC2"/>
    <w:rsid w:val="009F427F"/>
    <w:rsid w:val="00A30C04"/>
    <w:rsid w:val="00A34039"/>
    <w:rsid w:val="00A35554"/>
    <w:rsid w:val="00A361E6"/>
    <w:rsid w:val="00A440DB"/>
    <w:rsid w:val="00A7311E"/>
    <w:rsid w:val="00A864CE"/>
    <w:rsid w:val="00AA5087"/>
    <w:rsid w:val="00AE0229"/>
    <w:rsid w:val="00AF38CB"/>
    <w:rsid w:val="00AF61EC"/>
    <w:rsid w:val="00AF6CD7"/>
    <w:rsid w:val="00B13E60"/>
    <w:rsid w:val="00B27F73"/>
    <w:rsid w:val="00B4040A"/>
    <w:rsid w:val="00B42B0D"/>
    <w:rsid w:val="00B476CD"/>
    <w:rsid w:val="00B63A96"/>
    <w:rsid w:val="00B810A8"/>
    <w:rsid w:val="00B83645"/>
    <w:rsid w:val="00BB55F7"/>
    <w:rsid w:val="00BD0C56"/>
    <w:rsid w:val="00BD7092"/>
    <w:rsid w:val="00BE3BE5"/>
    <w:rsid w:val="00BF48DB"/>
    <w:rsid w:val="00BF7796"/>
    <w:rsid w:val="00C03CF5"/>
    <w:rsid w:val="00C11D0D"/>
    <w:rsid w:val="00C14782"/>
    <w:rsid w:val="00C1559E"/>
    <w:rsid w:val="00C20717"/>
    <w:rsid w:val="00C25303"/>
    <w:rsid w:val="00C41596"/>
    <w:rsid w:val="00C66F20"/>
    <w:rsid w:val="00C76670"/>
    <w:rsid w:val="00C87A73"/>
    <w:rsid w:val="00CB2D33"/>
    <w:rsid w:val="00CD68BC"/>
    <w:rsid w:val="00CE7DE0"/>
    <w:rsid w:val="00D16C7F"/>
    <w:rsid w:val="00D174C0"/>
    <w:rsid w:val="00D2030C"/>
    <w:rsid w:val="00D22F98"/>
    <w:rsid w:val="00D37147"/>
    <w:rsid w:val="00D5119F"/>
    <w:rsid w:val="00D940C4"/>
    <w:rsid w:val="00DA7F94"/>
    <w:rsid w:val="00DB70E2"/>
    <w:rsid w:val="00DD4BB2"/>
    <w:rsid w:val="00DE43AB"/>
    <w:rsid w:val="00DF0DA7"/>
    <w:rsid w:val="00DF33B4"/>
    <w:rsid w:val="00E15656"/>
    <w:rsid w:val="00E208DF"/>
    <w:rsid w:val="00E26155"/>
    <w:rsid w:val="00E2619D"/>
    <w:rsid w:val="00E320CE"/>
    <w:rsid w:val="00E35172"/>
    <w:rsid w:val="00E60D07"/>
    <w:rsid w:val="00E631DA"/>
    <w:rsid w:val="00E73BC4"/>
    <w:rsid w:val="00E96448"/>
    <w:rsid w:val="00EA6582"/>
    <w:rsid w:val="00EB3C32"/>
    <w:rsid w:val="00EB7DA2"/>
    <w:rsid w:val="00ED338F"/>
    <w:rsid w:val="00ED5490"/>
    <w:rsid w:val="00EF526C"/>
    <w:rsid w:val="00F01108"/>
    <w:rsid w:val="00F10656"/>
    <w:rsid w:val="00F238F9"/>
    <w:rsid w:val="00F25A14"/>
    <w:rsid w:val="00F3396D"/>
    <w:rsid w:val="00F61C40"/>
    <w:rsid w:val="00FB50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D4009-209D-4E9C-8F8A-969DA1CB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277A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46925"/>
    <w:rPr>
      <w:color w:val="0000FF"/>
      <w:u w:val="single"/>
    </w:rPr>
  </w:style>
  <w:style w:type="character" w:customStyle="1" w:styleId="f1000-at-ignore">
    <w:name w:val="f1000-at-ignore"/>
    <w:basedOn w:val="a0"/>
    <w:rsid w:val="00E15656"/>
  </w:style>
  <w:style w:type="character" w:customStyle="1" w:styleId="10">
    <w:name w:val="כותרת 1 תו"/>
    <w:basedOn w:val="a0"/>
    <w:link w:val="1"/>
    <w:uiPriority w:val="9"/>
    <w:rsid w:val="00277A55"/>
    <w:rPr>
      <w:rFonts w:asciiTheme="majorHAnsi" w:eastAsiaTheme="majorEastAsia" w:hAnsiTheme="majorHAnsi" w:cstheme="majorBidi"/>
      <w:color w:val="2E74B5" w:themeColor="accent1" w:themeShade="BF"/>
      <w:sz w:val="32"/>
      <w:szCs w:val="32"/>
    </w:rPr>
  </w:style>
  <w:style w:type="character" w:customStyle="1" w:styleId="f1kat-hl">
    <w:name w:val="f1kat-hl"/>
    <w:basedOn w:val="a0"/>
    <w:rsid w:val="001B6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824772">
      <w:bodyDiv w:val="1"/>
      <w:marLeft w:val="0"/>
      <w:marRight w:val="0"/>
      <w:marTop w:val="0"/>
      <w:marBottom w:val="0"/>
      <w:divBdr>
        <w:top w:val="none" w:sz="0" w:space="0" w:color="auto"/>
        <w:left w:val="none" w:sz="0" w:space="0" w:color="auto"/>
        <w:bottom w:val="none" w:sz="0" w:space="0" w:color="auto"/>
        <w:right w:val="none" w:sz="0" w:space="0" w:color="auto"/>
      </w:divBdr>
      <w:divsChild>
        <w:div w:id="1919053469">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2045</TotalTime>
  <Pages>13</Pages>
  <Words>29926</Words>
  <Characters>149630</Characters>
  <Application>Microsoft Office Word</Application>
  <DocSecurity>0</DocSecurity>
  <Lines>1246</Lines>
  <Paragraphs>358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161</cp:revision>
  <dcterms:created xsi:type="dcterms:W3CDTF">2019-08-26T07:33:00Z</dcterms:created>
  <dcterms:modified xsi:type="dcterms:W3CDTF">2019-09-12T19:36:00Z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767128</vt:lpwstr>
  </property>
  <property fmtid="{D5CDD505-2E9C-101B-9397-08002B2CF9AE}" pid="3" name="InsertAsFootnote">
    <vt:lpwstr>False</vt:lpwstr>
  </property>
  <property fmtid="{D5CDD505-2E9C-101B-9397-08002B2CF9AE}" pid="4" name="ProjectId">
    <vt:lpwstr>-1</vt:lpwstr>
  </property>
  <property fmtid="{D5CDD505-2E9C-101B-9397-08002B2CF9AE}" pid="5" name="StyleId">
    <vt:lpwstr>http://www.zotero.org/styles/vancouver</vt:lpwstr>
  </property>
</Properties>
</file>