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C4E04" w14:textId="77777777" w:rsidR="00473CFD" w:rsidRPr="00A61532" w:rsidRDefault="00473CFD" w:rsidP="00473CFD">
      <w:pPr>
        <w:ind w:firstLine="0"/>
        <w:jc w:val="right"/>
      </w:pPr>
      <w:bookmarkStart w:id="0" w:name="_Hlk47601955"/>
      <w:r w:rsidRPr="00A61532">
        <w:t>August 2020</w:t>
      </w:r>
    </w:p>
    <w:p w14:paraId="4839BDE7" w14:textId="77777777" w:rsidR="00473CFD" w:rsidRPr="00A61532" w:rsidRDefault="00473CFD" w:rsidP="00473CFD">
      <w:pPr>
        <w:jc w:val="center"/>
        <w:rPr>
          <w:smallCaps/>
        </w:rPr>
      </w:pPr>
    </w:p>
    <w:p w14:paraId="6A372793" w14:textId="77777777" w:rsidR="00473CFD" w:rsidRPr="00A61532" w:rsidRDefault="00473CFD" w:rsidP="00473CFD">
      <w:pPr>
        <w:jc w:val="center"/>
        <w:rPr>
          <w:smallCaps/>
        </w:rPr>
      </w:pPr>
    </w:p>
    <w:p w14:paraId="60F61861" w14:textId="77777777" w:rsidR="00473CFD" w:rsidRPr="00A61532" w:rsidRDefault="00473CFD" w:rsidP="00473CFD">
      <w:pPr>
        <w:jc w:val="center"/>
        <w:rPr>
          <w:smallCaps/>
        </w:rPr>
      </w:pPr>
    </w:p>
    <w:p w14:paraId="5C12233E" w14:textId="77777777" w:rsidR="00473CFD" w:rsidRPr="00A61532" w:rsidRDefault="00473CFD" w:rsidP="00473CFD">
      <w:pPr>
        <w:jc w:val="center"/>
        <w:rPr>
          <w:smallCaps/>
        </w:rPr>
      </w:pPr>
    </w:p>
    <w:p w14:paraId="3EDEF1D7" w14:textId="77777777" w:rsidR="00473CFD" w:rsidRPr="00A61532" w:rsidRDefault="00473CFD" w:rsidP="00473CFD">
      <w:pPr>
        <w:jc w:val="center"/>
        <w:rPr>
          <w:smallCaps/>
        </w:rPr>
      </w:pPr>
    </w:p>
    <w:p w14:paraId="09F0A9AA" w14:textId="77777777" w:rsidR="00473CFD" w:rsidRPr="00A61532" w:rsidRDefault="00473CFD" w:rsidP="00473CFD">
      <w:pPr>
        <w:jc w:val="center"/>
        <w:rPr>
          <w:smallCaps/>
        </w:rPr>
      </w:pPr>
    </w:p>
    <w:p w14:paraId="70A98917" w14:textId="78F30329" w:rsidR="00473CFD" w:rsidRPr="00A61532" w:rsidRDefault="00473CFD" w:rsidP="00473CFD">
      <w:pPr>
        <w:pStyle w:val="Title"/>
      </w:pPr>
      <w:r w:rsidRPr="00A61532">
        <w:t>For Whom Corporate Leaders Bargain</w:t>
      </w:r>
    </w:p>
    <w:p w14:paraId="5B50370F" w14:textId="77777777" w:rsidR="00B02A6F" w:rsidRPr="00A61532" w:rsidRDefault="00B02A6F" w:rsidP="00B02A6F">
      <w:pPr>
        <w:spacing w:line="288" w:lineRule="auto"/>
        <w:ind w:firstLine="0"/>
        <w:jc w:val="center"/>
      </w:pPr>
      <w:bookmarkStart w:id="1" w:name="_Hlk33969535"/>
      <w:r w:rsidRPr="00A61532">
        <w:t xml:space="preserve">Lucian A. </w:t>
      </w:r>
      <w:proofErr w:type="spellStart"/>
      <w:r w:rsidRPr="00A61532">
        <w:t>Bebchuk</w:t>
      </w:r>
      <w:proofErr w:type="spellEnd"/>
      <w:r w:rsidRPr="00A61532">
        <w:t>,</w:t>
      </w:r>
      <w:r w:rsidRPr="00A61532">
        <w:rPr>
          <w:rStyle w:val="FootnoteReference"/>
        </w:rPr>
        <w:footnoteReference w:customMarkFollows="1" w:id="2"/>
        <w:t>*</w:t>
      </w:r>
      <w:r w:rsidRPr="00A61532">
        <w:t xml:space="preserve"> Kobi </w:t>
      </w:r>
      <w:proofErr w:type="spellStart"/>
      <w:r w:rsidRPr="00A61532">
        <w:t>Kastiel</w:t>
      </w:r>
      <w:proofErr w:type="spellEnd"/>
      <w:r w:rsidRPr="00A61532">
        <w:t>,</w:t>
      </w:r>
      <w:r w:rsidRPr="00A61532">
        <w:rPr>
          <w:rStyle w:val="FootnoteReference"/>
        </w:rPr>
        <w:footnoteReference w:customMarkFollows="1" w:id="3"/>
        <w:sym w:font="Symbol" w:char="F02A"/>
      </w:r>
      <w:r w:rsidRPr="00A61532">
        <w:rPr>
          <w:rStyle w:val="FootnoteReference"/>
        </w:rPr>
        <w:sym w:font="Symbol" w:char="F02A"/>
      </w:r>
      <w:r w:rsidRPr="00A61532">
        <w:t xml:space="preserve"> &amp; Roberto </w:t>
      </w:r>
      <w:proofErr w:type="spellStart"/>
      <w:r w:rsidRPr="00A61532">
        <w:t>Tallarita</w:t>
      </w:r>
      <w:proofErr w:type="spellEnd"/>
      <w:r w:rsidRPr="00A61532">
        <w:rPr>
          <w:rStyle w:val="FootnoteReference"/>
        </w:rPr>
        <w:footnoteReference w:customMarkFollows="1" w:id="4"/>
        <w:t>***</w:t>
      </w:r>
    </w:p>
    <w:bookmarkEnd w:id="1"/>
    <w:p w14:paraId="35243353" w14:textId="77777777" w:rsidR="00473CFD" w:rsidRPr="00A61532" w:rsidRDefault="00473CFD" w:rsidP="00473CFD">
      <w:pPr>
        <w:tabs>
          <w:tab w:val="left" w:pos="3390"/>
          <w:tab w:val="left" w:pos="6120"/>
        </w:tabs>
        <w:ind w:firstLine="0"/>
      </w:pPr>
      <w:r w:rsidRPr="00A61532">
        <w:tab/>
      </w:r>
      <w:r w:rsidRPr="00A61532">
        <w:tab/>
      </w:r>
    </w:p>
    <w:p w14:paraId="48D1BE09" w14:textId="77777777" w:rsidR="00473CFD" w:rsidRPr="00A61532" w:rsidRDefault="00473CFD" w:rsidP="00473CFD">
      <w:pPr>
        <w:ind w:firstLine="0"/>
      </w:pPr>
    </w:p>
    <w:p w14:paraId="317432AA" w14:textId="77777777" w:rsidR="00473CFD" w:rsidRPr="00A61532" w:rsidRDefault="00473CFD" w:rsidP="00473CFD">
      <w:pPr>
        <w:ind w:firstLine="0"/>
        <w:jc w:val="left"/>
        <w:rPr>
          <w:u w:val="single"/>
        </w:rPr>
      </w:pPr>
      <w:r w:rsidRPr="00A61532">
        <w:rPr>
          <w:u w:val="single"/>
        </w:rPr>
        <w:br w:type="page"/>
      </w:r>
    </w:p>
    <w:p w14:paraId="147B7D44" w14:textId="05BBC26C" w:rsidR="00473CFD" w:rsidRPr="00A61532" w:rsidRDefault="00473CFD" w:rsidP="00473CFD">
      <w:pPr>
        <w:ind w:firstLine="0"/>
        <w:jc w:val="center"/>
        <w:rPr>
          <w:smallCaps/>
        </w:rPr>
      </w:pPr>
      <w:r w:rsidRPr="00A61532">
        <w:rPr>
          <w:smallCaps/>
        </w:rPr>
        <w:lastRenderedPageBreak/>
        <w:t>Abstract</w:t>
      </w:r>
    </w:p>
    <w:p w14:paraId="0F1E4B8F" w14:textId="77777777" w:rsidR="00473CFD" w:rsidRPr="00A61532" w:rsidRDefault="00473CFD" w:rsidP="00473CFD">
      <w:pPr>
        <w:ind w:firstLine="0"/>
        <w:jc w:val="center"/>
        <w:rPr>
          <w:smallCaps/>
        </w:rPr>
      </w:pPr>
    </w:p>
    <w:p w14:paraId="4FD99EA7" w14:textId="36E14586" w:rsidR="008B1649" w:rsidRPr="00A61532" w:rsidRDefault="008B1649" w:rsidP="008B1649">
      <w:pPr>
        <w:ind w:firstLine="426"/>
      </w:pPr>
      <w:r w:rsidRPr="00A61532">
        <w:t>According to the increasingly influential “</w:t>
      </w:r>
      <w:proofErr w:type="spellStart"/>
      <w:r w:rsidRPr="00A61532">
        <w:t>stakeholderism</w:t>
      </w:r>
      <w:proofErr w:type="spellEnd"/>
      <w:r w:rsidRPr="00A61532">
        <w:t xml:space="preserve">” view, </w:t>
      </w:r>
      <w:r w:rsidR="00860F80">
        <w:t xml:space="preserve">giving </w:t>
      </w:r>
      <w:r w:rsidRPr="00A61532">
        <w:t xml:space="preserve">corporate leaders </w:t>
      </w:r>
      <w:r w:rsidR="00EB00F1">
        <w:t>the</w:t>
      </w:r>
      <w:r w:rsidRPr="00A61532">
        <w:t xml:space="preserve"> discretion</w:t>
      </w:r>
      <w:r w:rsidR="00EB00F1">
        <w:t>ary power</w:t>
      </w:r>
      <w:r w:rsidRPr="00A61532">
        <w:t xml:space="preserve"> to serve all stakeholders</w:t>
      </w:r>
      <w:r w:rsidR="00860F80">
        <w:t>,</w:t>
      </w:r>
      <w:r w:rsidRPr="00A61532">
        <w:t xml:space="preserve"> and not just shareholders</w:t>
      </w:r>
      <w:r w:rsidR="00860F80">
        <w:t>,</w:t>
      </w:r>
      <w:r w:rsidRPr="00A61532">
        <w:t xml:space="preserve"> would </w:t>
      </w:r>
      <w:r w:rsidR="00EB00F1">
        <w:t xml:space="preserve">improve the impact of </w:t>
      </w:r>
      <w:r w:rsidRPr="00A61532">
        <w:t xml:space="preserve">corporations </w:t>
      </w:r>
      <w:r w:rsidR="00EB00F1">
        <w:t>on</w:t>
      </w:r>
      <w:r w:rsidR="00EB00F1" w:rsidRPr="00A61532">
        <w:t xml:space="preserve"> </w:t>
      </w:r>
      <w:r w:rsidRPr="00A61532">
        <w:t xml:space="preserve">society and the environment. Critics of </w:t>
      </w:r>
      <w:proofErr w:type="spellStart"/>
      <w:r w:rsidRPr="00A61532">
        <w:t>stakeholderism</w:t>
      </w:r>
      <w:proofErr w:type="spellEnd"/>
      <w:r w:rsidRPr="00A61532">
        <w:t xml:space="preserve">, by contrast, object that corporate leaders should not be expected to use such expanded discretion to benefit stakeholders. This Article puts forward empirical evidence that can contribute to resolving this </w:t>
      </w:r>
      <w:r w:rsidR="00EB00F1">
        <w:t>crucial</w:t>
      </w:r>
      <w:r w:rsidR="00EB00F1" w:rsidRPr="00A61532">
        <w:t xml:space="preserve"> </w:t>
      </w:r>
      <w:r w:rsidRPr="00A61532">
        <w:t xml:space="preserve">debate. </w:t>
      </w:r>
    </w:p>
    <w:p w14:paraId="6AA855CA" w14:textId="36A6EA9B" w:rsidR="008B1649" w:rsidRPr="00A61532" w:rsidRDefault="008B1649" w:rsidP="008B1649">
      <w:pPr>
        <w:ind w:firstLine="426"/>
      </w:pPr>
      <w:r w:rsidRPr="00A61532">
        <w:t xml:space="preserve">During the hostile takeovers era, </w:t>
      </w:r>
      <w:proofErr w:type="spellStart"/>
      <w:r w:rsidRPr="00A61532">
        <w:t>stakeholderist</w:t>
      </w:r>
      <w:proofErr w:type="spellEnd"/>
      <w:r w:rsidRPr="00A61532">
        <w:t xml:space="preserve"> arguments contributed to the adoption of constituency statutes by more than thirty states. These statutes authorize corporate leaders to give weight to stakeholder interests in considering the sale of the company. We study how corporate leaders in fact used the discretion that constituency statutes provided them. In particular, using hand-collected data, we analyze the contractual terms that corporate leaders have obtained in over one hundred sales of public companies to private equity buyers in the past two decades.  </w:t>
      </w:r>
    </w:p>
    <w:p w14:paraId="56F02084" w14:textId="3BF07AD7" w:rsidR="008B1649" w:rsidRPr="00A61532" w:rsidRDefault="008B1649" w:rsidP="008B1649">
      <w:pPr>
        <w:ind w:firstLine="426"/>
      </w:pPr>
      <w:r w:rsidRPr="00A61532">
        <w:t xml:space="preserve">We find that corporate leaders have used their bargaining power to obtain gains for shareholders, executives, and directors. However, despite the prospects of possible adverse effects on stakeholders, corporate leaders made very little use of their bargaining power to protect the interests of </w:t>
      </w:r>
      <w:r w:rsidR="00860F80" w:rsidRPr="00A61532">
        <w:t>stakeholders and</w:t>
      </w:r>
      <w:r w:rsidRPr="00A61532">
        <w:t xml:space="preserve"> obtained no or only cosmetic protections for them. We conclude that constituency statutes failed to deliver the benefits to stakeholders that they were supposed to produce. </w:t>
      </w:r>
    </w:p>
    <w:p w14:paraId="18D46952" w14:textId="4462D76B" w:rsidR="00473CFD" w:rsidRPr="00A61532" w:rsidRDefault="00860F80" w:rsidP="009545ED">
      <w:pPr>
        <w:ind w:firstLine="426"/>
      </w:pPr>
      <w:r>
        <w:t>O</w:t>
      </w:r>
      <w:r w:rsidR="008B1649" w:rsidRPr="00A61532">
        <w:t xml:space="preserve">ur findings have important implications for the fundamental debate on </w:t>
      </w:r>
      <w:proofErr w:type="spellStart"/>
      <w:r w:rsidR="008B1649" w:rsidRPr="00A61532">
        <w:t>stakeholderism</w:t>
      </w:r>
      <w:proofErr w:type="spellEnd"/>
      <w:r w:rsidR="008B1649" w:rsidRPr="00A61532">
        <w:t xml:space="preserve">. </w:t>
      </w:r>
      <w:r w:rsidR="006878C0" w:rsidRPr="00A61532">
        <w:t xml:space="preserve">At a minimum, </w:t>
      </w:r>
      <w:proofErr w:type="spellStart"/>
      <w:r w:rsidR="006878C0" w:rsidRPr="00A61532">
        <w:t>stakeholderists</w:t>
      </w:r>
      <w:proofErr w:type="spellEnd"/>
      <w:r w:rsidR="006878C0" w:rsidRPr="00A61532">
        <w:t xml:space="preserve"> should identify the causes for the failure of constituency statutes and examine whether the adoption of their proposals would not suffer from a similar fate. </w:t>
      </w:r>
      <w:r>
        <w:t>W</w:t>
      </w:r>
      <w:r w:rsidR="006878C0" w:rsidRPr="00A61532">
        <w:t xml:space="preserve">e discuss several possible causes for the failure of constituency statutes and conclude that the most plausible cause is that corporate leaders have incentives not to protect stakeholders beyond what would serve shareholder interests. Therefore, we argue, </w:t>
      </w:r>
      <w:proofErr w:type="spellStart"/>
      <w:r w:rsidR="006878C0" w:rsidRPr="00A61532">
        <w:t>stakeholderism</w:t>
      </w:r>
      <w:proofErr w:type="spellEnd"/>
      <w:r w:rsidR="006878C0" w:rsidRPr="00A61532">
        <w:t xml:space="preserve"> should be expected to fail to deliver, as constituency statutes did, and should not be supported, even by those who deeply care about stakeholder interests</w:t>
      </w:r>
      <w:r w:rsidR="00473CFD" w:rsidRPr="00A61532">
        <w:t xml:space="preserve">. </w:t>
      </w:r>
    </w:p>
    <w:p w14:paraId="27D91C6C" w14:textId="77777777" w:rsidR="00473CFD" w:rsidRPr="00A61532" w:rsidRDefault="00473CFD" w:rsidP="00473CFD">
      <w:pPr>
        <w:ind w:firstLine="0"/>
        <w:rPr>
          <w:rFonts w:asciiTheme="majorBidi" w:hAnsiTheme="majorBidi" w:cstheme="majorBidi"/>
        </w:rPr>
      </w:pPr>
    </w:p>
    <w:p w14:paraId="4F242676" w14:textId="7D3967E8" w:rsidR="00473CFD" w:rsidRPr="00A61532" w:rsidRDefault="00473CFD" w:rsidP="00473CFD">
      <w:pPr>
        <w:ind w:firstLine="0"/>
      </w:pPr>
      <w:r w:rsidRPr="00A61532">
        <w:rPr>
          <w:bCs/>
        </w:rPr>
        <w:t>Keywords:</w:t>
      </w:r>
      <w:r w:rsidRPr="00A61532">
        <w:t xml:space="preserve"> corporate purpose, stakeholders, </w:t>
      </w:r>
      <w:proofErr w:type="spellStart"/>
      <w:r w:rsidRPr="00A61532">
        <w:t>stakeholderism</w:t>
      </w:r>
      <w:proofErr w:type="spellEnd"/>
      <w:r w:rsidRPr="00A61532">
        <w:t>, stakeholder governance, stakeholder capitalism, constituency statutes, corporate social responsibility, corporate governance, agency costs, entrenchment, accountability, managerialism, private equity, mergers &amp; acquisitions.</w:t>
      </w:r>
    </w:p>
    <w:p w14:paraId="1E542047" w14:textId="77777777" w:rsidR="008B1649" w:rsidRPr="00A61532" w:rsidRDefault="008B1649" w:rsidP="00473CFD">
      <w:pPr>
        <w:ind w:firstLine="0"/>
      </w:pPr>
    </w:p>
    <w:p w14:paraId="6383B707" w14:textId="1C66F3F9" w:rsidR="00473CFD" w:rsidRPr="00A61532" w:rsidRDefault="00473CFD" w:rsidP="00473CFD">
      <w:pPr>
        <w:ind w:firstLine="0"/>
        <w:rPr>
          <w:smallCaps/>
        </w:rPr>
      </w:pPr>
      <w:r w:rsidRPr="00A61532">
        <w:rPr>
          <w:bCs/>
        </w:rPr>
        <w:t>JEL Classification:</w:t>
      </w:r>
      <w:r w:rsidRPr="00CF1508">
        <w:rPr>
          <w:bCs/>
        </w:rPr>
        <w:t xml:space="preserve"> </w:t>
      </w:r>
      <w:r w:rsidRPr="00332FE2">
        <w:t>D21, G32, G34, G38, K22.</w:t>
      </w:r>
      <w:r w:rsidRPr="00A61532">
        <w:rPr>
          <w:rFonts w:ascii="NexusSansWebPro" w:hAnsi="NexusSansWebPro"/>
          <w:color w:val="505050"/>
          <w:shd w:val="clear" w:color="auto" w:fill="FFFFFF"/>
        </w:rPr>
        <w:t xml:space="preserve"> </w:t>
      </w:r>
    </w:p>
    <w:p w14:paraId="34AA696E" w14:textId="089B6FDD" w:rsidR="008B1649" w:rsidRPr="00A61532" w:rsidRDefault="008B1649" w:rsidP="00473CFD">
      <w:pPr>
        <w:ind w:firstLine="0"/>
        <w:rPr>
          <w:smallCaps/>
        </w:rPr>
      </w:pPr>
    </w:p>
    <w:p w14:paraId="4E1F2F07" w14:textId="78146248" w:rsidR="0019364B" w:rsidRDefault="0019364B">
      <w:pPr>
        <w:widowControl/>
        <w:ind w:firstLine="0"/>
        <w:jc w:val="left"/>
        <w:rPr>
          <w:smallCaps/>
        </w:rPr>
      </w:pPr>
      <w:r>
        <w:rPr>
          <w:smallCaps/>
        </w:rPr>
        <w:br w:type="page"/>
      </w:r>
    </w:p>
    <w:p w14:paraId="0213BD58" w14:textId="54E154EC" w:rsidR="00D27291" w:rsidRPr="00A61532" w:rsidRDefault="00D27291" w:rsidP="00473CFD">
      <w:pPr>
        <w:ind w:firstLine="0"/>
        <w:jc w:val="center"/>
        <w:rPr>
          <w:smallCaps/>
        </w:rPr>
      </w:pPr>
      <w:r w:rsidRPr="00A61532">
        <w:rPr>
          <w:smallCaps/>
        </w:rPr>
        <w:lastRenderedPageBreak/>
        <w:t>Table of Contents</w:t>
      </w:r>
    </w:p>
    <w:p w14:paraId="4A5392BE" w14:textId="77777777" w:rsidR="00D27291" w:rsidRPr="00A61532" w:rsidRDefault="00D27291" w:rsidP="00D27291"/>
    <w:p w14:paraId="73C812D0" w14:textId="509ADDC4" w:rsidR="00581B6B" w:rsidRDefault="00D27291">
      <w:pPr>
        <w:pStyle w:val="TOC1"/>
        <w:rPr>
          <w:rFonts w:asciiTheme="minorHAnsi" w:eastAsiaTheme="minorEastAsia" w:hAnsiTheme="minorHAnsi" w:cstheme="minorBidi"/>
          <w:noProof/>
          <w:kern w:val="0"/>
          <w:sz w:val="22"/>
          <w:szCs w:val="22"/>
          <w:lang w:bidi="he-IL"/>
        </w:rPr>
      </w:pPr>
      <w:r w:rsidRPr="00A61532">
        <w:rPr>
          <w:smallCaps/>
          <w:sz w:val="21"/>
          <w:szCs w:val="21"/>
          <w:lang w:bidi="he-IL"/>
        </w:rPr>
        <w:fldChar w:fldCharType="begin"/>
      </w:r>
      <w:r w:rsidRPr="00A61532">
        <w:rPr>
          <w:sz w:val="21"/>
          <w:szCs w:val="21"/>
        </w:rPr>
        <w:instrText xml:space="preserve"> TOC \o "1-3" \h \z \u </w:instrText>
      </w:r>
      <w:r w:rsidRPr="00A61532">
        <w:rPr>
          <w:smallCaps/>
          <w:sz w:val="21"/>
          <w:szCs w:val="21"/>
          <w:lang w:bidi="he-IL"/>
        </w:rPr>
        <w:fldChar w:fldCharType="separate"/>
      </w:r>
      <w:hyperlink w:anchor="_Toc47885984" w:history="1">
        <w:r w:rsidR="00581B6B" w:rsidRPr="00756ABB">
          <w:rPr>
            <w:rStyle w:val="Hyperlink"/>
            <w:noProof/>
          </w:rPr>
          <w:t>I. Introduction</w:t>
        </w:r>
        <w:r w:rsidR="00581B6B">
          <w:rPr>
            <w:noProof/>
            <w:webHidden/>
          </w:rPr>
          <w:tab/>
        </w:r>
        <w:r w:rsidR="00581B6B">
          <w:rPr>
            <w:rStyle w:val="Hyperlink"/>
            <w:noProof/>
            <w:rtl/>
          </w:rPr>
          <w:fldChar w:fldCharType="begin"/>
        </w:r>
        <w:r w:rsidR="00581B6B">
          <w:rPr>
            <w:noProof/>
            <w:webHidden/>
          </w:rPr>
          <w:instrText xml:space="preserve"> PAGEREF _Toc47885984 \h </w:instrText>
        </w:r>
        <w:r w:rsidR="00581B6B">
          <w:rPr>
            <w:rStyle w:val="Hyperlink"/>
            <w:noProof/>
            <w:rtl/>
          </w:rPr>
        </w:r>
        <w:r w:rsidR="00581B6B">
          <w:rPr>
            <w:rStyle w:val="Hyperlink"/>
            <w:noProof/>
            <w:rtl/>
          </w:rPr>
          <w:fldChar w:fldCharType="separate"/>
        </w:r>
        <w:r w:rsidR="00581B6B">
          <w:rPr>
            <w:noProof/>
            <w:webHidden/>
          </w:rPr>
          <w:t>1</w:t>
        </w:r>
        <w:r w:rsidR="00581B6B">
          <w:rPr>
            <w:rStyle w:val="Hyperlink"/>
            <w:noProof/>
            <w:rtl/>
          </w:rPr>
          <w:fldChar w:fldCharType="end"/>
        </w:r>
      </w:hyperlink>
    </w:p>
    <w:p w14:paraId="5D86B457" w14:textId="2B9D88B6" w:rsidR="00581B6B" w:rsidRDefault="00B77C00">
      <w:pPr>
        <w:pStyle w:val="TOC1"/>
        <w:rPr>
          <w:rFonts w:asciiTheme="minorHAnsi" w:eastAsiaTheme="minorEastAsia" w:hAnsiTheme="minorHAnsi" w:cstheme="minorBidi"/>
          <w:noProof/>
          <w:kern w:val="0"/>
          <w:sz w:val="22"/>
          <w:szCs w:val="22"/>
          <w:lang w:bidi="he-IL"/>
        </w:rPr>
      </w:pPr>
      <w:hyperlink w:anchor="_Toc47885985" w:history="1">
        <w:r w:rsidR="00581B6B" w:rsidRPr="00756ABB">
          <w:rPr>
            <w:rStyle w:val="Hyperlink"/>
            <w:rFonts w:eastAsia="SimHei"/>
            <w:noProof/>
          </w:rPr>
          <w:t>II. The Stakeholderism Debate</w:t>
        </w:r>
        <w:r w:rsidR="00581B6B">
          <w:rPr>
            <w:noProof/>
            <w:webHidden/>
          </w:rPr>
          <w:tab/>
        </w:r>
        <w:r w:rsidR="00581B6B">
          <w:rPr>
            <w:rStyle w:val="Hyperlink"/>
            <w:noProof/>
            <w:rtl/>
          </w:rPr>
          <w:fldChar w:fldCharType="begin"/>
        </w:r>
        <w:r w:rsidR="00581B6B">
          <w:rPr>
            <w:noProof/>
            <w:webHidden/>
          </w:rPr>
          <w:instrText xml:space="preserve"> PAGEREF _Toc47885985 \h </w:instrText>
        </w:r>
        <w:r w:rsidR="00581B6B">
          <w:rPr>
            <w:rStyle w:val="Hyperlink"/>
            <w:noProof/>
            <w:rtl/>
          </w:rPr>
        </w:r>
        <w:r w:rsidR="00581B6B">
          <w:rPr>
            <w:rStyle w:val="Hyperlink"/>
            <w:noProof/>
            <w:rtl/>
          </w:rPr>
          <w:fldChar w:fldCharType="separate"/>
        </w:r>
        <w:r w:rsidR="00581B6B">
          <w:rPr>
            <w:noProof/>
            <w:webHidden/>
          </w:rPr>
          <w:t>5</w:t>
        </w:r>
        <w:r w:rsidR="00581B6B">
          <w:rPr>
            <w:rStyle w:val="Hyperlink"/>
            <w:noProof/>
            <w:rtl/>
          </w:rPr>
          <w:fldChar w:fldCharType="end"/>
        </w:r>
      </w:hyperlink>
    </w:p>
    <w:p w14:paraId="13C15456" w14:textId="4AA53D7C" w:rsidR="00581B6B" w:rsidRDefault="00B77C00">
      <w:pPr>
        <w:pStyle w:val="TOC2"/>
        <w:rPr>
          <w:rFonts w:asciiTheme="minorHAnsi" w:eastAsiaTheme="minorEastAsia" w:hAnsiTheme="minorHAnsi" w:cstheme="minorBidi"/>
          <w:kern w:val="0"/>
          <w:sz w:val="22"/>
          <w:szCs w:val="22"/>
          <w:lang w:bidi="he-IL"/>
        </w:rPr>
      </w:pPr>
      <w:hyperlink w:anchor="_Toc47885986" w:history="1">
        <w:r w:rsidR="00581B6B" w:rsidRPr="00756ABB">
          <w:rPr>
            <w:rStyle w:val="Hyperlink"/>
            <w:rFonts w:eastAsia="SimHei"/>
          </w:rPr>
          <w:t>A. A Critical Juncture</w:t>
        </w:r>
        <w:r w:rsidR="00581B6B">
          <w:rPr>
            <w:webHidden/>
          </w:rPr>
          <w:tab/>
        </w:r>
        <w:r w:rsidR="00581B6B">
          <w:rPr>
            <w:rStyle w:val="Hyperlink"/>
            <w:rtl/>
          </w:rPr>
          <w:fldChar w:fldCharType="begin"/>
        </w:r>
        <w:r w:rsidR="00581B6B">
          <w:rPr>
            <w:webHidden/>
          </w:rPr>
          <w:instrText xml:space="preserve"> PAGEREF _Toc47885986 \h </w:instrText>
        </w:r>
        <w:r w:rsidR="00581B6B">
          <w:rPr>
            <w:rStyle w:val="Hyperlink"/>
            <w:rtl/>
          </w:rPr>
        </w:r>
        <w:r w:rsidR="00581B6B">
          <w:rPr>
            <w:rStyle w:val="Hyperlink"/>
            <w:rtl/>
          </w:rPr>
          <w:fldChar w:fldCharType="separate"/>
        </w:r>
        <w:r w:rsidR="00581B6B">
          <w:rPr>
            <w:webHidden/>
          </w:rPr>
          <w:t>5</w:t>
        </w:r>
        <w:r w:rsidR="00581B6B">
          <w:rPr>
            <w:rStyle w:val="Hyperlink"/>
            <w:rtl/>
          </w:rPr>
          <w:fldChar w:fldCharType="end"/>
        </w:r>
      </w:hyperlink>
    </w:p>
    <w:p w14:paraId="7ACD1BD7" w14:textId="7AC0C3EE" w:rsidR="00581B6B" w:rsidRDefault="00B77C00">
      <w:pPr>
        <w:pStyle w:val="TOC2"/>
        <w:rPr>
          <w:rFonts w:asciiTheme="minorHAnsi" w:eastAsiaTheme="minorEastAsia" w:hAnsiTheme="minorHAnsi" w:cstheme="minorBidi"/>
          <w:kern w:val="0"/>
          <w:sz w:val="22"/>
          <w:szCs w:val="22"/>
          <w:lang w:bidi="he-IL"/>
        </w:rPr>
      </w:pPr>
      <w:hyperlink w:anchor="_Toc47885987" w:history="1">
        <w:r w:rsidR="00581B6B" w:rsidRPr="00756ABB">
          <w:rPr>
            <w:rStyle w:val="Hyperlink"/>
          </w:rPr>
          <w:t>B. Stakeholderism</w:t>
        </w:r>
        <w:r w:rsidR="00581B6B">
          <w:rPr>
            <w:webHidden/>
          </w:rPr>
          <w:tab/>
        </w:r>
        <w:r w:rsidR="00581B6B">
          <w:rPr>
            <w:rStyle w:val="Hyperlink"/>
            <w:rtl/>
          </w:rPr>
          <w:fldChar w:fldCharType="begin"/>
        </w:r>
        <w:r w:rsidR="00581B6B">
          <w:rPr>
            <w:webHidden/>
          </w:rPr>
          <w:instrText xml:space="preserve"> PAGEREF _Toc47885987 \h </w:instrText>
        </w:r>
        <w:r w:rsidR="00581B6B">
          <w:rPr>
            <w:rStyle w:val="Hyperlink"/>
            <w:rtl/>
          </w:rPr>
        </w:r>
        <w:r w:rsidR="00581B6B">
          <w:rPr>
            <w:rStyle w:val="Hyperlink"/>
            <w:rtl/>
          </w:rPr>
          <w:fldChar w:fldCharType="separate"/>
        </w:r>
        <w:r w:rsidR="00581B6B">
          <w:rPr>
            <w:webHidden/>
          </w:rPr>
          <w:t>7</w:t>
        </w:r>
        <w:r w:rsidR="00581B6B">
          <w:rPr>
            <w:rStyle w:val="Hyperlink"/>
            <w:rtl/>
          </w:rPr>
          <w:fldChar w:fldCharType="end"/>
        </w:r>
      </w:hyperlink>
    </w:p>
    <w:p w14:paraId="29B1F494" w14:textId="7A137EA8" w:rsidR="00581B6B" w:rsidRDefault="00B77C00">
      <w:pPr>
        <w:pStyle w:val="TOC2"/>
        <w:rPr>
          <w:rFonts w:asciiTheme="minorHAnsi" w:eastAsiaTheme="minorEastAsia" w:hAnsiTheme="minorHAnsi" w:cstheme="minorBidi"/>
          <w:kern w:val="0"/>
          <w:sz w:val="22"/>
          <w:szCs w:val="22"/>
          <w:lang w:bidi="he-IL"/>
        </w:rPr>
      </w:pPr>
      <w:hyperlink w:anchor="_Toc47885988" w:history="1">
        <w:r w:rsidR="00581B6B" w:rsidRPr="00756ABB">
          <w:rPr>
            <w:rStyle w:val="Hyperlink"/>
          </w:rPr>
          <w:t>C. The Agency Theory Critique of Stakeholderism</w:t>
        </w:r>
        <w:r w:rsidR="00581B6B">
          <w:rPr>
            <w:webHidden/>
          </w:rPr>
          <w:tab/>
        </w:r>
        <w:r w:rsidR="00581B6B">
          <w:rPr>
            <w:rStyle w:val="Hyperlink"/>
            <w:rtl/>
          </w:rPr>
          <w:fldChar w:fldCharType="begin"/>
        </w:r>
        <w:r w:rsidR="00581B6B">
          <w:rPr>
            <w:webHidden/>
          </w:rPr>
          <w:instrText xml:space="preserve"> PAGEREF _Toc47885988 \h </w:instrText>
        </w:r>
        <w:r w:rsidR="00581B6B">
          <w:rPr>
            <w:rStyle w:val="Hyperlink"/>
            <w:rtl/>
          </w:rPr>
        </w:r>
        <w:r w:rsidR="00581B6B">
          <w:rPr>
            <w:rStyle w:val="Hyperlink"/>
            <w:rtl/>
          </w:rPr>
          <w:fldChar w:fldCharType="separate"/>
        </w:r>
        <w:r w:rsidR="00581B6B">
          <w:rPr>
            <w:webHidden/>
          </w:rPr>
          <w:t>9</w:t>
        </w:r>
        <w:r w:rsidR="00581B6B">
          <w:rPr>
            <w:rStyle w:val="Hyperlink"/>
            <w:rtl/>
          </w:rPr>
          <w:fldChar w:fldCharType="end"/>
        </w:r>
      </w:hyperlink>
    </w:p>
    <w:p w14:paraId="2B0093C7" w14:textId="5EFAE877" w:rsidR="00581B6B" w:rsidRDefault="00B77C00">
      <w:pPr>
        <w:pStyle w:val="TOC1"/>
        <w:rPr>
          <w:rFonts w:asciiTheme="minorHAnsi" w:eastAsiaTheme="minorEastAsia" w:hAnsiTheme="minorHAnsi" w:cstheme="minorBidi"/>
          <w:noProof/>
          <w:kern w:val="0"/>
          <w:sz w:val="22"/>
          <w:szCs w:val="22"/>
          <w:lang w:bidi="he-IL"/>
        </w:rPr>
      </w:pPr>
      <w:hyperlink w:anchor="_Toc47885989" w:history="1">
        <w:r w:rsidR="00581B6B" w:rsidRPr="00756ABB">
          <w:rPr>
            <w:rStyle w:val="Hyperlink"/>
            <w:rFonts w:eastAsia="SimHei"/>
            <w:noProof/>
          </w:rPr>
          <w:t>III. Towards an Empirical Test of Stakeholderism</w:t>
        </w:r>
        <w:r w:rsidR="00581B6B">
          <w:rPr>
            <w:noProof/>
            <w:webHidden/>
          </w:rPr>
          <w:tab/>
        </w:r>
        <w:r w:rsidR="00581B6B">
          <w:rPr>
            <w:rStyle w:val="Hyperlink"/>
            <w:noProof/>
            <w:rtl/>
          </w:rPr>
          <w:fldChar w:fldCharType="begin"/>
        </w:r>
        <w:r w:rsidR="00581B6B">
          <w:rPr>
            <w:noProof/>
            <w:webHidden/>
          </w:rPr>
          <w:instrText xml:space="preserve"> PAGEREF _Toc47885989 \h </w:instrText>
        </w:r>
        <w:r w:rsidR="00581B6B">
          <w:rPr>
            <w:rStyle w:val="Hyperlink"/>
            <w:noProof/>
            <w:rtl/>
          </w:rPr>
        </w:r>
        <w:r w:rsidR="00581B6B">
          <w:rPr>
            <w:rStyle w:val="Hyperlink"/>
            <w:noProof/>
            <w:rtl/>
          </w:rPr>
          <w:fldChar w:fldCharType="separate"/>
        </w:r>
        <w:r w:rsidR="00581B6B">
          <w:rPr>
            <w:noProof/>
            <w:webHidden/>
          </w:rPr>
          <w:t>10</w:t>
        </w:r>
        <w:r w:rsidR="00581B6B">
          <w:rPr>
            <w:rStyle w:val="Hyperlink"/>
            <w:noProof/>
            <w:rtl/>
          </w:rPr>
          <w:fldChar w:fldCharType="end"/>
        </w:r>
      </w:hyperlink>
    </w:p>
    <w:p w14:paraId="5032141B" w14:textId="199EB912" w:rsidR="00581B6B" w:rsidRDefault="00B77C00">
      <w:pPr>
        <w:pStyle w:val="TOC2"/>
        <w:rPr>
          <w:rFonts w:asciiTheme="minorHAnsi" w:eastAsiaTheme="minorEastAsia" w:hAnsiTheme="minorHAnsi" w:cstheme="minorBidi"/>
          <w:kern w:val="0"/>
          <w:sz w:val="22"/>
          <w:szCs w:val="22"/>
          <w:lang w:bidi="he-IL"/>
        </w:rPr>
      </w:pPr>
      <w:hyperlink w:anchor="_Toc47885990" w:history="1">
        <w:r w:rsidR="00581B6B" w:rsidRPr="00756ABB">
          <w:rPr>
            <w:rStyle w:val="Hyperlink"/>
            <w:rFonts w:eastAsia="SimHei"/>
          </w:rPr>
          <w:t>A. Constituency Statutes</w:t>
        </w:r>
        <w:r w:rsidR="00581B6B">
          <w:rPr>
            <w:webHidden/>
          </w:rPr>
          <w:tab/>
        </w:r>
        <w:r w:rsidR="00581B6B">
          <w:rPr>
            <w:rStyle w:val="Hyperlink"/>
            <w:rtl/>
          </w:rPr>
          <w:fldChar w:fldCharType="begin"/>
        </w:r>
        <w:r w:rsidR="00581B6B">
          <w:rPr>
            <w:webHidden/>
          </w:rPr>
          <w:instrText xml:space="preserve"> PAGEREF _Toc47885990 \h </w:instrText>
        </w:r>
        <w:r w:rsidR="00581B6B">
          <w:rPr>
            <w:rStyle w:val="Hyperlink"/>
            <w:rtl/>
          </w:rPr>
        </w:r>
        <w:r w:rsidR="00581B6B">
          <w:rPr>
            <w:rStyle w:val="Hyperlink"/>
            <w:rtl/>
          </w:rPr>
          <w:fldChar w:fldCharType="separate"/>
        </w:r>
        <w:r w:rsidR="00581B6B">
          <w:rPr>
            <w:webHidden/>
          </w:rPr>
          <w:t>11</w:t>
        </w:r>
        <w:r w:rsidR="00581B6B">
          <w:rPr>
            <w:rStyle w:val="Hyperlink"/>
            <w:rtl/>
          </w:rPr>
          <w:fldChar w:fldCharType="end"/>
        </w:r>
      </w:hyperlink>
    </w:p>
    <w:p w14:paraId="2C3A2F58" w14:textId="6FADE38C"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5991" w:history="1">
        <w:r w:rsidR="00581B6B" w:rsidRPr="00756ABB">
          <w:rPr>
            <w:rStyle w:val="Hyperlink"/>
          </w:rPr>
          <w:t>1.</w:t>
        </w:r>
        <w:r w:rsidR="00581B6B">
          <w:rPr>
            <w:rFonts w:asciiTheme="minorHAnsi" w:eastAsiaTheme="minorEastAsia" w:hAnsiTheme="minorHAnsi" w:cstheme="minorBidi"/>
            <w:kern w:val="0"/>
            <w:sz w:val="22"/>
            <w:szCs w:val="22"/>
            <w:lang w:bidi="he-IL"/>
          </w:rPr>
          <w:tab/>
        </w:r>
        <w:r w:rsidR="00581B6B" w:rsidRPr="00756ABB">
          <w:rPr>
            <w:rStyle w:val="Hyperlink"/>
          </w:rPr>
          <w:t>The Promise of Constituency Statutes</w:t>
        </w:r>
        <w:r w:rsidR="00581B6B">
          <w:rPr>
            <w:webHidden/>
          </w:rPr>
          <w:tab/>
        </w:r>
        <w:r w:rsidR="00581B6B">
          <w:rPr>
            <w:rStyle w:val="Hyperlink"/>
            <w:rtl/>
          </w:rPr>
          <w:fldChar w:fldCharType="begin"/>
        </w:r>
        <w:r w:rsidR="00581B6B">
          <w:rPr>
            <w:webHidden/>
          </w:rPr>
          <w:instrText xml:space="preserve"> PAGEREF _Toc47885991 \h </w:instrText>
        </w:r>
        <w:r w:rsidR="00581B6B">
          <w:rPr>
            <w:rStyle w:val="Hyperlink"/>
            <w:rtl/>
          </w:rPr>
        </w:r>
        <w:r w:rsidR="00581B6B">
          <w:rPr>
            <w:rStyle w:val="Hyperlink"/>
            <w:rtl/>
          </w:rPr>
          <w:fldChar w:fldCharType="separate"/>
        </w:r>
        <w:r w:rsidR="00581B6B">
          <w:rPr>
            <w:webHidden/>
          </w:rPr>
          <w:t>11</w:t>
        </w:r>
        <w:r w:rsidR="00581B6B">
          <w:rPr>
            <w:rStyle w:val="Hyperlink"/>
            <w:rtl/>
          </w:rPr>
          <w:fldChar w:fldCharType="end"/>
        </w:r>
      </w:hyperlink>
    </w:p>
    <w:p w14:paraId="4F370D26" w14:textId="1A17B063"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5992" w:history="1">
        <w:r w:rsidR="00581B6B" w:rsidRPr="00756ABB">
          <w:rPr>
            <w:rStyle w:val="Hyperlink"/>
          </w:rPr>
          <w:t>2.</w:t>
        </w:r>
        <w:r w:rsidR="00581B6B">
          <w:rPr>
            <w:rFonts w:asciiTheme="minorHAnsi" w:eastAsiaTheme="minorEastAsia" w:hAnsiTheme="minorHAnsi" w:cstheme="minorBidi"/>
            <w:kern w:val="0"/>
            <w:sz w:val="22"/>
            <w:szCs w:val="22"/>
            <w:lang w:bidi="he-IL"/>
          </w:rPr>
          <w:tab/>
        </w:r>
        <w:r w:rsidR="00581B6B" w:rsidRPr="00756ABB">
          <w:rPr>
            <w:rStyle w:val="Hyperlink"/>
          </w:rPr>
          <w:t>Variations in the Constituency Statutes</w:t>
        </w:r>
        <w:r w:rsidR="00581B6B">
          <w:rPr>
            <w:webHidden/>
          </w:rPr>
          <w:tab/>
        </w:r>
        <w:r w:rsidR="00581B6B">
          <w:rPr>
            <w:rStyle w:val="Hyperlink"/>
            <w:rtl/>
          </w:rPr>
          <w:fldChar w:fldCharType="begin"/>
        </w:r>
        <w:r w:rsidR="00581B6B">
          <w:rPr>
            <w:webHidden/>
          </w:rPr>
          <w:instrText xml:space="preserve"> PAGEREF _Toc47885992 \h </w:instrText>
        </w:r>
        <w:r w:rsidR="00581B6B">
          <w:rPr>
            <w:rStyle w:val="Hyperlink"/>
            <w:rtl/>
          </w:rPr>
        </w:r>
        <w:r w:rsidR="00581B6B">
          <w:rPr>
            <w:rStyle w:val="Hyperlink"/>
            <w:rtl/>
          </w:rPr>
          <w:fldChar w:fldCharType="separate"/>
        </w:r>
        <w:r w:rsidR="00581B6B">
          <w:rPr>
            <w:webHidden/>
          </w:rPr>
          <w:t>15</w:t>
        </w:r>
        <w:r w:rsidR="00581B6B">
          <w:rPr>
            <w:rStyle w:val="Hyperlink"/>
            <w:rtl/>
          </w:rPr>
          <w:fldChar w:fldCharType="end"/>
        </w:r>
      </w:hyperlink>
    </w:p>
    <w:p w14:paraId="0E003DE7" w14:textId="4E359234"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5993" w:history="1">
        <w:r w:rsidR="00581B6B" w:rsidRPr="00756ABB">
          <w:rPr>
            <w:rStyle w:val="Hyperlink"/>
          </w:rPr>
          <w:t>3.</w:t>
        </w:r>
        <w:r w:rsidR="00581B6B">
          <w:rPr>
            <w:rFonts w:asciiTheme="minorHAnsi" w:eastAsiaTheme="minorEastAsia" w:hAnsiTheme="minorHAnsi" w:cstheme="minorBidi"/>
            <w:kern w:val="0"/>
            <w:sz w:val="22"/>
            <w:szCs w:val="22"/>
            <w:lang w:bidi="he-IL"/>
          </w:rPr>
          <w:tab/>
        </w:r>
        <w:r w:rsidR="00581B6B" w:rsidRPr="00756ABB">
          <w:rPr>
            <w:rStyle w:val="Hyperlink"/>
          </w:rPr>
          <w:t>The Discretionary Power to Protect Stakeholders</w:t>
        </w:r>
        <w:r w:rsidR="00581B6B">
          <w:rPr>
            <w:webHidden/>
          </w:rPr>
          <w:tab/>
        </w:r>
        <w:r w:rsidR="00581B6B">
          <w:rPr>
            <w:rStyle w:val="Hyperlink"/>
            <w:rtl/>
          </w:rPr>
          <w:fldChar w:fldCharType="begin"/>
        </w:r>
        <w:r w:rsidR="00581B6B">
          <w:rPr>
            <w:webHidden/>
          </w:rPr>
          <w:instrText xml:space="preserve"> PAGEREF _Toc47885993 \h </w:instrText>
        </w:r>
        <w:r w:rsidR="00581B6B">
          <w:rPr>
            <w:rStyle w:val="Hyperlink"/>
            <w:rtl/>
          </w:rPr>
        </w:r>
        <w:r w:rsidR="00581B6B">
          <w:rPr>
            <w:rStyle w:val="Hyperlink"/>
            <w:rtl/>
          </w:rPr>
          <w:fldChar w:fldCharType="separate"/>
        </w:r>
        <w:r w:rsidR="00581B6B">
          <w:rPr>
            <w:webHidden/>
          </w:rPr>
          <w:t>16</w:t>
        </w:r>
        <w:r w:rsidR="00581B6B">
          <w:rPr>
            <w:rStyle w:val="Hyperlink"/>
            <w:rtl/>
          </w:rPr>
          <w:fldChar w:fldCharType="end"/>
        </w:r>
      </w:hyperlink>
    </w:p>
    <w:p w14:paraId="3A538B41" w14:textId="60B52723" w:rsidR="00581B6B" w:rsidRDefault="00B77C00">
      <w:pPr>
        <w:pStyle w:val="TOC2"/>
        <w:rPr>
          <w:rFonts w:asciiTheme="minorHAnsi" w:eastAsiaTheme="minorEastAsia" w:hAnsiTheme="minorHAnsi" w:cstheme="minorBidi"/>
          <w:kern w:val="0"/>
          <w:sz w:val="22"/>
          <w:szCs w:val="22"/>
          <w:lang w:bidi="he-IL"/>
        </w:rPr>
      </w:pPr>
      <w:hyperlink w:anchor="_Toc47885994" w:history="1">
        <w:r w:rsidR="00581B6B" w:rsidRPr="00756ABB">
          <w:rPr>
            <w:rStyle w:val="Hyperlink"/>
          </w:rPr>
          <w:t>B. Private Equity Deals</w:t>
        </w:r>
        <w:r w:rsidR="00581B6B">
          <w:rPr>
            <w:webHidden/>
          </w:rPr>
          <w:tab/>
        </w:r>
        <w:r w:rsidR="00581B6B">
          <w:rPr>
            <w:rStyle w:val="Hyperlink"/>
            <w:rtl/>
          </w:rPr>
          <w:fldChar w:fldCharType="begin"/>
        </w:r>
        <w:r w:rsidR="00581B6B">
          <w:rPr>
            <w:webHidden/>
          </w:rPr>
          <w:instrText xml:space="preserve"> PAGEREF _Toc47885994 \h </w:instrText>
        </w:r>
        <w:r w:rsidR="00581B6B">
          <w:rPr>
            <w:rStyle w:val="Hyperlink"/>
            <w:rtl/>
          </w:rPr>
        </w:r>
        <w:r w:rsidR="00581B6B">
          <w:rPr>
            <w:rStyle w:val="Hyperlink"/>
            <w:rtl/>
          </w:rPr>
          <w:fldChar w:fldCharType="separate"/>
        </w:r>
        <w:r w:rsidR="00581B6B">
          <w:rPr>
            <w:webHidden/>
          </w:rPr>
          <w:t>19</w:t>
        </w:r>
        <w:r w:rsidR="00581B6B">
          <w:rPr>
            <w:rStyle w:val="Hyperlink"/>
            <w:rtl/>
          </w:rPr>
          <w:fldChar w:fldCharType="end"/>
        </w:r>
      </w:hyperlink>
    </w:p>
    <w:p w14:paraId="32120944" w14:textId="7F102AEF" w:rsidR="00581B6B" w:rsidRDefault="00B77C00">
      <w:pPr>
        <w:pStyle w:val="TOC1"/>
        <w:rPr>
          <w:rFonts w:asciiTheme="minorHAnsi" w:eastAsiaTheme="minorEastAsia" w:hAnsiTheme="minorHAnsi" w:cstheme="minorBidi"/>
          <w:noProof/>
          <w:kern w:val="0"/>
          <w:sz w:val="22"/>
          <w:szCs w:val="22"/>
          <w:lang w:bidi="he-IL"/>
        </w:rPr>
      </w:pPr>
      <w:hyperlink w:anchor="_Toc47885995" w:history="1">
        <w:r w:rsidR="00581B6B" w:rsidRPr="00756ABB">
          <w:rPr>
            <w:rStyle w:val="Hyperlink"/>
            <w:rFonts w:eastAsia="SimSun"/>
            <w:noProof/>
          </w:rPr>
          <w:t>IV. Empirical Analysis</w:t>
        </w:r>
        <w:r w:rsidR="00581B6B">
          <w:rPr>
            <w:noProof/>
            <w:webHidden/>
          </w:rPr>
          <w:tab/>
        </w:r>
        <w:r w:rsidR="00581B6B">
          <w:rPr>
            <w:rStyle w:val="Hyperlink"/>
            <w:noProof/>
            <w:rtl/>
          </w:rPr>
          <w:fldChar w:fldCharType="begin"/>
        </w:r>
        <w:r w:rsidR="00581B6B">
          <w:rPr>
            <w:noProof/>
            <w:webHidden/>
          </w:rPr>
          <w:instrText xml:space="preserve"> PAGEREF _Toc47885995 \h </w:instrText>
        </w:r>
        <w:r w:rsidR="00581B6B">
          <w:rPr>
            <w:rStyle w:val="Hyperlink"/>
            <w:noProof/>
            <w:rtl/>
          </w:rPr>
        </w:r>
        <w:r w:rsidR="00581B6B">
          <w:rPr>
            <w:rStyle w:val="Hyperlink"/>
            <w:noProof/>
            <w:rtl/>
          </w:rPr>
          <w:fldChar w:fldCharType="separate"/>
        </w:r>
        <w:r w:rsidR="00581B6B">
          <w:rPr>
            <w:noProof/>
            <w:webHidden/>
          </w:rPr>
          <w:t>21</w:t>
        </w:r>
        <w:r w:rsidR="00581B6B">
          <w:rPr>
            <w:rStyle w:val="Hyperlink"/>
            <w:noProof/>
            <w:rtl/>
          </w:rPr>
          <w:fldChar w:fldCharType="end"/>
        </w:r>
      </w:hyperlink>
    </w:p>
    <w:p w14:paraId="78FA4892" w14:textId="13D86960" w:rsidR="00581B6B" w:rsidRDefault="00B77C00">
      <w:pPr>
        <w:pStyle w:val="TOC2"/>
        <w:rPr>
          <w:rFonts w:asciiTheme="minorHAnsi" w:eastAsiaTheme="minorEastAsia" w:hAnsiTheme="minorHAnsi" w:cstheme="minorBidi"/>
          <w:kern w:val="0"/>
          <w:sz w:val="22"/>
          <w:szCs w:val="22"/>
          <w:lang w:bidi="he-IL"/>
        </w:rPr>
      </w:pPr>
      <w:hyperlink w:anchor="_Toc47885996" w:history="1">
        <w:r w:rsidR="00581B6B" w:rsidRPr="00756ABB">
          <w:rPr>
            <w:rStyle w:val="Hyperlink"/>
            <w:rFonts w:eastAsia="SimSun"/>
          </w:rPr>
          <w:t>A. Universe of Cases</w:t>
        </w:r>
        <w:r w:rsidR="00581B6B">
          <w:rPr>
            <w:webHidden/>
          </w:rPr>
          <w:tab/>
        </w:r>
        <w:r w:rsidR="00581B6B">
          <w:rPr>
            <w:rStyle w:val="Hyperlink"/>
            <w:rtl/>
          </w:rPr>
          <w:fldChar w:fldCharType="begin"/>
        </w:r>
        <w:r w:rsidR="00581B6B">
          <w:rPr>
            <w:webHidden/>
          </w:rPr>
          <w:instrText xml:space="preserve"> PAGEREF _Toc47885996 \h </w:instrText>
        </w:r>
        <w:r w:rsidR="00581B6B">
          <w:rPr>
            <w:rStyle w:val="Hyperlink"/>
            <w:rtl/>
          </w:rPr>
        </w:r>
        <w:r w:rsidR="00581B6B">
          <w:rPr>
            <w:rStyle w:val="Hyperlink"/>
            <w:rtl/>
          </w:rPr>
          <w:fldChar w:fldCharType="separate"/>
        </w:r>
        <w:r w:rsidR="00581B6B">
          <w:rPr>
            <w:webHidden/>
          </w:rPr>
          <w:t>21</w:t>
        </w:r>
        <w:r w:rsidR="00581B6B">
          <w:rPr>
            <w:rStyle w:val="Hyperlink"/>
            <w:rtl/>
          </w:rPr>
          <w:fldChar w:fldCharType="end"/>
        </w:r>
      </w:hyperlink>
    </w:p>
    <w:p w14:paraId="34BF0532" w14:textId="5519220D"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5997" w:history="1">
        <w:r w:rsidR="00581B6B" w:rsidRPr="00756ABB">
          <w:rPr>
            <w:rStyle w:val="Hyperlink"/>
          </w:rPr>
          <w:t>1.</w:t>
        </w:r>
        <w:r w:rsidR="00581B6B">
          <w:rPr>
            <w:rFonts w:asciiTheme="minorHAnsi" w:eastAsiaTheme="minorEastAsia" w:hAnsiTheme="minorHAnsi" w:cstheme="minorBidi"/>
            <w:kern w:val="0"/>
            <w:sz w:val="22"/>
            <w:szCs w:val="22"/>
            <w:lang w:bidi="he-IL"/>
          </w:rPr>
          <w:tab/>
        </w:r>
        <w:r w:rsidR="00581B6B" w:rsidRPr="00756ABB">
          <w:rPr>
            <w:rStyle w:val="Hyperlink"/>
          </w:rPr>
          <w:t>Data Collection</w:t>
        </w:r>
        <w:r w:rsidR="00581B6B">
          <w:rPr>
            <w:webHidden/>
          </w:rPr>
          <w:tab/>
        </w:r>
        <w:r w:rsidR="00581B6B">
          <w:rPr>
            <w:rStyle w:val="Hyperlink"/>
            <w:rtl/>
          </w:rPr>
          <w:fldChar w:fldCharType="begin"/>
        </w:r>
        <w:r w:rsidR="00581B6B">
          <w:rPr>
            <w:webHidden/>
          </w:rPr>
          <w:instrText xml:space="preserve"> PAGEREF _Toc47885997 \h </w:instrText>
        </w:r>
        <w:r w:rsidR="00581B6B">
          <w:rPr>
            <w:rStyle w:val="Hyperlink"/>
            <w:rtl/>
          </w:rPr>
        </w:r>
        <w:r w:rsidR="00581B6B">
          <w:rPr>
            <w:rStyle w:val="Hyperlink"/>
            <w:rtl/>
          </w:rPr>
          <w:fldChar w:fldCharType="separate"/>
        </w:r>
        <w:r w:rsidR="00581B6B">
          <w:rPr>
            <w:webHidden/>
          </w:rPr>
          <w:t>21</w:t>
        </w:r>
        <w:r w:rsidR="00581B6B">
          <w:rPr>
            <w:rStyle w:val="Hyperlink"/>
            <w:rtl/>
          </w:rPr>
          <w:fldChar w:fldCharType="end"/>
        </w:r>
      </w:hyperlink>
    </w:p>
    <w:p w14:paraId="1F372842" w14:textId="59A54518"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5998" w:history="1">
        <w:r w:rsidR="00581B6B" w:rsidRPr="00756ABB">
          <w:rPr>
            <w:rStyle w:val="Hyperlink"/>
          </w:rPr>
          <w:t>2.</w:t>
        </w:r>
        <w:r w:rsidR="00581B6B">
          <w:rPr>
            <w:rFonts w:asciiTheme="minorHAnsi" w:eastAsiaTheme="minorEastAsia" w:hAnsiTheme="minorHAnsi" w:cstheme="minorBidi"/>
            <w:kern w:val="0"/>
            <w:sz w:val="22"/>
            <w:szCs w:val="22"/>
            <w:lang w:bidi="he-IL"/>
          </w:rPr>
          <w:tab/>
        </w:r>
        <w:r w:rsidR="00581B6B" w:rsidRPr="00756ABB">
          <w:rPr>
            <w:rStyle w:val="Hyperlink"/>
          </w:rPr>
          <w:t>Deal Characteristics</w:t>
        </w:r>
        <w:r w:rsidR="00581B6B">
          <w:rPr>
            <w:webHidden/>
          </w:rPr>
          <w:tab/>
        </w:r>
        <w:r w:rsidR="00581B6B">
          <w:rPr>
            <w:rStyle w:val="Hyperlink"/>
            <w:rtl/>
          </w:rPr>
          <w:fldChar w:fldCharType="begin"/>
        </w:r>
        <w:r w:rsidR="00581B6B">
          <w:rPr>
            <w:webHidden/>
          </w:rPr>
          <w:instrText xml:space="preserve"> PAGEREF _Toc47885998 \h </w:instrText>
        </w:r>
        <w:r w:rsidR="00581B6B">
          <w:rPr>
            <w:rStyle w:val="Hyperlink"/>
            <w:rtl/>
          </w:rPr>
        </w:r>
        <w:r w:rsidR="00581B6B">
          <w:rPr>
            <w:rStyle w:val="Hyperlink"/>
            <w:rtl/>
          </w:rPr>
          <w:fldChar w:fldCharType="separate"/>
        </w:r>
        <w:r w:rsidR="00581B6B">
          <w:rPr>
            <w:webHidden/>
          </w:rPr>
          <w:t>23</w:t>
        </w:r>
        <w:r w:rsidR="00581B6B">
          <w:rPr>
            <w:rStyle w:val="Hyperlink"/>
            <w:rtl/>
          </w:rPr>
          <w:fldChar w:fldCharType="end"/>
        </w:r>
      </w:hyperlink>
    </w:p>
    <w:p w14:paraId="22101E55" w14:textId="221BD73D"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5999" w:history="1">
        <w:r w:rsidR="00581B6B" w:rsidRPr="00756ABB">
          <w:rPr>
            <w:rStyle w:val="Hyperlink"/>
          </w:rPr>
          <w:t>3.</w:t>
        </w:r>
        <w:r w:rsidR="00581B6B">
          <w:rPr>
            <w:rFonts w:asciiTheme="minorHAnsi" w:eastAsiaTheme="minorEastAsia" w:hAnsiTheme="minorHAnsi" w:cstheme="minorBidi"/>
            <w:kern w:val="0"/>
            <w:sz w:val="22"/>
            <w:szCs w:val="22"/>
            <w:lang w:bidi="he-IL"/>
          </w:rPr>
          <w:tab/>
        </w:r>
        <w:r w:rsidR="00581B6B" w:rsidRPr="00756ABB">
          <w:rPr>
            <w:rStyle w:val="Hyperlink"/>
          </w:rPr>
          <w:t>States of Incorporation</w:t>
        </w:r>
        <w:r w:rsidR="00581B6B">
          <w:rPr>
            <w:webHidden/>
          </w:rPr>
          <w:tab/>
        </w:r>
        <w:r w:rsidR="00581B6B">
          <w:rPr>
            <w:rStyle w:val="Hyperlink"/>
            <w:rtl/>
          </w:rPr>
          <w:fldChar w:fldCharType="begin"/>
        </w:r>
        <w:r w:rsidR="00581B6B">
          <w:rPr>
            <w:webHidden/>
          </w:rPr>
          <w:instrText xml:space="preserve"> PAGEREF _Toc47885999 \h </w:instrText>
        </w:r>
        <w:r w:rsidR="00581B6B">
          <w:rPr>
            <w:rStyle w:val="Hyperlink"/>
            <w:rtl/>
          </w:rPr>
        </w:r>
        <w:r w:rsidR="00581B6B">
          <w:rPr>
            <w:rStyle w:val="Hyperlink"/>
            <w:rtl/>
          </w:rPr>
          <w:fldChar w:fldCharType="separate"/>
        </w:r>
        <w:r w:rsidR="00581B6B">
          <w:rPr>
            <w:webHidden/>
          </w:rPr>
          <w:t>24</w:t>
        </w:r>
        <w:r w:rsidR="00581B6B">
          <w:rPr>
            <w:rStyle w:val="Hyperlink"/>
            <w:rtl/>
          </w:rPr>
          <w:fldChar w:fldCharType="end"/>
        </w:r>
      </w:hyperlink>
    </w:p>
    <w:p w14:paraId="5F6858C0" w14:textId="00CE6875" w:rsidR="00581B6B" w:rsidRDefault="00B77C00">
      <w:pPr>
        <w:pStyle w:val="TOC2"/>
        <w:rPr>
          <w:rFonts w:asciiTheme="minorHAnsi" w:eastAsiaTheme="minorEastAsia" w:hAnsiTheme="minorHAnsi" w:cstheme="minorBidi"/>
          <w:kern w:val="0"/>
          <w:sz w:val="22"/>
          <w:szCs w:val="22"/>
          <w:lang w:bidi="he-IL"/>
        </w:rPr>
      </w:pPr>
      <w:hyperlink w:anchor="_Toc47886000" w:history="1">
        <w:r w:rsidR="00581B6B" w:rsidRPr="00756ABB">
          <w:rPr>
            <w:rStyle w:val="Hyperlink"/>
            <w:rFonts w:eastAsia="SimSun"/>
          </w:rPr>
          <w:t>B. Bargaining</w:t>
        </w:r>
        <w:r w:rsidR="00581B6B">
          <w:rPr>
            <w:webHidden/>
          </w:rPr>
          <w:tab/>
        </w:r>
        <w:r w:rsidR="00581B6B">
          <w:rPr>
            <w:rStyle w:val="Hyperlink"/>
            <w:rtl/>
          </w:rPr>
          <w:fldChar w:fldCharType="begin"/>
        </w:r>
        <w:r w:rsidR="00581B6B">
          <w:rPr>
            <w:webHidden/>
          </w:rPr>
          <w:instrText xml:space="preserve"> PAGEREF _Toc47886000 \h </w:instrText>
        </w:r>
        <w:r w:rsidR="00581B6B">
          <w:rPr>
            <w:rStyle w:val="Hyperlink"/>
            <w:rtl/>
          </w:rPr>
        </w:r>
        <w:r w:rsidR="00581B6B">
          <w:rPr>
            <w:rStyle w:val="Hyperlink"/>
            <w:rtl/>
          </w:rPr>
          <w:fldChar w:fldCharType="separate"/>
        </w:r>
        <w:r w:rsidR="00581B6B">
          <w:rPr>
            <w:webHidden/>
          </w:rPr>
          <w:t>26</w:t>
        </w:r>
        <w:r w:rsidR="00581B6B">
          <w:rPr>
            <w:rStyle w:val="Hyperlink"/>
            <w:rtl/>
          </w:rPr>
          <w:fldChar w:fldCharType="end"/>
        </w:r>
      </w:hyperlink>
    </w:p>
    <w:p w14:paraId="4121AE98" w14:textId="1810E42B" w:rsidR="00581B6B" w:rsidRDefault="00B77C00">
      <w:pPr>
        <w:pStyle w:val="TOC2"/>
        <w:rPr>
          <w:rFonts w:asciiTheme="minorHAnsi" w:eastAsiaTheme="minorEastAsia" w:hAnsiTheme="minorHAnsi" w:cstheme="minorBidi"/>
          <w:kern w:val="0"/>
          <w:sz w:val="22"/>
          <w:szCs w:val="22"/>
          <w:lang w:bidi="he-IL"/>
        </w:rPr>
      </w:pPr>
      <w:hyperlink w:anchor="_Toc47886001" w:history="1">
        <w:r w:rsidR="00581B6B" w:rsidRPr="00756ABB">
          <w:rPr>
            <w:rStyle w:val="Hyperlink"/>
            <w:rFonts w:eastAsia="SimSun"/>
          </w:rPr>
          <w:t>C. What Did Shareholders Get?</w:t>
        </w:r>
        <w:r w:rsidR="00581B6B">
          <w:rPr>
            <w:webHidden/>
          </w:rPr>
          <w:tab/>
        </w:r>
        <w:r w:rsidR="00581B6B">
          <w:rPr>
            <w:rStyle w:val="Hyperlink"/>
            <w:rtl/>
          </w:rPr>
          <w:fldChar w:fldCharType="begin"/>
        </w:r>
        <w:r w:rsidR="00581B6B">
          <w:rPr>
            <w:webHidden/>
          </w:rPr>
          <w:instrText xml:space="preserve"> PAGEREF _Toc47886001 \h </w:instrText>
        </w:r>
        <w:r w:rsidR="00581B6B">
          <w:rPr>
            <w:rStyle w:val="Hyperlink"/>
            <w:rtl/>
          </w:rPr>
        </w:r>
        <w:r w:rsidR="00581B6B">
          <w:rPr>
            <w:rStyle w:val="Hyperlink"/>
            <w:rtl/>
          </w:rPr>
          <w:fldChar w:fldCharType="separate"/>
        </w:r>
        <w:r w:rsidR="00581B6B">
          <w:rPr>
            <w:webHidden/>
          </w:rPr>
          <w:t>28</w:t>
        </w:r>
        <w:r w:rsidR="00581B6B">
          <w:rPr>
            <w:rStyle w:val="Hyperlink"/>
            <w:rtl/>
          </w:rPr>
          <w:fldChar w:fldCharType="end"/>
        </w:r>
      </w:hyperlink>
    </w:p>
    <w:p w14:paraId="4433C5D3" w14:textId="2D0B62DB" w:rsidR="00581B6B" w:rsidRDefault="00B77C00">
      <w:pPr>
        <w:pStyle w:val="TOC2"/>
        <w:rPr>
          <w:rFonts w:asciiTheme="minorHAnsi" w:eastAsiaTheme="minorEastAsia" w:hAnsiTheme="minorHAnsi" w:cstheme="minorBidi"/>
          <w:kern w:val="0"/>
          <w:sz w:val="22"/>
          <w:szCs w:val="22"/>
          <w:lang w:bidi="he-IL"/>
        </w:rPr>
      </w:pPr>
      <w:hyperlink w:anchor="_Toc47886002" w:history="1">
        <w:r w:rsidR="00581B6B" w:rsidRPr="00756ABB">
          <w:rPr>
            <w:rStyle w:val="Hyperlink"/>
            <w:rFonts w:eastAsia="SimSun"/>
          </w:rPr>
          <w:t>D. What Did Corporate Leaders Get?</w:t>
        </w:r>
        <w:r w:rsidR="00581B6B">
          <w:rPr>
            <w:webHidden/>
          </w:rPr>
          <w:tab/>
        </w:r>
        <w:r w:rsidR="00581B6B">
          <w:rPr>
            <w:rStyle w:val="Hyperlink"/>
            <w:rtl/>
          </w:rPr>
          <w:fldChar w:fldCharType="begin"/>
        </w:r>
        <w:r w:rsidR="00581B6B">
          <w:rPr>
            <w:webHidden/>
          </w:rPr>
          <w:instrText xml:space="preserve"> PAGEREF _Toc47886002 \h </w:instrText>
        </w:r>
        <w:r w:rsidR="00581B6B">
          <w:rPr>
            <w:rStyle w:val="Hyperlink"/>
            <w:rtl/>
          </w:rPr>
        </w:r>
        <w:r w:rsidR="00581B6B">
          <w:rPr>
            <w:rStyle w:val="Hyperlink"/>
            <w:rtl/>
          </w:rPr>
          <w:fldChar w:fldCharType="separate"/>
        </w:r>
        <w:r w:rsidR="00581B6B">
          <w:rPr>
            <w:webHidden/>
          </w:rPr>
          <w:t>30</w:t>
        </w:r>
        <w:r w:rsidR="00581B6B">
          <w:rPr>
            <w:rStyle w:val="Hyperlink"/>
            <w:rtl/>
          </w:rPr>
          <w:fldChar w:fldCharType="end"/>
        </w:r>
      </w:hyperlink>
    </w:p>
    <w:p w14:paraId="113909DF" w14:textId="6E6008B3"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03" w:history="1">
        <w:r w:rsidR="00581B6B" w:rsidRPr="00756ABB">
          <w:rPr>
            <w:rStyle w:val="Hyperlink"/>
          </w:rPr>
          <w:t>1.</w:t>
        </w:r>
        <w:r w:rsidR="00581B6B">
          <w:rPr>
            <w:rFonts w:asciiTheme="minorHAnsi" w:eastAsiaTheme="minorEastAsia" w:hAnsiTheme="minorHAnsi" w:cstheme="minorBidi"/>
            <w:kern w:val="0"/>
            <w:sz w:val="22"/>
            <w:szCs w:val="22"/>
            <w:lang w:bidi="he-IL"/>
          </w:rPr>
          <w:tab/>
        </w:r>
        <w:r w:rsidR="00581B6B" w:rsidRPr="00756ABB">
          <w:rPr>
            <w:rStyle w:val="Hyperlink"/>
          </w:rPr>
          <w:t>Gains to Executives</w:t>
        </w:r>
        <w:r w:rsidR="00581B6B">
          <w:rPr>
            <w:webHidden/>
          </w:rPr>
          <w:tab/>
        </w:r>
        <w:r w:rsidR="00581B6B">
          <w:rPr>
            <w:rStyle w:val="Hyperlink"/>
            <w:rtl/>
          </w:rPr>
          <w:fldChar w:fldCharType="begin"/>
        </w:r>
        <w:r w:rsidR="00581B6B">
          <w:rPr>
            <w:webHidden/>
          </w:rPr>
          <w:instrText xml:space="preserve"> PAGEREF _Toc47886003 \h </w:instrText>
        </w:r>
        <w:r w:rsidR="00581B6B">
          <w:rPr>
            <w:rStyle w:val="Hyperlink"/>
            <w:rtl/>
          </w:rPr>
        </w:r>
        <w:r w:rsidR="00581B6B">
          <w:rPr>
            <w:rStyle w:val="Hyperlink"/>
            <w:rtl/>
          </w:rPr>
          <w:fldChar w:fldCharType="separate"/>
        </w:r>
        <w:r w:rsidR="00581B6B">
          <w:rPr>
            <w:webHidden/>
          </w:rPr>
          <w:t>30</w:t>
        </w:r>
        <w:r w:rsidR="00581B6B">
          <w:rPr>
            <w:rStyle w:val="Hyperlink"/>
            <w:rtl/>
          </w:rPr>
          <w:fldChar w:fldCharType="end"/>
        </w:r>
      </w:hyperlink>
    </w:p>
    <w:p w14:paraId="543C57CC" w14:textId="749DD58E"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04" w:history="1">
        <w:r w:rsidR="00581B6B" w:rsidRPr="00756ABB">
          <w:rPr>
            <w:rStyle w:val="Hyperlink"/>
          </w:rPr>
          <w:t>2.</w:t>
        </w:r>
        <w:r w:rsidR="00581B6B">
          <w:rPr>
            <w:rFonts w:asciiTheme="minorHAnsi" w:eastAsiaTheme="minorEastAsia" w:hAnsiTheme="minorHAnsi" w:cstheme="minorBidi"/>
            <w:kern w:val="0"/>
            <w:sz w:val="22"/>
            <w:szCs w:val="22"/>
            <w:lang w:bidi="he-IL"/>
          </w:rPr>
          <w:tab/>
        </w:r>
        <w:r w:rsidR="00581B6B" w:rsidRPr="00756ABB">
          <w:rPr>
            <w:rStyle w:val="Hyperlink"/>
          </w:rPr>
          <w:t>Gains to Non-Executive Directors</w:t>
        </w:r>
        <w:r w:rsidR="00581B6B">
          <w:rPr>
            <w:webHidden/>
          </w:rPr>
          <w:tab/>
        </w:r>
        <w:r w:rsidR="00581B6B">
          <w:rPr>
            <w:rStyle w:val="Hyperlink"/>
            <w:rtl/>
          </w:rPr>
          <w:fldChar w:fldCharType="begin"/>
        </w:r>
        <w:r w:rsidR="00581B6B">
          <w:rPr>
            <w:webHidden/>
          </w:rPr>
          <w:instrText xml:space="preserve"> PAGEREF _Toc47886004 \h </w:instrText>
        </w:r>
        <w:r w:rsidR="00581B6B">
          <w:rPr>
            <w:rStyle w:val="Hyperlink"/>
            <w:rtl/>
          </w:rPr>
        </w:r>
        <w:r w:rsidR="00581B6B">
          <w:rPr>
            <w:rStyle w:val="Hyperlink"/>
            <w:rtl/>
          </w:rPr>
          <w:fldChar w:fldCharType="separate"/>
        </w:r>
        <w:r w:rsidR="00581B6B">
          <w:rPr>
            <w:webHidden/>
          </w:rPr>
          <w:t>35</w:t>
        </w:r>
        <w:r w:rsidR="00581B6B">
          <w:rPr>
            <w:rStyle w:val="Hyperlink"/>
            <w:rtl/>
          </w:rPr>
          <w:fldChar w:fldCharType="end"/>
        </w:r>
      </w:hyperlink>
    </w:p>
    <w:p w14:paraId="2A011842" w14:textId="2FF8A80A" w:rsidR="00581B6B" w:rsidRDefault="00B77C00">
      <w:pPr>
        <w:pStyle w:val="TOC2"/>
        <w:rPr>
          <w:rFonts w:asciiTheme="minorHAnsi" w:eastAsiaTheme="minorEastAsia" w:hAnsiTheme="minorHAnsi" w:cstheme="minorBidi"/>
          <w:kern w:val="0"/>
          <w:sz w:val="22"/>
          <w:szCs w:val="22"/>
          <w:lang w:bidi="he-IL"/>
        </w:rPr>
      </w:pPr>
      <w:hyperlink w:anchor="_Toc47886005" w:history="1">
        <w:r w:rsidR="00581B6B" w:rsidRPr="00756ABB">
          <w:rPr>
            <w:rStyle w:val="Hyperlink"/>
            <w:rFonts w:eastAsia="SimSun"/>
          </w:rPr>
          <w:t>E. What Did Stakeholders Get?</w:t>
        </w:r>
        <w:r w:rsidR="00581B6B">
          <w:rPr>
            <w:webHidden/>
          </w:rPr>
          <w:tab/>
        </w:r>
        <w:r w:rsidR="00581B6B">
          <w:rPr>
            <w:rStyle w:val="Hyperlink"/>
            <w:rtl/>
          </w:rPr>
          <w:fldChar w:fldCharType="begin"/>
        </w:r>
        <w:r w:rsidR="00581B6B">
          <w:rPr>
            <w:webHidden/>
          </w:rPr>
          <w:instrText xml:space="preserve"> PAGEREF _Toc47886005 \h </w:instrText>
        </w:r>
        <w:r w:rsidR="00581B6B">
          <w:rPr>
            <w:rStyle w:val="Hyperlink"/>
            <w:rtl/>
          </w:rPr>
        </w:r>
        <w:r w:rsidR="00581B6B">
          <w:rPr>
            <w:rStyle w:val="Hyperlink"/>
            <w:rtl/>
          </w:rPr>
          <w:fldChar w:fldCharType="separate"/>
        </w:r>
        <w:r w:rsidR="00581B6B">
          <w:rPr>
            <w:webHidden/>
          </w:rPr>
          <w:t>36</w:t>
        </w:r>
        <w:r w:rsidR="00581B6B">
          <w:rPr>
            <w:rStyle w:val="Hyperlink"/>
            <w:rtl/>
          </w:rPr>
          <w:fldChar w:fldCharType="end"/>
        </w:r>
      </w:hyperlink>
    </w:p>
    <w:p w14:paraId="070C6C14" w14:textId="7BED4BD9"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06" w:history="1">
        <w:r w:rsidR="00581B6B" w:rsidRPr="00756ABB">
          <w:rPr>
            <w:rStyle w:val="Hyperlink"/>
          </w:rPr>
          <w:t>1.</w:t>
        </w:r>
        <w:r w:rsidR="00581B6B">
          <w:rPr>
            <w:rFonts w:asciiTheme="minorHAnsi" w:eastAsiaTheme="minorEastAsia" w:hAnsiTheme="minorHAnsi" w:cstheme="minorBidi"/>
            <w:kern w:val="0"/>
            <w:sz w:val="22"/>
            <w:szCs w:val="22"/>
            <w:lang w:bidi="he-IL"/>
          </w:rPr>
          <w:tab/>
        </w:r>
        <w:r w:rsidR="00581B6B" w:rsidRPr="00756ABB">
          <w:rPr>
            <w:rStyle w:val="Hyperlink"/>
          </w:rPr>
          <w:t>Employees</w:t>
        </w:r>
        <w:r w:rsidR="00581B6B">
          <w:rPr>
            <w:webHidden/>
          </w:rPr>
          <w:tab/>
        </w:r>
        <w:r w:rsidR="00581B6B">
          <w:rPr>
            <w:rStyle w:val="Hyperlink"/>
            <w:rtl/>
          </w:rPr>
          <w:fldChar w:fldCharType="begin"/>
        </w:r>
        <w:r w:rsidR="00581B6B">
          <w:rPr>
            <w:webHidden/>
          </w:rPr>
          <w:instrText xml:space="preserve"> PAGEREF _Toc47886006 \h </w:instrText>
        </w:r>
        <w:r w:rsidR="00581B6B">
          <w:rPr>
            <w:rStyle w:val="Hyperlink"/>
            <w:rtl/>
          </w:rPr>
        </w:r>
        <w:r w:rsidR="00581B6B">
          <w:rPr>
            <w:rStyle w:val="Hyperlink"/>
            <w:rtl/>
          </w:rPr>
          <w:fldChar w:fldCharType="separate"/>
        </w:r>
        <w:r w:rsidR="00581B6B">
          <w:rPr>
            <w:webHidden/>
          </w:rPr>
          <w:t>38</w:t>
        </w:r>
        <w:r w:rsidR="00581B6B">
          <w:rPr>
            <w:rStyle w:val="Hyperlink"/>
            <w:rtl/>
          </w:rPr>
          <w:fldChar w:fldCharType="end"/>
        </w:r>
      </w:hyperlink>
    </w:p>
    <w:p w14:paraId="029AF56A" w14:textId="5D1C4118"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07" w:history="1">
        <w:r w:rsidR="00581B6B" w:rsidRPr="00756ABB">
          <w:rPr>
            <w:rStyle w:val="Hyperlink"/>
          </w:rPr>
          <w:t>2.</w:t>
        </w:r>
        <w:r w:rsidR="00581B6B">
          <w:rPr>
            <w:rFonts w:asciiTheme="minorHAnsi" w:eastAsiaTheme="minorEastAsia" w:hAnsiTheme="minorHAnsi" w:cstheme="minorBidi"/>
            <w:kern w:val="0"/>
            <w:sz w:val="22"/>
            <w:szCs w:val="22"/>
            <w:lang w:bidi="he-IL"/>
          </w:rPr>
          <w:tab/>
        </w:r>
        <w:r w:rsidR="00581B6B" w:rsidRPr="00756ABB">
          <w:rPr>
            <w:rStyle w:val="Hyperlink"/>
          </w:rPr>
          <w:t>Customers, Suppliers, and Creditors</w:t>
        </w:r>
        <w:r w:rsidR="00581B6B">
          <w:rPr>
            <w:webHidden/>
          </w:rPr>
          <w:tab/>
        </w:r>
        <w:r w:rsidR="00581B6B">
          <w:rPr>
            <w:rStyle w:val="Hyperlink"/>
            <w:rtl/>
          </w:rPr>
          <w:fldChar w:fldCharType="begin"/>
        </w:r>
        <w:r w:rsidR="00581B6B">
          <w:rPr>
            <w:webHidden/>
          </w:rPr>
          <w:instrText xml:space="preserve"> PAGEREF _Toc47886007 \h </w:instrText>
        </w:r>
        <w:r w:rsidR="00581B6B">
          <w:rPr>
            <w:rStyle w:val="Hyperlink"/>
            <w:rtl/>
          </w:rPr>
        </w:r>
        <w:r w:rsidR="00581B6B">
          <w:rPr>
            <w:rStyle w:val="Hyperlink"/>
            <w:rtl/>
          </w:rPr>
          <w:fldChar w:fldCharType="separate"/>
        </w:r>
        <w:r w:rsidR="00581B6B">
          <w:rPr>
            <w:webHidden/>
          </w:rPr>
          <w:t>42</w:t>
        </w:r>
        <w:r w:rsidR="00581B6B">
          <w:rPr>
            <w:rStyle w:val="Hyperlink"/>
            <w:rtl/>
          </w:rPr>
          <w:fldChar w:fldCharType="end"/>
        </w:r>
      </w:hyperlink>
    </w:p>
    <w:p w14:paraId="0DC59530" w14:textId="7F718C6E"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08" w:history="1">
        <w:r w:rsidR="00581B6B" w:rsidRPr="00756ABB">
          <w:rPr>
            <w:rStyle w:val="Hyperlink"/>
          </w:rPr>
          <w:t>3.</w:t>
        </w:r>
        <w:r w:rsidR="00581B6B">
          <w:rPr>
            <w:rFonts w:asciiTheme="minorHAnsi" w:eastAsiaTheme="minorEastAsia" w:hAnsiTheme="minorHAnsi" w:cstheme="minorBidi"/>
            <w:kern w:val="0"/>
            <w:sz w:val="22"/>
            <w:szCs w:val="22"/>
            <w:lang w:bidi="he-IL"/>
          </w:rPr>
          <w:tab/>
        </w:r>
        <w:r w:rsidR="00581B6B" w:rsidRPr="00756ABB">
          <w:rPr>
            <w:rStyle w:val="Hyperlink"/>
          </w:rPr>
          <w:t>Communities, Environment and Other Stakeholders</w:t>
        </w:r>
        <w:r w:rsidR="00581B6B">
          <w:rPr>
            <w:webHidden/>
          </w:rPr>
          <w:tab/>
        </w:r>
        <w:r w:rsidR="00581B6B">
          <w:rPr>
            <w:rStyle w:val="Hyperlink"/>
            <w:rtl/>
          </w:rPr>
          <w:fldChar w:fldCharType="begin"/>
        </w:r>
        <w:r w:rsidR="00581B6B">
          <w:rPr>
            <w:webHidden/>
          </w:rPr>
          <w:instrText xml:space="preserve"> PAGEREF _Toc47886008 \h </w:instrText>
        </w:r>
        <w:r w:rsidR="00581B6B">
          <w:rPr>
            <w:rStyle w:val="Hyperlink"/>
            <w:rtl/>
          </w:rPr>
        </w:r>
        <w:r w:rsidR="00581B6B">
          <w:rPr>
            <w:rStyle w:val="Hyperlink"/>
            <w:rtl/>
          </w:rPr>
          <w:fldChar w:fldCharType="separate"/>
        </w:r>
        <w:r w:rsidR="00581B6B">
          <w:rPr>
            <w:webHidden/>
          </w:rPr>
          <w:t>43</w:t>
        </w:r>
        <w:r w:rsidR="00581B6B">
          <w:rPr>
            <w:rStyle w:val="Hyperlink"/>
            <w:rtl/>
          </w:rPr>
          <w:fldChar w:fldCharType="end"/>
        </w:r>
      </w:hyperlink>
    </w:p>
    <w:p w14:paraId="6FF91653" w14:textId="3465B3DD" w:rsidR="00581B6B" w:rsidRDefault="00B77C00">
      <w:pPr>
        <w:pStyle w:val="TOC1"/>
        <w:rPr>
          <w:rFonts w:asciiTheme="minorHAnsi" w:eastAsiaTheme="minorEastAsia" w:hAnsiTheme="minorHAnsi" w:cstheme="minorBidi"/>
          <w:noProof/>
          <w:kern w:val="0"/>
          <w:sz w:val="22"/>
          <w:szCs w:val="22"/>
          <w:lang w:bidi="he-IL"/>
        </w:rPr>
      </w:pPr>
      <w:hyperlink w:anchor="_Toc47886009" w:history="1">
        <w:r w:rsidR="00581B6B" w:rsidRPr="00756ABB">
          <w:rPr>
            <w:rStyle w:val="Hyperlink"/>
            <w:rFonts w:eastAsia="SimSun"/>
            <w:noProof/>
          </w:rPr>
          <w:t>V. Implications and Conclusions</w:t>
        </w:r>
        <w:r w:rsidR="00581B6B">
          <w:rPr>
            <w:noProof/>
            <w:webHidden/>
          </w:rPr>
          <w:tab/>
        </w:r>
        <w:r w:rsidR="00581B6B">
          <w:rPr>
            <w:rStyle w:val="Hyperlink"/>
            <w:noProof/>
            <w:rtl/>
          </w:rPr>
          <w:fldChar w:fldCharType="begin"/>
        </w:r>
        <w:r w:rsidR="00581B6B">
          <w:rPr>
            <w:noProof/>
            <w:webHidden/>
          </w:rPr>
          <w:instrText xml:space="preserve"> PAGEREF _Toc47886009 \h </w:instrText>
        </w:r>
        <w:r w:rsidR="00581B6B">
          <w:rPr>
            <w:rStyle w:val="Hyperlink"/>
            <w:noProof/>
            <w:rtl/>
          </w:rPr>
        </w:r>
        <w:r w:rsidR="00581B6B">
          <w:rPr>
            <w:rStyle w:val="Hyperlink"/>
            <w:noProof/>
            <w:rtl/>
          </w:rPr>
          <w:fldChar w:fldCharType="separate"/>
        </w:r>
        <w:r w:rsidR="00581B6B">
          <w:rPr>
            <w:noProof/>
            <w:webHidden/>
          </w:rPr>
          <w:t>46</w:t>
        </w:r>
        <w:r w:rsidR="00581B6B">
          <w:rPr>
            <w:rStyle w:val="Hyperlink"/>
            <w:noProof/>
            <w:rtl/>
          </w:rPr>
          <w:fldChar w:fldCharType="end"/>
        </w:r>
      </w:hyperlink>
    </w:p>
    <w:p w14:paraId="41DA4E5C" w14:textId="2AF82651" w:rsidR="00581B6B" w:rsidRDefault="00B77C00">
      <w:pPr>
        <w:pStyle w:val="TOC2"/>
        <w:rPr>
          <w:rFonts w:asciiTheme="minorHAnsi" w:eastAsiaTheme="minorEastAsia" w:hAnsiTheme="minorHAnsi" w:cstheme="minorBidi"/>
          <w:kern w:val="0"/>
          <w:sz w:val="22"/>
          <w:szCs w:val="22"/>
          <w:lang w:bidi="he-IL"/>
        </w:rPr>
      </w:pPr>
      <w:hyperlink w:anchor="_Toc47886010" w:history="1">
        <w:r w:rsidR="00581B6B" w:rsidRPr="00756ABB">
          <w:rPr>
            <w:rStyle w:val="Hyperlink"/>
            <w:rFonts w:eastAsia="SimSun"/>
          </w:rPr>
          <w:t>A. Did Constituency Statutes Deliver?</w:t>
        </w:r>
        <w:r w:rsidR="00581B6B">
          <w:rPr>
            <w:webHidden/>
          </w:rPr>
          <w:tab/>
        </w:r>
        <w:r w:rsidR="00581B6B">
          <w:rPr>
            <w:rStyle w:val="Hyperlink"/>
            <w:rtl/>
          </w:rPr>
          <w:fldChar w:fldCharType="begin"/>
        </w:r>
        <w:r w:rsidR="00581B6B">
          <w:rPr>
            <w:webHidden/>
          </w:rPr>
          <w:instrText xml:space="preserve"> PAGEREF _Toc47886010 \h </w:instrText>
        </w:r>
        <w:r w:rsidR="00581B6B">
          <w:rPr>
            <w:rStyle w:val="Hyperlink"/>
            <w:rtl/>
          </w:rPr>
        </w:r>
        <w:r w:rsidR="00581B6B">
          <w:rPr>
            <w:rStyle w:val="Hyperlink"/>
            <w:rtl/>
          </w:rPr>
          <w:fldChar w:fldCharType="separate"/>
        </w:r>
        <w:r w:rsidR="00581B6B">
          <w:rPr>
            <w:webHidden/>
          </w:rPr>
          <w:t>46</w:t>
        </w:r>
        <w:r w:rsidR="00581B6B">
          <w:rPr>
            <w:rStyle w:val="Hyperlink"/>
            <w:rtl/>
          </w:rPr>
          <w:fldChar w:fldCharType="end"/>
        </w:r>
      </w:hyperlink>
    </w:p>
    <w:p w14:paraId="6EFD01F3" w14:textId="63860E2B" w:rsidR="00581B6B" w:rsidRDefault="00B77C00">
      <w:pPr>
        <w:pStyle w:val="TOC2"/>
        <w:rPr>
          <w:rFonts w:asciiTheme="minorHAnsi" w:eastAsiaTheme="minorEastAsia" w:hAnsiTheme="minorHAnsi" w:cstheme="minorBidi"/>
          <w:kern w:val="0"/>
          <w:sz w:val="22"/>
          <w:szCs w:val="22"/>
          <w:lang w:bidi="he-IL"/>
        </w:rPr>
      </w:pPr>
      <w:hyperlink w:anchor="_Toc47886011" w:history="1">
        <w:r w:rsidR="00581B6B" w:rsidRPr="00756ABB">
          <w:rPr>
            <w:rStyle w:val="Hyperlink"/>
            <w:rFonts w:eastAsia="SimSun"/>
            <w:smallCaps/>
          </w:rPr>
          <w:t>B.</w:t>
        </w:r>
        <w:r w:rsidR="00581B6B" w:rsidRPr="00756ABB">
          <w:rPr>
            <w:rStyle w:val="Hyperlink"/>
            <w:rFonts w:eastAsia="SimSun"/>
          </w:rPr>
          <w:t xml:space="preserve"> Can Stakeholderism Deliver?</w:t>
        </w:r>
        <w:r w:rsidR="00581B6B">
          <w:rPr>
            <w:webHidden/>
          </w:rPr>
          <w:tab/>
        </w:r>
        <w:r w:rsidR="00581B6B">
          <w:rPr>
            <w:rStyle w:val="Hyperlink"/>
            <w:rtl/>
          </w:rPr>
          <w:fldChar w:fldCharType="begin"/>
        </w:r>
        <w:r w:rsidR="00581B6B">
          <w:rPr>
            <w:webHidden/>
          </w:rPr>
          <w:instrText xml:space="preserve"> PAGEREF _Toc47886011 \h </w:instrText>
        </w:r>
        <w:r w:rsidR="00581B6B">
          <w:rPr>
            <w:rStyle w:val="Hyperlink"/>
            <w:rtl/>
          </w:rPr>
        </w:r>
        <w:r w:rsidR="00581B6B">
          <w:rPr>
            <w:rStyle w:val="Hyperlink"/>
            <w:rtl/>
          </w:rPr>
          <w:fldChar w:fldCharType="separate"/>
        </w:r>
        <w:r w:rsidR="00581B6B">
          <w:rPr>
            <w:webHidden/>
          </w:rPr>
          <w:t>47</w:t>
        </w:r>
        <w:r w:rsidR="00581B6B">
          <w:rPr>
            <w:rStyle w:val="Hyperlink"/>
            <w:rtl/>
          </w:rPr>
          <w:fldChar w:fldCharType="end"/>
        </w:r>
      </w:hyperlink>
    </w:p>
    <w:p w14:paraId="7B40C202" w14:textId="12D24B90"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12" w:history="1">
        <w:r w:rsidR="00581B6B" w:rsidRPr="00756ABB">
          <w:rPr>
            <w:rStyle w:val="Hyperlink"/>
          </w:rPr>
          <w:t>1.</w:t>
        </w:r>
        <w:r w:rsidR="00581B6B">
          <w:rPr>
            <w:rFonts w:asciiTheme="minorHAnsi" w:eastAsiaTheme="minorEastAsia" w:hAnsiTheme="minorHAnsi" w:cstheme="minorBidi"/>
            <w:kern w:val="0"/>
            <w:sz w:val="22"/>
            <w:szCs w:val="22"/>
            <w:lang w:bidi="he-IL"/>
          </w:rPr>
          <w:tab/>
        </w:r>
        <w:r w:rsidR="00581B6B" w:rsidRPr="00756ABB">
          <w:rPr>
            <w:rStyle w:val="Hyperlink"/>
          </w:rPr>
          <w:t>Uncertainty About the Statutes’ Authorization</w:t>
        </w:r>
        <w:r w:rsidR="00581B6B">
          <w:rPr>
            <w:webHidden/>
          </w:rPr>
          <w:tab/>
        </w:r>
        <w:r w:rsidR="00581B6B">
          <w:rPr>
            <w:rStyle w:val="Hyperlink"/>
            <w:rtl/>
          </w:rPr>
          <w:fldChar w:fldCharType="begin"/>
        </w:r>
        <w:r w:rsidR="00581B6B">
          <w:rPr>
            <w:webHidden/>
          </w:rPr>
          <w:instrText xml:space="preserve"> PAGEREF _Toc47886012 \h </w:instrText>
        </w:r>
        <w:r w:rsidR="00581B6B">
          <w:rPr>
            <w:rStyle w:val="Hyperlink"/>
            <w:rtl/>
          </w:rPr>
        </w:r>
        <w:r w:rsidR="00581B6B">
          <w:rPr>
            <w:rStyle w:val="Hyperlink"/>
            <w:rtl/>
          </w:rPr>
          <w:fldChar w:fldCharType="separate"/>
        </w:r>
        <w:r w:rsidR="00581B6B">
          <w:rPr>
            <w:webHidden/>
          </w:rPr>
          <w:t>48</w:t>
        </w:r>
        <w:r w:rsidR="00581B6B">
          <w:rPr>
            <w:rStyle w:val="Hyperlink"/>
            <w:rtl/>
          </w:rPr>
          <w:fldChar w:fldCharType="end"/>
        </w:r>
      </w:hyperlink>
    </w:p>
    <w:p w14:paraId="7E5FB4F1" w14:textId="779D727F"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13" w:history="1">
        <w:r w:rsidR="00581B6B" w:rsidRPr="00756ABB">
          <w:rPr>
            <w:rStyle w:val="Hyperlink"/>
          </w:rPr>
          <w:t>2.</w:t>
        </w:r>
        <w:r w:rsidR="00581B6B">
          <w:rPr>
            <w:rFonts w:asciiTheme="minorHAnsi" w:eastAsiaTheme="minorEastAsia" w:hAnsiTheme="minorHAnsi" w:cstheme="minorBidi"/>
            <w:kern w:val="0"/>
            <w:sz w:val="22"/>
            <w:szCs w:val="22"/>
            <w:lang w:bidi="he-IL"/>
          </w:rPr>
          <w:tab/>
        </w:r>
        <w:r w:rsidR="00581B6B" w:rsidRPr="00756ABB">
          <w:rPr>
            <w:rStyle w:val="Hyperlink"/>
          </w:rPr>
          <w:t>Shadow of Revlon</w:t>
        </w:r>
        <w:r w:rsidR="00581B6B">
          <w:rPr>
            <w:webHidden/>
          </w:rPr>
          <w:tab/>
        </w:r>
        <w:r w:rsidR="00581B6B">
          <w:rPr>
            <w:rStyle w:val="Hyperlink"/>
            <w:rtl/>
          </w:rPr>
          <w:fldChar w:fldCharType="begin"/>
        </w:r>
        <w:r w:rsidR="00581B6B">
          <w:rPr>
            <w:webHidden/>
          </w:rPr>
          <w:instrText xml:space="preserve"> PAGEREF _Toc47886013 \h </w:instrText>
        </w:r>
        <w:r w:rsidR="00581B6B">
          <w:rPr>
            <w:rStyle w:val="Hyperlink"/>
            <w:rtl/>
          </w:rPr>
        </w:r>
        <w:r w:rsidR="00581B6B">
          <w:rPr>
            <w:rStyle w:val="Hyperlink"/>
            <w:rtl/>
          </w:rPr>
          <w:fldChar w:fldCharType="separate"/>
        </w:r>
        <w:r w:rsidR="00581B6B">
          <w:rPr>
            <w:webHidden/>
          </w:rPr>
          <w:t>49</w:t>
        </w:r>
        <w:r w:rsidR="00581B6B">
          <w:rPr>
            <w:rStyle w:val="Hyperlink"/>
            <w:rtl/>
          </w:rPr>
          <w:fldChar w:fldCharType="end"/>
        </w:r>
      </w:hyperlink>
    </w:p>
    <w:p w14:paraId="38AD893F" w14:textId="225ED4CF"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14" w:history="1">
        <w:r w:rsidR="00581B6B" w:rsidRPr="00756ABB">
          <w:rPr>
            <w:rStyle w:val="Hyperlink"/>
          </w:rPr>
          <w:t>3.</w:t>
        </w:r>
        <w:r w:rsidR="00581B6B">
          <w:rPr>
            <w:rFonts w:asciiTheme="minorHAnsi" w:eastAsiaTheme="minorEastAsia" w:hAnsiTheme="minorHAnsi" w:cstheme="minorBidi"/>
            <w:kern w:val="0"/>
            <w:sz w:val="22"/>
            <w:szCs w:val="22"/>
            <w:lang w:bidi="he-IL"/>
          </w:rPr>
          <w:tab/>
        </w:r>
        <w:r w:rsidR="00581B6B" w:rsidRPr="00756ABB">
          <w:rPr>
            <w:rStyle w:val="Hyperlink"/>
          </w:rPr>
          <w:t>Need for Shareholder Approval</w:t>
        </w:r>
        <w:r w:rsidR="00581B6B">
          <w:rPr>
            <w:webHidden/>
          </w:rPr>
          <w:tab/>
        </w:r>
        <w:r w:rsidR="00581B6B">
          <w:rPr>
            <w:rStyle w:val="Hyperlink"/>
            <w:rtl/>
          </w:rPr>
          <w:fldChar w:fldCharType="begin"/>
        </w:r>
        <w:r w:rsidR="00581B6B">
          <w:rPr>
            <w:webHidden/>
          </w:rPr>
          <w:instrText xml:space="preserve"> PAGEREF _Toc47886014 \h </w:instrText>
        </w:r>
        <w:r w:rsidR="00581B6B">
          <w:rPr>
            <w:rStyle w:val="Hyperlink"/>
            <w:rtl/>
          </w:rPr>
        </w:r>
        <w:r w:rsidR="00581B6B">
          <w:rPr>
            <w:rStyle w:val="Hyperlink"/>
            <w:rtl/>
          </w:rPr>
          <w:fldChar w:fldCharType="separate"/>
        </w:r>
        <w:r w:rsidR="00581B6B">
          <w:rPr>
            <w:webHidden/>
          </w:rPr>
          <w:t>50</w:t>
        </w:r>
        <w:r w:rsidR="00581B6B">
          <w:rPr>
            <w:rStyle w:val="Hyperlink"/>
            <w:rtl/>
          </w:rPr>
          <w:fldChar w:fldCharType="end"/>
        </w:r>
      </w:hyperlink>
    </w:p>
    <w:p w14:paraId="74770DED" w14:textId="3E8491F7"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15" w:history="1">
        <w:r w:rsidR="00581B6B" w:rsidRPr="00756ABB">
          <w:rPr>
            <w:rStyle w:val="Hyperlink"/>
          </w:rPr>
          <w:t>4.</w:t>
        </w:r>
        <w:r w:rsidR="00581B6B">
          <w:rPr>
            <w:rFonts w:asciiTheme="minorHAnsi" w:eastAsiaTheme="minorEastAsia" w:hAnsiTheme="minorHAnsi" w:cstheme="minorBidi"/>
            <w:kern w:val="0"/>
            <w:sz w:val="22"/>
            <w:szCs w:val="22"/>
            <w:lang w:bidi="he-IL"/>
          </w:rPr>
          <w:tab/>
        </w:r>
        <w:r w:rsidR="00581B6B" w:rsidRPr="00756ABB">
          <w:rPr>
            <w:rStyle w:val="Hyperlink"/>
          </w:rPr>
          <w:t>Corporate Leader Norms</w:t>
        </w:r>
        <w:r w:rsidR="00581B6B">
          <w:rPr>
            <w:webHidden/>
          </w:rPr>
          <w:tab/>
        </w:r>
        <w:r w:rsidR="00581B6B">
          <w:rPr>
            <w:rStyle w:val="Hyperlink"/>
            <w:rtl/>
          </w:rPr>
          <w:fldChar w:fldCharType="begin"/>
        </w:r>
        <w:r w:rsidR="00581B6B">
          <w:rPr>
            <w:webHidden/>
          </w:rPr>
          <w:instrText xml:space="preserve"> PAGEREF _Toc47886015 \h </w:instrText>
        </w:r>
        <w:r w:rsidR="00581B6B">
          <w:rPr>
            <w:rStyle w:val="Hyperlink"/>
            <w:rtl/>
          </w:rPr>
        </w:r>
        <w:r w:rsidR="00581B6B">
          <w:rPr>
            <w:rStyle w:val="Hyperlink"/>
            <w:rtl/>
          </w:rPr>
          <w:fldChar w:fldCharType="separate"/>
        </w:r>
        <w:r w:rsidR="00581B6B">
          <w:rPr>
            <w:webHidden/>
          </w:rPr>
          <w:t>52</w:t>
        </w:r>
        <w:r w:rsidR="00581B6B">
          <w:rPr>
            <w:rStyle w:val="Hyperlink"/>
            <w:rtl/>
          </w:rPr>
          <w:fldChar w:fldCharType="end"/>
        </w:r>
      </w:hyperlink>
    </w:p>
    <w:p w14:paraId="165E2759" w14:textId="770A9FF6" w:rsidR="00581B6B" w:rsidRDefault="00B77C00">
      <w:pPr>
        <w:pStyle w:val="TOC3"/>
        <w:tabs>
          <w:tab w:val="left" w:pos="1728"/>
        </w:tabs>
        <w:rPr>
          <w:rFonts w:asciiTheme="minorHAnsi" w:eastAsiaTheme="minorEastAsia" w:hAnsiTheme="minorHAnsi" w:cstheme="minorBidi"/>
          <w:kern w:val="0"/>
          <w:sz w:val="22"/>
          <w:szCs w:val="22"/>
          <w:lang w:bidi="he-IL"/>
        </w:rPr>
      </w:pPr>
      <w:hyperlink w:anchor="_Toc47886016" w:history="1">
        <w:r w:rsidR="00581B6B" w:rsidRPr="00756ABB">
          <w:rPr>
            <w:rStyle w:val="Hyperlink"/>
          </w:rPr>
          <w:t>5.</w:t>
        </w:r>
        <w:r w:rsidR="00581B6B">
          <w:rPr>
            <w:rFonts w:asciiTheme="minorHAnsi" w:eastAsiaTheme="minorEastAsia" w:hAnsiTheme="minorHAnsi" w:cstheme="minorBidi"/>
            <w:kern w:val="0"/>
            <w:sz w:val="22"/>
            <w:szCs w:val="22"/>
            <w:lang w:bidi="he-IL"/>
          </w:rPr>
          <w:tab/>
        </w:r>
        <w:r w:rsidR="00581B6B" w:rsidRPr="00756ABB">
          <w:rPr>
            <w:rStyle w:val="Hyperlink"/>
          </w:rPr>
          <w:t>Incentives</w:t>
        </w:r>
        <w:r w:rsidR="00581B6B">
          <w:rPr>
            <w:webHidden/>
          </w:rPr>
          <w:tab/>
        </w:r>
        <w:r w:rsidR="00581B6B">
          <w:rPr>
            <w:rStyle w:val="Hyperlink"/>
            <w:rtl/>
          </w:rPr>
          <w:fldChar w:fldCharType="begin"/>
        </w:r>
        <w:r w:rsidR="00581B6B">
          <w:rPr>
            <w:webHidden/>
          </w:rPr>
          <w:instrText xml:space="preserve"> PAGEREF _Toc47886016 \h </w:instrText>
        </w:r>
        <w:r w:rsidR="00581B6B">
          <w:rPr>
            <w:rStyle w:val="Hyperlink"/>
            <w:rtl/>
          </w:rPr>
        </w:r>
        <w:r w:rsidR="00581B6B">
          <w:rPr>
            <w:rStyle w:val="Hyperlink"/>
            <w:rtl/>
          </w:rPr>
          <w:fldChar w:fldCharType="separate"/>
        </w:r>
        <w:r w:rsidR="00581B6B">
          <w:rPr>
            <w:webHidden/>
          </w:rPr>
          <w:t>53</w:t>
        </w:r>
        <w:r w:rsidR="00581B6B">
          <w:rPr>
            <w:rStyle w:val="Hyperlink"/>
            <w:rtl/>
          </w:rPr>
          <w:fldChar w:fldCharType="end"/>
        </w:r>
      </w:hyperlink>
    </w:p>
    <w:p w14:paraId="35184AB0" w14:textId="22FE1AE2" w:rsidR="00581B6B" w:rsidRDefault="00B77C00">
      <w:pPr>
        <w:pStyle w:val="TOC2"/>
        <w:rPr>
          <w:rFonts w:asciiTheme="minorHAnsi" w:eastAsiaTheme="minorEastAsia" w:hAnsiTheme="minorHAnsi" w:cstheme="minorBidi"/>
          <w:kern w:val="0"/>
          <w:sz w:val="22"/>
          <w:szCs w:val="22"/>
          <w:lang w:bidi="he-IL"/>
        </w:rPr>
      </w:pPr>
      <w:hyperlink w:anchor="_Toc47886017" w:history="1">
        <w:r w:rsidR="00581B6B" w:rsidRPr="00756ABB">
          <w:rPr>
            <w:rStyle w:val="Hyperlink"/>
            <w:rFonts w:eastAsia="SimSun"/>
          </w:rPr>
          <w:t>C. Going Forward</w:t>
        </w:r>
        <w:r w:rsidR="00581B6B">
          <w:rPr>
            <w:webHidden/>
          </w:rPr>
          <w:tab/>
        </w:r>
        <w:r w:rsidR="00581B6B">
          <w:rPr>
            <w:rStyle w:val="Hyperlink"/>
            <w:rtl/>
          </w:rPr>
          <w:fldChar w:fldCharType="begin"/>
        </w:r>
        <w:r w:rsidR="00581B6B">
          <w:rPr>
            <w:webHidden/>
          </w:rPr>
          <w:instrText xml:space="preserve"> PAGEREF _Toc47886017 \h </w:instrText>
        </w:r>
        <w:r w:rsidR="00581B6B">
          <w:rPr>
            <w:rStyle w:val="Hyperlink"/>
            <w:rtl/>
          </w:rPr>
        </w:r>
        <w:r w:rsidR="00581B6B">
          <w:rPr>
            <w:rStyle w:val="Hyperlink"/>
            <w:rtl/>
          </w:rPr>
          <w:fldChar w:fldCharType="separate"/>
        </w:r>
        <w:r w:rsidR="00581B6B">
          <w:rPr>
            <w:webHidden/>
          </w:rPr>
          <w:t>54</w:t>
        </w:r>
        <w:r w:rsidR="00581B6B">
          <w:rPr>
            <w:rStyle w:val="Hyperlink"/>
            <w:rtl/>
          </w:rPr>
          <w:fldChar w:fldCharType="end"/>
        </w:r>
      </w:hyperlink>
    </w:p>
    <w:p w14:paraId="240A2894" w14:textId="7FF6151B" w:rsidR="007462B9" w:rsidRDefault="00D27291" w:rsidP="00A762CD">
      <w:pPr>
        <w:pStyle w:val="TOC1"/>
      </w:pPr>
      <w:r w:rsidRPr="00A61532">
        <w:rPr>
          <w:noProof/>
        </w:rPr>
        <w:fldChar w:fldCharType="end"/>
      </w:r>
      <w:bookmarkStart w:id="2" w:name="_Toc521074714"/>
    </w:p>
    <w:p w14:paraId="2E0023A3" w14:textId="10B6C5DE" w:rsidR="00093160" w:rsidRPr="00332FE2" w:rsidRDefault="007462B9" w:rsidP="00332FE2">
      <w:pPr>
        <w:widowControl/>
        <w:ind w:firstLine="0"/>
        <w:jc w:val="center"/>
        <w:rPr>
          <w:smallCaps/>
          <w:sz w:val="22"/>
          <w:szCs w:val="22"/>
        </w:rPr>
      </w:pPr>
      <w:r>
        <w:br w:type="page"/>
      </w:r>
      <w:r w:rsidR="00093160" w:rsidRPr="00332FE2">
        <w:rPr>
          <w:smallCaps/>
          <w:sz w:val="22"/>
          <w:szCs w:val="22"/>
        </w:rPr>
        <w:lastRenderedPageBreak/>
        <w:t>Table of Figures</w:t>
      </w:r>
    </w:p>
    <w:p w14:paraId="50FFDFD5" w14:textId="77777777" w:rsidR="00093160" w:rsidRPr="00332FE2" w:rsidRDefault="00093160" w:rsidP="00093160">
      <w:pPr>
        <w:tabs>
          <w:tab w:val="left" w:pos="0"/>
          <w:tab w:val="right" w:leader="dot" w:pos="7470"/>
          <w:tab w:val="right" w:leader="dot" w:pos="7650"/>
        </w:tabs>
        <w:spacing w:line="276" w:lineRule="auto"/>
        <w:ind w:right="-108" w:firstLine="0"/>
        <w:jc w:val="left"/>
        <w:rPr>
          <w:b/>
          <w:noProof/>
          <w:sz w:val="22"/>
          <w:szCs w:val="22"/>
        </w:rPr>
      </w:pPr>
    </w:p>
    <w:p w14:paraId="7B0DFEEB" w14:textId="42406E10" w:rsidR="00581B6B" w:rsidRPr="00581B6B" w:rsidRDefault="00763DE6">
      <w:pPr>
        <w:pStyle w:val="TableofFigures"/>
        <w:tabs>
          <w:tab w:val="right" w:leader="dot" w:pos="7982"/>
        </w:tabs>
        <w:rPr>
          <w:rFonts w:asciiTheme="minorHAnsi" w:eastAsiaTheme="minorEastAsia" w:hAnsiTheme="minorHAnsi" w:cstheme="minorBidi"/>
          <w:noProof/>
          <w:kern w:val="0"/>
          <w:sz w:val="22"/>
          <w:szCs w:val="22"/>
          <w:lang w:bidi="he-IL"/>
        </w:rPr>
      </w:pPr>
      <w:r w:rsidRPr="00581B6B">
        <w:rPr>
          <w:b/>
          <w:noProof/>
          <w:sz w:val="22"/>
          <w:szCs w:val="22"/>
        </w:rPr>
        <w:fldChar w:fldCharType="begin"/>
      </w:r>
      <w:r w:rsidRPr="00581B6B">
        <w:rPr>
          <w:b/>
          <w:noProof/>
          <w:sz w:val="22"/>
          <w:szCs w:val="22"/>
        </w:rPr>
        <w:instrText xml:space="preserve"> TOC \h \z \c "Table" </w:instrText>
      </w:r>
      <w:r w:rsidRPr="00581B6B">
        <w:rPr>
          <w:b/>
          <w:noProof/>
          <w:sz w:val="22"/>
          <w:szCs w:val="22"/>
        </w:rPr>
        <w:fldChar w:fldCharType="separate"/>
      </w:r>
      <w:hyperlink w:anchor="_Toc47886018" w:history="1">
        <w:r w:rsidR="00581B6B" w:rsidRPr="00581B6B">
          <w:rPr>
            <w:rStyle w:val="Hyperlink"/>
            <w:noProof/>
            <w:sz w:val="22"/>
            <w:szCs w:val="22"/>
          </w:rPr>
          <w:t>Table 1</w:t>
        </w:r>
        <w:r w:rsidR="00581B6B" w:rsidRPr="00581B6B">
          <w:rPr>
            <w:rStyle w:val="Hyperlink"/>
            <w:rFonts w:asciiTheme="majorBidi" w:eastAsia="SimSun" w:hAnsiTheme="majorBidi" w:cstheme="majorBidi"/>
            <w:noProof/>
            <w:sz w:val="22"/>
            <w:szCs w:val="22"/>
          </w:rPr>
          <w:t>.</w:t>
        </w:r>
        <w:r w:rsidR="00581B6B" w:rsidRPr="00581B6B">
          <w:rPr>
            <w:rStyle w:val="Hyperlink"/>
            <w:rFonts w:asciiTheme="majorBidi" w:eastAsia="SimSun" w:hAnsiTheme="majorBidi"/>
            <w:noProof/>
            <w:sz w:val="22"/>
            <w:szCs w:val="22"/>
          </w:rPr>
          <w:t xml:space="preserve"> Transaction Years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_Toc47886018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24</w:t>
        </w:r>
        <w:r w:rsidR="00581B6B" w:rsidRPr="00581B6B">
          <w:rPr>
            <w:noProof/>
            <w:webHidden/>
            <w:sz w:val="22"/>
            <w:szCs w:val="22"/>
          </w:rPr>
          <w:fldChar w:fldCharType="end"/>
        </w:r>
      </w:hyperlink>
    </w:p>
    <w:p w14:paraId="62F98A62" w14:textId="7CC82BE3"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19"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2.</w:t>
        </w:r>
        <w:r w:rsidR="00581B6B" w:rsidRPr="00581B6B">
          <w:rPr>
            <w:rStyle w:val="Hyperlink"/>
            <w:rFonts w:asciiTheme="majorBidi" w:eastAsia="SimSun" w:hAnsiTheme="majorBidi"/>
            <w:noProof/>
            <w:sz w:val="22"/>
            <w:szCs w:val="22"/>
          </w:rPr>
          <w:t xml:space="preserve"> Transaction Values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_Toc47886019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24</w:t>
        </w:r>
        <w:r w:rsidR="00581B6B" w:rsidRPr="00581B6B">
          <w:rPr>
            <w:noProof/>
            <w:webHidden/>
            <w:sz w:val="22"/>
            <w:szCs w:val="22"/>
          </w:rPr>
          <w:fldChar w:fldCharType="end"/>
        </w:r>
      </w:hyperlink>
    </w:p>
    <w:p w14:paraId="1A3ECC1D" w14:textId="6DF8CDED"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0" w:history="1">
        <w:r w:rsidR="00581B6B" w:rsidRPr="00581B6B">
          <w:rPr>
            <w:rStyle w:val="Hyperlink"/>
            <w:noProof/>
            <w:sz w:val="22"/>
            <w:szCs w:val="22"/>
          </w:rPr>
          <w:t>Table 3</w:t>
        </w:r>
        <w:r w:rsidR="00581B6B" w:rsidRPr="00581B6B">
          <w:rPr>
            <w:rStyle w:val="Hyperlink"/>
            <w:rFonts w:asciiTheme="majorBidi" w:eastAsia="SimSun" w:hAnsiTheme="majorBidi" w:cstheme="majorBidi"/>
            <w:noProof/>
            <w:sz w:val="22"/>
            <w:szCs w:val="22"/>
          </w:rPr>
          <w:t>.</w:t>
        </w:r>
        <w:r w:rsidR="00581B6B" w:rsidRPr="00581B6B">
          <w:rPr>
            <w:rStyle w:val="Hyperlink"/>
            <w:rFonts w:asciiTheme="majorBidi" w:eastAsia="SimSun" w:hAnsiTheme="majorBidi"/>
            <w:noProof/>
            <w:sz w:val="22"/>
            <w:szCs w:val="22"/>
          </w:rPr>
          <w:t xml:space="preserve"> Revlon and Constituency Statutes Across States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_Toc47886020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25</w:t>
        </w:r>
        <w:r w:rsidR="00581B6B" w:rsidRPr="00581B6B">
          <w:rPr>
            <w:noProof/>
            <w:webHidden/>
            <w:sz w:val="22"/>
            <w:szCs w:val="22"/>
          </w:rPr>
          <w:fldChar w:fldCharType="end"/>
        </w:r>
      </w:hyperlink>
    </w:p>
    <w:p w14:paraId="76292755" w14:textId="58B914B4"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1"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4.</w:t>
        </w:r>
        <w:r w:rsidR="00581B6B" w:rsidRPr="00581B6B">
          <w:rPr>
            <w:rStyle w:val="Hyperlink"/>
            <w:rFonts w:asciiTheme="majorBidi" w:eastAsia="SimSun" w:hAnsiTheme="majorBidi"/>
            <w:noProof/>
            <w:sz w:val="22"/>
            <w:szCs w:val="22"/>
          </w:rPr>
          <w:t xml:space="preserve"> Bargaining Process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_Toc47886021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27</w:t>
        </w:r>
        <w:r w:rsidR="00581B6B" w:rsidRPr="00581B6B">
          <w:rPr>
            <w:noProof/>
            <w:webHidden/>
            <w:sz w:val="22"/>
            <w:szCs w:val="22"/>
          </w:rPr>
          <w:fldChar w:fldCharType="end"/>
        </w:r>
      </w:hyperlink>
    </w:p>
    <w:p w14:paraId="23D6EDED" w14:textId="139CEA32"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2"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5.</w:t>
        </w:r>
        <w:r w:rsidR="00581B6B" w:rsidRPr="00581B6B">
          <w:rPr>
            <w:rStyle w:val="Hyperlink"/>
            <w:rFonts w:asciiTheme="majorBidi" w:eastAsia="SimSun" w:hAnsiTheme="majorBidi"/>
            <w:noProof/>
            <w:sz w:val="22"/>
            <w:szCs w:val="22"/>
          </w:rPr>
          <w:t xml:space="preserve"> Gains to Shareholders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_Toc47886022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29</w:t>
        </w:r>
        <w:r w:rsidR="00581B6B" w:rsidRPr="00581B6B">
          <w:rPr>
            <w:noProof/>
            <w:webHidden/>
            <w:sz w:val="22"/>
            <w:szCs w:val="22"/>
          </w:rPr>
          <w:fldChar w:fldCharType="end"/>
        </w:r>
      </w:hyperlink>
    </w:p>
    <w:p w14:paraId="0772754B" w14:textId="2944CCD5"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3"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6.</w:t>
        </w:r>
        <w:r w:rsidR="00581B6B" w:rsidRPr="00581B6B">
          <w:rPr>
            <w:rStyle w:val="Hyperlink"/>
            <w:rFonts w:asciiTheme="majorBidi" w:eastAsia="SimSun" w:hAnsiTheme="majorBidi"/>
            <w:noProof/>
            <w:sz w:val="22"/>
            <w:szCs w:val="22"/>
          </w:rPr>
          <w:t xml:space="preserve"> Gains to Executives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_Toc47886023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32</w:t>
        </w:r>
        <w:r w:rsidR="00581B6B" w:rsidRPr="00581B6B">
          <w:rPr>
            <w:noProof/>
            <w:webHidden/>
            <w:sz w:val="22"/>
            <w:szCs w:val="22"/>
          </w:rPr>
          <w:fldChar w:fldCharType="end"/>
        </w:r>
      </w:hyperlink>
    </w:p>
    <w:p w14:paraId="4D0A69B4" w14:textId="18A20720"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4" w:history="1">
        <w:r w:rsidR="00581B6B" w:rsidRPr="00581B6B">
          <w:rPr>
            <w:rStyle w:val="Hyperlink"/>
            <w:noProof/>
            <w:sz w:val="22"/>
            <w:szCs w:val="22"/>
          </w:rPr>
          <w:t>Table 7</w:t>
        </w:r>
        <w:r w:rsidR="00581B6B" w:rsidRPr="00581B6B">
          <w:rPr>
            <w:rStyle w:val="Hyperlink"/>
            <w:rFonts w:asciiTheme="majorBidi" w:eastAsia="SimSun" w:hAnsiTheme="majorBidi" w:cstheme="majorBidi"/>
            <w:noProof/>
            <w:sz w:val="22"/>
            <w:szCs w:val="22"/>
          </w:rPr>
          <w:t>.</w:t>
        </w:r>
        <w:r w:rsidR="00581B6B" w:rsidRPr="00581B6B">
          <w:rPr>
            <w:rStyle w:val="Hyperlink"/>
            <w:rFonts w:asciiTheme="majorBidi" w:eastAsia="SimSun" w:hAnsiTheme="majorBidi"/>
            <w:noProof/>
            <w:sz w:val="22"/>
            <w:szCs w:val="22"/>
          </w:rPr>
          <w:t xml:space="preserve"> Gains to Non-Executive Directors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_Toc47886024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35</w:t>
        </w:r>
        <w:r w:rsidR="00581B6B" w:rsidRPr="00581B6B">
          <w:rPr>
            <w:noProof/>
            <w:webHidden/>
            <w:sz w:val="22"/>
            <w:szCs w:val="22"/>
          </w:rPr>
          <w:fldChar w:fldCharType="end"/>
        </w:r>
      </w:hyperlink>
    </w:p>
    <w:p w14:paraId="238605B8" w14:textId="26881999"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5"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8.</w:t>
        </w:r>
        <w:r w:rsidR="00581B6B" w:rsidRPr="00581B6B">
          <w:rPr>
            <w:rStyle w:val="Hyperlink"/>
            <w:rFonts w:asciiTheme="majorBidi" w:eastAsia="SimSun" w:hAnsiTheme="majorBidi"/>
            <w:noProof/>
            <w:sz w:val="22"/>
            <w:szCs w:val="22"/>
          </w:rPr>
          <w:t xml:space="preserve"> Stakeholder Groups Specified in Constituency Statutes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_Toc47886025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37</w:t>
        </w:r>
        <w:r w:rsidR="00581B6B" w:rsidRPr="00581B6B">
          <w:rPr>
            <w:noProof/>
            <w:webHidden/>
            <w:sz w:val="22"/>
            <w:szCs w:val="22"/>
          </w:rPr>
          <w:fldChar w:fldCharType="end"/>
        </w:r>
      </w:hyperlink>
    </w:p>
    <w:p w14:paraId="679629D3" w14:textId="62EB0FDD"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6"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9.</w:t>
        </w:r>
        <w:r w:rsidR="00581B6B" w:rsidRPr="00581B6B">
          <w:rPr>
            <w:rStyle w:val="Hyperlink"/>
            <w:rFonts w:asciiTheme="majorBidi" w:eastAsia="SimSun" w:hAnsiTheme="majorBidi"/>
            <w:noProof/>
            <w:sz w:val="22"/>
            <w:szCs w:val="22"/>
          </w:rPr>
          <w:t xml:space="preserve"> Protections for Employees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_Toc47886026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39</w:t>
        </w:r>
        <w:r w:rsidR="00581B6B" w:rsidRPr="00581B6B">
          <w:rPr>
            <w:noProof/>
            <w:webHidden/>
            <w:sz w:val="22"/>
            <w:szCs w:val="22"/>
          </w:rPr>
          <w:fldChar w:fldCharType="end"/>
        </w:r>
      </w:hyperlink>
    </w:p>
    <w:p w14:paraId="06CF7685" w14:textId="204DA43A"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7"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10.</w:t>
        </w:r>
        <w:r w:rsidR="00581B6B" w:rsidRPr="00581B6B">
          <w:rPr>
            <w:rStyle w:val="Hyperlink"/>
            <w:rFonts w:asciiTheme="majorBidi" w:eastAsia="SimSun" w:hAnsiTheme="majorBidi"/>
            <w:noProof/>
            <w:sz w:val="22"/>
            <w:szCs w:val="22"/>
          </w:rPr>
          <w:t xml:space="preserve"> Protections for Customers, Suppliers, and Creditors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_Toc47886027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42</w:t>
        </w:r>
        <w:r w:rsidR="00581B6B" w:rsidRPr="00581B6B">
          <w:rPr>
            <w:noProof/>
            <w:webHidden/>
            <w:sz w:val="22"/>
            <w:szCs w:val="22"/>
          </w:rPr>
          <w:fldChar w:fldCharType="end"/>
        </w:r>
      </w:hyperlink>
    </w:p>
    <w:p w14:paraId="60029140" w14:textId="02DD03A5" w:rsidR="00581B6B" w:rsidRPr="00581B6B" w:rsidRDefault="00B77C00">
      <w:pPr>
        <w:pStyle w:val="TableofFigures"/>
        <w:tabs>
          <w:tab w:val="right" w:leader="dot" w:pos="7982"/>
        </w:tabs>
        <w:rPr>
          <w:rFonts w:asciiTheme="minorHAnsi" w:eastAsiaTheme="minorEastAsia" w:hAnsiTheme="minorHAnsi" w:cstheme="minorBidi"/>
          <w:noProof/>
          <w:kern w:val="0"/>
          <w:sz w:val="22"/>
          <w:szCs w:val="22"/>
          <w:lang w:bidi="he-IL"/>
        </w:rPr>
      </w:pPr>
      <w:hyperlink w:anchor="_Toc47886028" w:history="1">
        <w:r w:rsidR="00581B6B" w:rsidRPr="00581B6B">
          <w:rPr>
            <w:rStyle w:val="Hyperlink"/>
            <w:noProof/>
            <w:sz w:val="22"/>
            <w:szCs w:val="22"/>
          </w:rPr>
          <w:t xml:space="preserve">Table </w:t>
        </w:r>
        <w:r w:rsidR="00581B6B" w:rsidRPr="00581B6B">
          <w:rPr>
            <w:rStyle w:val="Hyperlink"/>
            <w:rFonts w:asciiTheme="majorBidi" w:eastAsia="SimSun" w:hAnsiTheme="majorBidi" w:cstheme="majorBidi"/>
            <w:noProof/>
            <w:sz w:val="22"/>
            <w:szCs w:val="22"/>
          </w:rPr>
          <w:t>11.</w:t>
        </w:r>
        <w:r w:rsidR="00581B6B" w:rsidRPr="00581B6B">
          <w:rPr>
            <w:rStyle w:val="Hyperlink"/>
            <w:rFonts w:asciiTheme="majorBidi" w:eastAsia="SimSun" w:hAnsiTheme="majorBidi"/>
            <w:noProof/>
            <w:sz w:val="22"/>
            <w:szCs w:val="22"/>
          </w:rPr>
          <w:t xml:space="preserve"> Protections for Communities, Environment and Other Stakeholders</w:t>
        </w:r>
        <w:r w:rsidR="00581B6B" w:rsidRPr="00581B6B">
          <w:rPr>
            <w:noProof/>
            <w:webHidden/>
            <w:sz w:val="22"/>
            <w:szCs w:val="22"/>
          </w:rPr>
          <w:tab/>
        </w:r>
        <w:r w:rsidR="00581B6B" w:rsidRPr="00581B6B">
          <w:rPr>
            <w:noProof/>
            <w:webHidden/>
            <w:sz w:val="22"/>
            <w:szCs w:val="22"/>
          </w:rPr>
          <w:fldChar w:fldCharType="begin"/>
        </w:r>
        <w:r w:rsidR="00581B6B" w:rsidRPr="00581B6B">
          <w:rPr>
            <w:noProof/>
            <w:webHidden/>
            <w:sz w:val="22"/>
            <w:szCs w:val="22"/>
          </w:rPr>
          <w:instrText xml:space="preserve"> PAGEREF _Toc47886028 \h </w:instrText>
        </w:r>
        <w:r w:rsidR="00581B6B" w:rsidRPr="00581B6B">
          <w:rPr>
            <w:noProof/>
            <w:webHidden/>
            <w:sz w:val="22"/>
            <w:szCs w:val="22"/>
          </w:rPr>
        </w:r>
        <w:r w:rsidR="00581B6B" w:rsidRPr="00581B6B">
          <w:rPr>
            <w:noProof/>
            <w:webHidden/>
            <w:sz w:val="22"/>
            <w:szCs w:val="22"/>
          </w:rPr>
          <w:fldChar w:fldCharType="separate"/>
        </w:r>
        <w:r w:rsidR="00581B6B" w:rsidRPr="00581B6B">
          <w:rPr>
            <w:noProof/>
            <w:webHidden/>
            <w:sz w:val="22"/>
            <w:szCs w:val="22"/>
          </w:rPr>
          <w:t>44</w:t>
        </w:r>
        <w:r w:rsidR="00581B6B" w:rsidRPr="00581B6B">
          <w:rPr>
            <w:noProof/>
            <w:webHidden/>
            <w:sz w:val="22"/>
            <w:szCs w:val="22"/>
          </w:rPr>
          <w:fldChar w:fldCharType="end"/>
        </w:r>
      </w:hyperlink>
    </w:p>
    <w:p w14:paraId="2D72F85F" w14:textId="5D8B2249" w:rsidR="00D27291" w:rsidRPr="00581B6B" w:rsidRDefault="00763DE6" w:rsidP="00093160">
      <w:pPr>
        <w:tabs>
          <w:tab w:val="left" w:pos="0"/>
          <w:tab w:val="right" w:leader="dot" w:pos="7470"/>
          <w:tab w:val="right" w:leader="dot" w:pos="7650"/>
        </w:tabs>
        <w:spacing w:line="276" w:lineRule="auto"/>
        <w:ind w:right="-108" w:firstLine="0"/>
        <w:jc w:val="left"/>
        <w:rPr>
          <w:b/>
          <w:noProof/>
          <w:sz w:val="22"/>
          <w:szCs w:val="22"/>
        </w:rPr>
        <w:sectPr w:rsidR="00D27291" w:rsidRPr="00581B6B" w:rsidSect="00D27291">
          <w:headerReference w:type="default" r:id="rId8"/>
          <w:footerReference w:type="default" r:id="rId9"/>
          <w:type w:val="continuous"/>
          <w:pgSz w:w="12240" w:h="15840" w:code="1"/>
          <w:pgMar w:top="2016" w:right="1800" w:bottom="2016" w:left="2448" w:header="1512" w:footer="0" w:gutter="0"/>
          <w:pgNumType w:start="1"/>
          <w:cols w:space="720"/>
          <w:titlePg/>
          <w:docGrid w:linePitch="326"/>
        </w:sectPr>
      </w:pPr>
      <w:r w:rsidRPr="00581B6B">
        <w:rPr>
          <w:b/>
          <w:noProof/>
          <w:sz w:val="22"/>
          <w:szCs w:val="22"/>
        </w:rPr>
        <w:fldChar w:fldCharType="end"/>
      </w:r>
    </w:p>
    <w:p w14:paraId="2AA43515" w14:textId="4D51EDC6" w:rsidR="00B02A6F" w:rsidRPr="00A61532" w:rsidRDefault="006878C0" w:rsidP="00B02A6F">
      <w:pPr>
        <w:ind w:firstLine="0"/>
        <w:rPr>
          <w:rFonts w:asciiTheme="majorBidi" w:hAnsiTheme="majorBidi" w:cstheme="majorBidi"/>
          <w:sz w:val="20"/>
        </w:rPr>
      </w:pPr>
      <w:bookmarkStart w:id="3" w:name="_Toc46324799"/>
      <w:bookmarkStart w:id="4" w:name="_Toc31019966"/>
      <w:bookmarkStart w:id="5" w:name="_Toc31583100"/>
      <w:bookmarkStart w:id="6" w:name="_Toc37533240"/>
      <w:bookmarkStart w:id="7" w:name="_Toc37616937"/>
      <w:bookmarkEnd w:id="2"/>
      <w:r w:rsidRPr="00A61532">
        <w:rPr>
          <w:rFonts w:asciiTheme="majorBidi" w:hAnsiTheme="majorBidi" w:cstheme="majorBidi"/>
          <w:sz w:val="20"/>
        </w:rPr>
        <w:lastRenderedPageBreak/>
        <w:t>“</w:t>
      </w:r>
      <w:r w:rsidRPr="00A61532">
        <w:rPr>
          <w:rFonts w:asciiTheme="majorBidi" w:hAnsiTheme="majorBidi" w:cstheme="majorBidi"/>
          <w:i/>
          <w:iCs/>
          <w:sz w:val="20"/>
        </w:rPr>
        <w:t xml:space="preserve">We commit to deliver value to all stakeholders . . . </w:t>
      </w:r>
      <w:r w:rsidRPr="00A61532">
        <w:rPr>
          <w:rFonts w:asciiTheme="majorBidi" w:hAnsiTheme="majorBidi" w:cstheme="majorBidi"/>
          <w:sz w:val="20"/>
        </w:rPr>
        <w:t>”</w:t>
      </w:r>
    </w:p>
    <w:p w14:paraId="7895391F" w14:textId="77777777" w:rsidR="00B02A6F" w:rsidRPr="00A61532" w:rsidRDefault="00B02A6F" w:rsidP="00B02A6F">
      <w:pPr>
        <w:ind w:firstLine="0"/>
        <w:rPr>
          <w:rFonts w:asciiTheme="majorBidi" w:hAnsiTheme="majorBidi" w:cstheme="majorBidi"/>
          <w:sz w:val="20"/>
        </w:rPr>
      </w:pPr>
      <w:r w:rsidRPr="00A61532">
        <w:rPr>
          <w:sz w:val="20"/>
        </w:rPr>
        <w:t>— Business Roundtable Statement on the Purpose of a Corporation, August 19, 2019</w:t>
      </w:r>
    </w:p>
    <w:p w14:paraId="0FBD59F1" w14:textId="77777777" w:rsidR="00B02A6F" w:rsidRPr="00A61532" w:rsidRDefault="00B02A6F" w:rsidP="00B02A6F">
      <w:pPr>
        <w:ind w:firstLine="0"/>
        <w:rPr>
          <w:rFonts w:asciiTheme="majorBidi" w:hAnsiTheme="majorBidi" w:cstheme="majorBidi"/>
          <w:sz w:val="20"/>
        </w:rPr>
      </w:pPr>
    </w:p>
    <w:p w14:paraId="0A59A69E" w14:textId="77777777" w:rsidR="006878C0" w:rsidRPr="00A61532" w:rsidRDefault="006878C0" w:rsidP="006878C0">
      <w:pPr>
        <w:ind w:firstLine="0"/>
        <w:rPr>
          <w:rFonts w:asciiTheme="majorBidi" w:hAnsiTheme="majorBidi" w:cstheme="majorBidi"/>
          <w:sz w:val="20"/>
        </w:rPr>
      </w:pPr>
      <w:r w:rsidRPr="00A61532">
        <w:rPr>
          <w:rFonts w:asciiTheme="majorBidi" w:hAnsiTheme="majorBidi" w:cstheme="majorBidi"/>
          <w:sz w:val="20"/>
        </w:rPr>
        <w:t>“</w:t>
      </w:r>
      <w:r w:rsidRPr="00A61532">
        <w:rPr>
          <w:rFonts w:asciiTheme="majorBidi" w:hAnsiTheme="majorBidi" w:cstheme="majorBidi"/>
          <w:i/>
          <w:iCs/>
          <w:sz w:val="20"/>
        </w:rPr>
        <w:t>Directors . . . may, in considering the best interests of the corporation, consider . . . the effects of any action upon any or all groups affected by such action, including shareholders, employees, suppliers, customers and creditors . . . and upon communities</w:t>
      </w:r>
      <w:r w:rsidRPr="00A61532">
        <w:rPr>
          <w:rFonts w:asciiTheme="majorBidi" w:hAnsiTheme="majorBidi" w:cstheme="majorBidi"/>
          <w:sz w:val="20"/>
        </w:rPr>
        <w:t>”</w:t>
      </w:r>
    </w:p>
    <w:p w14:paraId="4B268A13" w14:textId="2C59A044" w:rsidR="00B02A6F" w:rsidRPr="00A61532" w:rsidRDefault="006878C0" w:rsidP="006878C0">
      <w:pPr>
        <w:ind w:firstLine="0"/>
        <w:rPr>
          <w:rFonts w:asciiTheme="majorBidi" w:hAnsiTheme="majorBidi" w:cstheme="majorBidi"/>
          <w:sz w:val="20"/>
        </w:rPr>
      </w:pPr>
      <w:r w:rsidRPr="00A61532">
        <w:rPr>
          <w:rFonts w:asciiTheme="majorBidi" w:hAnsiTheme="majorBidi" w:cstheme="majorBidi"/>
          <w:sz w:val="20"/>
        </w:rPr>
        <w:t xml:space="preserve">—Pennsylvania 1990 Constituency Statute, 15 </w:t>
      </w:r>
      <w:proofErr w:type="spellStart"/>
      <w:r w:rsidRPr="00A61532">
        <w:rPr>
          <w:rFonts w:asciiTheme="majorBidi" w:hAnsiTheme="majorBidi" w:cstheme="majorBidi"/>
          <w:sz w:val="20"/>
        </w:rPr>
        <w:t>Pa.C.S</w:t>
      </w:r>
      <w:proofErr w:type="spellEnd"/>
      <w:r w:rsidRPr="00A61532">
        <w:rPr>
          <w:rFonts w:asciiTheme="majorBidi" w:hAnsiTheme="majorBidi" w:cstheme="majorBidi"/>
          <w:sz w:val="20"/>
        </w:rPr>
        <w:t>. § 1715</w:t>
      </w:r>
    </w:p>
    <w:p w14:paraId="208BC6A8" w14:textId="77777777" w:rsidR="00B02A6F" w:rsidRPr="00A61532" w:rsidRDefault="00B02A6F" w:rsidP="00B02A6F">
      <w:pPr>
        <w:pStyle w:val="Heading1"/>
        <w:rPr>
          <w:b/>
        </w:rPr>
      </w:pPr>
      <w:bookmarkStart w:id="8" w:name="_Toc47642816"/>
      <w:bookmarkStart w:id="9" w:name="_Toc47885984"/>
      <w:r w:rsidRPr="00A61532">
        <w:t>Introduction</w:t>
      </w:r>
      <w:bookmarkEnd w:id="3"/>
      <w:bookmarkEnd w:id="8"/>
      <w:bookmarkEnd w:id="9"/>
    </w:p>
    <w:bookmarkEnd w:id="4"/>
    <w:bookmarkEnd w:id="5"/>
    <w:bookmarkEnd w:id="6"/>
    <w:bookmarkEnd w:id="7"/>
    <w:p w14:paraId="18D46C09" w14:textId="77777777" w:rsidR="003131E0" w:rsidRPr="00A61532" w:rsidRDefault="003131E0" w:rsidP="003131E0">
      <w:r w:rsidRPr="00A61532">
        <w:t>In recent years, there have been growing concerns about the effects of corporate decisions on non-shareholder constituencies, including employees, customers, creditors, suppliers, local communities, the environment, and society at large. For brevity, we will refer by stakeholders to non-shareholder constituencies throughout. In the face of a growing demand for solutions that can address these risks, there has been increasing support for “</w:t>
      </w:r>
      <w:proofErr w:type="spellStart"/>
      <w:r w:rsidRPr="00A61532">
        <w:t>stakeholderism</w:t>
      </w:r>
      <w:proofErr w:type="spellEnd"/>
      <w:r w:rsidRPr="00A61532">
        <w:t>,” the view that corporate leaders should be allowed to use their discretion to serve stakeholders, not just shareholders.</w:t>
      </w:r>
      <w:r w:rsidRPr="00A61532">
        <w:rPr>
          <w:rStyle w:val="FootnoteReference"/>
        </w:rPr>
        <w:footnoteReference w:id="5"/>
      </w:r>
      <w:r w:rsidRPr="00A61532">
        <w:t xml:space="preserve"> This view has been defended not only by reformers concerned about stakeholders but also by business leaders and corporate advisors. In August 2019, the chief executive officers (CEOs) of over 180 major public companies, which together have a market capitalization exceeding $13 trillion, issued the Business Roundtable Statement on corporate purpose, committing to deliver value to all stakeholders.</w:t>
      </w:r>
      <w:bookmarkStart w:id="10" w:name="_Ref47771802"/>
      <w:r w:rsidRPr="00A61532">
        <w:rPr>
          <w:rStyle w:val="FootnoteReference"/>
        </w:rPr>
        <w:footnoteReference w:id="6"/>
      </w:r>
      <w:bookmarkEnd w:id="10"/>
      <w:r w:rsidRPr="00A61532">
        <w:t xml:space="preserve"> The World Economic Forum also published a manifesto that </w:t>
      </w:r>
      <w:r w:rsidRPr="00A61532">
        <w:rPr>
          <w:rFonts w:asciiTheme="majorBidi" w:eastAsia="SimHei" w:hAnsiTheme="majorBidi" w:cstheme="majorBidi"/>
          <w:szCs w:val="24"/>
        </w:rPr>
        <w:t>urged companies to move from the traditional model of “shareholder capitalism” to a model of “stakeholder capitalism.”</w:t>
      </w:r>
      <w:bookmarkStart w:id="11" w:name="_Ref47652549"/>
      <w:r w:rsidRPr="00A61532">
        <w:rPr>
          <w:rStyle w:val="FootnoteReference"/>
          <w:rFonts w:asciiTheme="majorBidi" w:eastAsia="SimHei" w:hAnsiTheme="majorBidi" w:cstheme="majorBidi"/>
          <w:szCs w:val="24"/>
        </w:rPr>
        <w:footnoteReference w:id="7"/>
      </w:r>
      <w:bookmarkEnd w:id="11"/>
    </w:p>
    <w:p w14:paraId="2841533D" w14:textId="77777777" w:rsidR="003131E0" w:rsidRPr="00A61532" w:rsidRDefault="003131E0" w:rsidP="003131E0">
      <w:r w:rsidRPr="00A61532">
        <w:t>Critics and skeptics, however, worry that corporate leaders do not have incentives, and therefore should not be expected, to use this expanded discretion to benefit stakeholders.</w:t>
      </w:r>
      <w:bookmarkStart w:id="12" w:name="_Ref47652636"/>
      <w:r w:rsidRPr="00A61532">
        <w:rPr>
          <w:rStyle w:val="FootnoteReference"/>
        </w:rPr>
        <w:footnoteReference w:id="8"/>
      </w:r>
      <w:bookmarkEnd w:id="12"/>
      <w:r w:rsidRPr="00A61532">
        <w:t xml:space="preserve"> They are concerned that, rather than protecting stakeholders, </w:t>
      </w:r>
      <w:proofErr w:type="spellStart"/>
      <w:r w:rsidRPr="00A61532">
        <w:t>stakeholderism</w:t>
      </w:r>
      <w:proofErr w:type="spellEnd"/>
      <w:r w:rsidRPr="00A61532">
        <w:t xml:space="preserve"> would be used for the private interests of corporate leaders by increasing their power and their insulation from shareholder oversight. </w:t>
      </w:r>
    </w:p>
    <w:p w14:paraId="6D2306F3" w14:textId="77777777" w:rsidR="003131E0" w:rsidRPr="00A61532" w:rsidRDefault="003131E0" w:rsidP="003131E0">
      <w:r w:rsidRPr="00A61532">
        <w:t xml:space="preserve">A key question in this debate is an empirical one: </w:t>
      </w:r>
      <w:r w:rsidRPr="00A61532">
        <w:rPr>
          <w:rFonts w:eastAsia="SimHei"/>
        </w:rPr>
        <w:t xml:space="preserve">If we give directors and executives the power to take into account the interests of stakeholders, as proponents of </w:t>
      </w:r>
      <w:proofErr w:type="spellStart"/>
      <w:r w:rsidRPr="00A61532">
        <w:rPr>
          <w:rFonts w:eastAsia="SimHei"/>
        </w:rPr>
        <w:t>stakeholderism</w:t>
      </w:r>
      <w:proofErr w:type="spellEnd"/>
      <w:r w:rsidRPr="00A61532">
        <w:rPr>
          <w:rFonts w:eastAsia="SimHei"/>
        </w:rPr>
        <w:t xml:space="preserve"> suggest, will they use this power to advance </w:t>
      </w:r>
      <w:r w:rsidRPr="00A61532">
        <w:rPr>
          <w:rFonts w:eastAsia="SimHei"/>
        </w:rPr>
        <w:lastRenderedPageBreak/>
        <w:t>the interests and improve the welfare of stakeholders?</w:t>
      </w:r>
      <w:r w:rsidRPr="00A61532">
        <w:t xml:space="preserve"> In this Article we put forward novel empirical evidence that can contribute to answering this question, and thus advancing the debate on </w:t>
      </w:r>
      <w:proofErr w:type="spellStart"/>
      <w:r w:rsidRPr="00A61532">
        <w:t>stakeholderism</w:t>
      </w:r>
      <w:proofErr w:type="spellEnd"/>
      <w:r w:rsidRPr="00A61532">
        <w:t xml:space="preserve">. </w:t>
      </w:r>
    </w:p>
    <w:p w14:paraId="73CE9687" w14:textId="77777777" w:rsidR="003131E0" w:rsidRPr="00A61532" w:rsidRDefault="003131E0" w:rsidP="003131E0">
      <w:r w:rsidRPr="00A61532">
        <w:t xml:space="preserve">Although </w:t>
      </w:r>
      <w:proofErr w:type="spellStart"/>
      <w:r w:rsidRPr="00A61532">
        <w:t>stakeholderism</w:t>
      </w:r>
      <w:proofErr w:type="spellEnd"/>
      <w:r w:rsidRPr="00A61532">
        <w:t xml:space="preserve"> might have only recently reached unprecedented levels of support and acceptance, during the takeover era many states adopted statutes that closely resemble the proposals of modern </w:t>
      </w:r>
      <w:proofErr w:type="spellStart"/>
      <w:r w:rsidRPr="00A61532">
        <w:t>stakeholderists</w:t>
      </w:r>
      <w:proofErr w:type="spellEnd"/>
      <w:r w:rsidRPr="00A61532">
        <w:t>.</w:t>
      </w:r>
      <w:r w:rsidRPr="00A61532">
        <w:rPr>
          <w:rStyle w:val="FootnoteReference"/>
        </w:rPr>
        <w:footnoteReference w:id="9"/>
      </w:r>
      <w:r w:rsidRPr="00A61532">
        <w:t xml:space="preserve"> Presented as a remedy to eliminate or mitigate the negative impact of takeovers on employees and other stakeholders, these “constituency statutes” gave corporate leaders the power to give weight to the interests of stakeholders, and not just shareholders, when considering a sale of their company. Given this large-scale experiment in </w:t>
      </w:r>
      <w:proofErr w:type="spellStart"/>
      <w:r w:rsidRPr="00A61532">
        <w:t>stakeholderism</w:t>
      </w:r>
      <w:proofErr w:type="spellEnd"/>
      <w:r w:rsidRPr="00A61532">
        <w:t xml:space="preserve">, we argue, the current debate should be informed by the lessons that can be obtained from it. </w:t>
      </w:r>
    </w:p>
    <w:p w14:paraId="5771BBCB" w14:textId="31446293" w:rsidR="003131E0" w:rsidRPr="00A61532" w:rsidRDefault="003131E0" w:rsidP="003131E0">
      <w:r w:rsidRPr="00A61532">
        <w:t>We, therefore, set out to examine empirically whether constituency statutes delivered protections for stakeholders as was hoped for. Although constituency statutes have long been a topic covered in corporations courses and corporate textbooks,</w:t>
      </w:r>
      <w:bookmarkStart w:id="13" w:name="_Ref47714465"/>
      <w:r w:rsidR="000E58DF" w:rsidRPr="00A61532">
        <w:rPr>
          <w:rStyle w:val="FootnoteReference"/>
        </w:rPr>
        <w:footnoteReference w:id="10"/>
      </w:r>
      <w:bookmarkEnd w:id="13"/>
      <w:r w:rsidRPr="00A61532">
        <w:t xml:space="preserve"> as well as the focus of many law review articles,</w:t>
      </w:r>
      <w:bookmarkStart w:id="14" w:name="_Ref47660507"/>
      <w:r w:rsidRPr="00A61532">
        <w:rPr>
          <w:rStyle w:val="FootnoteReference"/>
        </w:rPr>
        <w:footnoteReference w:id="11"/>
      </w:r>
      <w:bookmarkEnd w:id="14"/>
      <w:r w:rsidRPr="00A61532">
        <w:t xml:space="preserve"> there has been thus far no direct study of the terms of acquisition agreements negotiated in the shadow of constituency statutes.</w:t>
      </w:r>
      <w:r w:rsidRPr="00A61532">
        <w:rPr>
          <w:rStyle w:val="FootnoteReference"/>
        </w:rPr>
        <w:footnoteReference w:id="12"/>
      </w:r>
      <w:r w:rsidRPr="00A61532">
        <w:t xml:space="preserve"> Using hand-collected data on private equity acquisitions of public companies incorporated in states with a constituency statute, from 2000 to 2019, we put forward novel empirical evidence on the subject, and we find that the answer is a clear no. </w:t>
      </w:r>
    </w:p>
    <w:p w14:paraId="413E333D" w14:textId="77777777" w:rsidR="003131E0" w:rsidRPr="00A61532" w:rsidRDefault="003131E0" w:rsidP="003131E0">
      <w:pPr>
        <w:rPr>
          <w:rFonts w:asciiTheme="majorBidi" w:hAnsiTheme="majorBidi" w:cstheme="majorBidi"/>
          <w:szCs w:val="24"/>
        </w:rPr>
      </w:pPr>
      <w:r w:rsidRPr="00A61532">
        <w:t xml:space="preserve">Corporate leaders selling their companies to a private equity buyer obtain substantial benefits for their shareholders as well as for themselves. However, although corporate leaders were awarded discretion to give weight to the interests of stakeholders, they made little use of this power. </w:t>
      </w:r>
      <w:r w:rsidRPr="00A61532">
        <w:rPr>
          <w:rFonts w:asciiTheme="majorBidi" w:hAnsiTheme="majorBidi" w:cstheme="majorBidi"/>
          <w:szCs w:val="24"/>
        </w:rPr>
        <w:t xml:space="preserve">Our review of the contractual terms of these deals finds very little protection from the risks posed by private equity control. In particular, in the vast majority of cases, corporate leaders have not obtained any limitation on the freedom of the private equity buyers to fire employees and reduce employment. Furthermore, we find no protections for consumers and suppliers, and some rare and mostly cosmetic protection for the communities in which the target’s </w:t>
      </w:r>
      <w:r w:rsidRPr="00A61532">
        <w:rPr>
          <w:rFonts w:asciiTheme="majorBidi" w:hAnsiTheme="majorBidi" w:cstheme="majorBidi"/>
          <w:szCs w:val="24"/>
        </w:rPr>
        <w:lastRenderedPageBreak/>
        <w:t xml:space="preserve">headquarters was located. </w:t>
      </w:r>
    </w:p>
    <w:p w14:paraId="0A40727F" w14:textId="77777777" w:rsidR="003131E0" w:rsidRPr="00A61532" w:rsidRDefault="003131E0" w:rsidP="003131E0">
      <w:r w:rsidRPr="00A61532">
        <w:rPr>
          <w:rFonts w:asciiTheme="majorBidi" w:hAnsiTheme="majorBidi" w:cstheme="majorBidi"/>
          <w:szCs w:val="24"/>
        </w:rPr>
        <w:t xml:space="preserve">We conclude that </w:t>
      </w:r>
      <w:r w:rsidRPr="00A61532">
        <w:t xml:space="preserve">constituency statutes have failed to deliver their promised benefits. This conclusion is valuable on its own, as it shows how the most important experiment in </w:t>
      </w:r>
      <w:proofErr w:type="spellStart"/>
      <w:r w:rsidRPr="00A61532">
        <w:t>stakeholderism</w:t>
      </w:r>
      <w:proofErr w:type="spellEnd"/>
      <w:r w:rsidRPr="00A61532">
        <w:t xml:space="preserve"> to date has not proved beneficial to stakeholders, but it also has important implications for the debate on </w:t>
      </w:r>
      <w:proofErr w:type="spellStart"/>
      <w:r w:rsidRPr="00A61532">
        <w:t>stakeholderism</w:t>
      </w:r>
      <w:proofErr w:type="spellEnd"/>
      <w:r w:rsidRPr="00A61532">
        <w:t xml:space="preserve">, which we discuss below. </w:t>
      </w:r>
    </w:p>
    <w:p w14:paraId="6575229D" w14:textId="77777777" w:rsidR="003131E0" w:rsidRPr="00A61532" w:rsidRDefault="003131E0" w:rsidP="003131E0">
      <w:r w:rsidRPr="00A61532">
        <w:t xml:space="preserve">Our analysis is organized as follows. Part II discusses the importance of the debate on </w:t>
      </w:r>
      <w:proofErr w:type="spellStart"/>
      <w:r w:rsidRPr="00A61532">
        <w:t>stakeholderism</w:t>
      </w:r>
      <w:proofErr w:type="spellEnd"/>
      <w:r w:rsidRPr="00A61532">
        <w:t xml:space="preserve">, which seems to be at a critical juncture. We briefly describe the positions of </w:t>
      </w:r>
      <w:proofErr w:type="spellStart"/>
      <w:r w:rsidRPr="00A61532">
        <w:t>stakeholderists</w:t>
      </w:r>
      <w:proofErr w:type="spellEnd"/>
      <w:r w:rsidRPr="00A61532">
        <w:t xml:space="preserve"> and their critics, and we explain how the difference in views is grounded in different expectations as to how corporate leaders would use the discretionary power to give independent weight to stakeholder interests. </w:t>
      </w:r>
    </w:p>
    <w:p w14:paraId="59BDCEE1" w14:textId="77777777" w:rsidR="003131E0" w:rsidRPr="00A61532" w:rsidRDefault="003131E0" w:rsidP="003131E0">
      <w:r w:rsidRPr="00A61532">
        <w:t xml:space="preserve">Part III sets the stage for our empirical analysis by discussing how </w:t>
      </w:r>
      <w:proofErr w:type="spellStart"/>
      <w:r w:rsidRPr="00A61532">
        <w:t>stakeholderist</w:t>
      </w:r>
      <w:proofErr w:type="spellEnd"/>
      <w:r w:rsidRPr="00A61532">
        <w:t xml:space="preserve"> concerns played a key role in the passage of constituency statutes. It also overviews the landscape of constituency statutes and their main features. Finally, this Part explains why, in examining the performance of constituency statutes in protecting stakeholders, private equity acquisitions of public companies are worth studying. Because these transactions move assets to the control of managers with powerful incentives to maximize financial returns, they often pose risks to stakeholders, which corporate leaders who care about stakeholders may seek to address. </w:t>
      </w:r>
    </w:p>
    <w:p w14:paraId="61B67284" w14:textId="57332553" w:rsidR="003131E0" w:rsidRPr="00332FE2" w:rsidRDefault="003131E0" w:rsidP="00332FE2">
      <w:r w:rsidRPr="00A61532">
        <w:t xml:space="preserve">Part IV presents our empirical analysis. </w:t>
      </w:r>
      <w:r w:rsidRPr="00332FE2">
        <w:t>We have examined all private equity acquisitions of significant size (</w:t>
      </w:r>
      <w:r w:rsidRPr="00332FE2">
        <w:rPr>
          <w:color w:val="000000" w:themeColor="text1"/>
        </w:rPr>
        <w:t>over $50 million), from 2000 to 2019, in which the target</w:t>
      </w:r>
      <w:r w:rsidRPr="00332FE2">
        <w:t xml:space="preserve"> was a public company incorporated in a state with a constituency statute in force.</w:t>
      </w:r>
      <w:r w:rsidRPr="00A61532">
        <w:t xml:space="preserve"> </w:t>
      </w:r>
      <w:r w:rsidRPr="00332FE2">
        <w:rPr>
          <w:color w:val="000000" w:themeColor="text1"/>
        </w:rPr>
        <w:t xml:space="preserve">Our final sample includes hand-collected data on </w:t>
      </w:r>
      <w:r w:rsidRPr="00332FE2">
        <w:t>105 unique acquisitions by private equity</w:t>
      </w:r>
      <w:r w:rsidRPr="00332FE2">
        <w:rPr>
          <w:color w:val="000000" w:themeColor="text1"/>
        </w:rPr>
        <w:t xml:space="preserve"> firms of companies that were incorporated in 18 different states with constituency statutes. The unique dataset we created includes a detailed analysis of a large amount of information regarding the evolution of the transactions and their eventual terms, as recorded in merger agreements and proxy statements filed with the </w:t>
      </w:r>
      <w:r w:rsidRPr="00332FE2">
        <w:t>Securities and Exchange Commission (SEC)</w:t>
      </w:r>
      <w:r w:rsidRPr="00332FE2">
        <w:rPr>
          <w:color w:val="000000" w:themeColor="text1"/>
        </w:rPr>
        <w:t xml:space="preserve">. We coded </w:t>
      </w:r>
      <w:r w:rsidRPr="00332FE2">
        <w:t>this information along multiple dimensions, including the bargaining process; the benefits for shareholders; the benefits for executives and directors; and the commitments in favor of various stakeholder groups.</w:t>
      </w:r>
      <w:r w:rsidR="00DE4391">
        <w:rPr>
          <w:rStyle w:val="FootnoteReference"/>
          <w:rFonts w:asciiTheme="majorBidi" w:hAnsiTheme="majorBidi" w:cstheme="majorBidi"/>
          <w:szCs w:val="24"/>
        </w:rPr>
        <w:footnoteReference w:id="13"/>
      </w:r>
      <w:r w:rsidRPr="00332FE2">
        <w:t xml:space="preserve"> </w:t>
      </w:r>
    </w:p>
    <w:p w14:paraId="2F54178F" w14:textId="30632650" w:rsidR="003131E0" w:rsidRPr="00A61532" w:rsidRDefault="003131E0" w:rsidP="003131E0">
      <w:pPr>
        <w:rPr>
          <w:rFonts w:asciiTheme="majorBidi" w:hAnsiTheme="majorBidi" w:cstheme="majorBidi"/>
          <w:szCs w:val="24"/>
        </w:rPr>
      </w:pPr>
      <w:r w:rsidRPr="00A61532">
        <w:rPr>
          <w:rFonts w:asciiTheme="majorBidi" w:hAnsiTheme="majorBidi" w:cstheme="majorBidi"/>
          <w:color w:val="000000" w:themeColor="text1"/>
          <w:szCs w:val="24"/>
        </w:rPr>
        <w:t xml:space="preserve"> </w:t>
      </w:r>
      <w:r w:rsidRPr="00A61532">
        <w:t>W</w:t>
      </w:r>
      <w:r w:rsidRPr="00A61532">
        <w:rPr>
          <w:rFonts w:asciiTheme="majorBidi" w:hAnsiTheme="majorBidi" w:cstheme="majorBidi"/>
          <w:szCs w:val="24"/>
        </w:rPr>
        <w:t>e show that corporate leaders engaged in long negotiations, for an average of 193 days. At the end of these processes, they obtained significant benefits for stockholders and for themselves. These benefits include deal premia (31% on average) and improved deal terms compared to the initial stages of negotiations</w:t>
      </w:r>
      <w:r w:rsidR="00B20CC8" w:rsidRPr="00A61532">
        <w:rPr>
          <w:rFonts w:asciiTheme="majorBidi" w:hAnsiTheme="majorBidi" w:cstheme="majorBidi"/>
          <w:szCs w:val="24"/>
        </w:rPr>
        <w:t xml:space="preserve"> in 79% of the cases</w:t>
      </w:r>
      <w:r w:rsidRPr="00A61532">
        <w:rPr>
          <w:rFonts w:asciiTheme="majorBidi" w:hAnsiTheme="majorBidi" w:cstheme="majorBidi"/>
          <w:szCs w:val="24"/>
        </w:rPr>
        <w:t xml:space="preserve">. As a result of their significant equity holdings, corporate </w:t>
      </w:r>
      <w:r w:rsidR="00937684">
        <w:rPr>
          <w:rFonts w:asciiTheme="majorBidi" w:hAnsiTheme="majorBidi" w:cstheme="majorBidi"/>
          <w:szCs w:val="24"/>
        </w:rPr>
        <w:t>executives</w:t>
      </w:r>
      <w:r w:rsidRPr="00A61532">
        <w:rPr>
          <w:rFonts w:asciiTheme="majorBidi" w:hAnsiTheme="majorBidi" w:cstheme="majorBidi"/>
          <w:szCs w:val="24"/>
        </w:rPr>
        <w:t xml:space="preserve"> made significant profits ($</w:t>
      </w:r>
      <w:r w:rsidR="004F23A8">
        <w:rPr>
          <w:rFonts w:asciiTheme="majorBidi" w:hAnsiTheme="majorBidi" w:cstheme="majorBidi"/>
          <w:szCs w:val="24"/>
        </w:rPr>
        <w:t>67</w:t>
      </w:r>
      <w:r w:rsidRPr="00A61532">
        <w:rPr>
          <w:rFonts w:asciiTheme="majorBidi" w:hAnsiTheme="majorBidi" w:cstheme="majorBidi"/>
          <w:szCs w:val="24"/>
        </w:rPr>
        <w:t xml:space="preserve"> million </w:t>
      </w:r>
      <w:r w:rsidRPr="00A61532">
        <w:rPr>
          <w:rFonts w:asciiTheme="majorBidi" w:hAnsiTheme="majorBidi" w:cstheme="majorBidi"/>
          <w:szCs w:val="24"/>
        </w:rPr>
        <w:lastRenderedPageBreak/>
        <w:t>on average). In addition, the agreements that they negotiated contained additional payments</w:t>
      </w:r>
      <w:r w:rsidR="004F23A8">
        <w:rPr>
          <w:rFonts w:asciiTheme="majorBidi" w:hAnsiTheme="majorBidi" w:cstheme="majorBidi"/>
          <w:szCs w:val="24"/>
        </w:rPr>
        <w:t xml:space="preserve"> ($27 million on average,</w:t>
      </w:r>
      <w:r w:rsidRPr="00A61532">
        <w:rPr>
          <w:rFonts w:asciiTheme="majorBidi" w:hAnsiTheme="majorBidi" w:cstheme="majorBidi"/>
          <w:szCs w:val="24"/>
        </w:rPr>
        <w:t xml:space="preserve"> </w:t>
      </w:r>
      <w:r w:rsidR="004F23A8">
        <w:rPr>
          <w:rFonts w:asciiTheme="majorBidi" w:hAnsiTheme="majorBidi" w:cstheme="majorBidi"/>
          <w:szCs w:val="24"/>
        </w:rPr>
        <w:t>for</w:t>
      </w:r>
      <w:r w:rsidRPr="00A61532">
        <w:rPr>
          <w:rFonts w:asciiTheme="majorBidi" w:hAnsiTheme="majorBidi" w:cstheme="majorBidi"/>
          <w:szCs w:val="24"/>
        </w:rPr>
        <w:t xml:space="preserve"> bonus and severance payments, excise-tax reimbursement or cashing-out of unvested equity awards), as well as continuing employment for some of them.</w:t>
      </w:r>
    </w:p>
    <w:p w14:paraId="4818881D" w14:textId="0CFAA270" w:rsidR="003131E0" w:rsidRPr="00A61532" w:rsidRDefault="003131E0" w:rsidP="003131E0">
      <w:pPr>
        <w:rPr>
          <w:rFonts w:asciiTheme="majorBidi" w:hAnsiTheme="majorBidi" w:cstheme="majorBidi"/>
          <w:color w:val="000000" w:themeColor="text1"/>
          <w:szCs w:val="24"/>
        </w:rPr>
      </w:pPr>
      <w:r w:rsidRPr="00A61532">
        <w:rPr>
          <w:rFonts w:asciiTheme="majorBidi" w:hAnsiTheme="majorBidi" w:cstheme="majorBidi"/>
          <w:szCs w:val="24"/>
        </w:rPr>
        <w:t>Corporate leaders, however, obtained very little for stakeholders. Our review of the contractual terms of all these deals finds that they barely used the vast discretion afforded to them by the constituency statutes to protect stakeholders from the risks posed by private equity control.</w:t>
      </w:r>
      <w:r w:rsidRPr="00A61532">
        <w:rPr>
          <w:rFonts w:asciiTheme="majorBidi" w:hAnsiTheme="majorBidi" w:cstheme="majorBidi"/>
          <w:color w:val="000000" w:themeColor="text1"/>
          <w:szCs w:val="24"/>
        </w:rPr>
        <w:t xml:space="preserve"> For example, despite concerns for employees being one of the main drivers behind the legislation, we find that private equity buyers committed to retain the target’s employees in less than 5% of the transactions in our sample, and even in these few cases, the contractual provisions were vague and narrow. Employees received special payments in connection with the transactions only in 16% of the cases, and in any event these payments were very modest compared to the size of the transaction. </w:t>
      </w:r>
    </w:p>
    <w:p w14:paraId="702A9F18" w14:textId="77777777" w:rsidR="003131E0" w:rsidRPr="00332FE2" w:rsidRDefault="003131E0" w:rsidP="00332FE2">
      <w:pPr>
        <w:rPr>
          <w:color w:val="000000" w:themeColor="text1"/>
        </w:rPr>
      </w:pPr>
      <w:r w:rsidRPr="00332FE2">
        <w:t>Furthermore, we find no protections for consumers, suppliers, creditors, the environment, local communities, or other stakeholder groups, except for some rare and mostly cosmetic commitments to preserve the location of the target’s headquarters. These</w:t>
      </w:r>
      <w:r w:rsidRPr="00332FE2">
        <w:rPr>
          <w:color w:val="000000" w:themeColor="text1"/>
        </w:rPr>
        <w:t xml:space="preserve"> commitments, when bargained for (in 9% of the cases), are for a limited period of time and their language is often vague and underspecified. The same applies to contractual commitments to support local communities through investment in philanthropy or charitable organizations. These provisions appear in only a handful of cases (4%), and none of them specifies the amount of money that will satisfy the commitment. </w:t>
      </w:r>
    </w:p>
    <w:p w14:paraId="2E263E67" w14:textId="5CD5EA93" w:rsidR="003131E0" w:rsidRPr="00A61532" w:rsidRDefault="003131E0" w:rsidP="00B13787">
      <w:r w:rsidRPr="00332FE2">
        <w:t xml:space="preserve">Moreover, a study of the legal details of these terms reveals that the limited stakeholder protections that are occasionally found in private equity deals are even weaker than they seem at first look. While contractual provisions designed to protect executives are typically well-specified, contractual provisions in favor of stakeholders are commonly under-specified, and therefore difficult to monitor and enforce. Furthermore, while the former provisions can be enforced by their beneficiaries, the latter protections can be enforced by stakeholders in only </w:t>
      </w:r>
      <w:r w:rsidR="00C40B42" w:rsidRPr="00332FE2">
        <w:t>6</w:t>
      </w:r>
      <w:r w:rsidRPr="00332FE2">
        <w:t>% of the cases.</w:t>
      </w:r>
    </w:p>
    <w:p w14:paraId="0C34B170" w14:textId="77777777" w:rsidR="003131E0" w:rsidRPr="00332FE2" w:rsidRDefault="003131E0" w:rsidP="00332FE2">
      <w:r w:rsidRPr="00A61532">
        <w:t xml:space="preserve">Finally, Part V turns to conclusions and implications. </w:t>
      </w:r>
      <w:r w:rsidRPr="00332FE2">
        <w:t xml:space="preserve">It explains why constituency statutes failed to deliver on their promise and outlines the lessons that policy makers, scholars and business leaders who support </w:t>
      </w:r>
      <w:proofErr w:type="spellStart"/>
      <w:r w:rsidRPr="00332FE2">
        <w:t>stakeholderism</w:t>
      </w:r>
      <w:proofErr w:type="spellEnd"/>
      <w:r w:rsidRPr="00332FE2">
        <w:t xml:space="preserve"> can learn from this experience. </w:t>
      </w:r>
    </w:p>
    <w:p w14:paraId="63146135" w14:textId="77777777" w:rsidR="003131E0" w:rsidRPr="00332FE2" w:rsidRDefault="003131E0" w:rsidP="00332FE2">
      <w:r w:rsidRPr="00332FE2">
        <w:t xml:space="preserve">This Part also reviews a variety of possible explanations for the failure of </w:t>
      </w:r>
      <w:r w:rsidRPr="00332FE2">
        <w:rPr>
          <w:color w:val="000000" w:themeColor="text1"/>
        </w:rPr>
        <w:t>constituency statutes, including the uncertainty about the statutes’ authorization</w:t>
      </w:r>
      <w:r w:rsidRPr="00332FE2">
        <w:t xml:space="preserve"> to take stakeholders’ interests into account; the potential applicability of Revlon duties to maximize the sale price; the need for shareholder approval, which might discourage pro-stakeholder deals; and the influence of the shareholder-centric norms that dominated boardrooms and </w:t>
      </w:r>
      <w:r w:rsidRPr="00332FE2">
        <w:lastRenderedPageBreak/>
        <w:t xml:space="preserve">executive suites in the past. As we will show, none of these explanations can adequately explain our findings regarding the ultimate failure of </w:t>
      </w:r>
      <w:r w:rsidRPr="00332FE2">
        <w:rPr>
          <w:color w:val="000000" w:themeColor="text1"/>
        </w:rPr>
        <w:t>constituency statutes to deliver on their promises.</w:t>
      </w:r>
    </w:p>
    <w:p w14:paraId="1FE22731" w14:textId="77777777" w:rsidR="003131E0" w:rsidRPr="00332FE2" w:rsidRDefault="003131E0" w:rsidP="00332FE2">
      <w:r w:rsidRPr="00332FE2">
        <w:t xml:space="preserve">We believe, in contrast, that the most important factor in explaining our results is the incentives of corporate leaders. The interests of corporate leaders, while not perfectly aligned with the interest of shareholders, are robustly linked to them. The structure of compensation and the dynamics of the labor and control markets provide directors and top executives with incentives to increase shareholder value. By contrast, there is no significant link between the interests of corporate leaders selling their companies and the post-sale interests of stakeholders. In fact, to the extent that meaningful stakeholder protections are costly for shareholders, their inclusion in the deal is against corporate leaders’ interests. Considering their incentives, we should not be surprised that corporate leaders did not bargain for stakeholders. </w:t>
      </w:r>
    </w:p>
    <w:p w14:paraId="42063CB8" w14:textId="77777777" w:rsidR="003131E0" w:rsidRPr="00A61532" w:rsidRDefault="003131E0" w:rsidP="003131E0">
      <w:pPr>
        <w:rPr>
          <w:rFonts w:asciiTheme="majorBidi" w:hAnsiTheme="majorBidi" w:cstheme="majorBidi"/>
          <w:szCs w:val="24"/>
        </w:rPr>
      </w:pPr>
      <w:r w:rsidRPr="00A61532">
        <w:rPr>
          <w:rFonts w:asciiTheme="majorBidi" w:hAnsiTheme="majorBidi" w:cstheme="majorBidi"/>
          <w:szCs w:val="24"/>
        </w:rPr>
        <w:t xml:space="preserve">Our findings warn </w:t>
      </w:r>
      <w:proofErr w:type="spellStart"/>
      <w:r w:rsidRPr="00A61532">
        <w:rPr>
          <w:rFonts w:asciiTheme="majorBidi" w:hAnsiTheme="majorBidi" w:cstheme="majorBidi"/>
          <w:szCs w:val="24"/>
        </w:rPr>
        <w:t>stakeholderists</w:t>
      </w:r>
      <w:proofErr w:type="spellEnd"/>
      <w:r w:rsidRPr="00A61532">
        <w:rPr>
          <w:rFonts w:asciiTheme="majorBidi" w:hAnsiTheme="majorBidi" w:cstheme="majorBidi"/>
          <w:szCs w:val="24"/>
        </w:rPr>
        <w:t xml:space="preserve"> that they need to take incentives seriously. Like the supporters of constituency statutes, supporters of </w:t>
      </w:r>
      <w:proofErr w:type="spellStart"/>
      <w:r w:rsidRPr="00A61532">
        <w:rPr>
          <w:rFonts w:asciiTheme="majorBidi" w:hAnsiTheme="majorBidi" w:cstheme="majorBidi"/>
          <w:szCs w:val="24"/>
        </w:rPr>
        <w:t>stakeholderism</w:t>
      </w:r>
      <w:proofErr w:type="spellEnd"/>
      <w:r w:rsidRPr="00A61532">
        <w:rPr>
          <w:rFonts w:asciiTheme="majorBidi" w:hAnsiTheme="majorBidi" w:cstheme="majorBidi"/>
          <w:szCs w:val="24"/>
        </w:rPr>
        <w:t xml:space="preserve"> have commonly assumed that corporate leaders would use their enhanced discretion to protect stakeholders, only because it would be socially desirable to do so. This assumption has proved unrealistic in the case of constituency statutes and should not be relied upon in assessing the promise of modern </w:t>
      </w:r>
      <w:proofErr w:type="spellStart"/>
      <w:r w:rsidRPr="00A61532">
        <w:rPr>
          <w:rFonts w:asciiTheme="majorBidi" w:hAnsiTheme="majorBidi" w:cstheme="majorBidi"/>
          <w:szCs w:val="24"/>
        </w:rPr>
        <w:t>stakeholderism</w:t>
      </w:r>
      <w:proofErr w:type="spellEnd"/>
      <w:r w:rsidRPr="00A61532">
        <w:rPr>
          <w:rFonts w:asciiTheme="majorBidi" w:hAnsiTheme="majorBidi" w:cstheme="majorBidi"/>
          <w:szCs w:val="24"/>
        </w:rPr>
        <w:t>.</w:t>
      </w:r>
    </w:p>
    <w:p w14:paraId="04544859" w14:textId="77777777" w:rsidR="003131E0" w:rsidRPr="00A61532" w:rsidRDefault="003131E0" w:rsidP="003131E0">
      <w:pPr>
        <w:pStyle w:val="Heading1"/>
        <w:rPr>
          <w:rFonts w:eastAsia="SimHei"/>
        </w:rPr>
      </w:pPr>
      <w:bookmarkStart w:id="15" w:name="_Toc47638728"/>
      <w:bookmarkStart w:id="16" w:name="_Toc47885985"/>
      <w:r w:rsidRPr="00A61532">
        <w:rPr>
          <w:rFonts w:eastAsia="SimHei"/>
        </w:rPr>
        <w:t xml:space="preserve">The </w:t>
      </w:r>
      <w:proofErr w:type="spellStart"/>
      <w:r w:rsidRPr="00A61532">
        <w:rPr>
          <w:rFonts w:eastAsia="SimHei"/>
        </w:rPr>
        <w:t>Stakeholderism</w:t>
      </w:r>
      <w:proofErr w:type="spellEnd"/>
      <w:r w:rsidRPr="00A61532">
        <w:rPr>
          <w:rFonts w:eastAsia="SimHei"/>
        </w:rPr>
        <w:t xml:space="preserve"> Debate</w:t>
      </w:r>
      <w:bookmarkEnd w:id="15"/>
      <w:bookmarkEnd w:id="16"/>
    </w:p>
    <w:p w14:paraId="30682838" w14:textId="77777777" w:rsidR="003131E0" w:rsidRPr="00A61532" w:rsidRDefault="003131E0" w:rsidP="003131E0">
      <w:pPr>
        <w:pStyle w:val="Heading2"/>
        <w:rPr>
          <w:rFonts w:eastAsia="SimHei"/>
        </w:rPr>
      </w:pPr>
      <w:bookmarkStart w:id="17" w:name="_Toc47638729"/>
      <w:bookmarkStart w:id="18" w:name="_Toc47885986"/>
      <w:r w:rsidRPr="00A61532">
        <w:rPr>
          <w:rFonts w:eastAsia="SimHei"/>
        </w:rPr>
        <w:t>A Critical Juncture</w:t>
      </w:r>
      <w:bookmarkEnd w:id="17"/>
      <w:bookmarkEnd w:id="18"/>
    </w:p>
    <w:p w14:paraId="26DBB46D" w14:textId="77777777" w:rsidR="003131E0" w:rsidRPr="00A61532" w:rsidRDefault="003131E0" w:rsidP="003131E0">
      <w:pPr>
        <w:rPr>
          <w:rFonts w:eastAsia="SimHei"/>
        </w:rPr>
      </w:pPr>
      <w:r w:rsidRPr="00A61532">
        <w:rPr>
          <w:rFonts w:eastAsia="SimHei"/>
        </w:rPr>
        <w:t>A central debate in corporate governance is whether corporate leaders—directors and top executives—when making business decisions, should consider only the interests and welfare of shareholders (shareholder primacy) or should also consider the interests of non-shareholder constituents, such as employees, customers, suppliers, local communities, and society at large (</w:t>
      </w:r>
      <w:proofErr w:type="spellStart"/>
      <w:r w:rsidRPr="00A61532">
        <w:rPr>
          <w:rFonts w:eastAsia="SimHei"/>
        </w:rPr>
        <w:t>stakeholderism</w:t>
      </w:r>
      <w:proofErr w:type="spellEnd"/>
      <w:r w:rsidRPr="00A61532">
        <w:rPr>
          <w:rFonts w:eastAsia="SimHei"/>
        </w:rPr>
        <w:t xml:space="preserve">). At some abstract level, some versions of </w:t>
      </w:r>
      <w:proofErr w:type="spellStart"/>
      <w:r w:rsidRPr="00A61532">
        <w:rPr>
          <w:rFonts w:eastAsia="SimHei"/>
        </w:rPr>
        <w:t>stakeholderism</w:t>
      </w:r>
      <w:proofErr w:type="spellEnd"/>
      <w:r w:rsidRPr="00A61532">
        <w:rPr>
          <w:rFonts w:eastAsia="SimHei"/>
        </w:rPr>
        <w:t xml:space="preserve"> exist in a merely aspirational form: these versions </w:t>
      </w:r>
      <w:proofErr w:type="spellStart"/>
      <w:r w:rsidRPr="00A61532">
        <w:rPr>
          <w:rFonts w:eastAsia="SimHei"/>
        </w:rPr>
        <w:t>uncontroversially</w:t>
      </w:r>
      <w:proofErr w:type="spellEnd"/>
      <w:r w:rsidRPr="00A61532">
        <w:rPr>
          <w:rFonts w:eastAsia="SimHei"/>
        </w:rPr>
        <w:t xml:space="preserve"> hold that corporations’ role in our economy should be beneficial to the whole society. But in a prescriptive, operational form, what advocates of </w:t>
      </w:r>
      <w:proofErr w:type="spellStart"/>
      <w:r w:rsidRPr="00A61532">
        <w:rPr>
          <w:rFonts w:eastAsia="SimHei"/>
        </w:rPr>
        <w:t>stakeholderism</w:t>
      </w:r>
      <w:proofErr w:type="spellEnd"/>
      <w:r w:rsidRPr="00A61532">
        <w:rPr>
          <w:rFonts w:eastAsia="SimHei"/>
        </w:rPr>
        <w:t xml:space="preserve"> concretely propose is that corporate leaders should be given broad discretion to decide whether, when, and how stakeholder interests should be taken into consideration. Thus, </w:t>
      </w:r>
      <w:proofErr w:type="spellStart"/>
      <w:r w:rsidRPr="00A61532">
        <w:rPr>
          <w:rFonts w:eastAsia="SimHei"/>
        </w:rPr>
        <w:t>stakeholderism</w:t>
      </w:r>
      <w:proofErr w:type="spellEnd"/>
      <w:r w:rsidRPr="00A61532">
        <w:rPr>
          <w:rFonts w:eastAsia="SimHei"/>
        </w:rPr>
        <w:t xml:space="preserve"> and its ability to improve the welfare of stakeholders heavily rely on an expansion of managerial discretion. In this Article, we seek to test this specific proposal. </w:t>
      </w:r>
    </w:p>
    <w:p w14:paraId="55A58965" w14:textId="5FDF29BD" w:rsidR="003131E0" w:rsidRPr="00A61532" w:rsidRDefault="003131E0" w:rsidP="003131E0">
      <w:pPr>
        <w:rPr>
          <w:rFonts w:eastAsia="SimHei"/>
        </w:rPr>
      </w:pPr>
      <w:r w:rsidRPr="00A61532">
        <w:rPr>
          <w:rFonts w:eastAsia="SimHei"/>
        </w:rPr>
        <w:t xml:space="preserve">There is a copious literature on the </w:t>
      </w:r>
      <w:proofErr w:type="spellStart"/>
      <w:r w:rsidRPr="00A61532">
        <w:rPr>
          <w:rFonts w:eastAsia="SimHei"/>
        </w:rPr>
        <w:t>stakeholderism</w:t>
      </w:r>
      <w:proofErr w:type="spellEnd"/>
      <w:r w:rsidRPr="00A61532">
        <w:rPr>
          <w:rFonts w:eastAsia="SimHei"/>
        </w:rPr>
        <w:t xml:space="preserve"> debate, spanning </w:t>
      </w:r>
      <w:r w:rsidRPr="00A61532">
        <w:rPr>
          <w:rFonts w:eastAsia="SimHei"/>
        </w:rPr>
        <w:lastRenderedPageBreak/>
        <w:t>decades back to the early twentieth century.</w:t>
      </w:r>
      <w:bookmarkStart w:id="19" w:name="_Ref46482507"/>
      <w:r w:rsidRPr="00A61532">
        <w:rPr>
          <w:rStyle w:val="FootnoteReference"/>
          <w:rFonts w:eastAsia="SimHei"/>
        </w:rPr>
        <w:footnoteReference w:id="14"/>
      </w:r>
      <w:bookmarkEnd w:id="19"/>
      <w:r w:rsidRPr="00A61532">
        <w:rPr>
          <w:rFonts w:eastAsia="SimHei"/>
        </w:rPr>
        <w:t xml:space="preserve"> However, despite many prominent scholars in law,</w:t>
      </w:r>
      <w:bookmarkStart w:id="20" w:name="_Ref47660978"/>
      <w:r w:rsidRPr="00A61532">
        <w:rPr>
          <w:rStyle w:val="FootnoteReference"/>
          <w:rFonts w:eastAsia="SimHei"/>
        </w:rPr>
        <w:footnoteReference w:id="15"/>
      </w:r>
      <w:bookmarkEnd w:id="20"/>
      <w:r w:rsidRPr="00A61532">
        <w:rPr>
          <w:rFonts w:eastAsia="SimHei"/>
        </w:rPr>
        <w:t xml:space="preserve"> </w:t>
      </w:r>
      <w:r w:rsidR="00F06491" w:rsidRPr="00A61532">
        <w:rPr>
          <w:rFonts w:eastAsia="SimHei"/>
        </w:rPr>
        <w:t xml:space="preserve">as well as in </w:t>
      </w:r>
      <w:r w:rsidRPr="00A61532">
        <w:rPr>
          <w:rFonts w:eastAsia="SimHei"/>
        </w:rPr>
        <w:t>economics and business</w:t>
      </w:r>
      <w:bookmarkStart w:id="21" w:name="_Ref47686940"/>
      <w:r w:rsidR="00F06491" w:rsidRPr="00A61532">
        <w:rPr>
          <w:rFonts w:eastAsia="SimHei"/>
        </w:rPr>
        <w:t>,</w:t>
      </w:r>
      <w:bookmarkStart w:id="22" w:name="_Ref47774205"/>
      <w:r w:rsidRPr="00A61532">
        <w:rPr>
          <w:rStyle w:val="FootnoteReference"/>
          <w:rFonts w:eastAsia="SimHei"/>
        </w:rPr>
        <w:footnoteReference w:id="16"/>
      </w:r>
      <w:bookmarkEnd w:id="21"/>
      <w:bookmarkEnd w:id="22"/>
      <w:r w:rsidRPr="00A61532">
        <w:rPr>
          <w:rFonts w:eastAsia="SimHei"/>
        </w:rPr>
        <w:t xml:space="preserve"> proposing powerful defenses of </w:t>
      </w:r>
      <w:proofErr w:type="spellStart"/>
      <w:r w:rsidRPr="00A61532">
        <w:rPr>
          <w:rFonts w:eastAsia="SimHei"/>
        </w:rPr>
        <w:t>stakeholderism</w:t>
      </w:r>
      <w:proofErr w:type="spellEnd"/>
      <w:r w:rsidRPr="00A61532">
        <w:rPr>
          <w:rFonts w:eastAsia="SimHei"/>
        </w:rPr>
        <w:t>, the shareholder primacy view has commonly been more prevalent among academics and practitioners.</w:t>
      </w:r>
      <w:bookmarkStart w:id="23" w:name="_Ref47580493"/>
      <w:r w:rsidRPr="00A61532">
        <w:rPr>
          <w:rStyle w:val="FootnoteReference"/>
          <w:rFonts w:eastAsia="SimHei"/>
        </w:rPr>
        <w:footnoteReference w:id="17"/>
      </w:r>
      <w:bookmarkEnd w:id="23"/>
      <w:r w:rsidRPr="00A61532">
        <w:rPr>
          <w:rFonts w:eastAsia="SimHei"/>
        </w:rPr>
        <w:t xml:space="preserve"> Recently, however, </w:t>
      </w:r>
      <w:proofErr w:type="spellStart"/>
      <w:r w:rsidRPr="00A61532">
        <w:rPr>
          <w:rFonts w:eastAsia="SimHei"/>
        </w:rPr>
        <w:t>stakeholderism</w:t>
      </w:r>
      <w:proofErr w:type="spellEnd"/>
      <w:r w:rsidRPr="00A61532">
        <w:rPr>
          <w:rFonts w:eastAsia="SimHei"/>
        </w:rPr>
        <w:t xml:space="preserve"> has returned to the center of the corporate governance discourse, and the debate seems to have reached a critical juncture. </w:t>
      </w:r>
    </w:p>
    <w:p w14:paraId="4A94D2B0" w14:textId="77777777" w:rsidR="003131E0" w:rsidRPr="00A61532" w:rsidRDefault="003131E0" w:rsidP="003131E0">
      <w:r w:rsidRPr="00A61532">
        <w:rPr>
          <w:rFonts w:eastAsia="SimHei"/>
        </w:rPr>
        <w:t xml:space="preserve">In August 2019, the Business Roundtable—an influential association </w:t>
      </w:r>
      <w:r w:rsidRPr="00A61532">
        <w:t>of corporate chief executive officers (CEOs)—issued a statement, signed by the CEOs of 187 major public companies, in which they committed to “lead their companies to the benefit of all stakeholders,</w:t>
      </w:r>
      <w:bookmarkStart w:id="24" w:name="_Ref33446954"/>
      <w:r w:rsidRPr="00A61532">
        <w:t>”</w:t>
      </w:r>
      <w:bookmarkStart w:id="25" w:name="_Ref36979853"/>
      <w:r w:rsidRPr="00A61532">
        <w:rPr>
          <w:rStyle w:val="FootnoteReference"/>
        </w:rPr>
        <w:footnoteReference w:id="18"/>
      </w:r>
      <w:bookmarkEnd w:id="24"/>
      <w:bookmarkEnd w:id="25"/>
      <w:r w:rsidRPr="00A61532">
        <w:t xml:space="preserve"> and to “deliver value” not just to shareholders but also to employees, customers, suppliers, and communities.</w:t>
      </w:r>
      <w:r w:rsidRPr="00A61532">
        <w:rPr>
          <w:rStyle w:val="FootnoteReference"/>
        </w:rPr>
        <w:footnoteReference w:id="19"/>
      </w:r>
      <w:r w:rsidRPr="00A61532">
        <w:t xml:space="preserve"> The statement has been saluted by many commentators as a radical change in the conception of corporate purpose and the harbinger of a major transformation in corporate governance practices.</w:t>
      </w:r>
      <w:r w:rsidRPr="00A61532">
        <w:rPr>
          <w:rStyle w:val="FootnoteReference"/>
        </w:rPr>
        <w:footnoteReference w:id="20"/>
      </w:r>
      <w:r w:rsidRPr="00A61532">
        <w:t xml:space="preserve"> </w:t>
      </w:r>
    </w:p>
    <w:p w14:paraId="4A639276" w14:textId="77777777" w:rsidR="003131E0" w:rsidRPr="00A61532" w:rsidRDefault="003131E0" w:rsidP="003131E0">
      <w:r w:rsidRPr="00A61532">
        <w:lastRenderedPageBreak/>
        <w:t xml:space="preserve">Subsequently, a manifesto published by the World Economic Forum </w:t>
      </w:r>
      <w:r w:rsidRPr="00A61532">
        <w:rPr>
          <w:rFonts w:asciiTheme="majorBidi" w:eastAsia="SimHei" w:hAnsiTheme="majorBidi" w:cstheme="majorBidi"/>
          <w:szCs w:val="24"/>
        </w:rPr>
        <w:t>urged companies to move from the traditional model of “shareholder capitalism” to the model of “stakeholder capitalism.”</w:t>
      </w:r>
      <w:bookmarkStart w:id="26" w:name="_Ref32162175"/>
      <w:r w:rsidRPr="00A61532">
        <w:rPr>
          <w:rStyle w:val="FootnoteReference"/>
          <w:rFonts w:asciiTheme="majorBidi" w:eastAsia="SimHei" w:hAnsiTheme="majorBidi" w:cstheme="majorBidi"/>
          <w:szCs w:val="24"/>
        </w:rPr>
        <w:footnoteReference w:id="21"/>
      </w:r>
      <w:bookmarkEnd w:id="26"/>
      <w:r w:rsidRPr="00A61532">
        <w:rPr>
          <w:rFonts w:asciiTheme="majorBidi" w:eastAsia="SimHei" w:hAnsiTheme="majorBidi" w:cstheme="majorBidi"/>
          <w:szCs w:val="24"/>
        </w:rPr>
        <w:t xml:space="preserve"> In addition, </w:t>
      </w:r>
      <w:r w:rsidRPr="00A61532">
        <w:t xml:space="preserve">the Reporter and advisors for the ongoing project for a </w:t>
      </w:r>
      <w:r w:rsidRPr="00A61532">
        <w:rPr>
          <w:i/>
        </w:rPr>
        <w:t xml:space="preserve">Restatement of Corporate Law </w:t>
      </w:r>
      <w:r w:rsidRPr="00A61532">
        <w:t xml:space="preserve">are considering the introduction of </w:t>
      </w:r>
      <w:proofErr w:type="spellStart"/>
      <w:r w:rsidRPr="00A61532">
        <w:t>stakeholderist</w:t>
      </w:r>
      <w:proofErr w:type="spellEnd"/>
      <w:r w:rsidRPr="00A61532">
        <w:t xml:space="preserve"> elements into the Restatement.</w:t>
      </w:r>
      <w:bookmarkStart w:id="27" w:name="_Ref32939564"/>
      <w:r w:rsidRPr="00A61532">
        <w:rPr>
          <w:rStyle w:val="FootnoteReference"/>
        </w:rPr>
        <w:footnoteReference w:id="22"/>
      </w:r>
      <w:bookmarkEnd w:id="27"/>
      <w:r w:rsidRPr="00A61532">
        <w:t xml:space="preserve"> These developments led observers to opine that 2019 was a “watershed year in the evolution of corporate governance” due to the “advent of stakeholder governance,”</w:t>
      </w:r>
      <w:bookmarkStart w:id="28" w:name="_Ref47714785"/>
      <w:r w:rsidRPr="00A61532">
        <w:rPr>
          <w:rStyle w:val="FootnoteReference"/>
          <w:rFonts w:asciiTheme="majorBidi" w:eastAsia="SimHei" w:hAnsiTheme="majorBidi" w:cstheme="majorBidi"/>
          <w:szCs w:val="24"/>
        </w:rPr>
        <w:footnoteReference w:id="23"/>
      </w:r>
      <w:bookmarkEnd w:id="28"/>
      <w:r w:rsidRPr="00A61532">
        <w:t xml:space="preserve"> and that  2020 is a “decisive inflection point” in the </w:t>
      </w:r>
      <w:proofErr w:type="spellStart"/>
      <w:r w:rsidRPr="00A61532">
        <w:t>stakeholderism</w:t>
      </w:r>
      <w:proofErr w:type="spellEnd"/>
      <w:r w:rsidRPr="00A61532">
        <w:t xml:space="preserve"> debate.</w:t>
      </w:r>
      <w:bookmarkStart w:id="29" w:name="_Ref47714789"/>
      <w:r w:rsidRPr="00A61532">
        <w:rPr>
          <w:rStyle w:val="FootnoteReference"/>
        </w:rPr>
        <w:footnoteReference w:id="24"/>
      </w:r>
      <w:bookmarkEnd w:id="29"/>
    </w:p>
    <w:p w14:paraId="68F6A19D" w14:textId="77777777" w:rsidR="003131E0" w:rsidRPr="00A61532" w:rsidRDefault="003131E0" w:rsidP="003131E0">
      <w:pPr>
        <w:pStyle w:val="Heading2"/>
      </w:pPr>
      <w:bookmarkStart w:id="30" w:name="_Toc47638730"/>
      <w:bookmarkStart w:id="31" w:name="_Toc47885987"/>
      <w:proofErr w:type="spellStart"/>
      <w:r w:rsidRPr="00A61532">
        <w:t>Stakeholderism</w:t>
      </w:r>
      <w:bookmarkEnd w:id="30"/>
      <w:bookmarkEnd w:id="31"/>
      <w:proofErr w:type="spellEnd"/>
    </w:p>
    <w:p w14:paraId="58A301B0" w14:textId="77777777" w:rsidR="003131E0" w:rsidRPr="00A61532" w:rsidRDefault="003131E0" w:rsidP="003131E0">
      <w:r w:rsidRPr="00A61532">
        <w:t xml:space="preserve">The </w:t>
      </w:r>
      <w:proofErr w:type="spellStart"/>
      <w:r w:rsidRPr="00A61532">
        <w:t>stakeholderism</w:t>
      </w:r>
      <w:proofErr w:type="spellEnd"/>
      <w:r w:rsidRPr="00A61532">
        <w:t xml:space="preserve"> view holds that the welfare of each group of corporate stakeholders is relevant and valuable independently of its effect on the welfare of shareholders. Therefore, corporate leaders should serve not only shareholders but a plurality of independent constituencies, and should weigh and balance a plurality of autonomous ends.</w:t>
      </w:r>
      <w:r w:rsidRPr="00A61532">
        <w:rPr>
          <w:rStyle w:val="FootnoteReference"/>
        </w:rPr>
        <w:footnoteReference w:id="25"/>
      </w:r>
      <w:r w:rsidRPr="00A61532">
        <w:t xml:space="preserve"> An important corollary of the fact that the welfare of shareholders and the welfare of stakeholders are independently relevant is that there might be cases in which corporate leaders may choose a stakeholder-friendly course of action even if it is costly to shareholders. With a </w:t>
      </w:r>
      <w:proofErr w:type="spellStart"/>
      <w:r w:rsidRPr="00A61532">
        <w:t>stakeholderist</w:t>
      </w:r>
      <w:proofErr w:type="spellEnd"/>
      <w:r w:rsidRPr="00A61532">
        <w:t xml:space="preserve"> approach, stakeholders could in theory get a larger share of the value created by the corporation than with a shareholder primacy approach. This is, in fact, the goal of </w:t>
      </w:r>
      <w:proofErr w:type="spellStart"/>
      <w:r w:rsidRPr="00A61532">
        <w:t>stakeholderism</w:t>
      </w:r>
      <w:proofErr w:type="spellEnd"/>
      <w:r w:rsidRPr="00A61532">
        <w:t>.</w:t>
      </w:r>
    </w:p>
    <w:p w14:paraId="0084AE3C" w14:textId="06366A06" w:rsidR="003131E0" w:rsidRPr="00A61532" w:rsidRDefault="003131E0" w:rsidP="003131E0">
      <w:pPr>
        <w:rPr>
          <w:rFonts w:eastAsia="SimHei"/>
          <w:iCs/>
        </w:rPr>
      </w:pPr>
      <w:r w:rsidRPr="00A61532">
        <w:t xml:space="preserve">In practice, as noted in the previous section, </w:t>
      </w:r>
      <w:proofErr w:type="spellStart"/>
      <w:r w:rsidRPr="00A61532">
        <w:t>stakeholderist</w:t>
      </w:r>
      <w:proofErr w:type="spellEnd"/>
      <w:r w:rsidRPr="00A61532">
        <w:t xml:space="preserve"> proposals rely on the discretionary judgment of corporate leaders. It is up to directors and top executives to decide which groups should be considered stakeholders of the corporation, when a situation involves a potential trade-off between shareholders and some group of stakeholders, how to quantify and weigh the respective welfare gains or losses (especially when they are not immediately or easily monetized, such as, for example, on matters of job security, health </w:t>
      </w:r>
      <w:r w:rsidRPr="00A61532">
        <w:lastRenderedPageBreak/>
        <w:t xml:space="preserve">and safety, or environmental issues), and how to resolve such trade-offs. </w:t>
      </w:r>
    </w:p>
    <w:p w14:paraId="7D1CD97B" w14:textId="77777777" w:rsidR="003131E0" w:rsidRPr="00A61532" w:rsidRDefault="003131E0" w:rsidP="003131E0">
      <w:pPr>
        <w:rPr>
          <w:rFonts w:eastAsia="SimHei"/>
        </w:rPr>
      </w:pPr>
      <w:r w:rsidRPr="00A61532">
        <w:rPr>
          <w:rFonts w:eastAsia="SimHei"/>
        </w:rPr>
        <w:t>For example, the 2019 statement of the Business Roundtable is a commitment of the signing CEOs to “deliver value” to all stakeholders. The statement does not provide details on how this should be done, nor does it propose mechanisms that constrain the ability of CEOs to make decisions.</w:t>
      </w:r>
      <w:r w:rsidRPr="00A61532">
        <w:rPr>
          <w:rStyle w:val="FootnoteReference"/>
          <w:rFonts w:eastAsia="SimHei"/>
        </w:rPr>
        <w:footnoteReference w:id="26"/>
      </w:r>
      <w:r w:rsidRPr="00A61532">
        <w:rPr>
          <w:rFonts w:eastAsia="SimHei"/>
        </w:rPr>
        <w:t xml:space="preserve"> For another example, which we will examine more in detail in Part III, the constituency statutes adopted by U.S. states authorize directors to consider the interests of certain groups of stakeholders, but do not say anything about how to resolve conflicts or trade-offs between them.</w:t>
      </w:r>
      <w:r w:rsidRPr="00A61532">
        <w:rPr>
          <w:rStyle w:val="FootnoteReference"/>
          <w:rFonts w:eastAsia="SimHei"/>
        </w:rPr>
        <w:footnoteReference w:id="27"/>
      </w:r>
      <w:r w:rsidRPr="00A61532">
        <w:rPr>
          <w:rFonts w:eastAsia="SimHei"/>
        </w:rPr>
        <w:t xml:space="preserve"> In fact, some statutes explicitly state that no stakeholder group has any dominant weight over the others, thus leaving it to directors to decide how to balance the various interests at stake.</w:t>
      </w:r>
      <w:r w:rsidRPr="00A61532">
        <w:rPr>
          <w:rStyle w:val="FootnoteReference"/>
          <w:rFonts w:eastAsia="SimHei"/>
        </w:rPr>
        <w:footnoteReference w:id="28"/>
      </w:r>
    </w:p>
    <w:p w14:paraId="56D051E6" w14:textId="77777777" w:rsidR="003131E0" w:rsidRPr="00A61532" w:rsidRDefault="003131E0" w:rsidP="003131E0">
      <w:r w:rsidRPr="00A61532">
        <w:rPr>
          <w:rFonts w:eastAsia="SimHei"/>
        </w:rPr>
        <w:t xml:space="preserve">Similarly, academic defenses of </w:t>
      </w:r>
      <w:proofErr w:type="spellStart"/>
      <w:r w:rsidRPr="00A61532">
        <w:rPr>
          <w:rFonts w:eastAsia="SimHei"/>
        </w:rPr>
        <w:t>stakeholderism</w:t>
      </w:r>
      <w:proofErr w:type="spellEnd"/>
      <w:r w:rsidRPr="00A61532">
        <w:rPr>
          <w:rFonts w:eastAsia="SimHei"/>
        </w:rPr>
        <w:t xml:space="preserve"> entrust corporate leaders with the task of mediating between the various groups of stakeholders and balancing their conflicting interests. Margaret Blair and Lynn Stout, for example, </w:t>
      </w:r>
      <w:r w:rsidRPr="00A61532">
        <w:t>argue that directors should play the role of “mediating hierarchs” who must decide how to allocate the value created by the corporation between shareholders and stakeholders.</w:t>
      </w:r>
      <w:bookmarkStart w:id="32" w:name="_Ref47774221"/>
      <w:r w:rsidRPr="00A61532">
        <w:rPr>
          <w:rStyle w:val="FootnoteReference"/>
        </w:rPr>
        <w:footnoteReference w:id="29"/>
      </w:r>
      <w:bookmarkEnd w:id="32"/>
      <w:r w:rsidRPr="00A61532">
        <w:t xml:space="preserve"> Colin Mayer, for another example, refers to “intrinsic trusteeship” (that is, the role of directors as trustees for all corporate constituents) as a substitute for “extrinsic regulation” to improve societal welfare.</w:t>
      </w:r>
      <w:bookmarkStart w:id="33" w:name="_Ref47774224"/>
      <w:r w:rsidRPr="00A61532">
        <w:rPr>
          <w:rStyle w:val="FootnoteReference"/>
        </w:rPr>
        <w:footnoteReference w:id="30"/>
      </w:r>
      <w:bookmarkEnd w:id="33"/>
      <w:r w:rsidRPr="00A61532">
        <w:t xml:space="preserve"> According to this view, self-organized managerial arrangements can effectively replace regulation and other external constraints as a method to improve stakeholder welfare. Even in this case, therefore, </w:t>
      </w:r>
      <w:proofErr w:type="spellStart"/>
      <w:r w:rsidRPr="00A61532">
        <w:t>stakeholderism</w:t>
      </w:r>
      <w:proofErr w:type="spellEnd"/>
      <w:r w:rsidRPr="00A61532">
        <w:t xml:space="preserve"> relies on the use of managerial discretion for the benefit of stakeholders.</w:t>
      </w:r>
    </w:p>
    <w:p w14:paraId="10E2C07F" w14:textId="77777777" w:rsidR="003131E0" w:rsidRPr="00A61532" w:rsidRDefault="003131E0" w:rsidP="003131E0">
      <w:r w:rsidRPr="00A61532">
        <w:t xml:space="preserve">It is worth noting that there is a different, “lite” version of </w:t>
      </w:r>
      <w:proofErr w:type="spellStart"/>
      <w:r w:rsidRPr="00A61532">
        <w:t>stakeholderism</w:t>
      </w:r>
      <w:proofErr w:type="spellEnd"/>
      <w:r w:rsidRPr="00A61532">
        <w:t>, which proposes that treating stakeholders well is good for the long-term interests of shareholders. According to this view, which is often called “enlightened shareholder value,” stakeholder interests are only a means to the end of shareholder value maximization.</w:t>
      </w:r>
      <w:r w:rsidRPr="00A61532">
        <w:rPr>
          <w:rStyle w:val="FootnoteReference"/>
        </w:rPr>
        <w:footnoteReference w:id="31"/>
      </w:r>
      <w:r w:rsidRPr="00A61532">
        <w:t xml:space="preserve"> We believe that this approach is conceptually and practically indistinguishable from traditional shareholder value. If corporate leaders are to benefit stakeholders only as long </w:t>
      </w:r>
      <w:r w:rsidRPr="00A61532">
        <w:lastRenderedPageBreak/>
        <w:t xml:space="preserve">as doing so is good for shareholders, then stakeholders are not expected to receive any more benefits than what they would receive under the traditional shareholder value approach. In this Article, we try to learn what benefits stakeholders should expect from the more meaningful “pluralistic” version of </w:t>
      </w:r>
      <w:proofErr w:type="spellStart"/>
      <w:r w:rsidRPr="00A61532">
        <w:t>stakeholderism</w:t>
      </w:r>
      <w:proofErr w:type="spellEnd"/>
      <w:r w:rsidRPr="00A61532">
        <w:t xml:space="preserve">. However, in Part V we will also comment on the “enlightened shareholder value” approach and its predictable implications. </w:t>
      </w:r>
    </w:p>
    <w:p w14:paraId="65FF76BD" w14:textId="77777777" w:rsidR="003131E0" w:rsidRPr="00A61532" w:rsidRDefault="003131E0" w:rsidP="003131E0">
      <w:pPr>
        <w:pStyle w:val="Heading2"/>
      </w:pPr>
      <w:bookmarkStart w:id="34" w:name="_Toc47638731"/>
      <w:bookmarkStart w:id="35" w:name="_Toc47885988"/>
      <w:r w:rsidRPr="00A61532">
        <w:t xml:space="preserve">The Agency Theory Critique of </w:t>
      </w:r>
      <w:proofErr w:type="spellStart"/>
      <w:r w:rsidRPr="00A61532">
        <w:t>Stakeholderism</w:t>
      </w:r>
      <w:bookmarkEnd w:id="34"/>
      <w:bookmarkEnd w:id="35"/>
      <w:proofErr w:type="spellEnd"/>
    </w:p>
    <w:p w14:paraId="147B301E" w14:textId="77777777" w:rsidR="003131E0" w:rsidRPr="00A61532" w:rsidRDefault="003131E0" w:rsidP="003131E0">
      <w:pPr>
        <w:rPr>
          <w:rFonts w:eastAsia="SimHei"/>
        </w:rPr>
      </w:pPr>
      <w:r w:rsidRPr="00A61532">
        <w:rPr>
          <w:rFonts w:eastAsia="SimHei"/>
        </w:rPr>
        <w:t xml:space="preserve">Critics of </w:t>
      </w:r>
      <w:proofErr w:type="spellStart"/>
      <w:r w:rsidRPr="00A61532">
        <w:rPr>
          <w:rFonts w:eastAsia="SimHei"/>
        </w:rPr>
        <w:t>stakeholderism</w:t>
      </w:r>
      <w:proofErr w:type="spellEnd"/>
      <w:r w:rsidRPr="00A61532">
        <w:rPr>
          <w:rFonts w:eastAsia="SimHei"/>
        </w:rPr>
        <w:t xml:space="preserve"> have argued that expanding the discretion of corporate directors should not be expected to produce material benefits for stakeholders.</w:t>
      </w:r>
      <w:bookmarkStart w:id="36" w:name="_Ref47569965"/>
      <w:r w:rsidRPr="00A61532">
        <w:rPr>
          <w:rStyle w:val="FootnoteReference"/>
          <w:rFonts w:eastAsia="SimHei"/>
        </w:rPr>
        <w:footnoteReference w:id="32"/>
      </w:r>
      <w:bookmarkEnd w:id="36"/>
      <w:r w:rsidRPr="00A61532">
        <w:rPr>
          <w:rFonts w:eastAsia="SimHei"/>
        </w:rPr>
        <w:t xml:space="preserve"> According to this competing view, corporate leaders have strong incentives to give substantial weight to the interests of shareholders and to their own interests, but have no incentive to advance the interests of stakeholders beyond what is instrumentally beneficial to shareholders.</w:t>
      </w:r>
    </w:p>
    <w:p w14:paraId="54F1A140" w14:textId="77777777" w:rsidR="003131E0" w:rsidRPr="00A61532" w:rsidRDefault="003131E0" w:rsidP="003131E0">
      <w:pPr>
        <w:rPr>
          <w:rFonts w:eastAsia="SimHei"/>
        </w:rPr>
      </w:pPr>
      <w:r w:rsidRPr="00A61532">
        <w:rPr>
          <w:rFonts w:eastAsia="SimHei"/>
        </w:rPr>
        <w:t xml:space="preserve">This critique of </w:t>
      </w:r>
      <w:proofErr w:type="spellStart"/>
      <w:r w:rsidRPr="00A61532">
        <w:rPr>
          <w:rFonts w:eastAsia="SimHei"/>
        </w:rPr>
        <w:t>stakeholderism</w:t>
      </w:r>
      <w:proofErr w:type="spellEnd"/>
      <w:r w:rsidRPr="00A61532">
        <w:rPr>
          <w:rFonts w:eastAsia="SimHei"/>
        </w:rPr>
        <w:t xml:space="preserve"> reflects an agency view that stresses that the behavior and choices of corporate leaders might be substantially influenced by their incentives and not just by the aspirations behind legal rules and principles. On the agency view, at least under the existing structure of incentives, corporate leaders are unlikely to use the broad discretion that would be granted to them in a </w:t>
      </w:r>
      <w:proofErr w:type="spellStart"/>
      <w:r w:rsidRPr="00A61532">
        <w:rPr>
          <w:rFonts w:eastAsia="SimHei"/>
        </w:rPr>
        <w:t>stakeholderist</w:t>
      </w:r>
      <w:proofErr w:type="spellEnd"/>
      <w:r w:rsidRPr="00A61532">
        <w:rPr>
          <w:rFonts w:eastAsia="SimHei"/>
        </w:rPr>
        <w:t xml:space="preserve"> arrangement in a way that would materially improve the welfare of stakeholders. Suppose that directors and CEOs were allowed to balance and trade off the interests of stakeholders against those of shareholders. Why would they ever use this power and redistribute value from shareholders to one or more group of stakeholders?</w:t>
      </w:r>
    </w:p>
    <w:p w14:paraId="54C3F07C" w14:textId="77777777" w:rsidR="003131E0" w:rsidRPr="00A61532" w:rsidRDefault="003131E0" w:rsidP="003131E0">
      <w:pPr>
        <w:rPr>
          <w:rFonts w:eastAsia="SimHei"/>
        </w:rPr>
      </w:pPr>
      <w:r w:rsidRPr="00A61532">
        <w:rPr>
          <w:rFonts w:eastAsia="SimHei"/>
        </w:rPr>
        <w:t>Such a choice would be a strategical mistake for corporate leaders, whose compensation is in substantial part linked to the financial performance of the company,</w:t>
      </w:r>
      <w:r w:rsidRPr="00A61532">
        <w:rPr>
          <w:rStyle w:val="FootnoteReference"/>
          <w:rFonts w:eastAsia="SimHei"/>
        </w:rPr>
        <w:footnoteReference w:id="33"/>
      </w:r>
      <w:r w:rsidRPr="00A61532">
        <w:rPr>
          <w:rFonts w:eastAsia="SimHei"/>
        </w:rPr>
        <w:t xml:space="preserve"> and whose prospects in the job market (i.e., the likelihood to retain their position or to find an equivalent or better position in another company) heavily depend on the company’s performance in terms of shareholder value.</w:t>
      </w:r>
      <w:r w:rsidRPr="00A61532">
        <w:rPr>
          <w:rStyle w:val="FootnoteReference"/>
          <w:rFonts w:eastAsia="SimHei"/>
        </w:rPr>
        <w:footnoteReference w:id="34"/>
      </w:r>
      <w:r w:rsidRPr="00A61532">
        <w:rPr>
          <w:rFonts w:eastAsia="SimHei"/>
        </w:rPr>
        <w:t xml:space="preserve"> It would also be bad, by definition, for shareholders, who </w:t>
      </w:r>
      <w:r w:rsidRPr="00A61532">
        <w:rPr>
          <w:rFonts w:eastAsia="SimHei"/>
        </w:rPr>
        <w:lastRenderedPageBreak/>
        <w:t>are the only constituents legally empowered to appoint and replace directors, and therefore the only ones who can directly reward or punish directors for their decisions. Therefore, corporate leaders who would choose to benefit stakeholders against their own self-interest would be more likely to be jobless. Hence, corporate leaders have no reason to favor stakeholders at the expense of shareholders, and shareholders have no reason to encourage this kind of choices.</w:t>
      </w:r>
    </w:p>
    <w:p w14:paraId="573FC6B1" w14:textId="708E18A8" w:rsidR="0030601E" w:rsidRPr="00332FE2" w:rsidRDefault="003131E0" w:rsidP="00F52048">
      <w:pPr>
        <w:rPr>
          <w:rFonts w:eastAsia="SimHei"/>
        </w:rPr>
      </w:pPr>
      <w:r w:rsidRPr="00A61532">
        <w:rPr>
          <w:rFonts w:eastAsia="SimHei"/>
        </w:rPr>
        <w:t xml:space="preserve">The disagreement between </w:t>
      </w:r>
      <w:proofErr w:type="spellStart"/>
      <w:r w:rsidRPr="00A61532">
        <w:rPr>
          <w:rFonts w:eastAsia="SimHei"/>
        </w:rPr>
        <w:t>stakeholderists</w:t>
      </w:r>
      <w:proofErr w:type="spellEnd"/>
      <w:r w:rsidRPr="00A61532">
        <w:rPr>
          <w:rFonts w:eastAsia="SimHei"/>
        </w:rPr>
        <w:t xml:space="preserve"> and their critics is based on a different analysis of the forces that shape corporate decision-making. At the core of the dispute, however, lies a simple empirical question: If we give directors and executives the power to take into account the interests of stakeholders, as proponents of </w:t>
      </w:r>
      <w:proofErr w:type="spellStart"/>
      <w:r w:rsidRPr="00A61532">
        <w:rPr>
          <w:rFonts w:eastAsia="SimHei"/>
        </w:rPr>
        <w:t>stakeholderism</w:t>
      </w:r>
      <w:proofErr w:type="spellEnd"/>
      <w:r w:rsidRPr="00A61532">
        <w:rPr>
          <w:rFonts w:eastAsia="SimHei"/>
        </w:rPr>
        <w:t xml:space="preserve"> suggest, will they use this power to advance the interests and improve the welfare of stakeholders? In this Article, we seek to answer this question by observing the choices made by corporate leaders of companies subject to statutory rules that closely resemble what </w:t>
      </w:r>
      <w:proofErr w:type="spellStart"/>
      <w:r w:rsidRPr="00A61532">
        <w:rPr>
          <w:rFonts w:eastAsia="SimHei"/>
        </w:rPr>
        <w:t>stakeholderists</w:t>
      </w:r>
      <w:proofErr w:type="spellEnd"/>
      <w:r w:rsidRPr="00A61532">
        <w:rPr>
          <w:rFonts w:eastAsia="SimHei"/>
        </w:rPr>
        <w:t xml:space="preserve"> advocate</w:t>
      </w:r>
      <w:r w:rsidR="00F52048">
        <w:rPr>
          <w:rFonts w:eastAsia="SimHei"/>
        </w:rPr>
        <w:t>.</w:t>
      </w:r>
    </w:p>
    <w:p w14:paraId="1DAC7724" w14:textId="2B62892F" w:rsidR="00281740" w:rsidRPr="00A61532" w:rsidRDefault="00281740" w:rsidP="00281740">
      <w:pPr>
        <w:pStyle w:val="Heading1"/>
        <w:rPr>
          <w:rFonts w:eastAsia="SimHei"/>
        </w:rPr>
      </w:pPr>
      <w:bookmarkStart w:id="37" w:name="_Toc47642821"/>
      <w:bookmarkStart w:id="38" w:name="_Toc47885989"/>
      <w:r w:rsidRPr="00A61532">
        <w:rPr>
          <w:rFonts w:eastAsia="SimHei"/>
        </w:rPr>
        <w:t xml:space="preserve">Towards an Empirical Test of </w:t>
      </w:r>
      <w:proofErr w:type="spellStart"/>
      <w:r w:rsidR="00255DFC" w:rsidRPr="00A61532">
        <w:rPr>
          <w:rFonts w:eastAsia="SimHei"/>
        </w:rPr>
        <w:t>Stakeholderism</w:t>
      </w:r>
      <w:bookmarkEnd w:id="37"/>
      <w:bookmarkEnd w:id="38"/>
      <w:proofErr w:type="spellEnd"/>
    </w:p>
    <w:p w14:paraId="0AF17429" w14:textId="77777777" w:rsidR="0054491A" w:rsidRPr="00A61532" w:rsidRDefault="0054491A" w:rsidP="0054491A">
      <w:pPr>
        <w:rPr>
          <w:rFonts w:eastAsia="SimHei"/>
        </w:rPr>
      </w:pPr>
      <w:r w:rsidRPr="00A61532">
        <w:rPr>
          <w:rFonts w:eastAsia="SimHei"/>
        </w:rPr>
        <w:t xml:space="preserve">In Part IV, we present an empirical analysis of the contractual terms of private equity acquisitions of public companies incorporated in states with a constituency statute, from 2000 through 2019. In this Part, we discuss the motivation for the study and how it can help us resolve important questions about </w:t>
      </w:r>
      <w:proofErr w:type="spellStart"/>
      <w:r w:rsidRPr="00A61532">
        <w:rPr>
          <w:rFonts w:eastAsia="SimHei"/>
        </w:rPr>
        <w:t>stakeholderism</w:t>
      </w:r>
      <w:proofErr w:type="spellEnd"/>
      <w:r w:rsidRPr="00A61532">
        <w:rPr>
          <w:rFonts w:eastAsia="SimHei"/>
        </w:rPr>
        <w:t xml:space="preserve">, past and future. </w:t>
      </w:r>
    </w:p>
    <w:p w14:paraId="6C01FF11" w14:textId="46C71CFB" w:rsidR="0054491A" w:rsidRPr="00A61532" w:rsidRDefault="0054491A" w:rsidP="0054491A">
      <w:pPr>
        <w:rPr>
          <w:rFonts w:eastAsia="SimHei"/>
        </w:rPr>
      </w:pPr>
      <w:r w:rsidRPr="00A61532">
        <w:rPr>
          <w:rFonts w:eastAsia="SimHei"/>
        </w:rPr>
        <w:t xml:space="preserve">Section A discusses the constituency statutes adopted by U.S. states. We start by explaining the promise and purported goals of these statutes. In the same way that modern </w:t>
      </w:r>
      <w:proofErr w:type="spellStart"/>
      <w:r w:rsidRPr="00A61532">
        <w:rPr>
          <w:rFonts w:eastAsia="SimHei"/>
        </w:rPr>
        <w:t>stakeholderism</w:t>
      </w:r>
      <w:proofErr w:type="spellEnd"/>
      <w:r w:rsidRPr="00A61532">
        <w:rPr>
          <w:rFonts w:eastAsia="SimHei"/>
        </w:rPr>
        <w:t xml:space="preserve"> seeks to address the externalities companies impose on stakeholders, constituency statutes sought to address the adverse effect o</w:t>
      </w:r>
      <w:r w:rsidR="00F52048">
        <w:rPr>
          <w:rFonts w:eastAsia="SimHei"/>
        </w:rPr>
        <w:t>f takeovers o</w:t>
      </w:r>
      <w:r w:rsidRPr="00A61532">
        <w:rPr>
          <w:rFonts w:eastAsia="SimHei"/>
        </w:rPr>
        <w:t xml:space="preserve">n stakeholders, or at least were partly justified in this way. Thus, studying whether the constituency statutes were able to deliver benefits to stakeholders is useful to understand both whether this experiment in </w:t>
      </w:r>
      <w:proofErr w:type="spellStart"/>
      <w:r w:rsidRPr="00A61532">
        <w:rPr>
          <w:rFonts w:eastAsia="SimHei"/>
        </w:rPr>
        <w:t>stakeholderism</w:t>
      </w:r>
      <w:proofErr w:type="spellEnd"/>
      <w:r w:rsidRPr="00A61532">
        <w:rPr>
          <w:rFonts w:eastAsia="SimHei"/>
        </w:rPr>
        <w:t xml:space="preserve"> was successful in delivering on its promise, and whether </w:t>
      </w:r>
      <w:proofErr w:type="spellStart"/>
      <w:r w:rsidRPr="00A61532">
        <w:rPr>
          <w:rFonts w:eastAsia="SimHei"/>
        </w:rPr>
        <w:t>stakeholderism</w:t>
      </w:r>
      <w:proofErr w:type="spellEnd"/>
      <w:r w:rsidRPr="00A61532">
        <w:rPr>
          <w:rFonts w:eastAsia="SimHei"/>
        </w:rPr>
        <w:t xml:space="preserve"> in general can be expected to produce benefits for stakeholders.</w:t>
      </w:r>
    </w:p>
    <w:p w14:paraId="23A31588" w14:textId="77777777" w:rsidR="0054491A" w:rsidRPr="00A61532" w:rsidRDefault="0054491A" w:rsidP="0054491A">
      <w:pPr>
        <w:rPr>
          <w:rFonts w:eastAsia="SimHei"/>
        </w:rPr>
      </w:pPr>
      <w:r w:rsidRPr="00A61532">
        <w:rPr>
          <w:rFonts w:eastAsia="SimHei"/>
        </w:rPr>
        <w:t xml:space="preserve">Section B discusses why examining private equity deals is especially valuable for testing the promise of constituency statutes. Sales to private equity firms pose substantial risks for some groups of stakeholders and are, therefore, a context in which stakeholder-oriented corporate leaders should be expected to be particularly active. </w:t>
      </w:r>
    </w:p>
    <w:p w14:paraId="427DBAAD" w14:textId="77777777" w:rsidR="0054491A" w:rsidRPr="00A61532" w:rsidRDefault="0054491A" w:rsidP="0054491A">
      <w:pPr>
        <w:pStyle w:val="Heading2"/>
        <w:rPr>
          <w:rFonts w:eastAsia="SimHei"/>
        </w:rPr>
      </w:pPr>
      <w:bookmarkStart w:id="39" w:name="_Toc47638733"/>
      <w:bookmarkStart w:id="40" w:name="_Toc47885990"/>
      <w:r w:rsidRPr="00A61532">
        <w:rPr>
          <w:rFonts w:eastAsia="SimHei"/>
        </w:rPr>
        <w:lastRenderedPageBreak/>
        <w:t>Constituency Statutes</w:t>
      </w:r>
      <w:bookmarkEnd w:id="39"/>
      <w:bookmarkEnd w:id="40"/>
    </w:p>
    <w:p w14:paraId="6C6F687F" w14:textId="77777777" w:rsidR="0054491A" w:rsidRPr="00A61532" w:rsidRDefault="0054491A" w:rsidP="0054491A">
      <w:pPr>
        <w:pStyle w:val="Heading3"/>
        <w:numPr>
          <w:ilvl w:val="0"/>
          <w:numId w:val="5"/>
        </w:numPr>
      </w:pPr>
      <w:bookmarkStart w:id="41" w:name="_Toc47638734"/>
      <w:bookmarkStart w:id="42" w:name="_Toc47885991"/>
      <w:r w:rsidRPr="00A61532">
        <w:t>The Promise of Constituency Statutes</w:t>
      </w:r>
      <w:bookmarkEnd w:id="41"/>
      <w:bookmarkEnd w:id="42"/>
      <w:r w:rsidRPr="00A61532">
        <w:t xml:space="preserve"> </w:t>
      </w:r>
    </w:p>
    <w:p w14:paraId="0908AE53" w14:textId="77777777" w:rsidR="0054491A" w:rsidRPr="00A61532" w:rsidRDefault="0054491A" w:rsidP="0054491A">
      <w:r w:rsidRPr="00A61532">
        <w:t>From the mid-1980s to the early 1990s, in response to a massive increase of hostile corporate takeovers, many U.S. states adopted statutes that strengthened the power of directors to fend off bidders. These anti-takeover laws included statutes that explicitly permitted the use of “poison pills” against undesired suitors, statutes preventing freeze-out mergers for a certain period after the acquisition of a significant stake in the company, and statutes requiring bidders to pay a “fair price” in the second part of a two-tier merger.</w:t>
      </w:r>
      <w:bookmarkStart w:id="43" w:name="_Ref47581192"/>
      <w:r w:rsidRPr="00A61532">
        <w:rPr>
          <w:rStyle w:val="FootnoteReference"/>
        </w:rPr>
        <w:footnoteReference w:id="35"/>
      </w:r>
      <w:bookmarkEnd w:id="43"/>
    </w:p>
    <w:p w14:paraId="2D146611" w14:textId="791E59FD" w:rsidR="0054491A" w:rsidRPr="00A61532" w:rsidRDefault="0054491A" w:rsidP="00DB1B47">
      <w:r w:rsidRPr="00A61532">
        <w:t xml:space="preserve">In this Article, we will focus on a specific type of anti-takeover legislation that took the form of an explicit experiment in </w:t>
      </w:r>
      <w:proofErr w:type="spellStart"/>
      <w:r w:rsidRPr="00A61532">
        <w:t>stakeholderism</w:t>
      </w:r>
      <w:proofErr w:type="spellEnd"/>
      <w:r w:rsidRPr="00A61532">
        <w:t>. These statutes—commonly referred to as “constituency statutes,” “other constituencies statutes,” or “stakeholder statutes”— authorized directors to consider the interests of employees and other stakeholders when assessing the merits of an acquisition offer.</w:t>
      </w:r>
      <w:bookmarkStart w:id="44" w:name="_Ref46673837"/>
      <w:r w:rsidRPr="00A61532">
        <w:rPr>
          <w:rStyle w:val="FootnoteReference"/>
        </w:rPr>
        <w:footnoteReference w:id="36"/>
      </w:r>
      <w:bookmarkEnd w:id="44"/>
      <w:r w:rsidRPr="00A61532">
        <w:t xml:space="preserve"> Many statutes went even further and authorized directors to consider the interests of stakeholders with respect to any kinds of decisions.</w:t>
      </w:r>
      <w:r w:rsidRPr="00A61532">
        <w:rPr>
          <w:rStyle w:val="FootnoteReference"/>
        </w:rPr>
        <w:footnoteReference w:id="37"/>
      </w:r>
      <w:r w:rsidRPr="00A61532">
        <w:t xml:space="preserve"> </w:t>
      </w:r>
      <w:r w:rsidR="00F6263F">
        <w:t xml:space="preserve">Although </w:t>
      </w:r>
      <w:r w:rsidRPr="00A61532">
        <w:t xml:space="preserve">Delaware, the most influential </w:t>
      </w:r>
      <w:r w:rsidR="00F6263F">
        <w:t>state,</w:t>
      </w:r>
      <w:r w:rsidRPr="00A61532">
        <w:rPr>
          <w:rStyle w:val="FootnoteReference"/>
        </w:rPr>
        <w:footnoteReference w:id="38"/>
      </w:r>
      <w:r w:rsidR="00F6263F">
        <w:t xml:space="preserve"> </w:t>
      </w:r>
      <w:r w:rsidRPr="00A61532">
        <w:t>retained a shareholder-centric view of corporate purpose</w:t>
      </w:r>
      <w:r w:rsidR="00F6263F">
        <w:t>, a substantial majority of all states adopted constituency statutes</w:t>
      </w:r>
      <w:r w:rsidRPr="00A61532">
        <w:t>.</w:t>
      </w:r>
    </w:p>
    <w:p w14:paraId="029C71B2" w14:textId="77777777" w:rsidR="0054491A" w:rsidRPr="00A61532" w:rsidRDefault="0054491A" w:rsidP="0054491A">
      <w:r w:rsidRPr="00A61532">
        <w:t xml:space="preserve">The purported motivation for such a remarkable legal innovation was the protection of employees, local communities, and possibly the economy at large, from the adverse effects of hostile acquisitions. This theory occupied a central place in the contemporary writing of lawyers and academics. Martin Lipton, for example—who very early on had proposed the theory that takeovers threatened the welfare of stakeholders and that directors should be </w:t>
      </w:r>
      <w:r w:rsidRPr="00A61532">
        <w:lastRenderedPageBreak/>
        <w:t>able to reject a takeover offer on the grounds of concern for stakeholders</w:t>
      </w:r>
      <w:bookmarkStart w:id="45" w:name="_Ref47271921"/>
      <w:r w:rsidRPr="00A61532">
        <w:rPr>
          <w:rStyle w:val="FootnoteReference"/>
        </w:rPr>
        <w:footnoteReference w:id="39"/>
      </w:r>
      <w:bookmarkEnd w:id="45"/>
      <w:r w:rsidRPr="00A61532">
        <w:t>—welcomed the adoption of constituency statutes as a tool for directors to protect non-shareholder constituencies.</w:t>
      </w:r>
      <w:r w:rsidRPr="00A61532">
        <w:rPr>
          <w:rStyle w:val="FootnoteReference"/>
        </w:rPr>
        <w:footnoteReference w:id="40"/>
      </w:r>
      <w:r w:rsidRPr="00A61532">
        <w:t xml:space="preserve"> Steven </w:t>
      </w:r>
      <w:proofErr w:type="spellStart"/>
      <w:r w:rsidRPr="00A61532">
        <w:t>Wallman</w:t>
      </w:r>
      <w:proofErr w:type="spellEnd"/>
      <w:r w:rsidRPr="00A61532">
        <w:t>, another prominent lawyer and drafter of the Pennsylvania constituency statute, observed that many takeovers resulted in a transfer of wealth from stakeholders to shareholders, and the constituency statutes allowed directors to reject those deals, thus benefitting employees and other stakeholders who cannot easily protect themselves.</w:t>
      </w:r>
      <w:bookmarkStart w:id="46" w:name="_Ref47686211"/>
      <w:r w:rsidRPr="00A61532">
        <w:rPr>
          <w:rStyle w:val="FootnoteReference"/>
        </w:rPr>
        <w:footnoteReference w:id="41"/>
      </w:r>
      <w:bookmarkEnd w:id="46"/>
      <w:r w:rsidRPr="00A61532">
        <w:t xml:space="preserve"> </w:t>
      </w:r>
    </w:p>
    <w:p w14:paraId="46C27322" w14:textId="73760609" w:rsidR="0054491A" w:rsidRPr="00A61532" w:rsidRDefault="0054491A" w:rsidP="00DB1B47">
      <w:r w:rsidRPr="00A61532">
        <w:t xml:space="preserve">The perception of the policy rationale behind the constituency statutes and other anti-takeover laws was well summarized </w:t>
      </w:r>
      <w:r w:rsidR="00F6263F">
        <w:t xml:space="preserve">during the wave of adoptions </w:t>
      </w:r>
      <w:r w:rsidRPr="00A61532">
        <w:t xml:space="preserve">by Lyman Johnson and David </w:t>
      </w:r>
      <w:proofErr w:type="spellStart"/>
      <w:r w:rsidRPr="00A61532">
        <w:t>Millon</w:t>
      </w:r>
      <w:proofErr w:type="spellEnd"/>
      <w:r w:rsidRPr="00A61532">
        <w:t>:</w:t>
      </w:r>
    </w:p>
    <w:p w14:paraId="2CC7C568" w14:textId="77777777" w:rsidR="0054491A" w:rsidRPr="00A61532" w:rsidRDefault="0054491A" w:rsidP="0054491A">
      <w:pPr>
        <w:pStyle w:val="Subtitle"/>
      </w:pPr>
      <w:r w:rsidRPr="00A61532">
        <w:t>[State anti-takeover laws’] chief purpose is to protect non-shareholders from the disruptive impact of the corporate restructurings that are thought typically to result from hostile takeovers. Rightly or wrongly, state legislators perceive that hostile takeovers cause lost jobs, destruction of established supplier and customer relationships, and loss of tax revenues and charitable contributions.</w:t>
      </w:r>
      <w:bookmarkStart w:id="47" w:name="_Ref47261953"/>
      <w:r w:rsidRPr="00A61532">
        <w:rPr>
          <w:rStyle w:val="FootnoteReference"/>
        </w:rPr>
        <w:footnoteReference w:id="42"/>
      </w:r>
      <w:bookmarkEnd w:id="47"/>
    </w:p>
    <w:p w14:paraId="06ED0066" w14:textId="77777777" w:rsidR="0054491A" w:rsidRPr="00A61532" w:rsidRDefault="0054491A" w:rsidP="0054491A">
      <w:r w:rsidRPr="00A61532">
        <w:t>At the very least, hostile acquisitions were thought to be causing a geographical redistribution of wealth away from areas of the country traditionally dependent on manufacturing jobs.</w:t>
      </w:r>
      <w:bookmarkStart w:id="48" w:name="_Ref47571566"/>
      <w:r w:rsidRPr="00A61532">
        <w:rPr>
          <w:rStyle w:val="FootnoteReference"/>
        </w:rPr>
        <w:footnoteReference w:id="43"/>
      </w:r>
      <w:bookmarkEnd w:id="48"/>
      <w:r w:rsidRPr="00A61532">
        <w:t xml:space="preserve"> By allowing corporate decision-makers to consider the effects of an acquisition on employees, suppliers, and the local community, constituency statutes explicitly sought to mitigate or eliminate the effects of takeovers that were detrimental for local jobs.</w:t>
      </w:r>
    </w:p>
    <w:p w14:paraId="4D3505D2" w14:textId="77777777" w:rsidR="0054491A" w:rsidRPr="00A61532" w:rsidRDefault="0054491A" w:rsidP="0054491A">
      <w:r w:rsidRPr="00A61532">
        <w:t>The view that takeovers often damaged stakeholders found some support in the economic literature. While the increasingly predominant theory was that takeovers were socially desirable in that they reduced waste, disciplined management, and reallocated resources from less productive to more productive uses,</w:t>
      </w:r>
      <w:r w:rsidRPr="00A61532">
        <w:rPr>
          <w:rStyle w:val="FootnoteReference"/>
        </w:rPr>
        <w:footnoteReference w:id="44"/>
      </w:r>
      <w:r w:rsidRPr="00A61532">
        <w:t xml:space="preserve"> a competing view held that takeovers could be, and often </w:t>
      </w:r>
      <w:r w:rsidRPr="00A61532">
        <w:lastRenderedPageBreak/>
        <w:t>were, a mere redistribution of wealth from stakeholders to shareholders. In permitting such redistribution, hostile takeovers violated an implicit contract between shareholders and stakeholders, which was based on the trustworthiness of managers.</w:t>
      </w:r>
      <w:bookmarkStart w:id="49" w:name="_Ref47774832"/>
      <w:r w:rsidRPr="00A61532">
        <w:rPr>
          <w:rStyle w:val="FootnoteReference"/>
        </w:rPr>
        <w:footnoteReference w:id="45"/>
      </w:r>
      <w:bookmarkEnd w:id="49"/>
      <w:r w:rsidRPr="00A61532">
        <w:t xml:space="preserve"> In the long run, the theory held, hostile takeovers would make the implicit promises to stakeholders unreliable, thus producing a net loss for the economy at large.</w:t>
      </w:r>
      <w:r w:rsidRPr="00A61532">
        <w:rPr>
          <w:rStyle w:val="FootnoteReference"/>
        </w:rPr>
        <w:footnoteReference w:id="46"/>
      </w:r>
    </w:p>
    <w:p w14:paraId="062D2F0C" w14:textId="7791AE09" w:rsidR="0054491A" w:rsidRPr="00A61532" w:rsidRDefault="0054491A" w:rsidP="00DB1B47">
      <w:r w:rsidRPr="00A61532">
        <w:t>The legislative history of constituency statutes shows that the expressed intent of the legislators was consistent with this view. Hostile takeovers were seen as a threat to workers, suppliers, and local economies, and the expanded discretion granted to corporate leaders was meant as a tool to allow managers to mitigate or avoid those negative effects. For example, the memorandum accompanying the New York bill mentioned the state’s “desire to avoid the disruptive effects of takeovers on target company employees and local communities in which target do business.”</w:t>
      </w:r>
      <w:bookmarkStart w:id="50" w:name="_Ref47771952"/>
      <w:r w:rsidRPr="00A61532">
        <w:rPr>
          <w:rStyle w:val="FootnoteReference"/>
        </w:rPr>
        <w:footnoteReference w:id="47"/>
      </w:r>
      <w:bookmarkEnd w:id="50"/>
      <w:r w:rsidRPr="00A61532">
        <w:t xml:space="preserve"> </w:t>
      </w:r>
      <w:r w:rsidR="00C3062F">
        <w:t xml:space="preserve">Similarly, </w:t>
      </w:r>
      <w:r w:rsidRPr="00A61532">
        <w:t xml:space="preserve">during the legislative debate on the Nevada bill, </w:t>
      </w:r>
      <w:r w:rsidR="00E85046">
        <w:t xml:space="preserve">the </w:t>
      </w:r>
      <w:r w:rsidRPr="00A61532">
        <w:t xml:space="preserve">proposed constituency statute was </w:t>
      </w:r>
      <w:r w:rsidR="00C3062F">
        <w:t xml:space="preserve">advocated on grounds </w:t>
      </w:r>
      <w:r w:rsidRPr="00A61532">
        <w:t>that it would allow directors to block takeovers that could result in the closing of a plant and the layoff of local employees.</w:t>
      </w:r>
      <w:r w:rsidRPr="00A61532">
        <w:rPr>
          <w:rStyle w:val="FootnoteReference"/>
        </w:rPr>
        <w:footnoteReference w:id="48"/>
      </w:r>
      <w:r w:rsidRPr="00A61532">
        <w:t xml:space="preserve"> </w:t>
      </w:r>
    </w:p>
    <w:p w14:paraId="0E72861A" w14:textId="05865E71" w:rsidR="0054491A" w:rsidRPr="00A61532" w:rsidRDefault="0054491A" w:rsidP="00DB1B47">
      <w:r w:rsidRPr="00A61532">
        <w:t xml:space="preserve">The theory that constituency statutes would have protected employees and local communities was subscribed to by major unions. In fact, </w:t>
      </w:r>
      <w:r w:rsidR="00AD16AF">
        <w:t xml:space="preserve">although </w:t>
      </w:r>
      <w:r w:rsidRPr="00A61532">
        <w:t xml:space="preserve">the legislative initiative was </w:t>
      </w:r>
      <w:r w:rsidR="00AD16AF">
        <w:t xml:space="preserve">commonly </w:t>
      </w:r>
      <w:r w:rsidRPr="00A61532">
        <w:t xml:space="preserve">propelled by business interests, </w:t>
      </w:r>
      <w:r w:rsidR="00AD16AF">
        <w:t xml:space="preserve">and sometimes even </w:t>
      </w:r>
      <w:r w:rsidRPr="00A61532">
        <w:t>directly by the management of corporations under attack,</w:t>
      </w:r>
      <w:r w:rsidRPr="00A61532">
        <w:rPr>
          <w:rStyle w:val="FootnoteReference"/>
        </w:rPr>
        <w:footnoteReference w:id="49"/>
      </w:r>
      <w:r w:rsidRPr="00A61532">
        <w:t xml:space="preserve"> unions and political forces close to labor interests often backed these efforts. Organized labor had already played an important role in helping management defend against hostile bids.</w:t>
      </w:r>
      <w:bookmarkStart w:id="51" w:name="_Ref47290396"/>
      <w:r w:rsidRPr="00A61532">
        <w:rPr>
          <w:rStyle w:val="FootnoteReference"/>
        </w:rPr>
        <w:footnoteReference w:id="50"/>
      </w:r>
      <w:bookmarkEnd w:id="51"/>
      <w:r w:rsidRPr="00A61532">
        <w:t xml:space="preserve"> When state legislators started discussing </w:t>
      </w:r>
      <w:r w:rsidRPr="00A61532">
        <w:lastRenderedPageBreak/>
        <w:t>constituency and other anti-takeover statutes, unions sided with management.</w:t>
      </w:r>
      <w:r w:rsidRPr="00A61532">
        <w:rPr>
          <w:rStyle w:val="FootnoteReference"/>
        </w:rPr>
        <w:footnoteReference w:id="51"/>
      </w:r>
      <w:r w:rsidRPr="00A61532">
        <w:t xml:space="preserve"> As a Democratic state senator put it during the debate on the first legislative proposal for a constituency statute in Pennsylvania, the proposed bill was “big business legislation” but, at the same time, had to be considered progressive legislation because it would protect “constituents [who] work in the factories owned by big businesses.”</w:t>
      </w:r>
      <w:bookmarkStart w:id="52" w:name="_Ref47771957"/>
      <w:r w:rsidRPr="00A61532">
        <w:rPr>
          <w:rStyle w:val="FootnoteReference"/>
        </w:rPr>
        <w:footnoteReference w:id="52"/>
      </w:r>
      <w:bookmarkEnd w:id="52"/>
      <w:r w:rsidRPr="00A61532">
        <w:t xml:space="preserve"> </w:t>
      </w:r>
      <w:r w:rsidR="00AD16AF">
        <w:t>Another observer of the legislative process in Pennsylvania comments that “[m]</w:t>
      </w:r>
      <w:r w:rsidR="00AD16AF" w:rsidRPr="00207F53">
        <w:t>any of the state’s major corporations… have teamed up with its most powerful unions, among them the United Steelworkers and AFL-CIO</w:t>
      </w:r>
      <w:r w:rsidR="00AD16AF">
        <w:t>.</w:t>
      </w:r>
      <w:r w:rsidR="00AD16AF" w:rsidRPr="00207F53">
        <w:t>”</w:t>
      </w:r>
      <w:r w:rsidR="00AD16AF" w:rsidRPr="00AD16AF">
        <w:rPr>
          <w:rStyle w:val="FootnoteReference"/>
        </w:rPr>
        <w:t xml:space="preserve"> </w:t>
      </w:r>
      <w:r w:rsidR="00AD16AF" w:rsidRPr="00A61532">
        <w:rPr>
          <w:rStyle w:val="FootnoteReference"/>
        </w:rPr>
        <w:footnoteReference w:id="53"/>
      </w:r>
      <w:r w:rsidR="00AD16AF">
        <w:t xml:space="preserve"> </w:t>
      </w:r>
    </w:p>
    <w:p w14:paraId="5A8F4366" w14:textId="0EE1BD4A" w:rsidR="0054491A" w:rsidRPr="00A61532" w:rsidRDefault="0054491A">
      <w:r w:rsidRPr="00A61532">
        <w:t xml:space="preserve">While much of the </w:t>
      </w:r>
      <w:r w:rsidR="00AD16AF">
        <w:t xml:space="preserve">discussion </w:t>
      </w:r>
      <w:r w:rsidRPr="00A61532">
        <w:t>focused on the opportunity to resist hostile bids—that is, to reject the acquisition offer and keep the company independent—the expansion of managerial discretion was also thought to strengthen managers’ bargaining power in a negotiated sale. If the route of a hostile takeover becomes more difficult, the argument goes, bidders have stronger incentives to negotiate, and target leaders have more power to obtain favorable terms. For decades, in the legal and finance literature, the “bargaining power hypothesis” has been one of the most recurrent arguments in favor of takeover defenses.</w:t>
      </w:r>
      <w:r w:rsidRPr="00A61532">
        <w:rPr>
          <w:rStyle w:val="FootnoteReference"/>
        </w:rPr>
        <w:footnoteReference w:id="54"/>
      </w:r>
      <w:r w:rsidRPr="00A61532">
        <w:t xml:space="preserve"> In a shareholder-value framework, which is the one typically adopted in the corporate governance and finance literature, the bargaining power hypothesis is commonly used to justify the desirability of takeover defenses from a shareholder perspective.</w:t>
      </w:r>
      <w:r w:rsidRPr="00A61532">
        <w:rPr>
          <w:rStyle w:val="FootnoteReference"/>
        </w:rPr>
        <w:footnoteReference w:id="55"/>
      </w:r>
      <w:r w:rsidRPr="00A61532">
        <w:t xml:space="preserve"> The promise of constituency statutes, however, was that directors would become guardians of the interests of all constituencies. Therefore, their increased bargaining power could be used to obtain protections and favorable terms also for </w:t>
      </w:r>
      <w:r w:rsidRPr="00A61532">
        <w:lastRenderedPageBreak/>
        <w:t xml:space="preserve">employees and other stakeholders. For the supporters of </w:t>
      </w:r>
      <w:proofErr w:type="spellStart"/>
      <w:r w:rsidRPr="00A61532">
        <w:t>stakeholderism</w:t>
      </w:r>
      <w:proofErr w:type="spellEnd"/>
      <w:r w:rsidRPr="00A61532">
        <w:t xml:space="preserve">, this is precisely the </w:t>
      </w:r>
      <w:r w:rsidRPr="00A61532">
        <w:rPr>
          <w:i/>
          <w:iCs/>
          <w:lang w:val="fr-FR"/>
        </w:rPr>
        <w:t>raison d’être</w:t>
      </w:r>
      <w:r w:rsidRPr="00A61532">
        <w:t xml:space="preserve"> of takeover defenses: not only to stop deals that are considered bad but also to negotiate friendly deals with more favorable terms for stakeholders.</w:t>
      </w:r>
      <w:bookmarkStart w:id="53" w:name="_Ref47774839"/>
      <w:r w:rsidRPr="00A61532">
        <w:rPr>
          <w:rStyle w:val="FootnoteReference"/>
        </w:rPr>
        <w:footnoteReference w:id="56"/>
      </w:r>
      <w:bookmarkEnd w:id="53"/>
    </w:p>
    <w:p w14:paraId="4519837C" w14:textId="77777777" w:rsidR="0054491A" w:rsidRPr="00A61532" w:rsidRDefault="0054491A" w:rsidP="0054491A">
      <w:r w:rsidRPr="00A61532">
        <w:t xml:space="preserve">In conclusion, the promise of constituency statutes was that corporate leaders would have delivered change-of-control deals with substantial protections and benefits for stakeholders. In Part IV, we will examine whether and to what extent corporate leaders did so. </w:t>
      </w:r>
    </w:p>
    <w:p w14:paraId="7ED6074E" w14:textId="77777777" w:rsidR="0054491A" w:rsidRPr="00A61532" w:rsidRDefault="0054491A" w:rsidP="0054491A">
      <w:pPr>
        <w:pStyle w:val="Heading3"/>
      </w:pPr>
      <w:bookmarkStart w:id="54" w:name="_Toc47638735"/>
      <w:bookmarkStart w:id="55" w:name="_Toc47885992"/>
      <w:r w:rsidRPr="00A61532">
        <w:t>Variations in the Constituency Statutes</w:t>
      </w:r>
      <w:bookmarkEnd w:id="54"/>
      <w:bookmarkEnd w:id="55"/>
    </w:p>
    <w:p w14:paraId="73E344AD" w14:textId="77777777" w:rsidR="0054491A" w:rsidRPr="00A61532" w:rsidRDefault="0054491A" w:rsidP="0054491A">
      <w:r w:rsidRPr="00A61532">
        <w:t>During the period examined in this Article (2000-2019), 33 states had constituency statutes in force, one of them (Louisiana) only until the end of 2014.</w:t>
      </w:r>
      <w:r w:rsidRPr="00A61532">
        <w:rPr>
          <w:rStyle w:val="FootnoteReference"/>
        </w:rPr>
        <w:footnoteReference w:id="57"/>
      </w:r>
      <w:r w:rsidRPr="00A61532">
        <w:t xml:space="preserve"> Of these 33 statutes, 4 allow individual corporations to choose whether they want to opt in (Georgia, Maryland, and Tennessee) or opt out of the statute (Arizona).</w:t>
      </w:r>
      <w:r w:rsidRPr="00A61532">
        <w:rPr>
          <w:rStyle w:val="FootnoteReference"/>
        </w:rPr>
        <w:footnoteReference w:id="58"/>
      </w:r>
      <w:r w:rsidRPr="00A61532">
        <w:t xml:space="preserve"> To make sure that the transactions examined are governed by a constituency statute, we will exclusively focus on target companies incorporated in any of the 29 states whose statutes do not contain opt-in or opt-out mechanisms. </w:t>
      </w:r>
    </w:p>
    <w:p w14:paraId="70CE9F19" w14:textId="77777777" w:rsidR="0054491A" w:rsidRPr="00A61532" w:rsidRDefault="0054491A" w:rsidP="0054491A">
      <w:r w:rsidRPr="00A61532">
        <w:t xml:space="preserve">While all these statutes authorize directors to give weight to stakeholder interests, there are some differences worth noting: </w:t>
      </w:r>
    </w:p>
    <w:p w14:paraId="41BA84D5" w14:textId="77777777" w:rsidR="0054491A" w:rsidRPr="00A61532" w:rsidRDefault="0054491A" w:rsidP="0054491A">
      <w:r w:rsidRPr="00A61532">
        <w:rPr>
          <w:i/>
          <w:iCs/>
        </w:rPr>
        <w:t>(a) Scope</w:t>
      </w:r>
      <w:r w:rsidRPr="00A61532">
        <w:t xml:space="preserve">. All the statutes apply to public companies and to their decisions in the face of an acquisition offer; many of them also apply to private companies and/or to other kinds of corporate decisions. We focus our empirical analysis on the sale of public companies, for which we have access to publicly available documents filed with the Securities and Exchange Commission (SEC), which allow us to learn about the bargaining process and its outcome. </w:t>
      </w:r>
    </w:p>
    <w:p w14:paraId="2B86B7DF" w14:textId="77777777" w:rsidR="0054491A" w:rsidRPr="00A61532" w:rsidRDefault="0054491A" w:rsidP="0054491A">
      <w:r w:rsidRPr="00A61532">
        <w:rPr>
          <w:i/>
          <w:iCs/>
        </w:rPr>
        <w:t>(b) Optional or mandatory application</w:t>
      </w:r>
      <w:r w:rsidRPr="00A61532">
        <w:t>. As explained above, only a small minority of statutes allow individual corporations to choose whether or not they want to be subject to them, through an opt-in or opt-out mechanism. We exclude from our empirical analysis the acquisition of companies incorporated in states with opt-in or opt-out mechanisms.</w:t>
      </w:r>
    </w:p>
    <w:p w14:paraId="6A48AD57" w14:textId="77777777" w:rsidR="0054491A" w:rsidRPr="00A61532" w:rsidRDefault="0054491A" w:rsidP="0054491A">
      <w:r w:rsidRPr="00A61532">
        <w:rPr>
          <w:i/>
          <w:iCs/>
        </w:rPr>
        <w:lastRenderedPageBreak/>
        <w:t>(c) Permissive or mandatory consideration of stakeholder interests</w:t>
      </w:r>
      <w:r w:rsidRPr="00A61532">
        <w:t>. All constituency statutes except the one adopted by Connecticut in 1990 are permissive in nature. They provide that directors may consider the effect of the decision on stakeholders but do not oblige them to do so. Connecticut’s original statute provided that directors “shall consider . . . the interests of the corporation’s employees, customers, creditors, and suppliers, and . . . community and societal considerations.”</w:t>
      </w:r>
      <w:r w:rsidRPr="00A61532">
        <w:rPr>
          <w:rStyle w:val="FootnoteReference"/>
        </w:rPr>
        <w:footnoteReference w:id="59"/>
      </w:r>
      <w:r w:rsidRPr="00A61532">
        <w:t xml:space="preserve"> However, in 2010 the state legislature amended the aforementioned provision by replacing “shall” with “may”; therefore, effective from October 1, 2010, all constituency statutes in force are merely permissive.</w:t>
      </w:r>
      <w:r w:rsidRPr="00A61532">
        <w:rPr>
          <w:rStyle w:val="FootnoteReference"/>
        </w:rPr>
        <w:footnoteReference w:id="60"/>
      </w:r>
      <w:r w:rsidRPr="00A61532">
        <w:t xml:space="preserve"> </w:t>
      </w:r>
    </w:p>
    <w:p w14:paraId="012EDFD1" w14:textId="77777777" w:rsidR="0054491A" w:rsidRPr="00A61532" w:rsidRDefault="0054491A" w:rsidP="0054491A">
      <w:r w:rsidRPr="00A61532">
        <w:t>From a practical standpoint, we believe that the distinction between a permissive and a mandatory constituency statute is not significant. Given that these statutes do not give directors any criteria on how to measure, weigh, and balance the various interests at stake, an obligation “to consider” the interests of stakeholders does not effectively restrict directors’ freedom. Therefore, both in permissive and mandatory statutes, directors can discretionally decide the outcome of their assessment. In our dataset, however, only one transaction was subject to a mandatory constituency statute, and its terms are in line with the rest of the transactions.</w:t>
      </w:r>
      <w:r w:rsidRPr="00A61532">
        <w:rPr>
          <w:rStyle w:val="FootnoteReference"/>
        </w:rPr>
        <w:footnoteReference w:id="61"/>
      </w:r>
    </w:p>
    <w:p w14:paraId="7E4CF60A" w14:textId="0527881E" w:rsidR="0054491A" w:rsidRPr="00A61532" w:rsidRDefault="0054491A" w:rsidP="0054491A">
      <w:r w:rsidRPr="00A61532">
        <w:rPr>
          <w:i/>
          <w:iCs/>
        </w:rPr>
        <w:t>(d) Stakeholder interests</w:t>
      </w:r>
      <w:r w:rsidRPr="00A61532">
        <w:t xml:space="preserve">. Statutory language varies significantly with respect to the non-shareholder interests that directors may take into account. Almost all statutes mention employees, customers, and suppliers; most mention creditors and communities; and many mention society, the economy of the state, or the economy of the nation. Only two, Arizona and Texas, explicitly mention the environment. Interestingly, however, 14 statutes contain a catch-all phrase that allows directors to take into account other interests or other factors, thus extending the protection of the statute to unenumerated stakeholder groups and interests. Table </w:t>
      </w:r>
      <w:r w:rsidR="004E63D8">
        <w:t>8</w:t>
      </w:r>
      <w:r w:rsidRPr="00A61532">
        <w:t xml:space="preserve"> in Part IV reports in detail which state statutes refer to which stakeholder interests. </w:t>
      </w:r>
    </w:p>
    <w:p w14:paraId="6987E8C6" w14:textId="77777777" w:rsidR="0054491A" w:rsidRPr="00A61532" w:rsidRDefault="0054491A" w:rsidP="0054491A">
      <w:pPr>
        <w:pStyle w:val="Heading3"/>
      </w:pPr>
      <w:bookmarkStart w:id="56" w:name="_Toc47638736"/>
      <w:bookmarkStart w:id="57" w:name="_Toc47885993"/>
      <w:r w:rsidRPr="00A61532">
        <w:t>The Discretionary Power to Protect Stakeholders</w:t>
      </w:r>
      <w:bookmarkEnd w:id="56"/>
      <w:bookmarkEnd w:id="57"/>
    </w:p>
    <w:p w14:paraId="1DF9E526" w14:textId="77777777" w:rsidR="0054491A" w:rsidRPr="00A61532" w:rsidRDefault="0054491A" w:rsidP="0054491A">
      <w:r w:rsidRPr="00A61532">
        <w:t xml:space="preserve">Constituency statutes enable directors to give weight to the interests of stakeholders, but all of them are silent on the crucial question of how directors should weigh and balance the interests of shareholders and stakeholders. They provide no criteria, metrics, or even generic guidance on how directors </w:t>
      </w:r>
      <w:r w:rsidRPr="00A61532">
        <w:lastRenderedPageBreak/>
        <w:t>are expected to use this discretionary power.</w:t>
      </w:r>
      <w:r w:rsidRPr="00A61532">
        <w:rPr>
          <w:rStyle w:val="FootnoteReference"/>
        </w:rPr>
        <w:footnoteReference w:id="62"/>
      </w:r>
      <w:r w:rsidRPr="00A61532">
        <w:t xml:space="preserve"> In fact, many statutes even give directors the freedom to decide which individuals or groups should be considered stakeholders of the corporation.</w:t>
      </w:r>
      <w:r w:rsidRPr="00A61532">
        <w:rPr>
          <w:rStyle w:val="FootnoteReference"/>
        </w:rPr>
        <w:footnoteReference w:id="63"/>
      </w:r>
      <w:r w:rsidRPr="00A61532">
        <w:t xml:space="preserve"> </w:t>
      </w:r>
    </w:p>
    <w:p w14:paraId="16D8A7E4" w14:textId="77777777" w:rsidR="0054491A" w:rsidRPr="00A61532" w:rsidRDefault="0054491A" w:rsidP="0054491A">
      <w:r w:rsidRPr="00A61532">
        <w:t>This crucial aspect was viewed as a radical departure from the traditional notion that directors should evaluate acquisition offers on the basis of whether or not they maximize value for shareholders.</w:t>
      </w:r>
      <w:bookmarkStart w:id="58" w:name="_Ref47273821"/>
      <w:r w:rsidRPr="00A61532">
        <w:t xml:space="preserve"> For example, in 1990 a prominent scholar and former Commissioner of the Securities and Exchange Commission observed that the new legislation espoused an “idea . . . that [was] novel” and “contrary to long standing legal principles.”</w:t>
      </w:r>
      <w:r w:rsidRPr="00A61532">
        <w:rPr>
          <w:rStyle w:val="FootnoteReference"/>
        </w:rPr>
        <w:footnoteReference w:id="64"/>
      </w:r>
      <w:bookmarkEnd w:id="58"/>
      <w:r w:rsidRPr="00A61532">
        <w:t xml:space="preserve"> In the absence of any weighing criteria, such a novel idea meant that directors had been granted the power to negotiate with the acquirer benefits and protections for stakeholders even if costly to shareholders. For example, corporate leaders may turn down an acquisition offer that is profitable for shareholders, on the grounds that it would result in an unacceptable loss of local jobs. Similarly, they may bargain to obtain the acquirer’s commitment not to close the local plant for a given period, even if this would result in a lower premium.</w:t>
      </w:r>
    </w:p>
    <w:p w14:paraId="10AD9B71" w14:textId="77777777" w:rsidR="0054491A" w:rsidRPr="00A61532" w:rsidRDefault="0054491A" w:rsidP="0054491A">
      <w:r w:rsidRPr="00A61532">
        <w:t>Some commentators believe that the constituency statutes should be interpreted narrowly, in a merely “instrumental” way. According to this interpretation, directors are allowed to give weight to the interests of stakeholders only to the extent they are instrumentally related to those of shareholders. Therefore, they may not favor stakeholders at the expense of shareholders, like in the aforementioned examples. This interpretation was proposed, most notably, by the American Bar Association (ABA), which recommended that these statutes be read as a codification of existing common law, namely that directors may give consideration to the interests of stakeholders as long as there is a “rationally related benefit to shareholders.”</w:t>
      </w:r>
      <w:bookmarkStart w:id="59" w:name="_Ref47582086"/>
      <w:r w:rsidRPr="00A61532">
        <w:rPr>
          <w:rStyle w:val="FootnoteReference"/>
        </w:rPr>
        <w:footnoteReference w:id="65"/>
      </w:r>
      <w:bookmarkEnd w:id="59"/>
      <w:r w:rsidRPr="00A61532">
        <w:t xml:space="preserve"> </w:t>
      </w:r>
    </w:p>
    <w:p w14:paraId="6F30E7B5" w14:textId="589D9E45" w:rsidR="0054491A" w:rsidRPr="00A61532" w:rsidRDefault="0054491A" w:rsidP="00DB1B47">
      <w:r w:rsidRPr="00A61532">
        <w:lastRenderedPageBreak/>
        <w:t xml:space="preserve">We believe that this is not a plausible interpretation of these statutes. </w:t>
      </w:r>
      <w:r w:rsidR="00AD16AF">
        <w:t xml:space="preserve">To begin, </w:t>
      </w:r>
      <w:r w:rsidRPr="00A61532">
        <w:t>it is inconsistent with the explicit language of several constituency statutes. Some states (Iowa, New York, Pennsylvania, Nevada, and Georgia) expressly deny that any constituencies may have a dominant weight over the others. In particular, Iowa expressly provides that directors are allowed to conclude that one or more stakeholder factors outweigh “the financial or other benefits to the corporation or a shareholder or group of shareholders.”</w:t>
      </w:r>
      <w:bookmarkStart w:id="60" w:name="_Ref46828382"/>
      <w:r w:rsidRPr="00A61532">
        <w:rPr>
          <w:rStyle w:val="FootnoteReference"/>
        </w:rPr>
        <w:footnoteReference w:id="66"/>
      </w:r>
      <w:bookmarkEnd w:id="60"/>
      <w:r w:rsidRPr="00A61532">
        <w:t xml:space="preserve"> New York provides that directors have no obligation to “consider or afford any particular weight” to any shareholder or stakeholder factors.</w:t>
      </w:r>
      <w:r w:rsidRPr="00A61532">
        <w:rPr>
          <w:rStyle w:val="FootnoteReference"/>
        </w:rPr>
        <w:footnoteReference w:id="67"/>
      </w:r>
      <w:r w:rsidRPr="00A61532">
        <w:t xml:space="preserve"> Pennsylvania states that directors are not required “to regard any corporate interest or the interests of any particular group . . . as a dominant or controlling interest or factor.”</w:t>
      </w:r>
      <w:bookmarkStart w:id="61" w:name="_Ref46828384"/>
      <w:r w:rsidRPr="00A61532">
        <w:rPr>
          <w:rStyle w:val="FootnoteReference"/>
        </w:rPr>
        <w:footnoteReference w:id="68"/>
      </w:r>
      <w:bookmarkEnd w:id="61"/>
      <w:r w:rsidRPr="00A61532">
        <w:t xml:space="preserve"> The Nevada statute expressly grants directors the power to decide which weight the interest of a given person or group should have in this deliberation.</w:t>
      </w:r>
      <w:bookmarkStart w:id="62" w:name="_Ref46829135"/>
      <w:r w:rsidRPr="00A61532">
        <w:rPr>
          <w:rStyle w:val="FootnoteReference"/>
        </w:rPr>
        <w:footnoteReference w:id="69"/>
      </w:r>
      <w:bookmarkEnd w:id="62"/>
      <w:r w:rsidRPr="00A61532">
        <w:t xml:space="preserve"> And the Georgia statute states that no corporate constituency (arguably, including shareholders) has a right to be preferred over others.</w:t>
      </w:r>
      <w:r w:rsidRPr="00A61532">
        <w:rPr>
          <w:rStyle w:val="FootnoteReference"/>
        </w:rPr>
        <w:footnoteReference w:id="70"/>
      </w:r>
      <w:r w:rsidRPr="00A61532">
        <w:t xml:space="preserve"> </w:t>
      </w:r>
    </w:p>
    <w:p w14:paraId="42360AA8" w14:textId="77777777" w:rsidR="0054491A" w:rsidRPr="00A61532" w:rsidRDefault="0054491A" w:rsidP="0054491A">
      <w:r w:rsidRPr="00A61532">
        <w:t>Furthermore, the Tennessee statute specifically provides that directors cannot be held liable if they reject an acquisition offer on the grounds that it “would adversely affect the resident domestic corporation’s employees, customers, suppliers, [or] the communities in which [ . . . they] operate.”</w:t>
      </w:r>
      <w:r w:rsidRPr="00A61532">
        <w:rPr>
          <w:rStyle w:val="FootnoteReference"/>
        </w:rPr>
        <w:footnoteReference w:id="71"/>
      </w:r>
      <w:r w:rsidRPr="00A61532">
        <w:t xml:space="preserve"> And the Vermont statute, which only applies to public companies, states that the statute does not change the interests that directors of private companies may consider (a clarification that would be hard to explain if the statute did not mean to amend the existing law, although only for public corporations).</w:t>
      </w:r>
      <w:r w:rsidRPr="00A61532">
        <w:rPr>
          <w:rStyle w:val="FootnoteReference"/>
        </w:rPr>
        <w:footnoteReference w:id="72"/>
      </w:r>
    </w:p>
    <w:p w14:paraId="2E43AB45" w14:textId="77777777" w:rsidR="0054491A" w:rsidRPr="00A61532" w:rsidRDefault="0054491A" w:rsidP="0054491A">
      <w:r w:rsidRPr="00A61532">
        <w:t xml:space="preserve">Second, if the constituency statutes were only a way to codify the existing common law without altering the principle of shareholder primacy, the lobbying efforts made by business interests and unions – and the heated debate surrounding the approval of the statutes – would be inexplicable. The </w:t>
      </w:r>
      <w:r w:rsidRPr="00A61532">
        <w:lastRenderedPageBreak/>
        <w:t>instrumental interpretation proposed by the ABA implies that directors may not reject an offer that would adversely impact the company’s employees, unless the offer is also a bad deal for shareholders. But if this were the correct meaning of these statutes, the powerful political coalition of business leaders and organized labor would have obtained nothing more than what was already available under the pre-existing shareholder primacy principle. Likewise, the rich literature debating the desirability of the constituency statutes would make no sense, as these statutes would have codified something that was already permissible under the previous law.</w:t>
      </w:r>
    </w:p>
    <w:p w14:paraId="750E408B" w14:textId="77777777" w:rsidR="0054491A" w:rsidRPr="00A61532" w:rsidRDefault="0054491A" w:rsidP="0054491A">
      <w:r w:rsidRPr="00A61532">
        <w:t xml:space="preserve">As explained in section III.A.1 above, the explicit policy goal of these statutes was to protect stakeholders against hostile takeovers. If the statutes did not give directors the power to block offers that would harm stakeholders but might have been accepted by shareholders, then their policy goal would be entirely frustrated. This interpretation is widely shared among some of the most influential authors writing on this issue, both supporters and critics of </w:t>
      </w:r>
      <w:proofErr w:type="spellStart"/>
      <w:r w:rsidRPr="00A61532">
        <w:t>stakeholderism</w:t>
      </w:r>
      <w:proofErr w:type="spellEnd"/>
      <w:r w:rsidRPr="00A61532">
        <w:t>.</w:t>
      </w:r>
      <w:r w:rsidRPr="00A61532">
        <w:rPr>
          <w:rStyle w:val="FootnoteReference"/>
        </w:rPr>
        <w:footnoteReference w:id="73"/>
      </w:r>
      <w:r w:rsidRPr="00A61532">
        <w:t xml:space="preserve"> </w:t>
      </w:r>
    </w:p>
    <w:p w14:paraId="3ECF0377" w14:textId="77777777" w:rsidR="0054491A" w:rsidRPr="00A61532" w:rsidRDefault="0054491A" w:rsidP="0054491A">
      <w:r w:rsidRPr="00A61532">
        <w:t>Even if it does not seem plausible to us, in Part V we will discuss the possibility that some decision-makers might have thought that an instrumental interpretation was the correct view of the constituency statutes, and we will show that this alternative assumption does not significantly change the interpretation of our findings.</w:t>
      </w:r>
    </w:p>
    <w:p w14:paraId="26C4C685" w14:textId="77777777" w:rsidR="0054491A" w:rsidRPr="00A61532" w:rsidRDefault="0054491A" w:rsidP="0054491A">
      <w:pPr>
        <w:pStyle w:val="Heading2"/>
      </w:pPr>
      <w:bookmarkStart w:id="63" w:name="_Toc47638737"/>
      <w:bookmarkStart w:id="64" w:name="_Toc47885994"/>
      <w:r w:rsidRPr="00A61532">
        <w:t>Private Equity Deals</w:t>
      </w:r>
      <w:bookmarkEnd w:id="63"/>
      <w:bookmarkEnd w:id="64"/>
    </w:p>
    <w:p w14:paraId="6600B16F" w14:textId="77777777" w:rsidR="0054491A" w:rsidRPr="00A61532" w:rsidRDefault="0054491A" w:rsidP="0054491A">
      <w:r w:rsidRPr="00A61532">
        <w:t xml:space="preserve">Our empirical analysis will focus on acquisitions of public companies by private equity firms. We now turn to explain why private equity deals provide a natural setting for our study: such deals present situations that involve significant risks of adverse effects on stakeholders. The risks are not ones that would necessarily materialize, but stakeholder-regarding corporate leaders should be expected to take them into account and seek to limit them. </w:t>
      </w:r>
    </w:p>
    <w:p w14:paraId="43A3D65A" w14:textId="77777777" w:rsidR="0054491A" w:rsidRPr="00A61532" w:rsidRDefault="0054491A" w:rsidP="0054491A">
      <w:r w:rsidRPr="00A61532">
        <w:lastRenderedPageBreak/>
        <w:t>Private equity acquisitions of a public company typically transfer control to buyers with strong incentives to maximize financial returns. These strong incentives are commonly generated by the heavy reliance on debt for financing the acquisition and the high-powered financial incentives that the managers of the private equity buyer typically have</w:t>
      </w:r>
      <w:bookmarkStart w:id="65" w:name="_Ref46952708"/>
      <w:r w:rsidRPr="00A61532">
        <w:t>,</w:t>
      </w:r>
      <w:r w:rsidRPr="00A61532">
        <w:rPr>
          <w:rStyle w:val="FootnoteReference"/>
          <w:rFonts w:asciiTheme="majorBidi" w:hAnsiTheme="majorBidi" w:cstheme="majorBidi"/>
          <w:szCs w:val="24"/>
        </w:rPr>
        <w:footnoteReference w:id="74"/>
      </w:r>
      <w:bookmarkEnd w:id="65"/>
      <w:r w:rsidRPr="00A61532">
        <w:t xml:space="preserve"> as well as by the high-powered financial incentives that private equity groups provide to the managers of companies they own.</w:t>
      </w:r>
      <w:bookmarkStart w:id="66" w:name="_Ref46952711"/>
      <w:r w:rsidRPr="00A61532">
        <w:rPr>
          <w:rStyle w:val="FootnoteReference"/>
          <w:rFonts w:asciiTheme="majorBidi" w:hAnsiTheme="majorBidi" w:cstheme="majorBidi"/>
          <w:szCs w:val="24"/>
        </w:rPr>
        <w:footnoteReference w:id="75"/>
      </w:r>
      <w:bookmarkEnd w:id="66"/>
      <w:r w:rsidRPr="00A61532">
        <w:t xml:space="preserve"> Thus, to the extent that the deal terms do not constrain the private equity buyer from doing so, the buyer would have strong post-deal incentives to maximize financial returns even when doing so would substantially come at the expense of stakeholders. </w:t>
      </w:r>
    </w:p>
    <w:p w14:paraId="7F630B2A" w14:textId="77777777" w:rsidR="0054491A" w:rsidRPr="00A61532" w:rsidRDefault="0054491A" w:rsidP="0054491A">
      <w:r w:rsidRPr="00A61532">
        <w:t>Indeed, there is robust empirical evidence that private equity acquisitions bring about employee terminations and thus impose costs on some employees. For example, a recent study shows that private equity acquisitions reduce employment in target companies by 13% over the following two-year period.</w:t>
      </w:r>
      <w:r w:rsidRPr="00A61532">
        <w:rPr>
          <w:rStyle w:val="FootnoteReference"/>
          <w:rFonts w:asciiTheme="majorBidi" w:hAnsiTheme="majorBidi" w:cstheme="majorBidi"/>
          <w:szCs w:val="24"/>
        </w:rPr>
        <w:footnoteReference w:id="76"/>
      </w:r>
      <w:r w:rsidRPr="00A61532">
        <w:t xml:space="preserve"> Earlier studies have also documented that, following a private equity acquisition, there are declines in employee compensation.</w:t>
      </w:r>
      <w:r w:rsidRPr="00A61532">
        <w:rPr>
          <w:rStyle w:val="FootnoteReference"/>
          <w:rFonts w:asciiTheme="majorBidi" w:hAnsiTheme="majorBidi" w:cstheme="majorBidi"/>
          <w:color w:val="505050"/>
          <w:szCs w:val="24"/>
          <w:shd w:val="clear" w:color="auto" w:fill="FFFFFF"/>
        </w:rPr>
        <w:footnoteReference w:id="77"/>
      </w:r>
    </w:p>
    <w:p w14:paraId="15B04D9C" w14:textId="38792490" w:rsidR="0054491A" w:rsidRPr="00A61532" w:rsidRDefault="0054491A" w:rsidP="0054491A">
      <w:r w:rsidRPr="00A61532">
        <w:lastRenderedPageBreak/>
        <w:t>Concerns about how private equity acquisitions affect stakeholders, and employees and communities in particular, have also long received much attention from public officials, the media, and the public. For example, the “Stop Wall Street Looting Act” was introduced in the Senate to regulate the private equity industry, with the rationale that private equity controllers have forced many companies to cut costs and lay off workers, and that many private equity deals result in transfers of wealth from workers, suppliers, and consumers to private equity funds.</w:t>
      </w:r>
      <w:r w:rsidRPr="00A61532">
        <w:rPr>
          <w:rStyle w:val="FootnoteReference"/>
          <w:rFonts w:asciiTheme="majorBidi" w:hAnsiTheme="majorBidi" w:cstheme="majorBidi"/>
          <w:szCs w:val="24"/>
        </w:rPr>
        <w:footnoteReference w:id="78"/>
      </w:r>
      <w:r w:rsidRPr="00A61532">
        <w:t xml:space="preserve"> And in the 2012 presidential </w:t>
      </w:r>
      <w:r w:rsidR="0016774C">
        <w:t>campaign</w:t>
      </w:r>
      <w:r w:rsidRPr="00A61532">
        <w:t>, Mitt Romney’s past association with a private equity group seemed to be a liability due to claims that the group’s acquisitions had adverse effects on employees.</w:t>
      </w:r>
      <w:r w:rsidR="0016774C">
        <w:rPr>
          <w:rStyle w:val="FootnoteReference"/>
        </w:rPr>
        <w:footnoteReference w:id="79"/>
      </w:r>
    </w:p>
    <w:p w14:paraId="3793EB78" w14:textId="61A88849" w:rsidR="00256565" w:rsidRPr="00A61532" w:rsidRDefault="0054491A" w:rsidP="0054491A">
      <w:pPr>
        <w:spacing w:after="240"/>
      </w:pPr>
      <w:r w:rsidRPr="00A61532">
        <w:t xml:space="preserve">Much of the debate surrounding private equity focuses on the question of whether private equity deals are socially desirable overall. However, regardless of what the answer to this question is, and even if private equity deals are overall socially desirable, there is a good basis for believing that, unless private equity deals are accompanied by adequate protections for employees, such deals present heightened risks of adverse effects for stakeholders such as employees, communities, suppliers, and so forth. Thus, </w:t>
      </w:r>
      <w:r w:rsidR="001827A8">
        <w:t>if</w:t>
      </w:r>
      <w:r w:rsidRPr="00A61532">
        <w:t xml:space="preserve"> corporate leaders did wish to use the discretion</w:t>
      </w:r>
      <w:r w:rsidR="001827A8">
        <w:t>ary power under the constituency statutes</w:t>
      </w:r>
      <w:r w:rsidRPr="00A61532">
        <w:t xml:space="preserve"> they should have been expected to seek protections </w:t>
      </w:r>
      <w:r w:rsidR="001827A8">
        <w:t xml:space="preserve">for stakeholders </w:t>
      </w:r>
      <w:r w:rsidRPr="00A61532">
        <w:t xml:space="preserve">that would have eliminated or reduced the risks </w:t>
      </w:r>
      <w:r w:rsidR="001827A8">
        <w:t>raised by a private equity takeover</w:t>
      </w:r>
      <w:r w:rsidR="009B3599" w:rsidRPr="00A61532">
        <w:t>.</w:t>
      </w:r>
    </w:p>
    <w:p w14:paraId="178F69BA" w14:textId="1DFD6EBD" w:rsidR="00317C2B" w:rsidRPr="00A61532" w:rsidRDefault="00317C2B" w:rsidP="000F2D5C">
      <w:pPr>
        <w:pStyle w:val="Heading1"/>
        <w:rPr>
          <w:rFonts w:eastAsia="SimSun"/>
          <w:lang w:bidi="he-IL"/>
        </w:rPr>
      </w:pPr>
      <w:bookmarkStart w:id="67" w:name="_Toc47642827"/>
      <w:bookmarkStart w:id="68" w:name="_Toc47885995"/>
      <w:r w:rsidRPr="00A61532">
        <w:rPr>
          <w:rFonts w:eastAsia="SimSun"/>
          <w:lang w:bidi="he-IL"/>
        </w:rPr>
        <w:t>Empirical Analysis</w:t>
      </w:r>
      <w:bookmarkEnd w:id="67"/>
      <w:bookmarkEnd w:id="68"/>
    </w:p>
    <w:p w14:paraId="73D7B02D" w14:textId="4D464CEC" w:rsidR="00317C2B" w:rsidRPr="00A61532" w:rsidRDefault="00317C2B" w:rsidP="000F2D5C">
      <w:pPr>
        <w:pStyle w:val="Heading2"/>
        <w:rPr>
          <w:rFonts w:eastAsia="SimSun"/>
          <w:lang w:bidi="he-IL"/>
        </w:rPr>
      </w:pPr>
      <w:bookmarkStart w:id="69" w:name="_Toc47642828"/>
      <w:bookmarkStart w:id="70" w:name="_Toc47885996"/>
      <w:r w:rsidRPr="00A61532">
        <w:rPr>
          <w:rFonts w:eastAsia="SimSun"/>
          <w:lang w:bidi="he-IL"/>
        </w:rPr>
        <w:t>Universe of Cases</w:t>
      </w:r>
      <w:bookmarkEnd w:id="69"/>
      <w:bookmarkEnd w:id="70"/>
    </w:p>
    <w:p w14:paraId="348EA39D" w14:textId="2226B8FC" w:rsidR="00317C2B" w:rsidRPr="00A61532" w:rsidRDefault="00317C2B" w:rsidP="007D5730">
      <w:pPr>
        <w:pStyle w:val="Heading3"/>
        <w:numPr>
          <w:ilvl w:val="0"/>
          <w:numId w:val="7"/>
        </w:numPr>
        <w:rPr>
          <w:lang w:bidi="he-IL"/>
        </w:rPr>
      </w:pPr>
      <w:bookmarkStart w:id="71" w:name="_Toc47642829"/>
      <w:bookmarkStart w:id="72" w:name="_Toc47885997"/>
      <w:r w:rsidRPr="00A61532">
        <w:rPr>
          <w:lang w:bidi="he-IL"/>
        </w:rPr>
        <w:t>Data Collection</w:t>
      </w:r>
      <w:bookmarkEnd w:id="71"/>
      <w:bookmarkEnd w:id="72"/>
      <w:r w:rsidRPr="00A61532">
        <w:rPr>
          <w:lang w:bidi="he-IL"/>
        </w:rPr>
        <w:t xml:space="preserve"> </w:t>
      </w:r>
    </w:p>
    <w:p w14:paraId="2DF7BFDA" w14:textId="19813E46"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In this Part, we turn to investigate empirically the question that stands at the heart of our article: should corporate leaders have discretion, and can they be relied </w:t>
      </w:r>
      <w:r w:rsidR="009D5CF4">
        <w:rPr>
          <w:rFonts w:asciiTheme="majorBidi" w:eastAsia="SimSun" w:hAnsiTheme="majorBidi" w:cstheme="majorBidi"/>
          <w:kern w:val="0"/>
          <w:szCs w:val="24"/>
          <w:lang w:bidi="he-IL"/>
        </w:rPr>
        <w:t>up</w:t>
      </w:r>
      <w:r w:rsidRPr="00A61532">
        <w:rPr>
          <w:rFonts w:asciiTheme="majorBidi" w:eastAsia="SimSun" w:hAnsiTheme="majorBidi" w:cstheme="majorBidi"/>
          <w:kern w:val="0"/>
          <w:szCs w:val="24"/>
          <w:lang w:bidi="he-IL"/>
        </w:rPr>
        <w:t xml:space="preserve">on, to protect stakeholder interests? To that end, we examine how corporate leaders have used the expansive discretion that was provided to </w:t>
      </w:r>
      <w:r w:rsidRPr="00A61532">
        <w:rPr>
          <w:rFonts w:asciiTheme="majorBidi" w:eastAsia="SimSun" w:hAnsiTheme="majorBidi" w:cstheme="majorBidi"/>
          <w:kern w:val="0"/>
          <w:szCs w:val="24"/>
          <w:lang w:bidi="he-IL"/>
        </w:rPr>
        <w:lastRenderedPageBreak/>
        <w:t>them by constituency statutes adopted by a number of U.S. states, to protect stakeholder interests in M&amp;A transactions.</w:t>
      </w:r>
    </w:p>
    <w:p w14:paraId="1487DFA5" w14:textId="68FEB24C"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We use the FactSet M&amp;A database</w:t>
      </w:r>
      <w:r w:rsidR="00B22677">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and extract from it a sample of transactions </w:t>
      </w:r>
      <w:r w:rsidR="00B22677">
        <w:rPr>
          <w:rFonts w:asciiTheme="majorBidi" w:eastAsia="SimSun" w:hAnsiTheme="majorBidi" w:cstheme="majorBidi"/>
          <w:kern w:val="0"/>
          <w:szCs w:val="24"/>
          <w:lang w:bidi="he-IL"/>
        </w:rPr>
        <w:t xml:space="preserve">based on </w:t>
      </w:r>
      <w:r w:rsidRPr="00A61532">
        <w:rPr>
          <w:rFonts w:asciiTheme="majorBidi" w:eastAsia="SimSun" w:hAnsiTheme="majorBidi" w:cstheme="majorBidi"/>
          <w:kern w:val="0"/>
          <w:szCs w:val="24"/>
          <w:lang w:bidi="he-IL"/>
        </w:rPr>
        <w:t xml:space="preserve">four main criteria. First, we focus on acquisitions made or sponsored by a private equity firm, using the definition of private equity acquisition </w:t>
      </w:r>
      <w:r w:rsidR="00B22677">
        <w:rPr>
          <w:rFonts w:asciiTheme="majorBidi" w:eastAsia="SimSun" w:hAnsiTheme="majorBidi" w:cstheme="majorBidi"/>
          <w:kern w:val="0"/>
          <w:szCs w:val="24"/>
          <w:lang w:bidi="he-IL"/>
        </w:rPr>
        <w:t>used</w:t>
      </w:r>
      <w:r w:rsidR="00B22677"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by FactSet.</w:t>
      </w:r>
      <w:r w:rsidRPr="00A61532">
        <w:rPr>
          <w:rFonts w:asciiTheme="majorBidi" w:eastAsia="SimSun" w:hAnsiTheme="majorBidi" w:cstheme="majorBidi"/>
          <w:kern w:val="0"/>
          <w:szCs w:val="24"/>
          <w:vertAlign w:val="superscript"/>
          <w:lang w:bidi="he-IL"/>
        </w:rPr>
        <w:footnoteReference w:id="80"/>
      </w:r>
      <w:r w:rsidRPr="00A61532">
        <w:rPr>
          <w:rFonts w:asciiTheme="majorBidi" w:eastAsia="SimSun" w:hAnsiTheme="majorBidi" w:cstheme="majorBidi"/>
          <w:kern w:val="0"/>
          <w:szCs w:val="24"/>
          <w:lang w:bidi="he-IL"/>
        </w:rPr>
        <w:t xml:space="preserve"> As we have explained above, such transactions provide a natural setting for our study, because they move companies into the hands of private equity managers with strong incentives to cut costs and maximize shareholder value, thus posing potential risks to stakeholders. Under such circumstances, corporate leaders authorized to protect stakeholders have good reasons to negotiate protections that would mitigate such risks.</w:t>
      </w:r>
    </w:p>
    <w:p w14:paraId="3B9B816D" w14:textId="08928B31"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Second, we review </w:t>
      </w:r>
      <w:r w:rsidR="00B22677">
        <w:rPr>
          <w:rFonts w:asciiTheme="majorBidi" w:eastAsia="SimSun" w:hAnsiTheme="majorBidi" w:cstheme="majorBidi"/>
          <w:kern w:val="0"/>
          <w:szCs w:val="24"/>
          <w:lang w:bidi="he-IL"/>
        </w:rPr>
        <w:t>acquisitions of</w:t>
      </w:r>
      <w:r w:rsidRPr="00A61532">
        <w:rPr>
          <w:rFonts w:asciiTheme="majorBidi" w:eastAsia="SimSun" w:hAnsiTheme="majorBidi" w:cstheme="majorBidi"/>
          <w:kern w:val="0"/>
          <w:szCs w:val="24"/>
          <w:lang w:bidi="he-IL"/>
        </w:rPr>
        <w:t xml:space="preserve"> companies incorporated in states </w:t>
      </w:r>
      <w:r w:rsidR="00B22677">
        <w:rPr>
          <w:rFonts w:asciiTheme="majorBidi" w:eastAsia="SimSun" w:hAnsiTheme="majorBidi" w:cstheme="majorBidi"/>
          <w:kern w:val="0"/>
          <w:szCs w:val="24"/>
          <w:lang w:bidi="he-IL"/>
        </w:rPr>
        <w:t>that</w:t>
      </w:r>
      <w:r w:rsidR="00B22677"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had </w:t>
      </w:r>
      <w:r w:rsidR="00B22677">
        <w:rPr>
          <w:rFonts w:asciiTheme="majorBidi" w:eastAsia="SimSun" w:hAnsiTheme="majorBidi" w:cstheme="majorBidi"/>
          <w:kern w:val="0"/>
          <w:szCs w:val="24"/>
          <w:lang w:bidi="he-IL"/>
        </w:rPr>
        <w:t xml:space="preserve">a </w:t>
      </w:r>
      <w:r w:rsidRPr="00A61532">
        <w:rPr>
          <w:rFonts w:asciiTheme="majorBidi" w:eastAsia="SimSun" w:hAnsiTheme="majorBidi" w:cstheme="majorBidi"/>
          <w:kern w:val="0"/>
          <w:szCs w:val="24"/>
          <w:lang w:bidi="he-IL"/>
        </w:rPr>
        <w:t>constituency statute in force at the date of signing and closing.</w:t>
      </w:r>
      <w:bookmarkStart w:id="73" w:name="_Ref47604904"/>
      <w:r w:rsidRPr="00A61532">
        <w:rPr>
          <w:rFonts w:asciiTheme="majorBidi" w:eastAsia="SimSun" w:hAnsiTheme="majorBidi" w:cstheme="majorBidi"/>
          <w:kern w:val="0"/>
          <w:szCs w:val="24"/>
          <w:vertAlign w:val="superscript"/>
          <w:lang w:bidi="he-IL"/>
        </w:rPr>
        <w:footnoteReference w:id="81"/>
      </w:r>
      <w:bookmarkEnd w:id="73"/>
      <w:r w:rsidRPr="00A61532">
        <w:rPr>
          <w:rFonts w:asciiTheme="majorBidi" w:eastAsia="SimSun" w:hAnsiTheme="majorBidi" w:cstheme="majorBidi"/>
          <w:kern w:val="0"/>
          <w:szCs w:val="24"/>
          <w:lang w:bidi="he-IL"/>
        </w:rPr>
        <w:t xml:space="preserve"> We focus on the large majority of states in which </w:t>
      </w:r>
      <w:r w:rsidR="006F1385">
        <w:rPr>
          <w:rFonts w:asciiTheme="majorBidi" w:eastAsia="SimSun" w:hAnsiTheme="majorBidi" w:cstheme="majorBidi"/>
          <w:kern w:val="0"/>
          <w:szCs w:val="24"/>
          <w:lang w:bidi="he-IL"/>
        </w:rPr>
        <w:t>these</w:t>
      </w:r>
      <w:r w:rsidR="006F1385"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statutes did not allow companies to opt in or out, in order to make sure that the transactions were governed by these statutes. To this end, we excluded from the sample transactions that involved targets incorporated in the four states that had opt-in or opt-out mechanisms.</w:t>
      </w:r>
    </w:p>
    <w:p w14:paraId="57C10D2F" w14:textId="0C537019"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Third, we limit our study to transactions that took place in the past two decades, </w:t>
      </w:r>
      <w:r w:rsidR="006F1385">
        <w:rPr>
          <w:rFonts w:asciiTheme="majorBidi" w:eastAsia="SimSun" w:hAnsiTheme="majorBidi" w:cstheme="majorBidi"/>
          <w:kern w:val="0"/>
          <w:szCs w:val="24"/>
          <w:lang w:bidi="he-IL"/>
        </w:rPr>
        <w:t>from</w:t>
      </w:r>
      <w:r w:rsidRPr="00A61532">
        <w:rPr>
          <w:rFonts w:asciiTheme="majorBidi" w:eastAsia="SimSun" w:hAnsiTheme="majorBidi" w:cstheme="majorBidi"/>
          <w:kern w:val="0"/>
          <w:szCs w:val="24"/>
          <w:lang w:bidi="he-IL"/>
        </w:rPr>
        <w:t xml:space="preserve"> January 1, 2000 </w:t>
      </w:r>
      <w:r w:rsidR="006F1385">
        <w:rPr>
          <w:rFonts w:asciiTheme="majorBidi" w:eastAsia="SimSun" w:hAnsiTheme="majorBidi" w:cstheme="majorBidi"/>
          <w:kern w:val="0"/>
          <w:szCs w:val="24"/>
          <w:lang w:bidi="he-IL"/>
        </w:rPr>
        <w:t>to</w:t>
      </w:r>
      <w:r w:rsidR="006F1385"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December 31, 2019. Focusing on a recent time frame provided us relatively good data availability. It also increased our confidence that the constituency statutes have been incorporated into practice. </w:t>
      </w:r>
    </w:p>
    <w:p w14:paraId="2423B511" w14:textId="418BAD49"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Fourth, we excluded </w:t>
      </w:r>
      <w:r w:rsidR="006F1385">
        <w:rPr>
          <w:rFonts w:asciiTheme="majorBidi" w:eastAsia="SimSun" w:hAnsiTheme="majorBidi" w:cstheme="majorBidi"/>
          <w:kern w:val="0"/>
          <w:szCs w:val="24"/>
          <w:lang w:bidi="he-IL"/>
        </w:rPr>
        <w:t>acquisitions of</w:t>
      </w:r>
      <w:r w:rsidRPr="00A61532">
        <w:rPr>
          <w:rFonts w:asciiTheme="majorBidi" w:eastAsia="SimSun" w:hAnsiTheme="majorBidi" w:cstheme="majorBidi"/>
          <w:kern w:val="0"/>
          <w:szCs w:val="24"/>
          <w:lang w:bidi="he-IL"/>
        </w:rPr>
        <w:t xml:space="preserve"> small companies </w:t>
      </w:r>
      <w:r w:rsidR="006F1385">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transaction value of less than $50 million in January 2020 dollars</w:t>
      </w:r>
      <w:r w:rsidR="006F1385">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Throughout our study, we adjust all dollar figures (including transaction values and monetary benefits afforded to insiders or stakeholders) using CPI to account for inflation during that 20-year period and to facilitate comparability. All dollar figures stated below are in January 2020 dollars. </w:t>
      </w:r>
    </w:p>
    <w:p w14:paraId="08E623B9" w14:textId="39A2ABD5"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lastRenderedPageBreak/>
        <w:t xml:space="preserve">We were able to identify 105 transactions that comply with all four criteria mentioned above. We then hand collected data on each transaction in the resulting sample. In particular, we reviewed all the proxy statements filed with the Securities and Exchange Commission (SEC) in connection with the approval of the mergers, as well as the merger agreements attached to them. We </w:t>
      </w:r>
      <w:r w:rsidR="00846482">
        <w:rPr>
          <w:rFonts w:asciiTheme="majorBidi" w:eastAsia="SimSun" w:hAnsiTheme="majorBidi" w:cstheme="majorBidi"/>
          <w:kern w:val="0"/>
          <w:szCs w:val="24"/>
          <w:lang w:bidi="he-IL"/>
        </w:rPr>
        <w:t>collected</w:t>
      </w:r>
      <w:r w:rsidR="00F61AF4">
        <w:rPr>
          <w:rFonts w:asciiTheme="majorBidi" w:eastAsia="SimSun" w:hAnsiTheme="majorBidi" w:cstheme="majorBidi"/>
          <w:kern w:val="0"/>
          <w:szCs w:val="24"/>
          <w:lang w:bidi="he-IL"/>
        </w:rPr>
        <w:t xml:space="preserve"> and analyzed large amount of</w:t>
      </w:r>
      <w:r w:rsidRPr="00A61532">
        <w:rPr>
          <w:rFonts w:asciiTheme="majorBidi" w:eastAsia="SimSun" w:hAnsiTheme="majorBidi" w:cstheme="majorBidi"/>
          <w:kern w:val="0"/>
          <w:szCs w:val="24"/>
          <w:lang w:bidi="he-IL"/>
        </w:rPr>
        <w:t xml:space="preserve"> information regarding the evolution of the transactions and their </w:t>
      </w:r>
      <w:r w:rsidR="00846482">
        <w:rPr>
          <w:rFonts w:asciiTheme="majorBidi" w:eastAsia="SimSun" w:hAnsiTheme="majorBidi" w:cstheme="majorBidi"/>
          <w:kern w:val="0"/>
          <w:szCs w:val="24"/>
          <w:lang w:bidi="he-IL"/>
        </w:rPr>
        <w:t>final contractual</w:t>
      </w:r>
      <w:r w:rsidR="00846482"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terms, and coded this information along multiple dimensions, including the </w:t>
      </w:r>
      <w:r w:rsidR="00846482">
        <w:rPr>
          <w:rFonts w:asciiTheme="majorBidi" w:eastAsia="SimSun" w:hAnsiTheme="majorBidi" w:cstheme="majorBidi"/>
          <w:kern w:val="0"/>
          <w:szCs w:val="24"/>
          <w:lang w:bidi="he-IL"/>
        </w:rPr>
        <w:t xml:space="preserve">length and outcome of the </w:t>
      </w:r>
      <w:r w:rsidRPr="00A61532">
        <w:rPr>
          <w:rFonts w:asciiTheme="majorBidi" w:eastAsia="SimSun" w:hAnsiTheme="majorBidi" w:cstheme="majorBidi"/>
          <w:kern w:val="0"/>
          <w:szCs w:val="24"/>
          <w:lang w:bidi="he-IL"/>
        </w:rPr>
        <w:t xml:space="preserve">bargaining process; the benefits for shareholders; the benefits for executives and directors; and commitments in favor of stakeholders. </w:t>
      </w:r>
    </w:p>
    <w:p w14:paraId="7FF51BD0" w14:textId="7B18FA63" w:rsidR="00C40B42" w:rsidRPr="00A61532" w:rsidRDefault="00C40B42" w:rsidP="00C40B42">
      <w:pPr>
        <w:widowControl/>
        <w:spacing w:after="16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determine the length and other characteristics of the </w:t>
      </w:r>
      <w:r w:rsidR="00846482">
        <w:rPr>
          <w:rFonts w:asciiTheme="majorBidi" w:eastAsia="SimSun" w:hAnsiTheme="majorBidi" w:cstheme="majorBidi"/>
          <w:kern w:val="0"/>
          <w:szCs w:val="24"/>
          <w:lang w:bidi="he-IL"/>
        </w:rPr>
        <w:t>bargaining</w:t>
      </w:r>
      <w:r w:rsidR="00846482"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process, including the participation of multiple bidders and the negotiation outcome, we relied on the proxy statement</w:t>
      </w:r>
      <w:r w:rsidR="00F54CF3">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s narrative section that describes the background of the transaction. To identify the benefits obtained by executive and directors, we reviewed the section of the proxy statements disclosing the interests of </w:t>
      </w:r>
      <w:r w:rsidR="009D5CF4">
        <w:rPr>
          <w:rFonts w:asciiTheme="majorBidi" w:eastAsia="SimSun" w:hAnsiTheme="majorBidi" w:cstheme="majorBidi"/>
          <w:kern w:val="0"/>
          <w:szCs w:val="24"/>
          <w:lang w:bidi="he-IL"/>
        </w:rPr>
        <w:t xml:space="preserve">the </w:t>
      </w:r>
      <w:r w:rsidRPr="00A61532">
        <w:rPr>
          <w:rFonts w:asciiTheme="majorBidi" w:eastAsia="SimSun" w:hAnsiTheme="majorBidi" w:cstheme="majorBidi"/>
          <w:kern w:val="0"/>
          <w:szCs w:val="24"/>
          <w:lang w:bidi="he-IL"/>
        </w:rPr>
        <w:t>target’s directors and executives in the merger</w:t>
      </w:r>
      <w:r w:rsidR="009D5CF4">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and the provisions of the merger agreement referring to directors, executives, and officers. To identify the benefits obtained by stakeholders, we reviewed any relevant reference in the proxy statement and merger agreement. Data on transaction values and premia are collected from FactSet.</w:t>
      </w:r>
    </w:p>
    <w:p w14:paraId="7938EFD2" w14:textId="77777777" w:rsidR="00C40B42" w:rsidRPr="00A61532" w:rsidRDefault="00C40B42" w:rsidP="00C40B42">
      <w:pPr>
        <w:pStyle w:val="Heading3"/>
        <w:rPr>
          <w:lang w:bidi="he-IL"/>
        </w:rPr>
      </w:pPr>
      <w:bookmarkStart w:id="74" w:name="_Toc47616585"/>
      <w:bookmarkStart w:id="75" w:name="_Toc47665940"/>
      <w:bookmarkStart w:id="76" w:name="_Toc47885998"/>
      <w:r w:rsidRPr="00A61532">
        <w:rPr>
          <w:lang w:bidi="he-IL"/>
        </w:rPr>
        <w:t>Deal Characteristics</w:t>
      </w:r>
      <w:bookmarkEnd w:id="74"/>
      <w:bookmarkEnd w:id="75"/>
      <w:bookmarkEnd w:id="76"/>
    </w:p>
    <w:p w14:paraId="185555D6" w14:textId="084A9DD5" w:rsidR="00C40B42" w:rsidRPr="00A61532" w:rsidRDefault="00C40B42" w:rsidP="00C40B42">
      <w:pPr>
        <w:widowControl/>
        <w:spacing w:after="160"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Our final dataset contains 105 acquisitions made or sponsored by a private equity firm over a sixteen-year period</w:t>
      </w:r>
      <w:r w:rsidRPr="00A61532">
        <w:rPr>
          <w:rFonts w:asciiTheme="majorBidi" w:eastAsia="SimSun" w:hAnsiTheme="majorBidi" w:cstheme="majorBidi"/>
          <w:color w:val="000000" w:themeColor="text1"/>
          <w:kern w:val="0"/>
          <w:szCs w:val="24"/>
          <w:lang w:bidi="he-IL"/>
        </w:rPr>
        <w:t xml:space="preserve"> commencing in 2004.</w:t>
      </w:r>
      <w:r w:rsidRPr="00A61532">
        <w:rPr>
          <w:rFonts w:asciiTheme="majorBidi" w:eastAsia="SimSun" w:hAnsiTheme="majorBidi" w:cstheme="majorBidi"/>
          <w:color w:val="000000" w:themeColor="text1"/>
          <w:kern w:val="0"/>
          <w:szCs w:val="24"/>
          <w:vertAlign w:val="superscript"/>
          <w:lang w:bidi="he-IL"/>
        </w:rPr>
        <w:footnoteReference w:id="82"/>
      </w:r>
      <w:r w:rsidRPr="00A61532">
        <w:rPr>
          <w:rFonts w:asciiTheme="majorBidi" w:eastAsia="SimSun" w:hAnsiTheme="majorBidi" w:cstheme="majorBidi"/>
          <w:color w:val="000000" w:themeColor="text1"/>
          <w:kern w:val="0"/>
          <w:szCs w:val="24"/>
          <w:lang w:bidi="he-IL"/>
        </w:rPr>
        <w:t xml:space="preserve"> During this period, we had three or more transactions in each year, with an average of 6.6 transactions per year. Table 1 below </w:t>
      </w:r>
      <w:r w:rsidRPr="00A61532">
        <w:rPr>
          <w:rFonts w:asciiTheme="majorBidi" w:eastAsia="SimSun" w:hAnsiTheme="majorBidi" w:cstheme="majorBidi"/>
          <w:kern w:val="0"/>
          <w:szCs w:val="24"/>
          <w:lang w:bidi="he-IL"/>
        </w:rPr>
        <w:t>reports the distribution of the transactions</w:t>
      </w:r>
      <w:r w:rsidRPr="00A61532">
        <w:rPr>
          <w:rFonts w:asciiTheme="majorBidi" w:eastAsia="SimSun" w:hAnsiTheme="majorBidi" w:cstheme="majorBidi"/>
          <w:color w:val="000000" w:themeColor="text1"/>
          <w:kern w:val="0"/>
          <w:szCs w:val="24"/>
          <w:lang w:bidi="he-IL"/>
        </w:rPr>
        <w:t xml:space="preserve"> by year in our entire sample.</w:t>
      </w:r>
    </w:p>
    <w:p w14:paraId="35564284" w14:textId="77777777" w:rsidR="009D5CF4" w:rsidRDefault="009D5CF4">
      <w:pPr>
        <w:widowControl/>
        <w:ind w:firstLine="0"/>
        <w:jc w:val="left"/>
        <w:rPr>
          <w:rFonts w:asciiTheme="majorBidi" w:eastAsia="SimSun" w:hAnsiTheme="majorBidi" w:cstheme="majorBidi"/>
          <w:i/>
          <w:iCs/>
          <w:color w:val="000000" w:themeColor="text1"/>
          <w:kern w:val="0"/>
          <w:szCs w:val="24"/>
          <w:lang w:bidi="he-IL"/>
        </w:rPr>
      </w:pPr>
      <w:r>
        <w:rPr>
          <w:rFonts w:asciiTheme="majorBidi" w:eastAsia="SimSun" w:hAnsiTheme="majorBidi" w:cstheme="majorBidi"/>
          <w:i/>
          <w:iCs/>
          <w:color w:val="000000" w:themeColor="text1"/>
          <w:kern w:val="0"/>
          <w:szCs w:val="24"/>
          <w:lang w:bidi="he-IL"/>
        </w:rPr>
        <w:br w:type="page"/>
      </w:r>
    </w:p>
    <w:p w14:paraId="2482CD96" w14:textId="31959D37" w:rsidR="00C40B42" w:rsidRPr="00A61532" w:rsidRDefault="00763DE6" w:rsidP="00332FE2">
      <w:pPr>
        <w:pStyle w:val="Caption"/>
        <w:rPr>
          <w:rFonts w:asciiTheme="majorBidi" w:eastAsia="SimSun" w:hAnsiTheme="majorBidi" w:cstheme="majorBidi"/>
          <w:color w:val="000000" w:themeColor="text1"/>
          <w:kern w:val="0"/>
          <w:lang w:bidi="he-IL"/>
        </w:rPr>
      </w:pPr>
      <w:bookmarkStart w:id="77" w:name="_Toc47886018"/>
      <w:bookmarkStart w:id="78" w:name="_Toc47873893"/>
      <w:r w:rsidRPr="00332FE2">
        <w:lastRenderedPageBreak/>
        <w:t xml:space="preserve">Table </w:t>
      </w:r>
      <w:r w:rsidR="00B77C00">
        <w:fldChar w:fldCharType="begin"/>
      </w:r>
      <w:r w:rsidR="00B77C00">
        <w:instrText xml:space="preserve"> SEQ Table \* ARABIC </w:instrText>
      </w:r>
      <w:r w:rsidR="00B77C00">
        <w:fldChar w:fldCharType="separate"/>
      </w:r>
      <w:r>
        <w:rPr>
          <w:noProof/>
        </w:rPr>
        <w:t>1</w:t>
      </w:r>
      <w:r w:rsidR="00B77C00">
        <w:rPr>
          <w:noProof/>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Transaction Years</w:t>
      </w:r>
      <w:bookmarkEnd w:id="77"/>
      <w:r w:rsidR="00C40B42" w:rsidRPr="00EC5918">
        <w:rPr>
          <w:rFonts w:asciiTheme="majorBidi" w:eastAsia="SimSun" w:hAnsiTheme="majorBidi"/>
          <w:color w:val="000000" w:themeColor="text1"/>
          <w:kern w:val="0"/>
        </w:rPr>
        <w:t xml:space="preserve"> </w:t>
      </w:r>
      <w:bookmarkEnd w:id="78"/>
    </w:p>
    <w:tbl>
      <w:tblPr>
        <w:tblW w:w="0" w:type="auto"/>
        <w:jc w:val="center"/>
        <w:tblLayout w:type="fixed"/>
        <w:tblLook w:val="04A0" w:firstRow="1" w:lastRow="0" w:firstColumn="1" w:lastColumn="0" w:noHBand="0" w:noVBand="1"/>
      </w:tblPr>
      <w:tblGrid>
        <w:gridCol w:w="450"/>
        <w:gridCol w:w="1170"/>
        <w:gridCol w:w="270"/>
        <w:gridCol w:w="540"/>
        <w:gridCol w:w="1080"/>
      </w:tblGrid>
      <w:tr w:rsidR="00C40B42" w:rsidRPr="00A61532" w14:paraId="78A1A2D6" w14:textId="77777777" w:rsidTr="00C40B42">
        <w:trPr>
          <w:trHeight w:val="285"/>
          <w:jc w:val="center"/>
        </w:trPr>
        <w:tc>
          <w:tcPr>
            <w:tcW w:w="450" w:type="dxa"/>
            <w:tcBorders>
              <w:top w:val="nil"/>
              <w:left w:val="nil"/>
              <w:bottom w:val="double" w:sz="4" w:space="0" w:color="auto"/>
              <w:right w:val="nil"/>
            </w:tcBorders>
            <w:shd w:val="clear" w:color="auto" w:fill="auto"/>
            <w:tcMar>
              <w:left w:w="0" w:type="dxa"/>
              <w:right w:w="0" w:type="dxa"/>
            </w:tcMar>
            <w:vAlign w:val="center"/>
          </w:tcPr>
          <w:p w14:paraId="4915CAEF"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r w:rsidRPr="00A61532">
              <w:rPr>
                <w:rFonts w:asciiTheme="majorBidi" w:eastAsia="SimSun" w:hAnsiTheme="majorBidi" w:cstheme="majorBidi"/>
                <w:b/>
                <w:bCs/>
                <w:color w:val="000000" w:themeColor="text1"/>
                <w:kern w:val="0"/>
                <w:sz w:val="20"/>
                <w:lang w:bidi="he-IL"/>
              </w:rPr>
              <w:t>Year</w:t>
            </w:r>
          </w:p>
        </w:tc>
        <w:tc>
          <w:tcPr>
            <w:tcW w:w="1170" w:type="dxa"/>
            <w:tcBorders>
              <w:top w:val="nil"/>
              <w:left w:val="nil"/>
              <w:bottom w:val="double" w:sz="4" w:space="0" w:color="auto"/>
              <w:right w:val="nil"/>
            </w:tcBorders>
            <w:shd w:val="clear" w:color="auto" w:fill="auto"/>
            <w:tcMar>
              <w:left w:w="0" w:type="dxa"/>
              <w:right w:w="0" w:type="dxa"/>
            </w:tcMar>
            <w:vAlign w:val="center"/>
          </w:tcPr>
          <w:p w14:paraId="6328491C"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r w:rsidRPr="00A61532">
              <w:rPr>
                <w:rFonts w:asciiTheme="majorBidi" w:eastAsia="SimSun" w:hAnsiTheme="majorBidi" w:cstheme="majorBidi"/>
                <w:b/>
                <w:bCs/>
                <w:color w:val="000000" w:themeColor="text1"/>
                <w:kern w:val="0"/>
                <w:sz w:val="20"/>
                <w:lang w:bidi="he-IL"/>
              </w:rPr>
              <w:t>Number of Deals</w:t>
            </w:r>
          </w:p>
        </w:tc>
        <w:tc>
          <w:tcPr>
            <w:tcW w:w="270" w:type="dxa"/>
            <w:tcBorders>
              <w:top w:val="nil"/>
              <w:left w:val="nil"/>
              <w:right w:val="nil"/>
            </w:tcBorders>
            <w:tcMar>
              <w:left w:w="0" w:type="dxa"/>
              <w:right w:w="0" w:type="dxa"/>
            </w:tcMar>
            <w:vAlign w:val="center"/>
          </w:tcPr>
          <w:p w14:paraId="1B899FC6" w14:textId="77777777" w:rsidR="00C40B42" w:rsidRPr="00A61532" w:rsidRDefault="00C40B42" w:rsidP="00C40B42">
            <w:pPr>
              <w:widowControl/>
              <w:ind w:firstLine="0"/>
              <w:jc w:val="center"/>
              <w:rPr>
                <w:rFonts w:asciiTheme="majorBidi" w:eastAsia="SimSun" w:hAnsiTheme="majorBidi" w:cstheme="majorBidi"/>
                <w:b/>
                <w:bCs/>
                <w:color w:val="000000" w:themeColor="text1"/>
                <w:kern w:val="0"/>
                <w:sz w:val="20"/>
                <w:lang w:bidi="he-IL"/>
              </w:rPr>
            </w:pPr>
          </w:p>
        </w:tc>
        <w:tc>
          <w:tcPr>
            <w:tcW w:w="540" w:type="dxa"/>
            <w:tcBorders>
              <w:top w:val="nil"/>
              <w:left w:val="nil"/>
              <w:bottom w:val="double" w:sz="4" w:space="0" w:color="auto"/>
              <w:right w:val="nil"/>
            </w:tcBorders>
            <w:tcMar>
              <w:left w:w="0" w:type="dxa"/>
              <w:right w:w="0" w:type="dxa"/>
            </w:tcMar>
            <w:vAlign w:val="center"/>
          </w:tcPr>
          <w:p w14:paraId="09C3384A" w14:textId="77777777" w:rsidR="00C40B42" w:rsidRPr="00A61532" w:rsidRDefault="00C40B42" w:rsidP="00C40B42">
            <w:pPr>
              <w:widowControl/>
              <w:ind w:firstLine="0"/>
              <w:jc w:val="center"/>
              <w:rPr>
                <w:rFonts w:asciiTheme="majorBidi" w:eastAsia="SimSun" w:hAnsiTheme="majorBidi" w:cstheme="majorBidi"/>
                <w:b/>
                <w:bCs/>
                <w:color w:val="000000" w:themeColor="text1"/>
                <w:kern w:val="0"/>
                <w:sz w:val="20"/>
                <w:lang w:bidi="he-IL"/>
              </w:rPr>
            </w:pPr>
            <w:r w:rsidRPr="00A61532">
              <w:rPr>
                <w:rFonts w:asciiTheme="majorBidi" w:eastAsia="SimSun" w:hAnsiTheme="majorBidi" w:cstheme="majorBidi"/>
                <w:b/>
                <w:bCs/>
                <w:color w:val="000000" w:themeColor="text1"/>
                <w:kern w:val="0"/>
                <w:sz w:val="20"/>
                <w:lang w:bidi="he-IL"/>
              </w:rPr>
              <w:t>Year</w:t>
            </w:r>
          </w:p>
        </w:tc>
        <w:tc>
          <w:tcPr>
            <w:tcW w:w="1080" w:type="dxa"/>
            <w:tcBorders>
              <w:top w:val="nil"/>
              <w:left w:val="nil"/>
              <w:bottom w:val="double" w:sz="4" w:space="0" w:color="auto"/>
              <w:right w:val="nil"/>
            </w:tcBorders>
            <w:tcMar>
              <w:left w:w="0" w:type="dxa"/>
              <w:right w:w="0" w:type="dxa"/>
            </w:tcMar>
            <w:vAlign w:val="center"/>
          </w:tcPr>
          <w:p w14:paraId="0C5A209B" w14:textId="77777777" w:rsidR="00C40B42" w:rsidRPr="00A61532" w:rsidRDefault="00C40B42" w:rsidP="00C40B42">
            <w:pPr>
              <w:widowControl/>
              <w:ind w:firstLine="0"/>
              <w:jc w:val="center"/>
              <w:rPr>
                <w:rFonts w:asciiTheme="majorBidi" w:eastAsia="SimSun" w:hAnsiTheme="majorBidi" w:cstheme="majorBidi"/>
                <w:b/>
                <w:bCs/>
                <w:color w:val="000000" w:themeColor="text1"/>
                <w:kern w:val="0"/>
                <w:sz w:val="20"/>
                <w:lang w:bidi="he-IL"/>
              </w:rPr>
            </w:pPr>
            <w:r w:rsidRPr="00A61532">
              <w:rPr>
                <w:rFonts w:asciiTheme="majorBidi" w:eastAsia="SimSun" w:hAnsiTheme="majorBidi" w:cstheme="majorBidi"/>
                <w:b/>
                <w:bCs/>
                <w:color w:val="000000" w:themeColor="text1"/>
                <w:kern w:val="0"/>
                <w:sz w:val="20"/>
                <w:lang w:bidi="he-IL"/>
              </w:rPr>
              <w:t>Number of Deals</w:t>
            </w:r>
          </w:p>
        </w:tc>
      </w:tr>
      <w:tr w:rsidR="00C40B42" w:rsidRPr="00A61532" w14:paraId="2FEE43DA" w14:textId="77777777" w:rsidTr="00C40B42">
        <w:trPr>
          <w:jc w:val="center"/>
        </w:trPr>
        <w:tc>
          <w:tcPr>
            <w:tcW w:w="450" w:type="dxa"/>
            <w:tcBorders>
              <w:top w:val="double" w:sz="4" w:space="0" w:color="auto"/>
              <w:left w:val="nil"/>
              <w:bottom w:val="nil"/>
              <w:right w:val="nil"/>
            </w:tcBorders>
            <w:tcMar>
              <w:left w:w="0" w:type="dxa"/>
              <w:right w:w="0" w:type="dxa"/>
            </w:tcMar>
          </w:tcPr>
          <w:p w14:paraId="6BF0E559"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2004</w:t>
            </w:r>
          </w:p>
        </w:tc>
        <w:tc>
          <w:tcPr>
            <w:tcW w:w="1170" w:type="dxa"/>
            <w:tcBorders>
              <w:top w:val="double" w:sz="4" w:space="0" w:color="auto"/>
              <w:left w:val="nil"/>
              <w:bottom w:val="nil"/>
              <w:right w:val="nil"/>
            </w:tcBorders>
            <w:tcMar>
              <w:left w:w="0" w:type="dxa"/>
              <w:right w:w="0" w:type="dxa"/>
            </w:tcMar>
          </w:tcPr>
          <w:p w14:paraId="139B800B"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w:t>
            </w:r>
          </w:p>
        </w:tc>
        <w:tc>
          <w:tcPr>
            <w:tcW w:w="270" w:type="dxa"/>
            <w:tcBorders>
              <w:left w:val="nil"/>
              <w:bottom w:val="nil"/>
              <w:right w:val="nil"/>
            </w:tcBorders>
            <w:tcMar>
              <w:left w:w="0" w:type="dxa"/>
              <w:right w:w="0" w:type="dxa"/>
            </w:tcMar>
          </w:tcPr>
          <w:p w14:paraId="4F8BF173"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double" w:sz="4" w:space="0" w:color="auto"/>
              <w:left w:val="nil"/>
              <w:bottom w:val="nil"/>
              <w:right w:val="nil"/>
            </w:tcBorders>
            <w:tcMar>
              <w:left w:w="0" w:type="dxa"/>
              <w:right w:w="0" w:type="dxa"/>
            </w:tcMar>
          </w:tcPr>
          <w:p w14:paraId="46BA9F3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2012</w:t>
            </w:r>
          </w:p>
        </w:tc>
        <w:tc>
          <w:tcPr>
            <w:tcW w:w="1080" w:type="dxa"/>
            <w:tcBorders>
              <w:top w:val="double" w:sz="4" w:space="0" w:color="auto"/>
              <w:left w:val="nil"/>
              <w:bottom w:val="nil"/>
              <w:right w:val="nil"/>
            </w:tcBorders>
            <w:tcMar>
              <w:left w:w="0" w:type="dxa"/>
              <w:right w:w="0" w:type="dxa"/>
            </w:tcMar>
          </w:tcPr>
          <w:p w14:paraId="007BFEE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6</w:t>
            </w:r>
          </w:p>
        </w:tc>
      </w:tr>
      <w:tr w:rsidR="00C40B42" w:rsidRPr="00A61532" w14:paraId="7D04EFED" w14:textId="77777777" w:rsidTr="00C40B42">
        <w:trPr>
          <w:jc w:val="center"/>
        </w:trPr>
        <w:tc>
          <w:tcPr>
            <w:tcW w:w="450" w:type="dxa"/>
            <w:tcBorders>
              <w:top w:val="nil"/>
              <w:left w:val="nil"/>
              <w:bottom w:val="nil"/>
              <w:right w:val="nil"/>
            </w:tcBorders>
            <w:tcMar>
              <w:left w:w="0" w:type="dxa"/>
              <w:right w:w="0" w:type="dxa"/>
            </w:tcMar>
          </w:tcPr>
          <w:p w14:paraId="62ADBF90"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2005</w:t>
            </w:r>
          </w:p>
        </w:tc>
        <w:tc>
          <w:tcPr>
            <w:tcW w:w="1170" w:type="dxa"/>
            <w:tcBorders>
              <w:top w:val="nil"/>
              <w:left w:val="nil"/>
              <w:bottom w:val="nil"/>
              <w:right w:val="nil"/>
            </w:tcBorders>
            <w:tcMar>
              <w:left w:w="0" w:type="dxa"/>
              <w:right w:w="0" w:type="dxa"/>
            </w:tcMar>
          </w:tcPr>
          <w:p w14:paraId="3E9AD396"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10</w:t>
            </w:r>
          </w:p>
        </w:tc>
        <w:tc>
          <w:tcPr>
            <w:tcW w:w="270" w:type="dxa"/>
            <w:tcBorders>
              <w:top w:val="nil"/>
              <w:left w:val="nil"/>
              <w:bottom w:val="nil"/>
              <w:right w:val="nil"/>
            </w:tcBorders>
            <w:tcMar>
              <w:left w:w="0" w:type="dxa"/>
              <w:right w:w="0" w:type="dxa"/>
            </w:tcMar>
          </w:tcPr>
          <w:p w14:paraId="54B40299"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18D49102"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2013</w:t>
            </w:r>
          </w:p>
        </w:tc>
        <w:tc>
          <w:tcPr>
            <w:tcW w:w="1080" w:type="dxa"/>
            <w:tcBorders>
              <w:top w:val="nil"/>
              <w:left w:val="nil"/>
              <w:bottom w:val="nil"/>
              <w:right w:val="nil"/>
            </w:tcBorders>
            <w:tcMar>
              <w:left w:w="0" w:type="dxa"/>
              <w:right w:w="0" w:type="dxa"/>
            </w:tcMar>
          </w:tcPr>
          <w:p w14:paraId="2DCBC302"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8</w:t>
            </w:r>
          </w:p>
        </w:tc>
      </w:tr>
      <w:tr w:rsidR="00C40B42" w:rsidRPr="00A61532" w14:paraId="36E9FF4C" w14:textId="77777777" w:rsidTr="00C40B42">
        <w:trPr>
          <w:jc w:val="center"/>
        </w:trPr>
        <w:tc>
          <w:tcPr>
            <w:tcW w:w="450" w:type="dxa"/>
            <w:tcBorders>
              <w:top w:val="nil"/>
              <w:left w:val="nil"/>
              <w:bottom w:val="nil"/>
              <w:right w:val="nil"/>
            </w:tcBorders>
            <w:tcMar>
              <w:left w:w="0" w:type="dxa"/>
              <w:right w:w="0" w:type="dxa"/>
            </w:tcMar>
          </w:tcPr>
          <w:p w14:paraId="41754CE3"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2006</w:t>
            </w:r>
          </w:p>
        </w:tc>
        <w:tc>
          <w:tcPr>
            <w:tcW w:w="1170" w:type="dxa"/>
            <w:tcBorders>
              <w:top w:val="nil"/>
              <w:left w:val="nil"/>
              <w:bottom w:val="nil"/>
              <w:right w:val="nil"/>
            </w:tcBorders>
            <w:tcMar>
              <w:left w:w="0" w:type="dxa"/>
              <w:right w:w="0" w:type="dxa"/>
            </w:tcMar>
          </w:tcPr>
          <w:p w14:paraId="4C13689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16</w:t>
            </w:r>
          </w:p>
        </w:tc>
        <w:tc>
          <w:tcPr>
            <w:tcW w:w="270" w:type="dxa"/>
            <w:tcBorders>
              <w:top w:val="nil"/>
              <w:left w:val="nil"/>
              <w:bottom w:val="nil"/>
              <w:right w:val="nil"/>
            </w:tcBorders>
            <w:tcMar>
              <w:left w:w="0" w:type="dxa"/>
              <w:right w:w="0" w:type="dxa"/>
            </w:tcMar>
          </w:tcPr>
          <w:p w14:paraId="1FA17288"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0FB38BEC"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2014</w:t>
            </w:r>
          </w:p>
        </w:tc>
        <w:tc>
          <w:tcPr>
            <w:tcW w:w="1080" w:type="dxa"/>
            <w:tcBorders>
              <w:top w:val="nil"/>
              <w:left w:val="nil"/>
              <w:bottom w:val="nil"/>
              <w:right w:val="nil"/>
            </w:tcBorders>
            <w:tcMar>
              <w:left w:w="0" w:type="dxa"/>
              <w:right w:w="0" w:type="dxa"/>
            </w:tcMar>
          </w:tcPr>
          <w:p w14:paraId="760B9F4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4</w:t>
            </w:r>
          </w:p>
        </w:tc>
      </w:tr>
      <w:tr w:rsidR="00C40B42" w:rsidRPr="00A61532" w14:paraId="1318B44A" w14:textId="77777777" w:rsidTr="00C40B42">
        <w:trPr>
          <w:jc w:val="center"/>
        </w:trPr>
        <w:tc>
          <w:tcPr>
            <w:tcW w:w="450" w:type="dxa"/>
            <w:tcBorders>
              <w:top w:val="nil"/>
              <w:left w:val="nil"/>
              <w:bottom w:val="nil"/>
              <w:right w:val="nil"/>
            </w:tcBorders>
            <w:tcMar>
              <w:left w:w="0" w:type="dxa"/>
              <w:right w:w="0" w:type="dxa"/>
            </w:tcMar>
          </w:tcPr>
          <w:p w14:paraId="49F3C95F"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2007</w:t>
            </w:r>
          </w:p>
        </w:tc>
        <w:tc>
          <w:tcPr>
            <w:tcW w:w="1170" w:type="dxa"/>
            <w:tcBorders>
              <w:top w:val="nil"/>
              <w:left w:val="nil"/>
              <w:bottom w:val="nil"/>
              <w:right w:val="nil"/>
            </w:tcBorders>
            <w:tcMar>
              <w:left w:w="0" w:type="dxa"/>
              <w:right w:w="0" w:type="dxa"/>
            </w:tcMar>
          </w:tcPr>
          <w:p w14:paraId="28811549"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15</w:t>
            </w:r>
          </w:p>
        </w:tc>
        <w:tc>
          <w:tcPr>
            <w:tcW w:w="270" w:type="dxa"/>
            <w:tcBorders>
              <w:top w:val="nil"/>
              <w:left w:val="nil"/>
              <w:bottom w:val="nil"/>
              <w:right w:val="nil"/>
            </w:tcBorders>
            <w:tcMar>
              <w:left w:w="0" w:type="dxa"/>
              <w:right w:w="0" w:type="dxa"/>
            </w:tcMar>
          </w:tcPr>
          <w:p w14:paraId="7B1A47D7"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3A42F76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2015</w:t>
            </w:r>
          </w:p>
        </w:tc>
        <w:tc>
          <w:tcPr>
            <w:tcW w:w="1080" w:type="dxa"/>
            <w:tcBorders>
              <w:top w:val="nil"/>
              <w:left w:val="nil"/>
              <w:bottom w:val="nil"/>
              <w:right w:val="nil"/>
            </w:tcBorders>
            <w:tcMar>
              <w:left w:w="0" w:type="dxa"/>
              <w:right w:w="0" w:type="dxa"/>
            </w:tcMar>
          </w:tcPr>
          <w:p w14:paraId="3619B3E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5</w:t>
            </w:r>
          </w:p>
        </w:tc>
      </w:tr>
      <w:tr w:rsidR="00C40B42" w:rsidRPr="00A61532" w14:paraId="36313F8D" w14:textId="77777777" w:rsidTr="00C40B42">
        <w:trPr>
          <w:jc w:val="center"/>
        </w:trPr>
        <w:tc>
          <w:tcPr>
            <w:tcW w:w="450" w:type="dxa"/>
            <w:tcBorders>
              <w:top w:val="nil"/>
              <w:left w:val="nil"/>
              <w:bottom w:val="nil"/>
              <w:right w:val="nil"/>
            </w:tcBorders>
            <w:tcMar>
              <w:left w:w="0" w:type="dxa"/>
              <w:right w:w="0" w:type="dxa"/>
            </w:tcMar>
          </w:tcPr>
          <w:p w14:paraId="35C933E7"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2008</w:t>
            </w:r>
          </w:p>
        </w:tc>
        <w:tc>
          <w:tcPr>
            <w:tcW w:w="1170" w:type="dxa"/>
            <w:tcBorders>
              <w:top w:val="nil"/>
              <w:left w:val="nil"/>
              <w:bottom w:val="nil"/>
              <w:right w:val="nil"/>
            </w:tcBorders>
            <w:tcMar>
              <w:left w:w="0" w:type="dxa"/>
              <w:right w:w="0" w:type="dxa"/>
            </w:tcMar>
          </w:tcPr>
          <w:p w14:paraId="02D90787"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3</w:t>
            </w:r>
          </w:p>
        </w:tc>
        <w:tc>
          <w:tcPr>
            <w:tcW w:w="270" w:type="dxa"/>
            <w:tcBorders>
              <w:top w:val="nil"/>
              <w:left w:val="nil"/>
              <w:bottom w:val="nil"/>
              <w:right w:val="nil"/>
            </w:tcBorders>
            <w:tcMar>
              <w:left w:w="0" w:type="dxa"/>
              <w:right w:w="0" w:type="dxa"/>
            </w:tcMar>
          </w:tcPr>
          <w:p w14:paraId="5B027B04"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09363268"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2016</w:t>
            </w:r>
          </w:p>
        </w:tc>
        <w:tc>
          <w:tcPr>
            <w:tcW w:w="1080" w:type="dxa"/>
            <w:tcBorders>
              <w:top w:val="nil"/>
              <w:left w:val="nil"/>
              <w:bottom w:val="nil"/>
              <w:right w:val="nil"/>
            </w:tcBorders>
            <w:tcMar>
              <w:left w:w="0" w:type="dxa"/>
              <w:right w:w="0" w:type="dxa"/>
            </w:tcMar>
          </w:tcPr>
          <w:p w14:paraId="7F38841D"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3</w:t>
            </w:r>
          </w:p>
        </w:tc>
      </w:tr>
      <w:tr w:rsidR="00C40B42" w:rsidRPr="00A61532" w14:paraId="29503E6D" w14:textId="77777777" w:rsidTr="00C40B42">
        <w:trPr>
          <w:jc w:val="center"/>
        </w:trPr>
        <w:tc>
          <w:tcPr>
            <w:tcW w:w="450" w:type="dxa"/>
            <w:tcBorders>
              <w:top w:val="nil"/>
              <w:left w:val="nil"/>
              <w:bottom w:val="nil"/>
              <w:right w:val="nil"/>
            </w:tcBorders>
            <w:tcMar>
              <w:left w:w="0" w:type="dxa"/>
              <w:right w:w="0" w:type="dxa"/>
            </w:tcMar>
          </w:tcPr>
          <w:p w14:paraId="1A5FD72C"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2009</w:t>
            </w:r>
          </w:p>
        </w:tc>
        <w:tc>
          <w:tcPr>
            <w:tcW w:w="1170" w:type="dxa"/>
            <w:tcBorders>
              <w:top w:val="nil"/>
              <w:left w:val="nil"/>
              <w:bottom w:val="nil"/>
              <w:right w:val="nil"/>
            </w:tcBorders>
            <w:tcMar>
              <w:left w:w="0" w:type="dxa"/>
              <w:right w:w="0" w:type="dxa"/>
            </w:tcMar>
          </w:tcPr>
          <w:p w14:paraId="69CE6961"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w:t>
            </w:r>
          </w:p>
        </w:tc>
        <w:tc>
          <w:tcPr>
            <w:tcW w:w="270" w:type="dxa"/>
            <w:tcBorders>
              <w:top w:val="nil"/>
              <w:left w:val="nil"/>
              <w:bottom w:val="nil"/>
              <w:right w:val="nil"/>
            </w:tcBorders>
            <w:tcMar>
              <w:left w:w="0" w:type="dxa"/>
              <w:right w:w="0" w:type="dxa"/>
            </w:tcMar>
          </w:tcPr>
          <w:p w14:paraId="2EADA97F"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574C3F42"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2017</w:t>
            </w:r>
          </w:p>
        </w:tc>
        <w:tc>
          <w:tcPr>
            <w:tcW w:w="1080" w:type="dxa"/>
            <w:tcBorders>
              <w:top w:val="nil"/>
              <w:left w:val="nil"/>
              <w:bottom w:val="nil"/>
              <w:right w:val="nil"/>
            </w:tcBorders>
            <w:tcMar>
              <w:left w:w="0" w:type="dxa"/>
              <w:right w:w="0" w:type="dxa"/>
            </w:tcMar>
          </w:tcPr>
          <w:p w14:paraId="2323A3D1"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8</w:t>
            </w:r>
          </w:p>
        </w:tc>
      </w:tr>
      <w:tr w:rsidR="00C40B42" w:rsidRPr="00A61532" w14:paraId="566FE279" w14:textId="77777777" w:rsidTr="00C40B42">
        <w:trPr>
          <w:jc w:val="center"/>
        </w:trPr>
        <w:tc>
          <w:tcPr>
            <w:tcW w:w="450" w:type="dxa"/>
            <w:tcBorders>
              <w:top w:val="nil"/>
              <w:left w:val="nil"/>
              <w:bottom w:val="nil"/>
              <w:right w:val="nil"/>
            </w:tcBorders>
            <w:tcMar>
              <w:left w:w="0" w:type="dxa"/>
              <w:right w:w="0" w:type="dxa"/>
            </w:tcMar>
          </w:tcPr>
          <w:p w14:paraId="0677A99A"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2010</w:t>
            </w:r>
          </w:p>
        </w:tc>
        <w:tc>
          <w:tcPr>
            <w:tcW w:w="1170" w:type="dxa"/>
            <w:tcBorders>
              <w:top w:val="nil"/>
              <w:left w:val="nil"/>
              <w:bottom w:val="nil"/>
              <w:right w:val="nil"/>
            </w:tcBorders>
            <w:tcMar>
              <w:left w:w="0" w:type="dxa"/>
              <w:right w:w="0" w:type="dxa"/>
            </w:tcMar>
          </w:tcPr>
          <w:p w14:paraId="37B22FCB"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5</w:t>
            </w:r>
          </w:p>
        </w:tc>
        <w:tc>
          <w:tcPr>
            <w:tcW w:w="270" w:type="dxa"/>
            <w:tcBorders>
              <w:top w:val="nil"/>
              <w:left w:val="nil"/>
              <w:bottom w:val="nil"/>
              <w:right w:val="nil"/>
            </w:tcBorders>
            <w:tcMar>
              <w:left w:w="0" w:type="dxa"/>
              <w:right w:w="0" w:type="dxa"/>
            </w:tcMar>
          </w:tcPr>
          <w:p w14:paraId="49E05716"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3E79C6C0"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2018</w:t>
            </w:r>
          </w:p>
        </w:tc>
        <w:tc>
          <w:tcPr>
            <w:tcW w:w="1080" w:type="dxa"/>
            <w:tcBorders>
              <w:top w:val="nil"/>
              <w:left w:val="nil"/>
              <w:bottom w:val="nil"/>
              <w:right w:val="nil"/>
            </w:tcBorders>
            <w:tcMar>
              <w:left w:w="0" w:type="dxa"/>
              <w:right w:w="0" w:type="dxa"/>
            </w:tcMar>
          </w:tcPr>
          <w:p w14:paraId="60CA92D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5</w:t>
            </w:r>
          </w:p>
        </w:tc>
      </w:tr>
      <w:tr w:rsidR="00C40B42" w:rsidRPr="00A61532" w14:paraId="4D08AC69" w14:textId="77777777" w:rsidTr="00C40B42">
        <w:trPr>
          <w:jc w:val="center"/>
        </w:trPr>
        <w:tc>
          <w:tcPr>
            <w:tcW w:w="450" w:type="dxa"/>
            <w:tcBorders>
              <w:top w:val="nil"/>
              <w:left w:val="nil"/>
              <w:bottom w:val="nil"/>
              <w:right w:val="nil"/>
            </w:tcBorders>
            <w:tcMar>
              <w:left w:w="0" w:type="dxa"/>
              <w:right w:w="0" w:type="dxa"/>
            </w:tcMar>
          </w:tcPr>
          <w:p w14:paraId="1D5027C8"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2011</w:t>
            </w:r>
          </w:p>
        </w:tc>
        <w:tc>
          <w:tcPr>
            <w:tcW w:w="1170" w:type="dxa"/>
            <w:tcBorders>
              <w:top w:val="nil"/>
              <w:left w:val="nil"/>
              <w:bottom w:val="nil"/>
              <w:right w:val="nil"/>
            </w:tcBorders>
            <w:tcMar>
              <w:left w:w="0" w:type="dxa"/>
              <w:right w:w="0" w:type="dxa"/>
            </w:tcMar>
          </w:tcPr>
          <w:p w14:paraId="2712E5B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11</w:t>
            </w:r>
          </w:p>
        </w:tc>
        <w:tc>
          <w:tcPr>
            <w:tcW w:w="270" w:type="dxa"/>
            <w:tcBorders>
              <w:top w:val="nil"/>
              <w:left w:val="nil"/>
              <w:bottom w:val="nil"/>
              <w:right w:val="nil"/>
            </w:tcBorders>
            <w:tcMar>
              <w:left w:w="0" w:type="dxa"/>
              <w:right w:w="0" w:type="dxa"/>
            </w:tcMar>
          </w:tcPr>
          <w:p w14:paraId="1B048BCF"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18743940"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2019</w:t>
            </w:r>
          </w:p>
        </w:tc>
        <w:tc>
          <w:tcPr>
            <w:tcW w:w="1080" w:type="dxa"/>
            <w:tcBorders>
              <w:top w:val="nil"/>
              <w:left w:val="nil"/>
              <w:bottom w:val="nil"/>
              <w:right w:val="nil"/>
            </w:tcBorders>
            <w:tcMar>
              <w:left w:w="0" w:type="dxa"/>
              <w:right w:w="0" w:type="dxa"/>
            </w:tcMar>
          </w:tcPr>
          <w:p w14:paraId="3DC516CE"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3</w:t>
            </w:r>
          </w:p>
        </w:tc>
      </w:tr>
      <w:tr w:rsidR="00C40B42" w:rsidRPr="00A61532" w14:paraId="5DFDCB62" w14:textId="77777777" w:rsidTr="00C40B42">
        <w:trPr>
          <w:jc w:val="center"/>
        </w:trPr>
        <w:tc>
          <w:tcPr>
            <w:tcW w:w="1620" w:type="dxa"/>
            <w:gridSpan w:val="2"/>
            <w:tcBorders>
              <w:top w:val="single" w:sz="4" w:space="0" w:color="auto"/>
              <w:left w:val="nil"/>
              <w:bottom w:val="double" w:sz="4" w:space="0" w:color="auto"/>
              <w:right w:val="nil"/>
            </w:tcBorders>
            <w:shd w:val="clear" w:color="auto" w:fill="auto"/>
            <w:tcMar>
              <w:left w:w="0" w:type="dxa"/>
              <w:right w:w="0" w:type="dxa"/>
            </w:tcMar>
            <w:vAlign w:val="center"/>
          </w:tcPr>
          <w:p w14:paraId="60CB0E3C"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hAnsiTheme="majorBidi" w:cstheme="majorBidi" w:hint="cs"/>
                <w:b/>
                <w:bCs/>
                <w:color w:val="000000" w:themeColor="text1"/>
                <w:kern w:val="0"/>
                <w:sz w:val="20"/>
                <w:lang w:eastAsia="zh-CN" w:bidi="he-IL"/>
              </w:rPr>
              <w:t>T</w:t>
            </w:r>
            <w:r w:rsidRPr="00A61532">
              <w:rPr>
                <w:rFonts w:asciiTheme="majorBidi" w:hAnsiTheme="majorBidi" w:cstheme="majorBidi"/>
                <w:b/>
                <w:bCs/>
                <w:color w:val="000000" w:themeColor="text1"/>
                <w:kern w:val="0"/>
                <w:sz w:val="20"/>
                <w:lang w:eastAsia="zh-CN" w:bidi="he-IL"/>
              </w:rPr>
              <w:t>otal</w:t>
            </w:r>
            <w:r w:rsidRPr="00A61532">
              <w:rPr>
                <w:rFonts w:asciiTheme="majorBidi" w:hAnsiTheme="majorBidi" w:cstheme="majorBidi"/>
                <w:color w:val="000000" w:themeColor="text1"/>
                <w:kern w:val="0"/>
                <w:sz w:val="20"/>
                <w:lang w:eastAsia="zh-CN" w:bidi="he-IL"/>
              </w:rPr>
              <w:t>:</w:t>
            </w:r>
          </w:p>
        </w:tc>
        <w:tc>
          <w:tcPr>
            <w:tcW w:w="270" w:type="dxa"/>
            <w:tcBorders>
              <w:top w:val="single" w:sz="4" w:space="0" w:color="auto"/>
              <w:left w:val="nil"/>
              <w:bottom w:val="double" w:sz="4" w:space="0" w:color="auto"/>
              <w:right w:val="nil"/>
            </w:tcBorders>
            <w:tcMar>
              <w:left w:w="0" w:type="dxa"/>
              <w:right w:w="0" w:type="dxa"/>
            </w:tcMar>
            <w:vAlign w:val="center"/>
          </w:tcPr>
          <w:p w14:paraId="68EE08AF"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1620" w:type="dxa"/>
            <w:gridSpan w:val="2"/>
            <w:tcBorders>
              <w:top w:val="single" w:sz="4" w:space="0" w:color="auto"/>
              <w:left w:val="nil"/>
              <w:bottom w:val="double" w:sz="4" w:space="0" w:color="auto"/>
              <w:right w:val="nil"/>
            </w:tcBorders>
            <w:tcMar>
              <w:left w:w="0" w:type="dxa"/>
              <w:right w:w="0" w:type="dxa"/>
            </w:tcMar>
            <w:vAlign w:val="center"/>
          </w:tcPr>
          <w:p w14:paraId="0ED00934"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r w:rsidRPr="00A61532">
              <w:rPr>
                <w:rFonts w:asciiTheme="majorBidi" w:hAnsiTheme="majorBidi" w:cstheme="majorBidi"/>
                <w:b/>
                <w:bCs/>
                <w:color w:val="000000" w:themeColor="text1"/>
                <w:kern w:val="0"/>
                <w:sz w:val="20"/>
                <w:lang w:eastAsia="zh-CN" w:bidi="he-IL"/>
              </w:rPr>
              <w:t>105</w:t>
            </w:r>
          </w:p>
        </w:tc>
      </w:tr>
      <w:tr w:rsidR="00C40B42" w:rsidRPr="00A61532" w14:paraId="61D9CCF3" w14:textId="77777777" w:rsidTr="00C40B42">
        <w:trPr>
          <w:trHeight w:val="285"/>
          <w:jc w:val="center"/>
        </w:trPr>
        <w:tc>
          <w:tcPr>
            <w:tcW w:w="450" w:type="dxa"/>
            <w:tcBorders>
              <w:left w:val="nil"/>
              <w:right w:val="nil"/>
            </w:tcBorders>
            <w:shd w:val="clear" w:color="auto" w:fill="auto"/>
          </w:tcPr>
          <w:p w14:paraId="6C7050FB" w14:textId="77777777" w:rsidR="00C40B42" w:rsidRPr="00A61532" w:rsidRDefault="00C40B42" w:rsidP="00C40B42">
            <w:pPr>
              <w:widowControl/>
              <w:ind w:firstLine="0"/>
              <w:jc w:val="left"/>
              <w:rPr>
                <w:rFonts w:asciiTheme="majorBidi" w:hAnsiTheme="majorBidi" w:cstheme="majorBidi"/>
                <w:b/>
                <w:bCs/>
                <w:color w:val="000000" w:themeColor="text1"/>
                <w:kern w:val="0"/>
                <w:sz w:val="20"/>
                <w:lang w:eastAsia="zh-CN" w:bidi="he-IL"/>
              </w:rPr>
            </w:pPr>
          </w:p>
        </w:tc>
        <w:tc>
          <w:tcPr>
            <w:tcW w:w="1170" w:type="dxa"/>
            <w:tcBorders>
              <w:left w:val="nil"/>
              <w:right w:val="nil"/>
            </w:tcBorders>
            <w:shd w:val="clear" w:color="auto" w:fill="auto"/>
          </w:tcPr>
          <w:p w14:paraId="2BDF99FB"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270" w:type="dxa"/>
            <w:tcBorders>
              <w:left w:val="nil"/>
              <w:right w:val="nil"/>
            </w:tcBorders>
            <w:tcMar>
              <w:left w:w="0" w:type="dxa"/>
              <w:right w:w="0" w:type="dxa"/>
            </w:tcMar>
          </w:tcPr>
          <w:p w14:paraId="3C230222"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540" w:type="dxa"/>
            <w:tcBorders>
              <w:left w:val="nil"/>
              <w:right w:val="nil"/>
            </w:tcBorders>
            <w:tcMar>
              <w:left w:w="0" w:type="dxa"/>
              <w:right w:w="0" w:type="dxa"/>
            </w:tcMar>
          </w:tcPr>
          <w:p w14:paraId="2615A4ED"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1080" w:type="dxa"/>
            <w:tcBorders>
              <w:left w:val="nil"/>
              <w:right w:val="nil"/>
            </w:tcBorders>
            <w:tcMar>
              <w:left w:w="0" w:type="dxa"/>
              <w:right w:w="0" w:type="dxa"/>
            </w:tcMar>
          </w:tcPr>
          <w:p w14:paraId="2764D205"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r>
    </w:tbl>
    <w:p w14:paraId="7B987CE3" w14:textId="18187A9C"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deal values range between $51.80 million and $70.15 billion, with a mean of $3.05 billion and a median of $395.26 million. </w:t>
      </w:r>
      <w:r w:rsidRPr="00A61532">
        <w:rPr>
          <w:rFonts w:asciiTheme="majorBidi" w:eastAsia="SimSun" w:hAnsiTheme="majorBidi" w:cstheme="majorBidi"/>
          <w:kern w:val="0"/>
          <w:szCs w:val="24"/>
          <w:lang w:bidi="he-IL"/>
        </w:rPr>
        <w:t xml:space="preserve">Five transactions have a deal value greater than $10 billion: </w:t>
      </w:r>
      <w:r w:rsidRPr="00A61532">
        <w:rPr>
          <w:rFonts w:asciiTheme="majorBidi" w:eastAsia="SimSun" w:hAnsiTheme="majorBidi" w:cstheme="majorBidi"/>
          <w:color w:val="000000" w:themeColor="text1"/>
          <w:kern w:val="0"/>
          <w:szCs w:val="24"/>
          <w:lang w:bidi="he-IL"/>
        </w:rPr>
        <w:t xml:space="preserve">EMC ($70.15 billion); TXU ($56.36 billion); Heinz ($30.19 billion); Clear Channel ($33.21 billion); and Biomet ($14.59 billion). Additionally, there are </w:t>
      </w:r>
      <w:r w:rsidRPr="00A61532">
        <w:rPr>
          <w:rFonts w:asciiTheme="majorBidi" w:eastAsia="SimSun" w:hAnsiTheme="majorBidi" w:cstheme="majorBidi"/>
          <w:kern w:val="0"/>
          <w:szCs w:val="24"/>
          <w:lang w:bidi="he-IL"/>
        </w:rPr>
        <w:t xml:space="preserve">four transactions with a value between $5-10 billion; 26 transactions with a value between $1-5 billion; 11 transactions with a value between $0.5-1 billion; and </w:t>
      </w:r>
      <w:r w:rsidRPr="00A61532">
        <w:rPr>
          <w:rFonts w:asciiTheme="majorBidi" w:eastAsia="SimSun" w:hAnsiTheme="majorBidi" w:cstheme="majorBidi"/>
          <w:color w:val="000000" w:themeColor="text1"/>
          <w:kern w:val="0"/>
          <w:szCs w:val="24"/>
          <w:lang w:bidi="he-IL"/>
        </w:rPr>
        <w:t xml:space="preserve">59 transactions valued at less than $500 million. Table </w:t>
      </w:r>
      <w:r w:rsidR="007455C9">
        <w:rPr>
          <w:rFonts w:asciiTheme="majorBidi" w:eastAsia="SimSun" w:hAnsiTheme="majorBidi" w:cstheme="majorBidi"/>
          <w:color w:val="000000" w:themeColor="text1"/>
          <w:kern w:val="0"/>
          <w:szCs w:val="24"/>
          <w:lang w:bidi="he-IL"/>
        </w:rPr>
        <w:t>2</w:t>
      </w:r>
      <w:r w:rsidRPr="00A61532">
        <w:rPr>
          <w:rFonts w:asciiTheme="majorBidi" w:eastAsia="SimSun" w:hAnsiTheme="majorBidi" w:cstheme="majorBidi"/>
          <w:color w:val="000000" w:themeColor="text1"/>
          <w:kern w:val="0"/>
          <w:szCs w:val="24"/>
          <w:lang w:bidi="he-IL"/>
        </w:rPr>
        <w:t xml:space="preserve"> below </w:t>
      </w:r>
      <w:r w:rsidRPr="00A61532">
        <w:rPr>
          <w:rFonts w:asciiTheme="majorBidi" w:eastAsia="SimSun" w:hAnsiTheme="majorBidi" w:cstheme="majorBidi"/>
          <w:kern w:val="0"/>
          <w:szCs w:val="24"/>
          <w:lang w:bidi="he-IL"/>
        </w:rPr>
        <w:t>shows the distribution of the transactions</w:t>
      </w:r>
      <w:r w:rsidRPr="00A61532">
        <w:rPr>
          <w:rFonts w:asciiTheme="majorBidi" w:eastAsia="SimSun" w:hAnsiTheme="majorBidi" w:cstheme="majorBidi"/>
          <w:color w:val="000000" w:themeColor="text1"/>
          <w:kern w:val="0"/>
          <w:szCs w:val="24"/>
          <w:lang w:bidi="he-IL"/>
        </w:rPr>
        <w:t xml:space="preserve"> by deal value in our entire sample.</w:t>
      </w:r>
    </w:p>
    <w:p w14:paraId="23FBFEE9" w14:textId="7E246EE9" w:rsidR="00C40B42" w:rsidRPr="00332FE2" w:rsidRDefault="00763DE6" w:rsidP="00332FE2">
      <w:pPr>
        <w:pStyle w:val="Caption"/>
        <w:rPr>
          <w:rFonts w:asciiTheme="majorBidi" w:eastAsia="SimSun" w:hAnsiTheme="majorBidi"/>
          <w:i w:val="0"/>
          <w:color w:val="000000" w:themeColor="text1"/>
          <w:kern w:val="0"/>
        </w:rPr>
      </w:pPr>
      <w:bookmarkStart w:id="79" w:name="_Toc47886019"/>
      <w:bookmarkStart w:id="80" w:name="_Toc47873894"/>
      <w:r w:rsidRPr="00332FE2">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Pr>
          <w:rFonts w:asciiTheme="majorBidi" w:eastAsia="SimSun" w:hAnsiTheme="majorBidi" w:cstheme="majorBidi"/>
          <w:noProof/>
          <w:color w:val="000000" w:themeColor="text1"/>
          <w:kern w:val="0"/>
          <w:lang w:bidi="he-IL"/>
        </w:rPr>
        <w:t>2</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Transaction Values</w:t>
      </w:r>
      <w:bookmarkEnd w:id="79"/>
      <w:r w:rsidR="00C40B42" w:rsidRPr="00EC5918">
        <w:rPr>
          <w:rFonts w:asciiTheme="majorBidi" w:eastAsia="SimSun" w:hAnsiTheme="majorBidi"/>
          <w:color w:val="000000" w:themeColor="text1"/>
          <w:kern w:val="0"/>
        </w:rPr>
        <w:t xml:space="preserve"> </w:t>
      </w:r>
      <w:bookmarkEnd w:id="80"/>
    </w:p>
    <w:tbl>
      <w:tblPr>
        <w:tblStyle w:val="TableGrid1"/>
        <w:tblW w:w="3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260"/>
      </w:tblGrid>
      <w:tr w:rsidR="00C40B42" w:rsidRPr="00A61532" w14:paraId="4263F542" w14:textId="77777777" w:rsidTr="00C40B42">
        <w:trPr>
          <w:jc w:val="center"/>
        </w:trPr>
        <w:tc>
          <w:tcPr>
            <w:tcW w:w="1260" w:type="dxa"/>
            <w:tcBorders>
              <w:bottom w:val="double" w:sz="4" w:space="0" w:color="auto"/>
            </w:tcBorders>
            <w:tcMar>
              <w:left w:w="0" w:type="dxa"/>
              <w:right w:w="115" w:type="dxa"/>
            </w:tcMar>
            <w:vAlign w:val="center"/>
          </w:tcPr>
          <w:p w14:paraId="156F0099" w14:textId="77777777" w:rsidR="00C40B42" w:rsidRPr="00A61532" w:rsidRDefault="00C40B42" w:rsidP="00C40B42">
            <w:pPr>
              <w:widowControl/>
              <w:ind w:firstLine="0"/>
              <w:jc w:val="center"/>
              <w:rPr>
                <w:rFonts w:asciiTheme="majorBidi" w:hAnsiTheme="majorBidi" w:cstheme="majorBidi"/>
                <w:b/>
                <w:i/>
                <w:iCs/>
                <w:kern w:val="0"/>
                <w:sz w:val="20"/>
              </w:rPr>
            </w:pPr>
            <w:bookmarkStart w:id="81" w:name="_Hlk47663029"/>
            <w:r w:rsidRPr="00A61532">
              <w:rPr>
                <w:rFonts w:asciiTheme="majorBidi" w:hAnsiTheme="majorBidi" w:cstheme="majorBidi"/>
                <w:b/>
                <w:i/>
                <w:iCs/>
                <w:kern w:val="0"/>
                <w:sz w:val="20"/>
              </w:rPr>
              <w:t>Value Range</w:t>
            </w:r>
          </w:p>
        </w:tc>
        <w:tc>
          <w:tcPr>
            <w:tcW w:w="1350" w:type="dxa"/>
            <w:tcBorders>
              <w:bottom w:val="double" w:sz="4" w:space="0" w:color="auto"/>
            </w:tcBorders>
            <w:vAlign w:val="center"/>
          </w:tcPr>
          <w:p w14:paraId="5E7699CA"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Number of Transactions</w:t>
            </w:r>
          </w:p>
        </w:tc>
        <w:tc>
          <w:tcPr>
            <w:tcW w:w="1260" w:type="dxa"/>
            <w:tcBorders>
              <w:bottom w:val="double" w:sz="4" w:space="0" w:color="auto"/>
            </w:tcBorders>
            <w:tcMar>
              <w:left w:w="115" w:type="dxa"/>
              <w:right w:w="0" w:type="dxa"/>
            </w:tcMar>
            <w:vAlign w:val="center"/>
          </w:tcPr>
          <w:p w14:paraId="06F6BAAB" w14:textId="77777777" w:rsidR="00C40B42" w:rsidRPr="00A61532" w:rsidRDefault="00C40B42" w:rsidP="00C40B42">
            <w:pPr>
              <w:widowControl/>
              <w:ind w:firstLine="0"/>
              <w:jc w:val="center"/>
              <w:rPr>
                <w:rFonts w:asciiTheme="majorBidi" w:hAnsiTheme="majorBidi" w:cstheme="majorBidi"/>
                <w:i/>
                <w:iCs/>
                <w:kern w:val="0"/>
                <w:sz w:val="20"/>
              </w:rPr>
            </w:pPr>
            <w:r w:rsidRPr="00A61532">
              <w:rPr>
                <w:rFonts w:asciiTheme="majorBidi" w:hAnsiTheme="majorBidi" w:cstheme="majorBidi"/>
                <w:b/>
                <w:i/>
                <w:iCs/>
                <w:kern w:val="0"/>
                <w:sz w:val="20"/>
              </w:rPr>
              <w:t>% of Transactions</w:t>
            </w:r>
          </w:p>
        </w:tc>
      </w:tr>
      <w:tr w:rsidR="00C40B42" w:rsidRPr="00A61532" w14:paraId="463323BA" w14:textId="77777777" w:rsidTr="00C40B42">
        <w:trPr>
          <w:jc w:val="center"/>
        </w:trPr>
        <w:tc>
          <w:tcPr>
            <w:tcW w:w="1260" w:type="dxa"/>
            <w:tcMar>
              <w:left w:w="0" w:type="dxa"/>
              <w:right w:w="115" w:type="dxa"/>
            </w:tcMar>
          </w:tcPr>
          <w:p w14:paraId="0FC4B53A" w14:textId="77777777" w:rsidR="00C40B42" w:rsidRPr="00A61532" w:rsidRDefault="00C40B42" w:rsidP="00C40B42">
            <w:pPr>
              <w:widowControl/>
              <w:spacing w:before="40"/>
              <w:ind w:firstLine="0"/>
              <w:jc w:val="left"/>
              <w:rPr>
                <w:rFonts w:asciiTheme="majorBidi" w:hAnsiTheme="majorBidi" w:cstheme="majorBidi"/>
                <w:kern w:val="0"/>
                <w:sz w:val="20"/>
              </w:rPr>
            </w:pPr>
            <w:r w:rsidRPr="00A61532">
              <w:rPr>
                <w:rFonts w:asciiTheme="majorBidi" w:hAnsiTheme="majorBidi" w:cstheme="majorBidi"/>
                <w:kern w:val="0"/>
                <w:sz w:val="20"/>
              </w:rPr>
              <w:t>&gt;$10 billion</w:t>
            </w:r>
          </w:p>
        </w:tc>
        <w:tc>
          <w:tcPr>
            <w:tcW w:w="1350" w:type="dxa"/>
          </w:tcPr>
          <w:p w14:paraId="08693A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c>
          <w:tcPr>
            <w:tcW w:w="1260" w:type="dxa"/>
            <w:tcMar>
              <w:left w:w="115" w:type="dxa"/>
              <w:right w:w="0" w:type="dxa"/>
            </w:tcMar>
          </w:tcPr>
          <w:p w14:paraId="47E8B9F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r>
      <w:tr w:rsidR="00C40B42" w:rsidRPr="00A61532" w14:paraId="359FDD65" w14:textId="77777777" w:rsidTr="00C40B42">
        <w:trPr>
          <w:jc w:val="center"/>
        </w:trPr>
        <w:tc>
          <w:tcPr>
            <w:tcW w:w="1260" w:type="dxa"/>
            <w:tcMar>
              <w:left w:w="0" w:type="dxa"/>
              <w:right w:w="115" w:type="dxa"/>
            </w:tcMar>
          </w:tcPr>
          <w:p w14:paraId="32EE7F1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$5-10 billion</w:t>
            </w:r>
          </w:p>
        </w:tc>
        <w:tc>
          <w:tcPr>
            <w:tcW w:w="1350" w:type="dxa"/>
          </w:tcPr>
          <w:p w14:paraId="028EA4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w:t>
            </w:r>
          </w:p>
        </w:tc>
        <w:tc>
          <w:tcPr>
            <w:tcW w:w="1260" w:type="dxa"/>
            <w:tcMar>
              <w:left w:w="115" w:type="dxa"/>
              <w:right w:w="0" w:type="dxa"/>
            </w:tcMar>
          </w:tcPr>
          <w:p w14:paraId="354866E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w:t>
            </w:r>
          </w:p>
        </w:tc>
      </w:tr>
      <w:tr w:rsidR="00C40B42" w:rsidRPr="00A61532" w14:paraId="0E346033" w14:textId="77777777" w:rsidTr="00C40B42">
        <w:trPr>
          <w:jc w:val="center"/>
        </w:trPr>
        <w:tc>
          <w:tcPr>
            <w:tcW w:w="1260" w:type="dxa"/>
            <w:tcMar>
              <w:left w:w="0" w:type="dxa"/>
              <w:right w:w="115" w:type="dxa"/>
            </w:tcMar>
          </w:tcPr>
          <w:p w14:paraId="50FD4EBF"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 xml:space="preserve">$1-5 billion </w:t>
            </w:r>
          </w:p>
        </w:tc>
        <w:tc>
          <w:tcPr>
            <w:tcW w:w="1350" w:type="dxa"/>
          </w:tcPr>
          <w:p w14:paraId="20C2D42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26</w:t>
            </w:r>
          </w:p>
        </w:tc>
        <w:tc>
          <w:tcPr>
            <w:tcW w:w="1260" w:type="dxa"/>
            <w:tcMar>
              <w:left w:w="115" w:type="dxa"/>
              <w:right w:w="0" w:type="dxa"/>
            </w:tcMar>
          </w:tcPr>
          <w:p w14:paraId="6D526D3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w:t>
            </w:r>
          </w:p>
        </w:tc>
      </w:tr>
      <w:tr w:rsidR="00C40B42" w:rsidRPr="00A61532" w14:paraId="47003F4E" w14:textId="77777777" w:rsidTr="00C40B42">
        <w:trPr>
          <w:jc w:val="center"/>
        </w:trPr>
        <w:tc>
          <w:tcPr>
            <w:tcW w:w="1260" w:type="dxa"/>
            <w:tcMar>
              <w:left w:w="0" w:type="dxa"/>
              <w:right w:w="115" w:type="dxa"/>
            </w:tcMar>
          </w:tcPr>
          <w:p w14:paraId="0A5B4532"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$0.5-1 billion</w:t>
            </w:r>
          </w:p>
        </w:tc>
        <w:tc>
          <w:tcPr>
            <w:tcW w:w="1350" w:type="dxa"/>
          </w:tcPr>
          <w:p w14:paraId="6A7A394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11</w:t>
            </w:r>
          </w:p>
        </w:tc>
        <w:tc>
          <w:tcPr>
            <w:tcW w:w="1260" w:type="dxa"/>
            <w:tcMar>
              <w:left w:w="115" w:type="dxa"/>
              <w:right w:w="0" w:type="dxa"/>
            </w:tcMar>
          </w:tcPr>
          <w:p w14:paraId="6DF40F6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r>
      <w:tr w:rsidR="00C40B42" w:rsidRPr="00A61532" w14:paraId="1E00B6B3" w14:textId="77777777" w:rsidTr="00C40B42">
        <w:trPr>
          <w:jc w:val="center"/>
        </w:trPr>
        <w:tc>
          <w:tcPr>
            <w:tcW w:w="1260" w:type="dxa"/>
            <w:tcMar>
              <w:left w:w="0" w:type="dxa"/>
              <w:right w:w="115" w:type="dxa"/>
            </w:tcMar>
          </w:tcPr>
          <w:p w14:paraId="6F897F74" w14:textId="77777777" w:rsidR="00C40B42" w:rsidRPr="00A61532" w:rsidRDefault="00C40B42" w:rsidP="00C40B42">
            <w:pPr>
              <w:widowControl/>
              <w:spacing w:line="276" w:lineRule="auto"/>
              <w:ind w:firstLine="0"/>
              <w:jc w:val="left"/>
              <w:rPr>
                <w:rFonts w:asciiTheme="majorBidi" w:hAnsiTheme="majorBidi" w:cstheme="majorBidi"/>
                <w:kern w:val="0"/>
                <w:sz w:val="20"/>
              </w:rPr>
            </w:pPr>
            <w:r w:rsidRPr="00A61532">
              <w:rPr>
                <w:rFonts w:asciiTheme="majorBidi" w:hAnsiTheme="majorBidi" w:cstheme="majorBidi"/>
                <w:kern w:val="0"/>
                <w:sz w:val="20"/>
              </w:rPr>
              <w:t>&lt;$500m</w:t>
            </w:r>
          </w:p>
        </w:tc>
        <w:tc>
          <w:tcPr>
            <w:tcW w:w="1350" w:type="dxa"/>
          </w:tcPr>
          <w:p w14:paraId="08EB89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59</w:t>
            </w:r>
          </w:p>
        </w:tc>
        <w:tc>
          <w:tcPr>
            <w:tcW w:w="1260" w:type="dxa"/>
            <w:tcMar>
              <w:left w:w="115" w:type="dxa"/>
              <w:right w:w="0" w:type="dxa"/>
            </w:tcMar>
          </w:tcPr>
          <w:p w14:paraId="4F056B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56%</w:t>
            </w:r>
          </w:p>
        </w:tc>
      </w:tr>
      <w:tr w:rsidR="00C40B42" w:rsidRPr="00A61532" w14:paraId="50245C26" w14:textId="77777777" w:rsidTr="00C40B42">
        <w:trPr>
          <w:jc w:val="center"/>
        </w:trPr>
        <w:tc>
          <w:tcPr>
            <w:tcW w:w="1260" w:type="dxa"/>
            <w:tcBorders>
              <w:top w:val="single" w:sz="4" w:space="0" w:color="auto"/>
              <w:bottom w:val="double" w:sz="4" w:space="0" w:color="auto"/>
            </w:tcBorders>
            <w:tcMar>
              <w:left w:w="0" w:type="dxa"/>
              <w:right w:w="115" w:type="dxa"/>
            </w:tcMar>
          </w:tcPr>
          <w:p w14:paraId="1C6DA541" w14:textId="77777777" w:rsidR="00C40B42" w:rsidRPr="00A61532" w:rsidRDefault="00C40B42" w:rsidP="00C40B42">
            <w:pPr>
              <w:widowControl/>
              <w:ind w:firstLine="0"/>
              <w:rPr>
                <w:rFonts w:asciiTheme="majorBidi" w:hAnsiTheme="majorBidi" w:cstheme="majorBidi"/>
                <w:b/>
                <w:bCs/>
                <w:kern w:val="0"/>
                <w:sz w:val="20"/>
              </w:rPr>
            </w:pPr>
            <w:r w:rsidRPr="00A61532">
              <w:rPr>
                <w:rFonts w:asciiTheme="majorBidi" w:hAnsiTheme="majorBidi" w:cstheme="majorBidi"/>
                <w:b/>
                <w:bCs/>
                <w:kern w:val="0"/>
                <w:sz w:val="20"/>
              </w:rPr>
              <w:t xml:space="preserve">Total </w:t>
            </w:r>
          </w:p>
        </w:tc>
        <w:tc>
          <w:tcPr>
            <w:tcW w:w="1350" w:type="dxa"/>
            <w:tcBorders>
              <w:top w:val="single" w:sz="4" w:space="0" w:color="auto"/>
              <w:bottom w:val="double" w:sz="4" w:space="0" w:color="auto"/>
            </w:tcBorders>
          </w:tcPr>
          <w:p w14:paraId="3569793E"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105</w:t>
            </w:r>
          </w:p>
        </w:tc>
        <w:tc>
          <w:tcPr>
            <w:tcW w:w="1260" w:type="dxa"/>
            <w:tcBorders>
              <w:top w:val="single" w:sz="4" w:space="0" w:color="auto"/>
              <w:bottom w:val="double" w:sz="4" w:space="0" w:color="auto"/>
            </w:tcBorders>
            <w:tcMar>
              <w:left w:w="115" w:type="dxa"/>
              <w:right w:w="0" w:type="dxa"/>
            </w:tcMar>
          </w:tcPr>
          <w:p w14:paraId="2A5D1611"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100%</w:t>
            </w:r>
          </w:p>
        </w:tc>
      </w:tr>
    </w:tbl>
    <w:p w14:paraId="1DEFECB5" w14:textId="77777777" w:rsidR="00C40B42" w:rsidRPr="00A61532" w:rsidRDefault="00C40B42" w:rsidP="00C40B42">
      <w:pPr>
        <w:pStyle w:val="Heading3"/>
        <w:rPr>
          <w:lang w:bidi="he-IL"/>
        </w:rPr>
      </w:pPr>
      <w:bookmarkStart w:id="82" w:name="_Toc47665941"/>
      <w:bookmarkStart w:id="83" w:name="_Toc47665942"/>
      <w:bookmarkStart w:id="84" w:name="_Toc47665943"/>
      <w:bookmarkStart w:id="85" w:name="_Toc47665944"/>
      <w:bookmarkStart w:id="86" w:name="_Toc47665946"/>
      <w:bookmarkStart w:id="87" w:name="_Toc47665947"/>
      <w:bookmarkStart w:id="88" w:name="_Toc47665948"/>
      <w:bookmarkStart w:id="89" w:name="_Toc47665950"/>
      <w:bookmarkStart w:id="90" w:name="_Toc47665951"/>
      <w:bookmarkStart w:id="91" w:name="_Toc47665952"/>
      <w:bookmarkStart w:id="92" w:name="_Toc47665954"/>
      <w:bookmarkStart w:id="93" w:name="_Toc47665955"/>
      <w:bookmarkStart w:id="94" w:name="_Toc47665956"/>
      <w:bookmarkStart w:id="95" w:name="_Toc47665958"/>
      <w:bookmarkStart w:id="96" w:name="_Toc47665959"/>
      <w:bookmarkStart w:id="97" w:name="_Toc47665960"/>
      <w:bookmarkStart w:id="98" w:name="_Toc47665962"/>
      <w:bookmarkStart w:id="99" w:name="_Toc47665963"/>
      <w:bookmarkStart w:id="100" w:name="_Toc47665964"/>
      <w:bookmarkStart w:id="101" w:name="_Toc47665966"/>
      <w:bookmarkStart w:id="102" w:name="_Toc47665967"/>
      <w:bookmarkStart w:id="103" w:name="_Toc47665968"/>
      <w:bookmarkStart w:id="104" w:name="_Toc47616586"/>
      <w:bookmarkStart w:id="105" w:name="_Toc47665970"/>
      <w:bookmarkStart w:id="106" w:name="_Toc4788599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A61532">
        <w:rPr>
          <w:lang w:bidi="he-IL"/>
        </w:rPr>
        <w:t>States of Incorporation</w:t>
      </w:r>
      <w:bookmarkEnd w:id="104"/>
      <w:bookmarkEnd w:id="105"/>
      <w:bookmarkEnd w:id="106"/>
    </w:p>
    <w:p w14:paraId="1858997F" w14:textId="73A8C917" w:rsidR="00C40B42" w:rsidRPr="00A61532" w:rsidRDefault="00C40B42" w:rsidP="00C40B42">
      <w:pPr>
        <w:widowControl/>
        <w:spacing w:before="240"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target companies in our sample were incorporated in eighteen different states. Table </w:t>
      </w:r>
      <w:r w:rsidR="007455C9">
        <w:rPr>
          <w:rFonts w:asciiTheme="majorBidi" w:eastAsia="SimSun" w:hAnsiTheme="majorBidi" w:cstheme="majorBidi"/>
          <w:color w:val="000000" w:themeColor="text1"/>
          <w:kern w:val="0"/>
          <w:szCs w:val="24"/>
          <w:lang w:bidi="he-IL"/>
        </w:rPr>
        <w:t>3</w:t>
      </w:r>
      <w:r w:rsidRPr="00A61532">
        <w:rPr>
          <w:rFonts w:asciiTheme="majorBidi" w:eastAsia="SimSun" w:hAnsiTheme="majorBidi" w:cstheme="majorBidi"/>
          <w:color w:val="000000" w:themeColor="text1"/>
          <w:kern w:val="0"/>
          <w:szCs w:val="24"/>
          <w:lang w:bidi="he-IL"/>
        </w:rPr>
        <w:t xml:space="preserve"> below lists all the states for which we have identified deals that match our criteria. For each state, it reports the number of the matching deals. There are nine states that are represented with five or more deals: </w:t>
      </w:r>
      <w:r w:rsidRPr="00A61532">
        <w:rPr>
          <w:rFonts w:asciiTheme="majorBidi" w:eastAsia="SimSun" w:hAnsiTheme="majorBidi" w:cstheme="majorBidi"/>
          <w:kern w:val="0"/>
          <w:szCs w:val="24"/>
          <w:lang w:bidi="he-IL"/>
        </w:rPr>
        <w:t>Florida (13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Nevada (12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Pennsylvania (12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Massachusetts (10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Ohio (10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Texas (8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Wisconsin (8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New York (7 deals),</w:t>
      </w:r>
      <w:r w:rsidRPr="00A61532">
        <w:rPr>
          <w:rFonts w:asciiTheme="majorBidi" w:eastAsia="SimSun" w:hAnsiTheme="majorBidi" w:cstheme="majorBidi"/>
          <w:color w:val="000000" w:themeColor="text1"/>
          <w:kern w:val="0"/>
          <w:szCs w:val="24"/>
          <w:lang w:bidi="he-IL"/>
        </w:rPr>
        <w:t xml:space="preserve"> and </w:t>
      </w:r>
      <w:r w:rsidRPr="00A61532">
        <w:rPr>
          <w:rFonts w:asciiTheme="majorBidi" w:eastAsia="SimSun" w:hAnsiTheme="majorBidi" w:cstheme="majorBidi"/>
          <w:kern w:val="0"/>
          <w:szCs w:val="24"/>
          <w:lang w:bidi="he-IL"/>
        </w:rPr>
        <w:t>Minnesota (6 deals).</w:t>
      </w:r>
    </w:p>
    <w:p w14:paraId="1A056A64" w14:textId="2D37632E"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lastRenderedPageBreak/>
        <w:t xml:space="preserve">We also provide in Table </w:t>
      </w:r>
      <w:r w:rsidR="007455C9">
        <w:rPr>
          <w:rFonts w:asciiTheme="majorBidi" w:eastAsia="SimSun" w:hAnsiTheme="majorBidi" w:cstheme="majorBidi"/>
          <w:kern w:val="0"/>
          <w:szCs w:val="24"/>
          <w:lang w:bidi="he-IL"/>
        </w:rPr>
        <w:t>3</w:t>
      </w:r>
      <w:r w:rsidRPr="00A61532">
        <w:rPr>
          <w:rFonts w:asciiTheme="majorBidi" w:eastAsia="SimSun" w:hAnsiTheme="majorBidi" w:cstheme="majorBidi"/>
          <w:kern w:val="0"/>
          <w:szCs w:val="24"/>
          <w:lang w:bidi="he-IL"/>
        </w:rPr>
        <w:t xml:space="preserve"> the year in which each state has adopted its constituency statute. In all of the states except two, the constituency statutes were in force throughout the entire period of our study, and therefore applied to all the acquisitions of companies in these states. The exceptions to this are Louisiana, which repealed its constituency statute in 2015, and Texas, which adopted its constituency statute only in 2006. We therefore only included in the sample acquisitions of Louisiana companies completed prior to 2015, as well as acquisitions of Texas </w:t>
      </w:r>
      <w:r w:rsidR="00A1265C">
        <w:rPr>
          <w:rFonts w:asciiTheme="majorBidi" w:eastAsia="SimSun" w:hAnsiTheme="majorBidi" w:cstheme="majorBidi"/>
          <w:kern w:val="0"/>
          <w:szCs w:val="24"/>
          <w:lang w:bidi="he-IL"/>
        </w:rPr>
        <w:t xml:space="preserve">companies </w:t>
      </w:r>
      <w:r w:rsidRPr="00A61532">
        <w:rPr>
          <w:rFonts w:asciiTheme="majorBidi" w:eastAsia="SimSun" w:hAnsiTheme="majorBidi" w:cstheme="majorBidi"/>
          <w:kern w:val="0"/>
          <w:szCs w:val="24"/>
          <w:lang w:bidi="he-IL"/>
        </w:rPr>
        <w:t>signed and closed in or after 2006.</w:t>
      </w:r>
    </w:p>
    <w:p w14:paraId="5CCF3C38" w14:textId="40E49DDF"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In the Table, we also indicate the attitude of each state towards </w:t>
      </w:r>
      <w:r w:rsidRPr="00A61532">
        <w:rPr>
          <w:rFonts w:asciiTheme="majorBidi" w:eastAsia="SimSun" w:hAnsiTheme="majorBidi" w:cstheme="majorBidi"/>
          <w:i/>
          <w:iCs/>
          <w:kern w:val="0"/>
          <w:szCs w:val="24"/>
          <w:lang w:bidi="he-IL"/>
        </w:rPr>
        <w:t>Revlon</w:t>
      </w:r>
      <w:r w:rsidRPr="00A61532">
        <w:rPr>
          <w:rFonts w:asciiTheme="majorBidi" w:eastAsia="SimSun" w:hAnsiTheme="majorBidi" w:cstheme="majorBidi"/>
          <w:kern w:val="0"/>
          <w:szCs w:val="24"/>
          <w:lang w:bidi="he-IL"/>
        </w:rPr>
        <w:t>, the Delaware case that establishes that when a sale of a company becomes “inevitable,” the duty of the board of directors is to maximize shareholder value.</w:t>
      </w:r>
      <w:r w:rsidRPr="00A61532">
        <w:rPr>
          <w:rFonts w:asciiTheme="majorBidi" w:eastAsia="SimSun" w:hAnsiTheme="majorBidi" w:cstheme="majorBidi"/>
          <w:kern w:val="0"/>
          <w:szCs w:val="24"/>
          <w:vertAlign w:val="superscript"/>
          <w:lang w:bidi="he-IL"/>
        </w:rPr>
        <w:footnoteReference w:id="83"/>
      </w:r>
      <w:r w:rsidRPr="00A61532">
        <w:rPr>
          <w:rFonts w:asciiTheme="majorBidi" w:eastAsia="SimSun" w:hAnsiTheme="majorBidi" w:cstheme="majorBidi"/>
          <w:kern w:val="0"/>
          <w:szCs w:val="24"/>
          <w:lang w:bidi="he-IL"/>
        </w:rPr>
        <w:t xml:space="preserve"> It might be argued that the acceptance of this doctrine by a state might limit the extent to which corporate leaders are willing to use their power to protect stakeholders. As we will discuss in Part V, and as the empirical analysis of Part IV will show, Revlon does not seem to affect the extent to which corporate leaders protect stakeholders; for completeness, however, we take this into account in our analysis.</w:t>
      </w:r>
    </w:p>
    <w:p w14:paraId="15460B89" w14:textId="6F1AF8A4"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determine the applicability of Revlon in states outside Delaware, we rely on the study by </w:t>
      </w:r>
      <w:r w:rsidRPr="00A61532">
        <w:rPr>
          <w:rFonts w:asciiTheme="majorBidi" w:hAnsiTheme="majorBidi" w:cstheme="majorBidi"/>
        </w:rPr>
        <w:t>Matthew Cain, Stephen McKeon, and Steven Davidoff Solomon.</w:t>
      </w:r>
      <w:r w:rsidRPr="00A61532">
        <w:rPr>
          <w:rStyle w:val="FootnoteReference"/>
          <w:rFonts w:asciiTheme="majorBidi" w:hAnsiTheme="majorBidi" w:cstheme="majorBidi"/>
        </w:rPr>
        <w:footnoteReference w:id="84"/>
      </w:r>
      <w:r w:rsidRPr="00A61532">
        <w:rPr>
          <w:rFonts w:asciiTheme="majorBidi" w:eastAsia="SimSun" w:hAnsiTheme="majorBidi" w:cstheme="majorBidi"/>
          <w:kern w:val="0"/>
          <w:szCs w:val="24"/>
          <w:lang w:bidi="he-IL"/>
        </w:rPr>
        <w:t xml:space="preserve"> In six of the states represented in our dataset, the Revlon doctrine was rejected by an explicit court decision. In nine states, no court opined on this issue, and therefore there is no indication about its applicability in these jurisdictions. Only in three states, which represent about 12% of the deals in our sample, the Revlon doctrine was explicitly adopted by a judicial ruling. </w:t>
      </w:r>
    </w:p>
    <w:p w14:paraId="3B353C6B" w14:textId="1D895CC4" w:rsidR="00C40B42" w:rsidRPr="00A61532" w:rsidRDefault="00C40B42" w:rsidP="00C40B42">
      <w:pPr>
        <w:widowControl/>
        <w:spacing w:after="160"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examine whether our results are affected by the potential presence of Revlon, we report separately for </w:t>
      </w:r>
      <w:r w:rsidR="004A7F4E">
        <w:rPr>
          <w:rFonts w:asciiTheme="majorBidi" w:eastAsia="SimSun" w:hAnsiTheme="majorBidi" w:cstheme="majorBidi"/>
          <w:kern w:val="0"/>
          <w:szCs w:val="24"/>
          <w:lang w:bidi="he-IL"/>
        </w:rPr>
        <w:t xml:space="preserve">the </w:t>
      </w:r>
      <w:r w:rsidRPr="00A61532">
        <w:rPr>
          <w:rFonts w:asciiTheme="majorBidi" w:eastAsia="SimSun" w:hAnsiTheme="majorBidi" w:cstheme="majorBidi"/>
          <w:kern w:val="0"/>
          <w:szCs w:val="24"/>
          <w:lang w:bidi="he-IL"/>
        </w:rPr>
        <w:t>deals in states that explicitly rejected Revlon (“ERR deals”), and the other deals (“Non-ERR deals”).</w:t>
      </w:r>
    </w:p>
    <w:p w14:paraId="045BB0D0" w14:textId="39B87C22" w:rsidR="00C40B42" w:rsidRPr="00332FE2" w:rsidRDefault="00763DE6" w:rsidP="00332FE2">
      <w:pPr>
        <w:pStyle w:val="Caption"/>
        <w:rPr>
          <w:rFonts w:asciiTheme="majorBidi" w:eastAsia="SimSun" w:hAnsiTheme="majorBidi"/>
          <w:i w:val="0"/>
          <w:color w:val="000000" w:themeColor="text1"/>
          <w:kern w:val="0"/>
        </w:rPr>
      </w:pPr>
      <w:bookmarkStart w:id="107" w:name="_Toc47873895"/>
      <w:bookmarkStart w:id="108" w:name="_Toc47886020"/>
      <w:r w:rsidRPr="00332FE2">
        <w:t xml:space="preserve">Table </w:t>
      </w:r>
      <w:r w:rsidR="00B77C00">
        <w:fldChar w:fldCharType="begin"/>
      </w:r>
      <w:r w:rsidR="00B77C00">
        <w:instrText xml:space="preserve"> SEQ Table \* ARABIC </w:instrText>
      </w:r>
      <w:r w:rsidR="00B77C00">
        <w:fldChar w:fldCharType="separate"/>
      </w:r>
      <w:r>
        <w:rPr>
          <w:noProof/>
        </w:rPr>
        <w:t>3</w:t>
      </w:r>
      <w:r w:rsidR="00B77C00">
        <w:rPr>
          <w:noProof/>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Revlon and Constituency Statutes Across States</w:t>
      </w:r>
      <w:bookmarkEnd w:id="107"/>
      <w:bookmarkEnd w:id="108"/>
    </w:p>
    <w:tbl>
      <w:tblPr>
        <w:tblStyle w:val="TableGrid1"/>
        <w:tblW w:w="4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990"/>
        <w:gridCol w:w="1260"/>
      </w:tblGrid>
      <w:tr w:rsidR="00C40B42" w:rsidRPr="00A61532" w14:paraId="0DD0B99E" w14:textId="77777777" w:rsidTr="00C40B42">
        <w:trPr>
          <w:jc w:val="center"/>
        </w:trPr>
        <w:tc>
          <w:tcPr>
            <w:tcW w:w="1980" w:type="dxa"/>
            <w:tcBorders>
              <w:bottom w:val="double" w:sz="4" w:space="0" w:color="auto"/>
            </w:tcBorders>
            <w:tcMar>
              <w:left w:w="0" w:type="dxa"/>
              <w:right w:w="0" w:type="dxa"/>
            </w:tcMar>
            <w:vAlign w:val="center"/>
          </w:tcPr>
          <w:p w14:paraId="4C9ACA2B"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State</w:t>
            </w:r>
          </w:p>
        </w:tc>
        <w:tc>
          <w:tcPr>
            <w:tcW w:w="990" w:type="dxa"/>
            <w:tcBorders>
              <w:bottom w:val="double" w:sz="4" w:space="0" w:color="auto"/>
            </w:tcBorders>
            <w:tcMar>
              <w:left w:w="0" w:type="dxa"/>
              <w:right w:w="0" w:type="dxa"/>
            </w:tcMar>
            <w:vAlign w:val="center"/>
          </w:tcPr>
          <w:p w14:paraId="694AACB5"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Number of Deals</w:t>
            </w:r>
          </w:p>
        </w:tc>
        <w:tc>
          <w:tcPr>
            <w:tcW w:w="1260" w:type="dxa"/>
            <w:tcBorders>
              <w:bottom w:val="double" w:sz="4" w:space="0" w:color="auto"/>
            </w:tcBorders>
            <w:tcMar>
              <w:left w:w="0" w:type="dxa"/>
              <w:right w:w="0" w:type="dxa"/>
            </w:tcMar>
            <w:vAlign w:val="center"/>
          </w:tcPr>
          <w:p w14:paraId="70D09AD4" w14:textId="77777777" w:rsidR="00C40B42" w:rsidRPr="00A61532" w:rsidRDefault="00C40B42" w:rsidP="00C40B42">
            <w:pPr>
              <w:widowControl/>
              <w:ind w:firstLine="0"/>
              <w:jc w:val="center"/>
              <w:rPr>
                <w:rFonts w:asciiTheme="majorBidi" w:hAnsiTheme="majorBidi" w:cstheme="majorBidi"/>
                <w:i/>
                <w:iCs/>
                <w:kern w:val="0"/>
                <w:sz w:val="20"/>
              </w:rPr>
            </w:pPr>
            <w:r w:rsidRPr="00A61532">
              <w:rPr>
                <w:rFonts w:asciiTheme="majorBidi" w:hAnsiTheme="majorBidi" w:cstheme="majorBidi"/>
                <w:b/>
                <w:i/>
                <w:iCs/>
                <w:kern w:val="0"/>
                <w:sz w:val="20"/>
              </w:rPr>
              <w:t>CS Adoption Year</w:t>
            </w:r>
          </w:p>
        </w:tc>
      </w:tr>
      <w:tr w:rsidR="00C40B42" w:rsidRPr="00A61532" w14:paraId="7BD8A76D" w14:textId="77777777" w:rsidTr="00C40B42">
        <w:trPr>
          <w:jc w:val="center"/>
        </w:trPr>
        <w:tc>
          <w:tcPr>
            <w:tcW w:w="1980" w:type="dxa"/>
            <w:tcBorders>
              <w:top w:val="double" w:sz="4" w:space="0" w:color="auto"/>
            </w:tcBorders>
            <w:tcMar>
              <w:left w:w="0" w:type="dxa"/>
              <w:right w:w="0" w:type="dxa"/>
            </w:tcMar>
          </w:tcPr>
          <w:p w14:paraId="1B6DACF4" w14:textId="77777777" w:rsidR="00C40B42" w:rsidRPr="00A61532" w:rsidRDefault="00C40B42" w:rsidP="00C40B42">
            <w:pPr>
              <w:widowControl/>
              <w:spacing w:beforeLines="40" w:before="96"/>
              <w:ind w:firstLine="0"/>
              <w:jc w:val="left"/>
              <w:rPr>
                <w:rFonts w:asciiTheme="majorBidi" w:hAnsiTheme="majorBidi" w:cstheme="majorBidi"/>
                <w:kern w:val="0"/>
                <w:sz w:val="20"/>
              </w:rPr>
            </w:pPr>
            <w:r w:rsidRPr="00A61532">
              <w:rPr>
                <w:rFonts w:asciiTheme="majorBidi" w:hAnsiTheme="majorBidi" w:cstheme="majorBidi"/>
                <w:kern w:val="0"/>
                <w:sz w:val="20"/>
              </w:rPr>
              <w:t>Indiana</w:t>
            </w:r>
          </w:p>
        </w:tc>
        <w:tc>
          <w:tcPr>
            <w:tcW w:w="990" w:type="dxa"/>
            <w:tcBorders>
              <w:top w:val="double" w:sz="4" w:space="0" w:color="auto"/>
            </w:tcBorders>
            <w:tcMar>
              <w:left w:w="0" w:type="dxa"/>
              <w:right w:w="0" w:type="dxa"/>
            </w:tcMar>
          </w:tcPr>
          <w:p w14:paraId="5990DC37"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4</w:t>
            </w:r>
          </w:p>
        </w:tc>
        <w:tc>
          <w:tcPr>
            <w:tcW w:w="1260" w:type="dxa"/>
            <w:tcBorders>
              <w:top w:val="double" w:sz="4" w:space="0" w:color="auto"/>
            </w:tcBorders>
            <w:tcMar>
              <w:left w:w="0" w:type="dxa"/>
              <w:right w:w="0" w:type="dxa"/>
            </w:tcMar>
          </w:tcPr>
          <w:p w14:paraId="255D0013"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1986</w:t>
            </w:r>
          </w:p>
        </w:tc>
      </w:tr>
      <w:tr w:rsidR="00C40B42" w:rsidRPr="00A61532" w14:paraId="78500EFC" w14:textId="77777777" w:rsidTr="00C40B42">
        <w:trPr>
          <w:jc w:val="center"/>
        </w:trPr>
        <w:tc>
          <w:tcPr>
            <w:tcW w:w="1980" w:type="dxa"/>
            <w:tcMar>
              <w:left w:w="0" w:type="dxa"/>
              <w:right w:w="0" w:type="dxa"/>
            </w:tcMar>
          </w:tcPr>
          <w:p w14:paraId="419BE83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Nevada</w:t>
            </w:r>
          </w:p>
        </w:tc>
        <w:tc>
          <w:tcPr>
            <w:tcW w:w="990" w:type="dxa"/>
            <w:tcMar>
              <w:left w:w="0" w:type="dxa"/>
              <w:right w:w="0" w:type="dxa"/>
            </w:tcMar>
          </w:tcPr>
          <w:p w14:paraId="1528B4A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260" w:type="dxa"/>
            <w:tcMar>
              <w:left w:w="0" w:type="dxa"/>
              <w:right w:w="0" w:type="dxa"/>
            </w:tcMar>
          </w:tcPr>
          <w:p w14:paraId="55A6BA9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1991</w:t>
            </w:r>
          </w:p>
        </w:tc>
      </w:tr>
      <w:tr w:rsidR="00C40B42" w:rsidRPr="00A61532" w14:paraId="6A7AB299" w14:textId="77777777" w:rsidTr="00C40B42">
        <w:trPr>
          <w:jc w:val="center"/>
        </w:trPr>
        <w:tc>
          <w:tcPr>
            <w:tcW w:w="1980" w:type="dxa"/>
            <w:tcMar>
              <w:left w:w="0" w:type="dxa"/>
              <w:right w:w="0" w:type="dxa"/>
            </w:tcMar>
          </w:tcPr>
          <w:p w14:paraId="325BD03C"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New York</w:t>
            </w:r>
          </w:p>
        </w:tc>
        <w:tc>
          <w:tcPr>
            <w:tcW w:w="990" w:type="dxa"/>
            <w:tcMar>
              <w:left w:w="0" w:type="dxa"/>
              <w:right w:w="0" w:type="dxa"/>
            </w:tcMar>
          </w:tcPr>
          <w:p w14:paraId="07505CD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w:t>
            </w:r>
          </w:p>
        </w:tc>
        <w:tc>
          <w:tcPr>
            <w:tcW w:w="1260" w:type="dxa"/>
            <w:tcMar>
              <w:left w:w="0" w:type="dxa"/>
              <w:right w:w="0" w:type="dxa"/>
            </w:tcMar>
          </w:tcPr>
          <w:p w14:paraId="3106BC8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1987</w:t>
            </w:r>
          </w:p>
        </w:tc>
      </w:tr>
      <w:tr w:rsidR="00C40B42" w:rsidRPr="00A61532" w14:paraId="36E48F4F" w14:textId="77777777" w:rsidTr="00C40B42">
        <w:trPr>
          <w:jc w:val="center"/>
        </w:trPr>
        <w:tc>
          <w:tcPr>
            <w:tcW w:w="1980" w:type="dxa"/>
            <w:tcMar>
              <w:left w:w="0" w:type="dxa"/>
              <w:right w:w="0" w:type="dxa"/>
            </w:tcMar>
          </w:tcPr>
          <w:p w14:paraId="00227C97"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Ohio</w:t>
            </w:r>
          </w:p>
        </w:tc>
        <w:tc>
          <w:tcPr>
            <w:tcW w:w="990" w:type="dxa"/>
            <w:tcMar>
              <w:left w:w="0" w:type="dxa"/>
              <w:right w:w="0" w:type="dxa"/>
            </w:tcMar>
          </w:tcPr>
          <w:p w14:paraId="46125AA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c>
          <w:tcPr>
            <w:tcW w:w="1260" w:type="dxa"/>
            <w:tcMar>
              <w:left w:w="0" w:type="dxa"/>
              <w:right w:w="0" w:type="dxa"/>
            </w:tcMar>
          </w:tcPr>
          <w:p w14:paraId="492BF86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1984</w:t>
            </w:r>
          </w:p>
        </w:tc>
      </w:tr>
      <w:tr w:rsidR="00C40B42" w:rsidRPr="00A61532" w14:paraId="2887DB87" w14:textId="77777777" w:rsidTr="00C40B42">
        <w:trPr>
          <w:jc w:val="center"/>
        </w:trPr>
        <w:tc>
          <w:tcPr>
            <w:tcW w:w="1980" w:type="dxa"/>
            <w:tcMar>
              <w:left w:w="0" w:type="dxa"/>
              <w:right w:w="0" w:type="dxa"/>
            </w:tcMar>
          </w:tcPr>
          <w:p w14:paraId="795A9D04"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lastRenderedPageBreak/>
              <w:t>Pennsylvania</w:t>
            </w:r>
          </w:p>
        </w:tc>
        <w:tc>
          <w:tcPr>
            <w:tcW w:w="990" w:type="dxa"/>
            <w:tcMar>
              <w:left w:w="0" w:type="dxa"/>
              <w:right w:w="0" w:type="dxa"/>
            </w:tcMar>
          </w:tcPr>
          <w:p w14:paraId="2446A20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260" w:type="dxa"/>
            <w:tcMar>
              <w:left w:w="0" w:type="dxa"/>
              <w:right w:w="0" w:type="dxa"/>
            </w:tcMar>
          </w:tcPr>
          <w:p w14:paraId="44C3D9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1990</w:t>
            </w:r>
          </w:p>
        </w:tc>
      </w:tr>
      <w:tr w:rsidR="00C40B42" w:rsidRPr="00A61532" w14:paraId="6BE9AC52" w14:textId="77777777" w:rsidTr="00C40B42">
        <w:trPr>
          <w:jc w:val="center"/>
        </w:trPr>
        <w:tc>
          <w:tcPr>
            <w:tcW w:w="1980" w:type="dxa"/>
            <w:tcBorders>
              <w:bottom w:val="single" w:sz="4" w:space="0" w:color="auto"/>
            </w:tcBorders>
            <w:tcMar>
              <w:left w:w="0" w:type="dxa"/>
              <w:right w:w="0" w:type="dxa"/>
            </w:tcMar>
          </w:tcPr>
          <w:p w14:paraId="7EFD9125" w14:textId="77777777" w:rsidR="00C40B42" w:rsidRPr="00A61532" w:rsidRDefault="00C40B42" w:rsidP="00C40B42">
            <w:pPr>
              <w:widowControl/>
              <w:spacing w:line="276" w:lineRule="auto"/>
              <w:ind w:firstLine="0"/>
              <w:jc w:val="left"/>
              <w:rPr>
                <w:rFonts w:asciiTheme="majorBidi" w:hAnsiTheme="majorBidi" w:cstheme="majorBidi"/>
                <w:kern w:val="0"/>
                <w:sz w:val="20"/>
              </w:rPr>
            </w:pPr>
            <w:r w:rsidRPr="00A61532">
              <w:rPr>
                <w:rFonts w:asciiTheme="majorBidi" w:hAnsiTheme="majorBidi" w:cstheme="majorBidi"/>
                <w:kern w:val="0"/>
                <w:sz w:val="20"/>
              </w:rPr>
              <w:t>Wisconsin</w:t>
            </w:r>
          </w:p>
        </w:tc>
        <w:tc>
          <w:tcPr>
            <w:tcW w:w="990" w:type="dxa"/>
            <w:tcBorders>
              <w:bottom w:val="single" w:sz="4" w:space="0" w:color="auto"/>
            </w:tcBorders>
            <w:tcMar>
              <w:left w:w="0" w:type="dxa"/>
              <w:right w:w="0" w:type="dxa"/>
            </w:tcMar>
          </w:tcPr>
          <w:p w14:paraId="60B6471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8</w:t>
            </w:r>
          </w:p>
        </w:tc>
        <w:tc>
          <w:tcPr>
            <w:tcW w:w="1260" w:type="dxa"/>
            <w:tcBorders>
              <w:bottom w:val="single" w:sz="4" w:space="0" w:color="auto"/>
            </w:tcBorders>
            <w:tcMar>
              <w:left w:w="0" w:type="dxa"/>
              <w:right w:w="0" w:type="dxa"/>
            </w:tcMar>
          </w:tcPr>
          <w:p w14:paraId="4BD2AAA7"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1991</w:t>
            </w:r>
          </w:p>
        </w:tc>
      </w:tr>
      <w:tr w:rsidR="00C40B42" w:rsidRPr="00A61532" w14:paraId="4E4BC7EE" w14:textId="77777777" w:rsidTr="00C40B42">
        <w:trPr>
          <w:trHeight w:val="161"/>
          <w:jc w:val="center"/>
        </w:trPr>
        <w:tc>
          <w:tcPr>
            <w:tcW w:w="1980" w:type="dxa"/>
            <w:tcBorders>
              <w:top w:val="single" w:sz="4" w:space="0" w:color="auto"/>
              <w:bottom w:val="single" w:sz="4" w:space="0" w:color="auto"/>
            </w:tcBorders>
            <w:tcMar>
              <w:left w:w="0" w:type="dxa"/>
              <w:right w:w="0" w:type="dxa"/>
            </w:tcMar>
          </w:tcPr>
          <w:p w14:paraId="7E84B5F4" w14:textId="77777777" w:rsidR="00C40B42" w:rsidRPr="00A61532" w:rsidRDefault="00C40B42" w:rsidP="00C40B42">
            <w:pPr>
              <w:widowControl/>
              <w:ind w:firstLine="0"/>
              <w:rPr>
                <w:rFonts w:asciiTheme="majorBidi" w:hAnsiTheme="majorBidi" w:cstheme="majorBidi"/>
                <w:b/>
                <w:bCs/>
                <w:i/>
                <w:iCs/>
                <w:kern w:val="0"/>
                <w:sz w:val="20"/>
              </w:rPr>
            </w:pPr>
            <w:r w:rsidRPr="00A61532">
              <w:rPr>
                <w:rFonts w:asciiTheme="majorBidi" w:hAnsiTheme="majorBidi" w:cstheme="majorBidi"/>
                <w:b/>
                <w:bCs/>
                <w:i/>
                <w:iCs/>
                <w:kern w:val="0"/>
                <w:sz w:val="20"/>
              </w:rPr>
              <w:t>Total (ERR States)</w:t>
            </w:r>
          </w:p>
        </w:tc>
        <w:tc>
          <w:tcPr>
            <w:tcW w:w="990" w:type="dxa"/>
            <w:tcBorders>
              <w:top w:val="single" w:sz="4" w:space="0" w:color="auto"/>
              <w:bottom w:val="single" w:sz="4" w:space="0" w:color="auto"/>
            </w:tcBorders>
            <w:tcMar>
              <w:left w:w="0" w:type="dxa"/>
              <w:right w:w="0" w:type="dxa"/>
            </w:tcMar>
          </w:tcPr>
          <w:p w14:paraId="44454EB2"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53</w:t>
            </w:r>
          </w:p>
        </w:tc>
        <w:tc>
          <w:tcPr>
            <w:tcW w:w="1260" w:type="dxa"/>
            <w:tcBorders>
              <w:top w:val="single" w:sz="4" w:space="0" w:color="auto"/>
              <w:bottom w:val="single" w:sz="4" w:space="0" w:color="auto"/>
            </w:tcBorders>
            <w:tcMar>
              <w:left w:w="0" w:type="dxa"/>
              <w:right w:w="0" w:type="dxa"/>
            </w:tcMar>
          </w:tcPr>
          <w:p w14:paraId="31E8E2A6"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w:t>
            </w:r>
          </w:p>
        </w:tc>
      </w:tr>
      <w:tr w:rsidR="00C40B42" w:rsidRPr="00A61532" w14:paraId="654E42C2" w14:textId="77777777" w:rsidTr="00C40B42">
        <w:trPr>
          <w:jc w:val="center"/>
        </w:trPr>
        <w:tc>
          <w:tcPr>
            <w:tcW w:w="1980" w:type="dxa"/>
            <w:tcBorders>
              <w:top w:val="single" w:sz="4" w:space="0" w:color="auto"/>
            </w:tcBorders>
            <w:tcMar>
              <w:left w:w="0" w:type="dxa"/>
              <w:right w:w="0" w:type="dxa"/>
            </w:tcMar>
          </w:tcPr>
          <w:p w14:paraId="4C41D631" w14:textId="77777777" w:rsidR="00C40B42" w:rsidRPr="00A61532" w:rsidRDefault="00C40B42" w:rsidP="00C40B42">
            <w:pPr>
              <w:widowControl/>
              <w:spacing w:before="40" w:line="276" w:lineRule="auto"/>
              <w:ind w:firstLine="0"/>
              <w:jc w:val="center"/>
              <w:rPr>
                <w:rFonts w:asciiTheme="majorBidi" w:hAnsiTheme="majorBidi" w:cstheme="majorBidi"/>
                <w:i/>
                <w:iCs/>
                <w:kern w:val="0"/>
                <w:sz w:val="20"/>
              </w:rPr>
            </w:pPr>
            <w:r w:rsidRPr="00A61532">
              <w:rPr>
                <w:rFonts w:asciiTheme="majorBidi" w:hAnsiTheme="majorBidi" w:cstheme="majorBidi"/>
                <w:i/>
                <w:iCs/>
                <w:kern w:val="0"/>
                <w:sz w:val="20"/>
              </w:rPr>
              <w:t>No Judicial Ruling</w:t>
            </w:r>
          </w:p>
        </w:tc>
        <w:tc>
          <w:tcPr>
            <w:tcW w:w="990" w:type="dxa"/>
            <w:tcBorders>
              <w:top w:val="single" w:sz="4" w:space="0" w:color="auto"/>
            </w:tcBorders>
            <w:tcMar>
              <w:left w:w="0" w:type="dxa"/>
              <w:right w:w="0" w:type="dxa"/>
            </w:tcMar>
          </w:tcPr>
          <w:p w14:paraId="14C302C0" w14:textId="77777777" w:rsidR="00C40B42" w:rsidRPr="00A61532" w:rsidRDefault="00C40B42" w:rsidP="00C40B42">
            <w:pPr>
              <w:widowControl/>
              <w:spacing w:before="40" w:line="276" w:lineRule="auto"/>
              <w:ind w:firstLine="0"/>
              <w:jc w:val="center"/>
              <w:rPr>
                <w:rFonts w:asciiTheme="majorBidi" w:hAnsiTheme="majorBidi" w:cstheme="majorBidi"/>
                <w:kern w:val="0"/>
                <w:sz w:val="20"/>
              </w:rPr>
            </w:pPr>
          </w:p>
        </w:tc>
        <w:tc>
          <w:tcPr>
            <w:tcW w:w="1260" w:type="dxa"/>
            <w:tcBorders>
              <w:top w:val="single" w:sz="4" w:space="0" w:color="auto"/>
            </w:tcBorders>
            <w:tcMar>
              <w:left w:w="0" w:type="dxa"/>
              <w:right w:w="0" w:type="dxa"/>
            </w:tcMar>
          </w:tcPr>
          <w:p w14:paraId="184D3746" w14:textId="77777777" w:rsidR="00C40B42" w:rsidRPr="00A61532" w:rsidRDefault="00C40B42" w:rsidP="00C40B42">
            <w:pPr>
              <w:widowControl/>
              <w:spacing w:before="40" w:line="276" w:lineRule="auto"/>
              <w:ind w:firstLine="0"/>
              <w:jc w:val="center"/>
              <w:rPr>
                <w:rFonts w:asciiTheme="majorBidi" w:hAnsiTheme="majorBidi" w:cstheme="majorBidi"/>
                <w:kern w:val="0"/>
                <w:sz w:val="20"/>
              </w:rPr>
            </w:pPr>
          </w:p>
        </w:tc>
      </w:tr>
      <w:tr w:rsidR="00C40B42" w:rsidRPr="00A61532" w14:paraId="5F7116A5" w14:textId="77777777" w:rsidTr="00C40B42">
        <w:trPr>
          <w:jc w:val="center"/>
        </w:trPr>
        <w:tc>
          <w:tcPr>
            <w:tcW w:w="1980" w:type="dxa"/>
            <w:tcMar>
              <w:left w:w="0" w:type="dxa"/>
              <w:right w:w="0" w:type="dxa"/>
            </w:tcMar>
          </w:tcPr>
          <w:p w14:paraId="0663ED8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Connecticut</w:t>
            </w:r>
          </w:p>
        </w:tc>
        <w:tc>
          <w:tcPr>
            <w:tcW w:w="990" w:type="dxa"/>
            <w:tcMar>
              <w:left w:w="0" w:type="dxa"/>
              <w:right w:w="0" w:type="dxa"/>
            </w:tcMar>
          </w:tcPr>
          <w:p w14:paraId="429B76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1260" w:type="dxa"/>
            <w:tcMar>
              <w:left w:w="0" w:type="dxa"/>
              <w:right w:w="0" w:type="dxa"/>
            </w:tcMar>
          </w:tcPr>
          <w:p w14:paraId="6124E4F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1988</w:t>
            </w:r>
          </w:p>
        </w:tc>
      </w:tr>
      <w:tr w:rsidR="00C40B42" w:rsidRPr="00A61532" w14:paraId="7B95E9AA" w14:textId="77777777" w:rsidTr="00C40B42">
        <w:trPr>
          <w:jc w:val="center"/>
        </w:trPr>
        <w:tc>
          <w:tcPr>
            <w:tcW w:w="1980" w:type="dxa"/>
            <w:tcMar>
              <w:left w:w="0" w:type="dxa"/>
              <w:right w:w="0" w:type="dxa"/>
            </w:tcMar>
          </w:tcPr>
          <w:p w14:paraId="107EB14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Florida</w:t>
            </w:r>
          </w:p>
        </w:tc>
        <w:tc>
          <w:tcPr>
            <w:tcW w:w="990" w:type="dxa"/>
            <w:tcMar>
              <w:left w:w="0" w:type="dxa"/>
              <w:right w:w="0" w:type="dxa"/>
            </w:tcMar>
          </w:tcPr>
          <w:p w14:paraId="6762C10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w:t>
            </w:r>
          </w:p>
        </w:tc>
        <w:tc>
          <w:tcPr>
            <w:tcW w:w="1260" w:type="dxa"/>
            <w:tcMar>
              <w:left w:w="0" w:type="dxa"/>
              <w:right w:w="0" w:type="dxa"/>
            </w:tcMar>
          </w:tcPr>
          <w:p w14:paraId="529364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1989</w:t>
            </w:r>
          </w:p>
        </w:tc>
      </w:tr>
      <w:tr w:rsidR="00C40B42" w:rsidRPr="00A61532" w14:paraId="434CF868" w14:textId="77777777" w:rsidTr="00C40B42">
        <w:trPr>
          <w:jc w:val="center"/>
        </w:trPr>
        <w:tc>
          <w:tcPr>
            <w:tcW w:w="1980" w:type="dxa"/>
            <w:tcMar>
              <w:left w:w="0" w:type="dxa"/>
              <w:right w:w="0" w:type="dxa"/>
            </w:tcMar>
          </w:tcPr>
          <w:p w14:paraId="413221F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Kentucky</w:t>
            </w:r>
          </w:p>
        </w:tc>
        <w:tc>
          <w:tcPr>
            <w:tcW w:w="990" w:type="dxa"/>
            <w:tcMar>
              <w:left w:w="0" w:type="dxa"/>
              <w:right w:w="0" w:type="dxa"/>
            </w:tcMar>
          </w:tcPr>
          <w:p w14:paraId="3B4D8FF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1260" w:type="dxa"/>
            <w:tcMar>
              <w:left w:w="0" w:type="dxa"/>
              <w:right w:w="0" w:type="dxa"/>
            </w:tcMar>
          </w:tcPr>
          <w:p w14:paraId="2997E58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1988</w:t>
            </w:r>
          </w:p>
        </w:tc>
      </w:tr>
      <w:tr w:rsidR="00C40B42" w:rsidRPr="00A61532" w14:paraId="41254689" w14:textId="77777777" w:rsidTr="00C40B42">
        <w:trPr>
          <w:jc w:val="center"/>
        </w:trPr>
        <w:tc>
          <w:tcPr>
            <w:tcW w:w="1980" w:type="dxa"/>
            <w:tcMar>
              <w:left w:w="0" w:type="dxa"/>
              <w:right w:w="0" w:type="dxa"/>
            </w:tcMar>
          </w:tcPr>
          <w:p w14:paraId="7AE2867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Louisiana</w:t>
            </w:r>
          </w:p>
        </w:tc>
        <w:tc>
          <w:tcPr>
            <w:tcW w:w="990" w:type="dxa"/>
            <w:tcMar>
              <w:left w:w="0" w:type="dxa"/>
              <w:right w:w="0" w:type="dxa"/>
            </w:tcMar>
          </w:tcPr>
          <w:p w14:paraId="5F4E925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6452376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1988</w:t>
            </w:r>
          </w:p>
        </w:tc>
      </w:tr>
      <w:tr w:rsidR="00C40B42" w:rsidRPr="00A61532" w14:paraId="7F5A7F81" w14:textId="77777777" w:rsidTr="00C40B42">
        <w:trPr>
          <w:jc w:val="center"/>
        </w:trPr>
        <w:tc>
          <w:tcPr>
            <w:tcW w:w="1980" w:type="dxa"/>
            <w:tcMar>
              <w:left w:w="0" w:type="dxa"/>
              <w:right w:w="0" w:type="dxa"/>
            </w:tcMar>
          </w:tcPr>
          <w:p w14:paraId="4E0FCBD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Massachusetts</w:t>
            </w:r>
          </w:p>
        </w:tc>
        <w:tc>
          <w:tcPr>
            <w:tcW w:w="990" w:type="dxa"/>
            <w:tcMar>
              <w:left w:w="0" w:type="dxa"/>
              <w:right w:w="0" w:type="dxa"/>
            </w:tcMar>
          </w:tcPr>
          <w:p w14:paraId="4F0CABC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c>
          <w:tcPr>
            <w:tcW w:w="1260" w:type="dxa"/>
            <w:tcMar>
              <w:left w:w="0" w:type="dxa"/>
              <w:right w:w="0" w:type="dxa"/>
            </w:tcMar>
          </w:tcPr>
          <w:p w14:paraId="34280BD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1989</w:t>
            </w:r>
          </w:p>
        </w:tc>
      </w:tr>
      <w:tr w:rsidR="00C40B42" w:rsidRPr="00A61532" w14:paraId="3183FCF0" w14:textId="77777777" w:rsidTr="00C40B42">
        <w:trPr>
          <w:jc w:val="center"/>
        </w:trPr>
        <w:tc>
          <w:tcPr>
            <w:tcW w:w="1980" w:type="dxa"/>
            <w:tcMar>
              <w:left w:w="0" w:type="dxa"/>
              <w:right w:w="0" w:type="dxa"/>
            </w:tcMar>
          </w:tcPr>
          <w:p w14:paraId="4DDA809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New Jersey</w:t>
            </w:r>
          </w:p>
        </w:tc>
        <w:tc>
          <w:tcPr>
            <w:tcW w:w="990" w:type="dxa"/>
            <w:tcMar>
              <w:left w:w="0" w:type="dxa"/>
              <w:right w:w="0" w:type="dxa"/>
            </w:tcMar>
          </w:tcPr>
          <w:p w14:paraId="5284A7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460E66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1987</w:t>
            </w:r>
          </w:p>
        </w:tc>
      </w:tr>
      <w:tr w:rsidR="00C40B42" w:rsidRPr="00A61532" w14:paraId="51790730" w14:textId="77777777" w:rsidTr="00C40B42">
        <w:trPr>
          <w:jc w:val="center"/>
        </w:trPr>
        <w:tc>
          <w:tcPr>
            <w:tcW w:w="1980" w:type="dxa"/>
            <w:tcMar>
              <w:left w:w="0" w:type="dxa"/>
              <w:right w:w="0" w:type="dxa"/>
            </w:tcMar>
          </w:tcPr>
          <w:p w14:paraId="2F8B63D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North Dakota</w:t>
            </w:r>
          </w:p>
        </w:tc>
        <w:tc>
          <w:tcPr>
            <w:tcW w:w="990" w:type="dxa"/>
            <w:tcMar>
              <w:left w:w="0" w:type="dxa"/>
              <w:right w:w="0" w:type="dxa"/>
            </w:tcMar>
          </w:tcPr>
          <w:p w14:paraId="11823B7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4C2F666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1993</w:t>
            </w:r>
          </w:p>
        </w:tc>
      </w:tr>
      <w:tr w:rsidR="00C40B42" w:rsidRPr="00A61532" w14:paraId="13266FFC" w14:textId="77777777" w:rsidTr="00C40B42">
        <w:trPr>
          <w:jc w:val="center"/>
        </w:trPr>
        <w:tc>
          <w:tcPr>
            <w:tcW w:w="1980" w:type="dxa"/>
            <w:tcMar>
              <w:left w:w="0" w:type="dxa"/>
              <w:right w:w="0" w:type="dxa"/>
            </w:tcMar>
          </w:tcPr>
          <w:p w14:paraId="2B15A0F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Oregon</w:t>
            </w:r>
          </w:p>
        </w:tc>
        <w:tc>
          <w:tcPr>
            <w:tcW w:w="990" w:type="dxa"/>
            <w:tcMar>
              <w:left w:w="0" w:type="dxa"/>
              <w:right w:w="0" w:type="dxa"/>
            </w:tcMar>
          </w:tcPr>
          <w:p w14:paraId="77CE00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35081B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1989</w:t>
            </w:r>
          </w:p>
        </w:tc>
      </w:tr>
      <w:tr w:rsidR="00C40B42" w:rsidRPr="00A61532" w14:paraId="7C57023B" w14:textId="77777777" w:rsidTr="00C40B42">
        <w:trPr>
          <w:jc w:val="center"/>
        </w:trPr>
        <w:tc>
          <w:tcPr>
            <w:tcW w:w="1980" w:type="dxa"/>
            <w:tcMar>
              <w:left w:w="0" w:type="dxa"/>
              <w:right w:w="0" w:type="dxa"/>
            </w:tcMar>
          </w:tcPr>
          <w:p w14:paraId="44A2DD6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Texas</w:t>
            </w:r>
          </w:p>
        </w:tc>
        <w:tc>
          <w:tcPr>
            <w:tcW w:w="990" w:type="dxa"/>
            <w:tcMar>
              <w:left w:w="0" w:type="dxa"/>
              <w:right w:w="0" w:type="dxa"/>
            </w:tcMar>
          </w:tcPr>
          <w:p w14:paraId="3715985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w:t>
            </w:r>
          </w:p>
        </w:tc>
        <w:tc>
          <w:tcPr>
            <w:tcW w:w="1260" w:type="dxa"/>
            <w:tcMar>
              <w:left w:w="0" w:type="dxa"/>
              <w:right w:w="0" w:type="dxa"/>
            </w:tcMar>
          </w:tcPr>
          <w:p w14:paraId="5282BB4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2006</w:t>
            </w:r>
          </w:p>
        </w:tc>
      </w:tr>
      <w:tr w:rsidR="00C40B42" w:rsidRPr="00A61532" w14:paraId="66FFCA93" w14:textId="77777777" w:rsidTr="00C40B42">
        <w:trPr>
          <w:jc w:val="center"/>
        </w:trPr>
        <w:tc>
          <w:tcPr>
            <w:tcW w:w="2970" w:type="dxa"/>
            <w:gridSpan w:val="2"/>
            <w:tcMar>
              <w:left w:w="0" w:type="dxa"/>
              <w:right w:w="0" w:type="dxa"/>
            </w:tcMar>
          </w:tcPr>
          <w:p w14:paraId="30FD8C2B" w14:textId="77777777" w:rsidR="00C40B42" w:rsidRPr="00A61532" w:rsidRDefault="00C40B42" w:rsidP="00C40B42">
            <w:pPr>
              <w:widowControl/>
              <w:spacing w:beforeLines="40" w:before="96" w:line="276" w:lineRule="auto"/>
              <w:ind w:firstLine="0"/>
              <w:jc w:val="center"/>
              <w:rPr>
                <w:rFonts w:asciiTheme="majorBidi" w:hAnsiTheme="majorBidi" w:cstheme="majorBidi"/>
                <w:kern w:val="0"/>
                <w:sz w:val="20"/>
              </w:rPr>
            </w:pPr>
            <w:r w:rsidRPr="00A61532">
              <w:rPr>
                <w:rFonts w:asciiTheme="majorBidi" w:hAnsiTheme="majorBidi" w:cstheme="majorBidi"/>
                <w:i/>
                <w:iCs/>
                <w:kern w:val="0"/>
                <w:sz w:val="20"/>
              </w:rPr>
              <w:t>Judicial Ruling Adopting Revlon</w:t>
            </w:r>
          </w:p>
        </w:tc>
        <w:tc>
          <w:tcPr>
            <w:tcW w:w="1260" w:type="dxa"/>
            <w:tcMar>
              <w:left w:w="0" w:type="dxa"/>
              <w:right w:w="0" w:type="dxa"/>
            </w:tcMar>
          </w:tcPr>
          <w:p w14:paraId="09F7157B" w14:textId="77777777" w:rsidR="00C40B42" w:rsidRPr="00A61532" w:rsidRDefault="00C40B42" w:rsidP="00C40B42">
            <w:pPr>
              <w:widowControl/>
              <w:spacing w:beforeLines="40" w:before="96" w:line="276" w:lineRule="auto"/>
              <w:ind w:firstLine="0"/>
              <w:jc w:val="center"/>
              <w:rPr>
                <w:rFonts w:asciiTheme="majorBidi" w:hAnsiTheme="majorBidi" w:cstheme="majorBidi"/>
                <w:kern w:val="0"/>
                <w:sz w:val="20"/>
              </w:rPr>
            </w:pPr>
          </w:p>
        </w:tc>
      </w:tr>
      <w:tr w:rsidR="00C40B42" w:rsidRPr="00A61532" w14:paraId="007B6BB5" w14:textId="77777777" w:rsidTr="00C40B42">
        <w:trPr>
          <w:jc w:val="center"/>
        </w:trPr>
        <w:tc>
          <w:tcPr>
            <w:tcW w:w="1980" w:type="dxa"/>
            <w:tcMar>
              <w:left w:w="0" w:type="dxa"/>
              <w:right w:w="0" w:type="dxa"/>
            </w:tcMar>
          </w:tcPr>
          <w:p w14:paraId="7E0B60C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Illinois</w:t>
            </w:r>
          </w:p>
        </w:tc>
        <w:tc>
          <w:tcPr>
            <w:tcW w:w="990" w:type="dxa"/>
            <w:tcMar>
              <w:left w:w="0" w:type="dxa"/>
              <w:right w:w="0" w:type="dxa"/>
            </w:tcMar>
          </w:tcPr>
          <w:p w14:paraId="158C003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w:t>
            </w:r>
          </w:p>
        </w:tc>
        <w:tc>
          <w:tcPr>
            <w:tcW w:w="1260" w:type="dxa"/>
            <w:tcMar>
              <w:left w:w="0" w:type="dxa"/>
              <w:right w:w="0" w:type="dxa"/>
            </w:tcMar>
          </w:tcPr>
          <w:p w14:paraId="36F217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1985</w:t>
            </w:r>
          </w:p>
        </w:tc>
      </w:tr>
      <w:tr w:rsidR="00C40B42" w:rsidRPr="00A61532" w14:paraId="3F763358" w14:textId="77777777" w:rsidTr="00C40B42">
        <w:trPr>
          <w:jc w:val="center"/>
        </w:trPr>
        <w:tc>
          <w:tcPr>
            <w:tcW w:w="1980" w:type="dxa"/>
            <w:tcMar>
              <w:left w:w="0" w:type="dxa"/>
              <w:right w:w="0" w:type="dxa"/>
            </w:tcMar>
          </w:tcPr>
          <w:p w14:paraId="19DF9DB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Minnesota</w:t>
            </w:r>
          </w:p>
        </w:tc>
        <w:tc>
          <w:tcPr>
            <w:tcW w:w="990" w:type="dxa"/>
            <w:tcMar>
              <w:left w:w="0" w:type="dxa"/>
              <w:right w:w="0" w:type="dxa"/>
            </w:tcMar>
          </w:tcPr>
          <w:p w14:paraId="32B1B6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c>
          <w:tcPr>
            <w:tcW w:w="1260" w:type="dxa"/>
            <w:tcMar>
              <w:left w:w="0" w:type="dxa"/>
              <w:right w:w="0" w:type="dxa"/>
            </w:tcMar>
          </w:tcPr>
          <w:p w14:paraId="66B4C1A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1987</w:t>
            </w:r>
          </w:p>
        </w:tc>
      </w:tr>
      <w:tr w:rsidR="00C40B42" w:rsidRPr="00A61532" w14:paraId="62ADE25A" w14:textId="77777777" w:rsidTr="00C40B42">
        <w:trPr>
          <w:jc w:val="center"/>
        </w:trPr>
        <w:tc>
          <w:tcPr>
            <w:tcW w:w="1980" w:type="dxa"/>
            <w:tcBorders>
              <w:bottom w:val="single" w:sz="4" w:space="0" w:color="auto"/>
            </w:tcBorders>
            <w:tcMar>
              <w:left w:w="0" w:type="dxa"/>
              <w:right w:w="0" w:type="dxa"/>
            </w:tcMar>
          </w:tcPr>
          <w:p w14:paraId="349C88F1"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kern w:val="0"/>
                <w:sz w:val="20"/>
              </w:rPr>
              <w:t>Missouri</w:t>
            </w:r>
          </w:p>
        </w:tc>
        <w:tc>
          <w:tcPr>
            <w:tcW w:w="990" w:type="dxa"/>
            <w:tcBorders>
              <w:bottom w:val="single" w:sz="4" w:space="0" w:color="auto"/>
            </w:tcBorders>
            <w:tcMar>
              <w:left w:w="0" w:type="dxa"/>
              <w:right w:w="0" w:type="dxa"/>
            </w:tcMar>
          </w:tcPr>
          <w:p w14:paraId="743E547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4</w:t>
            </w:r>
          </w:p>
        </w:tc>
        <w:tc>
          <w:tcPr>
            <w:tcW w:w="1260" w:type="dxa"/>
            <w:tcBorders>
              <w:bottom w:val="single" w:sz="4" w:space="0" w:color="auto"/>
            </w:tcBorders>
            <w:tcMar>
              <w:left w:w="0" w:type="dxa"/>
              <w:right w:w="0" w:type="dxa"/>
            </w:tcMar>
          </w:tcPr>
          <w:p w14:paraId="163AA3E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1986</w:t>
            </w:r>
          </w:p>
        </w:tc>
      </w:tr>
      <w:tr w:rsidR="00C40B42" w:rsidRPr="00A61532" w14:paraId="408A0276" w14:textId="77777777" w:rsidTr="00C40B42">
        <w:trPr>
          <w:jc w:val="center"/>
        </w:trPr>
        <w:tc>
          <w:tcPr>
            <w:tcW w:w="1980" w:type="dxa"/>
            <w:tcBorders>
              <w:top w:val="single" w:sz="4" w:space="0" w:color="auto"/>
              <w:bottom w:val="double" w:sz="4" w:space="0" w:color="auto"/>
            </w:tcBorders>
            <w:tcMar>
              <w:left w:w="0" w:type="dxa"/>
              <w:right w:w="0" w:type="dxa"/>
            </w:tcMar>
          </w:tcPr>
          <w:p w14:paraId="43D17AF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i/>
                <w:iCs/>
                <w:kern w:val="0"/>
                <w:sz w:val="20"/>
              </w:rPr>
              <w:t>Total (Non-ERR States)</w:t>
            </w:r>
          </w:p>
        </w:tc>
        <w:tc>
          <w:tcPr>
            <w:tcW w:w="990" w:type="dxa"/>
            <w:tcBorders>
              <w:top w:val="single" w:sz="4" w:space="0" w:color="auto"/>
              <w:bottom w:val="double" w:sz="4" w:space="0" w:color="auto"/>
            </w:tcBorders>
            <w:tcMar>
              <w:left w:w="0" w:type="dxa"/>
              <w:right w:w="0" w:type="dxa"/>
            </w:tcMar>
          </w:tcPr>
          <w:p w14:paraId="5666977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b/>
                <w:bCs/>
                <w:kern w:val="0"/>
                <w:sz w:val="20"/>
              </w:rPr>
              <w:t>52</w:t>
            </w:r>
          </w:p>
        </w:tc>
        <w:tc>
          <w:tcPr>
            <w:tcW w:w="1260" w:type="dxa"/>
            <w:tcBorders>
              <w:top w:val="single" w:sz="4" w:space="0" w:color="auto"/>
              <w:bottom w:val="double" w:sz="4" w:space="0" w:color="auto"/>
            </w:tcBorders>
            <w:tcMar>
              <w:left w:w="0" w:type="dxa"/>
              <w:right w:w="0" w:type="dxa"/>
            </w:tcMar>
          </w:tcPr>
          <w:p w14:paraId="38CD8C3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bl>
    <w:p w14:paraId="098D3DD7" w14:textId="7C6A8777" w:rsidR="00C40B42" w:rsidRPr="00A61532" w:rsidRDefault="00C40B42" w:rsidP="00C40B42">
      <w:pPr>
        <w:widowControl/>
        <w:spacing w:before="240" w:after="16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As Table </w:t>
      </w:r>
      <w:r w:rsidR="007455C9">
        <w:rPr>
          <w:rFonts w:asciiTheme="majorBidi" w:eastAsia="SimSun" w:hAnsiTheme="majorBidi" w:cstheme="majorBidi"/>
          <w:kern w:val="0"/>
          <w:szCs w:val="24"/>
          <w:lang w:bidi="he-IL"/>
        </w:rPr>
        <w:t>3</w:t>
      </w:r>
      <w:r w:rsidRPr="00A61532">
        <w:rPr>
          <w:rFonts w:asciiTheme="majorBidi" w:eastAsia="SimSun" w:hAnsiTheme="majorBidi" w:cstheme="majorBidi"/>
          <w:kern w:val="0"/>
          <w:szCs w:val="24"/>
          <w:lang w:bidi="he-IL"/>
        </w:rPr>
        <w:t xml:space="preserve"> shows, half of the target companies in the sample were incorporated in ERR states. Of the other companies in the dataset, the large majority were incorporated in states where there is no </w:t>
      </w:r>
      <w:r w:rsidR="00537510">
        <w:rPr>
          <w:rFonts w:asciiTheme="majorBidi" w:eastAsia="SimSun" w:hAnsiTheme="majorBidi" w:cstheme="majorBidi"/>
          <w:kern w:val="0"/>
          <w:szCs w:val="24"/>
          <w:lang w:bidi="he-IL"/>
        </w:rPr>
        <w:t xml:space="preserve">case adopting or rejecting </w:t>
      </w:r>
      <w:r w:rsidRPr="00A61532">
        <w:rPr>
          <w:rFonts w:asciiTheme="majorBidi" w:eastAsia="SimSun" w:hAnsiTheme="majorBidi" w:cstheme="majorBidi"/>
          <w:kern w:val="0"/>
          <w:szCs w:val="24"/>
          <w:lang w:bidi="he-IL"/>
        </w:rPr>
        <w:t>Revlon, and the minority, in states that explicitly rejected Revlon.</w:t>
      </w:r>
    </w:p>
    <w:p w14:paraId="0A8A13D6" w14:textId="77777777" w:rsidR="00C40B42" w:rsidRPr="00A61532" w:rsidRDefault="00C40B42" w:rsidP="00C40B42">
      <w:pPr>
        <w:pStyle w:val="Heading2"/>
        <w:rPr>
          <w:rFonts w:eastAsia="SimSun"/>
          <w:lang w:bidi="he-IL"/>
        </w:rPr>
      </w:pPr>
      <w:bookmarkStart w:id="109" w:name="_Toc47616587"/>
      <w:bookmarkStart w:id="110" w:name="_Toc47665971"/>
      <w:bookmarkStart w:id="111" w:name="_Toc47886000"/>
      <w:r w:rsidRPr="00A61532">
        <w:rPr>
          <w:rFonts w:eastAsia="SimSun"/>
          <w:lang w:bidi="he-IL"/>
        </w:rPr>
        <w:t>Bargaining</w:t>
      </w:r>
      <w:bookmarkEnd w:id="109"/>
      <w:bookmarkEnd w:id="110"/>
      <w:bookmarkEnd w:id="111"/>
      <w:r w:rsidRPr="00A61532">
        <w:rPr>
          <w:rFonts w:eastAsia="SimSun"/>
          <w:lang w:bidi="he-IL"/>
        </w:rPr>
        <w:t xml:space="preserve"> </w:t>
      </w:r>
    </w:p>
    <w:p w14:paraId="6E27AB17" w14:textId="1DDBEA1A" w:rsidR="00C40B42" w:rsidRPr="00A61532" w:rsidRDefault="00C40B42" w:rsidP="0074735E">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Before we proceed to examine what benefits corporate leaders bargain for, we would like to assess the characteristics of the bargaining process. As this Section documents, there are various dimensions of the pre-deal process that are described in the proxy statement and that indicate the presence of substantial negotiations and bargaining.</w:t>
      </w:r>
      <w:r w:rsidRPr="00A61532">
        <w:rPr>
          <w:rFonts w:asciiTheme="majorBidi" w:eastAsia="SimSun" w:hAnsiTheme="majorBidi" w:cstheme="majorBidi"/>
          <w:kern w:val="0"/>
          <w:szCs w:val="24"/>
          <w:vertAlign w:val="superscript"/>
          <w:lang w:bidi="he-IL"/>
        </w:rPr>
        <w:footnoteReference w:id="85"/>
      </w:r>
      <w:r w:rsidRPr="00A61532">
        <w:rPr>
          <w:rFonts w:asciiTheme="majorBidi" w:eastAsia="SimSun" w:hAnsiTheme="majorBidi" w:cstheme="majorBidi"/>
          <w:kern w:val="0"/>
          <w:szCs w:val="24"/>
          <w:lang w:bidi="he-IL"/>
        </w:rPr>
        <w:t xml:space="preserve"> Table </w:t>
      </w:r>
      <w:r w:rsidR="00081515">
        <w:rPr>
          <w:rFonts w:asciiTheme="majorBidi" w:eastAsia="SimSun" w:hAnsiTheme="majorBidi" w:cstheme="majorBidi"/>
          <w:kern w:val="0"/>
          <w:szCs w:val="24"/>
          <w:lang w:bidi="he-IL"/>
        </w:rPr>
        <w:t>4</w:t>
      </w:r>
      <w:r w:rsidRPr="00A61532">
        <w:rPr>
          <w:rFonts w:asciiTheme="majorBidi" w:eastAsia="SimSun" w:hAnsiTheme="majorBidi" w:cstheme="majorBidi"/>
          <w:kern w:val="0"/>
          <w:szCs w:val="24"/>
          <w:lang w:bidi="he-IL"/>
        </w:rPr>
        <w:t xml:space="preserve"> reports data on five dimensions of the bargaining process for the 12 largest ERR and the 12 largest Non-ERR deals</w:t>
      </w:r>
      <w:r w:rsidR="00081515">
        <w:rPr>
          <w:rFonts w:asciiTheme="majorBidi" w:eastAsia="SimSun" w:hAnsiTheme="majorBidi" w:cstheme="majorBidi"/>
          <w:kern w:val="0"/>
          <w:szCs w:val="24"/>
          <w:lang w:bidi="he-IL"/>
        </w:rPr>
        <w:t xml:space="preserve"> in</w:t>
      </w:r>
      <w:r w:rsidR="00076E74">
        <w:rPr>
          <w:rFonts w:asciiTheme="majorBidi" w:eastAsia="SimSun" w:hAnsiTheme="majorBidi" w:cstheme="majorBidi"/>
          <w:kern w:val="0"/>
          <w:szCs w:val="24"/>
          <w:lang w:bidi="he-IL"/>
        </w:rPr>
        <w:t xml:space="preserve"> our sample</w:t>
      </w:r>
      <w:r w:rsidRPr="00A61532">
        <w:rPr>
          <w:rFonts w:asciiTheme="majorBidi" w:eastAsia="SimSun" w:hAnsiTheme="majorBidi" w:cstheme="majorBidi"/>
          <w:kern w:val="0"/>
          <w:szCs w:val="24"/>
          <w:lang w:bidi="he-IL"/>
        </w:rPr>
        <w:t>.</w:t>
      </w:r>
    </w:p>
    <w:p w14:paraId="02DB93F6" w14:textId="18B0A351"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Length of the Process.</w:t>
      </w:r>
      <w:r w:rsidRPr="00A61532">
        <w:rPr>
          <w:rFonts w:asciiTheme="majorBidi" w:eastAsia="SimSun" w:hAnsiTheme="majorBidi" w:cstheme="majorBidi"/>
          <w:kern w:val="0"/>
          <w:szCs w:val="24"/>
          <w:lang w:bidi="he-IL"/>
        </w:rPr>
        <w:t xml:space="preserve"> We first quantified the length of time from the first interaction of target leaders with the eventual buyer and the signing of the deal, as a measure of the time that the parties invested in negotiating the terms of the deal</w:t>
      </w:r>
      <w:bookmarkStart w:id="112" w:name="_Hlk47867739"/>
      <w:r w:rsidRPr="00A61532">
        <w:rPr>
          <w:rFonts w:asciiTheme="majorBidi" w:eastAsia="SimSun" w:hAnsiTheme="majorBidi" w:cstheme="majorBidi"/>
          <w:kern w:val="0"/>
          <w:szCs w:val="24"/>
          <w:lang w:bidi="he-IL"/>
        </w:rPr>
        <w:t xml:space="preserve">. </w:t>
      </w:r>
      <w:bookmarkEnd w:id="112"/>
      <w:r w:rsidRPr="00A61532">
        <w:rPr>
          <w:rFonts w:asciiTheme="majorBidi" w:eastAsia="SimSun" w:hAnsiTheme="majorBidi" w:cstheme="majorBidi"/>
          <w:kern w:val="0"/>
          <w:szCs w:val="24"/>
          <w:lang w:bidi="he-IL"/>
        </w:rPr>
        <w:t xml:space="preserve">As Table </w:t>
      </w:r>
      <w:r w:rsidR="00081515">
        <w:rPr>
          <w:rFonts w:asciiTheme="majorBidi" w:eastAsia="SimSun" w:hAnsiTheme="majorBidi" w:cstheme="majorBidi"/>
          <w:kern w:val="0"/>
          <w:szCs w:val="24"/>
          <w:lang w:bidi="he-IL"/>
        </w:rPr>
        <w:t>4</w:t>
      </w:r>
      <w:r w:rsidRPr="00A61532">
        <w:rPr>
          <w:rFonts w:asciiTheme="majorBidi" w:eastAsia="SimSun" w:hAnsiTheme="majorBidi" w:cstheme="majorBidi"/>
          <w:kern w:val="0"/>
          <w:szCs w:val="24"/>
          <w:lang w:bidi="he-IL"/>
        </w:rPr>
        <w:t xml:space="preserve"> shows, the parties typically invest a substantial amount of time in the bargaining process. The average (median) duration of the bargaining process for the largest ERR transactions is 164 (166) days, and for the largest Non-ERR transactions 134 (99) days.</w:t>
      </w:r>
    </w:p>
    <w:p w14:paraId="3CC7E88F" w14:textId="0BC0BFEE" w:rsidR="00C40B42" w:rsidRPr="00A61532" w:rsidRDefault="00C40B42" w:rsidP="00081515">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lastRenderedPageBreak/>
        <w:t>Discussions with Other Parties.</w:t>
      </w:r>
      <w:r w:rsidRPr="00A61532">
        <w:rPr>
          <w:rFonts w:asciiTheme="majorBidi" w:eastAsia="SimSun" w:hAnsiTheme="majorBidi" w:cstheme="majorBidi"/>
          <w:kern w:val="0"/>
          <w:szCs w:val="24"/>
          <w:lang w:bidi="he-IL"/>
        </w:rPr>
        <w:t xml:space="preserve"> We also documented whether additional parties expressed an interest in acquiring the target, without eventually submitting an offer (a situation which in itself can give the target some extra negotiation leverage). Our analysis shows that the target held discussion with other parties, either prior </w:t>
      </w:r>
      <w:r w:rsidR="00D627B3">
        <w:rPr>
          <w:rFonts w:asciiTheme="majorBidi" w:eastAsia="SimSun" w:hAnsiTheme="majorBidi" w:cstheme="majorBidi"/>
          <w:kern w:val="0"/>
          <w:szCs w:val="24"/>
          <w:lang w:bidi="he-IL"/>
        </w:rPr>
        <w:t xml:space="preserve">to </w:t>
      </w:r>
      <w:r w:rsidRPr="00A61532">
        <w:rPr>
          <w:rFonts w:asciiTheme="majorBidi" w:eastAsia="SimSun" w:hAnsiTheme="majorBidi" w:cstheme="majorBidi"/>
          <w:kern w:val="0"/>
          <w:szCs w:val="24"/>
          <w:lang w:bidi="he-IL"/>
        </w:rPr>
        <w:t xml:space="preserve">or following the initial contact with the </w:t>
      </w:r>
      <w:r w:rsidRPr="00A61532">
        <w:rPr>
          <w:rFonts w:asciiTheme="majorBidi" w:eastAsia="SimSun" w:hAnsiTheme="majorBidi" w:cstheme="majorBidi"/>
          <w:color w:val="000000" w:themeColor="text1"/>
          <w:kern w:val="0"/>
          <w:szCs w:val="24"/>
          <w:lang w:bidi="he-IL"/>
        </w:rPr>
        <w:t xml:space="preserve">eventual </w:t>
      </w:r>
      <w:r w:rsidRPr="00A61532">
        <w:rPr>
          <w:rFonts w:asciiTheme="majorBidi" w:eastAsia="SimSun" w:hAnsiTheme="majorBidi" w:cstheme="majorBidi"/>
          <w:kern w:val="0"/>
          <w:szCs w:val="24"/>
          <w:lang w:bidi="he-IL"/>
        </w:rPr>
        <w:t xml:space="preserve">acquirer, in 75% of the </w:t>
      </w:r>
      <w:r w:rsidR="00081515">
        <w:rPr>
          <w:rFonts w:asciiTheme="majorBidi" w:eastAsia="SimSun" w:hAnsiTheme="majorBidi" w:cstheme="majorBidi"/>
          <w:kern w:val="0"/>
          <w:szCs w:val="24"/>
          <w:lang w:bidi="he-IL"/>
        </w:rPr>
        <w:t xml:space="preserve">largest </w:t>
      </w:r>
      <w:r w:rsidRPr="00A61532">
        <w:rPr>
          <w:rFonts w:asciiTheme="majorBidi" w:eastAsia="SimSun" w:hAnsiTheme="majorBidi" w:cstheme="majorBidi"/>
          <w:kern w:val="0"/>
          <w:szCs w:val="24"/>
          <w:lang w:bidi="he-IL"/>
        </w:rPr>
        <w:t xml:space="preserve">ERR and 92% of the </w:t>
      </w:r>
      <w:r w:rsidR="00081515">
        <w:rPr>
          <w:rFonts w:asciiTheme="majorBidi" w:eastAsia="SimSun" w:hAnsiTheme="majorBidi" w:cstheme="majorBidi"/>
          <w:kern w:val="0"/>
          <w:szCs w:val="24"/>
          <w:lang w:bidi="he-IL"/>
        </w:rPr>
        <w:t xml:space="preserve">largest </w:t>
      </w:r>
      <w:r w:rsidRPr="00A61532">
        <w:rPr>
          <w:rFonts w:asciiTheme="majorBidi" w:eastAsia="SimSun" w:hAnsiTheme="majorBidi" w:cstheme="majorBidi"/>
          <w:kern w:val="0"/>
          <w:szCs w:val="24"/>
          <w:lang w:bidi="he-IL"/>
        </w:rPr>
        <w:t>Non-ERR transactions.</w:t>
      </w:r>
    </w:p>
    <w:p w14:paraId="5C318586" w14:textId="24178D4E"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i/>
          <w:iCs/>
          <w:kern w:val="0"/>
          <w:szCs w:val="24"/>
          <w:lang w:bidi="he-IL"/>
        </w:rPr>
        <w:t>Offers by other Parties</w:t>
      </w:r>
      <w:r w:rsidRPr="00A61532">
        <w:rPr>
          <w:rFonts w:asciiTheme="majorBidi" w:eastAsia="SimSun" w:hAnsiTheme="majorBidi" w:cstheme="majorBidi"/>
          <w:kern w:val="0"/>
          <w:szCs w:val="24"/>
          <w:lang w:bidi="he-IL"/>
        </w:rPr>
        <w:t>. We then examined whether there were other potential buyers who submitted offers.</w:t>
      </w:r>
      <w:r w:rsidRPr="00A61532">
        <w:rPr>
          <w:rFonts w:asciiTheme="minorHAnsi" w:eastAsia="SimSun" w:hAnsiTheme="minorHAnsi" w:cstheme="minorBidi"/>
          <w:kern w:val="0"/>
          <w:sz w:val="22"/>
          <w:szCs w:val="22"/>
          <w:lang w:bidi="he-IL"/>
        </w:rPr>
        <w:t xml:space="preserve"> </w:t>
      </w:r>
      <w:r w:rsidRPr="00A61532">
        <w:rPr>
          <w:rFonts w:asciiTheme="majorBidi" w:eastAsia="SimSun" w:hAnsiTheme="majorBidi" w:cstheme="majorBidi"/>
          <w:kern w:val="0"/>
          <w:szCs w:val="24"/>
          <w:lang w:bidi="he-IL"/>
        </w:rPr>
        <w:t xml:space="preserve">For this purpose, we defined a “potential buyer” as a party which expressed initial interest in the target and also entered into a non-disclosure agreement, conducted due diligence and submitted an offer. </w:t>
      </w:r>
      <w:r w:rsidRPr="00A61532">
        <w:rPr>
          <w:rFonts w:asciiTheme="majorBidi" w:eastAsia="SimSun" w:hAnsiTheme="majorBidi" w:cstheme="majorBidi"/>
          <w:color w:val="000000" w:themeColor="text1"/>
          <w:kern w:val="0"/>
          <w:szCs w:val="24"/>
          <w:lang w:bidi="he-IL"/>
        </w:rPr>
        <w:t xml:space="preserve">In </w:t>
      </w:r>
      <w:bookmarkStart w:id="113" w:name="_Hlk47867896"/>
      <w:r w:rsidRPr="00A61532">
        <w:rPr>
          <w:rFonts w:asciiTheme="majorBidi" w:eastAsia="SimSun" w:hAnsiTheme="majorBidi" w:cstheme="majorBidi"/>
          <w:color w:val="000000" w:themeColor="text1"/>
          <w:kern w:val="0"/>
          <w:szCs w:val="24"/>
          <w:lang w:bidi="he-IL"/>
        </w:rPr>
        <w:t xml:space="preserve">50% of both the top ERR and Non-ERR transactions, the bargaining process with one or more of the other interested parties advanced beyond the due diligence process and resulted in </w:t>
      </w:r>
      <w:bookmarkEnd w:id="113"/>
      <w:r w:rsidRPr="00A61532">
        <w:rPr>
          <w:rFonts w:asciiTheme="majorBidi" w:eastAsia="SimSun" w:hAnsiTheme="majorBidi" w:cstheme="majorBidi"/>
          <w:color w:val="000000" w:themeColor="text1"/>
          <w:kern w:val="0"/>
          <w:szCs w:val="24"/>
          <w:lang w:bidi="he-IL"/>
        </w:rPr>
        <w:t>an offer submitted by that party.</w:t>
      </w:r>
    </w:p>
    <w:p w14:paraId="72DC52C6" w14:textId="30B5F6B3"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Multiple Offers by the Buyer</w:t>
      </w:r>
      <w:r w:rsidRPr="00A61532">
        <w:rPr>
          <w:rFonts w:asciiTheme="majorBidi" w:eastAsia="SimSun" w:hAnsiTheme="majorBidi" w:cstheme="majorBidi"/>
          <w:kern w:val="0"/>
          <w:szCs w:val="24"/>
          <w:lang w:bidi="he-IL"/>
        </w:rPr>
        <w:t xml:space="preserve">. Another dimension that we examined is whether the target received more than one offer from the eventual acquirer. As Table </w:t>
      </w:r>
      <w:r w:rsidR="00B04C4E">
        <w:rPr>
          <w:rFonts w:asciiTheme="majorBidi" w:eastAsia="SimSun" w:hAnsiTheme="majorBidi" w:cstheme="majorBidi"/>
          <w:kern w:val="0"/>
          <w:szCs w:val="24"/>
          <w:lang w:bidi="he-IL"/>
        </w:rPr>
        <w:t>4</w:t>
      </w:r>
      <w:r w:rsidRPr="00A61532">
        <w:rPr>
          <w:rFonts w:asciiTheme="majorBidi" w:eastAsia="SimSun" w:hAnsiTheme="majorBidi" w:cstheme="majorBidi"/>
          <w:kern w:val="0"/>
          <w:szCs w:val="24"/>
          <w:lang w:bidi="he-IL"/>
        </w:rPr>
        <w:t xml:space="preserve"> shows, in 92% of the </w:t>
      </w:r>
      <w:r w:rsidR="00B04C4E">
        <w:rPr>
          <w:rFonts w:asciiTheme="majorBidi" w:eastAsia="SimSun" w:hAnsiTheme="majorBidi" w:cstheme="majorBidi"/>
          <w:kern w:val="0"/>
          <w:szCs w:val="24"/>
          <w:lang w:bidi="he-IL"/>
        </w:rPr>
        <w:t xml:space="preserve">largest </w:t>
      </w:r>
      <w:r w:rsidRPr="00A61532">
        <w:rPr>
          <w:rFonts w:asciiTheme="majorBidi" w:eastAsia="SimSun" w:hAnsiTheme="majorBidi" w:cstheme="majorBidi"/>
          <w:kern w:val="0"/>
          <w:szCs w:val="24"/>
          <w:lang w:bidi="he-IL"/>
        </w:rPr>
        <w:t>ERR and Non-ERR</w:t>
      </w:r>
      <w:bookmarkStart w:id="114" w:name="_Hlk47867930"/>
      <w:r w:rsidRPr="00A61532">
        <w:rPr>
          <w:rFonts w:asciiTheme="majorBidi" w:eastAsia="SimSun" w:hAnsiTheme="majorBidi" w:cstheme="majorBidi"/>
          <w:kern w:val="0"/>
          <w:szCs w:val="24"/>
          <w:lang w:bidi="he-IL"/>
        </w:rPr>
        <w:t xml:space="preserve"> transactions, the acquirer submitted more than one offer during the </w:t>
      </w:r>
      <w:bookmarkEnd w:id="114"/>
      <w:r w:rsidRPr="00A61532">
        <w:rPr>
          <w:rFonts w:asciiTheme="majorBidi" w:eastAsia="SimSun" w:hAnsiTheme="majorBidi" w:cstheme="majorBidi"/>
          <w:kern w:val="0"/>
          <w:szCs w:val="24"/>
          <w:lang w:bidi="he-IL"/>
        </w:rPr>
        <w:t xml:space="preserve">bargaining process. </w:t>
      </w:r>
    </w:p>
    <w:p w14:paraId="096061C1" w14:textId="78A4DA76" w:rsidR="00C40B42" w:rsidRDefault="00C40B42" w:rsidP="00332FE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 xml:space="preserve">Improvement in Initial Deal Terms. </w:t>
      </w:r>
      <w:r w:rsidRPr="00A61532">
        <w:rPr>
          <w:rFonts w:asciiTheme="majorBidi" w:eastAsia="SimSun" w:hAnsiTheme="majorBidi" w:cstheme="majorBidi"/>
          <w:kern w:val="0"/>
          <w:szCs w:val="24"/>
          <w:lang w:bidi="he-IL"/>
        </w:rPr>
        <w:t xml:space="preserve">Lastly, we also documented whether the final merger </w:t>
      </w:r>
      <w:r w:rsidRPr="00A61532">
        <w:rPr>
          <w:rFonts w:asciiTheme="majorBidi" w:eastAsia="SimSun" w:hAnsiTheme="majorBidi" w:cstheme="majorBidi"/>
          <w:color w:val="000000" w:themeColor="text1"/>
          <w:kern w:val="0"/>
          <w:szCs w:val="24"/>
          <w:lang w:bidi="he-IL"/>
        </w:rPr>
        <w:t xml:space="preserve">consideration was higher than either the initial offer or, if the initial offer was reduced following due diligence, the first offer that was submitted </w:t>
      </w:r>
      <w:r w:rsidR="00D627B3">
        <w:rPr>
          <w:rFonts w:asciiTheme="majorBidi" w:eastAsia="SimSun" w:hAnsiTheme="majorBidi" w:cstheme="majorBidi"/>
          <w:color w:val="000000" w:themeColor="text1"/>
          <w:kern w:val="0"/>
          <w:szCs w:val="24"/>
          <w:lang w:bidi="he-IL"/>
        </w:rPr>
        <w:t>after</w:t>
      </w:r>
      <w:r w:rsidR="00D627B3"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the completion of the due diligence process.</w:t>
      </w:r>
      <w:r w:rsidRPr="00A61532">
        <w:rPr>
          <w:rFonts w:asciiTheme="majorBidi" w:eastAsia="SimSun" w:hAnsiTheme="majorBidi" w:cstheme="majorBidi"/>
          <w:kern w:val="0"/>
          <w:szCs w:val="24"/>
          <w:lang w:bidi="he-IL"/>
        </w:rPr>
        <w:t xml:space="preserve"> We find that in 100% </w:t>
      </w:r>
      <w:r w:rsidRPr="00A61532">
        <w:rPr>
          <w:rFonts w:asciiTheme="majorBidi" w:eastAsia="SimSun" w:hAnsiTheme="majorBidi" w:cstheme="majorBidi"/>
          <w:color w:val="000000" w:themeColor="text1"/>
          <w:kern w:val="0"/>
          <w:szCs w:val="24"/>
          <w:lang w:bidi="he-IL"/>
        </w:rPr>
        <w:t xml:space="preserve">of the </w:t>
      </w:r>
      <w:r w:rsidR="00B04C4E">
        <w:rPr>
          <w:rFonts w:asciiTheme="majorBidi" w:eastAsia="SimSun" w:hAnsiTheme="majorBidi" w:cstheme="majorBidi"/>
          <w:color w:val="000000" w:themeColor="text1"/>
          <w:kern w:val="0"/>
          <w:szCs w:val="24"/>
          <w:lang w:bidi="he-IL"/>
        </w:rPr>
        <w:t>largest</w:t>
      </w:r>
      <w:r w:rsidRPr="00A61532">
        <w:rPr>
          <w:rFonts w:asciiTheme="majorBidi" w:eastAsia="SimSun" w:hAnsiTheme="majorBidi" w:cstheme="majorBidi"/>
          <w:color w:val="000000" w:themeColor="text1"/>
          <w:kern w:val="0"/>
          <w:szCs w:val="24"/>
          <w:lang w:bidi="he-IL"/>
        </w:rPr>
        <w:t xml:space="preserve"> ERR deals, and in </w:t>
      </w:r>
      <w:r w:rsidRPr="00A61532">
        <w:rPr>
          <w:rFonts w:asciiTheme="majorBidi" w:eastAsia="SimSun" w:hAnsiTheme="majorBidi" w:cstheme="majorBidi"/>
          <w:kern w:val="0"/>
          <w:szCs w:val="24"/>
          <w:lang w:bidi="he-IL"/>
        </w:rPr>
        <w:t xml:space="preserve">92% </w:t>
      </w:r>
      <w:r w:rsidRPr="00A61532">
        <w:rPr>
          <w:rFonts w:asciiTheme="majorBidi" w:eastAsia="SimSun" w:hAnsiTheme="majorBidi" w:cstheme="majorBidi"/>
          <w:color w:val="000000" w:themeColor="text1"/>
          <w:kern w:val="0"/>
          <w:szCs w:val="24"/>
          <w:lang w:bidi="he-IL"/>
        </w:rPr>
        <w:t>of their Non-ERR counterparts</w:t>
      </w:r>
      <w:bookmarkStart w:id="115" w:name="_Hlk47867945"/>
      <w:r w:rsidRPr="00A61532">
        <w:rPr>
          <w:rFonts w:asciiTheme="majorBidi" w:eastAsia="SimSun" w:hAnsiTheme="majorBidi" w:cstheme="majorBidi"/>
          <w:kern w:val="0"/>
          <w:szCs w:val="24"/>
          <w:lang w:bidi="he-IL"/>
        </w:rPr>
        <w:t>, the bargaining process resulted in an improved outcome for the target.</w:t>
      </w:r>
    </w:p>
    <w:p w14:paraId="5192EB46" w14:textId="675DC80B" w:rsidR="00C40B42" w:rsidRPr="00332FE2" w:rsidRDefault="00763DE6" w:rsidP="00332FE2">
      <w:pPr>
        <w:pStyle w:val="Caption"/>
        <w:rPr>
          <w:rFonts w:asciiTheme="majorBidi" w:eastAsia="SimSun" w:hAnsiTheme="majorBidi"/>
          <w:i w:val="0"/>
          <w:color w:val="000000" w:themeColor="text1"/>
          <w:kern w:val="0"/>
        </w:rPr>
      </w:pPr>
      <w:bookmarkStart w:id="116" w:name="_Toc47873896"/>
      <w:bookmarkStart w:id="117" w:name="_Toc47886021"/>
      <w:bookmarkEnd w:id="115"/>
      <w:r w:rsidRPr="00332FE2">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Pr>
          <w:rFonts w:asciiTheme="majorBidi" w:eastAsia="SimSun" w:hAnsiTheme="majorBidi" w:cstheme="majorBidi"/>
          <w:noProof/>
          <w:color w:val="000000" w:themeColor="text1"/>
          <w:kern w:val="0"/>
          <w:lang w:bidi="he-IL"/>
        </w:rPr>
        <w:t>4</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Bargaining Process</w:t>
      </w:r>
      <w:bookmarkEnd w:id="116"/>
      <w:bookmarkEnd w:id="117"/>
    </w:p>
    <w:tbl>
      <w:tblPr>
        <w:tblStyle w:val="TableGrid1"/>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260"/>
        <w:gridCol w:w="1080"/>
        <w:gridCol w:w="1080"/>
        <w:gridCol w:w="810"/>
        <w:gridCol w:w="1080"/>
      </w:tblGrid>
      <w:tr w:rsidR="00B04C4E" w:rsidRPr="00A61532" w14:paraId="4A039D13" w14:textId="77777777" w:rsidTr="00B04C4E">
        <w:tc>
          <w:tcPr>
            <w:tcW w:w="7290" w:type="dxa"/>
            <w:gridSpan w:val="6"/>
            <w:tcMar>
              <w:left w:w="0" w:type="dxa"/>
              <w:right w:w="0" w:type="dxa"/>
            </w:tcMar>
            <w:vAlign w:val="center"/>
          </w:tcPr>
          <w:p w14:paraId="02CE93AA" w14:textId="269A87D2" w:rsidR="00B04C4E" w:rsidRPr="00B04C4E" w:rsidRDefault="00B04C4E" w:rsidP="00B04C4E">
            <w:pPr>
              <w:widowControl/>
              <w:spacing w:line="360" w:lineRule="auto"/>
              <w:ind w:firstLine="0"/>
              <w:jc w:val="center"/>
              <w:rPr>
                <w:rFonts w:asciiTheme="majorBidi" w:hAnsiTheme="majorBidi" w:cstheme="majorBidi"/>
                <w:b/>
                <w:kern w:val="0"/>
                <w:sz w:val="20"/>
              </w:rPr>
            </w:pPr>
            <w:r w:rsidRPr="00B04C4E">
              <w:rPr>
                <w:rFonts w:asciiTheme="majorBidi" w:hAnsiTheme="majorBidi" w:cstheme="majorBidi"/>
                <w:b/>
                <w:kern w:val="0"/>
                <w:sz w:val="20"/>
              </w:rPr>
              <w:t>ERR Deals</w:t>
            </w:r>
          </w:p>
        </w:tc>
      </w:tr>
      <w:tr w:rsidR="00C40B42" w:rsidRPr="00A61532" w14:paraId="4F8F43CC" w14:textId="77777777" w:rsidTr="00B04C4E">
        <w:tc>
          <w:tcPr>
            <w:tcW w:w="1980" w:type="dxa"/>
            <w:tcBorders>
              <w:bottom w:val="double" w:sz="4" w:space="0" w:color="auto"/>
            </w:tcBorders>
            <w:tcMar>
              <w:left w:w="0" w:type="dxa"/>
              <w:right w:w="0" w:type="dxa"/>
            </w:tcMar>
            <w:vAlign w:val="center"/>
          </w:tcPr>
          <w:p w14:paraId="0C58C52F"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260" w:type="dxa"/>
            <w:tcBorders>
              <w:bottom w:val="double" w:sz="4" w:space="0" w:color="auto"/>
            </w:tcBorders>
            <w:tcMar>
              <w:left w:w="0" w:type="dxa"/>
              <w:right w:w="0" w:type="dxa"/>
            </w:tcMar>
            <w:vAlign w:val="center"/>
          </w:tcPr>
          <w:p w14:paraId="44914D0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Length of Process With Buyer (Days)</w:t>
            </w:r>
          </w:p>
        </w:tc>
        <w:tc>
          <w:tcPr>
            <w:tcW w:w="1080" w:type="dxa"/>
            <w:tcBorders>
              <w:bottom w:val="double" w:sz="4" w:space="0" w:color="auto"/>
            </w:tcBorders>
            <w:tcMar>
              <w:left w:w="0" w:type="dxa"/>
              <w:right w:w="0" w:type="dxa"/>
            </w:tcMar>
            <w:vAlign w:val="center"/>
          </w:tcPr>
          <w:p w14:paraId="1543EA4B"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Discussions With Other Parties</w:t>
            </w:r>
          </w:p>
        </w:tc>
        <w:tc>
          <w:tcPr>
            <w:tcW w:w="1080" w:type="dxa"/>
            <w:tcBorders>
              <w:bottom w:val="double" w:sz="4" w:space="0" w:color="auto"/>
            </w:tcBorders>
            <w:tcMar>
              <w:left w:w="0" w:type="dxa"/>
              <w:right w:w="0" w:type="dxa"/>
            </w:tcMar>
            <w:vAlign w:val="center"/>
          </w:tcPr>
          <w:p w14:paraId="69800B4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Offers By Other Parties</w:t>
            </w:r>
          </w:p>
        </w:tc>
        <w:tc>
          <w:tcPr>
            <w:tcW w:w="810" w:type="dxa"/>
            <w:tcBorders>
              <w:bottom w:val="double" w:sz="4" w:space="0" w:color="auto"/>
            </w:tcBorders>
            <w:tcMar>
              <w:left w:w="0" w:type="dxa"/>
              <w:right w:w="0" w:type="dxa"/>
            </w:tcMar>
            <w:vAlign w:val="center"/>
          </w:tcPr>
          <w:p w14:paraId="703E4A75"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Multiple Offers By Buyer</w:t>
            </w:r>
          </w:p>
        </w:tc>
        <w:tc>
          <w:tcPr>
            <w:tcW w:w="1080" w:type="dxa"/>
            <w:tcBorders>
              <w:bottom w:val="double" w:sz="4" w:space="0" w:color="auto"/>
            </w:tcBorders>
            <w:tcMar>
              <w:left w:w="115" w:type="dxa"/>
              <w:right w:w="0" w:type="dxa"/>
            </w:tcMar>
            <w:vAlign w:val="center"/>
          </w:tcPr>
          <w:p w14:paraId="20BB6144"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Deal Terms Improved?</w:t>
            </w:r>
          </w:p>
        </w:tc>
      </w:tr>
      <w:tr w:rsidR="00C40B42" w:rsidRPr="00A61532" w14:paraId="77352AA6" w14:textId="77777777" w:rsidTr="00C40B42">
        <w:tc>
          <w:tcPr>
            <w:tcW w:w="1980" w:type="dxa"/>
            <w:tcBorders>
              <w:top w:val="double" w:sz="4" w:space="0" w:color="auto"/>
            </w:tcBorders>
            <w:tcMar>
              <w:left w:w="0" w:type="dxa"/>
              <w:right w:w="0" w:type="dxa"/>
            </w:tcMar>
          </w:tcPr>
          <w:p w14:paraId="4628B7A2" w14:textId="77777777" w:rsidR="00C40B42" w:rsidRPr="00A61532" w:rsidRDefault="00C40B42" w:rsidP="00C40B42">
            <w:pPr>
              <w:widowControl/>
              <w:spacing w:beforeLines="40" w:before="96"/>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260" w:type="dxa"/>
            <w:tcBorders>
              <w:top w:val="double" w:sz="4" w:space="0" w:color="auto"/>
            </w:tcBorders>
            <w:tcMar>
              <w:left w:w="0" w:type="dxa"/>
              <w:right w:w="0" w:type="dxa"/>
            </w:tcMar>
          </w:tcPr>
          <w:p w14:paraId="2319A97B"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34</w:t>
            </w:r>
          </w:p>
        </w:tc>
        <w:tc>
          <w:tcPr>
            <w:tcW w:w="1080" w:type="dxa"/>
            <w:tcBorders>
              <w:top w:val="double" w:sz="4" w:space="0" w:color="auto"/>
            </w:tcBorders>
            <w:tcMar>
              <w:left w:w="0" w:type="dxa"/>
              <w:right w:w="0" w:type="dxa"/>
            </w:tcMar>
          </w:tcPr>
          <w:p w14:paraId="2A878F2E"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top w:val="double" w:sz="4" w:space="0" w:color="auto"/>
            </w:tcBorders>
            <w:tcMar>
              <w:left w:w="0" w:type="dxa"/>
              <w:right w:w="0" w:type="dxa"/>
            </w:tcMar>
          </w:tcPr>
          <w:p w14:paraId="2D8C93BB"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double" w:sz="4" w:space="0" w:color="auto"/>
            </w:tcBorders>
            <w:tcMar>
              <w:left w:w="0" w:type="dxa"/>
              <w:right w:w="0" w:type="dxa"/>
            </w:tcMar>
          </w:tcPr>
          <w:p w14:paraId="050C335F"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top w:val="double" w:sz="4" w:space="0" w:color="auto"/>
            </w:tcBorders>
            <w:tcMar>
              <w:left w:w="115" w:type="dxa"/>
              <w:right w:w="0" w:type="dxa"/>
            </w:tcMar>
          </w:tcPr>
          <w:p w14:paraId="401B6D19"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52AD722" w14:textId="77777777" w:rsidTr="00C40B42">
        <w:tc>
          <w:tcPr>
            <w:tcW w:w="1980" w:type="dxa"/>
            <w:tcMar>
              <w:left w:w="0" w:type="dxa"/>
              <w:right w:w="0" w:type="dxa"/>
            </w:tcMar>
          </w:tcPr>
          <w:p w14:paraId="4DB228F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260" w:type="dxa"/>
            <w:tcMar>
              <w:left w:w="0" w:type="dxa"/>
              <w:right w:w="0" w:type="dxa"/>
            </w:tcMar>
          </w:tcPr>
          <w:p w14:paraId="46D9DBD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200</w:t>
            </w:r>
          </w:p>
        </w:tc>
        <w:tc>
          <w:tcPr>
            <w:tcW w:w="1080" w:type="dxa"/>
            <w:tcMar>
              <w:left w:w="0" w:type="dxa"/>
              <w:right w:w="0" w:type="dxa"/>
            </w:tcMar>
          </w:tcPr>
          <w:p w14:paraId="2ED4116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18ACD3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393972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6BF4B0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F96A44A" w14:textId="77777777" w:rsidTr="00C40B42">
        <w:tc>
          <w:tcPr>
            <w:tcW w:w="1980" w:type="dxa"/>
            <w:tcMar>
              <w:left w:w="0" w:type="dxa"/>
              <w:right w:w="0" w:type="dxa"/>
            </w:tcMar>
          </w:tcPr>
          <w:p w14:paraId="778BF79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260" w:type="dxa"/>
            <w:tcMar>
              <w:left w:w="0" w:type="dxa"/>
              <w:right w:w="0" w:type="dxa"/>
            </w:tcMar>
          </w:tcPr>
          <w:p w14:paraId="4FA707B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137</w:t>
            </w:r>
          </w:p>
        </w:tc>
        <w:tc>
          <w:tcPr>
            <w:tcW w:w="1080" w:type="dxa"/>
            <w:tcMar>
              <w:left w:w="0" w:type="dxa"/>
              <w:right w:w="0" w:type="dxa"/>
            </w:tcMar>
          </w:tcPr>
          <w:p w14:paraId="55DFF4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0BC64A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5134543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5F8F82B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71E71497" w14:textId="77777777" w:rsidTr="00C40B42">
        <w:tc>
          <w:tcPr>
            <w:tcW w:w="1980" w:type="dxa"/>
            <w:tcMar>
              <w:left w:w="0" w:type="dxa"/>
              <w:right w:w="0" w:type="dxa"/>
            </w:tcMar>
          </w:tcPr>
          <w:p w14:paraId="71295D6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260" w:type="dxa"/>
            <w:tcMar>
              <w:left w:w="0" w:type="dxa"/>
              <w:right w:w="0" w:type="dxa"/>
            </w:tcMar>
          </w:tcPr>
          <w:p w14:paraId="5AF062C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319</w:t>
            </w:r>
          </w:p>
        </w:tc>
        <w:tc>
          <w:tcPr>
            <w:tcW w:w="1080" w:type="dxa"/>
            <w:tcMar>
              <w:left w:w="0" w:type="dxa"/>
              <w:right w:w="0" w:type="dxa"/>
            </w:tcMar>
          </w:tcPr>
          <w:p w14:paraId="530A2E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48AAC0A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59ACD5E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5696CA9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06A91EA5" w14:textId="77777777" w:rsidTr="00C40B42">
        <w:tc>
          <w:tcPr>
            <w:tcW w:w="1980" w:type="dxa"/>
            <w:tcMar>
              <w:left w:w="0" w:type="dxa"/>
              <w:right w:w="0" w:type="dxa"/>
            </w:tcMar>
          </w:tcPr>
          <w:p w14:paraId="490DC9D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260" w:type="dxa"/>
            <w:tcMar>
              <w:left w:w="0" w:type="dxa"/>
              <w:right w:w="0" w:type="dxa"/>
            </w:tcMar>
          </w:tcPr>
          <w:p w14:paraId="3105D11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42</w:t>
            </w:r>
          </w:p>
        </w:tc>
        <w:tc>
          <w:tcPr>
            <w:tcW w:w="1080" w:type="dxa"/>
            <w:tcMar>
              <w:left w:w="0" w:type="dxa"/>
              <w:right w:w="0" w:type="dxa"/>
            </w:tcMar>
          </w:tcPr>
          <w:p w14:paraId="4732525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708DB34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0723F60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09A128D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5CD0C58" w14:textId="77777777" w:rsidTr="00C40B42">
        <w:tc>
          <w:tcPr>
            <w:tcW w:w="1980" w:type="dxa"/>
            <w:tcMar>
              <w:left w:w="0" w:type="dxa"/>
              <w:right w:w="0" w:type="dxa"/>
            </w:tcMar>
          </w:tcPr>
          <w:p w14:paraId="2109658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260" w:type="dxa"/>
            <w:tcMar>
              <w:left w:w="0" w:type="dxa"/>
              <w:right w:w="0" w:type="dxa"/>
            </w:tcMar>
          </w:tcPr>
          <w:p w14:paraId="0089A24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230</w:t>
            </w:r>
          </w:p>
        </w:tc>
        <w:tc>
          <w:tcPr>
            <w:tcW w:w="1080" w:type="dxa"/>
            <w:tcMar>
              <w:left w:w="0" w:type="dxa"/>
              <w:right w:w="0" w:type="dxa"/>
            </w:tcMar>
          </w:tcPr>
          <w:p w14:paraId="3B22246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27DC45C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486D18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1C5DCEA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2133FB5" w14:textId="77777777" w:rsidTr="00C40B42">
        <w:tc>
          <w:tcPr>
            <w:tcW w:w="1980" w:type="dxa"/>
            <w:tcMar>
              <w:left w:w="0" w:type="dxa"/>
              <w:right w:w="0" w:type="dxa"/>
            </w:tcMar>
          </w:tcPr>
          <w:p w14:paraId="365F709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260" w:type="dxa"/>
            <w:tcMar>
              <w:left w:w="0" w:type="dxa"/>
              <w:right w:w="0" w:type="dxa"/>
            </w:tcMar>
          </w:tcPr>
          <w:p w14:paraId="066F75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300</w:t>
            </w:r>
          </w:p>
        </w:tc>
        <w:tc>
          <w:tcPr>
            <w:tcW w:w="1080" w:type="dxa"/>
            <w:tcMar>
              <w:left w:w="0" w:type="dxa"/>
              <w:right w:w="0" w:type="dxa"/>
            </w:tcMar>
          </w:tcPr>
          <w:p w14:paraId="7CF1DFA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661E0DD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A05DAD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115" w:type="dxa"/>
              <w:right w:w="0" w:type="dxa"/>
            </w:tcMar>
          </w:tcPr>
          <w:p w14:paraId="3DA8DC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55D71B4" w14:textId="77777777" w:rsidTr="00C40B42">
        <w:tc>
          <w:tcPr>
            <w:tcW w:w="1980" w:type="dxa"/>
            <w:tcMar>
              <w:left w:w="0" w:type="dxa"/>
              <w:right w:w="0" w:type="dxa"/>
            </w:tcMar>
          </w:tcPr>
          <w:p w14:paraId="077FAD5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260" w:type="dxa"/>
            <w:tcMar>
              <w:left w:w="0" w:type="dxa"/>
              <w:right w:w="0" w:type="dxa"/>
            </w:tcMar>
          </w:tcPr>
          <w:p w14:paraId="4828B67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241</w:t>
            </w:r>
          </w:p>
        </w:tc>
        <w:tc>
          <w:tcPr>
            <w:tcW w:w="1080" w:type="dxa"/>
            <w:tcMar>
              <w:left w:w="0" w:type="dxa"/>
              <w:right w:w="0" w:type="dxa"/>
            </w:tcMar>
          </w:tcPr>
          <w:p w14:paraId="5CEDF7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30319AA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7A05B4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47FBE3C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7F1FFB8" w14:textId="77777777" w:rsidTr="00C40B42">
        <w:tc>
          <w:tcPr>
            <w:tcW w:w="1980" w:type="dxa"/>
            <w:tcMar>
              <w:left w:w="0" w:type="dxa"/>
              <w:right w:w="0" w:type="dxa"/>
            </w:tcMar>
          </w:tcPr>
          <w:p w14:paraId="0CDFD34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260" w:type="dxa"/>
            <w:tcMar>
              <w:left w:w="0" w:type="dxa"/>
              <w:right w:w="0" w:type="dxa"/>
            </w:tcMar>
          </w:tcPr>
          <w:p w14:paraId="01B8BF7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95</w:t>
            </w:r>
          </w:p>
        </w:tc>
        <w:tc>
          <w:tcPr>
            <w:tcW w:w="1080" w:type="dxa"/>
            <w:tcMar>
              <w:left w:w="0" w:type="dxa"/>
              <w:right w:w="0" w:type="dxa"/>
            </w:tcMar>
          </w:tcPr>
          <w:p w14:paraId="27969B1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57C981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880A80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2ABB211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771D323D" w14:textId="77777777" w:rsidTr="00C40B42">
        <w:tc>
          <w:tcPr>
            <w:tcW w:w="1980" w:type="dxa"/>
            <w:tcMar>
              <w:left w:w="0" w:type="dxa"/>
              <w:right w:w="0" w:type="dxa"/>
            </w:tcMar>
          </w:tcPr>
          <w:p w14:paraId="49EC19C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260" w:type="dxa"/>
            <w:tcMar>
              <w:left w:w="0" w:type="dxa"/>
              <w:right w:w="0" w:type="dxa"/>
            </w:tcMar>
          </w:tcPr>
          <w:p w14:paraId="01A68CC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195</w:t>
            </w:r>
          </w:p>
        </w:tc>
        <w:tc>
          <w:tcPr>
            <w:tcW w:w="1080" w:type="dxa"/>
            <w:tcMar>
              <w:left w:w="0" w:type="dxa"/>
              <w:right w:w="0" w:type="dxa"/>
            </w:tcMar>
          </w:tcPr>
          <w:p w14:paraId="6D73E78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12858D6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288E24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7007D25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2C153E6" w14:textId="77777777" w:rsidTr="00C40B42">
        <w:tc>
          <w:tcPr>
            <w:tcW w:w="1980" w:type="dxa"/>
            <w:tcMar>
              <w:left w:w="0" w:type="dxa"/>
              <w:right w:w="0" w:type="dxa"/>
            </w:tcMar>
          </w:tcPr>
          <w:p w14:paraId="361D37E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lastRenderedPageBreak/>
              <w:t>Genesis HealthCare</w:t>
            </w:r>
          </w:p>
        </w:tc>
        <w:tc>
          <w:tcPr>
            <w:tcW w:w="1260" w:type="dxa"/>
            <w:tcMar>
              <w:left w:w="0" w:type="dxa"/>
              <w:right w:w="0" w:type="dxa"/>
            </w:tcMar>
          </w:tcPr>
          <w:p w14:paraId="19F5BE5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66</w:t>
            </w:r>
          </w:p>
        </w:tc>
        <w:tc>
          <w:tcPr>
            <w:tcW w:w="1080" w:type="dxa"/>
            <w:tcMar>
              <w:left w:w="0" w:type="dxa"/>
              <w:right w:w="0" w:type="dxa"/>
            </w:tcMar>
          </w:tcPr>
          <w:p w14:paraId="0393859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4D77D8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09B8A12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0B0A3C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0B8F500" w14:textId="77777777" w:rsidTr="00C40B42">
        <w:tc>
          <w:tcPr>
            <w:tcW w:w="1980" w:type="dxa"/>
            <w:tcBorders>
              <w:bottom w:val="single" w:sz="4" w:space="0" w:color="auto"/>
            </w:tcBorders>
            <w:tcMar>
              <w:left w:w="0" w:type="dxa"/>
              <w:right w:w="0" w:type="dxa"/>
            </w:tcMar>
          </w:tcPr>
          <w:p w14:paraId="6DBC6941"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260" w:type="dxa"/>
            <w:tcBorders>
              <w:bottom w:val="single" w:sz="4" w:space="0" w:color="auto"/>
            </w:tcBorders>
            <w:tcMar>
              <w:left w:w="0" w:type="dxa"/>
              <w:right w:w="0" w:type="dxa"/>
            </w:tcMar>
          </w:tcPr>
          <w:p w14:paraId="701EE67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115</w:t>
            </w:r>
          </w:p>
        </w:tc>
        <w:tc>
          <w:tcPr>
            <w:tcW w:w="1080" w:type="dxa"/>
            <w:tcBorders>
              <w:bottom w:val="single" w:sz="4" w:space="0" w:color="auto"/>
            </w:tcBorders>
            <w:tcMar>
              <w:left w:w="0" w:type="dxa"/>
              <w:right w:w="0" w:type="dxa"/>
            </w:tcMar>
          </w:tcPr>
          <w:p w14:paraId="6C7D174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15F234B1"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07DC2B91"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bottom w:val="single" w:sz="4" w:space="0" w:color="auto"/>
            </w:tcBorders>
            <w:tcMar>
              <w:left w:w="115" w:type="dxa"/>
              <w:right w:w="0" w:type="dxa"/>
            </w:tcMar>
          </w:tcPr>
          <w:p w14:paraId="2480152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80EFE51" w14:textId="77777777" w:rsidTr="00C40B42">
        <w:tc>
          <w:tcPr>
            <w:tcW w:w="1980" w:type="dxa"/>
            <w:tcBorders>
              <w:top w:val="single" w:sz="4" w:space="0" w:color="auto"/>
            </w:tcBorders>
            <w:tcMar>
              <w:left w:w="0" w:type="dxa"/>
              <w:right w:w="0" w:type="dxa"/>
            </w:tcMar>
          </w:tcPr>
          <w:p w14:paraId="329BEDCC"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260" w:type="dxa"/>
            <w:tcBorders>
              <w:top w:val="single" w:sz="4" w:space="0" w:color="auto"/>
            </w:tcBorders>
            <w:tcMar>
              <w:left w:w="0" w:type="dxa"/>
              <w:right w:w="0" w:type="dxa"/>
            </w:tcMar>
          </w:tcPr>
          <w:p w14:paraId="22FE7B0F" w14:textId="62FE9B91"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164</w:t>
            </w:r>
          </w:p>
        </w:tc>
        <w:tc>
          <w:tcPr>
            <w:tcW w:w="1080" w:type="dxa"/>
            <w:tcBorders>
              <w:top w:val="single" w:sz="4" w:space="0" w:color="auto"/>
            </w:tcBorders>
            <w:tcMar>
              <w:left w:w="0" w:type="dxa"/>
              <w:right w:w="0" w:type="dxa"/>
            </w:tcMar>
          </w:tcPr>
          <w:p w14:paraId="17C3C10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4BD0BD1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21F3519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115" w:type="dxa"/>
              <w:right w:w="0" w:type="dxa"/>
            </w:tcMar>
          </w:tcPr>
          <w:p w14:paraId="0E8D916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CF1A437" w14:textId="77777777" w:rsidTr="00C40B42">
        <w:tc>
          <w:tcPr>
            <w:tcW w:w="1980" w:type="dxa"/>
            <w:tcMar>
              <w:left w:w="0" w:type="dxa"/>
              <w:right w:w="0" w:type="dxa"/>
            </w:tcMar>
          </w:tcPr>
          <w:p w14:paraId="223F5F97"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260" w:type="dxa"/>
            <w:tcMar>
              <w:left w:w="0" w:type="dxa"/>
              <w:right w:w="0" w:type="dxa"/>
            </w:tcMar>
          </w:tcPr>
          <w:p w14:paraId="7442E87D" w14:textId="3889E24E"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166</w:t>
            </w:r>
          </w:p>
        </w:tc>
        <w:tc>
          <w:tcPr>
            <w:tcW w:w="1080" w:type="dxa"/>
            <w:tcMar>
              <w:left w:w="0" w:type="dxa"/>
              <w:right w:w="0" w:type="dxa"/>
            </w:tcMar>
          </w:tcPr>
          <w:p w14:paraId="45DDEBE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6DB118A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3E0B769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115" w:type="dxa"/>
              <w:right w:w="0" w:type="dxa"/>
            </w:tcMar>
          </w:tcPr>
          <w:p w14:paraId="58D05FA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56C0C82B" w14:textId="77777777" w:rsidTr="00C40B42">
        <w:tc>
          <w:tcPr>
            <w:tcW w:w="1980" w:type="dxa"/>
            <w:tcMar>
              <w:left w:w="0" w:type="dxa"/>
              <w:right w:w="0" w:type="dxa"/>
            </w:tcMar>
          </w:tcPr>
          <w:p w14:paraId="6D35AE11"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260" w:type="dxa"/>
            <w:tcMar>
              <w:left w:w="0" w:type="dxa"/>
              <w:right w:w="0" w:type="dxa"/>
            </w:tcMar>
          </w:tcPr>
          <w:p w14:paraId="3F63A5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6CC0E7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75%</w:t>
            </w:r>
          </w:p>
        </w:tc>
        <w:tc>
          <w:tcPr>
            <w:tcW w:w="1080" w:type="dxa"/>
            <w:tcMar>
              <w:left w:w="0" w:type="dxa"/>
              <w:right w:w="0" w:type="dxa"/>
            </w:tcMar>
          </w:tcPr>
          <w:p w14:paraId="3F7D0CC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50%</w:t>
            </w:r>
          </w:p>
        </w:tc>
        <w:tc>
          <w:tcPr>
            <w:tcW w:w="810" w:type="dxa"/>
            <w:tcMar>
              <w:left w:w="0" w:type="dxa"/>
              <w:right w:w="0" w:type="dxa"/>
            </w:tcMar>
          </w:tcPr>
          <w:p w14:paraId="3B6050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080" w:type="dxa"/>
            <w:tcMar>
              <w:left w:w="115" w:type="dxa"/>
              <w:right w:w="0" w:type="dxa"/>
            </w:tcMar>
          </w:tcPr>
          <w:p w14:paraId="78F7D55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100%</w:t>
            </w:r>
          </w:p>
        </w:tc>
      </w:tr>
      <w:tr w:rsidR="00B04C4E" w:rsidRPr="00A61532" w14:paraId="5A885F2E" w14:textId="77777777" w:rsidTr="00EC5918">
        <w:tc>
          <w:tcPr>
            <w:tcW w:w="7290" w:type="dxa"/>
            <w:gridSpan w:val="6"/>
            <w:tcBorders>
              <w:top w:val="single" w:sz="4" w:space="0" w:color="auto"/>
            </w:tcBorders>
            <w:tcMar>
              <w:left w:w="0" w:type="dxa"/>
              <w:right w:w="0" w:type="dxa"/>
            </w:tcMar>
          </w:tcPr>
          <w:p w14:paraId="52DF45DF" w14:textId="5F131D2A" w:rsidR="00B04C4E" w:rsidRPr="00A61532" w:rsidRDefault="00B04C4E" w:rsidP="00B04C4E">
            <w:pPr>
              <w:widowControl/>
              <w:spacing w:beforeLines="40" w:before="96" w:line="360" w:lineRule="auto"/>
              <w:ind w:firstLine="0"/>
              <w:jc w:val="center"/>
              <w:rPr>
                <w:rFonts w:asciiTheme="majorBidi" w:hAnsiTheme="majorBidi" w:cstheme="majorBidi"/>
                <w:kern w:val="0"/>
                <w:sz w:val="20"/>
              </w:rPr>
            </w:pPr>
            <w:r>
              <w:rPr>
                <w:rFonts w:asciiTheme="majorBidi" w:hAnsiTheme="majorBidi" w:cstheme="majorBidi"/>
                <w:b/>
                <w:kern w:val="0"/>
                <w:sz w:val="20"/>
              </w:rPr>
              <w:t>Non-</w:t>
            </w:r>
            <w:r w:rsidRPr="00B04C4E">
              <w:rPr>
                <w:rFonts w:asciiTheme="majorBidi" w:hAnsiTheme="majorBidi" w:cstheme="majorBidi"/>
                <w:b/>
                <w:kern w:val="0"/>
                <w:sz w:val="20"/>
              </w:rPr>
              <w:t>ERR Deals</w:t>
            </w:r>
          </w:p>
        </w:tc>
      </w:tr>
      <w:tr w:rsidR="00C40B42" w:rsidRPr="00A61532" w14:paraId="3BDB87EE" w14:textId="77777777" w:rsidTr="00C40B42">
        <w:tc>
          <w:tcPr>
            <w:tcW w:w="1980" w:type="dxa"/>
            <w:tcBorders>
              <w:top w:val="single" w:sz="4" w:space="0" w:color="auto"/>
            </w:tcBorders>
            <w:tcMar>
              <w:left w:w="0" w:type="dxa"/>
              <w:right w:w="0" w:type="dxa"/>
            </w:tcMar>
          </w:tcPr>
          <w:p w14:paraId="3CCBF7CE" w14:textId="77777777" w:rsidR="00C40B42" w:rsidRPr="00A61532" w:rsidRDefault="00C40B42" w:rsidP="00C40B42">
            <w:pPr>
              <w:widowControl/>
              <w:spacing w:beforeLines="40" w:before="96"/>
              <w:ind w:firstLine="0"/>
              <w:jc w:val="left"/>
              <w:rPr>
                <w:rFonts w:asciiTheme="majorBidi" w:hAnsiTheme="majorBidi" w:cstheme="majorBidi"/>
                <w:i/>
                <w:iCs/>
                <w:kern w:val="0"/>
                <w:sz w:val="20"/>
              </w:rPr>
            </w:pPr>
            <w:r w:rsidRPr="00A61532">
              <w:rPr>
                <w:rFonts w:asciiTheme="majorBidi" w:hAnsiTheme="majorBidi" w:cstheme="majorBidi"/>
                <w:i/>
                <w:iCs/>
                <w:kern w:val="0"/>
                <w:sz w:val="20"/>
              </w:rPr>
              <w:t>EMC</w:t>
            </w:r>
          </w:p>
        </w:tc>
        <w:tc>
          <w:tcPr>
            <w:tcW w:w="1260" w:type="dxa"/>
            <w:tcBorders>
              <w:top w:val="single" w:sz="4" w:space="0" w:color="auto"/>
            </w:tcBorders>
            <w:tcMar>
              <w:left w:w="0" w:type="dxa"/>
              <w:right w:w="0" w:type="dxa"/>
            </w:tcMar>
          </w:tcPr>
          <w:p w14:paraId="77EE8009"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362</w:t>
            </w:r>
          </w:p>
        </w:tc>
        <w:tc>
          <w:tcPr>
            <w:tcW w:w="1080" w:type="dxa"/>
            <w:tcBorders>
              <w:top w:val="single" w:sz="4" w:space="0" w:color="auto"/>
            </w:tcBorders>
            <w:tcMar>
              <w:left w:w="0" w:type="dxa"/>
              <w:right w:w="0" w:type="dxa"/>
            </w:tcMar>
          </w:tcPr>
          <w:p w14:paraId="13B2D02F"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top w:val="single" w:sz="4" w:space="0" w:color="auto"/>
            </w:tcBorders>
            <w:tcMar>
              <w:left w:w="0" w:type="dxa"/>
              <w:right w:w="0" w:type="dxa"/>
            </w:tcMar>
          </w:tcPr>
          <w:p w14:paraId="4DE958BD"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single" w:sz="4" w:space="0" w:color="auto"/>
            </w:tcBorders>
            <w:tcMar>
              <w:left w:w="0" w:type="dxa"/>
              <w:right w:w="0" w:type="dxa"/>
            </w:tcMar>
          </w:tcPr>
          <w:p w14:paraId="0BFE374F"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top w:val="single" w:sz="4" w:space="0" w:color="auto"/>
            </w:tcBorders>
            <w:tcMar>
              <w:left w:w="115" w:type="dxa"/>
              <w:right w:w="0" w:type="dxa"/>
            </w:tcMar>
          </w:tcPr>
          <w:p w14:paraId="329C93B6"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9776143" w14:textId="77777777" w:rsidTr="00C40B42">
        <w:tc>
          <w:tcPr>
            <w:tcW w:w="1980" w:type="dxa"/>
            <w:tcMar>
              <w:left w:w="0" w:type="dxa"/>
              <w:right w:w="0" w:type="dxa"/>
            </w:tcMar>
          </w:tcPr>
          <w:p w14:paraId="6FFA94F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TXU</w:t>
            </w:r>
          </w:p>
        </w:tc>
        <w:tc>
          <w:tcPr>
            <w:tcW w:w="1260" w:type="dxa"/>
            <w:tcMar>
              <w:left w:w="0" w:type="dxa"/>
              <w:right w:w="0" w:type="dxa"/>
            </w:tcMar>
          </w:tcPr>
          <w:p w14:paraId="7B32C4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90</w:t>
            </w:r>
          </w:p>
        </w:tc>
        <w:tc>
          <w:tcPr>
            <w:tcW w:w="1080" w:type="dxa"/>
            <w:tcMar>
              <w:left w:w="0" w:type="dxa"/>
              <w:right w:w="0" w:type="dxa"/>
            </w:tcMar>
          </w:tcPr>
          <w:p w14:paraId="65B559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792ABF5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7FAEB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7020129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3303744F" w14:textId="77777777" w:rsidTr="00C40B42">
        <w:tc>
          <w:tcPr>
            <w:tcW w:w="1980" w:type="dxa"/>
            <w:tcMar>
              <w:left w:w="0" w:type="dxa"/>
              <w:right w:w="0" w:type="dxa"/>
            </w:tcMar>
          </w:tcPr>
          <w:p w14:paraId="13DB18C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1260" w:type="dxa"/>
            <w:tcMar>
              <w:left w:w="0" w:type="dxa"/>
              <w:right w:w="0" w:type="dxa"/>
            </w:tcMar>
          </w:tcPr>
          <w:p w14:paraId="5752C1D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36</w:t>
            </w:r>
          </w:p>
        </w:tc>
        <w:tc>
          <w:tcPr>
            <w:tcW w:w="1080" w:type="dxa"/>
            <w:tcMar>
              <w:left w:w="0" w:type="dxa"/>
              <w:right w:w="0" w:type="dxa"/>
            </w:tcMar>
          </w:tcPr>
          <w:p w14:paraId="1CE43C3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7AE7BAC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26F5ADE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3A1E2F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3D187663" w14:textId="77777777" w:rsidTr="00C40B42">
        <w:tc>
          <w:tcPr>
            <w:tcW w:w="1980" w:type="dxa"/>
            <w:tcMar>
              <w:left w:w="0" w:type="dxa"/>
              <w:right w:w="0" w:type="dxa"/>
            </w:tcMar>
          </w:tcPr>
          <w:p w14:paraId="2691DAA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1260" w:type="dxa"/>
            <w:tcMar>
              <w:left w:w="0" w:type="dxa"/>
              <w:right w:w="0" w:type="dxa"/>
            </w:tcMar>
          </w:tcPr>
          <w:p w14:paraId="447F39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109</w:t>
            </w:r>
          </w:p>
        </w:tc>
        <w:tc>
          <w:tcPr>
            <w:tcW w:w="1080" w:type="dxa"/>
            <w:tcMar>
              <w:left w:w="0" w:type="dxa"/>
              <w:right w:w="0" w:type="dxa"/>
            </w:tcMar>
          </w:tcPr>
          <w:p w14:paraId="5FC23A4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3941E2E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FAB559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5B007F1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EC375F6" w14:textId="77777777" w:rsidTr="00C40B42">
        <w:tc>
          <w:tcPr>
            <w:tcW w:w="1980" w:type="dxa"/>
            <w:tcMar>
              <w:left w:w="0" w:type="dxa"/>
              <w:right w:w="0" w:type="dxa"/>
            </w:tcMar>
          </w:tcPr>
          <w:p w14:paraId="6E82966B" w14:textId="77777777" w:rsidR="00C40B42" w:rsidRPr="00A61532" w:rsidRDefault="00C40B42" w:rsidP="00C40B42">
            <w:pPr>
              <w:widowControl/>
              <w:ind w:firstLine="0"/>
              <w:jc w:val="left"/>
              <w:rPr>
                <w:rFonts w:asciiTheme="majorBidi" w:hAnsiTheme="majorBidi" w:cstheme="majorBidi"/>
                <w:i/>
                <w:iCs/>
                <w:kern w:val="0"/>
                <w:sz w:val="20"/>
              </w:rPr>
            </w:pPr>
            <w:proofErr w:type="spellStart"/>
            <w:r w:rsidRPr="00A61532">
              <w:rPr>
                <w:rFonts w:asciiTheme="majorBidi" w:hAnsiTheme="majorBidi" w:cstheme="majorBidi"/>
                <w:i/>
                <w:iCs/>
                <w:kern w:val="0"/>
                <w:sz w:val="20"/>
              </w:rPr>
              <w:t>Parexel</w:t>
            </w:r>
            <w:proofErr w:type="spellEnd"/>
          </w:p>
        </w:tc>
        <w:tc>
          <w:tcPr>
            <w:tcW w:w="1260" w:type="dxa"/>
            <w:tcMar>
              <w:left w:w="0" w:type="dxa"/>
              <w:right w:w="0" w:type="dxa"/>
            </w:tcMar>
          </w:tcPr>
          <w:p w14:paraId="22D17AA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74</w:t>
            </w:r>
          </w:p>
        </w:tc>
        <w:tc>
          <w:tcPr>
            <w:tcW w:w="1080" w:type="dxa"/>
            <w:tcMar>
              <w:left w:w="0" w:type="dxa"/>
              <w:right w:w="0" w:type="dxa"/>
            </w:tcMar>
          </w:tcPr>
          <w:p w14:paraId="595A8B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0197D7D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393F1F3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459CE32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C7CE098" w14:textId="77777777" w:rsidTr="00C40B42">
        <w:tc>
          <w:tcPr>
            <w:tcW w:w="1980" w:type="dxa"/>
            <w:tcMar>
              <w:left w:w="0" w:type="dxa"/>
              <w:right w:w="0" w:type="dxa"/>
            </w:tcMar>
          </w:tcPr>
          <w:p w14:paraId="1B911E9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1260" w:type="dxa"/>
            <w:tcMar>
              <w:left w:w="0" w:type="dxa"/>
              <w:right w:w="0" w:type="dxa"/>
            </w:tcMar>
          </w:tcPr>
          <w:p w14:paraId="294F07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82</w:t>
            </w:r>
          </w:p>
        </w:tc>
        <w:tc>
          <w:tcPr>
            <w:tcW w:w="1080" w:type="dxa"/>
            <w:tcMar>
              <w:left w:w="0" w:type="dxa"/>
              <w:right w:w="0" w:type="dxa"/>
            </w:tcMar>
          </w:tcPr>
          <w:p w14:paraId="57D258E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3BA897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4DC0CC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787C881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C0494D1" w14:textId="77777777" w:rsidTr="00C40B42">
        <w:tc>
          <w:tcPr>
            <w:tcW w:w="1980" w:type="dxa"/>
            <w:tcMar>
              <w:left w:w="0" w:type="dxa"/>
              <w:right w:w="0" w:type="dxa"/>
            </w:tcMar>
          </w:tcPr>
          <w:p w14:paraId="3DC12121" w14:textId="7D4836B4"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D6753A">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260" w:type="dxa"/>
            <w:tcMar>
              <w:left w:w="0" w:type="dxa"/>
              <w:right w:w="0" w:type="dxa"/>
            </w:tcMar>
          </w:tcPr>
          <w:p w14:paraId="3520B6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160</w:t>
            </w:r>
          </w:p>
        </w:tc>
        <w:tc>
          <w:tcPr>
            <w:tcW w:w="1080" w:type="dxa"/>
            <w:tcMar>
              <w:left w:w="0" w:type="dxa"/>
              <w:right w:w="0" w:type="dxa"/>
            </w:tcMar>
          </w:tcPr>
          <w:p w14:paraId="43107DD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6AB90F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589B46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115" w:type="dxa"/>
              <w:right w:w="0" w:type="dxa"/>
            </w:tcMar>
          </w:tcPr>
          <w:p w14:paraId="57FACFD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1D69349" w14:textId="77777777" w:rsidTr="00C40B42">
        <w:tc>
          <w:tcPr>
            <w:tcW w:w="1980" w:type="dxa"/>
            <w:tcMar>
              <w:left w:w="0" w:type="dxa"/>
              <w:right w:w="0" w:type="dxa"/>
            </w:tcMar>
          </w:tcPr>
          <w:p w14:paraId="66CDFFB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1260" w:type="dxa"/>
            <w:tcMar>
              <w:left w:w="0" w:type="dxa"/>
              <w:right w:w="0" w:type="dxa"/>
            </w:tcMar>
          </w:tcPr>
          <w:p w14:paraId="07D8485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77</w:t>
            </w:r>
          </w:p>
        </w:tc>
        <w:tc>
          <w:tcPr>
            <w:tcW w:w="1080" w:type="dxa"/>
            <w:tcMar>
              <w:left w:w="0" w:type="dxa"/>
              <w:right w:w="0" w:type="dxa"/>
            </w:tcMar>
          </w:tcPr>
          <w:p w14:paraId="0F5B9C7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488EC59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8401B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3E64888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F6121F3" w14:textId="77777777" w:rsidTr="00C40B42">
        <w:tc>
          <w:tcPr>
            <w:tcW w:w="1980" w:type="dxa"/>
            <w:tcMar>
              <w:left w:w="0" w:type="dxa"/>
              <w:right w:w="0" w:type="dxa"/>
            </w:tcMar>
          </w:tcPr>
          <w:p w14:paraId="0FDD351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1260" w:type="dxa"/>
            <w:tcMar>
              <w:left w:w="0" w:type="dxa"/>
              <w:right w:w="0" w:type="dxa"/>
            </w:tcMar>
          </w:tcPr>
          <w:p w14:paraId="344B21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121</w:t>
            </w:r>
          </w:p>
        </w:tc>
        <w:tc>
          <w:tcPr>
            <w:tcW w:w="1080" w:type="dxa"/>
            <w:tcMar>
              <w:left w:w="0" w:type="dxa"/>
              <w:right w:w="0" w:type="dxa"/>
            </w:tcMar>
          </w:tcPr>
          <w:p w14:paraId="4155E8A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17CABC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57AFAF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09E3488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102896F" w14:textId="77777777" w:rsidTr="00C40B42">
        <w:tc>
          <w:tcPr>
            <w:tcW w:w="1980" w:type="dxa"/>
            <w:tcMar>
              <w:left w:w="0" w:type="dxa"/>
              <w:right w:w="0" w:type="dxa"/>
            </w:tcMar>
          </w:tcPr>
          <w:p w14:paraId="7C60641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260" w:type="dxa"/>
            <w:tcMar>
              <w:left w:w="0" w:type="dxa"/>
              <w:right w:w="0" w:type="dxa"/>
            </w:tcMar>
          </w:tcPr>
          <w:p w14:paraId="18ED515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84</w:t>
            </w:r>
          </w:p>
        </w:tc>
        <w:tc>
          <w:tcPr>
            <w:tcW w:w="1080" w:type="dxa"/>
            <w:tcMar>
              <w:left w:w="0" w:type="dxa"/>
              <w:right w:w="0" w:type="dxa"/>
            </w:tcMar>
          </w:tcPr>
          <w:p w14:paraId="6355BE2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6B6DF38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742475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35C8521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03225152" w14:textId="77777777" w:rsidTr="00C40B42">
        <w:tc>
          <w:tcPr>
            <w:tcW w:w="1980" w:type="dxa"/>
            <w:tcMar>
              <w:left w:w="0" w:type="dxa"/>
              <w:right w:w="0" w:type="dxa"/>
            </w:tcMar>
          </w:tcPr>
          <w:p w14:paraId="395F46E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1260" w:type="dxa"/>
            <w:tcMar>
              <w:left w:w="0" w:type="dxa"/>
              <w:right w:w="0" w:type="dxa"/>
            </w:tcMar>
          </w:tcPr>
          <w:p w14:paraId="17310FF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160</w:t>
            </w:r>
          </w:p>
        </w:tc>
        <w:tc>
          <w:tcPr>
            <w:tcW w:w="1080" w:type="dxa"/>
            <w:tcMar>
              <w:left w:w="0" w:type="dxa"/>
              <w:right w:w="0" w:type="dxa"/>
            </w:tcMar>
          </w:tcPr>
          <w:p w14:paraId="503E926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0B84710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72F12F6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29B440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FAA178A" w14:textId="77777777" w:rsidTr="00C40B42">
        <w:tc>
          <w:tcPr>
            <w:tcW w:w="1980" w:type="dxa"/>
            <w:tcBorders>
              <w:bottom w:val="single" w:sz="4" w:space="0" w:color="auto"/>
            </w:tcBorders>
            <w:tcMar>
              <w:left w:w="0" w:type="dxa"/>
              <w:right w:w="0" w:type="dxa"/>
            </w:tcMar>
          </w:tcPr>
          <w:p w14:paraId="56965ECD"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260" w:type="dxa"/>
            <w:tcBorders>
              <w:bottom w:val="single" w:sz="4" w:space="0" w:color="auto"/>
            </w:tcBorders>
            <w:tcMar>
              <w:left w:w="0" w:type="dxa"/>
              <w:right w:w="0" w:type="dxa"/>
            </w:tcMar>
          </w:tcPr>
          <w:p w14:paraId="61BFB82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263</w:t>
            </w:r>
          </w:p>
        </w:tc>
        <w:tc>
          <w:tcPr>
            <w:tcW w:w="1080" w:type="dxa"/>
            <w:tcBorders>
              <w:bottom w:val="single" w:sz="4" w:space="0" w:color="auto"/>
            </w:tcBorders>
            <w:tcMar>
              <w:left w:w="0" w:type="dxa"/>
              <w:right w:w="0" w:type="dxa"/>
            </w:tcMar>
          </w:tcPr>
          <w:p w14:paraId="1308FE0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5B04F83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68B2B13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bottom w:val="single" w:sz="4" w:space="0" w:color="auto"/>
            </w:tcBorders>
            <w:tcMar>
              <w:left w:w="115" w:type="dxa"/>
              <w:right w:w="0" w:type="dxa"/>
            </w:tcMar>
          </w:tcPr>
          <w:p w14:paraId="2A44778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68382C6" w14:textId="77777777" w:rsidTr="00C40B42">
        <w:tc>
          <w:tcPr>
            <w:tcW w:w="1980" w:type="dxa"/>
            <w:tcBorders>
              <w:top w:val="single" w:sz="4" w:space="0" w:color="auto"/>
            </w:tcBorders>
            <w:tcMar>
              <w:left w:w="0" w:type="dxa"/>
              <w:right w:w="0" w:type="dxa"/>
            </w:tcMar>
          </w:tcPr>
          <w:p w14:paraId="5B55C406"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Mean</w:t>
            </w:r>
          </w:p>
        </w:tc>
        <w:tc>
          <w:tcPr>
            <w:tcW w:w="1260" w:type="dxa"/>
            <w:tcBorders>
              <w:top w:val="single" w:sz="4" w:space="0" w:color="auto"/>
            </w:tcBorders>
            <w:tcMar>
              <w:left w:w="0" w:type="dxa"/>
              <w:right w:w="0" w:type="dxa"/>
            </w:tcMar>
          </w:tcPr>
          <w:p w14:paraId="044E118B" w14:textId="7423A21F"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w:t>
            </w:r>
            <w:r w:rsidR="008C118E">
              <w:rPr>
                <w:rFonts w:asciiTheme="majorBidi" w:hAnsiTheme="majorBidi" w:cstheme="majorBidi"/>
                <w:kern w:val="0"/>
                <w:sz w:val="20"/>
              </w:rPr>
              <w:t>4</w:t>
            </w:r>
          </w:p>
        </w:tc>
        <w:tc>
          <w:tcPr>
            <w:tcW w:w="1080" w:type="dxa"/>
            <w:tcBorders>
              <w:top w:val="single" w:sz="4" w:space="0" w:color="auto"/>
            </w:tcBorders>
            <w:tcMar>
              <w:left w:w="0" w:type="dxa"/>
              <w:right w:w="0" w:type="dxa"/>
            </w:tcMar>
          </w:tcPr>
          <w:p w14:paraId="4203C28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254ACE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41E957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115" w:type="dxa"/>
              <w:right w:w="0" w:type="dxa"/>
            </w:tcMar>
          </w:tcPr>
          <w:p w14:paraId="2FD2012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8ECA4C4" w14:textId="77777777" w:rsidTr="00C40B42">
        <w:tc>
          <w:tcPr>
            <w:tcW w:w="1980" w:type="dxa"/>
            <w:tcMar>
              <w:left w:w="0" w:type="dxa"/>
              <w:right w:w="0" w:type="dxa"/>
            </w:tcMar>
          </w:tcPr>
          <w:p w14:paraId="1E3CA998"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260" w:type="dxa"/>
            <w:tcMar>
              <w:left w:w="0" w:type="dxa"/>
              <w:right w:w="0" w:type="dxa"/>
            </w:tcMar>
          </w:tcPr>
          <w:p w14:paraId="1842E085" w14:textId="3D306E4E"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99</w:t>
            </w:r>
          </w:p>
        </w:tc>
        <w:tc>
          <w:tcPr>
            <w:tcW w:w="1080" w:type="dxa"/>
            <w:tcMar>
              <w:left w:w="0" w:type="dxa"/>
              <w:right w:w="0" w:type="dxa"/>
            </w:tcMar>
          </w:tcPr>
          <w:p w14:paraId="58AC1FE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5E51266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6A3C1C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115" w:type="dxa"/>
              <w:right w:w="0" w:type="dxa"/>
            </w:tcMar>
          </w:tcPr>
          <w:p w14:paraId="1F16CE1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7B71220" w14:textId="77777777" w:rsidTr="00C40B42">
        <w:tc>
          <w:tcPr>
            <w:tcW w:w="1980" w:type="dxa"/>
            <w:tcBorders>
              <w:bottom w:val="double" w:sz="4" w:space="0" w:color="auto"/>
            </w:tcBorders>
            <w:tcMar>
              <w:left w:w="0" w:type="dxa"/>
              <w:right w:w="0" w:type="dxa"/>
            </w:tcMar>
          </w:tcPr>
          <w:p w14:paraId="3979C254"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260" w:type="dxa"/>
            <w:tcBorders>
              <w:bottom w:val="double" w:sz="4" w:space="0" w:color="auto"/>
            </w:tcBorders>
            <w:tcMar>
              <w:left w:w="0" w:type="dxa"/>
              <w:right w:w="0" w:type="dxa"/>
            </w:tcMar>
          </w:tcPr>
          <w:p w14:paraId="0F20E32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bottom w:val="double" w:sz="4" w:space="0" w:color="auto"/>
            </w:tcBorders>
            <w:tcMar>
              <w:left w:w="0" w:type="dxa"/>
              <w:right w:w="0" w:type="dxa"/>
            </w:tcMar>
          </w:tcPr>
          <w:p w14:paraId="7BB7832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080" w:type="dxa"/>
            <w:tcBorders>
              <w:bottom w:val="double" w:sz="4" w:space="0" w:color="auto"/>
            </w:tcBorders>
            <w:tcMar>
              <w:left w:w="0" w:type="dxa"/>
              <w:right w:w="0" w:type="dxa"/>
            </w:tcMar>
          </w:tcPr>
          <w:p w14:paraId="4A2F07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50%</w:t>
            </w:r>
          </w:p>
        </w:tc>
        <w:tc>
          <w:tcPr>
            <w:tcW w:w="810" w:type="dxa"/>
            <w:tcBorders>
              <w:bottom w:val="double" w:sz="4" w:space="0" w:color="auto"/>
            </w:tcBorders>
            <w:tcMar>
              <w:left w:w="0" w:type="dxa"/>
              <w:right w:w="0" w:type="dxa"/>
            </w:tcMar>
          </w:tcPr>
          <w:p w14:paraId="094BD3F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080" w:type="dxa"/>
            <w:tcBorders>
              <w:bottom w:val="double" w:sz="4" w:space="0" w:color="auto"/>
            </w:tcBorders>
            <w:tcMar>
              <w:left w:w="115" w:type="dxa"/>
              <w:right w:w="0" w:type="dxa"/>
            </w:tcMar>
          </w:tcPr>
          <w:p w14:paraId="3D105C7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r>
    </w:tbl>
    <w:p w14:paraId="053F1C83" w14:textId="77777777" w:rsidR="00C40B42" w:rsidRPr="00A61532" w:rsidRDefault="00C40B42" w:rsidP="00C40B42">
      <w:pPr>
        <w:widowControl/>
        <w:spacing w:line="259" w:lineRule="auto"/>
        <w:ind w:firstLine="0"/>
        <w:jc w:val="left"/>
        <w:rPr>
          <w:rFonts w:asciiTheme="majorBidi" w:eastAsia="SimSun" w:hAnsiTheme="majorBidi" w:cstheme="majorBidi"/>
          <w:kern w:val="0"/>
          <w:szCs w:val="24"/>
          <w:lang w:bidi="he-IL"/>
        </w:rPr>
      </w:pPr>
    </w:p>
    <w:p w14:paraId="61357A9F" w14:textId="22F34BAF" w:rsidR="00C40B42" w:rsidRPr="00A61532" w:rsidRDefault="00C40B42" w:rsidP="00A0144D">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Our findings for the largest transactions also hold when we review </w:t>
      </w:r>
      <w:r w:rsidR="008C118E">
        <w:rPr>
          <w:rFonts w:asciiTheme="majorBidi" w:eastAsia="SimSun" w:hAnsiTheme="majorBidi" w:cstheme="majorBidi"/>
          <w:kern w:val="0"/>
          <w:szCs w:val="24"/>
          <w:lang w:bidi="he-IL"/>
        </w:rPr>
        <w:t>all</w:t>
      </w:r>
      <w:r w:rsidRPr="00A61532">
        <w:rPr>
          <w:rFonts w:asciiTheme="majorBidi" w:eastAsia="SimSun" w:hAnsiTheme="majorBidi" w:cstheme="majorBidi"/>
          <w:kern w:val="0"/>
          <w:szCs w:val="24"/>
          <w:lang w:bidi="he-IL"/>
        </w:rPr>
        <w:t xml:space="preserve"> </w:t>
      </w:r>
      <w:r w:rsidR="008C118E">
        <w:rPr>
          <w:rFonts w:asciiTheme="majorBidi" w:eastAsia="SimSun" w:hAnsiTheme="majorBidi" w:cstheme="majorBidi"/>
          <w:kern w:val="0"/>
          <w:szCs w:val="24"/>
          <w:lang w:bidi="he-IL"/>
        </w:rPr>
        <w:t xml:space="preserve">105 </w:t>
      </w:r>
      <w:r w:rsidRPr="00A61532">
        <w:rPr>
          <w:rFonts w:asciiTheme="majorBidi" w:eastAsia="SimSun" w:hAnsiTheme="majorBidi" w:cstheme="majorBidi"/>
          <w:kern w:val="0"/>
          <w:szCs w:val="24"/>
          <w:lang w:bidi="he-IL"/>
        </w:rPr>
        <w:t xml:space="preserve">deals in our sample. </w:t>
      </w:r>
      <w:r w:rsidR="00B04C4E">
        <w:rPr>
          <w:rFonts w:asciiTheme="majorBidi" w:eastAsia="SimSun" w:hAnsiTheme="majorBidi" w:cstheme="majorBidi"/>
          <w:kern w:val="0"/>
          <w:szCs w:val="24"/>
          <w:lang w:bidi="he-IL"/>
        </w:rPr>
        <w:t>We find that on average, t</w:t>
      </w:r>
      <w:r w:rsidRPr="00A61532">
        <w:rPr>
          <w:rFonts w:asciiTheme="majorBidi" w:eastAsia="SimSun" w:hAnsiTheme="majorBidi" w:cstheme="majorBidi"/>
          <w:kern w:val="0"/>
          <w:szCs w:val="24"/>
          <w:lang w:bidi="he-IL"/>
        </w:rPr>
        <w:t>he bargaining process between the target and the buyer lasted</w:t>
      </w:r>
      <w:r w:rsidR="00B04C4E">
        <w:rPr>
          <w:rFonts w:asciiTheme="majorBidi" w:eastAsia="SimSun" w:hAnsiTheme="majorBidi" w:cstheme="majorBidi"/>
          <w:kern w:val="0"/>
          <w:szCs w:val="24"/>
          <w:lang w:bidi="he-IL"/>
        </w:rPr>
        <w:t xml:space="preserve"> </w:t>
      </w:r>
      <w:r w:rsidR="00D31B57">
        <w:rPr>
          <w:rFonts w:asciiTheme="majorBidi" w:eastAsia="SimSun" w:hAnsiTheme="majorBidi" w:cstheme="majorBidi"/>
          <w:kern w:val="0"/>
          <w:szCs w:val="24"/>
          <w:lang w:bidi="he-IL"/>
        </w:rPr>
        <w:t>193</w:t>
      </w:r>
      <w:r w:rsidRPr="00A61532">
        <w:rPr>
          <w:rFonts w:asciiTheme="majorBidi" w:eastAsia="SimSun" w:hAnsiTheme="majorBidi" w:cstheme="majorBidi"/>
          <w:kern w:val="0"/>
          <w:szCs w:val="24"/>
          <w:lang w:bidi="he-IL"/>
        </w:rPr>
        <w:t xml:space="preserve"> days. </w:t>
      </w:r>
      <w:r w:rsidRPr="00A61532" w:rsidDel="00D627B3">
        <w:rPr>
          <w:rFonts w:asciiTheme="majorBidi" w:eastAsia="SimSun" w:hAnsiTheme="majorBidi" w:cstheme="majorBidi"/>
          <w:kern w:val="0"/>
          <w:szCs w:val="24"/>
          <w:lang w:bidi="he-IL"/>
        </w:rPr>
        <w:t xml:space="preserve">Additionally, </w:t>
      </w:r>
      <w:r w:rsidRPr="00A61532" w:rsidDel="00D627B3">
        <w:rPr>
          <w:rFonts w:asciiTheme="majorBidi" w:eastAsia="SimSun" w:hAnsiTheme="majorBidi" w:cstheme="majorBidi"/>
          <w:color w:val="000000" w:themeColor="text1"/>
          <w:kern w:val="0"/>
          <w:szCs w:val="24"/>
          <w:lang w:bidi="he-IL"/>
        </w:rPr>
        <w:t xml:space="preserve">discussions of the target with additional parties were documented </w:t>
      </w:r>
      <w:r w:rsidRPr="00A61532" w:rsidDel="00D627B3">
        <w:rPr>
          <w:rFonts w:asciiTheme="majorBidi" w:eastAsia="SimSun" w:hAnsiTheme="majorBidi" w:cstheme="majorBidi"/>
          <w:kern w:val="0"/>
          <w:szCs w:val="24"/>
          <w:lang w:bidi="he-IL"/>
        </w:rPr>
        <w:t xml:space="preserve">in </w:t>
      </w:r>
      <w:r w:rsidR="00D31B57" w:rsidDel="00D627B3">
        <w:rPr>
          <w:rFonts w:asciiTheme="majorBidi" w:eastAsia="SimSun" w:hAnsiTheme="majorBidi" w:cstheme="majorBidi"/>
          <w:kern w:val="0"/>
          <w:szCs w:val="24"/>
          <w:lang w:bidi="he-IL"/>
        </w:rPr>
        <w:t>92</w:t>
      </w:r>
      <w:r w:rsidRPr="00A61532" w:rsidDel="00D627B3">
        <w:rPr>
          <w:rFonts w:asciiTheme="majorBidi" w:eastAsia="SimSun" w:hAnsiTheme="majorBidi" w:cstheme="majorBidi"/>
          <w:kern w:val="0"/>
          <w:szCs w:val="24"/>
          <w:lang w:bidi="he-IL"/>
        </w:rPr>
        <w:t>% of the transactions</w:t>
      </w:r>
      <w:r w:rsidRPr="00A61532" w:rsidDel="00D627B3">
        <w:rPr>
          <w:rFonts w:asciiTheme="majorBidi" w:eastAsia="SimSun" w:hAnsiTheme="majorBidi" w:cstheme="majorBidi"/>
          <w:color w:val="000000" w:themeColor="text1"/>
          <w:kern w:val="0"/>
          <w:szCs w:val="24"/>
          <w:lang w:bidi="he-IL"/>
        </w:rPr>
        <w:t xml:space="preserve">, resulting in an offer by an additional party in </w:t>
      </w:r>
      <w:r w:rsidR="00D31B57" w:rsidDel="00D627B3">
        <w:rPr>
          <w:rFonts w:asciiTheme="majorBidi" w:eastAsia="SimSun" w:hAnsiTheme="majorBidi" w:cstheme="majorBidi"/>
          <w:color w:val="000000" w:themeColor="text1"/>
          <w:kern w:val="0"/>
          <w:szCs w:val="24"/>
          <w:lang w:bidi="he-IL"/>
        </w:rPr>
        <w:t>45</w:t>
      </w:r>
      <w:r w:rsidRPr="00A61532" w:rsidDel="00D627B3">
        <w:rPr>
          <w:rFonts w:asciiTheme="majorBidi" w:eastAsia="SimSun" w:hAnsiTheme="majorBidi" w:cstheme="majorBidi"/>
          <w:kern w:val="0"/>
          <w:szCs w:val="24"/>
          <w:lang w:bidi="he-IL"/>
        </w:rPr>
        <w:t>% of the transactions. Lastly, in 88% of the transactions</w:t>
      </w:r>
      <w:r w:rsidRPr="00A61532" w:rsidDel="00D627B3">
        <w:rPr>
          <w:rFonts w:asciiTheme="majorBidi" w:eastAsia="SimSun" w:hAnsiTheme="majorBidi" w:cstheme="majorBidi"/>
          <w:color w:val="000000" w:themeColor="text1"/>
          <w:kern w:val="0"/>
          <w:szCs w:val="24"/>
          <w:lang w:bidi="he-IL"/>
        </w:rPr>
        <w:t xml:space="preserve">, the target received more than one offer from the buyer, resulting in an improved outcome for the target </w:t>
      </w:r>
      <w:r w:rsidRPr="00A61532" w:rsidDel="00D627B3">
        <w:rPr>
          <w:rFonts w:asciiTheme="majorBidi" w:eastAsia="SimSun" w:hAnsiTheme="majorBidi" w:cstheme="majorBidi"/>
          <w:kern w:val="0"/>
          <w:szCs w:val="24"/>
          <w:lang w:bidi="he-IL"/>
        </w:rPr>
        <w:t xml:space="preserve">in </w:t>
      </w:r>
      <w:r w:rsidR="00D31B57" w:rsidDel="00D627B3">
        <w:rPr>
          <w:rFonts w:asciiTheme="majorBidi" w:eastAsia="SimSun" w:hAnsiTheme="majorBidi" w:cstheme="majorBidi"/>
          <w:kern w:val="0"/>
          <w:szCs w:val="24"/>
          <w:lang w:bidi="he-IL"/>
        </w:rPr>
        <w:t>79</w:t>
      </w:r>
      <w:r w:rsidRPr="00A61532" w:rsidDel="00D627B3">
        <w:rPr>
          <w:rFonts w:asciiTheme="majorBidi" w:eastAsia="SimSun" w:hAnsiTheme="majorBidi" w:cstheme="majorBidi"/>
          <w:kern w:val="0"/>
          <w:szCs w:val="24"/>
          <w:lang w:bidi="he-IL"/>
        </w:rPr>
        <w:t>% of the transactions</w:t>
      </w:r>
      <w:r w:rsidRPr="00A61532" w:rsidDel="00D627B3">
        <w:rPr>
          <w:rFonts w:asciiTheme="majorBidi" w:eastAsia="SimSun" w:hAnsiTheme="majorBidi" w:cstheme="majorBidi"/>
          <w:color w:val="000000" w:themeColor="text1"/>
          <w:kern w:val="0"/>
          <w:szCs w:val="24"/>
          <w:lang w:bidi="he-IL"/>
        </w:rPr>
        <w:t>.</w:t>
      </w:r>
      <w:r w:rsidR="00BE0D2E" w:rsidDel="00D627B3">
        <w:rPr>
          <w:rFonts w:asciiTheme="majorBidi" w:eastAsia="SimSun" w:hAnsiTheme="majorBidi" w:cstheme="majorBidi"/>
          <w:color w:val="000000" w:themeColor="text1"/>
          <w:kern w:val="0"/>
          <w:szCs w:val="24"/>
          <w:lang w:bidi="he-IL"/>
        </w:rPr>
        <w:t xml:space="preserve"> When we separate </w:t>
      </w:r>
      <w:r w:rsidR="004261AD" w:rsidDel="00D627B3">
        <w:rPr>
          <w:rFonts w:asciiTheme="majorBidi" w:eastAsia="SimSun" w:hAnsiTheme="majorBidi" w:cstheme="majorBidi"/>
          <w:color w:val="000000" w:themeColor="text1"/>
          <w:kern w:val="0"/>
          <w:szCs w:val="24"/>
          <w:lang w:bidi="he-IL"/>
        </w:rPr>
        <w:t xml:space="preserve">the </w:t>
      </w:r>
      <w:r w:rsidR="00BE0D2E" w:rsidDel="00D627B3">
        <w:rPr>
          <w:rFonts w:asciiTheme="majorBidi" w:eastAsia="SimSun" w:hAnsiTheme="majorBidi" w:cstheme="majorBidi"/>
          <w:color w:val="000000" w:themeColor="text1"/>
          <w:kern w:val="0"/>
          <w:szCs w:val="24"/>
          <w:lang w:bidi="he-IL"/>
        </w:rPr>
        <w:t xml:space="preserve">ERR and Non-ERR deals, the findings </w:t>
      </w:r>
      <w:r w:rsidR="004261AD" w:rsidDel="00D627B3">
        <w:rPr>
          <w:rFonts w:asciiTheme="majorBidi" w:eastAsia="SimSun" w:hAnsiTheme="majorBidi" w:cstheme="majorBidi"/>
          <w:color w:val="000000" w:themeColor="text1"/>
          <w:kern w:val="0"/>
          <w:szCs w:val="24"/>
          <w:lang w:bidi="he-IL"/>
        </w:rPr>
        <w:t>remain</w:t>
      </w:r>
      <w:r w:rsidR="00BE0D2E" w:rsidDel="00D627B3">
        <w:rPr>
          <w:rFonts w:asciiTheme="majorBidi" w:eastAsia="SimSun" w:hAnsiTheme="majorBidi" w:cstheme="majorBidi"/>
          <w:color w:val="000000" w:themeColor="text1"/>
          <w:kern w:val="0"/>
          <w:szCs w:val="24"/>
          <w:lang w:bidi="he-IL"/>
        </w:rPr>
        <w:t xml:space="preserve"> qualitatively similar. </w:t>
      </w:r>
    </w:p>
    <w:p w14:paraId="3E27DDA0" w14:textId="14C3546F" w:rsidR="00C40B42" w:rsidRPr="00A61532" w:rsidRDefault="00C40B42" w:rsidP="00332FE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Our analysis, therefore, </w:t>
      </w:r>
      <w:r w:rsidR="00A0144D">
        <w:rPr>
          <w:rFonts w:asciiTheme="majorBidi" w:eastAsia="SimSun" w:hAnsiTheme="majorBidi" w:cstheme="majorBidi"/>
          <w:kern w:val="0"/>
          <w:szCs w:val="24"/>
          <w:lang w:bidi="he-IL"/>
        </w:rPr>
        <w:t>shows</w:t>
      </w:r>
      <w:r w:rsidRPr="00A61532">
        <w:rPr>
          <w:rFonts w:asciiTheme="majorBidi" w:eastAsia="SimSun" w:hAnsiTheme="majorBidi" w:cstheme="majorBidi"/>
          <w:kern w:val="0"/>
          <w:szCs w:val="24"/>
          <w:lang w:bidi="he-IL"/>
        </w:rPr>
        <w:t xml:space="preserve"> that in the vast majority of the transactions, the target company’s leaders </w:t>
      </w:r>
      <w:r w:rsidR="00FE0669">
        <w:rPr>
          <w:rFonts w:asciiTheme="majorBidi" w:eastAsia="SimSun" w:hAnsiTheme="majorBidi" w:cstheme="majorBidi"/>
          <w:kern w:val="0"/>
          <w:szCs w:val="24"/>
          <w:lang w:bidi="he-IL"/>
        </w:rPr>
        <w:t xml:space="preserve">engaged in robust negotiations, </w:t>
      </w:r>
      <w:r w:rsidRPr="00A61532">
        <w:rPr>
          <w:rFonts w:asciiTheme="majorBidi" w:eastAsia="SimSun" w:hAnsiTheme="majorBidi" w:cstheme="majorBidi"/>
          <w:kern w:val="0"/>
          <w:szCs w:val="24"/>
          <w:lang w:bidi="he-IL"/>
        </w:rPr>
        <w:t xml:space="preserve">which not only </w:t>
      </w:r>
      <w:r w:rsidR="00512435">
        <w:rPr>
          <w:rFonts w:asciiTheme="majorBidi" w:eastAsia="SimSun" w:hAnsiTheme="majorBidi" w:cstheme="majorBidi"/>
          <w:kern w:val="0"/>
          <w:szCs w:val="24"/>
          <w:lang w:bidi="he-IL"/>
        </w:rPr>
        <w:t>e</w:t>
      </w:r>
      <w:r w:rsidRPr="00A61532">
        <w:rPr>
          <w:rFonts w:asciiTheme="majorBidi" w:eastAsia="SimSun" w:hAnsiTheme="majorBidi" w:cstheme="majorBidi"/>
          <w:kern w:val="0"/>
          <w:szCs w:val="24"/>
          <w:lang w:bidi="he-IL"/>
        </w:rPr>
        <w:t xml:space="preserve">lapsed a significant period of time, but also involved multiple interested parties, and </w:t>
      </w:r>
      <w:r w:rsidR="00FE0669">
        <w:rPr>
          <w:rFonts w:asciiTheme="majorBidi" w:eastAsia="SimSun" w:hAnsiTheme="majorBidi" w:cstheme="majorBidi"/>
          <w:kern w:val="0"/>
          <w:szCs w:val="24"/>
          <w:lang w:bidi="he-IL"/>
        </w:rPr>
        <w:t>were</w:t>
      </w:r>
      <w:r w:rsidR="00FE0669"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often competitive enough to produce improved financial and contractual terms for the target. </w:t>
      </w:r>
    </w:p>
    <w:p w14:paraId="1A6E177F" w14:textId="77777777" w:rsidR="00C40B42" w:rsidRPr="00A61532" w:rsidRDefault="00C40B42" w:rsidP="00C40B42">
      <w:pPr>
        <w:pStyle w:val="Heading2"/>
        <w:rPr>
          <w:rFonts w:eastAsia="SimSun"/>
          <w:lang w:bidi="he-IL"/>
        </w:rPr>
      </w:pPr>
      <w:bookmarkStart w:id="118" w:name="_Toc47616588"/>
      <w:bookmarkStart w:id="119" w:name="_Toc47665972"/>
      <w:bookmarkStart w:id="120" w:name="_Toc47886001"/>
      <w:r w:rsidRPr="00A61532">
        <w:rPr>
          <w:rFonts w:eastAsia="SimSun"/>
          <w:lang w:bidi="he-IL"/>
        </w:rPr>
        <w:t>What Did Shareholders Get?</w:t>
      </w:r>
      <w:bookmarkEnd w:id="118"/>
      <w:bookmarkEnd w:id="119"/>
      <w:bookmarkEnd w:id="120"/>
      <w:r w:rsidRPr="00A61532">
        <w:rPr>
          <w:rFonts w:eastAsia="SimSun"/>
          <w:lang w:bidi="he-IL"/>
        </w:rPr>
        <w:t xml:space="preserve"> </w:t>
      </w:r>
    </w:p>
    <w:p w14:paraId="109CB6FB" w14:textId="42076E61" w:rsidR="00FE0669" w:rsidRDefault="00C40B42" w:rsidP="00332FE2">
      <w:pPr>
        <w:widowControl/>
        <w:spacing w:before="240" w:after="160" w:line="276" w:lineRule="auto"/>
        <w:ind w:firstLine="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Having seen that target corporate leaders bargained extensively and successfully in the vast majority of cases, we turn to examine what they were able to obtain and in favor of which group of corporate constituents. We begin with shareholders. Table </w:t>
      </w:r>
      <w:r w:rsidR="00C13943">
        <w:rPr>
          <w:rFonts w:asciiTheme="majorBidi" w:eastAsia="SimSun" w:hAnsiTheme="majorBidi" w:cstheme="majorBidi"/>
          <w:kern w:val="0"/>
          <w:szCs w:val="24"/>
          <w:lang w:bidi="he-IL"/>
        </w:rPr>
        <w:t>5</w:t>
      </w:r>
      <w:r w:rsidRPr="00A61532">
        <w:rPr>
          <w:rFonts w:asciiTheme="majorBidi" w:eastAsia="SimSun" w:hAnsiTheme="majorBidi" w:cstheme="majorBidi"/>
          <w:kern w:val="0"/>
          <w:szCs w:val="24"/>
          <w:lang w:bidi="he-IL"/>
        </w:rPr>
        <w:t xml:space="preserve"> reports our findings on deal premia for the 12 </w:t>
      </w:r>
      <w:r w:rsidRPr="00A61532">
        <w:rPr>
          <w:rFonts w:asciiTheme="majorBidi" w:eastAsia="SimSun" w:hAnsiTheme="majorBidi" w:cstheme="majorBidi"/>
          <w:kern w:val="0"/>
          <w:szCs w:val="24"/>
          <w:lang w:bidi="he-IL"/>
        </w:rPr>
        <w:lastRenderedPageBreak/>
        <w:t>largest ERR and Non-ERR transactions in the sample. The premium that shareholders receive over the target</w:t>
      </w:r>
      <w:r w:rsidR="00D6753A">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s stock price typically represents the gains they derive from the acquisition transactions. To determine the deal premium, we used the “unaffected premium” reported by FactSet, which represents the premium compared to the unaffected stock price before the deal was announced.</w:t>
      </w:r>
      <w:r w:rsidRPr="00A61532">
        <w:rPr>
          <w:rFonts w:asciiTheme="majorBidi" w:eastAsia="SimSun" w:hAnsiTheme="majorBidi" w:cstheme="majorBidi"/>
          <w:kern w:val="0"/>
          <w:szCs w:val="24"/>
          <w:vertAlign w:val="superscript"/>
          <w:lang w:bidi="he-IL"/>
        </w:rPr>
        <w:footnoteReference w:id="86"/>
      </w:r>
    </w:p>
    <w:p w14:paraId="5EE073CA" w14:textId="322253E9" w:rsidR="00C40B42" w:rsidRPr="00332FE2" w:rsidRDefault="00763DE6" w:rsidP="00332FE2">
      <w:pPr>
        <w:pStyle w:val="Caption"/>
        <w:rPr>
          <w:rFonts w:asciiTheme="majorBidi" w:eastAsia="SimSun" w:hAnsiTheme="majorBidi"/>
          <w:i w:val="0"/>
          <w:color w:val="000000" w:themeColor="text1"/>
          <w:kern w:val="0"/>
        </w:rPr>
      </w:pPr>
      <w:bookmarkStart w:id="121" w:name="_Toc47873897"/>
      <w:bookmarkStart w:id="122" w:name="_Toc47886022"/>
      <w:r w:rsidRPr="00332FE2">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Pr>
          <w:rFonts w:asciiTheme="majorBidi" w:eastAsia="SimSun" w:hAnsiTheme="majorBidi" w:cstheme="majorBidi"/>
          <w:noProof/>
          <w:color w:val="000000" w:themeColor="text1"/>
          <w:kern w:val="0"/>
          <w:lang w:bidi="he-IL"/>
        </w:rPr>
        <w:t>5</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Gains to Shareholders</w:t>
      </w:r>
      <w:bookmarkEnd w:id="121"/>
      <w:bookmarkEnd w:id="122"/>
    </w:p>
    <w:tbl>
      <w:tblPr>
        <w:tblStyle w:val="TableGrid1"/>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350"/>
        <w:gridCol w:w="450"/>
        <w:gridCol w:w="1800"/>
        <w:gridCol w:w="1170"/>
      </w:tblGrid>
      <w:tr w:rsidR="00C40B42" w:rsidRPr="00A61532" w14:paraId="7F84C116" w14:textId="77777777" w:rsidTr="00C40B42">
        <w:trPr>
          <w:jc w:val="center"/>
        </w:trPr>
        <w:tc>
          <w:tcPr>
            <w:tcW w:w="3330" w:type="dxa"/>
            <w:gridSpan w:val="2"/>
            <w:tcBorders>
              <w:bottom w:val="double" w:sz="4" w:space="0" w:color="auto"/>
            </w:tcBorders>
            <w:tcMar>
              <w:left w:w="0" w:type="dxa"/>
              <w:right w:w="0" w:type="dxa"/>
            </w:tcMar>
            <w:vAlign w:val="center"/>
          </w:tcPr>
          <w:p w14:paraId="63C6E59F" w14:textId="77777777" w:rsidR="00C40B42" w:rsidRPr="00A61532" w:rsidRDefault="00C40B42" w:rsidP="00C40B42">
            <w:pPr>
              <w:widowControl/>
              <w:spacing w:line="276" w:lineRule="auto"/>
              <w:ind w:firstLine="0"/>
              <w:jc w:val="center"/>
              <w:rPr>
                <w:rFonts w:asciiTheme="majorBidi" w:hAnsiTheme="majorBidi" w:cstheme="majorBidi"/>
                <w:b/>
                <w:iCs/>
                <w:kern w:val="0"/>
                <w:sz w:val="20"/>
                <w:szCs w:val="18"/>
              </w:rPr>
            </w:pPr>
            <w:r w:rsidRPr="00A61532">
              <w:rPr>
                <w:rFonts w:asciiTheme="majorBidi" w:hAnsiTheme="majorBidi" w:cstheme="majorBidi"/>
                <w:b/>
                <w:iCs/>
                <w:kern w:val="0"/>
                <w:sz w:val="20"/>
                <w:szCs w:val="18"/>
              </w:rPr>
              <w:t>ERR Targets</w:t>
            </w:r>
          </w:p>
        </w:tc>
        <w:tc>
          <w:tcPr>
            <w:tcW w:w="450" w:type="dxa"/>
          </w:tcPr>
          <w:p w14:paraId="6063EB69" w14:textId="77777777" w:rsidR="00C40B42" w:rsidRPr="00A61532" w:rsidRDefault="00C40B42" w:rsidP="00C40B42">
            <w:pPr>
              <w:widowControl/>
              <w:spacing w:line="276" w:lineRule="auto"/>
              <w:ind w:firstLine="0"/>
              <w:jc w:val="center"/>
              <w:rPr>
                <w:rFonts w:asciiTheme="majorBidi" w:hAnsiTheme="majorBidi" w:cstheme="majorBidi"/>
                <w:b/>
                <w:i/>
                <w:kern w:val="0"/>
                <w:sz w:val="20"/>
                <w:szCs w:val="18"/>
              </w:rPr>
            </w:pPr>
          </w:p>
        </w:tc>
        <w:tc>
          <w:tcPr>
            <w:tcW w:w="2970" w:type="dxa"/>
            <w:gridSpan w:val="2"/>
            <w:tcBorders>
              <w:bottom w:val="double" w:sz="4" w:space="0" w:color="auto"/>
            </w:tcBorders>
            <w:tcMar>
              <w:left w:w="0" w:type="dxa"/>
              <w:right w:w="0" w:type="dxa"/>
            </w:tcMar>
            <w:vAlign w:val="center"/>
          </w:tcPr>
          <w:p w14:paraId="744B1580" w14:textId="77777777" w:rsidR="00C40B42" w:rsidRPr="00A61532" w:rsidRDefault="00C40B42" w:rsidP="00C40B42">
            <w:pPr>
              <w:widowControl/>
              <w:spacing w:line="276" w:lineRule="auto"/>
              <w:ind w:firstLine="0"/>
              <w:jc w:val="center"/>
              <w:rPr>
                <w:rFonts w:asciiTheme="majorBidi" w:hAnsiTheme="majorBidi" w:cstheme="majorBidi"/>
                <w:b/>
                <w:i/>
                <w:kern w:val="0"/>
                <w:sz w:val="20"/>
                <w:szCs w:val="18"/>
              </w:rPr>
            </w:pPr>
            <w:r w:rsidRPr="00A61532">
              <w:rPr>
                <w:rFonts w:asciiTheme="majorBidi" w:hAnsiTheme="majorBidi" w:cstheme="majorBidi"/>
                <w:b/>
                <w:iCs/>
                <w:kern w:val="0"/>
                <w:sz w:val="20"/>
                <w:szCs w:val="18"/>
              </w:rPr>
              <w:t>Non-ERR Targets</w:t>
            </w:r>
          </w:p>
        </w:tc>
      </w:tr>
      <w:tr w:rsidR="00C40B42" w:rsidRPr="00A61532" w14:paraId="0370DDDC" w14:textId="77777777" w:rsidTr="00C40B42">
        <w:trPr>
          <w:jc w:val="center"/>
        </w:trPr>
        <w:tc>
          <w:tcPr>
            <w:tcW w:w="1980" w:type="dxa"/>
            <w:tcBorders>
              <w:bottom w:val="double" w:sz="4" w:space="0" w:color="auto"/>
            </w:tcBorders>
            <w:tcMar>
              <w:left w:w="0" w:type="dxa"/>
              <w:right w:w="0" w:type="dxa"/>
            </w:tcMar>
            <w:vAlign w:val="center"/>
          </w:tcPr>
          <w:p w14:paraId="22F07748" w14:textId="77777777" w:rsidR="00C40B42" w:rsidRPr="00A61532" w:rsidRDefault="00C40B42" w:rsidP="00C40B42">
            <w:pPr>
              <w:widowControl/>
              <w:ind w:firstLine="0"/>
              <w:jc w:val="center"/>
              <w:rPr>
                <w:rFonts w:asciiTheme="majorBidi" w:hAnsiTheme="majorBidi" w:cstheme="majorBidi"/>
                <w:i/>
                <w:iCs/>
                <w:kern w:val="0"/>
                <w:sz w:val="20"/>
                <w:szCs w:val="18"/>
              </w:rPr>
            </w:pPr>
            <w:r w:rsidRPr="00A61532">
              <w:rPr>
                <w:rFonts w:asciiTheme="majorBidi" w:hAnsiTheme="majorBidi" w:cstheme="majorBidi"/>
                <w:b/>
                <w:i/>
                <w:kern w:val="0"/>
                <w:sz w:val="20"/>
                <w:szCs w:val="18"/>
              </w:rPr>
              <w:t>Target</w:t>
            </w:r>
          </w:p>
        </w:tc>
        <w:tc>
          <w:tcPr>
            <w:tcW w:w="1350" w:type="dxa"/>
            <w:tcBorders>
              <w:bottom w:val="double" w:sz="4" w:space="0" w:color="auto"/>
            </w:tcBorders>
            <w:tcMar>
              <w:left w:w="0" w:type="dxa"/>
              <w:right w:w="0" w:type="dxa"/>
            </w:tcMar>
            <w:vAlign w:val="center"/>
          </w:tcPr>
          <w:p w14:paraId="7E1CDC98" w14:textId="77777777" w:rsidR="00C40B42" w:rsidRPr="00A61532" w:rsidRDefault="00C40B42" w:rsidP="00C40B42">
            <w:pPr>
              <w:widowControl/>
              <w:ind w:firstLine="0"/>
              <w:jc w:val="center"/>
              <w:rPr>
                <w:rFonts w:asciiTheme="majorBidi" w:hAnsiTheme="majorBidi" w:cstheme="majorBidi"/>
                <w:b/>
                <w:i/>
                <w:kern w:val="0"/>
                <w:sz w:val="20"/>
                <w:szCs w:val="18"/>
              </w:rPr>
            </w:pPr>
            <w:r w:rsidRPr="00A61532">
              <w:rPr>
                <w:rFonts w:asciiTheme="majorBidi" w:hAnsiTheme="majorBidi" w:cstheme="majorBidi"/>
                <w:b/>
                <w:i/>
                <w:kern w:val="0"/>
                <w:sz w:val="20"/>
                <w:szCs w:val="18"/>
              </w:rPr>
              <w:t>Premium (%)</w:t>
            </w:r>
            <w:r w:rsidRPr="00A61532">
              <w:rPr>
                <w:rFonts w:asciiTheme="majorBidi" w:hAnsiTheme="majorBidi" w:cstheme="majorBidi"/>
                <w:b/>
                <w:i/>
                <w:kern w:val="0"/>
                <w:sz w:val="20"/>
                <w:szCs w:val="18"/>
                <w:vertAlign w:val="superscript"/>
              </w:rPr>
              <w:footnoteReference w:id="87"/>
            </w:r>
          </w:p>
        </w:tc>
        <w:tc>
          <w:tcPr>
            <w:tcW w:w="450" w:type="dxa"/>
          </w:tcPr>
          <w:p w14:paraId="3447B273" w14:textId="77777777" w:rsidR="00C40B42" w:rsidRPr="00A61532" w:rsidRDefault="00C40B42" w:rsidP="00C40B42">
            <w:pPr>
              <w:widowControl/>
              <w:ind w:firstLine="0"/>
              <w:jc w:val="center"/>
              <w:rPr>
                <w:rFonts w:asciiTheme="majorBidi" w:hAnsiTheme="majorBidi" w:cstheme="majorBidi"/>
                <w:b/>
                <w:i/>
                <w:kern w:val="0"/>
                <w:sz w:val="20"/>
                <w:szCs w:val="18"/>
              </w:rPr>
            </w:pPr>
          </w:p>
        </w:tc>
        <w:tc>
          <w:tcPr>
            <w:tcW w:w="1800" w:type="dxa"/>
            <w:tcBorders>
              <w:bottom w:val="double" w:sz="4" w:space="0" w:color="auto"/>
            </w:tcBorders>
            <w:tcMar>
              <w:left w:w="0" w:type="dxa"/>
              <w:right w:w="0" w:type="dxa"/>
            </w:tcMar>
            <w:vAlign w:val="center"/>
          </w:tcPr>
          <w:p w14:paraId="3D95A9BD" w14:textId="77777777" w:rsidR="00C40B42" w:rsidRPr="00A61532" w:rsidRDefault="00C40B42" w:rsidP="00C40B42">
            <w:pPr>
              <w:widowControl/>
              <w:ind w:firstLine="0"/>
              <w:jc w:val="center"/>
              <w:rPr>
                <w:rFonts w:asciiTheme="majorBidi" w:hAnsiTheme="majorBidi" w:cstheme="majorBidi"/>
                <w:b/>
                <w:i/>
                <w:kern w:val="0"/>
                <w:sz w:val="20"/>
                <w:szCs w:val="18"/>
              </w:rPr>
            </w:pPr>
            <w:r w:rsidRPr="00A61532">
              <w:rPr>
                <w:rFonts w:asciiTheme="majorBidi" w:hAnsiTheme="majorBidi" w:cstheme="majorBidi"/>
                <w:b/>
                <w:i/>
                <w:kern w:val="0"/>
                <w:sz w:val="20"/>
                <w:szCs w:val="18"/>
              </w:rPr>
              <w:t>Target</w:t>
            </w:r>
          </w:p>
        </w:tc>
        <w:tc>
          <w:tcPr>
            <w:tcW w:w="1170" w:type="dxa"/>
            <w:tcBorders>
              <w:bottom w:val="double" w:sz="4" w:space="0" w:color="auto"/>
            </w:tcBorders>
            <w:tcMar>
              <w:left w:w="0" w:type="dxa"/>
              <w:right w:w="0" w:type="dxa"/>
            </w:tcMar>
            <w:vAlign w:val="center"/>
          </w:tcPr>
          <w:p w14:paraId="319D87D6" w14:textId="77777777" w:rsidR="00C40B42" w:rsidRPr="00A61532" w:rsidRDefault="00C40B42" w:rsidP="00C40B42">
            <w:pPr>
              <w:widowControl/>
              <w:ind w:firstLine="0"/>
              <w:jc w:val="center"/>
              <w:rPr>
                <w:rFonts w:asciiTheme="majorBidi" w:hAnsiTheme="majorBidi" w:cstheme="majorBidi"/>
                <w:b/>
                <w:i/>
                <w:kern w:val="0"/>
                <w:sz w:val="20"/>
                <w:szCs w:val="18"/>
              </w:rPr>
            </w:pPr>
            <w:r w:rsidRPr="00A61532">
              <w:rPr>
                <w:rFonts w:asciiTheme="majorBidi" w:hAnsiTheme="majorBidi" w:cstheme="majorBidi"/>
                <w:b/>
                <w:i/>
                <w:kern w:val="0"/>
                <w:sz w:val="20"/>
                <w:szCs w:val="18"/>
              </w:rPr>
              <w:t>Premium (%)</w:t>
            </w:r>
          </w:p>
        </w:tc>
      </w:tr>
      <w:tr w:rsidR="00C40B42" w:rsidRPr="00A61532" w14:paraId="78DD79D3" w14:textId="77777777" w:rsidTr="00C40B42">
        <w:trPr>
          <w:jc w:val="center"/>
        </w:trPr>
        <w:tc>
          <w:tcPr>
            <w:tcW w:w="1980" w:type="dxa"/>
            <w:tcBorders>
              <w:top w:val="double" w:sz="4" w:space="0" w:color="auto"/>
            </w:tcBorders>
            <w:tcMar>
              <w:left w:w="0" w:type="dxa"/>
              <w:right w:w="0" w:type="dxa"/>
            </w:tcMar>
          </w:tcPr>
          <w:p w14:paraId="1BFBEE7B"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350" w:type="dxa"/>
            <w:tcBorders>
              <w:top w:val="double" w:sz="4" w:space="0" w:color="auto"/>
            </w:tcBorders>
            <w:tcMar>
              <w:left w:w="0" w:type="dxa"/>
              <w:right w:w="0" w:type="dxa"/>
            </w:tcMar>
          </w:tcPr>
          <w:p w14:paraId="2AF8A8F2"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20</w:t>
            </w:r>
          </w:p>
        </w:tc>
        <w:tc>
          <w:tcPr>
            <w:tcW w:w="450" w:type="dxa"/>
          </w:tcPr>
          <w:p w14:paraId="2076119A" w14:textId="77777777" w:rsidR="00C40B42" w:rsidRPr="00A61532" w:rsidRDefault="00C40B42" w:rsidP="00C40B42">
            <w:pPr>
              <w:widowControl/>
              <w:spacing w:before="40"/>
              <w:ind w:firstLine="0"/>
              <w:jc w:val="left"/>
              <w:rPr>
                <w:rFonts w:asciiTheme="majorBidi" w:hAnsiTheme="majorBidi" w:cstheme="majorBidi"/>
                <w:i/>
                <w:iCs/>
                <w:kern w:val="0"/>
                <w:sz w:val="20"/>
              </w:rPr>
            </w:pPr>
          </w:p>
        </w:tc>
        <w:tc>
          <w:tcPr>
            <w:tcW w:w="1800" w:type="dxa"/>
            <w:tcBorders>
              <w:top w:val="double" w:sz="4" w:space="0" w:color="auto"/>
            </w:tcBorders>
            <w:tcMar>
              <w:left w:w="0" w:type="dxa"/>
              <w:right w:w="0" w:type="dxa"/>
            </w:tcMar>
          </w:tcPr>
          <w:p w14:paraId="6C8DF192" w14:textId="77777777" w:rsidR="00C40B42" w:rsidRPr="00A61532" w:rsidRDefault="00C40B42" w:rsidP="00C40B42">
            <w:pPr>
              <w:widowControl/>
              <w:spacing w:before="40"/>
              <w:ind w:firstLine="0"/>
              <w:jc w:val="left"/>
              <w:rPr>
                <w:rFonts w:asciiTheme="majorBidi" w:hAnsiTheme="majorBidi" w:cstheme="majorBidi"/>
                <w:kern w:val="0"/>
                <w:sz w:val="20"/>
              </w:rPr>
            </w:pPr>
            <w:r w:rsidRPr="00A61532">
              <w:rPr>
                <w:rFonts w:asciiTheme="majorBidi" w:hAnsiTheme="majorBidi" w:cstheme="majorBidi"/>
                <w:i/>
                <w:iCs/>
                <w:kern w:val="0"/>
                <w:sz w:val="20"/>
              </w:rPr>
              <w:t>EMC</w:t>
            </w:r>
          </w:p>
        </w:tc>
        <w:tc>
          <w:tcPr>
            <w:tcW w:w="1170" w:type="dxa"/>
            <w:tcBorders>
              <w:top w:val="double" w:sz="4" w:space="0" w:color="auto"/>
            </w:tcBorders>
            <w:tcMar>
              <w:left w:w="0" w:type="dxa"/>
              <w:right w:w="0" w:type="dxa"/>
            </w:tcMar>
          </w:tcPr>
          <w:p w14:paraId="1C7969D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23</w:t>
            </w:r>
          </w:p>
        </w:tc>
      </w:tr>
      <w:tr w:rsidR="00C40B42" w:rsidRPr="00A61532" w14:paraId="76902EC3" w14:textId="77777777" w:rsidTr="00C40B42">
        <w:trPr>
          <w:jc w:val="center"/>
        </w:trPr>
        <w:tc>
          <w:tcPr>
            <w:tcW w:w="1980" w:type="dxa"/>
            <w:tcMar>
              <w:left w:w="0" w:type="dxa"/>
              <w:right w:w="0" w:type="dxa"/>
            </w:tcMar>
          </w:tcPr>
          <w:p w14:paraId="63977A0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350" w:type="dxa"/>
            <w:tcMar>
              <w:left w:w="0" w:type="dxa"/>
              <w:right w:w="0" w:type="dxa"/>
            </w:tcMar>
          </w:tcPr>
          <w:p w14:paraId="453056F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c>
          <w:tcPr>
            <w:tcW w:w="450" w:type="dxa"/>
          </w:tcPr>
          <w:p w14:paraId="6A865E49"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3FDBF4B4"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TXU</w:t>
            </w:r>
          </w:p>
        </w:tc>
        <w:tc>
          <w:tcPr>
            <w:tcW w:w="1170" w:type="dxa"/>
            <w:tcMar>
              <w:left w:w="0" w:type="dxa"/>
              <w:right w:w="0" w:type="dxa"/>
            </w:tcMar>
          </w:tcPr>
          <w:p w14:paraId="744783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w:t>
            </w:r>
          </w:p>
        </w:tc>
      </w:tr>
      <w:tr w:rsidR="00C40B42" w:rsidRPr="00A61532" w14:paraId="3239B8D6" w14:textId="77777777" w:rsidTr="00C40B42">
        <w:trPr>
          <w:jc w:val="center"/>
        </w:trPr>
        <w:tc>
          <w:tcPr>
            <w:tcW w:w="1980" w:type="dxa"/>
            <w:tcMar>
              <w:left w:w="0" w:type="dxa"/>
              <w:right w:w="0" w:type="dxa"/>
            </w:tcMar>
          </w:tcPr>
          <w:p w14:paraId="145EF93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350" w:type="dxa"/>
            <w:tcMar>
              <w:left w:w="0" w:type="dxa"/>
              <w:right w:w="0" w:type="dxa"/>
            </w:tcMar>
          </w:tcPr>
          <w:p w14:paraId="1A8C39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30</w:t>
            </w:r>
          </w:p>
        </w:tc>
        <w:tc>
          <w:tcPr>
            <w:tcW w:w="450" w:type="dxa"/>
          </w:tcPr>
          <w:p w14:paraId="10797C84"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1FAA844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Clear Channel</w:t>
            </w:r>
          </w:p>
        </w:tc>
        <w:tc>
          <w:tcPr>
            <w:tcW w:w="1170" w:type="dxa"/>
            <w:tcMar>
              <w:left w:w="0" w:type="dxa"/>
              <w:right w:w="0" w:type="dxa"/>
            </w:tcMar>
          </w:tcPr>
          <w:p w14:paraId="6BA19E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r>
      <w:tr w:rsidR="00C40B42" w:rsidRPr="00A61532" w14:paraId="5FD73A2B" w14:textId="77777777" w:rsidTr="00C40B42">
        <w:trPr>
          <w:jc w:val="center"/>
        </w:trPr>
        <w:tc>
          <w:tcPr>
            <w:tcW w:w="1980" w:type="dxa"/>
            <w:tcMar>
              <w:left w:w="0" w:type="dxa"/>
              <w:right w:w="0" w:type="dxa"/>
            </w:tcMar>
          </w:tcPr>
          <w:p w14:paraId="6B74A84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350" w:type="dxa"/>
            <w:tcMar>
              <w:left w:w="0" w:type="dxa"/>
              <w:right w:w="0" w:type="dxa"/>
            </w:tcMar>
          </w:tcPr>
          <w:p w14:paraId="7569AB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c>
          <w:tcPr>
            <w:tcW w:w="450" w:type="dxa"/>
          </w:tcPr>
          <w:p w14:paraId="71F38DCF"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27942B85"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Kinetic Concepts</w:t>
            </w:r>
          </w:p>
        </w:tc>
        <w:tc>
          <w:tcPr>
            <w:tcW w:w="1170" w:type="dxa"/>
            <w:tcMar>
              <w:left w:w="0" w:type="dxa"/>
              <w:right w:w="0" w:type="dxa"/>
            </w:tcMar>
          </w:tcPr>
          <w:p w14:paraId="7A5667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r>
      <w:tr w:rsidR="00C40B42" w:rsidRPr="00A61532" w14:paraId="7225E8E2" w14:textId="77777777" w:rsidTr="00C40B42">
        <w:trPr>
          <w:jc w:val="center"/>
        </w:trPr>
        <w:tc>
          <w:tcPr>
            <w:tcW w:w="1980" w:type="dxa"/>
            <w:tcMar>
              <w:left w:w="0" w:type="dxa"/>
              <w:right w:w="0" w:type="dxa"/>
            </w:tcMar>
          </w:tcPr>
          <w:p w14:paraId="5EDF628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350" w:type="dxa"/>
            <w:tcMar>
              <w:left w:w="0" w:type="dxa"/>
              <w:right w:w="0" w:type="dxa"/>
            </w:tcMar>
          </w:tcPr>
          <w:p w14:paraId="3AD4C0B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c>
          <w:tcPr>
            <w:tcW w:w="450" w:type="dxa"/>
          </w:tcPr>
          <w:p w14:paraId="0EF32D17"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22158CB2" w14:textId="77777777" w:rsidR="00C40B42" w:rsidRPr="00A61532" w:rsidRDefault="00C40B42" w:rsidP="00C40B42">
            <w:pPr>
              <w:widowControl/>
              <w:ind w:firstLine="0"/>
              <w:jc w:val="left"/>
              <w:rPr>
                <w:rFonts w:asciiTheme="majorBidi" w:hAnsiTheme="majorBidi" w:cstheme="majorBidi"/>
                <w:kern w:val="0"/>
                <w:sz w:val="20"/>
              </w:rPr>
            </w:pPr>
            <w:proofErr w:type="spellStart"/>
            <w:r w:rsidRPr="00A61532">
              <w:rPr>
                <w:rFonts w:asciiTheme="majorBidi" w:hAnsiTheme="majorBidi" w:cstheme="majorBidi"/>
                <w:i/>
                <w:iCs/>
                <w:kern w:val="0"/>
                <w:sz w:val="20"/>
              </w:rPr>
              <w:t>Parexel</w:t>
            </w:r>
            <w:proofErr w:type="spellEnd"/>
          </w:p>
        </w:tc>
        <w:tc>
          <w:tcPr>
            <w:tcW w:w="1170" w:type="dxa"/>
            <w:tcMar>
              <w:left w:w="0" w:type="dxa"/>
              <w:right w:w="0" w:type="dxa"/>
            </w:tcMar>
          </w:tcPr>
          <w:p w14:paraId="2FC34B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28</w:t>
            </w:r>
          </w:p>
        </w:tc>
      </w:tr>
      <w:tr w:rsidR="00C40B42" w:rsidRPr="00A61532" w14:paraId="05632881" w14:textId="77777777" w:rsidTr="00C40B42">
        <w:trPr>
          <w:jc w:val="center"/>
        </w:trPr>
        <w:tc>
          <w:tcPr>
            <w:tcW w:w="1980" w:type="dxa"/>
            <w:tcMar>
              <w:left w:w="0" w:type="dxa"/>
              <w:right w:w="0" w:type="dxa"/>
            </w:tcMar>
          </w:tcPr>
          <w:p w14:paraId="3364134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350" w:type="dxa"/>
            <w:tcMar>
              <w:left w:w="0" w:type="dxa"/>
              <w:right w:w="0" w:type="dxa"/>
            </w:tcMar>
          </w:tcPr>
          <w:p w14:paraId="214430E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22</w:t>
            </w:r>
          </w:p>
        </w:tc>
        <w:tc>
          <w:tcPr>
            <w:tcW w:w="450" w:type="dxa"/>
          </w:tcPr>
          <w:p w14:paraId="501605C2"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77E7C182"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Florida East Coast</w:t>
            </w:r>
          </w:p>
        </w:tc>
        <w:tc>
          <w:tcPr>
            <w:tcW w:w="1170" w:type="dxa"/>
            <w:tcMar>
              <w:left w:w="0" w:type="dxa"/>
              <w:right w:w="0" w:type="dxa"/>
            </w:tcMar>
          </w:tcPr>
          <w:p w14:paraId="10F796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w:t>
            </w:r>
          </w:p>
        </w:tc>
      </w:tr>
      <w:tr w:rsidR="00C40B42" w:rsidRPr="00A61532" w14:paraId="4929F15A" w14:textId="77777777" w:rsidTr="00C40B42">
        <w:trPr>
          <w:jc w:val="center"/>
        </w:trPr>
        <w:tc>
          <w:tcPr>
            <w:tcW w:w="1980" w:type="dxa"/>
            <w:tcMar>
              <w:left w:w="0" w:type="dxa"/>
              <w:right w:w="0" w:type="dxa"/>
            </w:tcMar>
          </w:tcPr>
          <w:p w14:paraId="4815814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350" w:type="dxa"/>
            <w:tcMar>
              <w:left w:w="0" w:type="dxa"/>
              <w:right w:w="0" w:type="dxa"/>
            </w:tcMar>
          </w:tcPr>
          <w:p w14:paraId="7C0D654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14</w:t>
            </w:r>
          </w:p>
        </w:tc>
        <w:tc>
          <w:tcPr>
            <w:tcW w:w="450" w:type="dxa"/>
          </w:tcPr>
          <w:p w14:paraId="28F2F829"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0C270C8C" w14:textId="54D1305E"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Claire</w:t>
            </w:r>
            <w:r w:rsidR="00D6753A">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170" w:type="dxa"/>
            <w:tcMar>
              <w:left w:w="0" w:type="dxa"/>
              <w:right w:w="0" w:type="dxa"/>
            </w:tcMar>
          </w:tcPr>
          <w:p w14:paraId="51190D8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w:t>
            </w:r>
          </w:p>
        </w:tc>
      </w:tr>
      <w:tr w:rsidR="00C40B42" w:rsidRPr="00A61532" w14:paraId="47D09C27" w14:textId="77777777" w:rsidTr="00C40B42">
        <w:trPr>
          <w:jc w:val="center"/>
        </w:trPr>
        <w:tc>
          <w:tcPr>
            <w:tcW w:w="1980" w:type="dxa"/>
            <w:tcMar>
              <w:left w:w="0" w:type="dxa"/>
              <w:right w:w="0" w:type="dxa"/>
            </w:tcMar>
          </w:tcPr>
          <w:p w14:paraId="691CF1B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350" w:type="dxa"/>
            <w:tcMar>
              <w:left w:w="0" w:type="dxa"/>
              <w:right w:w="0" w:type="dxa"/>
            </w:tcMar>
          </w:tcPr>
          <w:p w14:paraId="167118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31</w:t>
            </w:r>
          </w:p>
        </w:tc>
        <w:tc>
          <w:tcPr>
            <w:tcW w:w="450" w:type="dxa"/>
          </w:tcPr>
          <w:p w14:paraId="0BB285C7"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5AC2EB9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Crescent</w:t>
            </w:r>
          </w:p>
        </w:tc>
        <w:tc>
          <w:tcPr>
            <w:tcW w:w="1170" w:type="dxa"/>
            <w:tcMar>
              <w:left w:w="0" w:type="dxa"/>
              <w:right w:w="0" w:type="dxa"/>
            </w:tcMar>
          </w:tcPr>
          <w:p w14:paraId="02D531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r>
      <w:tr w:rsidR="00C40B42" w:rsidRPr="00A61532" w14:paraId="550AE065" w14:textId="77777777" w:rsidTr="00C40B42">
        <w:trPr>
          <w:jc w:val="center"/>
        </w:trPr>
        <w:tc>
          <w:tcPr>
            <w:tcW w:w="1980" w:type="dxa"/>
            <w:tcMar>
              <w:left w:w="0" w:type="dxa"/>
              <w:right w:w="0" w:type="dxa"/>
            </w:tcMar>
          </w:tcPr>
          <w:p w14:paraId="29036DD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350" w:type="dxa"/>
            <w:tcMar>
              <w:left w:w="0" w:type="dxa"/>
              <w:right w:w="0" w:type="dxa"/>
            </w:tcMar>
          </w:tcPr>
          <w:p w14:paraId="0398E0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c>
          <w:tcPr>
            <w:tcW w:w="450" w:type="dxa"/>
          </w:tcPr>
          <w:p w14:paraId="1ADA95AC"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4EACB8DB"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EGL</w:t>
            </w:r>
          </w:p>
        </w:tc>
        <w:tc>
          <w:tcPr>
            <w:tcW w:w="1170" w:type="dxa"/>
            <w:tcMar>
              <w:left w:w="0" w:type="dxa"/>
              <w:right w:w="0" w:type="dxa"/>
            </w:tcMar>
            <w:vAlign w:val="bottom"/>
          </w:tcPr>
          <w:p w14:paraId="533C8D7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r>
      <w:tr w:rsidR="00C40B42" w:rsidRPr="00A61532" w14:paraId="2DA7F28C" w14:textId="77777777" w:rsidTr="00C40B42">
        <w:trPr>
          <w:jc w:val="center"/>
        </w:trPr>
        <w:tc>
          <w:tcPr>
            <w:tcW w:w="1980" w:type="dxa"/>
            <w:tcMar>
              <w:left w:w="0" w:type="dxa"/>
              <w:right w:w="0" w:type="dxa"/>
            </w:tcMar>
          </w:tcPr>
          <w:p w14:paraId="1D4F735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350" w:type="dxa"/>
            <w:tcMar>
              <w:left w:w="0" w:type="dxa"/>
              <w:right w:w="0" w:type="dxa"/>
            </w:tcMar>
          </w:tcPr>
          <w:p w14:paraId="0C0777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w:t>
            </w:r>
          </w:p>
        </w:tc>
        <w:tc>
          <w:tcPr>
            <w:tcW w:w="450" w:type="dxa"/>
          </w:tcPr>
          <w:p w14:paraId="158A5A6B"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77BB87E5"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CDW</w:t>
            </w:r>
          </w:p>
        </w:tc>
        <w:tc>
          <w:tcPr>
            <w:tcW w:w="1170" w:type="dxa"/>
            <w:tcMar>
              <w:left w:w="0" w:type="dxa"/>
              <w:right w:w="0" w:type="dxa"/>
            </w:tcMar>
            <w:vAlign w:val="bottom"/>
          </w:tcPr>
          <w:p w14:paraId="705951E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73</w:t>
            </w:r>
          </w:p>
        </w:tc>
      </w:tr>
      <w:tr w:rsidR="00C40B42" w:rsidRPr="00A61532" w14:paraId="3B305E85" w14:textId="77777777" w:rsidTr="00C40B42">
        <w:trPr>
          <w:jc w:val="center"/>
        </w:trPr>
        <w:tc>
          <w:tcPr>
            <w:tcW w:w="1980" w:type="dxa"/>
            <w:tcMar>
              <w:left w:w="0" w:type="dxa"/>
              <w:right w:w="0" w:type="dxa"/>
            </w:tcMar>
          </w:tcPr>
          <w:p w14:paraId="1F10A06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350" w:type="dxa"/>
            <w:tcMar>
              <w:left w:w="0" w:type="dxa"/>
              <w:right w:w="0" w:type="dxa"/>
            </w:tcMar>
          </w:tcPr>
          <w:p w14:paraId="5BE75EF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31</w:t>
            </w:r>
          </w:p>
        </w:tc>
        <w:tc>
          <w:tcPr>
            <w:tcW w:w="450" w:type="dxa"/>
          </w:tcPr>
          <w:p w14:paraId="56325296" w14:textId="77777777" w:rsidR="00C40B42" w:rsidRPr="00A61532" w:rsidRDefault="00C40B42" w:rsidP="00C40B42">
            <w:pPr>
              <w:widowControl/>
              <w:ind w:firstLine="0"/>
              <w:jc w:val="center"/>
              <w:rPr>
                <w:rFonts w:asciiTheme="majorBidi" w:hAnsiTheme="majorBidi" w:cstheme="majorBidi"/>
                <w:i/>
                <w:iCs/>
                <w:kern w:val="0"/>
                <w:sz w:val="20"/>
              </w:rPr>
            </w:pPr>
          </w:p>
        </w:tc>
        <w:tc>
          <w:tcPr>
            <w:tcW w:w="1800" w:type="dxa"/>
            <w:tcMar>
              <w:left w:w="0" w:type="dxa"/>
              <w:right w:w="0" w:type="dxa"/>
            </w:tcMar>
          </w:tcPr>
          <w:p w14:paraId="63973B2D"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Life Time Fitness</w:t>
            </w:r>
          </w:p>
        </w:tc>
        <w:tc>
          <w:tcPr>
            <w:tcW w:w="1170" w:type="dxa"/>
            <w:tcMar>
              <w:left w:w="0" w:type="dxa"/>
              <w:right w:w="0" w:type="dxa"/>
            </w:tcMar>
            <w:vAlign w:val="bottom"/>
          </w:tcPr>
          <w:p w14:paraId="3BC622C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32</w:t>
            </w:r>
          </w:p>
        </w:tc>
      </w:tr>
      <w:tr w:rsidR="00C40B42" w:rsidRPr="00A61532" w14:paraId="0BEF280D" w14:textId="77777777" w:rsidTr="00C40B42">
        <w:trPr>
          <w:jc w:val="center"/>
        </w:trPr>
        <w:tc>
          <w:tcPr>
            <w:tcW w:w="1980" w:type="dxa"/>
            <w:tcBorders>
              <w:bottom w:val="single" w:sz="4" w:space="0" w:color="auto"/>
            </w:tcBorders>
            <w:tcMar>
              <w:left w:w="0" w:type="dxa"/>
              <w:right w:w="0" w:type="dxa"/>
            </w:tcMar>
          </w:tcPr>
          <w:p w14:paraId="49A6D953"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350" w:type="dxa"/>
            <w:tcBorders>
              <w:bottom w:val="single" w:sz="4" w:space="0" w:color="auto"/>
            </w:tcBorders>
            <w:tcMar>
              <w:left w:w="0" w:type="dxa"/>
              <w:right w:w="0" w:type="dxa"/>
            </w:tcMar>
          </w:tcPr>
          <w:p w14:paraId="20EC2A28"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34</w:t>
            </w:r>
          </w:p>
        </w:tc>
        <w:tc>
          <w:tcPr>
            <w:tcW w:w="450" w:type="dxa"/>
          </w:tcPr>
          <w:p w14:paraId="1F1A14AE" w14:textId="77777777" w:rsidR="00C40B42" w:rsidRPr="00A61532" w:rsidRDefault="00C40B42" w:rsidP="00C40B42">
            <w:pPr>
              <w:widowControl/>
              <w:spacing w:line="276" w:lineRule="auto"/>
              <w:ind w:firstLine="0"/>
              <w:jc w:val="center"/>
              <w:rPr>
                <w:rFonts w:asciiTheme="majorBidi" w:hAnsiTheme="majorBidi" w:cstheme="majorBidi"/>
                <w:i/>
                <w:iCs/>
                <w:kern w:val="0"/>
                <w:sz w:val="20"/>
              </w:rPr>
            </w:pPr>
          </w:p>
        </w:tc>
        <w:tc>
          <w:tcPr>
            <w:tcW w:w="1800" w:type="dxa"/>
            <w:tcBorders>
              <w:bottom w:val="single" w:sz="4" w:space="0" w:color="auto"/>
            </w:tcBorders>
            <w:tcMar>
              <w:left w:w="0" w:type="dxa"/>
              <w:right w:w="0" w:type="dxa"/>
            </w:tcMar>
          </w:tcPr>
          <w:p w14:paraId="46980A03" w14:textId="77777777" w:rsidR="00C40B42" w:rsidRPr="00A61532" w:rsidRDefault="00C40B42" w:rsidP="00C40B42">
            <w:pPr>
              <w:widowControl/>
              <w:spacing w:line="276" w:lineRule="auto"/>
              <w:ind w:firstLine="0"/>
              <w:jc w:val="left"/>
              <w:rPr>
                <w:rFonts w:asciiTheme="majorBidi" w:hAnsiTheme="majorBidi" w:cstheme="majorBidi"/>
                <w:kern w:val="0"/>
                <w:sz w:val="20"/>
              </w:rPr>
            </w:pPr>
            <w:r w:rsidRPr="00A61532">
              <w:rPr>
                <w:rFonts w:asciiTheme="majorBidi" w:hAnsiTheme="majorBidi" w:cstheme="majorBidi"/>
                <w:i/>
                <w:iCs/>
                <w:kern w:val="0"/>
                <w:sz w:val="20"/>
              </w:rPr>
              <w:t>Buffalo Wild Wings</w:t>
            </w:r>
          </w:p>
        </w:tc>
        <w:tc>
          <w:tcPr>
            <w:tcW w:w="1170" w:type="dxa"/>
            <w:tcBorders>
              <w:bottom w:val="single" w:sz="4" w:space="0" w:color="auto"/>
            </w:tcBorders>
            <w:tcMar>
              <w:left w:w="0" w:type="dxa"/>
              <w:right w:w="0" w:type="dxa"/>
            </w:tcMar>
            <w:vAlign w:val="bottom"/>
          </w:tcPr>
          <w:p w14:paraId="51C4F4C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16</w:t>
            </w:r>
          </w:p>
        </w:tc>
      </w:tr>
      <w:tr w:rsidR="00C40B42" w:rsidRPr="00A61532" w14:paraId="4F328956" w14:textId="77777777" w:rsidTr="00C40B42">
        <w:trPr>
          <w:jc w:val="center"/>
        </w:trPr>
        <w:tc>
          <w:tcPr>
            <w:tcW w:w="1980" w:type="dxa"/>
            <w:tcBorders>
              <w:top w:val="single" w:sz="4" w:space="0" w:color="auto"/>
            </w:tcBorders>
            <w:tcMar>
              <w:left w:w="0" w:type="dxa"/>
              <w:right w:w="0" w:type="dxa"/>
            </w:tcMar>
          </w:tcPr>
          <w:p w14:paraId="70E01F36"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xml:space="preserve">Mean </w:t>
            </w:r>
          </w:p>
        </w:tc>
        <w:tc>
          <w:tcPr>
            <w:tcW w:w="1350" w:type="dxa"/>
            <w:tcBorders>
              <w:top w:val="single" w:sz="4" w:space="0" w:color="auto"/>
            </w:tcBorders>
            <w:tcMar>
              <w:left w:w="0" w:type="dxa"/>
              <w:right w:w="0" w:type="dxa"/>
            </w:tcMar>
          </w:tcPr>
          <w:p w14:paraId="611A46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w:t>
            </w:r>
          </w:p>
        </w:tc>
        <w:tc>
          <w:tcPr>
            <w:tcW w:w="450" w:type="dxa"/>
          </w:tcPr>
          <w:p w14:paraId="47FEBFEF" w14:textId="77777777" w:rsidR="00C40B42" w:rsidRPr="00A61532" w:rsidRDefault="00C40B42" w:rsidP="00C40B42">
            <w:pPr>
              <w:widowControl/>
              <w:ind w:firstLine="0"/>
              <w:jc w:val="center"/>
              <w:rPr>
                <w:rFonts w:asciiTheme="majorBidi" w:hAnsiTheme="majorBidi" w:cstheme="majorBidi"/>
                <w:kern w:val="0"/>
                <w:sz w:val="20"/>
              </w:rPr>
            </w:pPr>
          </w:p>
        </w:tc>
        <w:tc>
          <w:tcPr>
            <w:tcW w:w="1800" w:type="dxa"/>
            <w:tcBorders>
              <w:top w:val="single" w:sz="4" w:space="0" w:color="auto"/>
            </w:tcBorders>
            <w:tcMar>
              <w:left w:w="0" w:type="dxa"/>
              <w:right w:w="0" w:type="dxa"/>
            </w:tcMar>
          </w:tcPr>
          <w:p w14:paraId="131611CA"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 xml:space="preserve">Mean </w:t>
            </w:r>
          </w:p>
        </w:tc>
        <w:tc>
          <w:tcPr>
            <w:tcW w:w="1170" w:type="dxa"/>
            <w:tcBorders>
              <w:top w:val="single" w:sz="4" w:space="0" w:color="auto"/>
            </w:tcBorders>
            <w:tcMar>
              <w:left w:w="0" w:type="dxa"/>
              <w:right w:w="0" w:type="dxa"/>
            </w:tcMar>
          </w:tcPr>
          <w:p w14:paraId="50B51D5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24</w:t>
            </w:r>
          </w:p>
        </w:tc>
      </w:tr>
      <w:tr w:rsidR="00C40B42" w:rsidRPr="00A61532" w14:paraId="0AC6951D" w14:textId="77777777" w:rsidTr="00C40B42">
        <w:trPr>
          <w:jc w:val="center"/>
        </w:trPr>
        <w:tc>
          <w:tcPr>
            <w:tcW w:w="1980" w:type="dxa"/>
            <w:tcBorders>
              <w:bottom w:val="double" w:sz="4" w:space="0" w:color="auto"/>
            </w:tcBorders>
            <w:tcMar>
              <w:left w:w="0" w:type="dxa"/>
              <w:right w:w="0" w:type="dxa"/>
            </w:tcMar>
          </w:tcPr>
          <w:p w14:paraId="60CB8B12"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350" w:type="dxa"/>
            <w:tcBorders>
              <w:bottom w:val="double" w:sz="4" w:space="0" w:color="auto"/>
            </w:tcBorders>
            <w:tcMar>
              <w:left w:w="0" w:type="dxa"/>
              <w:right w:w="0" w:type="dxa"/>
            </w:tcMar>
          </w:tcPr>
          <w:p w14:paraId="7BA321C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450" w:type="dxa"/>
          </w:tcPr>
          <w:p w14:paraId="3C53D33E" w14:textId="77777777" w:rsidR="00C40B42" w:rsidRPr="00A61532" w:rsidRDefault="00C40B42" w:rsidP="00C40B42">
            <w:pPr>
              <w:widowControl/>
              <w:ind w:firstLine="0"/>
              <w:jc w:val="center"/>
              <w:rPr>
                <w:rFonts w:asciiTheme="majorBidi" w:hAnsiTheme="majorBidi" w:cstheme="majorBidi"/>
                <w:kern w:val="0"/>
                <w:sz w:val="20"/>
              </w:rPr>
            </w:pPr>
          </w:p>
        </w:tc>
        <w:tc>
          <w:tcPr>
            <w:tcW w:w="1800" w:type="dxa"/>
            <w:tcBorders>
              <w:bottom w:val="double" w:sz="4" w:space="0" w:color="auto"/>
            </w:tcBorders>
            <w:tcMar>
              <w:left w:w="0" w:type="dxa"/>
              <w:right w:w="0" w:type="dxa"/>
            </w:tcMar>
          </w:tcPr>
          <w:p w14:paraId="76DBC66A"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170" w:type="dxa"/>
            <w:tcBorders>
              <w:bottom w:val="double" w:sz="4" w:space="0" w:color="auto"/>
            </w:tcBorders>
            <w:tcMar>
              <w:left w:w="0" w:type="dxa"/>
              <w:right w:w="0" w:type="dxa"/>
            </w:tcMar>
          </w:tcPr>
          <w:p w14:paraId="6857C8F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r>
    </w:tbl>
    <w:p w14:paraId="7F532F08" w14:textId="77932A1F" w:rsidR="00C40B42" w:rsidRPr="00A61532" w:rsidRDefault="00C40B42" w:rsidP="000C3E0E">
      <w:pPr>
        <w:widowControl/>
        <w:spacing w:before="24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As Table </w:t>
      </w:r>
      <w:r w:rsidR="001D6D39">
        <w:rPr>
          <w:rFonts w:asciiTheme="majorBidi" w:eastAsia="SimSun" w:hAnsiTheme="majorBidi" w:cstheme="majorBidi"/>
          <w:kern w:val="0"/>
          <w:szCs w:val="24"/>
          <w:lang w:bidi="he-IL"/>
        </w:rPr>
        <w:t>5</w:t>
      </w:r>
      <w:r w:rsidRPr="00A61532">
        <w:rPr>
          <w:rFonts w:asciiTheme="majorBidi" w:eastAsia="SimSun" w:hAnsiTheme="majorBidi" w:cstheme="majorBidi"/>
          <w:kern w:val="0"/>
          <w:szCs w:val="24"/>
          <w:lang w:bidi="he-IL"/>
        </w:rPr>
        <w:t xml:space="preserve"> demonstrates, shareholders derived significant monetary benefits from these 24 transactions: In the largest ERR and Non-ERR deals, the premia that shareholders received over the unaffected stock price of the target company before the deal was announced had a mean of 19% and 24%, and a median of 18% and 16%, respectively.</w:t>
      </w:r>
      <w:r w:rsidR="00CE42F1" w:rsidRPr="00A61532">
        <w:rPr>
          <w:rFonts w:asciiTheme="majorBidi" w:eastAsia="SimSun" w:hAnsiTheme="majorBidi" w:cstheme="majorBidi"/>
          <w:kern w:val="0"/>
          <w:szCs w:val="24"/>
          <w:vertAlign w:val="superscript"/>
          <w:lang w:bidi="he-IL"/>
        </w:rPr>
        <w:footnoteReference w:id="88"/>
      </w:r>
      <w:r w:rsidRPr="00A61532">
        <w:rPr>
          <w:rFonts w:asciiTheme="majorBidi" w:eastAsia="SimSun" w:hAnsiTheme="majorBidi" w:cstheme="majorBidi"/>
          <w:kern w:val="0"/>
          <w:szCs w:val="24"/>
          <w:lang w:bidi="he-IL"/>
        </w:rPr>
        <w:t xml:space="preserve"> Th</w:t>
      </w:r>
      <w:r w:rsidR="000C3E0E">
        <w:rPr>
          <w:rFonts w:asciiTheme="majorBidi" w:eastAsia="SimSun" w:hAnsiTheme="majorBidi" w:cstheme="majorBidi"/>
          <w:kern w:val="0"/>
          <w:szCs w:val="24"/>
          <w:lang w:bidi="he-IL"/>
        </w:rPr>
        <w:t>ese</w:t>
      </w:r>
      <w:r w:rsidRPr="00A61532">
        <w:rPr>
          <w:rFonts w:asciiTheme="majorBidi" w:eastAsia="SimSun" w:hAnsiTheme="majorBidi" w:cstheme="majorBidi"/>
          <w:kern w:val="0"/>
          <w:szCs w:val="24"/>
          <w:lang w:bidi="he-IL"/>
        </w:rPr>
        <w:t xml:space="preserve"> finding</w:t>
      </w:r>
      <w:r w:rsidR="000C3E0E">
        <w:rPr>
          <w:rFonts w:asciiTheme="majorBidi" w:eastAsia="SimSun" w:hAnsiTheme="majorBidi" w:cstheme="majorBidi"/>
          <w:kern w:val="0"/>
          <w:szCs w:val="24"/>
          <w:lang w:bidi="he-IL"/>
        </w:rPr>
        <w:t>s</w:t>
      </w:r>
      <w:r w:rsidRPr="00A61532">
        <w:rPr>
          <w:rFonts w:asciiTheme="majorBidi" w:eastAsia="SimSun" w:hAnsiTheme="majorBidi" w:cstheme="majorBidi"/>
          <w:kern w:val="0"/>
          <w:szCs w:val="24"/>
          <w:lang w:bidi="he-IL"/>
        </w:rPr>
        <w:t xml:space="preserve">, coupled with the high percentage of transactions in which the bargaining process resulted in an improved outcome for the target company compared to previous stages of negotiations, suggest that corporate leaders generally succeed in </w:t>
      </w:r>
      <w:r w:rsidRPr="00A61532">
        <w:rPr>
          <w:rFonts w:asciiTheme="majorBidi" w:eastAsia="SimSun" w:hAnsiTheme="majorBidi" w:cstheme="majorBidi"/>
          <w:kern w:val="0"/>
          <w:szCs w:val="24"/>
          <w:lang w:bidi="he-IL"/>
        </w:rPr>
        <w:lastRenderedPageBreak/>
        <w:t>leveraging their bargaining power to extract substantial gain</w:t>
      </w:r>
      <w:r w:rsidR="00512435">
        <w:rPr>
          <w:rFonts w:asciiTheme="majorBidi" w:eastAsia="SimSun" w:hAnsiTheme="majorBidi" w:cstheme="majorBidi"/>
          <w:kern w:val="0"/>
          <w:szCs w:val="24"/>
          <w:lang w:bidi="he-IL"/>
        </w:rPr>
        <w:t>s</w:t>
      </w:r>
      <w:r w:rsidRPr="00A61532">
        <w:rPr>
          <w:rFonts w:asciiTheme="majorBidi" w:eastAsia="SimSun" w:hAnsiTheme="majorBidi" w:cstheme="majorBidi"/>
          <w:kern w:val="0"/>
          <w:szCs w:val="24"/>
          <w:lang w:bidi="he-IL"/>
        </w:rPr>
        <w:t xml:space="preserve"> for shareholders.</w:t>
      </w:r>
      <w:r w:rsidRPr="00A61532">
        <w:rPr>
          <w:rFonts w:asciiTheme="majorBidi" w:eastAsia="SimSun" w:hAnsiTheme="majorBidi" w:cstheme="majorBidi"/>
          <w:kern w:val="0"/>
          <w:szCs w:val="24"/>
          <w:vertAlign w:val="superscript"/>
          <w:lang w:bidi="he-IL"/>
        </w:rPr>
        <w:footnoteReference w:id="89"/>
      </w:r>
      <w:r w:rsidRPr="00A61532">
        <w:rPr>
          <w:rFonts w:asciiTheme="majorBidi" w:eastAsia="SimSun" w:hAnsiTheme="majorBidi" w:cstheme="majorBidi"/>
          <w:kern w:val="0"/>
          <w:szCs w:val="24"/>
          <w:lang w:bidi="he-IL"/>
        </w:rPr>
        <w:t xml:space="preserve"> </w:t>
      </w:r>
    </w:p>
    <w:p w14:paraId="35403A45" w14:textId="3C538402" w:rsidR="00C40B42" w:rsidRDefault="00C40B42" w:rsidP="00C13943">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Table A1 in the </w:t>
      </w:r>
      <w:r w:rsidR="0074735E">
        <w:rPr>
          <w:rFonts w:asciiTheme="majorBidi" w:eastAsia="SimSun" w:hAnsiTheme="majorBidi" w:cstheme="majorBidi"/>
          <w:kern w:val="0"/>
          <w:szCs w:val="24"/>
          <w:lang w:bidi="he-IL"/>
        </w:rPr>
        <w:t>Online Appendix</w:t>
      </w:r>
      <w:r w:rsidRPr="00A61532">
        <w:rPr>
          <w:rFonts w:asciiTheme="majorBidi" w:eastAsia="SimSun" w:hAnsiTheme="majorBidi" w:cstheme="majorBidi"/>
          <w:kern w:val="0"/>
          <w:szCs w:val="24"/>
          <w:lang w:bidi="he-IL"/>
        </w:rPr>
        <w:t xml:space="preserve"> provides </w:t>
      </w:r>
      <w:r w:rsidR="00CE42F1">
        <w:rPr>
          <w:rFonts w:asciiTheme="majorBidi" w:eastAsia="SimSun" w:hAnsiTheme="majorBidi" w:cstheme="majorBidi"/>
          <w:kern w:val="0"/>
          <w:szCs w:val="24"/>
          <w:lang w:bidi="he-IL"/>
        </w:rPr>
        <w:t xml:space="preserve">substantially similar </w:t>
      </w:r>
      <w:r w:rsidRPr="00A61532">
        <w:rPr>
          <w:rFonts w:asciiTheme="majorBidi" w:eastAsia="SimSun" w:hAnsiTheme="majorBidi" w:cstheme="majorBidi"/>
          <w:kern w:val="0"/>
          <w:szCs w:val="24"/>
          <w:lang w:bidi="he-IL"/>
        </w:rPr>
        <w:t xml:space="preserve">results </w:t>
      </w:r>
      <w:r w:rsidR="00BE0D2E">
        <w:rPr>
          <w:rFonts w:asciiTheme="majorBidi" w:eastAsia="SimSun" w:hAnsiTheme="majorBidi" w:cstheme="majorBidi"/>
          <w:kern w:val="0"/>
          <w:szCs w:val="24"/>
          <w:lang w:bidi="he-IL"/>
        </w:rPr>
        <w:t>w</w:t>
      </w:r>
      <w:r w:rsidRPr="00A61532">
        <w:rPr>
          <w:rFonts w:asciiTheme="majorBidi" w:eastAsia="SimSun" w:hAnsiTheme="majorBidi" w:cstheme="majorBidi"/>
          <w:kern w:val="0"/>
          <w:szCs w:val="24"/>
          <w:lang w:bidi="he-IL"/>
        </w:rPr>
        <w:t xml:space="preserve">ith respect to </w:t>
      </w:r>
      <w:r w:rsidR="00BE0D2E">
        <w:rPr>
          <w:rFonts w:asciiTheme="majorBidi" w:eastAsia="SimSun" w:hAnsiTheme="majorBidi" w:cstheme="majorBidi"/>
          <w:kern w:val="0"/>
          <w:szCs w:val="24"/>
          <w:lang w:bidi="he-IL"/>
        </w:rPr>
        <w:t>all 105</w:t>
      </w:r>
      <w:r w:rsidRPr="00A61532">
        <w:rPr>
          <w:rFonts w:asciiTheme="majorBidi" w:eastAsia="SimSun" w:hAnsiTheme="majorBidi" w:cstheme="majorBidi"/>
          <w:kern w:val="0"/>
          <w:szCs w:val="24"/>
          <w:lang w:bidi="he-IL"/>
        </w:rPr>
        <w:t xml:space="preserve"> transactions in our sample. </w:t>
      </w:r>
      <w:r w:rsidR="00C13943">
        <w:rPr>
          <w:rFonts w:asciiTheme="majorBidi" w:eastAsia="SimSun" w:hAnsiTheme="majorBidi" w:cstheme="majorBidi"/>
          <w:kern w:val="0"/>
          <w:szCs w:val="24"/>
          <w:lang w:bidi="he-IL"/>
        </w:rPr>
        <w:t>We find that t</w:t>
      </w:r>
      <w:r w:rsidRPr="00A61532">
        <w:rPr>
          <w:rFonts w:asciiTheme="majorBidi" w:eastAsia="SimSun" w:hAnsiTheme="majorBidi" w:cstheme="majorBidi"/>
          <w:kern w:val="0"/>
          <w:szCs w:val="24"/>
          <w:lang w:bidi="he-IL"/>
        </w:rPr>
        <w:t>he unaffected premia that shareholders received had a mean</w:t>
      </w:r>
      <w:r w:rsidR="004261AD">
        <w:rPr>
          <w:rFonts w:asciiTheme="majorBidi" w:eastAsia="SimSun" w:hAnsiTheme="majorBidi" w:cstheme="majorBidi"/>
          <w:kern w:val="0"/>
          <w:szCs w:val="24"/>
          <w:lang w:bidi="he-IL"/>
        </w:rPr>
        <w:t xml:space="preserve"> (median)</w:t>
      </w:r>
      <w:r w:rsidRPr="00A61532">
        <w:rPr>
          <w:rFonts w:asciiTheme="majorBidi" w:eastAsia="SimSun" w:hAnsiTheme="majorBidi" w:cstheme="majorBidi"/>
          <w:kern w:val="0"/>
          <w:szCs w:val="24"/>
          <w:lang w:bidi="he-IL"/>
        </w:rPr>
        <w:t xml:space="preserve"> of </w:t>
      </w:r>
      <w:r w:rsidR="004261AD">
        <w:rPr>
          <w:rFonts w:asciiTheme="majorBidi" w:eastAsia="SimSun" w:hAnsiTheme="majorBidi" w:cstheme="majorBidi"/>
          <w:kern w:val="0"/>
          <w:szCs w:val="24"/>
          <w:lang w:bidi="he-IL"/>
        </w:rPr>
        <w:t>31</w:t>
      </w:r>
      <w:r w:rsidRPr="00A61532">
        <w:rPr>
          <w:rFonts w:asciiTheme="majorBidi" w:eastAsia="SimSun" w:hAnsiTheme="majorBidi" w:cstheme="majorBidi"/>
          <w:kern w:val="0"/>
          <w:szCs w:val="24"/>
          <w:lang w:bidi="he-IL"/>
        </w:rPr>
        <w:t xml:space="preserve">% </w:t>
      </w:r>
      <w:r w:rsidR="004261AD">
        <w:rPr>
          <w:rFonts w:asciiTheme="majorBidi" w:eastAsia="SimSun" w:hAnsiTheme="majorBidi" w:cstheme="majorBidi"/>
          <w:kern w:val="0"/>
          <w:szCs w:val="24"/>
          <w:lang w:bidi="he-IL"/>
        </w:rPr>
        <w:t>(24.5%)</w:t>
      </w:r>
      <w:r w:rsidRPr="00A61532">
        <w:rPr>
          <w:rFonts w:asciiTheme="majorBidi" w:eastAsia="SimSun" w:hAnsiTheme="majorBidi" w:cstheme="majorBidi"/>
          <w:kern w:val="0"/>
          <w:szCs w:val="24"/>
          <w:lang w:bidi="he-IL"/>
        </w:rPr>
        <w:t xml:space="preserve">. </w:t>
      </w:r>
      <w:r w:rsidR="004261AD">
        <w:rPr>
          <w:rFonts w:asciiTheme="majorBidi" w:eastAsia="SimSun" w:hAnsiTheme="majorBidi" w:cstheme="majorBidi"/>
          <w:color w:val="000000" w:themeColor="text1"/>
          <w:kern w:val="0"/>
          <w:szCs w:val="24"/>
          <w:lang w:bidi="he-IL"/>
        </w:rPr>
        <w:t>When we separate the ERR and Non-ERR deals, the findings remain qualitatively similar</w:t>
      </w:r>
      <w:r w:rsidR="004261AD">
        <w:rPr>
          <w:rFonts w:asciiTheme="majorBidi" w:eastAsia="SimSun" w:hAnsiTheme="majorBidi" w:cstheme="majorBidi"/>
          <w:kern w:val="0"/>
          <w:szCs w:val="24"/>
          <w:lang w:bidi="he-IL"/>
        </w:rPr>
        <w:t>.</w:t>
      </w:r>
    </w:p>
    <w:p w14:paraId="7C084659" w14:textId="1325659F" w:rsidR="00C40B42" w:rsidRPr="00A61532" w:rsidRDefault="00C40B42" w:rsidP="00C13943">
      <w:pPr>
        <w:widowControl/>
        <w:spacing w:after="160" w:line="259" w:lineRule="auto"/>
        <w:ind w:firstLine="72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Our results for this aspect of the transactions suggest that corporate leaders exploit their substantial bargaining power to generate meaningful gains for shareholders. Are they able to generate similar gains for themselves, and more importantly, for other stakeholders? We will turn to examine this question now.</w:t>
      </w:r>
    </w:p>
    <w:p w14:paraId="647FCA01" w14:textId="77777777" w:rsidR="00C40B42" w:rsidRPr="00A61532" w:rsidRDefault="00C40B42" w:rsidP="00C40B42">
      <w:pPr>
        <w:pStyle w:val="Heading2"/>
        <w:rPr>
          <w:rFonts w:eastAsia="SimSun"/>
          <w:lang w:bidi="he-IL"/>
        </w:rPr>
      </w:pPr>
      <w:bookmarkStart w:id="123" w:name="_Toc47616589"/>
      <w:bookmarkStart w:id="124" w:name="_Toc47665973"/>
      <w:bookmarkStart w:id="125" w:name="_Toc47886002"/>
      <w:r w:rsidRPr="00A61532">
        <w:rPr>
          <w:rFonts w:eastAsia="SimSun"/>
          <w:lang w:bidi="he-IL"/>
        </w:rPr>
        <w:t>What Did Corporate Leaders Get?</w:t>
      </w:r>
      <w:bookmarkEnd w:id="123"/>
      <w:bookmarkEnd w:id="124"/>
      <w:bookmarkEnd w:id="125"/>
      <w:r w:rsidRPr="00A61532">
        <w:rPr>
          <w:rFonts w:eastAsia="SimSun"/>
          <w:lang w:bidi="he-IL"/>
        </w:rPr>
        <w:t xml:space="preserve"> </w:t>
      </w:r>
    </w:p>
    <w:p w14:paraId="15756401" w14:textId="62E2D0F4" w:rsidR="00C40B42" w:rsidRPr="00A61532" w:rsidRDefault="00C40B42" w:rsidP="00C40B42">
      <w:pPr>
        <w:widowControl/>
        <w:spacing w:after="160"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We now turn to examine what gains corporate leaders captured from the reviewed transactions. Below we consider, in turn, the gains to executives and the gains to non-executive directors.</w:t>
      </w:r>
      <w:r w:rsidR="00222AE1">
        <w:rPr>
          <w:rStyle w:val="FootnoteReference"/>
          <w:rFonts w:asciiTheme="majorBidi" w:eastAsia="SimSun" w:hAnsiTheme="majorBidi" w:cstheme="majorBidi"/>
          <w:kern w:val="0"/>
          <w:szCs w:val="24"/>
          <w:lang w:bidi="he-IL"/>
        </w:rPr>
        <w:footnoteReference w:id="90"/>
      </w:r>
      <w:r w:rsidRPr="00A61532" w:rsidDel="008C4F00">
        <w:rPr>
          <w:rFonts w:asciiTheme="majorBidi" w:eastAsia="SimSun" w:hAnsiTheme="majorBidi" w:cstheme="majorBidi"/>
          <w:kern w:val="0"/>
          <w:szCs w:val="24"/>
          <w:lang w:bidi="he-IL"/>
        </w:rPr>
        <w:t xml:space="preserve"> </w:t>
      </w:r>
    </w:p>
    <w:p w14:paraId="538A3375" w14:textId="77777777" w:rsidR="00C40B42" w:rsidRPr="00A61532" w:rsidRDefault="00C40B42" w:rsidP="00C40B42">
      <w:pPr>
        <w:pStyle w:val="Heading3"/>
        <w:numPr>
          <w:ilvl w:val="0"/>
          <w:numId w:val="8"/>
        </w:numPr>
        <w:rPr>
          <w:lang w:bidi="he-IL"/>
        </w:rPr>
      </w:pPr>
      <w:bookmarkStart w:id="126" w:name="_Toc47616590"/>
      <w:bookmarkStart w:id="127" w:name="_Toc47665974"/>
      <w:bookmarkStart w:id="128" w:name="_Toc47886003"/>
      <w:r w:rsidRPr="00A61532">
        <w:rPr>
          <w:lang w:bidi="he-IL"/>
        </w:rPr>
        <w:t>Gains to Executives</w:t>
      </w:r>
      <w:bookmarkEnd w:id="126"/>
      <w:bookmarkEnd w:id="127"/>
      <w:bookmarkEnd w:id="128"/>
      <w:r w:rsidRPr="00A61532">
        <w:rPr>
          <w:lang w:bidi="he-IL"/>
        </w:rPr>
        <w:t xml:space="preserve"> </w:t>
      </w:r>
    </w:p>
    <w:p w14:paraId="77E4F913" w14:textId="6AFC2760"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The benefits secured for target</w:t>
      </w:r>
      <w:r w:rsidR="00D6753A">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s executive officers can generally be divided into three different categories.</w:t>
      </w:r>
    </w:p>
    <w:p w14:paraId="26344B7C" w14:textId="667F883B"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Payments Qua Shareholders.</w:t>
      </w:r>
      <w:r w:rsidRPr="00A61532">
        <w:rPr>
          <w:rFonts w:asciiTheme="majorBidi" w:eastAsia="SimSun" w:hAnsiTheme="majorBidi" w:cstheme="majorBidi"/>
          <w:kern w:val="0"/>
          <w:szCs w:val="24"/>
          <w:lang w:bidi="he-IL"/>
        </w:rPr>
        <w:t xml:space="preserve"> This category includes monetary benefits that executives gained in their capacity as shareholders, by virtue of the target</w:t>
      </w:r>
      <w:r w:rsidR="00D6753A">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s shares they own. The most obvious example of this category is the merger consideration paid by the buyer to corporate leaders in exchange for their shares, but we also included in it the gains that corporate leaders realize by exercising their vested stock options. </w:t>
      </w:r>
    </w:p>
    <w:p w14:paraId="3F409802" w14:textId="77777777"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Payments Qua Executives.</w:t>
      </w:r>
      <w:r w:rsidRPr="00A61532">
        <w:rPr>
          <w:rFonts w:asciiTheme="majorBidi" w:eastAsia="SimSun" w:hAnsiTheme="majorBidi" w:cstheme="majorBidi"/>
          <w:kern w:val="0"/>
          <w:szCs w:val="24"/>
          <w:lang w:bidi="he-IL"/>
        </w:rPr>
        <w:t xml:space="preserve"> Monetary gains for executives may also result from certain hardwired provisions of their compensation arrangements, triggered by the completion of the merger. For example, executives may receive severance payments, excise-tax reimbursement or cashing-out of unvested equity awards due to the completion of the transactions. </w:t>
      </w:r>
    </w:p>
    <w:p w14:paraId="2C1454E7" w14:textId="459A311A" w:rsidR="00C40B42" w:rsidRPr="00A61532" w:rsidRDefault="00C40B42" w:rsidP="00C40B42">
      <w:pPr>
        <w:widowControl/>
        <w:spacing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One could argue that such payments do not reflect an additional benefit provided to executives in the course of the negotiation, but rather a simple triggering of existing provisions in the compensation agreements of the </w:t>
      </w:r>
      <w:r w:rsidRPr="00A61532">
        <w:rPr>
          <w:rFonts w:asciiTheme="majorBidi" w:eastAsia="SimSun" w:hAnsiTheme="majorBidi" w:cstheme="majorBidi"/>
          <w:kern w:val="0"/>
          <w:szCs w:val="24"/>
          <w:lang w:bidi="he-IL"/>
        </w:rPr>
        <w:lastRenderedPageBreak/>
        <w:t xml:space="preserve">executives. However, these payments still represent some additional benefits that the executives gain due to the transaction, and beyond what regular shareholders gain. Additionally, these agreements could be bargained, or amended, in anticipation of a takeover, and therefore should be considered bargained-for benefits. To assess the extent to which executives bargained for these additional benefits prior to the transactions, we have collected additional information indicating whether employment agreements with the executive officers were amended during the negotiations or in connection with the merger in a way that </w:t>
      </w:r>
      <w:r w:rsidR="00512435" w:rsidRPr="00A61532">
        <w:rPr>
          <w:rFonts w:asciiTheme="majorBidi" w:eastAsia="SimSun" w:hAnsiTheme="majorBidi" w:cstheme="majorBidi"/>
          <w:kern w:val="0"/>
          <w:szCs w:val="24"/>
          <w:lang w:bidi="he-IL"/>
        </w:rPr>
        <w:t>change</w:t>
      </w:r>
      <w:r w:rsidR="00512435">
        <w:rPr>
          <w:rFonts w:asciiTheme="majorBidi" w:eastAsia="SimSun" w:hAnsiTheme="majorBidi" w:cstheme="majorBidi"/>
          <w:kern w:val="0"/>
          <w:szCs w:val="24"/>
          <w:lang w:bidi="he-IL"/>
        </w:rPr>
        <w:t>d</w:t>
      </w:r>
      <w:r w:rsidR="00512435"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their compensation.</w:t>
      </w:r>
    </w:p>
    <w:p w14:paraId="2309E308" w14:textId="77777777"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In addition to triggering certain hardwired provisions, corporate leaders could also negotiate for other compensatory arrangements with the buyer as a part of the deal. For example, they could bargain for special payments or closing bonuses in connection with the completion of the merger.</w:t>
      </w:r>
    </w:p>
    <w:p w14:paraId="4D577DD3" w14:textId="475A7AFA"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Also in this case, it might be argued that these payments are part of a package intended to retain executives in their positions, which is often necessary for a transaction to take place. However, continuing executives are likely to receive new compensation packages in addition to the payments we report below. Moreover, the Payment Qua Executives are payments that executives would get just by virtue of their current positions at the target, even if they resign from these positions immediately after the closing. Furthermore, some of those payments were to executives that held positions pre transaction, but according to disclosures, were not planned to remain in the target following the transaction.</w:t>
      </w:r>
    </w:p>
    <w:p w14:paraId="612E5233" w14:textId="5A359ECC" w:rsidR="001D6D39" w:rsidRDefault="00C40B42" w:rsidP="001D6D39">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Retention of Executives.</w:t>
      </w:r>
      <w:r w:rsidRPr="00A61532">
        <w:rPr>
          <w:rFonts w:asciiTheme="majorBidi" w:eastAsia="SimSun" w:hAnsiTheme="majorBidi" w:cstheme="majorBidi"/>
          <w:kern w:val="0"/>
          <w:szCs w:val="24"/>
          <w:lang w:bidi="he-IL"/>
        </w:rPr>
        <w:t xml:space="preserve"> Corporate leaders may benefit from continued employment in the surviving company following the acquisition, which entitles them to compensation packages consisting of different elements (salary, bonus, stock-based pay, retirement benefits</w:t>
      </w:r>
      <w:r w:rsidR="00E00AB0">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etc.). In order to examine the prospect of receiving such benefits, we checked whether the company CEO or other top executives were retained by the acquirers. While executive arrangements with the surviving entities, which are private entities, are not publicly available, executives who are retained by private equity firms are expected to receive the same compensation they had prior to the acquisition. This assumption is supported by empirical evidence showing that the level of CEO pay in companies owned by private equity firms is substantially similar to the level of pay in comparable public companies.</w:t>
      </w:r>
      <w:r w:rsidRPr="00A61532">
        <w:rPr>
          <w:rFonts w:asciiTheme="majorBidi" w:eastAsia="SimSun" w:hAnsiTheme="majorBidi" w:cstheme="majorBidi"/>
          <w:kern w:val="0"/>
          <w:szCs w:val="24"/>
          <w:vertAlign w:val="superscript"/>
          <w:lang w:bidi="he-IL"/>
        </w:rPr>
        <w:footnoteReference w:id="91"/>
      </w:r>
      <w:r w:rsidRPr="00A61532">
        <w:rPr>
          <w:rFonts w:asciiTheme="majorBidi" w:eastAsia="SimSun" w:hAnsiTheme="majorBidi" w:cstheme="majorBidi"/>
          <w:kern w:val="0"/>
          <w:szCs w:val="24"/>
          <w:lang w:bidi="he-IL"/>
        </w:rPr>
        <w:t xml:space="preserve"> </w:t>
      </w:r>
      <w:bookmarkStart w:id="129" w:name="_Hlk47869147"/>
      <w:r w:rsidRPr="00A61532">
        <w:rPr>
          <w:rFonts w:asciiTheme="majorBidi" w:eastAsia="SimSun" w:hAnsiTheme="majorBidi" w:cstheme="majorBidi"/>
          <w:kern w:val="0"/>
          <w:szCs w:val="24"/>
          <w:lang w:bidi="he-IL"/>
        </w:rPr>
        <w:t xml:space="preserve">Table </w:t>
      </w:r>
      <w:r w:rsidR="001D6D39">
        <w:rPr>
          <w:rFonts w:asciiTheme="majorBidi" w:eastAsia="SimSun" w:hAnsiTheme="majorBidi" w:cstheme="majorBidi"/>
          <w:kern w:val="0"/>
          <w:szCs w:val="24"/>
          <w:lang w:bidi="he-IL"/>
        </w:rPr>
        <w:t>6</w:t>
      </w:r>
      <w:r w:rsidRPr="00A61532">
        <w:rPr>
          <w:rFonts w:asciiTheme="majorBidi" w:eastAsia="SimSun" w:hAnsiTheme="majorBidi" w:cstheme="majorBidi"/>
          <w:kern w:val="0"/>
          <w:szCs w:val="24"/>
          <w:lang w:bidi="he-IL"/>
        </w:rPr>
        <w:t xml:space="preserve"> below </w:t>
      </w:r>
      <w:r w:rsidR="00446C60">
        <w:rPr>
          <w:rFonts w:asciiTheme="majorBidi" w:eastAsia="SimSun" w:hAnsiTheme="majorBidi" w:cstheme="majorBidi"/>
          <w:kern w:val="0"/>
          <w:szCs w:val="24"/>
          <w:lang w:bidi="he-IL"/>
        </w:rPr>
        <w:t xml:space="preserve">reports </w:t>
      </w:r>
      <w:r w:rsidRPr="00A61532">
        <w:rPr>
          <w:rFonts w:asciiTheme="majorBidi" w:eastAsia="SimSun" w:hAnsiTheme="majorBidi" w:cstheme="majorBidi"/>
          <w:kern w:val="0"/>
          <w:szCs w:val="24"/>
          <w:lang w:bidi="he-IL"/>
        </w:rPr>
        <w:lastRenderedPageBreak/>
        <w:t xml:space="preserve">our findings for the </w:t>
      </w:r>
      <w:r w:rsidR="00716EFA">
        <w:rPr>
          <w:rFonts w:asciiTheme="majorBidi" w:eastAsia="SimSun" w:hAnsiTheme="majorBidi" w:cstheme="majorBidi"/>
          <w:kern w:val="0"/>
          <w:szCs w:val="24"/>
          <w:lang w:bidi="he-IL"/>
        </w:rPr>
        <w:t>12</w:t>
      </w:r>
      <w:r w:rsidR="00716EFA"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largest ERR </w:t>
      </w:r>
      <w:r w:rsidR="00716EFA" w:rsidRPr="00A61532">
        <w:rPr>
          <w:rFonts w:asciiTheme="majorBidi" w:eastAsia="SimSun" w:hAnsiTheme="majorBidi" w:cstheme="majorBidi"/>
          <w:kern w:val="0"/>
          <w:szCs w:val="24"/>
          <w:lang w:bidi="he-IL"/>
        </w:rPr>
        <w:t xml:space="preserve">transactions </w:t>
      </w:r>
      <w:r w:rsidRPr="00A61532">
        <w:rPr>
          <w:rFonts w:asciiTheme="majorBidi" w:eastAsia="SimSun" w:hAnsiTheme="majorBidi" w:cstheme="majorBidi"/>
          <w:kern w:val="0"/>
          <w:szCs w:val="24"/>
          <w:lang w:bidi="he-IL"/>
        </w:rPr>
        <w:t xml:space="preserve">and </w:t>
      </w:r>
      <w:r w:rsidR="00716EFA">
        <w:rPr>
          <w:rFonts w:asciiTheme="majorBidi" w:eastAsia="SimSun" w:hAnsiTheme="majorBidi" w:cstheme="majorBidi"/>
          <w:kern w:val="0"/>
          <w:szCs w:val="24"/>
          <w:lang w:bidi="he-IL"/>
        </w:rPr>
        <w:t xml:space="preserve">12 largest </w:t>
      </w:r>
      <w:r w:rsidRPr="00A61532">
        <w:rPr>
          <w:rFonts w:asciiTheme="majorBidi" w:eastAsia="SimSun" w:hAnsiTheme="majorBidi" w:cstheme="majorBidi"/>
          <w:kern w:val="0"/>
          <w:szCs w:val="24"/>
          <w:lang w:bidi="he-IL"/>
        </w:rPr>
        <w:t>Non-ERR transactions in the sample.</w:t>
      </w:r>
      <w:bookmarkEnd w:id="129"/>
    </w:p>
    <w:p w14:paraId="616B1C01" w14:textId="651E3E8F" w:rsidR="006E358A" w:rsidRDefault="006E358A" w:rsidP="001D6D39">
      <w:pPr>
        <w:widowControl/>
        <w:spacing w:line="259" w:lineRule="auto"/>
        <w:ind w:firstLine="360"/>
        <w:rPr>
          <w:rFonts w:asciiTheme="majorBidi" w:eastAsia="SimSun" w:hAnsiTheme="majorBidi" w:cstheme="majorBidi"/>
          <w:kern w:val="0"/>
          <w:szCs w:val="24"/>
          <w:lang w:bidi="he-IL"/>
        </w:rPr>
      </w:pPr>
    </w:p>
    <w:p w14:paraId="5452D8E0" w14:textId="77777777" w:rsidR="006E358A" w:rsidRDefault="006E358A" w:rsidP="001D6D39">
      <w:pPr>
        <w:widowControl/>
        <w:spacing w:line="259" w:lineRule="auto"/>
        <w:ind w:firstLine="360"/>
        <w:rPr>
          <w:rFonts w:asciiTheme="majorBidi" w:eastAsia="SimSun" w:hAnsiTheme="majorBidi" w:cstheme="majorBidi"/>
          <w:kern w:val="0"/>
          <w:szCs w:val="24"/>
          <w:lang w:bidi="he-IL"/>
        </w:rPr>
      </w:pPr>
    </w:p>
    <w:p w14:paraId="2A95537A" w14:textId="730C122C" w:rsidR="00C40B42" w:rsidRPr="00332FE2" w:rsidRDefault="00763DE6" w:rsidP="00332FE2">
      <w:pPr>
        <w:pStyle w:val="Caption"/>
        <w:rPr>
          <w:rFonts w:asciiTheme="majorBidi" w:eastAsia="SimSun" w:hAnsiTheme="majorBidi"/>
          <w:i w:val="0"/>
          <w:color w:val="000000" w:themeColor="text1"/>
          <w:kern w:val="0"/>
        </w:rPr>
      </w:pPr>
      <w:bookmarkStart w:id="130" w:name="_Toc47873898"/>
      <w:bookmarkStart w:id="131" w:name="_Toc47886023"/>
      <w:r w:rsidRPr="00332FE2">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Pr>
          <w:rFonts w:asciiTheme="majorBidi" w:eastAsia="SimSun" w:hAnsiTheme="majorBidi" w:cstheme="majorBidi"/>
          <w:noProof/>
          <w:color w:val="000000" w:themeColor="text1"/>
          <w:kern w:val="0"/>
          <w:lang w:bidi="he-IL"/>
        </w:rPr>
        <w:t>6</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Gains to Executives</w:t>
      </w:r>
      <w:bookmarkEnd w:id="130"/>
      <w:bookmarkEnd w:id="131"/>
    </w:p>
    <w:tbl>
      <w:tblPr>
        <w:tblStyle w:val="TableGrid1"/>
        <w:tblW w:w="7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1276"/>
        <w:gridCol w:w="850"/>
        <w:gridCol w:w="992"/>
        <w:gridCol w:w="993"/>
      </w:tblGrid>
      <w:tr w:rsidR="001D6D39" w:rsidRPr="00A61532" w14:paraId="293F9219" w14:textId="77777777" w:rsidTr="00C40B42">
        <w:trPr>
          <w:jc w:val="center"/>
        </w:trPr>
        <w:tc>
          <w:tcPr>
            <w:tcW w:w="1985" w:type="dxa"/>
            <w:tcBorders>
              <w:bottom w:val="double" w:sz="4" w:space="0" w:color="auto"/>
            </w:tcBorders>
            <w:tcMar>
              <w:left w:w="0" w:type="dxa"/>
              <w:right w:w="0" w:type="dxa"/>
            </w:tcMar>
            <w:vAlign w:val="center"/>
          </w:tcPr>
          <w:p w14:paraId="7604BE4B" w14:textId="77777777" w:rsidR="001D6D39" w:rsidRPr="00A61532" w:rsidRDefault="001D6D39" w:rsidP="00C40B42">
            <w:pPr>
              <w:widowControl/>
              <w:ind w:firstLine="0"/>
              <w:jc w:val="center"/>
              <w:rPr>
                <w:rFonts w:asciiTheme="majorBidi" w:hAnsiTheme="majorBidi" w:cstheme="majorBidi"/>
                <w:b/>
                <w:i/>
                <w:iCs/>
                <w:kern w:val="0"/>
                <w:sz w:val="20"/>
              </w:rPr>
            </w:pPr>
          </w:p>
        </w:tc>
        <w:tc>
          <w:tcPr>
            <w:tcW w:w="1134" w:type="dxa"/>
            <w:tcBorders>
              <w:bottom w:val="double" w:sz="4" w:space="0" w:color="auto"/>
            </w:tcBorders>
            <w:tcMar>
              <w:left w:w="0" w:type="dxa"/>
              <w:right w:w="0" w:type="dxa"/>
            </w:tcMar>
            <w:vAlign w:val="center"/>
          </w:tcPr>
          <w:p w14:paraId="2F052FF8" w14:textId="77777777" w:rsidR="001D6D39" w:rsidRPr="00A61532" w:rsidRDefault="001D6D39" w:rsidP="00C40B42">
            <w:pPr>
              <w:widowControl/>
              <w:ind w:firstLine="0"/>
              <w:jc w:val="center"/>
              <w:rPr>
                <w:rFonts w:asciiTheme="majorBidi" w:hAnsiTheme="majorBidi" w:cstheme="majorBidi"/>
                <w:b/>
                <w:i/>
                <w:iCs/>
                <w:kern w:val="0"/>
                <w:sz w:val="20"/>
              </w:rPr>
            </w:pPr>
          </w:p>
        </w:tc>
        <w:tc>
          <w:tcPr>
            <w:tcW w:w="1276" w:type="dxa"/>
            <w:tcBorders>
              <w:bottom w:val="double" w:sz="4" w:space="0" w:color="auto"/>
            </w:tcBorders>
            <w:tcMar>
              <w:left w:w="0" w:type="dxa"/>
              <w:right w:w="0" w:type="dxa"/>
            </w:tcMar>
            <w:vAlign w:val="center"/>
          </w:tcPr>
          <w:p w14:paraId="750E0625" w14:textId="77777777" w:rsidR="001D6D39" w:rsidRPr="00A61532" w:rsidRDefault="001D6D39" w:rsidP="00C40B42">
            <w:pPr>
              <w:widowControl/>
              <w:ind w:firstLine="0"/>
              <w:jc w:val="center"/>
              <w:rPr>
                <w:rFonts w:asciiTheme="majorBidi" w:hAnsiTheme="majorBidi" w:cstheme="majorBidi"/>
                <w:b/>
                <w:i/>
                <w:iCs/>
                <w:kern w:val="0"/>
                <w:sz w:val="20"/>
              </w:rPr>
            </w:pPr>
          </w:p>
        </w:tc>
        <w:tc>
          <w:tcPr>
            <w:tcW w:w="850" w:type="dxa"/>
            <w:tcBorders>
              <w:bottom w:val="double" w:sz="4" w:space="0" w:color="auto"/>
            </w:tcBorders>
            <w:tcMar>
              <w:left w:w="0" w:type="dxa"/>
              <w:right w:w="0" w:type="dxa"/>
            </w:tcMar>
            <w:vAlign w:val="center"/>
          </w:tcPr>
          <w:p w14:paraId="360EBD77" w14:textId="77777777" w:rsidR="001D6D39" w:rsidRPr="00A61532" w:rsidRDefault="001D6D39" w:rsidP="00C40B42">
            <w:pPr>
              <w:widowControl/>
              <w:ind w:firstLine="0"/>
              <w:jc w:val="center"/>
              <w:rPr>
                <w:rFonts w:asciiTheme="majorBidi" w:hAnsiTheme="majorBidi" w:cstheme="majorBidi"/>
                <w:b/>
                <w:i/>
                <w:iCs/>
                <w:kern w:val="0"/>
                <w:sz w:val="20"/>
              </w:rPr>
            </w:pPr>
          </w:p>
        </w:tc>
        <w:tc>
          <w:tcPr>
            <w:tcW w:w="992" w:type="dxa"/>
            <w:tcBorders>
              <w:bottom w:val="double" w:sz="4" w:space="0" w:color="auto"/>
            </w:tcBorders>
            <w:tcMar>
              <w:left w:w="0" w:type="dxa"/>
              <w:right w:w="0" w:type="dxa"/>
            </w:tcMar>
            <w:vAlign w:val="center"/>
          </w:tcPr>
          <w:p w14:paraId="6E875A2A" w14:textId="77777777" w:rsidR="001D6D39" w:rsidRPr="00A61532" w:rsidRDefault="001D6D39" w:rsidP="00C40B42">
            <w:pPr>
              <w:widowControl/>
              <w:ind w:firstLine="0"/>
              <w:jc w:val="center"/>
              <w:rPr>
                <w:rFonts w:asciiTheme="majorBidi" w:hAnsiTheme="majorBidi" w:cstheme="majorBidi"/>
                <w:b/>
                <w:i/>
                <w:iCs/>
                <w:kern w:val="0"/>
                <w:sz w:val="20"/>
              </w:rPr>
            </w:pPr>
          </w:p>
        </w:tc>
        <w:tc>
          <w:tcPr>
            <w:tcW w:w="993" w:type="dxa"/>
            <w:tcBorders>
              <w:bottom w:val="double" w:sz="4" w:space="0" w:color="auto"/>
            </w:tcBorders>
            <w:tcMar>
              <w:left w:w="0" w:type="dxa"/>
              <w:right w:w="0" w:type="dxa"/>
            </w:tcMar>
            <w:vAlign w:val="center"/>
          </w:tcPr>
          <w:p w14:paraId="599AF897" w14:textId="77777777" w:rsidR="001D6D39" w:rsidRPr="00A61532" w:rsidRDefault="001D6D39" w:rsidP="00C40B42">
            <w:pPr>
              <w:widowControl/>
              <w:ind w:firstLine="0"/>
              <w:jc w:val="center"/>
              <w:rPr>
                <w:rFonts w:asciiTheme="majorBidi" w:hAnsiTheme="majorBidi" w:cstheme="majorBidi"/>
                <w:b/>
                <w:i/>
                <w:iCs/>
                <w:kern w:val="0"/>
                <w:sz w:val="20"/>
              </w:rPr>
            </w:pPr>
          </w:p>
        </w:tc>
      </w:tr>
      <w:tr w:rsidR="00C40B42" w:rsidRPr="00A61532" w14:paraId="3343AB09" w14:textId="77777777" w:rsidTr="00C40B42">
        <w:trPr>
          <w:jc w:val="center"/>
        </w:trPr>
        <w:tc>
          <w:tcPr>
            <w:tcW w:w="1985" w:type="dxa"/>
            <w:tcBorders>
              <w:bottom w:val="double" w:sz="4" w:space="0" w:color="auto"/>
            </w:tcBorders>
            <w:tcMar>
              <w:left w:w="0" w:type="dxa"/>
              <w:right w:w="0" w:type="dxa"/>
            </w:tcMar>
            <w:vAlign w:val="center"/>
          </w:tcPr>
          <w:p w14:paraId="3DB04650"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134" w:type="dxa"/>
            <w:tcBorders>
              <w:bottom w:val="double" w:sz="4" w:space="0" w:color="auto"/>
            </w:tcBorders>
            <w:tcMar>
              <w:left w:w="0" w:type="dxa"/>
              <w:right w:w="0" w:type="dxa"/>
            </w:tcMar>
            <w:vAlign w:val="center"/>
          </w:tcPr>
          <w:p w14:paraId="2E86407B"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Shareholders (Millions)</w:t>
            </w:r>
            <w:r w:rsidRPr="00A61532">
              <w:rPr>
                <w:rFonts w:asciiTheme="majorBidi" w:hAnsiTheme="majorBidi" w:cstheme="majorBidi"/>
                <w:b/>
                <w:i/>
                <w:iCs/>
                <w:kern w:val="0"/>
                <w:sz w:val="20"/>
                <w:vertAlign w:val="superscript"/>
              </w:rPr>
              <w:footnoteReference w:id="92"/>
            </w:r>
          </w:p>
        </w:tc>
        <w:tc>
          <w:tcPr>
            <w:tcW w:w="1276" w:type="dxa"/>
            <w:tcBorders>
              <w:bottom w:val="double" w:sz="4" w:space="0" w:color="auto"/>
            </w:tcBorders>
            <w:tcMar>
              <w:left w:w="0" w:type="dxa"/>
              <w:right w:w="0" w:type="dxa"/>
            </w:tcMar>
            <w:vAlign w:val="center"/>
          </w:tcPr>
          <w:p w14:paraId="6F648B38"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Executives (Millions)</w:t>
            </w:r>
          </w:p>
        </w:tc>
        <w:tc>
          <w:tcPr>
            <w:tcW w:w="850" w:type="dxa"/>
            <w:tcBorders>
              <w:bottom w:val="double" w:sz="4" w:space="0" w:color="auto"/>
            </w:tcBorders>
            <w:tcMar>
              <w:left w:w="0" w:type="dxa"/>
              <w:right w:w="0" w:type="dxa"/>
            </w:tcMar>
            <w:vAlign w:val="center"/>
          </w:tcPr>
          <w:p w14:paraId="7F3DC9B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CEO Retained?</w:t>
            </w:r>
          </w:p>
        </w:tc>
        <w:tc>
          <w:tcPr>
            <w:tcW w:w="992" w:type="dxa"/>
            <w:tcBorders>
              <w:bottom w:val="double" w:sz="4" w:space="0" w:color="auto"/>
            </w:tcBorders>
            <w:tcMar>
              <w:left w:w="0" w:type="dxa"/>
              <w:right w:w="0" w:type="dxa"/>
            </w:tcMar>
            <w:vAlign w:val="center"/>
          </w:tcPr>
          <w:p w14:paraId="006F904D"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No. of Other Top Officers Retained</w:t>
            </w:r>
          </w:p>
        </w:tc>
        <w:tc>
          <w:tcPr>
            <w:tcW w:w="993" w:type="dxa"/>
            <w:tcBorders>
              <w:bottom w:val="double" w:sz="4" w:space="0" w:color="auto"/>
            </w:tcBorders>
            <w:tcMar>
              <w:left w:w="0" w:type="dxa"/>
              <w:right w:w="0" w:type="dxa"/>
            </w:tcMar>
            <w:vAlign w:val="center"/>
          </w:tcPr>
          <w:p w14:paraId="52FF9D55"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Announced Plan to Retain Officers?</w:t>
            </w:r>
          </w:p>
        </w:tc>
      </w:tr>
      <w:tr w:rsidR="00C40B42" w:rsidRPr="00A61532" w14:paraId="166BE699" w14:textId="77777777" w:rsidTr="00C40B42">
        <w:trPr>
          <w:jc w:val="center"/>
        </w:trPr>
        <w:tc>
          <w:tcPr>
            <w:tcW w:w="1985" w:type="dxa"/>
            <w:tcBorders>
              <w:top w:val="double" w:sz="4" w:space="0" w:color="auto"/>
            </w:tcBorders>
            <w:tcMar>
              <w:left w:w="0" w:type="dxa"/>
              <w:right w:w="0" w:type="dxa"/>
            </w:tcMar>
          </w:tcPr>
          <w:p w14:paraId="46053F74"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134" w:type="dxa"/>
            <w:tcBorders>
              <w:top w:val="double" w:sz="4" w:space="0" w:color="auto"/>
            </w:tcBorders>
            <w:tcMar>
              <w:left w:w="0" w:type="dxa"/>
              <w:right w:w="0" w:type="dxa"/>
            </w:tcMar>
          </w:tcPr>
          <w:p w14:paraId="52600E0C" w14:textId="77777777" w:rsidR="00C40B42" w:rsidRPr="00A61532" w:rsidRDefault="00C40B42" w:rsidP="00C40B42">
            <w:pPr>
              <w:widowControl/>
              <w:spacing w:before="40"/>
              <w:ind w:firstLine="0"/>
              <w:jc w:val="center"/>
              <w:rPr>
                <w:rFonts w:asciiTheme="majorBidi" w:hAnsiTheme="majorBidi" w:cstheme="majorBidi"/>
                <w:kern w:val="0"/>
                <w:sz w:val="20"/>
                <w:szCs w:val="20"/>
              </w:rPr>
            </w:pPr>
            <w:r w:rsidRPr="00A61532">
              <w:rPr>
                <w:rFonts w:asciiTheme="majorBidi" w:hAnsiTheme="majorBidi" w:cstheme="majorBidi"/>
                <w:sz w:val="20"/>
                <w:szCs w:val="20"/>
              </w:rPr>
              <w:t>$214.34</w:t>
            </w:r>
          </w:p>
        </w:tc>
        <w:tc>
          <w:tcPr>
            <w:tcW w:w="1276" w:type="dxa"/>
            <w:tcBorders>
              <w:top w:val="double" w:sz="4" w:space="0" w:color="auto"/>
            </w:tcBorders>
            <w:tcMar>
              <w:left w:w="0" w:type="dxa"/>
              <w:right w:w="0" w:type="dxa"/>
            </w:tcMar>
          </w:tcPr>
          <w:p w14:paraId="4A07B215" w14:textId="77777777" w:rsidR="00C40B42" w:rsidRPr="00A61532" w:rsidRDefault="00C40B42" w:rsidP="00C40B42">
            <w:pPr>
              <w:widowControl/>
              <w:spacing w:before="40"/>
              <w:ind w:firstLine="0"/>
              <w:jc w:val="center"/>
              <w:rPr>
                <w:rFonts w:asciiTheme="majorBidi" w:hAnsiTheme="majorBidi" w:cstheme="majorBidi"/>
                <w:kern w:val="0"/>
                <w:sz w:val="20"/>
                <w:szCs w:val="20"/>
              </w:rPr>
            </w:pPr>
            <w:r w:rsidRPr="00A61532">
              <w:rPr>
                <w:rFonts w:asciiTheme="majorBidi" w:hAnsiTheme="majorBidi" w:cstheme="majorBidi"/>
                <w:sz w:val="20"/>
                <w:szCs w:val="20"/>
              </w:rPr>
              <w:t>$179.23</w:t>
            </w:r>
          </w:p>
        </w:tc>
        <w:tc>
          <w:tcPr>
            <w:tcW w:w="850" w:type="dxa"/>
            <w:tcBorders>
              <w:top w:val="double" w:sz="4" w:space="0" w:color="auto"/>
            </w:tcBorders>
            <w:tcMar>
              <w:left w:w="0" w:type="dxa"/>
              <w:right w:w="0" w:type="dxa"/>
            </w:tcMar>
          </w:tcPr>
          <w:p w14:paraId="2447B3A9"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Borders>
              <w:top w:val="double" w:sz="4" w:space="0" w:color="auto"/>
            </w:tcBorders>
            <w:tcMar>
              <w:left w:w="0" w:type="dxa"/>
              <w:right w:w="0" w:type="dxa"/>
            </w:tcMar>
          </w:tcPr>
          <w:p w14:paraId="6DC420AD"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9</w:t>
            </w:r>
          </w:p>
        </w:tc>
        <w:tc>
          <w:tcPr>
            <w:tcW w:w="993" w:type="dxa"/>
            <w:tcBorders>
              <w:top w:val="double" w:sz="4" w:space="0" w:color="auto"/>
            </w:tcBorders>
            <w:tcMar>
              <w:left w:w="0" w:type="dxa"/>
              <w:right w:w="0" w:type="dxa"/>
            </w:tcMar>
          </w:tcPr>
          <w:p w14:paraId="1826753A"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CEE231C" w14:textId="77777777" w:rsidTr="00C40B42">
        <w:trPr>
          <w:jc w:val="center"/>
        </w:trPr>
        <w:tc>
          <w:tcPr>
            <w:tcW w:w="1985" w:type="dxa"/>
            <w:tcMar>
              <w:left w:w="0" w:type="dxa"/>
              <w:right w:w="0" w:type="dxa"/>
            </w:tcMar>
          </w:tcPr>
          <w:p w14:paraId="447A3BB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134" w:type="dxa"/>
            <w:tcMar>
              <w:left w:w="0" w:type="dxa"/>
              <w:right w:w="0" w:type="dxa"/>
            </w:tcMar>
          </w:tcPr>
          <w:p w14:paraId="2051EE44"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$80.79</w:t>
            </w:r>
          </w:p>
        </w:tc>
        <w:tc>
          <w:tcPr>
            <w:tcW w:w="1276" w:type="dxa"/>
            <w:tcMar>
              <w:left w:w="0" w:type="dxa"/>
              <w:right w:w="0" w:type="dxa"/>
            </w:tcMar>
          </w:tcPr>
          <w:p w14:paraId="022E7A2D"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$31.58</w:t>
            </w:r>
          </w:p>
        </w:tc>
        <w:tc>
          <w:tcPr>
            <w:tcW w:w="850" w:type="dxa"/>
            <w:tcMar>
              <w:left w:w="0" w:type="dxa"/>
              <w:right w:w="0" w:type="dxa"/>
            </w:tcMar>
          </w:tcPr>
          <w:p w14:paraId="4C11D12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6291F0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993" w:type="dxa"/>
            <w:tcMar>
              <w:left w:w="0" w:type="dxa"/>
              <w:right w:w="0" w:type="dxa"/>
            </w:tcMar>
          </w:tcPr>
          <w:p w14:paraId="13BCCC1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E77C64B" w14:textId="77777777" w:rsidTr="00C40B42">
        <w:trPr>
          <w:jc w:val="center"/>
        </w:trPr>
        <w:tc>
          <w:tcPr>
            <w:tcW w:w="1985" w:type="dxa"/>
            <w:tcMar>
              <w:left w:w="0" w:type="dxa"/>
              <w:right w:w="0" w:type="dxa"/>
            </w:tcMar>
          </w:tcPr>
          <w:p w14:paraId="66C5CF1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134" w:type="dxa"/>
            <w:tcMar>
              <w:left w:w="0" w:type="dxa"/>
              <w:right w:w="0" w:type="dxa"/>
            </w:tcMar>
          </w:tcPr>
          <w:p w14:paraId="4DA5E6F1"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$333.15</w:t>
            </w:r>
          </w:p>
        </w:tc>
        <w:tc>
          <w:tcPr>
            <w:tcW w:w="1276" w:type="dxa"/>
            <w:tcMar>
              <w:left w:w="0" w:type="dxa"/>
              <w:right w:w="0" w:type="dxa"/>
            </w:tcMar>
          </w:tcPr>
          <w:p w14:paraId="709979A0"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$273.82</w:t>
            </w:r>
          </w:p>
        </w:tc>
        <w:tc>
          <w:tcPr>
            <w:tcW w:w="850" w:type="dxa"/>
            <w:tcMar>
              <w:left w:w="0" w:type="dxa"/>
              <w:right w:w="0" w:type="dxa"/>
            </w:tcMar>
          </w:tcPr>
          <w:p w14:paraId="4ADBD3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6E462B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993" w:type="dxa"/>
            <w:tcMar>
              <w:left w:w="0" w:type="dxa"/>
              <w:right w:w="0" w:type="dxa"/>
            </w:tcMar>
          </w:tcPr>
          <w:p w14:paraId="1504A69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F688493" w14:textId="77777777" w:rsidTr="00C40B42">
        <w:trPr>
          <w:jc w:val="center"/>
        </w:trPr>
        <w:tc>
          <w:tcPr>
            <w:tcW w:w="1985" w:type="dxa"/>
            <w:tcMar>
              <w:left w:w="0" w:type="dxa"/>
              <w:right w:w="0" w:type="dxa"/>
            </w:tcMar>
          </w:tcPr>
          <w:p w14:paraId="03FF2A7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134" w:type="dxa"/>
            <w:tcMar>
              <w:left w:w="0" w:type="dxa"/>
              <w:right w:w="0" w:type="dxa"/>
            </w:tcMar>
          </w:tcPr>
          <w:p w14:paraId="6F0D4E47"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$30.39</w:t>
            </w:r>
          </w:p>
        </w:tc>
        <w:tc>
          <w:tcPr>
            <w:tcW w:w="1276" w:type="dxa"/>
            <w:tcMar>
              <w:left w:w="0" w:type="dxa"/>
              <w:right w:w="0" w:type="dxa"/>
            </w:tcMar>
          </w:tcPr>
          <w:p w14:paraId="6C80F054"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$85.85</w:t>
            </w:r>
          </w:p>
        </w:tc>
        <w:tc>
          <w:tcPr>
            <w:tcW w:w="850" w:type="dxa"/>
            <w:tcMar>
              <w:left w:w="0" w:type="dxa"/>
              <w:right w:w="0" w:type="dxa"/>
            </w:tcMar>
          </w:tcPr>
          <w:p w14:paraId="2990AE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2E757D0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C499F1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00BF6EC" w14:textId="77777777" w:rsidTr="00C40B42">
        <w:trPr>
          <w:jc w:val="center"/>
        </w:trPr>
        <w:tc>
          <w:tcPr>
            <w:tcW w:w="1985" w:type="dxa"/>
            <w:tcMar>
              <w:left w:w="0" w:type="dxa"/>
              <w:right w:w="0" w:type="dxa"/>
            </w:tcMar>
          </w:tcPr>
          <w:p w14:paraId="47B2F22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134" w:type="dxa"/>
            <w:tcMar>
              <w:left w:w="0" w:type="dxa"/>
              <w:right w:w="0" w:type="dxa"/>
            </w:tcMar>
          </w:tcPr>
          <w:p w14:paraId="37010B47"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$60.55</w:t>
            </w:r>
          </w:p>
        </w:tc>
        <w:tc>
          <w:tcPr>
            <w:tcW w:w="1276" w:type="dxa"/>
            <w:tcMar>
              <w:left w:w="0" w:type="dxa"/>
              <w:right w:w="0" w:type="dxa"/>
            </w:tcMar>
          </w:tcPr>
          <w:p w14:paraId="3E1A6A5A"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$7.02</w:t>
            </w:r>
          </w:p>
        </w:tc>
        <w:tc>
          <w:tcPr>
            <w:tcW w:w="850" w:type="dxa"/>
            <w:tcMar>
              <w:left w:w="0" w:type="dxa"/>
              <w:right w:w="0" w:type="dxa"/>
            </w:tcMar>
          </w:tcPr>
          <w:p w14:paraId="166EC4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26514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AD9C94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754EFBA7" w14:textId="77777777" w:rsidTr="00C40B42">
        <w:trPr>
          <w:jc w:val="center"/>
        </w:trPr>
        <w:tc>
          <w:tcPr>
            <w:tcW w:w="1985" w:type="dxa"/>
            <w:tcMar>
              <w:left w:w="0" w:type="dxa"/>
              <w:right w:w="0" w:type="dxa"/>
            </w:tcMar>
          </w:tcPr>
          <w:p w14:paraId="260C89E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134" w:type="dxa"/>
            <w:tcMar>
              <w:left w:w="0" w:type="dxa"/>
              <w:right w:w="0" w:type="dxa"/>
            </w:tcMar>
          </w:tcPr>
          <w:p w14:paraId="4A128E40"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$3.42</w:t>
            </w:r>
          </w:p>
        </w:tc>
        <w:tc>
          <w:tcPr>
            <w:tcW w:w="1276" w:type="dxa"/>
            <w:tcMar>
              <w:left w:w="0" w:type="dxa"/>
              <w:right w:w="0" w:type="dxa"/>
            </w:tcMar>
          </w:tcPr>
          <w:p w14:paraId="44E7FD59"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$1.36</w:t>
            </w:r>
          </w:p>
        </w:tc>
        <w:tc>
          <w:tcPr>
            <w:tcW w:w="850" w:type="dxa"/>
            <w:tcMar>
              <w:left w:w="0" w:type="dxa"/>
              <w:right w:w="0" w:type="dxa"/>
            </w:tcMar>
          </w:tcPr>
          <w:p w14:paraId="12EF1FD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7AA553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33739CB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A200A75" w14:textId="77777777" w:rsidTr="00C40B42">
        <w:trPr>
          <w:jc w:val="center"/>
        </w:trPr>
        <w:tc>
          <w:tcPr>
            <w:tcW w:w="1985" w:type="dxa"/>
            <w:tcMar>
              <w:left w:w="0" w:type="dxa"/>
              <w:right w:w="0" w:type="dxa"/>
            </w:tcMar>
          </w:tcPr>
          <w:p w14:paraId="72192F3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134" w:type="dxa"/>
            <w:tcMar>
              <w:left w:w="0" w:type="dxa"/>
              <w:right w:w="0" w:type="dxa"/>
            </w:tcMar>
          </w:tcPr>
          <w:p w14:paraId="4B34A958"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$15.31</w:t>
            </w:r>
          </w:p>
        </w:tc>
        <w:tc>
          <w:tcPr>
            <w:tcW w:w="1276" w:type="dxa"/>
            <w:tcMar>
              <w:left w:w="0" w:type="dxa"/>
              <w:right w:w="0" w:type="dxa"/>
            </w:tcMar>
          </w:tcPr>
          <w:p w14:paraId="3E516B83"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$30.24</w:t>
            </w:r>
          </w:p>
        </w:tc>
        <w:tc>
          <w:tcPr>
            <w:tcW w:w="850" w:type="dxa"/>
            <w:tcMar>
              <w:left w:w="0" w:type="dxa"/>
              <w:right w:w="0" w:type="dxa"/>
            </w:tcMar>
          </w:tcPr>
          <w:p w14:paraId="5496528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25EA2D3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23D554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5654A50" w14:textId="77777777" w:rsidTr="00C40B42">
        <w:trPr>
          <w:jc w:val="center"/>
        </w:trPr>
        <w:tc>
          <w:tcPr>
            <w:tcW w:w="1985" w:type="dxa"/>
            <w:tcMar>
              <w:left w:w="0" w:type="dxa"/>
              <w:right w:w="0" w:type="dxa"/>
            </w:tcMar>
          </w:tcPr>
          <w:p w14:paraId="4A3E0EC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134" w:type="dxa"/>
            <w:tcMar>
              <w:left w:w="0" w:type="dxa"/>
              <w:right w:w="0" w:type="dxa"/>
            </w:tcMar>
          </w:tcPr>
          <w:p w14:paraId="49C903AA"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$24.34</w:t>
            </w:r>
          </w:p>
        </w:tc>
        <w:tc>
          <w:tcPr>
            <w:tcW w:w="1276" w:type="dxa"/>
            <w:tcMar>
              <w:left w:w="0" w:type="dxa"/>
              <w:right w:w="0" w:type="dxa"/>
            </w:tcMar>
          </w:tcPr>
          <w:p w14:paraId="3F9E6CC5"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$28.45</w:t>
            </w:r>
          </w:p>
        </w:tc>
        <w:tc>
          <w:tcPr>
            <w:tcW w:w="850" w:type="dxa"/>
            <w:tcMar>
              <w:left w:w="0" w:type="dxa"/>
              <w:right w:w="0" w:type="dxa"/>
            </w:tcMar>
          </w:tcPr>
          <w:p w14:paraId="3BBF9D8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410A32D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3F4CEE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61E5C9D" w14:textId="77777777" w:rsidTr="00C40B42">
        <w:trPr>
          <w:jc w:val="center"/>
        </w:trPr>
        <w:tc>
          <w:tcPr>
            <w:tcW w:w="1985" w:type="dxa"/>
            <w:tcMar>
              <w:left w:w="0" w:type="dxa"/>
              <w:right w:w="0" w:type="dxa"/>
            </w:tcMar>
          </w:tcPr>
          <w:p w14:paraId="19E094F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134" w:type="dxa"/>
            <w:tcMar>
              <w:left w:w="0" w:type="dxa"/>
              <w:right w:w="0" w:type="dxa"/>
            </w:tcMar>
          </w:tcPr>
          <w:p w14:paraId="57BE85AA"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$23.22</w:t>
            </w:r>
          </w:p>
        </w:tc>
        <w:tc>
          <w:tcPr>
            <w:tcW w:w="1276" w:type="dxa"/>
            <w:tcMar>
              <w:left w:w="0" w:type="dxa"/>
              <w:right w:w="0" w:type="dxa"/>
            </w:tcMar>
          </w:tcPr>
          <w:p w14:paraId="431AB9BA"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$5.61</w:t>
            </w:r>
          </w:p>
        </w:tc>
        <w:tc>
          <w:tcPr>
            <w:tcW w:w="850" w:type="dxa"/>
            <w:tcMar>
              <w:left w:w="0" w:type="dxa"/>
              <w:right w:w="0" w:type="dxa"/>
            </w:tcMar>
          </w:tcPr>
          <w:p w14:paraId="7353EEC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75FC63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E7553D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2797D8D" w14:textId="77777777" w:rsidTr="00C40B42">
        <w:trPr>
          <w:jc w:val="center"/>
        </w:trPr>
        <w:tc>
          <w:tcPr>
            <w:tcW w:w="1985" w:type="dxa"/>
            <w:tcMar>
              <w:left w:w="0" w:type="dxa"/>
              <w:right w:w="0" w:type="dxa"/>
            </w:tcMar>
          </w:tcPr>
          <w:p w14:paraId="75D3B01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134" w:type="dxa"/>
            <w:tcMar>
              <w:left w:w="0" w:type="dxa"/>
              <w:right w:w="0" w:type="dxa"/>
            </w:tcMar>
          </w:tcPr>
          <w:p w14:paraId="5517B0B5"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$11.51</w:t>
            </w:r>
          </w:p>
        </w:tc>
        <w:tc>
          <w:tcPr>
            <w:tcW w:w="1276" w:type="dxa"/>
            <w:tcMar>
              <w:left w:w="0" w:type="dxa"/>
              <w:right w:w="0" w:type="dxa"/>
            </w:tcMar>
          </w:tcPr>
          <w:p w14:paraId="08E2F2E3"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$59.11</w:t>
            </w:r>
          </w:p>
        </w:tc>
        <w:tc>
          <w:tcPr>
            <w:tcW w:w="850" w:type="dxa"/>
            <w:tcMar>
              <w:left w:w="0" w:type="dxa"/>
              <w:right w:w="0" w:type="dxa"/>
            </w:tcMar>
          </w:tcPr>
          <w:p w14:paraId="058CAD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00F677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0A5964B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C1A2E50" w14:textId="77777777" w:rsidTr="00C40B42">
        <w:trPr>
          <w:jc w:val="center"/>
        </w:trPr>
        <w:tc>
          <w:tcPr>
            <w:tcW w:w="1985" w:type="dxa"/>
            <w:tcMar>
              <w:left w:w="0" w:type="dxa"/>
              <w:right w:w="0" w:type="dxa"/>
            </w:tcMar>
          </w:tcPr>
          <w:p w14:paraId="29D24AA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134" w:type="dxa"/>
            <w:tcMar>
              <w:left w:w="0" w:type="dxa"/>
              <w:right w:w="0" w:type="dxa"/>
            </w:tcMar>
          </w:tcPr>
          <w:p w14:paraId="0385A765"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$2.74</w:t>
            </w:r>
          </w:p>
        </w:tc>
        <w:tc>
          <w:tcPr>
            <w:tcW w:w="1276" w:type="dxa"/>
            <w:tcMar>
              <w:left w:w="0" w:type="dxa"/>
              <w:right w:w="0" w:type="dxa"/>
            </w:tcMar>
          </w:tcPr>
          <w:p w14:paraId="39737F8F"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$4.59</w:t>
            </w:r>
          </w:p>
        </w:tc>
        <w:tc>
          <w:tcPr>
            <w:tcW w:w="850" w:type="dxa"/>
            <w:tcMar>
              <w:left w:w="0" w:type="dxa"/>
              <w:right w:w="0" w:type="dxa"/>
            </w:tcMar>
          </w:tcPr>
          <w:p w14:paraId="1EF1531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2B0CD20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25E20D0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74E7477" w14:textId="77777777" w:rsidTr="00C40B42">
        <w:trPr>
          <w:jc w:val="center"/>
        </w:trPr>
        <w:tc>
          <w:tcPr>
            <w:tcW w:w="1985" w:type="dxa"/>
            <w:tcBorders>
              <w:bottom w:val="single" w:sz="4" w:space="0" w:color="auto"/>
            </w:tcBorders>
            <w:tcMar>
              <w:left w:w="0" w:type="dxa"/>
              <w:right w:w="0" w:type="dxa"/>
            </w:tcMar>
          </w:tcPr>
          <w:p w14:paraId="436FA76D"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134" w:type="dxa"/>
            <w:tcBorders>
              <w:bottom w:val="single" w:sz="4" w:space="0" w:color="auto"/>
            </w:tcBorders>
            <w:tcMar>
              <w:left w:w="0" w:type="dxa"/>
              <w:right w:w="0" w:type="dxa"/>
            </w:tcMar>
          </w:tcPr>
          <w:p w14:paraId="2D76DDE3" w14:textId="77777777" w:rsidR="00C40B42" w:rsidRPr="00A61532" w:rsidRDefault="00C40B42" w:rsidP="00C40B42">
            <w:pPr>
              <w:widowControl/>
              <w:spacing w:line="276" w:lineRule="auto"/>
              <w:ind w:firstLine="0"/>
              <w:jc w:val="center"/>
              <w:rPr>
                <w:rFonts w:asciiTheme="majorBidi" w:hAnsiTheme="majorBidi" w:cstheme="majorBidi"/>
                <w:kern w:val="0"/>
                <w:sz w:val="20"/>
                <w:szCs w:val="20"/>
              </w:rPr>
            </w:pPr>
            <w:r w:rsidRPr="00A61532">
              <w:rPr>
                <w:rFonts w:asciiTheme="majorBidi" w:hAnsiTheme="majorBidi" w:cstheme="majorBidi"/>
                <w:sz w:val="20"/>
                <w:szCs w:val="20"/>
              </w:rPr>
              <w:t>$5.17</w:t>
            </w:r>
          </w:p>
        </w:tc>
        <w:tc>
          <w:tcPr>
            <w:tcW w:w="1276" w:type="dxa"/>
            <w:tcBorders>
              <w:bottom w:val="single" w:sz="4" w:space="0" w:color="auto"/>
            </w:tcBorders>
            <w:tcMar>
              <w:left w:w="0" w:type="dxa"/>
              <w:right w:w="0" w:type="dxa"/>
            </w:tcMar>
          </w:tcPr>
          <w:p w14:paraId="442B0669" w14:textId="77777777" w:rsidR="00C40B42" w:rsidRPr="00A61532" w:rsidRDefault="00C40B42" w:rsidP="00C40B42">
            <w:pPr>
              <w:widowControl/>
              <w:spacing w:line="276" w:lineRule="auto"/>
              <w:ind w:firstLine="0"/>
              <w:jc w:val="center"/>
              <w:rPr>
                <w:rFonts w:asciiTheme="majorBidi" w:hAnsiTheme="majorBidi" w:cstheme="majorBidi"/>
                <w:kern w:val="0"/>
                <w:sz w:val="20"/>
                <w:szCs w:val="20"/>
              </w:rPr>
            </w:pPr>
            <w:r w:rsidRPr="00A61532">
              <w:rPr>
                <w:rFonts w:asciiTheme="majorBidi" w:hAnsiTheme="majorBidi" w:cstheme="majorBidi"/>
                <w:sz w:val="20"/>
                <w:szCs w:val="20"/>
              </w:rPr>
              <w:t>$55.32</w:t>
            </w:r>
          </w:p>
        </w:tc>
        <w:tc>
          <w:tcPr>
            <w:tcW w:w="850" w:type="dxa"/>
            <w:tcBorders>
              <w:bottom w:val="single" w:sz="4" w:space="0" w:color="auto"/>
            </w:tcBorders>
            <w:tcMar>
              <w:left w:w="0" w:type="dxa"/>
              <w:right w:w="0" w:type="dxa"/>
            </w:tcMar>
          </w:tcPr>
          <w:p w14:paraId="41A1C5C8"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Borders>
              <w:bottom w:val="single" w:sz="4" w:space="0" w:color="auto"/>
            </w:tcBorders>
            <w:tcMar>
              <w:left w:w="0" w:type="dxa"/>
              <w:right w:w="0" w:type="dxa"/>
            </w:tcMar>
          </w:tcPr>
          <w:p w14:paraId="762D691D"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993" w:type="dxa"/>
            <w:tcBorders>
              <w:bottom w:val="single" w:sz="4" w:space="0" w:color="auto"/>
            </w:tcBorders>
            <w:tcMar>
              <w:left w:w="0" w:type="dxa"/>
              <w:right w:w="0" w:type="dxa"/>
            </w:tcMar>
          </w:tcPr>
          <w:p w14:paraId="4726671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E84E644" w14:textId="77777777" w:rsidTr="00C40B42">
        <w:trPr>
          <w:jc w:val="center"/>
        </w:trPr>
        <w:tc>
          <w:tcPr>
            <w:tcW w:w="1985" w:type="dxa"/>
            <w:tcBorders>
              <w:top w:val="single" w:sz="4" w:space="0" w:color="auto"/>
            </w:tcBorders>
            <w:shd w:val="clear" w:color="auto" w:fill="auto"/>
            <w:tcMar>
              <w:left w:w="0" w:type="dxa"/>
              <w:right w:w="0" w:type="dxa"/>
            </w:tcMar>
          </w:tcPr>
          <w:p w14:paraId="07D6C42A"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134" w:type="dxa"/>
            <w:tcBorders>
              <w:top w:val="single" w:sz="4" w:space="0" w:color="auto"/>
            </w:tcBorders>
            <w:tcMar>
              <w:left w:w="0" w:type="dxa"/>
              <w:right w:w="0" w:type="dxa"/>
            </w:tcMar>
          </w:tcPr>
          <w:p w14:paraId="553024F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$67.08</w:t>
            </w:r>
          </w:p>
        </w:tc>
        <w:tc>
          <w:tcPr>
            <w:tcW w:w="1276" w:type="dxa"/>
            <w:tcBorders>
              <w:top w:val="single" w:sz="4" w:space="0" w:color="auto"/>
            </w:tcBorders>
            <w:tcMar>
              <w:left w:w="0" w:type="dxa"/>
              <w:right w:w="0" w:type="dxa"/>
            </w:tcMar>
          </w:tcPr>
          <w:p w14:paraId="33063F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$63.51</w:t>
            </w:r>
          </w:p>
        </w:tc>
        <w:tc>
          <w:tcPr>
            <w:tcW w:w="850" w:type="dxa"/>
            <w:tcBorders>
              <w:top w:val="single" w:sz="4" w:space="0" w:color="auto"/>
            </w:tcBorders>
            <w:tcMar>
              <w:left w:w="0" w:type="dxa"/>
              <w:right w:w="0" w:type="dxa"/>
            </w:tcMar>
          </w:tcPr>
          <w:p w14:paraId="11C912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Borders>
              <w:top w:val="single" w:sz="4" w:space="0" w:color="auto"/>
            </w:tcBorders>
            <w:tcMar>
              <w:left w:w="0" w:type="dxa"/>
              <w:right w:w="0" w:type="dxa"/>
            </w:tcMar>
          </w:tcPr>
          <w:p w14:paraId="69DB73F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Borders>
              <w:top w:val="single" w:sz="4" w:space="0" w:color="auto"/>
            </w:tcBorders>
            <w:tcMar>
              <w:left w:w="0" w:type="dxa"/>
              <w:right w:w="0" w:type="dxa"/>
            </w:tcMar>
          </w:tcPr>
          <w:p w14:paraId="22FC92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6006D93" w14:textId="77777777" w:rsidTr="00C40B42">
        <w:trPr>
          <w:jc w:val="center"/>
        </w:trPr>
        <w:tc>
          <w:tcPr>
            <w:tcW w:w="1985" w:type="dxa"/>
            <w:shd w:val="clear" w:color="auto" w:fill="auto"/>
            <w:tcMar>
              <w:left w:w="0" w:type="dxa"/>
              <w:right w:w="0" w:type="dxa"/>
            </w:tcMar>
          </w:tcPr>
          <w:p w14:paraId="5B82A02F"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134" w:type="dxa"/>
            <w:tcMar>
              <w:left w:w="0" w:type="dxa"/>
              <w:right w:w="0" w:type="dxa"/>
            </w:tcMar>
          </w:tcPr>
          <w:p w14:paraId="3D4810F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$23.78</w:t>
            </w:r>
          </w:p>
        </w:tc>
        <w:tc>
          <w:tcPr>
            <w:tcW w:w="1276" w:type="dxa"/>
            <w:tcMar>
              <w:left w:w="0" w:type="dxa"/>
              <w:right w:w="0" w:type="dxa"/>
            </w:tcMar>
          </w:tcPr>
          <w:p w14:paraId="10C021D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$30.91</w:t>
            </w:r>
          </w:p>
        </w:tc>
        <w:tc>
          <w:tcPr>
            <w:tcW w:w="850" w:type="dxa"/>
            <w:tcMar>
              <w:left w:w="0" w:type="dxa"/>
              <w:right w:w="0" w:type="dxa"/>
            </w:tcMar>
          </w:tcPr>
          <w:p w14:paraId="35DFC3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Mar>
              <w:left w:w="0" w:type="dxa"/>
              <w:right w:w="0" w:type="dxa"/>
            </w:tcMar>
          </w:tcPr>
          <w:p w14:paraId="644894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4F81EA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4FC9BDB" w14:textId="77777777" w:rsidTr="00C40B42">
        <w:trPr>
          <w:jc w:val="center"/>
        </w:trPr>
        <w:tc>
          <w:tcPr>
            <w:tcW w:w="1985" w:type="dxa"/>
            <w:shd w:val="clear" w:color="auto" w:fill="auto"/>
            <w:tcMar>
              <w:left w:w="0" w:type="dxa"/>
              <w:right w:w="0" w:type="dxa"/>
            </w:tcMar>
          </w:tcPr>
          <w:p w14:paraId="19787BF8"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134" w:type="dxa"/>
            <w:tcMar>
              <w:left w:w="0" w:type="dxa"/>
              <w:right w:w="0" w:type="dxa"/>
            </w:tcMar>
          </w:tcPr>
          <w:p w14:paraId="3E388B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76" w:type="dxa"/>
            <w:tcMar>
              <w:left w:w="0" w:type="dxa"/>
              <w:right w:w="0" w:type="dxa"/>
            </w:tcMar>
          </w:tcPr>
          <w:p w14:paraId="1A41D10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50" w:type="dxa"/>
            <w:tcMar>
              <w:left w:w="0" w:type="dxa"/>
              <w:right w:w="0" w:type="dxa"/>
            </w:tcMar>
          </w:tcPr>
          <w:p w14:paraId="69FD43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42%</w:t>
            </w:r>
          </w:p>
        </w:tc>
        <w:tc>
          <w:tcPr>
            <w:tcW w:w="992" w:type="dxa"/>
            <w:tcMar>
              <w:left w:w="0" w:type="dxa"/>
              <w:right w:w="0" w:type="dxa"/>
            </w:tcMar>
          </w:tcPr>
          <w:p w14:paraId="341266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33%</w:t>
            </w:r>
          </w:p>
        </w:tc>
        <w:tc>
          <w:tcPr>
            <w:tcW w:w="993" w:type="dxa"/>
            <w:tcMar>
              <w:left w:w="0" w:type="dxa"/>
              <w:right w:w="0" w:type="dxa"/>
            </w:tcMar>
          </w:tcPr>
          <w:p w14:paraId="40FEAB4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83%</w:t>
            </w:r>
          </w:p>
        </w:tc>
      </w:tr>
      <w:tr w:rsidR="00C40B42" w:rsidRPr="00A61532" w14:paraId="763C2537" w14:textId="77777777" w:rsidTr="00C40B42">
        <w:trPr>
          <w:jc w:val="center"/>
        </w:trPr>
        <w:tc>
          <w:tcPr>
            <w:tcW w:w="1985" w:type="dxa"/>
            <w:tcBorders>
              <w:top w:val="single" w:sz="4" w:space="0" w:color="auto"/>
            </w:tcBorders>
            <w:shd w:val="clear" w:color="auto" w:fill="auto"/>
            <w:tcMar>
              <w:left w:w="0" w:type="dxa"/>
              <w:right w:w="0" w:type="dxa"/>
            </w:tcMar>
          </w:tcPr>
          <w:p w14:paraId="69F3DFB9" w14:textId="77777777" w:rsidR="00C40B42" w:rsidRPr="00A61532" w:rsidRDefault="00C40B42" w:rsidP="00C40B42">
            <w:pPr>
              <w:widowControl/>
              <w:spacing w:before="40"/>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EMC</w:t>
            </w:r>
          </w:p>
        </w:tc>
        <w:tc>
          <w:tcPr>
            <w:tcW w:w="1134" w:type="dxa"/>
            <w:tcBorders>
              <w:top w:val="single" w:sz="4" w:space="0" w:color="auto"/>
            </w:tcBorders>
            <w:tcMar>
              <w:left w:w="0" w:type="dxa"/>
              <w:right w:w="0" w:type="dxa"/>
            </w:tcMar>
          </w:tcPr>
          <w:p w14:paraId="4BDA9AC4" w14:textId="77777777" w:rsidR="00C40B42" w:rsidRPr="00A61532" w:rsidRDefault="00C40B42" w:rsidP="00C40B42">
            <w:pPr>
              <w:widowControl/>
              <w:spacing w:before="40"/>
              <w:ind w:firstLine="0"/>
              <w:jc w:val="center"/>
              <w:rPr>
                <w:rFonts w:asciiTheme="majorBidi" w:hAnsiTheme="majorBidi" w:cstheme="majorBidi"/>
                <w:kern w:val="0"/>
                <w:sz w:val="20"/>
                <w:szCs w:val="20"/>
              </w:rPr>
            </w:pPr>
            <w:r w:rsidRPr="00A61532">
              <w:rPr>
                <w:rFonts w:asciiTheme="majorBidi" w:hAnsiTheme="majorBidi" w:cstheme="majorBidi"/>
                <w:sz w:val="20"/>
                <w:szCs w:val="20"/>
              </w:rPr>
              <w:t>$112.80</w:t>
            </w:r>
          </w:p>
        </w:tc>
        <w:tc>
          <w:tcPr>
            <w:tcW w:w="1276" w:type="dxa"/>
            <w:tcBorders>
              <w:top w:val="single" w:sz="4" w:space="0" w:color="auto"/>
            </w:tcBorders>
            <w:tcMar>
              <w:left w:w="0" w:type="dxa"/>
              <w:right w:w="0" w:type="dxa"/>
            </w:tcMar>
          </w:tcPr>
          <w:p w14:paraId="1C7033E3" w14:textId="77777777" w:rsidR="00C40B42" w:rsidRPr="00A61532" w:rsidRDefault="00C40B42" w:rsidP="00C40B42">
            <w:pPr>
              <w:widowControl/>
              <w:spacing w:before="40"/>
              <w:ind w:firstLine="0"/>
              <w:jc w:val="center"/>
              <w:rPr>
                <w:rFonts w:asciiTheme="majorBidi" w:hAnsiTheme="majorBidi" w:cstheme="majorBidi"/>
                <w:kern w:val="0"/>
                <w:sz w:val="20"/>
                <w:szCs w:val="20"/>
              </w:rPr>
            </w:pPr>
            <w:r w:rsidRPr="00A61532">
              <w:rPr>
                <w:rFonts w:asciiTheme="majorBidi" w:hAnsiTheme="majorBidi" w:cstheme="majorBidi"/>
                <w:sz w:val="20"/>
                <w:szCs w:val="20"/>
              </w:rPr>
              <w:t>$167.88</w:t>
            </w:r>
          </w:p>
        </w:tc>
        <w:tc>
          <w:tcPr>
            <w:tcW w:w="850" w:type="dxa"/>
            <w:tcBorders>
              <w:top w:val="single" w:sz="4" w:space="0" w:color="auto"/>
            </w:tcBorders>
            <w:tcMar>
              <w:left w:w="0" w:type="dxa"/>
              <w:right w:w="0" w:type="dxa"/>
            </w:tcMar>
          </w:tcPr>
          <w:p w14:paraId="17834769"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Borders>
              <w:top w:val="single" w:sz="4" w:space="0" w:color="auto"/>
            </w:tcBorders>
            <w:tcMar>
              <w:left w:w="0" w:type="dxa"/>
              <w:right w:w="0" w:type="dxa"/>
            </w:tcMar>
          </w:tcPr>
          <w:p w14:paraId="2257469C"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6</w:t>
            </w:r>
          </w:p>
        </w:tc>
        <w:tc>
          <w:tcPr>
            <w:tcW w:w="993" w:type="dxa"/>
            <w:tcBorders>
              <w:top w:val="single" w:sz="4" w:space="0" w:color="auto"/>
            </w:tcBorders>
            <w:tcMar>
              <w:left w:w="0" w:type="dxa"/>
              <w:right w:w="0" w:type="dxa"/>
            </w:tcMar>
          </w:tcPr>
          <w:p w14:paraId="093CA2BF"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3EC0FB2" w14:textId="77777777" w:rsidTr="00C40B42">
        <w:trPr>
          <w:jc w:val="center"/>
        </w:trPr>
        <w:tc>
          <w:tcPr>
            <w:tcW w:w="1985" w:type="dxa"/>
            <w:shd w:val="clear" w:color="auto" w:fill="auto"/>
            <w:tcMar>
              <w:left w:w="0" w:type="dxa"/>
              <w:right w:w="0" w:type="dxa"/>
            </w:tcMar>
          </w:tcPr>
          <w:p w14:paraId="7C6CB925"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TXU</w:t>
            </w:r>
          </w:p>
        </w:tc>
        <w:tc>
          <w:tcPr>
            <w:tcW w:w="1134" w:type="dxa"/>
            <w:tcMar>
              <w:left w:w="0" w:type="dxa"/>
              <w:right w:w="0" w:type="dxa"/>
            </w:tcMar>
          </w:tcPr>
          <w:p w14:paraId="7207BE8B"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$147.37</w:t>
            </w:r>
          </w:p>
        </w:tc>
        <w:tc>
          <w:tcPr>
            <w:tcW w:w="1276" w:type="dxa"/>
            <w:tcMar>
              <w:left w:w="0" w:type="dxa"/>
              <w:right w:w="0" w:type="dxa"/>
            </w:tcMar>
          </w:tcPr>
          <w:p w14:paraId="2E25CF50"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$530.78</w:t>
            </w:r>
          </w:p>
        </w:tc>
        <w:tc>
          <w:tcPr>
            <w:tcW w:w="850" w:type="dxa"/>
            <w:tcMar>
              <w:left w:w="0" w:type="dxa"/>
              <w:right w:w="0" w:type="dxa"/>
            </w:tcMar>
          </w:tcPr>
          <w:p w14:paraId="7B8EEA6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4C46A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E4624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CCE351D" w14:textId="77777777" w:rsidTr="00C40B42">
        <w:trPr>
          <w:jc w:val="center"/>
        </w:trPr>
        <w:tc>
          <w:tcPr>
            <w:tcW w:w="1985" w:type="dxa"/>
            <w:shd w:val="clear" w:color="auto" w:fill="auto"/>
            <w:tcMar>
              <w:left w:w="0" w:type="dxa"/>
              <w:right w:w="0" w:type="dxa"/>
            </w:tcMar>
          </w:tcPr>
          <w:p w14:paraId="6222D23D"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Clear Channel</w:t>
            </w:r>
          </w:p>
        </w:tc>
        <w:tc>
          <w:tcPr>
            <w:tcW w:w="1134" w:type="dxa"/>
            <w:tcMar>
              <w:left w:w="0" w:type="dxa"/>
              <w:right w:w="0" w:type="dxa"/>
            </w:tcMar>
          </w:tcPr>
          <w:p w14:paraId="6CE85F4D"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$143.77</w:t>
            </w:r>
          </w:p>
        </w:tc>
        <w:tc>
          <w:tcPr>
            <w:tcW w:w="1276" w:type="dxa"/>
            <w:tcMar>
              <w:left w:w="0" w:type="dxa"/>
              <w:right w:w="0" w:type="dxa"/>
            </w:tcMar>
          </w:tcPr>
          <w:p w14:paraId="299CF174"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$40.37</w:t>
            </w:r>
          </w:p>
        </w:tc>
        <w:tc>
          <w:tcPr>
            <w:tcW w:w="850" w:type="dxa"/>
            <w:tcMar>
              <w:left w:w="0" w:type="dxa"/>
              <w:right w:w="0" w:type="dxa"/>
            </w:tcMar>
          </w:tcPr>
          <w:p w14:paraId="04E7B8F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48AEF28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993" w:type="dxa"/>
            <w:tcMar>
              <w:left w:w="0" w:type="dxa"/>
              <w:right w:w="0" w:type="dxa"/>
            </w:tcMar>
          </w:tcPr>
          <w:p w14:paraId="7A9B245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74E12B8" w14:textId="77777777" w:rsidTr="00C40B42">
        <w:trPr>
          <w:jc w:val="center"/>
        </w:trPr>
        <w:tc>
          <w:tcPr>
            <w:tcW w:w="1985" w:type="dxa"/>
            <w:shd w:val="clear" w:color="auto" w:fill="auto"/>
            <w:tcMar>
              <w:left w:w="0" w:type="dxa"/>
              <w:right w:w="0" w:type="dxa"/>
            </w:tcMar>
          </w:tcPr>
          <w:p w14:paraId="7DD857CC"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Kinetic Concepts</w:t>
            </w:r>
          </w:p>
        </w:tc>
        <w:tc>
          <w:tcPr>
            <w:tcW w:w="1134" w:type="dxa"/>
            <w:tcMar>
              <w:left w:w="0" w:type="dxa"/>
              <w:right w:w="0" w:type="dxa"/>
            </w:tcMar>
          </w:tcPr>
          <w:p w14:paraId="6FAD2B23"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$58.69</w:t>
            </w:r>
          </w:p>
        </w:tc>
        <w:tc>
          <w:tcPr>
            <w:tcW w:w="1276" w:type="dxa"/>
            <w:tcMar>
              <w:left w:w="0" w:type="dxa"/>
              <w:right w:w="0" w:type="dxa"/>
            </w:tcMar>
          </w:tcPr>
          <w:p w14:paraId="615CCBA2"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$75.93</w:t>
            </w:r>
          </w:p>
        </w:tc>
        <w:tc>
          <w:tcPr>
            <w:tcW w:w="850" w:type="dxa"/>
            <w:tcMar>
              <w:left w:w="0" w:type="dxa"/>
              <w:right w:w="0" w:type="dxa"/>
            </w:tcMar>
          </w:tcPr>
          <w:p w14:paraId="3FFCF1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65D03BE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0098219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1097B99" w14:textId="77777777" w:rsidTr="00C40B42">
        <w:trPr>
          <w:jc w:val="center"/>
        </w:trPr>
        <w:tc>
          <w:tcPr>
            <w:tcW w:w="1985" w:type="dxa"/>
            <w:shd w:val="clear" w:color="auto" w:fill="auto"/>
            <w:tcMar>
              <w:left w:w="0" w:type="dxa"/>
              <w:right w:w="0" w:type="dxa"/>
            </w:tcMar>
          </w:tcPr>
          <w:p w14:paraId="39310DC3" w14:textId="77777777" w:rsidR="00C40B42" w:rsidRPr="00A61532" w:rsidRDefault="00C40B42" w:rsidP="00C40B42">
            <w:pPr>
              <w:widowControl/>
              <w:ind w:firstLine="0"/>
              <w:jc w:val="left"/>
              <w:rPr>
                <w:rFonts w:asciiTheme="majorBidi" w:hAnsiTheme="majorBidi" w:cstheme="majorBidi"/>
                <w:b/>
                <w:bCs/>
                <w:i/>
                <w:iCs/>
                <w:kern w:val="0"/>
                <w:sz w:val="20"/>
              </w:rPr>
            </w:pPr>
            <w:proofErr w:type="spellStart"/>
            <w:r w:rsidRPr="00A61532">
              <w:rPr>
                <w:rFonts w:asciiTheme="majorBidi" w:hAnsiTheme="majorBidi" w:cstheme="majorBidi"/>
                <w:i/>
                <w:iCs/>
                <w:kern w:val="0"/>
                <w:sz w:val="20"/>
              </w:rPr>
              <w:t>Parexel</w:t>
            </w:r>
            <w:proofErr w:type="spellEnd"/>
          </w:p>
        </w:tc>
        <w:tc>
          <w:tcPr>
            <w:tcW w:w="1134" w:type="dxa"/>
            <w:tcMar>
              <w:left w:w="0" w:type="dxa"/>
              <w:right w:w="0" w:type="dxa"/>
            </w:tcMar>
          </w:tcPr>
          <w:p w14:paraId="29E9CCE1"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$77.41</w:t>
            </w:r>
          </w:p>
        </w:tc>
        <w:tc>
          <w:tcPr>
            <w:tcW w:w="1276" w:type="dxa"/>
            <w:tcMar>
              <w:left w:w="0" w:type="dxa"/>
              <w:right w:w="0" w:type="dxa"/>
            </w:tcMar>
          </w:tcPr>
          <w:p w14:paraId="0965A1D1"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$41.39</w:t>
            </w:r>
          </w:p>
        </w:tc>
        <w:tc>
          <w:tcPr>
            <w:tcW w:w="850" w:type="dxa"/>
            <w:tcMar>
              <w:left w:w="0" w:type="dxa"/>
              <w:right w:w="0" w:type="dxa"/>
            </w:tcMar>
          </w:tcPr>
          <w:p w14:paraId="1AFD8CB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0C0D293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FF40FA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D85BEB2" w14:textId="77777777" w:rsidTr="00C40B42">
        <w:trPr>
          <w:jc w:val="center"/>
        </w:trPr>
        <w:tc>
          <w:tcPr>
            <w:tcW w:w="1985" w:type="dxa"/>
            <w:shd w:val="clear" w:color="auto" w:fill="auto"/>
            <w:tcMar>
              <w:left w:w="0" w:type="dxa"/>
              <w:right w:w="0" w:type="dxa"/>
            </w:tcMar>
          </w:tcPr>
          <w:p w14:paraId="63D74EDB"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Florida East Coast</w:t>
            </w:r>
          </w:p>
        </w:tc>
        <w:tc>
          <w:tcPr>
            <w:tcW w:w="1134" w:type="dxa"/>
            <w:tcMar>
              <w:left w:w="0" w:type="dxa"/>
              <w:right w:w="0" w:type="dxa"/>
            </w:tcMar>
          </w:tcPr>
          <w:p w14:paraId="55F92331"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$326.38</w:t>
            </w:r>
          </w:p>
        </w:tc>
        <w:tc>
          <w:tcPr>
            <w:tcW w:w="1276" w:type="dxa"/>
            <w:tcMar>
              <w:left w:w="0" w:type="dxa"/>
              <w:right w:w="0" w:type="dxa"/>
            </w:tcMar>
          </w:tcPr>
          <w:p w14:paraId="51C7E8DD"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$63.60</w:t>
            </w:r>
          </w:p>
        </w:tc>
        <w:tc>
          <w:tcPr>
            <w:tcW w:w="850" w:type="dxa"/>
            <w:tcMar>
              <w:left w:w="0" w:type="dxa"/>
              <w:right w:w="0" w:type="dxa"/>
            </w:tcMar>
          </w:tcPr>
          <w:p w14:paraId="7D3D4C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3BA87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15E5D76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9BA1301" w14:textId="77777777" w:rsidTr="00C40B42">
        <w:trPr>
          <w:jc w:val="center"/>
        </w:trPr>
        <w:tc>
          <w:tcPr>
            <w:tcW w:w="1985" w:type="dxa"/>
            <w:shd w:val="clear" w:color="auto" w:fill="auto"/>
            <w:tcMar>
              <w:left w:w="0" w:type="dxa"/>
              <w:right w:w="0" w:type="dxa"/>
            </w:tcMar>
          </w:tcPr>
          <w:p w14:paraId="7EF18D8C" w14:textId="54821032"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Claire</w:t>
            </w:r>
            <w:r w:rsidR="00E00AB0">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134" w:type="dxa"/>
            <w:tcMar>
              <w:left w:w="0" w:type="dxa"/>
              <w:right w:w="0" w:type="dxa"/>
            </w:tcMar>
          </w:tcPr>
          <w:p w14:paraId="13D040BA"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$235.29</w:t>
            </w:r>
          </w:p>
        </w:tc>
        <w:tc>
          <w:tcPr>
            <w:tcW w:w="1276" w:type="dxa"/>
            <w:tcMar>
              <w:left w:w="0" w:type="dxa"/>
              <w:right w:w="0" w:type="dxa"/>
            </w:tcMar>
          </w:tcPr>
          <w:p w14:paraId="374FE5A1"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$27.64</w:t>
            </w:r>
          </w:p>
        </w:tc>
        <w:tc>
          <w:tcPr>
            <w:tcW w:w="850" w:type="dxa"/>
            <w:tcMar>
              <w:left w:w="0" w:type="dxa"/>
              <w:right w:w="0" w:type="dxa"/>
            </w:tcMar>
          </w:tcPr>
          <w:p w14:paraId="0F2924F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87BB2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7C6F6D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58F15EC" w14:textId="77777777" w:rsidTr="00C40B42">
        <w:trPr>
          <w:jc w:val="center"/>
        </w:trPr>
        <w:tc>
          <w:tcPr>
            <w:tcW w:w="1985" w:type="dxa"/>
            <w:shd w:val="clear" w:color="auto" w:fill="auto"/>
            <w:tcMar>
              <w:left w:w="0" w:type="dxa"/>
              <w:right w:w="0" w:type="dxa"/>
            </w:tcMar>
          </w:tcPr>
          <w:p w14:paraId="5277F7FC"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Crescent</w:t>
            </w:r>
          </w:p>
        </w:tc>
        <w:tc>
          <w:tcPr>
            <w:tcW w:w="1134" w:type="dxa"/>
            <w:tcMar>
              <w:left w:w="0" w:type="dxa"/>
              <w:right w:w="0" w:type="dxa"/>
            </w:tcMar>
          </w:tcPr>
          <w:p w14:paraId="5F716A98"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$226.15</w:t>
            </w:r>
          </w:p>
        </w:tc>
        <w:tc>
          <w:tcPr>
            <w:tcW w:w="1276" w:type="dxa"/>
            <w:tcMar>
              <w:left w:w="0" w:type="dxa"/>
              <w:right w:w="0" w:type="dxa"/>
            </w:tcMar>
          </w:tcPr>
          <w:p w14:paraId="1D132037"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$77.53</w:t>
            </w:r>
          </w:p>
        </w:tc>
        <w:tc>
          <w:tcPr>
            <w:tcW w:w="850" w:type="dxa"/>
            <w:tcMar>
              <w:left w:w="0" w:type="dxa"/>
              <w:right w:w="0" w:type="dxa"/>
            </w:tcMar>
          </w:tcPr>
          <w:p w14:paraId="01C78D0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5F7A6E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76F9BB3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01FEDEDC" w14:textId="77777777" w:rsidTr="00C40B42">
        <w:trPr>
          <w:jc w:val="center"/>
        </w:trPr>
        <w:tc>
          <w:tcPr>
            <w:tcW w:w="1985" w:type="dxa"/>
            <w:shd w:val="clear" w:color="auto" w:fill="auto"/>
            <w:tcMar>
              <w:left w:w="0" w:type="dxa"/>
              <w:right w:w="0" w:type="dxa"/>
            </w:tcMar>
          </w:tcPr>
          <w:p w14:paraId="3D48F7BE"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EGL</w:t>
            </w:r>
          </w:p>
        </w:tc>
        <w:tc>
          <w:tcPr>
            <w:tcW w:w="1134" w:type="dxa"/>
            <w:tcMar>
              <w:left w:w="0" w:type="dxa"/>
              <w:right w:w="0" w:type="dxa"/>
            </w:tcMar>
          </w:tcPr>
          <w:p w14:paraId="33551B47"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$430.47</w:t>
            </w:r>
          </w:p>
        </w:tc>
        <w:tc>
          <w:tcPr>
            <w:tcW w:w="1276" w:type="dxa"/>
            <w:tcMar>
              <w:left w:w="0" w:type="dxa"/>
              <w:right w:w="0" w:type="dxa"/>
            </w:tcMar>
          </w:tcPr>
          <w:p w14:paraId="630431CE"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$19.60</w:t>
            </w:r>
          </w:p>
        </w:tc>
        <w:tc>
          <w:tcPr>
            <w:tcW w:w="850" w:type="dxa"/>
            <w:tcMar>
              <w:left w:w="0" w:type="dxa"/>
              <w:right w:w="0" w:type="dxa"/>
            </w:tcMar>
          </w:tcPr>
          <w:p w14:paraId="32F7A2D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612E3D3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c>
          <w:tcPr>
            <w:tcW w:w="993" w:type="dxa"/>
            <w:tcMar>
              <w:left w:w="0" w:type="dxa"/>
              <w:right w:w="0" w:type="dxa"/>
            </w:tcMar>
          </w:tcPr>
          <w:p w14:paraId="45EF222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5ACDB77" w14:textId="77777777" w:rsidTr="00C40B42">
        <w:trPr>
          <w:jc w:val="center"/>
        </w:trPr>
        <w:tc>
          <w:tcPr>
            <w:tcW w:w="1985" w:type="dxa"/>
            <w:shd w:val="clear" w:color="auto" w:fill="auto"/>
            <w:tcMar>
              <w:left w:w="0" w:type="dxa"/>
              <w:right w:w="0" w:type="dxa"/>
            </w:tcMar>
          </w:tcPr>
          <w:p w14:paraId="29B84E7A"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CDW</w:t>
            </w:r>
          </w:p>
        </w:tc>
        <w:tc>
          <w:tcPr>
            <w:tcW w:w="1134" w:type="dxa"/>
            <w:tcMar>
              <w:left w:w="0" w:type="dxa"/>
              <w:right w:w="0" w:type="dxa"/>
            </w:tcMar>
          </w:tcPr>
          <w:p w14:paraId="1EA76CC6"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$1448.34</w:t>
            </w:r>
          </w:p>
        </w:tc>
        <w:tc>
          <w:tcPr>
            <w:tcW w:w="1276" w:type="dxa"/>
            <w:tcMar>
              <w:left w:w="0" w:type="dxa"/>
              <w:right w:w="0" w:type="dxa"/>
            </w:tcMar>
          </w:tcPr>
          <w:p w14:paraId="1804B93B"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$60.17</w:t>
            </w:r>
          </w:p>
        </w:tc>
        <w:tc>
          <w:tcPr>
            <w:tcW w:w="850" w:type="dxa"/>
            <w:tcMar>
              <w:left w:w="0" w:type="dxa"/>
              <w:right w:w="0" w:type="dxa"/>
            </w:tcMar>
          </w:tcPr>
          <w:p w14:paraId="0842C2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043EFA0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7F0A355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FD70DAE" w14:textId="77777777" w:rsidTr="00C40B42">
        <w:trPr>
          <w:jc w:val="center"/>
        </w:trPr>
        <w:tc>
          <w:tcPr>
            <w:tcW w:w="1985" w:type="dxa"/>
            <w:shd w:val="clear" w:color="auto" w:fill="auto"/>
            <w:tcMar>
              <w:left w:w="0" w:type="dxa"/>
              <w:right w:w="0" w:type="dxa"/>
            </w:tcMar>
          </w:tcPr>
          <w:p w14:paraId="136C3921"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Life Time Fitness</w:t>
            </w:r>
          </w:p>
        </w:tc>
        <w:tc>
          <w:tcPr>
            <w:tcW w:w="1134" w:type="dxa"/>
            <w:tcMar>
              <w:left w:w="0" w:type="dxa"/>
              <w:right w:w="0" w:type="dxa"/>
            </w:tcMar>
          </w:tcPr>
          <w:p w14:paraId="39D852BF"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$225.06</w:t>
            </w:r>
          </w:p>
        </w:tc>
        <w:tc>
          <w:tcPr>
            <w:tcW w:w="1276" w:type="dxa"/>
            <w:tcMar>
              <w:left w:w="0" w:type="dxa"/>
              <w:right w:w="0" w:type="dxa"/>
            </w:tcMar>
          </w:tcPr>
          <w:p w14:paraId="3AEB4639" w14:textId="77777777" w:rsidR="00C40B42" w:rsidRPr="00A61532" w:rsidRDefault="00C40B42" w:rsidP="00C40B42">
            <w:pPr>
              <w:widowControl/>
              <w:ind w:firstLine="0"/>
              <w:jc w:val="center"/>
              <w:rPr>
                <w:rFonts w:asciiTheme="majorBidi" w:hAnsiTheme="majorBidi" w:cstheme="majorBidi"/>
                <w:kern w:val="0"/>
                <w:sz w:val="20"/>
                <w:szCs w:val="20"/>
              </w:rPr>
            </w:pPr>
            <w:r w:rsidRPr="00A61532">
              <w:rPr>
                <w:rFonts w:asciiTheme="majorBidi" w:hAnsiTheme="majorBidi" w:cstheme="majorBidi"/>
                <w:sz w:val="20"/>
                <w:szCs w:val="20"/>
              </w:rPr>
              <w:t>$52.99</w:t>
            </w:r>
          </w:p>
        </w:tc>
        <w:tc>
          <w:tcPr>
            <w:tcW w:w="850" w:type="dxa"/>
            <w:tcMar>
              <w:left w:w="0" w:type="dxa"/>
              <w:right w:w="0" w:type="dxa"/>
            </w:tcMar>
          </w:tcPr>
          <w:p w14:paraId="6EF1D49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4E74B30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E0563E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C2A6D43" w14:textId="77777777" w:rsidTr="00C40B42">
        <w:trPr>
          <w:jc w:val="center"/>
        </w:trPr>
        <w:tc>
          <w:tcPr>
            <w:tcW w:w="1985" w:type="dxa"/>
            <w:tcBorders>
              <w:bottom w:val="single" w:sz="4" w:space="0" w:color="auto"/>
            </w:tcBorders>
            <w:shd w:val="clear" w:color="auto" w:fill="auto"/>
            <w:tcMar>
              <w:left w:w="0" w:type="dxa"/>
              <w:right w:w="0" w:type="dxa"/>
            </w:tcMar>
          </w:tcPr>
          <w:p w14:paraId="5834A7D9"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134" w:type="dxa"/>
            <w:tcBorders>
              <w:bottom w:val="single" w:sz="4" w:space="0" w:color="auto"/>
            </w:tcBorders>
            <w:tcMar>
              <w:left w:w="0" w:type="dxa"/>
              <w:right w:w="0" w:type="dxa"/>
            </w:tcMar>
          </w:tcPr>
          <w:p w14:paraId="77180F4A" w14:textId="77777777" w:rsidR="00C40B42" w:rsidRPr="00A61532" w:rsidRDefault="00C40B42" w:rsidP="00C40B42">
            <w:pPr>
              <w:widowControl/>
              <w:spacing w:line="276" w:lineRule="auto"/>
              <w:ind w:firstLine="0"/>
              <w:jc w:val="center"/>
              <w:rPr>
                <w:rFonts w:asciiTheme="majorBidi" w:hAnsiTheme="majorBidi" w:cstheme="majorBidi"/>
                <w:kern w:val="0"/>
                <w:sz w:val="20"/>
                <w:szCs w:val="20"/>
              </w:rPr>
            </w:pPr>
            <w:r w:rsidRPr="00A61532">
              <w:rPr>
                <w:rFonts w:asciiTheme="majorBidi" w:hAnsiTheme="majorBidi" w:cstheme="majorBidi"/>
                <w:sz w:val="20"/>
                <w:szCs w:val="20"/>
              </w:rPr>
              <w:t>$23.84</w:t>
            </w:r>
          </w:p>
        </w:tc>
        <w:tc>
          <w:tcPr>
            <w:tcW w:w="1276" w:type="dxa"/>
            <w:tcBorders>
              <w:bottom w:val="single" w:sz="4" w:space="0" w:color="auto"/>
            </w:tcBorders>
            <w:tcMar>
              <w:left w:w="0" w:type="dxa"/>
              <w:right w:w="0" w:type="dxa"/>
            </w:tcMar>
          </w:tcPr>
          <w:p w14:paraId="710F7374" w14:textId="77777777" w:rsidR="00C40B42" w:rsidRPr="00A61532" w:rsidRDefault="00C40B42" w:rsidP="00C40B42">
            <w:pPr>
              <w:widowControl/>
              <w:spacing w:line="276" w:lineRule="auto"/>
              <w:ind w:firstLine="0"/>
              <w:jc w:val="center"/>
              <w:rPr>
                <w:rFonts w:asciiTheme="majorBidi" w:hAnsiTheme="majorBidi" w:cstheme="majorBidi"/>
                <w:kern w:val="0"/>
                <w:sz w:val="20"/>
                <w:szCs w:val="20"/>
              </w:rPr>
            </w:pPr>
            <w:r w:rsidRPr="00A61532">
              <w:rPr>
                <w:rFonts w:asciiTheme="majorBidi" w:hAnsiTheme="majorBidi" w:cstheme="majorBidi"/>
                <w:sz w:val="20"/>
                <w:szCs w:val="20"/>
              </w:rPr>
              <w:t>$13.80</w:t>
            </w:r>
          </w:p>
        </w:tc>
        <w:tc>
          <w:tcPr>
            <w:tcW w:w="850" w:type="dxa"/>
            <w:tcBorders>
              <w:bottom w:val="single" w:sz="4" w:space="0" w:color="auto"/>
            </w:tcBorders>
            <w:tcMar>
              <w:left w:w="0" w:type="dxa"/>
              <w:right w:w="0" w:type="dxa"/>
            </w:tcMar>
          </w:tcPr>
          <w:p w14:paraId="78CD26CB"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Borders>
              <w:bottom w:val="single" w:sz="4" w:space="0" w:color="auto"/>
            </w:tcBorders>
            <w:tcMar>
              <w:left w:w="0" w:type="dxa"/>
              <w:right w:w="0" w:type="dxa"/>
            </w:tcMar>
          </w:tcPr>
          <w:p w14:paraId="71562B1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Borders>
              <w:bottom w:val="single" w:sz="4" w:space="0" w:color="auto"/>
            </w:tcBorders>
            <w:tcMar>
              <w:left w:w="0" w:type="dxa"/>
              <w:right w:w="0" w:type="dxa"/>
            </w:tcMar>
          </w:tcPr>
          <w:p w14:paraId="11C0CAA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45F2C49" w14:textId="77777777" w:rsidTr="00C40B42">
        <w:trPr>
          <w:jc w:val="center"/>
        </w:trPr>
        <w:tc>
          <w:tcPr>
            <w:tcW w:w="1985" w:type="dxa"/>
            <w:tcBorders>
              <w:top w:val="single" w:sz="4" w:space="0" w:color="auto"/>
            </w:tcBorders>
            <w:shd w:val="clear" w:color="auto" w:fill="auto"/>
            <w:tcMar>
              <w:left w:w="0" w:type="dxa"/>
              <w:right w:w="0" w:type="dxa"/>
            </w:tcMar>
          </w:tcPr>
          <w:p w14:paraId="72AE76F5"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134" w:type="dxa"/>
            <w:tcBorders>
              <w:top w:val="single" w:sz="4" w:space="0" w:color="auto"/>
            </w:tcBorders>
            <w:tcMar>
              <w:left w:w="0" w:type="dxa"/>
              <w:right w:w="0" w:type="dxa"/>
            </w:tcMar>
          </w:tcPr>
          <w:p w14:paraId="2A168A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$287.97</w:t>
            </w:r>
          </w:p>
        </w:tc>
        <w:tc>
          <w:tcPr>
            <w:tcW w:w="1276" w:type="dxa"/>
            <w:tcBorders>
              <w:top w:val="single" w:sz="4" w:space="0" w:color="auto"/>
            </w:tcBorders>
            <w:tcMar>
              <w:left w:w="0" w:type="dxa"/>
              <w:right w:w="0" w:type="dxa"/>
            </w:tcMar>
          </w:tcPr>
          <w:p w14:paraId="3DBD772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$97.64</w:t>
            </w:r>
          </w:p>
        </w:tc>
        <w:tc>
          <w:tcPr>
            <w:tcW w:w="850" w:type="dxa"/>
            <w:tcBorders>
              <w:top w:val="single" w:sz="4" w:space="0" w:color="auto"/>
            </w:tcBorders>
            <w:tcMar>
              <w:left w:w="0" w:type="dxa"/>
              <w:right w:w="0" w:type="dxa"/>
            </w:tcMar>
          </w:tcPr>
          <w:p w14:paraId="28907C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Borders>
              <w:top w:val="single" w:sz="4" w:space="0" w:color="auto"/>
            </w:tcBorders>
            <w:tcMar>
              <w:left w:w="0" w:type="dxa"/>
              <w:right w:w="0" w:type="dxa"/>
            </w:tcMar>
          </w:tcPr>
          <w:p w14:paraId="4A0699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Borders>
              <w:top w:val="single" w:sz="4" w:space="0" w:color="auto"/>
            </w:tcBorders>
            <w:tcMar>
              <w:left w:w="0" w:type="dxa"/>
              <w:right w:w="0" w:type="dxa"/>
            </w:tcMar>
          </w:tcPr>
          <w:p w14:paraId="7A3C3F8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B7809F4" w14:textId="77777777" w:rsidTr="00C40B42">
        <w:trPr>
          <w:jc w:val="center"/>
        </w:trPr>
        <w:tc>
          <w:tcPr>
            <w:tcW w:w="1985" w:type="dxa"/>
            <w:shd w:val="clear" w:color="auto" w:fill="auto"/>
            <w:tcMar>
              <w:left w:w="0" w:type="dxa"/>
              <w:right w:w="0" w:type="dxa"/>
            </w:tcMar>
          </w:tcPr>
          <w:p w14:paraId="0232D68C"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134" w:type="dxa"/>
            <w:tcMar>
              <w:left w:w="0" w:type="dxa"/>
              <w:right w:w="0" w:type="dxa"/>
            </w:tcMar>
          </w:tcPr>
          <w:p w14:paraId="735D6D3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$186.22</w:t>
            </w:r>
          </w:p>
        </w:tc>
        <w:tc>
          <w:tcPr>
            <w:tcW w:w="1276" w:type="dxa"/>
            <w:tcMar>
              <w:left w:w="0" w:type="dxa"/>
              <w:right w:w="0" w:type="dxa"/>
            </w:tcMar>
          </w:tcPr>
          <w:p w14:paraId="62346F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$56.58</w:t>
            </w:r>
          </w:p>
        </w:tc>
        <w:tc>
          <w:tcPr>
            <w:tcW w:w="850" w:type="dxa"/>
            <w:tcMar>
              <w:left w:w="0" w:type="dxa"/>
              <w:right w:w="0" w:type="dxa"/>
            </w:tcMar>
          </w:tcPr>
          <w:p w14:paraId="10A128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Mar>
              <w:left w:w="0" w:type="dxa"/>
              <w:right w:w="0" w:type="dxa"/>
            </w:tcMar>
          </w:tcPr>
          <w:p w14:paraId="118EA3E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2831D9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0C77369" w14:textId="77777777" w:rsidTr="00C40B42">
        <w:trPr>
          <w:jc w:val="center"/>
        </w:trPr>
        <w:tc>
          <w:tcPr>
            <w:tcW w:w="1985" w:type="dxa"/>
            <w:tcBorders>
              <w:bottom w:val="double" w:sz="4" w:space="0" w:color="auto"/>
            </w:tcBorders>
            <w:shd w:val="clear" w:color="auto" w:fill="auto"/>
            <w:tcMar>
              <w:left w:w="0" w:type="dxa"/>
              <w:right w:w="0" w:type="dxa"/>
            </w:tcMar>
          </w:tcPr>
          <w:p w14:paraId="67229C25"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134" w:type="dxa"/>
            <w:tcBorders>
              <w:bottom w:val="double" w:sz="4" w:space="0" w:color="auto"/>
            </w:tcBorders>
            <w:tcMar>
              <w:left w:w="0" w:type="dxa"/>
              <w:right w:w="0" w:type="dxa"/>
            </w:tcMar>
          </w:tcPr>
          <w:p w14:paraId="35CD34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76" w:type="dxa"/>
            <w:tcBorders>
              <w:bottom w:val="double" w:sz="4" w:space="0" w:color="auto"/>
            </w:tcBorders>
            <w:tcMar>
              <w:left w:w="0" w:type="dxa"/>
              <w:right w:w="0" w:type="dxa"/>
            </w:tcMar>
          </w:tcPr>
          <w:p w14:paraId="1C6C6BA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50" w:type="dxa"/>
            <w:tcBorders>
              <w:bottom w:val="double" w:sz="4" w:space="0" w:color="auto"/>
            </w:tcBorders>
            <w:tcMar>
              <w:left w:w="0" w:type="dxa"/>
              <w:right w:w="0" w:type="dxa"/>
            </w:tcMar>
          </w:tcPr>
          <w:p w14:paraId="066AECB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c>
          <w:tcPr>
            <w:tcW w:w="992" w:type="dxa"/>
            <w:tcBorders>
              <w:bottom w:val="double" w:sz="4" w:space="0" w:color="auto"/>
            </w:tcBorders>
            <w:tcMar>
              <w:left w:w="0" w:type="dxa"/>
              <w:right w:w="0" w:type="dxa"/>
            </w:tcMar>
          </w:tcPr>
          <w:p w14:paraId="4F0701E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w:t>
            </w:r>
          </w:p>
        </w:tc>
        <w:tc>
          <w:tcPr>
            <w:tcW w:w="993" w:type="dxa"/>
            <w:tcBorders>
              <w:bottom w:val="double" w:sz="4" w:space="0" w:color="auto"/>
            </w:tcBorders>
            <w:tcMar>
              <w:left w:w="0" w:type="dxa"/>
              <w:right w:w="0" w:type="dxa"/>
            </w:tcMar>
          </w:tcPr>
          <w:p w14:paraId="5AE1500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50%</w:t>
            </w:r>
          </w:p>
        </w:tc>
      </w:tr>
    </w:tbl>
    <w:p w14:paraId="4EA34156" w14:textId="1CB42E3A" w:rsidR="00C40B42" w:rsidRPr="00A61532" w:rsidRDefault="00C40B42" w:rsidP="00C40B42">
      <w:pPr>
        <w:widowControl/>
        <w:spacing w:before="24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lastRenderedPageBreak/>
        <w:t xml:space="preserve">We </w:t>
      </w:r>
      <w:r w:rsidR="006E358A">
        <w:rPr>
          <w:rFonts w:asciiTheme="majorBidi" w:eastAsia="SimSun" w:hAnsiTheme="majorBidi" w:cstheme="majorBidi"/>
          <w:color w:val="000000" w:themeColor="text1"/>
          <w:kern w:val="0"/>
          <w:szCs w:val="24"/>
          <w:lang w:bidi="he-IL"/>
        </w:rPr>
        <w:t xml:space="preserve">find </w:t>
      </w:r>
      <w:r w:rsidRPr="00A61532">
        <w:rPr>
          <w:rFonts w:asciiTheme="majorBidi" w:eastAsia="SimSun" w:hAnsiTheme="majorBidi" w:cstheme="majorBidi"/>
          <w:color w:val="000000" w:themeColor="text1"/>
          <w:kern w:val="0"/>
          <w:szCs w:val="24"/>
          <w:lang w:bidi="he-IL"/>
        </w:rPr>
        <w:t>that in all of the largest transactions, executive officers owned equity interests in the target company (through common stock or vested stock options), and therefore benefitted as shareholders from the deal premium. The average aggregate amount of these Payments Qua Shareholders for top ERR and Non-ERR deals is $67.</w:t>
      </w:r>
      <w:r w:rsidR="00D31B57">
        <w:rPr>
          <w:rFonts w:asciiTheme="majorBidi" w:eastAsia="SimSun" w:hAnsiTheme="majorBidi" w:cstheme="majorBidi"/>
          <w:color w:val="000000" w:themeColor="text1"/>
          <w:kern w:val="0"/>
          <w:szCs w:val="24"/>
          <w:lang w:bidi="he-IL"/>
        </w:rPr>
        <w:t>1</w:t>
      </w:r>
      <w:r w:rsidRPr="00A61532">
        <w:rPr>
          <w:rFonts w:asciiTheme="majorBidi" w:eastAsia="SimSun" w:hAnsiTheme="majorBidi" w:cstheme="majorBidi"/>
          <w:color w:val="000000" w:themeColor="text1"/>
          <w:kern w:val="0"/>
          <w:szCs w:val="24"/>
          <w:lang w:bidi="he-IL"/>
        </w:rPr>
        <w:t xml:space="preserve"> million and $287.</w:t>
      </w:r>
      <w:r w:rsidR="00D31B57">
        <w:rPr>
          <w:rFonts w:asciiTheme="majorBidi" w:eastAsia="SimSun" w:hAnsiTheme="majorBidi" w:cstheme="majorBidi"/>
          <w:color w:val="000000" w:themeColor="text1"/>
          <w:kern w:val="0"/>
          <w:szCs w:val="24"/>
          <w:lang w:bidi="he-IL"/>
        </w:rPr>
        <w:t>0</w:t>
      </w:r>
      <w:r w:rsidRPr="00A61532">
        <w:rPr>
          <w:rFonts w:asciiTheme="majorBidi" w:eastAsia="SimSun" w:hAnsiTheme="majorBidi" w:cstheme="majorBidi"/>
          <w:color w:val="000000" w:themeColor="text1"/>
          <w:kern w:val="0"/>
          <w:szCs w:val="24"/>
          <w:lang w:bidi="he-IL"/>
        </w:rPr>
        <w:t xml:space="preserve"> million, and the median is $23.</w:t>
      </w:r>
      <w:r w:rsidR="00D31B57">
        <w:rPr>
          <w:rFonts w:asciiTheme="majorBidi" w:eastAsia="SimSun" w:hAnsiTheme="majorBidi" w:cstheme="majorBidi"/>
          <w:color w:val="000000" w:themeColor="text1"/>
          <w:kern w:val="0"/>
          <w:szCs w:val="24"/>
          <w:lang w:bidi="he-IL"/>
        </w:rPr>
        <w:t>8</w:t>
      </w:r>
      <w:r w:rsidRPr="00A61532">
        <w:rPr>
          <w:rFonts w:asciiTheme="majorBidi" w:eastAsia="SimSun" w:hAnsiTheme="majorBidi" w:cstheme="majorBidi"/>
          <w:color w:val="000000" w:themeColor="text1"/>
          <w:kern w:val="0"/>
          <w:szCs w:val="24"/>
          <w:lang w:bidi="he-IL"/>
        </w:rPr>
        <w:t xml:space="preserve"> million and $186.</w:t>
      </w:r>
      <w:r w:rsidR="00D31B57">
        <w:rPr>
          <w:rFonts w:asciiTheme="majorBidi" w:eastAsia="SimSun" w:hAnsiTheme="majorBidi" w:cstheme="majorBidi"/>
          <w:color w:val="000000" w:themeColor="text1"/>
          <w:kern w:val="0"/>
          <w:szCs w:val="24"/>
          <w:lang w:bidi="he-IL"/>
        </w:rPr>
        <w:t>2</w:t>
      </w:r>
      <w:r w:rsidRPr="00A61532">
        <w:rPr>
          <w:rFonts w:asciiTheme="majorBidi" w:eastAsia="SimSun" w:hAnsiTheme="majorBidi" w:cstheme="majorBidi"/>
          <w:color w:val="000000" w:themeColor="text1"/>
          <w:kern w:val="0"/>
          <w:szCs w:val="24"/>
          <w:lang w:bidi="he-IL"/>
        </w:rPr>
        <w:t xml:space="preserve"> million, respectively. Corporate leaders also received some sort of Payments Qua Executives as a result of the merger. The most common examples are cash-out of unvested options or equity awards, severance payments, and tax gross-up payments. The average aggregate amount of these payments for top ERR and Non-ERR deals is $63.5 million and $97.6 million, and the median is $30.9 million and $56.</w:t>
      </w:r>
      <w:r w:rsidR="00D31B57">
        <w:rPr>
          <w:rFonts w:asciiTheme="majorBidi" w:eastAsia="SimSun" w:hAnsiTheme="majorBidi" w:cstheme="majorBidi"/>
          <w:color w:val="000000" w:themeColor="text1"/>
          <w:kern w:val="0"/>
          <w:szCs w:val="24"/>
          <w:lang w:bidi="he-IL"/>
        </w:rPr>
        <w:t>6</w:t>
      </w:r>
      <w:r w:rsidRPr="00A61532">
        <w:rPr>
          <w:rFonts w:asciiTheme="majorBidi" w:eastAsia="SimSun" w:hAnsiTheme="majorBidi" w:cstheme="majorBidi"/>
          <w:color w:val="000000" w:themeColor="text1"/>
          <w:kern w:val="0"/>
          <w:szCs w:val="24"/>
          <w:lang w:bidi="he-IL"/>
        </w:rPr>
        <w:t xml:space="preserve"> million, respectively.</w:t>
      </w:r>
      <w:r w:rsidR="00E55CF3" w:rsidRPr="00052D1C">
        <w:rPr>
          <w:rFonts w:asciiTheme="majorBidi" w:eastAsia="SimSun" w:hAnsiTheme="majorBidi" w:cstheme="majorBidi"/>
          <w:color w:val="000000" w:themeColor="text1"/>
          <w:kern w:val="0"/>
          <w:szCs w:val="24"/>
          <w:vertAlign w:val="superscript"/>
          <w:lang w:bidi="he-IL"/>
        </w:rPr>
        <w:footnoteReference w:id="93"/>
      </w:r>
      <w:r w:rsidRPr="00A61532">
        <w:rPr>
          <w:rFonts w:asciiTheme="majorBidi" w:eastAsia="SimSun" w:hAnsiTheme="majorBidi" w:cstheme="majorBidi"/>
          <w:color w:val="000000" w:themeColor="text1"/>
          <w:kern w:val="0"/>
          <w:szCs w:val="24"/>
          <w:lang w:bidi="he-IL"/>
        </w:rPr>
        <w:t xml:space="preserve"> </w:t>
      </w:r>
    </w:p>
    <w:p w14:paraId="680E50F0" w14:textId="3B83CC73"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It should be noted that in 50% of the top ERR transactions and in 58% of the Non-ERR transactions,</w:t>
      </w:r>
      <w:r w:rsidR="00512435">
        <w:rPr>
          <w:rFonts w:asciiTheme="majorBidi" w:eastAsia="SimSun" w:hAnsiTheme="majorBidi" w:cstheme="majorBidi"/>
          <w:color w:val="000000" w:themeColor="text1"/>
          <w:kern w:val="0"/>
          <w:szCs w:val="24"/>
          <w:lang w:bidi="he-IL"/>
        </w:rPr>
        <w:t xml:space="preserve"> the</w:t>
      </w:r>
      <w:r w:rsidRPr="00A61532">
        <w:rPr>
          <w:rFonts w:asciiTheme="majorBidi" w:eastAsia="SimSun" w:hAnsiTheme="majorBidi" w:cstheme="majorBidi"/>
          <w:color w:val="000000" w:themeColor="text1"/>
          <w:kern w:val="0"/>
          <w:szCs w:val="24"/>
          <w:lang w:bidi="he-IL"/>
        </w:rPr>
        <w:t xml:space="preserve"> target had amended or replaced its employment agreements with one or more of its executives in connection with the merger during the negotiation period. This suggests that some of the benefits afforded to executives were negotiated in anticipation of the upcoming acquisition and were not the result of </w:t>
      </w:r>
      <w:r w:rsidRPr="00A61532">
        <w:rPr>
          <w:rFonts w:asciiTheme="majorBidi" w:eastAsia="SimSun" w:hAnsiTheme="majorBidi" w:cstheme="majorBidi"/>
          <w:kern w:val="0"/>
          <w:szCs w:val="24"/>
          <w:lang w:bidi="he-IL"/>
        </w:rPr>
        <w:t>pre-existing contractual terms</w:t>
      </w:r>
      <w:r w:rsidRPr="00A61532">
        <w:rPr>
          <w:rFonts w:asciiTheme="majorBidi" w:eastAsia="SimSun" w:hAnsiTheme="majorBidi" w:cstheme="majorBidi"/>
          <w:color w:val="000000" w:themeColor="text1"/>
          <w:kern w:val="0"/>
          <w:szCs w:val="24"/>
          <w:lang w:bidi="he-IL"/>
        </w:rPr>
        <w:t xml:space="preserve">. In addition, we find that in a few cases (17% of top ERR transactions and 25% of the Non-ERR transactions), </w:t>
      </w:r>
      <w:r w:rsidR="00512435">
        <w:rPr>
          <w:rFonts w:asciiTheme="majorBidi" w:eastAsia="SimSun" w:hAnsiTheme="majorBidi" w:cstheme="majorBidi"/>
          <w:color w:val="000000" w:themeColor="text1"/>
          <w:kern w:val="0"/>
          <w:szCs w:val="24"/>
          <w:lang w:bidi="he-IL"/>
        </w:rPr>
        <w:t xml:space="preserve">the </w:t>
      </w:r>
      <w:r w:rsidRPr="00A61532">
        <w:rPr>
          <w:rFonts w:asciiTheme="majorBidi" w:eastAsia="SimSun" w:hAnsiTheme="majorBidi" w:cstheme="majorBidi"/>
          <w:color w:val="000000" w:themeColor="text1"/>
          <w:kern w:val="0"/>
          <w:szCs w:val="24"/>
          <w:lang w:bidi="he-IL"/>
        </w:rPr>
        <w:t>target</w:t>
      </w:r>
      <w:r w:rsidR="008A7471">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executives received closing bonuses or other special cash payments in connection to the merger, with an average aggregate amount of $5.1 and $12.2 million, and a median of $5.1 and $12.4 million, respectively.</w:t>
      </w:r>
    </w:p>
    <w:p w14:paraId="0843F915" w14:textId="285E4B0A"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inorBidi"/>
          <w:kern w:val="0"/>
          <w:szCs w:val="22"/>
          <w:lang w:bidi="he-IL"/>
        </w:rPr>
        <w:t>Finally, we documented explicit commitments to retain the target</w:t>
      </w:r>
      <w:r w:rsidR="008A7471">
        <w:rPr>
          <w:rFonts w:asciiTheme="majorBidi" w:eastAsia="SimSun" w:hAnsiTheme="majorBidi" w:cstheme="minorBidi"/>
          <w:kern w:val="0"/>
          <w:szCs w:val="22"/>
          <w:lang w:bidi="he-IL"/>
        </w:rPr>
        <w:t>’</w:t>
      </w:r>
      <w:r w:rsidRPr="00A61532">
        <w:rPr>
          <w:rFonts w:asciiTheme="majorBidi" w:eastAsia="SimSun" w:hAnsiTheme="majorBidi" w:cstheme="minorBidi"/>
          <w:kern w:val="0"/>
          <w:szCs w:val="22"/>
          <w:lang w:bidi="he-IL"/>
        </w:rPr>
        <w:t>s CEO or other executive officers following the completion of the merger</w:t>
      </w:r>
      <w:r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color w:val="000000" w:themeColor="text1"/>
          <w:kern w:val="0"/>
          <w:szCs w:val="24"/>
          <w:lang w:bidi="he-IL"/>
        </w:rPr>
        <w:t>In particular, we have found that in</w:t>
      </w:r>
      <w:r w:rsidRPr="00A61532">
        <w:rPr>
          <w:rFonts w:asciiTheme="majorBidi" w:eastAsia="SimSun" w:hAnsiTheme="majorBidi" w:cstheme="majorBidi"/>
          <w:b/>
          <w:bCs/>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50% of the top ERR transactions and in 33% of the top Non-ERR transactions, the proxy statement expressly states that the target</w:t>
      </w:r>
      <w:r w:rsidR="008A7471">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CEO or other top executives will be employed in the surviving company.</w:t>
      </w:r>
      <w:r w:rsidRPr="00A61532">
        <w:rPr>
          <w:rFonts w:asciiTheme="majorBidi" w:eastAsia="SimSun" w:hAnsiTheme="majorBidi" w:cstheme="majorBidi"/>
          <w:color w:val="000000" w:themeColor="text1"/>
          <w:kern w:val="0"/>
          <w:szCs w:val="24"/>
          <w:vertAlign w:val="superscript"/>
          <w:lang w:bidi="he-IL"/>
        </w:rPr>
        <w:footnoteReference w:id="94"/>
      </w:r>
      <w:r w:rsidRPr="00A61532">
        <w:rPr>
          <w:rFonts w:asciiTheme="majorBidi" w:eastAsia="SimSun" w:hAnsiTheme="majorBidi" w:cstheme="majorBidi"/>
          <w:color w:val="000000" w:themeColor="text1"/>
          <w:kern w:val="0"/>
          <w:szCs w:val="24"/>
          <w:lang w:bidi="he-IL"/>
        </w:rPr>
        <w:t xml:space="preserve"> </w:t>
      </w:r>
    </w:p>
    <w:p w14:paraId="32B751B4" w14:textId="4471770E"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lastRenderedPageBreak/>
        <w:t>We also collected data on</w:t>
      </w:r>
      <w:r w:rsidRPr="00A61532">
        <w:rPr>
          <w:rFonts w:asciiTheme="majorBidi" w:eastAsia="SimSun" w:hAnsiTheme="majorBidi" w:cstheme="minorBidi"/>
          <w:kern w:val="0"/>
          <w:szCs w:val="22"/>
          <w:lang w:bidi="he-IL"/>
        </w:rPr>
        <w:t xml:space="preserve"> </w:t>
      </w:r>
      <w:r w:rsidRPr="00A61532">
        <w:rPr>
          <w:rFonts w:asciiTheme="majorBidi" w:eastAsia="SimSun" w:hAnsiTheme="majorBidi" w:cstheme="majorBidi"/>
          <w:color w:val="000000" w:themeColor="text1"/>
          <w:kern w:val="0"/>
          <w:szCs w:val="24"/>
          <w:lang w:bidi="he-IL"/>
        </w:rPr>
        <w:t>“softer”</w:t>
      </w:r>
      <w:r w:rsidRPr="00A61532">
        <w:rPr>
          <w:rFonts w:asciiTheme="majorBidi" w:eastAsia="SimSun" w:hAnsiTheme="majorBidi" w:cstheme="minorBidi"/>
          <w:kern w:val="0"/>
          <w:szCs w:val="22"/>
          <w:lang w:bidi="he-IL"/>
        </w:rPr>
        <w:t xml:space="preserve"> commitments, where the retention of members of the target</w:t>
      </w:r>
      <w:r w:rsidR="008A7471">
        <w:rPr>
          <w:rFonts w:asciiTheme="majorBidi" w:eastAsia="SimSun" w:hAnsiTheme="majorBidi" w:cstheme="minorBidi"/>
          <w:kern w:val="0"/>
          <w:szCs w:val="22"/>
          <w:lang w:bidi="he-IL"/>
        </w:rPr>
        <w:t>’</w:t>
      </w:r>
      <w:r w:rsidRPr="00A61532">
        <w:rPr>
          <w:rFonts w:asciiTheme="majorBidi" w:eastAsia="SimSun" w:hAnsiTheme="majorBidi" w:cstheme="minorBidi"/>
          <w:kern w:val="0"/>
          <w:szCs w:val="22"/>
          <w:lang w:bidi="he-IL"/>
        </w:rPr>
        <w:t xml:space="preserve">s management team is </w:t>
      </w:r>
      <w:r w:rsidRPr="00B93DAD">
        <w:rPr>
          <w:rFonts w:asciiTheme="majorBidi" w:eastAsia="SimSun" w:hAnsiTheme="majorBidi" w:cstheme="minorBidi"/>
          <w:kern w:val="0"/>
          <w:szCs w:val="22"/>
          <w:lang w:bidi="he-IL"/>
        </w:rPr>
        <w:t>only expressed in the proxy as a preliminary and non-binding intention.</w:t>
      </w:r>
      <w:r w:rsidRPr="00B93DAD">
        <w:rPr>
          <w:rFonts w:asciiTheme="majorBidi" w:eastAsia="SimSun" w:hAnsiTheme="majorBidi" w:cstheme="minorBidi"/>
          <w:color w:val="000000" w:themeColor="text1"/>
          <w:kern w:val="0"/>
          <w:szCs w:val="22"/>
          <w:vertAlign w:val="superscript"/>
          <w:lang w:bidi="he-IL"/>
        </w:rPr>
        <w:footnoteReference w:id="95"/>
      </w:r>
      <w:r w:rsidRPr="00B93DAD">
        <w:rPr>
          <w:rFonts w:asciiTheme="majorBidi" w:eastAsia="SimSun" w:hAnsiTheme="majorBidi" w:cstheme="minorBidi"/>
          <w:color w:val="000000" w:themeColor="text1"/>
          <w:kern w:val="0"/>
          <w:szCs w:val="22"/>
          <w:lang w:bidi="he-IL"/>
        </w:rPr>
        <w:t xml:space="preserve"> </w:t>
      </w:r>
      <w:r w:rsidRPr="00B93DAD">
        <w:rPr>
          <w:rFonts w:asciiTheme="majorBidi" w:eastAsia="SimSun" w:hAnsiTheme="majorBidi" w:cstheme="majorBidi"/>
          <w:color w:val="000000" w:themeColor="text1"/>
          <w:kern w:val="0"/>
          <w:szCs w:val="24"/>
          <w:lang w:bidi="he-IL"/>
        </w:rPr>
        <w:t>We find these soft commitments in 83% of t</w:t>
      </w:r>
      <w:r w:rsidRPr="00426DBD">
        <w:rPr>
          <w:rFonts w:asciiTheme="majorBidi" w:eastAsia="SimSun" w:hAnsiTheme="majorBidi" w:cstheme="majorBidi"/>
          <w:color w:val="000000" w:themeColor="text1"/>
          <w:kern w:val="0"/>
          <w:szCs w:val="24"/>
          <w:lang w:bidi="he-IL"/>
        </w:rPr>
        <w:t>he top ERR transactions and in 50% of the top Non-ERR transactions. Although they are not legally binding, these soft commitments are worth noting for the sake of completeness. Also, private equity buyers have strong reputational incentives to carry out</w:t>
      </w:r>
      <w:r w:rsidRPr="00A61532">
        <w:rPr>
          <w:rFonts w:asciiTheme="majorBidi" w:eastAsia="SimSun" w:hAnsiTheme="majorBidi" w:cstheme="majorBidi"/>
          <w:color w:val="000000" w:themeColor="text1"/>
          <w:kern w:val="0"/>
          <w:szCs w:val="24"/>
          <w:lang w:bidi="he-IL"/>
        </w:rPr>
        <w:t xml:space="preserve"> plans noted in the proxy statements, even if they are non-binding, as the successful completion of their future acquisitions depends on the cooperation of target corporate leaders. A systematic failure to successfully complete their preliminary negotiations with target management would have adverse effects on the success of future deals.</w:t>
      </w:r>
      <w:bookmarkStart w:id="132" w:name="_Toc47824858"/>
      <w:bookmarkEnd w:id="132"/>
      <w:r w:rsidR="009409BA" w:rsidRPr="00052D1C">
        <w:rPr>
          <w:rFonts w:asciiTheme="majorBidi" w:eastAsia="SimSun" w:hAnsiTheme="majorBidi" w:cstheme="majorBidi"/>
          <w:color w:val="000000" w:themeColor="text1"/>
          <w:kern w:val="0"/>
          <w:szCs w:val="24"/>
          <w:vertAlign w:val="superscript"/>
          <w:lang w:bidi="he-IL"/>
        </w:rPr>
        <w:footnoteReference w:id="96"/>
      </w:r>
    </w:p>
    <w:p w14:paraId="05BCE258" w14:textId="4CD3420F" w:rsidR="00052D1C" w:rsidRDefault="00C40B42" w:rsidP="001D6D39">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Table A2 in the </w:t>
      </w:r>
      <w:r w:rsidR="0074735E">
        <w:rPr>
          <w:rFonts w:asciiTheme="majorBidi" w:eastAsia="SimSun" w:hAnsiTheme="majorBidi" w:cstheme="majorBidi"/>
          <w:kern w:val="0"/>
          <w:szCs w:val="24"/>
          <w:lang w:bidi="he-IL"/>
        </w:rPr>
        <w:t>Online Appendix</w:t>
      </w:r>
      <w:r w:rsidRPr="00A61532">
        <w:rPr>
          <w:rFonts w:asciiTheme="majorBidi" w:eastAsia="SimSun" w:hAnsiTheme="majorBidi" w:cstheme="majorBidi"/>
          <w:kern w:val="0"/>
          <w:szCs w:val="24"/>
          <w:lang w:bidi="he-IL"/>
        </w:rPr>
        <w:t xml:space="preserve"> reports </w:t>
      </w:r>
      <w:r w:rsidR="00052D1C">
        <w:rPr>
          <w:rFonts w:asciiTheme="majorBidi" w:eastAsia="SimSun" w:hAnsiTheme="majorBidi" w:cstheme="majorBidi"/>
          <w:kern w:val="0"/>
          <w:szCs w:val="24"/>
          <w:lang w:bidi="he-IL"/>
        </w:rPr>
        <w:t>the</w:t>
      </w:r>
      <w:r w:rsidRPr="00A61532">
        <w:rPr>
          <w:rFonts w:asciiTheme="majorBidi" w:eastAsia="SimSun" w:hAnsiTheme="majorBidi" w:cstheme="majorBidi"/>
          <w:kern w:val="0"/>
          <w:szCs w:val="24"/>
          <w:lang w:bidi="he-IL"/>
        </w:rPr>
        <w:t xml:space="preserve"> results with respect to </w:t>
      </w:r>
      <w:r w:rsidR="00D31B57">
        <w:rPr>
          <w:rFonts w:asciiTheme="majorBidi" w:eastAsia="SimSun" w:hAnsiTheme="majorBidi" w:cstheme="majorBidi"/>
          <w:kern w:val="0"/>
          <w:szCs w:val="24"/>
          <w:lang w:bidi="he-IL"/>
        </w:rPr>
        <w:t>all</w:t>
      </w:r>
      <w:r w:rsidRPr="00A61532">
        <w:rPr>
          <w:rFonts w:asciiTheme="majorBidi" w:eastAsia="SimSun" w:hAnsiTheme="majorBidi" w:cstheme="majorBidi"/>
          <w:kern w:val="0"/>
          <w:szCs w:val="24"/>
          <w:lang w:bidi="he-IL"/>
        </w:rPr>
        <w:t xml:space="preserve"> </w:t>
      </w:r>
      <w:r w:rsidR="00D31B57">
        <w:rPr>
          <w:rFonts w:asciiTheme="majorBidi" w:eastAsia="SimSun" w:hAnsiTheme="majorBidi" w:cstheme="majorBidi"/>
          <w:kern w:val="0"/>
          <w:szCs w:val="24"/>
          <w:lang w:bidi="he-IL"/>
        </w:rPr>
        <w:t>105</w:t>
      </w:r>
      <w:r w:rsidRPr="00A61532">
        <w:rPr>
          <w:rFonts w:asciiTheme="majorBidi" w:eastAsia="SimSun" w:hAnsiTheme="majorBidi" w:cstheme="majorBidi"/>
          <w:kern w:val="0"/>
          <w:szCs w:val="24"/>
          <w:lang w:bidi="he-IL"/>
        </w:rPr>
        <w:t xml:space="preserve"> transactions in our sample. In particular, we find that the average </w:t>
      </w:r>
      <w:r w:rsidRPr="00A61532">
        <w:rPr>
          <w:rFonts w:asciiTheme="majorBidi" w:eastAsia="SimSun" w:hAnsiTheme="majorBidi" w:cstheme="majorBidi"/>
          <w:color w:val="000000" w:themeColor="text1"/>
          <w:kern w:val="0"/>
          <w:szCs w:val="24"/>
          <w:lang w:bidi="he-IL"/>
        </w:rPr>
        <w:t xml:space="preserve">(median) </w:t>
      </w:r>
      <w:r w:rsidR="001D6D39" w:rsidRPr="001D6D39">
        <w:rPr>
          <w:rFonts w:asciiTheme="majorBidi" w:eastAsia="SimSun" w:hAnsiTheme="majorBidi" w:cstheme="majorBidi"/>
          <w:color w:val="000000" w:themeColor="text1"/>
          <w:kern w:val="0"/>
          <w:szCs w:val="24"/>
          <w:lang w:bidi="he-IL"/>
        </w:rPr>
        <w:t>Payment Qua Shareholders received by the target’s</w:t>
      </w:r>
      <w:r w:rsidR="001D6D39">
        <w:rPr>
          <w:rFonts w:asciiTheme="majorBidi" w:eastAsia="SimSun" w:hAnsiTheme="majorBidi" w:cstheme="majorBidi"/>
          <w:color w:val="000000" w:themeColor="text1"/>
          <w:kern w:val="0"/>
          <w:szCs w:val="24"/>
          <w:lang w:bidi="he-IL"/>
        </w:rPr>
        <w:t xml:space="preserve"> </w:t>
      </w:r>
      <w:r w:rsidR="001D6D39" w:rsidRPr="001D6D39">
        <w:rPr>
          <w:rFonts w:asciiTheme="majorBidi" w:eastAsia="SimSun" w:hAnsiTheme="majorBidi" w:cstheme="majorBidi"/>
          <w:color w:val="000000" w:themeColor="text1"/>
          <w:kern w:val="0"/>
          <w:szCs w:val="24"/>
          <w:lang w:bidi="he-IL"/>
        </w:rPr>
        <w:t>executive officers is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w:t>
      </w:r>
      <w:r w:rsidR="00D31B57">
        <w:rPr>
          <w:rFonts w:asciiTheme="majorBidi" w:eastAsia="SimSun" w:hAnsiTheme="majorBidi" w:cstheme="majorBidi"/>
          <w:kern w:val="0"/>
          <w:szCs w:val="24"/>
          <w:lang w:bidi="he-IL"/>
        </w:rPr>
        <w:t>67</w:t>
      </w:r>
      <w:r w:rsidRPr="00A61532">
        <w:rPr>
          <w:rFonts w:asciiTheme="majorBidi" w:eastAsia="SimSun" w:hAnsiTheme="majorBidi" w:cstheme="majorBidi"/>
          <w:kern w:val="0"/>
          <w:szCs w:val="24"/>
          <w:lang w:bidi="he-IL"/>
        </w:rPr>
        <w:t>.</w:t>
      </w:r>
      <w:r w:rsidR="00D31B57">
        <w:rPr>
          <w:rFonts w:asciiTheme="majorBidi" w:eastAsia="SimSun" w:hAnsiTheme="majorBidi" w:cstheme="majorBidi"/>
          <w:kern w:val="0"/>
          <w:szCs w:val="24"/>
          <w:lang w:bidi="he-IL"/>
        </w:rPr>
        <w:t>2</w:t>
      </w:r>
      <w:r w:rsidRPr="00A61532">
        <w:rPr>
          <w:rFonts w:asciiTheme="majorBidi" w:eastAsia="SimSun" w:hAnsiTheme="majorBidi" w:cstheme="majorBidi"/>
          <w:kern w:val="0"/>
          <w:szCs w:val="24"/>
          <w:lang w:bidi="he-IL"/>
        </w:rPr>
        <w:t xml:space="preserve"> ($1</w:t>
      </w:r>
      <w:r w:rsidR="00052D1C">
        <w:rPr>
          <w:rFonts w:asciiTheme="majorBidi" w:eastAsia="SimSun" w:hAnsiTheme="majorBidi" w:cstheme="majorBidi"/>
          <w:kern w:val="0"/>
          <w:szCs w:val="24"/>
          <w:lang w:bidi="he-IL"/>
        </w:rPr>
        <w:t>3</w:t>
      </w:r>
      <w:r w:rsidRPr="00A61532">
        <w:rPr>
          <w:rFonts w:asciiTheme="majorBidi" w:eastAsia="SimSun" w:hAnsiTheme="majorBidi" w:cstheme="majorBidi"/>
          <w:kern w:val="0"/>
          <w:szCs w:val="24"/>
          <w:lang w:bidi="he-IL"/>
        </w:rPr>
        <w:t>.</w:t>
      </w:r>
      <w:r w:rsidR="00052D1C">
        <w:rPr>
          <w:rFonts w:asciiTheme="majorBidi" w:eastAsia="SimSun" w:hAnsiTheme="majorBidi" w:cstheme="majorBidi"/>
          <w:kern w:val="0"/>
          <w:szCs w:val="24"/>
          <w:lang w:bidi="he-IL"/>
        </w:rPr>
        <w:t>6</w:t>
      </w:r>
      <w:r w:rsidRPr="00A61532">
        <w:rPr>
          <w:rFonts w:asciiTheme="majorBidi" w:eastAsia="SimSun" w:hAnsiTheme="majorBidi" w:cstheme="majorBidi"/>
          <w:kern w:val="0"/>
          <w:szCs w:val="24"/>
          <w:lang w:bidi="he-IL"/>
        </w:rPr>
        <w:t>)</w:t>
      </w:r>
      <w:r w:rsidRPr="00A61532">
        <w:rPr>
          <w:rFonts w:asciiTheme="majorBidi" w:eastAsia="SimSun" w:hAnsiTheme="majorBidi" w:cstheme="majorBidi"/>
          <w:color w:val="000000" w:themeColor="text1"/>
          <w:kern w:val="0"/>
          <w:szCs w:val="24"/>
          <w:lang w:bidi="he-IL"/>
        </w:rPr>
        <w:t xml:space="preserve"> million, the </w:t>
      </w:r>
      <w:r w:rsidR="001D6D39">
        <w:rPr>
          <w:rFonts w:asciiTheme="majorBidi" w:eastAsia="SimSun" w:hAnsiTheme="majorBidi" w:cstheme="majorBidi"/>
          <w:color w:val="000000" w:themeColor="text1"/>
          <w:kern w:val="0"/>
          <w:szCs w:val="24"/>
          <w:lang w:bidi="he-IL"/>
        </w:rPr>
        <w:t xml:space="preserve">average (median) </w:t>
      </w:r>
      <w:r w:rsidRPr="00A61532">
        <w:rPr>
          <w:rFonts w:asciiTheme="majorBidi" w:eastAsia="SimSun" w:hAnsiTheme="majorBidi" w:cstheme="majorBidi"/>
          <w:color w:val="000000" w:themeColor="text1"/>
          <w:kern w:val="0"/>
          <w:szCs w:val="24"/>
          <w:lang w:bidi="he-IL"/>
        </w:rPr>
        <w:t xml:space="preserve">Payment Qua Executives is </w:t>
      </w:r>
      <w:r w:rsidRPr="00A61532">
        <w:rPr>
          <w:rFonts w:asciiTheme="majorBidi" w:eastAsia="SimSun" w:hAnsiTheme="majorBidi" w:cstheme="majorBidi"/>
          <w:kern w:val="0"/>
          <w:szCs w:val="24"/>
          <w:lang w:bidi="he-IL"/>
        </w:rPr>
        <w:t>$</w:t>
      </w:r>
      <w:r w:rsidR="00052D1C">
        <w:rPr>
          <w:rFonts w:asciiTheme="majorBidi" w:eastAsia="SimSun" w:hAnsiTheme="majorBidi" w:cstheme="majorBidi"/>
          <w:kern w:val="0"/>
          <w:szCs w:val="24"/>
          <w:lang w:bidi="he-IL"/>
        </w:rPr>
        <w:t>27</w:t>
      </w:r>
      <w:r w:rsidRPr="00A61532">
        <w:rPr>
          <w:rFonts w:asciiTheme="majorBidi" w:eastAsia="SimSun" w:hAnsiTheme="majorBidi" w:cstheme="majorBidi"/>
          <w:kern w:val="0"/>
          <w:szCs w:val="24"/>
          <w:lang w:bidi="he-IL"/>
        </w:rPr>
        <w:t>.</w:t>
      </w:r>
      <w:r w:rsidR="00052D1C">
        <w:rPr>
          <w:rFonts w:asciiTheme="majorBidi" w:eastAsia="SimSun" w:hAnsiTheme="majorBidi" w:cstheme="majorBidi"/>
          <w:kern w:val="0"/>
          <w:szCs w:val="24"/>
          <w:lang w:bidi="he-IL"/>
        </w:rPr>
        <w:t>7</w:t>
      </w:r>
      <w:r w:rsidRPr="00A61532">
        <w:rPr>
          <w:rFonts w:asciiTheme="majorBidi" w:eastAsia="SimSun" w:hAnsiTheme="majorBidi" w:cstheme="majorBidi"/>
          <w:kern w:val="0"/>
          <w:szCs w:val="24"/>
          <w:lang w:bidi="he-IL"/>
        </w:rPr>
        <w:t xml:space="preserve"> ($</w:t>
      </w:r>
      <w:r w:rsidR="00052D1C">
        <w:rPr>
          <w:rFonts w:asciiTheme="majorBidi" w:eastAsia="SimSun" w:hAnsiTheme="majorBidi" w:cstheme="majorBidi"/>
          <w:kern w:val="0"/>
          <w:szCs w:val="24"/>
          <w:lang w:bidi="he-IL"/>
        </w:rPr>
        <w:t>8.6</w:t>
      </w:r>
      <w:r w:rsidRPr="00A61532">
        <w:rPr>
          <w:rFonts w:asciiTheme="majorBidi" w:eastAsia="SimSun" w:hAnsiTheme="majorBidi" w:cstheme="majorBidi"/>
          <w:kern w:val="0"/>
          <w:szCs w:val="24"/>
          <w:lang w:bidi="he-IL"/>
        </w:rPr>
        <w:t>)</w:t>
      </w:r>
      <w:r w:rsidRPr="00A61532">
        <w:rPr>
          <w:rFonts w:asciiTheme="majorBidi" w:eastAsia="SimSun" w:hAnsiTheme="majorBidi" w:cstheme="majorBidi"/>
          <w:color w:val="000000" w:themeColor="text1"/>
          <w:kern w:val="0"/>
          <w:szCs w:val="24"/>
          <w:lang w:bidi="he-IL"/>
        </w:rPr>
        <w:t xml:space="preserve"> million, and the </w:t>
      </w:r>
      <w:r w:rsidR="001D6D39">
        <w:rPr>
          <w:rFonts w:asciiTheme="majorBidi" w:eastAsia="SimSun" w:hAnsiTheme="majorBidi" w:cstheme="majorBidi"/>
          <w:color w:val="000000" w:themeColor="text1"/>
          <w:kern w:val="0"/>
          <w:szCs w:val="24"/>
          <w:lang w:bidi="he-IL"/>
        </w:rPr>
        <w:t xml:space="preserve">average (median) </w:t>
      </w:r>
      <w:r w:rsidRPr="00A61532">
        <w:rPr>
          <w:rFonts w:asciiTheme="majorBidi" w:eastAsia="SimSun" w:hAnsiTheme="majorBidi" w:cstheme="majorBidi"/>
          <w:color w:val="000000" w:themeColor="text1"/>
          <w:kern w:val="0"/>
          <w:szCs w:val="24"/>
          <w:lang w:bidi="he-IL"/>
        </w:rPr>
        <w:t>closing bonus is $</w:t>
      </w:r>
      <w:r w:rsidR="00052D1C">
        <w:rPr>
          <w:rFonts w:asciiTheme="majorBidi" w:eastAsia="SimSun" w:hAnsiTheme="majorBidi" w:cstheme="majorBidi"/>
          <w:color w:val="000000" w:themeColor="text1"/>
          <w:kern w:val="0"/>
          <w:szCs w:val="24"/>
          <w:lang w:bidi="he-IL"/>
        </w:rPr>
        <w:t>2</w:t>
      </w:r>
      <w:r w:rsidRPr="00A61532">
        <w:rPr>
          <w:rFonts w:asciiTheme="majorBidi" w:eastAsia="SimSun" w:hAnsiTheme="majorBidi" w:cstheme="majorBidi"/>
          <w:color w:val="000000" w:themeColor="text1"/>
          <w:kern w:val="0"/>
          <w:szCs w:val="24"/>
          <w:lang w:bidi="he-IL"/>
        </w:rPr>
        <w:t>.</w:t>
      </w:r>
      <w:r w:rsidR="00052D1C">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 xml:space="preserve"> ($0.</w:t>
      </w:r>
      <w:r w:rsidR="00052D1C">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w:t>
      </w:r>
      <w:r w:rsidR="00512435">
        <w:rPr>
          <w:rFonts w:asciiTheme="majorBidi" w:eastAsia="SimSun" w:hAnsiTheme="majorBidi" w:cstheme="majorBidi"/>
          <w:color w:val="000000" w:themeColor="text1"/>
          <w:kern w:val="0"/>
          <w:szCs w:val="24"/>
          <w:lang w:bidi="he-IL"/>
        </w:rPr>
        <w:t xml:space="preserve"> million</w:t>
      </w:r>
      <w:r w:rsidRPr="00A61532">
        <w:rPr>
          <w:rFonts w:asciiTheme="majorBidi" w:eastAsia="SimSun" w:hAnsiTheme="majorBidi" w:cstheme="majorBidi"/>
          <w:color w:val="000000" w:themeColor="text1"/>
          <w:kern w:val="0"/>
          <w:szCs w:val="24"/>
          <w:lang w:bidi="he-IL"/>
        </w:rPr>
        <w:t xml:space="preserve">. </w:t>
      </w:r>
      <w:bookmarkStart w:id="133" w:name="_Toc47824859"/>
      <w:bookmarkEnd w:id="133"/>
    </w:p>
    <w:p w14:paraId="34C8B15F" w14:textId="0CF5DE00" w:rsidR="00052D1C" w:rsidRDefault="00052D1C" w:rsidP="006E358A">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We also f</w:t>
      </w:r>
      <w:r w:rsidR="001D6D39">
        <w:rPr>
          <w:rFonts w:asciiTheme="majorBidi" w:eastAsia="SimSun" w:hAnsiTheme="majorBidi" w:cstheme="majorBidi"/>
          <w:color w:val="000000" w:themeColor="text1"/>
          <w:kern w:val="0"/>
          <w:szCs w:val="24"/>
          <w:lang w:bidi="he-IL"/>
        </w:rPr>
        <w:t>i</w:t>
      </w:r>
      <w:r w:rsidRPr="00A61532">
        <w:rPr>
          <w:rFonts w:asciiTheme="majorBidi" w:eastAsia="SimSun" w:hAnsiTheme="majorBidi" w:cstheme="majorBidi"/>
          <w:color w:val="000000" w:themeColor="text1"/>
          <w:kern w:val="0"/>
          <w:szCs w:val="24"/>
          <w:lang w:bidi="he-IL"/>
        </w:rPr>
        <w:t>nd that in</w:t>
      </w:r>
      <w:r w:rsidR="00C40B42" w:rsidRPr="00A61532">
        <w:rPr>
          <w:rFonts w:asciiTheme="majorBidi" w:eastAsia="SimSun" w:hAnsiTheme="majorBidi" w:cstheme="majorBidi"/>
          <w:color w:val="000000" w:themeColor="text1"/>
          <w:kern w:val="0"/>
          <w:szCs w:val="24"/>
          <w:lang w:bidi="he-IL"/>
        </w:rPr>
        <w:t xml:space="preserve"> </w:t>
      </w:r>
      <w:r>
        <w:rPr>
          <w:rFonts w:asciiTheme="majorBidi" w:eastAsia="SimSun" w:hAnsiTheme="majorBidi" w:cstheme="majorBidi"/>
          <w:color w:val="000000" w:themeColor="text1"/>
          <w:kern w:val="0"/>
          <w:szCs w:val="24"/>
          <w:lang w:bidi="he-IL"/>
        </w:rPr>
        <w:t>25</w:t>
      </w:r>
      <w:r w:rsidR="00C40B42" w:rsidRPr="00A61532">
        <w:rPr>
          <w:rFonts w:asciiTheme="majorBidi" w:eastAsia="SimSun" w:hAnsiTheme="majorBidi" w:cstheme="majorBidi"/>
          <w:color w:val="000000" w:themeColor="text1"/>
          <w:kern w:val="0"/>
          <w:szCs w:val="24"/>
          <w:lang w:bidi="he-IL"/>
        </w:rPr>
        <w:t xml:space="preserve">% of </w:t>
      </w:r>
      <w:r>
        <w:rPr>
          <w:rFonts w:asciiTheme="majorBidi" w:eastAsia="SimSun" w:hAnsiTheme="majorBidi" w:cstheme="majorBidi"/>
          <w:color w:val="000000" w:themeColor="text1"/>
          <w:kern w:val="0"/>
          <w:szCs w:val="24"/>
          <w:lang w:bidi="he-IL"/>
        </w:rPr>
        <w:t>all</w:t>
      </w:r>
      <w:r w:rsidR="00C40B42" w:rsidRPr="00A61532">
        <w:rPr>
          <w:rFonts w:asciiTheme="majorBidi" w:eastAsia="SimSun" w:hAnsiTheme="majorBidi" w:cstheme="majorBidi"/>
          <w:color w:val="000000" w:themeColor="text1"/>
          <w:kern w:val="0"/>
          <w:szCs w:val="24"/>
          <w:lang w:bidi="he-IL"/>
        </w:rPr>
        <w:t xml:space="preserve"> transactions </w:t>
      </w:r>
      <w:r>
        <w:rPr>
          <w:rFonts w:asciiTheme="majorBidi" w:eastAsia="SimSun" w:hAnsiTheme="majorBidi" w:cstheme="majorBidi"/>
          <w:color w:val="000000" w:themeColor="text1"/>
          <w:kern w:val="0"/>
          <w:szCs w:val="24"/>
          <w:lang w:bidi="he-IL"/>
        </w:rPr>
        <w:t xml:space="preserve">the </w:t>
      </w:r>
      <w:r w:rsidR="00C40B42" w:rsidRPr="00A61532">
        <w:rPr>
          <w:rFonts w:asciiTheme="majorBidi" w:eastAsia="SimSun" w:hAnsiTheme="majorBidi" w:cstheme="majorBidi"/>
          <w:color w:val="000000" w:themeColor="text1"/>
          <w:kern w:val="0"/>
          <w:szCs w:val="24"/>
          <w:lang w:bidi="he-IL"/>
        </w:rPr>
        <w:t>target had amended its employment agreements with one or more of its executives in connection with the merger</w:t>
      </w:r>
      <w:r>
        <w:rPr>
          <w:rFonts w:asciiTheme="majorBidi" w:eastAsia="SimSun" w:hAnsiTheme="majorBidi" w:cstheme="majorBidi"/>
          <w:color w:val="000000" w:themeColor="text1"/>
          <w:kern w:val="0"/>
          <w:szCs w:val="24"/>
          <w:lang w:bidi="he-IL"/>
        </w:rPr>
        <w:t xml:space="preserve">. Additionally, </w:t>
      </w:r>
      <w:r w:rsidR="00C40B42" w:rsidRPr="00A61532">
        <w:rPr>
          <w:rFonts w:asciiTheme="majorBidi" w:eastAsia="SimSun" w:hAnsiTheme="majorBidi" w:cstheme="majorBidi"/>
          <w:color w:val="000000" w:themeColor="text1"/>
          <w:kern w:val="0"/>
          <w:szCs w:val="24"/>
          <w:lang w:bidi="he-IL"/>
        </w:rPr>
        <w:t xml:space="preserve">in </w:t>
      </w:r>
      <w:r>
        <w:rPr>
          <w:rFonts w:asciiTheme="majorBidi" w:eastAsia="SimSun" w:hAnsiTheme="majorBidi" w:cstheme="majorBidi"/>
          <w:color w:val="000000" w:themeColor="text1"/>
          <w:kern w:val="0"/>
          <w:szCs w:val="24"/>
          <w:lang w:bidi="he-IL"/>
        </w:rPr>
        <w:t>30</w:t>
      </w:r>
      <w:r w:rsidR="00C40B42" w:rsidRPr="00A61532">
        <w:rPr>
          <w:rFonts w:asciiTheme="majorBidi" w:eastAsia="SimSun" w:hAnsiTheme="majorBidi" w:cstheme="majorBidi"/>
          <w:color w:val="000000" w:themeColor="text1"/>
          <w:kern w:val="0"/>
          <w:szCs w:val="24"/>
          <w:lang w:bidi="he-IL"/>
        </w:rPr>
        <w:t xml:space="preserve">% of </w:t>
      </w:r>
      <w:r>
        <w:rPr>
          <w:rFonts w:asciiTheme="majorBidi" w:eastAsia="SimSun" w:hAnsiTheme="majorBidi" w:cstheme="majorBidi"/>
          <w:color w:val="000000" w:themeColor="text1"/>
          <w:kern w:val="0"/>
          <w:szCs w:val="24"/>
          <w:lang w:bidi="he-IL"/>
        </w:rPr>
        <w:t>all</w:t>
      </w:r>
      <w:r w:rsidR="00C40B42" w:rsidRPr="00A61532">
        <w:rPr>
          <w:rFonts w:asciiTheme="majorBidi" w:eastAsia="SimSun" w:hAnsiTheme="majorBidi" w:cstheme="majorBidi"/>
          <w:color w:val="000000" w:themeColor="text1"/>
          <w:kern w:val="0"/>
          <w:szCs w:val="24"/>
          <w:lang w:bidi="he-IL"/>
        </w:rPr>
        <w:t xml:space="preserve"> transactions, the proxy statement expressly state</w:t>
      </w:r>
      <w:r w:rsidR="001D6D39">
        <w:rPr>
          <w:rFonts w:asciiTheme="majorBidi" w:eastAsia="SimSun" w:hAnsiTheme="majorBidi" w:cstheme="majorBidi"/>
          <w:color w:val="000000" w:themeColor="text1"/>
          <w:kern w:val="0"/>
          <w:szCs w:val="24"/>
          <w:lang w:bidi="he-IL"/>
        </w:rPr>
        <w:t>d</w:t>
      </w:r>
      <w:r w:rsidR="00C40B42" w:rsidRPr="00A61532">
        <w:rPr>
          <w:rFonts w:asciiTheme="majorBidi" w:eastAsia="SimSun" w:hAnsiTheme="majorBidi" w:cstheme="majorBidi"/>
          <w:color w:val="000000" w:themeColor="text1"/>
          <w:kern w:val="0"/>
          <w:szCs w:val="24"/>
          <w:lang w:bidi="he-IL"/>
        </w:rPr>
        <w:t xml:space="preserve"> that the target</w:t>
      </w:r>
      <w:r w:rsidR="002D43D6">
        <w:rPr>
          <w:rFonts w:asciiTheme="majorBidi" w:eastAsia="SimSun" w:hAnsiTheme="majorBidi" w:cstheme="majorBidi"/>
          <w:color w:val="000000" w:themeColor="text1"/>
          <w:kern w:val="0"/>
          <w:szCs w:val="24"/>
          <w:lang w:bidi="he-IL"/>
        </w:rPr>
        <w:t>’</w:t>
      </w:r>
      <w:r w:rsidR="00C40B42" w:rsidRPr="00A61532">
        <w:rPr>
          <w:rFonts w:asciiTheme="majorBidi" w:eastAsia="SimSun" w:hAnsiTheme="majorBidi" w:cstheme="majorBidi"/>
          <w:color w:val="000000" w:themeColor="text1"/>
          <w:kern w:val="0"/>
          <w:szCs w:val="24"/>
          <w:lang w:bidi="he-IL"/>
        </w:rPr>
        <w:t>s CEO or other top executives will be employed in the surviving company</w:t>
      </w:r>
      <w:r w:rsidR="001D6D39">
        <w:rPr>
          <w:rFonts w:asciiTheme="majorBidi" w:eastAsia="SimSun" w:hAnsiTheme="majorBidi" w:cstheme="majorBidi"/>
          <w:color w:val="000000" w:themeColor="text1"/>
          <w:kern w:val="0"/>
          <w:szCs w:val="24"/>
          <w:lang w:bidi="he-IL"/>
        </w:rPr>
        <w:t>.</w:t>
      </w:r>
      <w:r>
        <w:rPr>
          <w:rFonts w:asciiTheme="majorBidi" w:eastAsia="SimSun" w:hAnsiTheme="majorBidi" w:cstheme="majorBidi"/>
          <w:color w:val="000000" w:themeColor="text1"/>
          <w:kern w:val="0"/>
          <w:szCs w:val="24"/>
          <w:lang w:bidi="he-IL"/>
        </w:rPr>
        <w:t xml:space="preserve"> </w:t>
      </w:r>
      <w:r w:rsidR="00B93DAD">
        <w:t>Additionally, in 49% of all transactions, such possibility of future employment was expressed in a “softer” manner—that is, with a preliminary and non-binding language</w:t>
      </w:r>
      <w:r w:rsidR="00C40B42" w:rsidRPr="00052D1C">
        <w:rPr>
          <w:rFonts w:asciiTheme="majorBidi" w:eastAsia="SimSun" w:hAnsiTheme="majorBidi" w:cstheme="majorBidi"/>
          <w:color w:val="000000" w:themeColor="text1"/>
          <w:kern w:val="0"/>
          <w:szCs w:val="24"/>
          <w:lang w:bidi="he-IL"/>
        </w:rPr>
        <w:t>.</w:t>
      </w:r>
      <w:r w:rsidRPr="00052D1C">
        <w:rPr>
          <w:rFonts w:asciiTheme="majorBidi" w:eastAsia="SimSun" w:hAnsiTheme="majorBidi" w:cstheme="majorBidi"/>
          <w:color w:val="000000" w:themeColor="text1"/>
          <w:kern w:val="0"/>
          <w:szCs w:val="24"/>
          <w:lang w:bidi="he-IL"/>
        </w:rPr>
        <w:t xml:space="preserve"> When we separate the ERR and Non-ERR deals, the findings remain qualitatively similar,</w:t>
      </w:r>
      <w:r w:rsidRPr="00052D1C">
        <w:rPr>
          <w:rFonts w:asciiTheme="majorBidi" w:eastAsia="SimSun" w:hAnsiTheme="majorBidi" w:cstheme="majorBidi"/>
          <w:kern w:val="0"/>
          <w:szCs w:val="24"/>
          <w:lang w:bidi="he-IL"/>
        </w:rPr>
        <w:t xml:space="preserve"> </w:t>
      </w:r>
      <w:r w:rsidR="00DB7751">
        <w:rPr>
          <w:rFonts w:asciiTheme="majorBidi" w:eastAsia="SimSun" w:hAnsiTheme="majorBidi" w:cstheme="majorBidi"/>
          <w:kern w:val="0"/>
          <w:szCs w:val="24"/>
          <w:lang w:bidi="he-IL"/>
        </w:rPr>
        <w:t xml:space="preserve">though </w:t>
      </w:r>
      <w:r w:rsidRPr="00052D1C">
        <w:rPr>
          <w:rFonts w:asciiTheme="majorBidi" w:eastAsia="SimSun" w:hAnsiTheme="majorBidi" w:cstheme="majorBidi"/>
          <w:kern w:val="0"/>
          <w:szCs w:val="24"/>
          <w:lang w:bidi="he-IL"/>
        </w:rPr>
        <w:lastRenderedPageBreak/>
        <w:t>we document slightly higher gains and executive retention rates for all Non-ERR transactions.</w:t>
      </w:r>
      <w:r w:rsidRPr="00052D1C">
        <w:rPr>
          <w:rStyle w:val="FootnoteReference"/>
          <w:rFonts w:asciiTheme="majorBidi" w:eastAsia="SimSun" w:hAnsiTheme="majorBidi" w:cstheme="majorBidi"/>
          <w:kern w:val="0"/>
          <w:szCs w:val="24"/>
          <w:lang w:bidi="he-IL"/>
        </w:rPr>
        <w:footnoteReference w:id="97"/>
      </w:r>
      <w:bookmarkStart w:id="134" w:name="_Toc47824860"/>
      <w:bookmarkEnd w:id="134"/>
    </w:p>
    <w:p w14:paraId="4B56E3DC" w14:textId="77777777" w:rsidR="00C40B42" w:rsidRPr="00A61532" w:rsidRDefault="00C40B42" w:rsidP="00C40B42">
      <w:pPr>
        <w:pStyle w:val="Heading3"/>
        <w:rPr>
          <w:lang w:bidi="he-IL"/>
        </w:rPr>
      </w:pPr>
      <w:bookmarkStart w:id="135" w:name="_Toc47616591"/>
      <w:bookmarkStart w:id="136" w:name="_Toc47665975"/>
      <w:bookmarkStart w:id="137" w:name="_Toc47886004"/>
      <w:r w:rsidRPr="00A61532">
        <w:rPr>
          <w:lang w:bidi="he-IL"/>
        </w:rPr>
        <w:t>Gains to Non-Executive Directors</w:t>
      </w:r>
      <w:bookmarkEnd w:id="135"/>
      <w:bookmarkEnd w:id="136"/>
      <w:bookmarkEnd w:id="137"/>
    </w:p>
    <w:p w14:paraId="3C7B3423" w14:textId="4F525EDF" w:rsidR="00FA7A70" w:rsidRDefault="00C40B42" w:rsidP="00332FE2">
      <w:pPr>
        <w:widowControl/>
        <w:spacing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Corporate directors receive meaningful benefits as well. W</w:t>
      </w:r>
      <w:r w:rsidRPr="00A61532">
        <w:rPr>
          <w:rFonts w:asciiTheme="majorBidi" w:eastAsia="SimSun" w:hAnsiTheme="majorBidi" w:cstheme="majorBidi"/>
          <w:kern w:val="0"/>
          <w:szCs w:val="24"/>
          <w:lang w:bidi="he-IL"/>
        </w:rPr>
        <w:t xml:space="preserve">e find that the average </w:t>
      </w:r>
      <w:r w:rsidRPr="00A61532">
        <w:rPr>
          <w:rFonts w:asciiTheme="majorBidi" w:eastAsia="SimSun" w:hAnsiTheme="majorBidi" w:cstheme="majorBidi"/>
          <w:color w:val="000000" w:themeColor="text1"/>
          <w:kern w:val="0"/>
          <w:szCs w:val="24"/>
          <w:lang w:bidi="he-IL"/>
        </w:rPr>
        <w:t xml:space="preserve">(median) amount of Payment Qua Shareholders </w:t>
      </w:r>
      <w:r w:rsidRPr="00A61532">
        <w:rPr>
          <w:rFonts w:asciiTheme="majorBidi" w:eastAsia="SimSun" w:hAnsiTheme="majorBidi" w:cstheme="majorBidi"/>
          <w:kern w:val="0"/>
          <w:szCs w:val="24"/>
          <w:lang w:bidi="he-IL"/>
        </w:rPr>
        <w:t>for Top ERR and Non-ERR transactions</w:t>
      </w:r>
      <w:r w:rsidRPr="00A61532">
        <w:rPr>
          <w:rFonts w:asciiTheme="majorBidi" w:eastAsia="SimSun" w:hAnsiTheme="majorBidi" w:cstheme="majorBidi"/>
          <w:color w:val="000000" w:themeColor="text1"/>
          <w:kern w:val="0"/>
          <w:szCs w:val="24"/>
          <w:lang w:bidi="he-IL"/>
        </w:rPr>
        <w:t xml:space="preserve"> is $107.8 ($9.8) million and $29</w:t>
      </w:r>
      <w:r w:rsidR="00D20550">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.0 ($3</w:t>
      </w:r>
      <w:r w:rsidR="00D20550">
        <w:rPr>
          <w:rFonts w:asciiTheme="majorBidi" w:eastAsia="SimSun" w:hAnsiTheme="majorBidi" w:cstheme="majorBidi"/>
          <w:color w:val="000000" w:themeColor="text1"/>
          <w:kern w:val="0"/>
          <w:szCs w:val="24"/>
          <w:lang w:bidi="he-IL"/>
        </w:rPr>
        <w:t>8</w:t>
      </w:r>
      <w:r w:rsidRPr="00A61532">
        <w:rPr>
          <w:rFonts w:asciiTheme="majorBidi" w:eastAsia="SimSun" w:hAnsiTheme="majorBidi" w:cstheme="majorBidi"/>
          <w:color w:val="000000" w:themeColor="text1"/>
          <w:kern w:val="0"/>
          <w:szCs w:val="24"/>
          <w:lang w:bidi="he-IL"/>
        </w:rPr>
        <w:t>.</w:t>
      </w:r>
      <w:r w:rsidR="00D20550">
        <w:rPr>
          <w:rFonts w:asciiTheme="majorBidi" w:eastAsia="SimSun" w:hAnsiTheme="majorBidi" w:cstheme="majorBidi"/>
          <w:color w:val="000000" w:themeColor="text1"/>
          <w:kern w:val="0"/>
          <w:szCs w:val="24"/>
          <w:lang w:bidi="he-IL"/>
        </w:rPr>
        <w:t>0</w:t>
      </w:r>
      <w:r w:rsidRPr="00A61532">
        <w:rPr>
          <w:rFonts w:asciiTheme="majorBidi" w:eastAsia="SimSun" w:hAnsiTheme="majorBidi" w:cstheme="majorBidi"/>
          <w:color w:val="000000" w:themeColor="text1"/>
          <w:kern w:val="0"/>
          <w:szCs w:val="24"/>
          <w:lang w:bidi="he-IL"/>
        </w:rPr>
        <w:t>) million, respectively. Directors received Payment Qua Directors of any sort in the majority of these cases, with an average (median) aggregate amount of $2.</w:t>
      </w:r>
      <w:r w:rsidR="00D20550">
        <w:rPr>
          <w:rFonts w:asciiTheme="majorBidi" w:eastAsia="SimSun" w:hAnsiTheme="majorBidi" w:cstheme="majorBidi"/>
          <w:color w:val="000000" w:themeColor="text1"/>
          <w:kern w:val="0"/>
          <w:szCs w:val="24"/>
          <w:lang w:bidi="he-IL"/>
        </w:rPr>
        <w:t>7</w:t>
      </w:r>
      <w:r w:rsidRPr="00A61532">
        <w:rPr>
          <w:rFonts w:asciiTheme="majorBidi" w:eastAsia="SimSun" w:hAnsiTheme="majorBidi" w:cstheme="majorBidi"/>
          <w:color w:val="000000" w:themeColor="text1"/>
          <w:kern w:val="0"/>
          <w:szCs w:val="24"/>
          <w:lang w:bidi="he-IL"/>
        </w:rPr>
        <w:t xml:space="preserve"> ($2.5) million for Top ERR transactions and $4.</w:t>
      </w:r>
      <w:r w:rsidR="00D20550">
        <w:rPr>
          <w:rFonts w:asciiTheme="majorBidi" w:eastAsia="SimSun" w:hAnsiTheme="majorBidi" w:cstheme="majorBidi"/>
          <w:color w:val="000000" w:themeColor="text1"/>
          <w:kern w:val="0"/>
          <w:szCs w:val="24"/>
          <w:lang w:bidi="he-IL"/>
        </w:rPr>
        <w:t>1</w:t>
      </w:r>
      <w:r w:rsidRPr="00A61532">
        <w:rPr>
          <w:rFonts w:asciiTheme="majorBidi" w:eastAsia="SimSun" w:hAnsiTheme="majorBidi" w:cstheme="majorBidi"/>
          <w:color w:val="000000" w:themeColor="text1"/>
          <w:kern w:val="0"/>
          <w:szCs w:val="24"/>
          <w:lang w:bidi="he-IL"/>
        </w:rPr>
        <w:t xml:space="preserve"> ($3.6) for Top Non-ERR transactions. Directors were assigned seats </w:t>
      </w:r>
      <w:r w:rsidR="00626A3A">
        <w:rPr>
          <w:rFonts w:asciiTheme="majorBidi" w:eastAsia="SimSun" w:hAnsiTheme="majorBidi" w:cstheme="majorBidi"/>
          <w:color w:val="000000" w:themeColor="text1"/>
          <w:kern w:val="0"/>
          <w:szCs w:val="24"/>
          <w:lang w:bidi="he-IL"/>
        </w:rPr>
        <w:t>on</w:t>
      </w:r>
      <w:r w:rsidR="00626A3A"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the board of the surviving company in 25% of Top ERR transactions and 17% of the Top Non-ERR transactions.</w:t>
      </w:r>
      <w:r w:rsidR="00B93DAD" w:rsidRPr="00A61532">
        <w:rPr>
          <w:rFonts w:asciiTheme="majorBidi" w:eastAsia="SimSun" w:hAnsiTheme="majorBidi" w:cstheme="majorBidi"/>
          <w:color w:val="000000" w:themeColor="text1"/>
          <w:kern w:val="0"/>
          <w:szCs w:val="24"/>
          <w:vertAlign w:val="superscript"/>
          <w:lang w:bidi="he-IL"/>
        </w:rPr>
        <w:footnoteReference w:id="98"/>
      </w:r>
    </w:p>
    <w:p w14:paraId="5F705173" w14:textId="260E65AF" w:rsidR="00C40B42" w:rsidRPr="00A61532" w:rsidRDefault="00FA7A70" w:rsidP="00C40B42">
      <w:pPr>
        <w:widowControl/>
        <w:spacing w:after="160" w:line="259" w:lineRule="auto"/>
        <w:ind w:firstLine="360"/>
        <w:rPr>
          <w:rFonts w:asciiTheme="majorBidi" w:eastAsia="SimSun" w:hAnsiTheme="majorBidi" w:cstheme="majorBidi"/>
          <w:color w:val="000000" w:themeColor="text1"/>
          <w:kern w:val="0"/>
          <w:szCs w:val="24"/>
          <w:lang w:bidi="he-IL"/>
        </w:rPr>
      </w:pPr>
      <w:r>
        <w:rPr>
          <w:rFonts w:asciiTheme="majorBidi" w:eastAsia="SimSun" w:hAnsiTheme="majorBidi" w:cstheme="majorBidi"/>
          <w:color w:val="000000" w:themeColor="text1"/>
          <w:kern w:val="0"/>
          <w:szCs w:val="24"/>
          <w:lang w:bidi="he-IL"/>
        </w:rPr>
        <w:t xml:space="preserve">To illustrate, Table </w:t>
      </w:r>
      <w:r w:rsidR="006E358A">
        <w:rPr>
          <w:rFonts w:asciiTheme="majorBidi" w:eastAsia="SimSun" w:hAnsiTheme="majorBidi" w:cstheme="majorBidi"/>
          <w:color w:val="000000" w:themeColor="text1"/>
          <w:kern w:val="0"/>
          <w:szCs w:val="24"/>
          <w:lang w:bidi="he-IL"/>
        </w:rPr>
        <w:t>7</w:t>
      </w:r>
      <w:r>
        <w:rPr>
          <w:rFonts w:asciiTheme="majorBidi" w:eastAsia="SimSun" w:hAnsiTheme="majorBidi" w:cstheme="majorBidi"/>
          <w:color w:val="000000" w:themeColor="text1"/>
          <w:kern w:val="0"/>
          <w:szCs w:val="24"/>
          <w:lang w:bidi="he-IL"/>
        </w:rPr>
        <w:t xml:space="preserve"> reports our findings for </w:t>
      </w:r>
      <w:r w:rsidR="00F2766E">
        <w:rPr>
          <w:rFonts w:asciiTheme="majorBidi" w:eastAsia="SimSun" w:hAnsiTheme="majorBidi" w:cstheme="majorBidi"/>
          <w:color w:val="000000" w:themeColor="text1"/>
          <w:kern w:val="0"/>
          <w:szCs w:val="24"/>
          <w:lang w:bidi="he-IL"/>
        </w:rPr>
        <w:t xml:space="preserve">the </w:t>
      </w:r>
      <w:r>
        <w:rPr>
          <w:rFonts w:asciiTheme="majorBidi" w:eastAsia="SimSun" w:hAnsiTheme="majorBidi" w:cstheme="majorBidi"/>
          <w:color w:val="000000" w:themeColor="text1"/>
          <w:kern w:val="0"/>
          <w:szCs w:val="24"/>
          <w:lang w:bidi="he-IL"/>
        </w:rPr>
        <w:t>12 largest ERR deals and the 12 largest non-ERR deals.</w:t>
      </w:r>
    </w:p>
    <w:p w14:paraId="72F1A382" w14:textId="7384783F" w:rsidR="00C40B42" w:rsidRPr="00332FE2" w:rsidRDefault="00763DE6" w:rsidP="00332FE2">
      <w:pPr>
        <w:pStyle w:val="Caption"/>
        <w:rPr>
          <w:rFonts w:asciiTheme="majorBidi" w:eastAsia="SimSun" w:hAnsiTheme="majorBidi"/>
          <w:i w:val="0"/>
          <w:kern w:val="0"/>
        </w:rPr>
      </w:pPr>
      <w:bookmarkStart w:id="138" w:name="_Toc47873899"/>
      <w:bookmarkStart w:id="139" w:name="_Toc47886024"/>
      <w:r>
        <w:t xml:space="preserve">Table </w:t>
      </w:r>
      <w:r w:rsidR="00B77C00">
        <w:fldChar w:fldCharType="begin"/>
      </w:r>
      <w:r w:rsidR="00B77C00">
        <w:instrText xml:space="preserve"> SEQ Table \* ARABIC </w:instrText>
      </w:r>
      <w:r w:rsidR="00B77C00">
        <w:fldChar w:fldCharType="separate"/>
      </w:r>
      <w:r>
        <w:rPr>
          <w:noProof/>
        </w:rPr>
        <w:t>7</w:t>
      </w:r>
      <w:r w:rsidR="00B77C00">
        <w:rPr>
          <w:noProof/>
        </w:rPr>
        <w:fldChar w:fldCharType="end"/>
      </w:r>
      <w:r w:rsidR="00C40B42" w:rsidRPr="00A61532">
        <w:rPr>
          <w:rFonts w:asciiTheme="majorBidi" w:eastAsia="SimSun" w:hAnsiTheme="majorBidi" w:cstheme="majorBidi"/>
          <w:kern w:val="0"/>
          <w:lang w:bidi="he-IL"/>
        </w:rPr>
        <w:t>.</w:t>
      </w:r>
      <w:r w:rsidR="00C40B42" w:rsidRPr="00EC5918">
        <w:rPr>
          <w:rFonts w:asciiTheme="majorBidi" w:eastAsia="SimSun" w:hAnsiTheme="majorBidi"/>
          <w:kern w:val="0"/>
        </w:rPr>
        <w:t xml:space="preserve"> Gains to Non-Executive Directors</w:t>
      </w:r>
      <w:bookmarkEnd w:id="138"/>
      <w:bookmarkEnd w:id="139"/>
    </w:p>
    <w:tbl>
      <w:tblPr>
        <w:tblStyle w:val="TableGrid1"/>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620"/>
        <w:gridCol w:w="1440"/>
        <w:gridCol w:w="900"/>
      </w:tblGrid>
      <w:tr w:rsidR="00C40B42" w:rsidRPr="00A61532" w14:paraId="32EAF57C" w14:textId="77777777" w:rsidTr="00C40B42">
        <w:trPr>
          <w:jc w:val="center"/>
        </w:trPr>
        <w:tc>
          <w:tcPr>
            <w:tcW w:w="2790" w:type="dxa"/>
            <w:tcBorders>
              <w:bottom w:val="double" w:sz="4" w:space="0" w:color="auto"/>
            </w:tcBorders>
            <w:tcMar>
              <w:left w:w="0" w:type="dxa"/>
              <w:right w:w="115" w:type="dxa"/>
            </w:tcMar>
            <w:vAlign w:val="bottom"/>
          </w:tcPr>
          <w:p w14:paraId="3B1AA04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620" w:type="dxa"/>
            <w:tcBorders>
              <w:bottom w:val="double" w:sz="4" w:space="0" w:color="auto"/>
            </w:tcBorders>
            <w:vAlign w:val="center"/>
          </w:tcPr>
          <w:p w14:paraId="07845702"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Shareholders (Millions)</w:t>
            </w:r>
          </w:p>
        </w:tc>
        <w:tc>
          <w:tcPr>
            <w:tcW w:w="1440" w:type="dxa"/>
            <w:tcBorders>
              <w:bottom w:val="double" w:sz="4" w:space="0" w:color="auto"/>
            </w:tcBorders>
            <w:vAlign w:val="center"/>
          </w:tcPr>
          <w:p w14:paraId="7B0AA19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Directors (Millions)</w:t>
            </w:r>
          </w:p>
        </w:tc>
        <w:tc>
          <w:tcPr>
            <w:tcW w:w="900" w:type="dxa"/>
            <w:tcBorders>
              <w:bottom w:val="double" w:sz="4" w:space="0" w:color="auto"/>
            </w:tcBorders>
            <w:tcMar>
              <w:left w:w="115" w:type="dxa"/>
              <w:right w:w="0" w:type="dxa"/>
            </w:tcMar>
            <w:vAlign w:val="center"/>
          </w:tcPr>
          <w:p w14:paraId="61E5409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No. of Directors Retained</w:t>
            </w:r>
          </w:p>
        </w:tc>
      </w:tr>
      <w:tr w:rsidR="00C40B42" w:rsidRPr="00A61532" w14:paraId="48950BEF" w14:textId="77777777" w:rsidTr="00C40B42">
        <w:trPr>
          <w:jc w:val="center"/>
        </w:trPr>
        <w:tc>
          <w:tcPr>
            <w:tcW w:w="2790" w:type="dxa"/>
            <w:tcBorders>
              <w:top w:val="double" w:sz="4" w:space="0" w:color="auto"/>
            </w:tcBorders>
            <w:tcMar>
              <w:left w:w="0" w:type="dxa"/>
              <w:right w:w="115" w:type="dxa"/>
            </w:tcMar>
          </w:tcPr>
          <w:p w14:paraId="7AD864B8"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620" w:type="dxa"/>
            <w:tcBorders>
              <w:top w:val="double" w:sz="4" w:space="0" w:color="auto"/>
            </w:tcBorders>
          </w:tcPr>
          <w:p w14:paraId="5A9CDC6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$20.45</w:t>
            </w:r>
          </w:p>
        </w:tc>
        <w:tc>
          <w:tcPr>
            <w:tcW w:w="1440" w:type="dxa"/>
            <w:tcBorders>
              <w:top w:val="double" w:sz="4" w:space="0" w:color="auto"/>
            </w:tcBorders>
          </w:tcPr>
          <w:p w14:paraId="4EC05B7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top w:val="double" w:sz="4" w:space="0" w:color="auto"/>
            </w:tcBorders>
            <w:tcMar>
              <w:left w:w="115" w:type="dxa"/>
              <w:right w:w="0" w:type="dxa"/>
            </w:tcMar>
          </w:tcPr>
          <w:p w14:paraId="4481F4B1"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5C5E689A" w14:textId="77777777" w:rsidTr="00C40B42">
        <w:trPr>
          <w:jc w:val="center"/>
        </w:trPr>
        <w:tc>
          <w:tcPr>
            <w:tcW w:w="2790" w:type="dxa"/>
            <w:tcMar>
              <w:left w:w="0" w:type="dxa"/>
              <w:right w:w="115" w:type="dxa"/>
            </w:tcMar>
          </w:tcPr>
          <w:p w14:paraId="18F79D4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620" w:type="dxa"/>
          </w:tcPr>
          <w:p w14:paraId="6E5A65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$634.32</w:t>
            </w:r>
          </w:p>
        </w:tc>
        <w:tc>
          <w:tcPr>
            <w:tcW w:w="1440" w:type="dxa"/>
          </w:tcPr>
          <w:p w14:paraId="1CFF056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$0.20</w:t>
            </w:r>
          </w:p>
        </w:tc>
        <w:tc>
          <w:tcPr>
            <w:tcW w:w="900" w:type="dxa"/>
            <w:tcMar>
              <w:left w:w="115" w:type="dxa"/>
              <w:right w:w="0" w:type="dxa"/>
            </w:tcMar>
          </w:tcPr>
          <w:p w14:paraId="7E7EAA7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r>
      <w:tr w:rsidR="00C40B42" w:rsidRPr="00A61532" w14:paraId="402E00FB" w14:textId="77777777" w:rsidTr="00C40B42">
        <w:trPr>
          <w:jc w:val="center"/>
        </w:trPr>
        <w:tc>
          <w:tcPr>
            <w:tcW w:w="2790" w:type="dxa"/>
            <w:tcMar>
              <w:left w:w="0" w:type="dxa"/>
              <w:right w:w="115" w:type="dxa"/>
            </w:tcMar>
          </w:tcPr>
          <w:p w14:paraId="2CDFBFF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620" w:type="dxa"/>
          </w:tcPr>
          <w:p w14:paraId="1ED4A01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$8.37</w:t>
            </w:r>
          </w:p>
        </w:tc>
        <w:tc>
          <w:tcPr>
            <w:tcW w:w="1440" w:type="dxa"/>
          </w:tcPr>
          <w:p w14:paraId="5E0EED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$4.56</w:t>
            </w:r>
          </w:p>
        </w:tc>
        <w:tc>
          <w:tcPr>
            <w:tcW w:w="900" w:type="dxa"/>
            <w:tcMar>
              <w:left w:w="115" w:type="dxa"/>
              <w:right w:w="0" w:type="dxa"/>
            </w:tcMar>
          </w:tcPr>
          <w:p w14:paraId="7DC66C1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r>
      <w:tr w:rsidR="00C40B42" w:rsidRPr="00A61532" w14:paraId="6611E7D8" w14:textId="77777777" w:rsidTr="00C40B42">
        <w:trPr>
          <w:jc w:val="center"/>
        </w:trPr>
        <w:tc>
          <w:tcPr>
            <w:tcW w:w="2790" w:type="dxa"/>
            <w:tcMar>
              <w:left w:w="0" w:type="dxa"/>
              <w:right w:w="115" w:type="dxa"/>
            </w:tcMar>
          </w:tcPr>
          <w:p w14:paraId="3FE8677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620" w:type="dxa"/>
          </w:tcPr>
          <w:p w14:paraId="51D50D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$4.96</w:t>
            </w:r>
          </w:p>
        </w:tc>
        <w:tc>
          <w:tcPr>
            <w:tcW w:w="1440" w:type="dxa"/>
          </w:tcPr>
          <w:p w14:paraId="757D655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$6.39</w:t>
            </w:r>
          </w:p>
        </w:tc>
        <w:tc>
          <w:tcPr>
            <w:tcW w:w="900" w:type="dxa"/>
            <w:tcMar>
              <w:left w:w="115" w:type="dxa"/>
              <w:right w:w="0" w:type="dxa"/>
            </w:tcMar>
          </w:tcPr>
          <w:p w14:paraId="66A514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E77DFB7" w14:textId="77777777" w:rsidTr="00C40B42">
        <w:trPr>
          <w:jc w:val="center"/>
        </w:trPr>
        <w:tc>
          <w:tcPr>
            <w:tcW w:w="2790" w:type="dxa"/>
            <w:tcMar>
              <w:left w:w="0" w:type="dxa"/>
              <w:right w:w="115" w:type="dxa"/>
            </w:tcMar>
          </w:tcPr>
          <w:p w14:paraId="57F8310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620" w:type="dxa"/>
          </w:tcPr>
          <w:p w14:paraId="677D67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$62.03</w:t>
            </w:r>
          </w:p>
        </w:tc>
        <w:tc>
          <w:tcPr>
            <w:tcW w:w="1440" w:type="dxa"/>
          </w:tcPr>
          <w:p w14:paraId="51004AE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$3.74</w:t>
            </w:r>
          </w:p>
        </w:tc>
        <w:tc>
          <w:tcPr>
            <w:tcW w:w="900" w:type="dxa"/>
            <w:tcMar>
              <w:left w:w="115" w:type="dxa"/>
              <w:right w:w="0" w:type="dxa"/>
            </w:tcMar>
          </w:tcPr>
          <w:p w14:paraId="1345F9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34EF574" w14:textId="77777777" w:rsidTr="00C40B42">
        <w:trPr>
          <w:jc w:val="center"/>
        </w:trPr>
        <w:tc>
          <w:tcPr>
            <w:tcW w:w="2790" w:type="dxa"/>
            <w:tcMar>
              <w:left w:w="0" w:type="dxa"/>
              <w:right w:w="115" w:type="dxa"/>
            </w:tcMar>
          </w:tcPr>
          <w:p w14:paraId="57CE7D0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620" w:type="dxa"/>
          </w:tcPr>
          <w:p w14:paraId="279F07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$5.92</w:t>
            </w:r>
          </w:p>
        </w:tc>
        <w:tc>
          <w:tcPr>
            <w:tcW w:w="1440" w:type="dxa"/>
          </w:tcPr>
          <w:p w14:paraId="1AE7F0B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$1.52</w:t>
            </w:r>
          </w:p>
        </w:tc>
        <w:tc>
          <w:tcPr>
            <w:tcW w:w="900" w:type="dxa"/>
            <w:tcMar>
              <w:left w:w="115" w:type="dxa"/>
              <w:right w:w="0" w:type="dxa"/>
            </w:tcMar>
          </w:tcPr>
          <w:p w14:paraId="4F0950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E30D78C" w14:textId="77777777" w:rsidTr="00C40B42">
        <w:trPr>
          <w:jc w:val="center"/>
        </w:trPr>
        <w:tc>
          <w:tcPr>
            <w:tcW w:w="2790" w:type="dxa"/>
            <w:tcMar>
              <w:left w:w="0" w:type="dxa"/>
              <w:right w:w="115" w:type="dxa"/>
            </w:tcMar>
          </w:tcPr>
          <w:p w14:paraId="772B3AB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620" w:type="dxa"/>
          </w:tcPr>
          <w:p w14:paraId="5078FEB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$9.36</w:t>
            </w:r>
          </w:p>
        </w:tc>
        <w:tc>
          <w:tcPr>
            <w:tcW w:w="1440" w:type="dxa"/>
          </w:tcPr>
          <w:p w14:paraId="4CD1543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Not Quantified</w:t>
            </w:r>
          </w:p>
        </w:tc>
        <w:tc>
          <w:tcPr>
            <w:tcW w:w="900" w:type="dxa"/>
            <w:tcMar>
              <w:left w:w="115" w:type="dxa"/>
              <w:right w:w="0" w:type="dxa"/>
            </w:tcMar>
          </w:tcPr>
          <w:p w14:paraId="15991E6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4B72CFA" w14:textId="77777777" w:rsidTr="00C40B42">
        <w:trPr>
          <w:jc w:val="center"/>
        </w:trPr>
        <w:tc>
          <w:tcPr>
            <w:tcW w:w="2790" w:type="dxa"/>
            <w:tcMar>
              <w:left w:w="0" w:type="dxa"/>
              <w:right w:w="115" w:type="dxa"/>
            </w:tcMar>
          </w:tcPr>
          <w:p w14:paraId="22C9E62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620" w:type="dxa"/>
          </w:tcPr>
          <w:p w14:paraId="369068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$3.79</w:t>
            </w:r>
          </w:p>
        </w:tc>
        <w:tc>
          <w:tcPr>
            <w:tcW w:w="1440" w:type="dxa"/>
          </w:tcPr>
          <w:p w14:paraId="5CF75F4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$0.69</w:t>
            </w:r>
          </w:p>
        </w:tc>
        <w:tc>
          <w:tcPr>
            <w:tcW w:w="900" w:type="dxa"/>
            <w:tcMar>
              <w:left w:w="115" w:type="dxa"/>
              <w:right w:w="0" w:type="dxa"/>
            </w:tcMar>
          </w:tcPr>
          <w:p w14:paraId="190FF85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4F136B4" w14:textId="77777777" w:rsidTr="00C40B42">
        <w:trPr>
          <w:jc w:val="center"/>
        </w:trPr>
        <w:tc>
          <w:tcPr>
            <w:tcW w:w="2790" w:type="dxa"/>
            <w:tcMar>
              <w:left w:w="0" w:type="dxa"/>
              <w:right w:w="115" w:type="dxa"/>
            </w:tcMar>
          </w:tcPr>
          <w:p w14:paraId="5245209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620" w:type="dxa"/>
          </w:tcPr>
          <w:p w14:paraId="41008D1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$479.76</w:t>
            </w:r>
          </w:p>
        </w:tc>
        <w:tc>
          <w:tcPr>
            <w:tcW w:w="1440" w:type="dxa"/>
          </w:tcPr>
          <w:p w14:paraId="4D324AD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$0.88</w:t>
            </w:r>
          </w:p>
        </w:tc>
        <w:tc>
          <w:tcPr>
            <w:tcW w:w="900" w:type="dxa"/>
            <w:tcMar>
              <w:left w:w="115" w:type="dxa"/>
              <w:right w:w="0" w:type="dxa"/>
            </w:tcMar>
          </w:tcPr>
          <w:p w14:paraId="1D6E8B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DA273BB" w14:textId="77777777" w:rsidTr="00C40B42">
        <w:trPr>
          <w:jc w:val="center"/>
        </w:trPr>
        <w:tc>
          <w:tcPr>
            <w:tcW w:w="2790" w:type="dxa"/>
            <w:tcMar>
              <w:left w:w="0" w:type="dxa"/>
              <w:right w:w="115" w:type="dxa"/>
            </w:tcMar>
          </w:tcPr>
          <w:p w14:paraId="24CC5C7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620" w:type="dxa"/>
          </w:tcPr>
          <w:p w14:paraId="4F0479E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$10.29</w:t>
            </w:r>
          </w:p>
        </w:tc>
        <w:tc>
          <w:tcPr>
            <w:tcW w:w="1440" w:type="dxa"/>
          </w:tcPr>
          <w:p w14:paraId="79C66F7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Mar>
              <w:left w:w="115" w:type="dxa"/>
              <w:right w:w="0" w:type="dxa"/>
            </w:tcMar>
          </w:tcPr>
          <w:p w14:paraId="4CAFC1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187A9B3" w14:textId="77777777" w:rsidTr="00C40B42">
        <w:trPr>
          <w:jc w:val="center"/>
        </w:trPr>
        <w:tc>
          <w:tcPr>
            <w:tcW w:w="2790" w:type="dxa"/>
            <w:tcMar>
              <w:left w:w="0" w:type="dxa"/>
              <w:right w:w="115" w:type="dxa"/>
            </w:tcMar>
          </w:tcPr>
          <w:p w14:paraId="2C3E976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620" w:type="dxa"/>
          </w:tcPr>
          <w:p w14:paraId="7843861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$2.12</w:t>
            </w:r>
          </w:p>
        </w:tc>
        <w:tc>
          <w:tcPr>
            <w:tcW w:w="1440" w:type="dxa"/>
          </w:tcPr>
          <w:p w14:paraId="517CE0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Not Quantified</w:t>
            </w:r>
          </w:p>
        </w:tc>
        <w:tc>
          <w:tcPr>
            <w:tcW w:w="900" w:type="dxa"/>
            <w:tcMar>
              <w:left w:w="115" w:type="dxa"/>
              <w:right w:w="0" w:type="dxa"/>
            </w:tcMar>
          </w:tcPr>
          <w:p w14:paraId="3EC6F3E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B4D4FFE" w14:textId="77777777" w:rsidTr="00C40B42">
        <w:trPr>
          <w:jc w:val="center"/>
        </w:trPr>
        <w:tc>
          <w:tcPr>
            <w:tcW w:w="2790" w:type="dxa"/>
            <w:tcBorders>
              <w:bottom w:val="single" w:sz="4" w:space="0" w:color="auto"/>
            </w:tcBorders>
            <w:tcMar>
              <w:left w:w="0" w:type="dxa"/>
              <w:right w:w="115" w:type="dxa"/>
            </w:tcMar>
          </w:tcPr>
          <w:p w14:paraId="7C862E7C"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620" w:type="dxa"/>
            <w:tcBorders>
              <w:bottom w:val="single" w:sz="4" w:space="0" w:color="auto"/>
            </w:tcBorders>
          </w:tcPr>
          <w:p w14:paraId="42B251FE"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$52.73</w:t>
            </w:r>
          </w:p>
        </w:tc>
        <w:tc>
          <w:tcPr>
            <w:tcW w:w="1440" w:type="dxa"/>
            <w:tcBorders>
              <w:bottom w:val="single" w:sz="4" w:space="0" w:color="auto"/>
            </w:tcBorders>
          </w:tcPr>
          <w:p w14:paraId="4E005C5B"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$3.53</w:t>
            </w:r>
          </w:p>
        </w:tc>
        <w:tc>
          <w:tcPr>
            <w:tcW w:w="900" w:type="dxa"/>
            <w:tcBorders>
              <w:bottom w:val="single" w:sz="4" w:space="0" w:color="auto"/>
            </w:tcBorders>
            <w:tcMar>
              <w:left w:w="115" w:type="dxa"/>
              <w:right w:w="0" w:type="dxa"/>
            </w:tcMar>
          </w:tcPr>
          <w:p w14:paraId="7EE3FC27"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2</w:t>
            </w:r>
          </w:p>
        </w:tc>
      </w:tr>
      <w:tr w:rsidR="00C40B42" w:rsidRPr="00A61532" w14:paraId="1B4645A5" w14:textId="77777777" w:rsidTr="00C40B42">
        <w:trPr>
          <w:jc w:val="center"/>
        </w:trPr>
        <w:tc>
          <w:tcPr>
            <w:tcW w:w="2790" w:type="dxa"/>
            <w:tcBorders>
              <w:top w:val="single" w:sz="4" w:space="0" w:color="auto"/>
            </w:tcBorders>
            <w:shd w:val="clear" w:color="auto" w:fill="auto"/>
            <w:tcMar>
              <w:left w:w="0" w:type="dxa"/>
              <w:right w:w="115" w:type="dxa"/>
            </w:tcMar>
          </w:tcPr>
          <w:p w14:paraId="30028570"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620" w:type="dxa"/>
            <w:tcBorders>
              <w:top w:val="single" w:sz="4" w:space="0" w:color="auto"/>
            </w:tcBorders>
          </w:tcPr>
          <w:p w14:paraId="6BC5DC1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 xml:space="preserve">$107.84 </w:t>
            </w:r>
          </w:p>
        </w:tc>
        <w:tc>
          <w:tcPr>
            <w:tcW w:w="1440" w:type="dxa"/>
            <w:tcBorders>
              <w:top w:val="single" w:sz="4" w:space="0" w:color="auto"/>
            </w:tcBorders>
          </w:tcPr>
          <w:p w14:paraId="20989C3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$2.69</w:t>
            </w:r>
          </w:p>
        </w:tc>
        <w:tc>
          <w:tcPr>
            <w:tcW w:w="900" w:type="dxa"/>
            <w:tcBorders>
              <w:top w:val="single" w:sz="4" w:space="0" w:color="auto"/>
            </w:tcBorders>
            <w:tcMar>
              <w:left w:w="115" w:type="dxa"/>
              <w:right w:w="0" w:type="dxa"/>
            </w:tcMar>
          </w:tcPr>
          <w:p w14:paraId="19ACF52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BFE718B" w14:textId="77777777" w:rsidTr="00C40B42">
        <w:trPr>
          <w:jc w:val="center"/>
        </w:trPr>
        <w:tc>
          <w:tcPr>
            <w:tcW w:w="2790" w:type="dxa"/>
            <w:shd w:val="clear" w:color="auto" w:fill="auto"/>
            <w:tcMar>
              <w:left w:w="0" w:type="dxa"/>
              <w:right w:w="115" w:type="dxa"/>
            </w:tcMar>
          </w:tcPr>
          <w:p w14:paraId="71EA884E"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t>Median</w:t>
            </w:r>
          </w:p>
        </w:tc>
        <w:tc>
          <w:tcPr>
            <w:tcW w:w="1620" w:type="dxa"/>
          </w:tcPr>
          <w:p w14:paraId="4D7C0F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$9.83</w:t>
            </w:r>
          </w:p>
        </w:tc>
        <w:tc>
          <w:tcPr>
            <w:tcW w:w="1440" w:type="dxa"/>
          </w:tcPr>
          <w:p w14:paraId="2B6A67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$2.53</w:t>
            </w:r>
          </w:p>
        </w:tc>
        <w:tc>
          <w:tcPr>
            <w:tcW w:w="900" w:type="dxa"/>
            <w:tcMar>
              <w:left w:w="115" w:type="dxa"/>
              <w:right w:w="0" w:type="dxa"/>
            </w:tcMar>
          </w:tcPr>
          <w:p w14:paraId="2C1566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C41C96A" w14:textId="77777777" w:rsidTr="00C40B42">
        <w:trPr>
          <w:jc w:val="center"/>
        </w:trPr>
        <w:tc>
          <w:tcPr>
            <w:tcW w:w="2790" w:type="dxa"/>
            <w:tcBorders>
              <w:bottom w:val="single" w:sz="4" w:space="0" w:color="auto"/>
            </w:tcBorders>
            <w:shd w:val="clear" w:color="auto" w:fill="auto"/>
            <w:tcMar>
              <w:left w:w="0" w:type="dxa"/>
              <w:right w:w="115" w:type="dxa"/>
            </w:tcMar>
          </w:tcPr>
          <w:p w14:paraId="7B56B21E"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lastRenderedPageBreak/>
              <w:t>% of Yes</w:t>
            </w:r>
          </w:p>
        </w:tc>
        <w:tc>
          <w:tcPr>
            <w:tcW w:w="1620" w:type="dxa"/>
            <w:tcBorders>
              <w:bottom w:val="single" w:sz="4" w:space="0" w:color="auto"/>
            </w:tcBorders>
          </w:tcPr>
          <w:p w14:paraId="47FC13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440" w:type="dxa"/>
            <w:tcBorders>
              <w:bottom w:val="single" w:sz="4" w:space="0" w:color="auto"/>
            </w:tcBorders>
          </w:tcPr>
          <w:p w14:paraId="2C9140E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bottom w:val="single" w:sz="4" w:space="0" w:color="auto"/>
            </w:tcBorders>
            <w:tcMar>
              <w:left w:w="115" w:type="dxa"/>
              <w:right w:w="0" w:type="dxa"/>
            </w:tcMar>
          </w:tcPr>
          <w:p w14:paraId="5B746B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w:t>
            </w:r>
          </w:p>
        </w:tc>
      </w:tr>
      <w:tr w:rsidR="00C40B42" w:rsidRPr="00A61532" w14:paraId="2A5F0BDC" w14:textId="77777777" w:rsidTr="00C40B42">
        <w:trPr>
          <w:jc w:val="center"/>
        </w:trPr>
        <w:tc>
          <w:tcPr>
            <w:tcW w:w="2790" w:type="dxa"/>
            <w:tcBorders>
              <w:top w:val="single" w:sz="4" w:space="0" w:color="auto"/>
            </w:tcBorders>
            <w:shd w:val="clear" w:color="auto" w:fill="auto"/>
            <w:tcMar>
              <w:left w:w="0" w:type="dxa"/>
              <w:right w:w="115" w:type="dxa"/>
            </w:tcMar>
          </w:tcPr>
          <w:p w14:paraId="22D8B656" w14:textId="77777777" w:rsidR="00C40B42" w:rsidRPr="00A61532" w:rsidRDefault="00C40B42" w:rsidP="00C40B42">
            <w:pPr>
              <w:widowControl/>
              <w:spacing w:before="40"/>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EMC</w:t>
            </w:r>
          </w:p>
        </w:tc>
        <w:tc>
          <w:tcPr>
            <w:tcW w:w="1620" w:type="dxa"/>
            <w:tcBorders>
              <w:top w:val="single" w:sz="4" w:space="0" w:color="auto"/>
            </w:tcBorders>
          </w:tcPr>
          <w:p w14:paraId="6ED7B80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$53.69</w:t>
            </w:r>
          </w:p>
        </w:tc>
        <w:tc>
          <w:tcPr>
            <w:tcW w:w="1440" w:type="dxa"/>
            <w:tcBorders>
              <w:top w:val="single" w:sz="4" w:space="0" w:color="auto"/>
            </w:tcBorders>
          </w:tcPr>
          <w:p w14:paraId="64BB42D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top w:val="single" w:sz="4" w:space="0" w:color="auto"/>
            </w:tcBorders>
            <w:tcMar>
              <w:left w:w="115" w:type="dxa"/>
              <w:right w:w="0" w:type="dxa"/>
            </w:tcMar>
          </w:tcPr>
          <w:p w14:paraId="7EFF7CAE"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3895A4B" w14:textId="77777777" w:rsidTr="00C40B42">
        <w:trPr>
          <w:jc w:val="center"/>
        </w:trPr>
        <w:tc>
          <w:tcPr>
            <w:tcW w:w="2790" w:type="dxa"/>
            <w:shd w:val="clear" w:color="auto" w:fill="auto"/>
            <w:tcMar>
              <w:left w:w="0" w:type="dxa"/>
              <w:right w:w="115" w:type="dxa"/>
            </w:tcMar>
          </w:tcPr>
          <w:p w14:paraId="1B56B916"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TXU</w:t>
            </w:r>
          </w:p>
        </w:tc>
        <w:tc>
          <w:tcPr>
            <w:tcW w:w="1620" w:type="dxa"/>
          </w:tcPr>
          <w:p w14:paraId="6907436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$10.93</w:t>
            </w:r>
          </w:p>
        </w:tc>
        <w:tc>
          <w:tcPr>
            <w:tcW w:w="1440" w:type="dxa"/>
          </w:tcPr>
          <w:p w14:paraId="56B0B78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$9.67</w:t>
            </w:r>
          </w:p>
        </w:tc>
        <w:tc>
          <w:tcPr>
            <w:tcW w:w="900" w:type="dxa"/>
            <w:tcMar>
              <w:left w:w="115" w:type="dxa"/>
              <w:right w:w="0" w:type="dxa"/>
            </w:tcMar>
          </w:tcPr>
          <w:p w14:paraId="547DA75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AA5AFF5" w14:textId="77777777" w:rsidTr="00C40B42">
        <w:trPr>
          <w:jc w:val="center"/>
        </w:trPr>
        <w:tc>
          <w:tcPr>
            <w:tcW w:w="2790" w:type="dxa"/>
            <w:shd w:val="clear" w:color="auto" w:fill="auto"/>
            <w:tcMar>
              <w:left w:w="0" w:type="dxa"/>
              <w:right w:w="115" w:type="dxa"/>
            </w:tcMar>
          </w:tcPr>
          <w:p w14:paraId="7759D718"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Clear Channel</w:t>
            </w:r>
          </w:p>
        </w:tc>
        <w:tc>
          <w:tcPr>
            <w:tcW w:w="1620" w:type="dxa"/>
          </w:tcPr>
          <w:p w14:paraId="4C9DAA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$1626.55</w:t>
            </w:r>
          </w:p>
        </w:tc>
        <w:tc>
          <w:tcPr>
            <w:tcW w:w="1440" w:type="dxa"/>
          </w:tcPr>
          <w:p w14:paraId="57A7C6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$6.06</w:t>
            </w:r>
          </w:p>
        </w:tc>
        <w:tc>
          <w:tcPr>
            <w:tcW w:w="900" w:type="dxa"/>
            <w:tcMar>
              <w:left w:w="115" w:type="dxa"/>
              <w:right w:w="0" w:type="dxa"/>
            </w:tcMar>
          </w:tcPr>
          <w:p w14:paraId="5A77A2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w:t>
            </w:r>
          </w:p>
        </w:tc>
      </w:tr>
      <w:tr w:rsidR="00C40B42" w:rsidRPr="00A61532" w14:paraId="4DDC3633" w14:textId="77777777" w:rsidTr="00C40B42">
        <w:trPr>
          <w:jc w:val="center"/>
        </w:trPr>
        <w:tc>
          <w:tcPr>
            <w:tcW w:w="2790" w:type="dxa"/>
            <w:shd w:val="clear" w:color="auto" w:fill="auto"/>
            <w:tcMar>
              <w:left w:w="0" w:type="dxa"/>
              <w:right w:w="115" w:type="dxa"/>
            </w:tcMar>
          </w:tcPr>
          <w:p w14:paraId="015C24D2"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Kinetic Concepts</w:t>
            </w:r>
          </w:p>
        </w:tc>
        <w:tc>
          <w:tcPr>
            <w:tcW w:w="1620" w:type="dxa"/>
          </w:tcPr>
          <w:p w14:paraId="46FD457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$668.73</w:t>
            </w:r>
          </w:p>
        </w:tc>
        <w:tc>
          <w:tcPr>
            <w:tcW w:w="1440" w:type="dxa"/>
          </w:tcPr>
          <w:p w14:paraId="7D5E8A0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$8.68</w:t>
            </w:r>
          </w:p>
        </w:tc>
        <w:tc>
          <w:tcPr>
            <w:tcW w:w="900" w:type="dxa"/>
            <w:tcMar>
              <w:left w:w="115" w:type="dxa"/>
              <w:right w:w="0" w:type="dxa"/>
            </w:tcMar>
          </w:tcPr>
          <w:p w14:paraId="2EE2CCE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408D4C6" w14:textId="77777777" w:rsidTr="00C40B42">
        <w:trPr>
          <w:jc w:val="center"/>
        </w:trPr>
        <w:tc>
          <w:tcPr>
            <w:tcW w:w="2790" w:type="dxa"/>
            <w:shd w:val="clear" w:color="auto" w:fill="auto"/>
            <w:tcMar>
              <w:left w:w="0" w:type="dxa"/>
              <w:right w:w="115" w:type="dxa"/>
            </w:tcMar>
          </w:tcPr>
          <w:p w14:paraId="141832C6" w14:textId="77777777" w:rsidR="00C40B42" w:rsidRPr="00A61532" w:rsidRDefault="00C40B42" w:rsidP="00C40B42">
            <w:pPr>
              <w:widowControl/>
              <w:ind w:firstLine="0"/>
              <w:jc w:val="left"/>
              <w:rPr>
                <w:rFonts w:asciiTheme="majorBidi" w:hAnsiTheme="majorBidi" w:cstheme="majorBidi"/>
                <w:b/>
                <w:bCs/>
                <w:i/>
                <w:iCs/>
                <w:kern w:val="0"/>
                <w:sz w:val="20"/>
              </w:rPr>
            </w:pPr>
            <w:proofErr w:type="spellStart"/>
            <w:r w:rsidRPr="00A61532">
              <w:rPr>
                <w:rFonts w:asciiTheme="majorBidi" w:hAnsiTheme="majorBidi" w:cstheme="majorBidi"/>
                <w:i/>
                <w:iCs/>
                <w:kern w:val="0"/>
                <w:sz w:val="20"/>
              </w:rPr>
              <w:t>Parexel</w:t>
            </w:r>
            <w:proofErr w:type="spellEnd"/>
          </w:p>
        </w:tc>
        <w:tc>
          <w:tcPr>
            <w:tcW w:w="1620" w:type="dxa"/>
          </w:tcPr>
          <w:p w14:paraId="7F608D2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$22.27</w:t>
            </w:r>
          </w:p>
        </w:tc>
        <w:tc>
          <w:tcPr>
            <w:tcW w:w="1440" w:type="dxa"/>
          </w:tcPr>
          <w:p w14:paraId="3613E5F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Mar>
              <w:left w:w="115" w:type="dxa"/>
              <w:right w:w="0" w:type="dxa"/>
            </w:tcMar>
          </w:tcPr>
          <w:p w14:paraId="346AE6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CFDD0B9" w14:textId="77777777" w:rsidTr="00C40B42">
        <w:trPr>
          <w:jc w:val="center"/>
        </w:trPr>
        <w:tc>
          <w:tcPr>
            <w:tcW w:w="2790" w:type="dxa"/>
            <w:shd w:val="clear" w:color="auto" w:fill="auto"/>
            <w:tcMar>
              <w:left w:w="0" w:type="dxa"/>
              <w:right w:w="115" w:type="dxa"/>
            </w:tcMar>
          </w:tcPr>
          <w:p w14:paraId="61D7650D"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Florida East Coast</w:t>
            </w:r>
          </w:p>
        </w:tc>
        <w:tc>
          <w:tcPr>
            <w:tcW w:w="1620" w:type="dxa"/>
          </w:tcPr>
          <w:p w14:paraId="1F4C9B9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$7.27</w:t>
            </w:r>
          </w:p>
        </w:tc>
        <w:tc>
          <w:tcPr>
            <w:tcW w:w="1440" w:type="dxa"/>
          </w:tcPr>
          <w:p w14:paraId="58FA7B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$0.19</w:t>
            </w:r>
          </w:p>
        </w:tc>
        <w:tc>
          <w:tcPr>
            <w:tcW w:w="900" w:type="dxa"/>
            <w:tcMar>
              <w:left w:w="115" w:type="dxa"/>
              <w:right w:w="0" w:type="dxa"/>
            </w:tcMar>
          </w:tcPr>
          <w:p w14:paraId="1C52511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67AB30EA" w14:textId="77777777" w:rsidTr="00C40B42">
        <w:trPr>
          <w:jc w:val="center"/>
        </w:trPr>
        <w:tc>
          <w:tcPr>
            <w:tcW w:w="2790" w:type="dxa"/>
            <w:shd w:val="clear" w:color="auto" w:fill="auto"/>
            <w:tcMar>
              <w:left w:w="0" w:type="dxa"/>
              <w:right w:w="115" w:type="dxa"/>
            </w:tcMar>
          </w:tcPr>
          <w:p w14:paraId="503D1C3A" w14:textId="7308DF3A"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Claire</w:t>
            </w:r>
            <w:r w:rsidR="002D43D6">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620" w:type="dxa"/>
          </w:tcPr>
          <w:p w14:paraId="5370C0C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$7.91</w:t>
            </w:r>
          </w:p>
        </w:tc>
        <w:tc>
          <w:tcPr>
            <w:tcW w:w="1440" w:type="dxa"/>
          </w:tcPr>
          <w:p w14:paraId="27A1493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$0.75</w:t>
            </w:r>
          </w:p>
        </w:tc>
        <w:tc>
          <w:tcPr>
            <w:tcW w:w="900" w:type="dxa"/>
            <w:tcMar>
              <w:left w:w="115" w:type="dxa"/>
              <w:right w:w="0" w:type="dxa"/>
            </w:tcMar>
          </w:tcPr>
          <w:p w14:paraId="7183C86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r>
      <w:tr w:rsidR="00C40B42" w:rsidRPr="00A61532" w14:paraId="6029E245" w14:textId="77777777" w:rsidTr="00C40B42">
        <w:trPr>
          <w:jc w:val="center"/>
        </w:trPr>
        <w:tc>
          <w:tcPr>
            <w:tcW w:w="2790" w:type="dxa"/>
            <w:shd w:val="clear" w:color="auto" w:fill="auto"/>
            <w:tcMar>
              <w:left w:w="0" w:type="dxa"/>
              <w:right w:w="115" w:type="dxa"/>
            </w:tcMar>
          </w:tcPr>
          <w:p w14:paraId="2D806EA1"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Crescent</w:t>
            </w:r>
          </w:p>
        </w:tc>
        <w:tc>
          <w:tcPr>
            <w:tcW w:w="1620" w:type="dxa"/>
          </w:tcPr>
          <w:p w14:paraId="3320E6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$802.39</w:t>
            </w:r>
          </w:p>
        </w:tc>
        <w:tc>
          <w:tcPr>
            <w:tcW w:w="1440" w:type="dxa"/>
          </w:tcPr>
          <w:p w14:paraId="103249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Mar>
              <w:left w:w="115" w:type="dxa"/>
              <w:right w:w="0" w:type="dxa"/>
            </w:tcMar>
          </w:tcPr>
          <w:p w14:paraId="74363F5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81D1D61" w14:textId="77777777" w:rsidTr="00C40B42">
        <w:trPr>
          <w:jc w:val="center"/>
        </w:trPr>
        <w:tc>
          <w:tcPr>
            <w:tcW w:w="2790" w:type="dxa"/>
            <w:shd w:val="clear" w:color="auto" w:fill="auto"/>
            <w:tcMar>
              <w:left w:w="0" w:type="dxa"/>
              <w:right w:w="115" w:type="dxa"/>
            </w:tcMar>
          </w:tcPr>
          <w:p w14:paraId="41DA6B46"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EGL</w:t>
            </w:r>
          </w:p>
        </w:tc>
        <w:tc>
          <w:tcPr>
            <w:tcW w:w="1620" w:type="dxa"/>
          </w:tcPr>
          <w:p w14:paraId="735240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$12.41</w:t>
            </w:r>
          </w:p>
        </w:tc>
        <w:tc>
          <w:tcPr>
            <w:tcW w:w="1440" w:type="dxa"/>
          </w:tcPr>
          <w:p w14:paraId="357155C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$0.09</w:t>
            </w:r>
          </w:p>
        </w:tc>
        <w:tc>
          <w:tcPr>
            <w:tcW w:w="900" w:type="dxa"/>
            <w:tcMar>
              <w:left w:w="115" w:type="dxa"/>
              <w:right w:w="0" w:type="dxa"/>
            </w:tcMar>
          </w:tcPr>
          <w:p w14:paraId="57F549C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1768583" w14:textId="77777777" w:rsidTr="00C40B42">
        <w:trPr>
          <w:jc w:val="center"/>
        </w:trPr>
        <w:tc>
          <w:tcPr>
            <w:tcW w:w="2790" w:type="dxa"/>
            <w:shd w:val="clear" w:color="auto" w:fill="auto"/>
            <w:tcMar>
              <w:left w:w="0" w:type="dxa"/>
              <w:right w:w="115" w:type="dxa"/>
            </w:tcMar>
          </w:tcPr>
          <w:p w14:paraId="0FFCFF4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620" w:type="dxa"/>
          </w:tcPr>
          <w:p w14:paraId="77D96BE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$182.83</w:t>
            </w:r>
          </w:p>
        </w:tc>
        <w:tc>
          <w:tcPr>
            <w:tcW w:w="1440" w:type="dxa"/>
          </w:tcPr>
          <w:p w14:paraId="6B0D70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$4.79</w:t>
            </w:r>
          </w:p>
        </w:tc>
        <w:tc>
          <w:tcPr>
            <w:tcW w:w="900" w:type="dxa"/>
            <w:tcMar>
              <w:left w:w="115" w:type="dxa"/>
              <w:right w:w="0" w:type="dxa"/>
            </w:tcMar>
          </w:tcPr>
          <w:p w14:paraId="7DA015F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214BDDF" w14:textId="77777777" w:rsidTr="00C40B42">
        <w:trPr>
          <w:jc w:val="center"/>
        </w:trPr>
        <w:tc>
          <w:tcPr>
            <w:tcW w:w="2790" w:type="dxa"/>
            <w:shd w:val="clear" w:color="auto" w:fill="auto"/>
            <w:tcMar>
              <w:left w:w="0" w:type="dxa"/>
              <w:right w:w="115" w:type="dxa"/>
            </w:tcMar>
          </w:tcPr>
          <w:p w14:paraId="3AECA6AA"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Life Time Fitness</w:t>
            </w:r>
          </w:p>
        </w:tc>
        <w:tc>
          <w:tcPr>
            <w:tcW w:w="1620" w:type="dxa"/>
          </w:tcPr>
          <w:p w14:paraId="23C2AAD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$17.26</w:t>
            </w:r>
          </w:p>
        </w:tc>
        <w:tc>
          <w:tcPr>
            <w:tcW w:w="1440" w:type="dxa"/>
          </w:tcPr>
          <w:p w14:paraId="7E1FD7C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$2.51</w:t>
            </w:r>
          </w:p>
        </w:tc>
        <w:tc>
          <w:tcPr>
            <w:tcW w:w="900" w:type="dxa"/>
            <w:tcMar>
              <w:left w:w="115" w:type="dxa"/>
              <w:right w:w="0" w:type="dxa"/>
            </w:tcMar>
          </w:tcPr>
          <w:p w14:paraId="26A70F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26382EC" w14:textId="77777777" w:rsidTr="00C40B42">
        <w:trPr>
          <w:jc w:val="center"/>
        </w:trPr>
        <w:tc>
          <w:tcPr>
            <w:tcW w:w="2790" w:type="dxa"/>
            <w:tcBorders>
              <w:bottom w:val="single" w:sz="4" w:space="0" w:color="auto"/>
            </w:tcBorders>
            <w:shd w:val="clear" w:color="auto" w:fill="auto"/>
            <w:tcMar>
              <w:left w:w="0" w:type="dxa"/>
              <w:right w:w="115" w:type="dxa"/>
            </w:tcMar>
          </w:tcPr>
          <w:p w14:paraId="20C514E4" w14:textId="77777777" w:rsidR="00C40B42" w:rsidRPr="00A61532" w:rsidRDefault="00C40B42" w:rsidP="00C40B42">
            <w:pPr>
              <w:widowControl/>
              <w:spacing w:line="276" w:lineRule="auto"/>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Buffalo Wild Wings</w:t>
            </w:r>
          </w:p>
        </w:tc>
        <w:tc>
          <w:tcPr>
            <w:tcW w:w="1620" w:type="dxa"/>
            <w:tcBorders>
              <w:bottom w:val="single" w:sz="4" w:space="0" w:color="auto"/>
            </w:tcBorders>
          </w:tcPr>
          <w:p w14:paraId="43BF327D"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$164.72</w:t>
            </w:r>
          </w:p>
        </w:tc>
        <w:tc>
          <w:tcPr>
            <w:tcW w:w="1440" w:type="dxa"/>
            <w:tcBorders>
              <w:bottom w:val="single" w:sz="4" w:space="0" w:color="auto"/>
            </w:tcBorders>
          </w:tcPr>
          <w:p w14:paraId="1900C01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bottom w:val="single" w:sz="4" w:space="0" w:color="auto"/>
            </w:tcBorders>
            <w:tcMar>
              <w:left w:w="115" w:type="dxa"/>
              <w:right w:w="0" w:type="dxa"/>
            </w:tcMar>
          </w:tcPr>
          <w:p w14:paraId="4CD56A8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BB10BD0" w14:textId="77777777" w:rsidTr="00C40B42">
        <w:trPr>
          <w:jc w:val="center"/>
        </w:trPr>
        <w:tc>
          <w:tcPr>
            <w:tcW w:w="2790" w:type="dxa"/>
            <w:tcBorders>
              <w:top w:val="single" w:sz="4" w:space="0" w:color="auto"/>
            </w:tcBorders>
            <w:shd w:val="clear" w:color="auto" w:fill="auto"/>
            <w:tcMar>
              <w:left w:w="0" w:type="dxa"/>
              <w:right w:w="115" w:type="dxa"/>
            </w:tcMar>
          </w:tcPr>
          <w:p w14:paraId="2EA26A15"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Mean</w:t>
            </w:r>
          </w:p>
        </w:tc>
        <w:tc>
          <w:tcPr>
            <w:tcW w:w="1620" w:type="dxa"/>
            <w:tcBorders>
              <w:top w:val="single" w:sz="4" w:space="0" w:color="auto"/>
            </w:tcBorders>
          </w:tcPr>
          <w:p w14:paraId="27CC730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$298.08</w:t>
            </w:r>
          </w:p>
        </w:tc>
        <w:tc>
          <w:tcPr>
            <w:tcW w:w="1440" w:type="dxa"/>
            <w:tcBorders>
              <w:top w:val="single" w:sz="4" w:space="0" w:color="auto"/>
            </w:tcBorders>
          </w:tcPr>
          <w:p w14:paraId="6964E3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$4.09</w:t>
            </w:r>
          </w:p>
        </w:tc>
        <w:tc>
          <w:tcPr>
            <w:tcW w:w="900" w:type="dxa"/>
            <w:tcBorders>
              <w:top w:val="single" w:sz="4" w:space="0" w:color="auto"/>
            </w:tcBorders>
            <w:tcMar>
              <w:left w:w="115" w:type="dxa"/>
              <w:right w:w="0" w:type="dxa"/>
            </w:tcMar>
          </w:tcPr>
          <w:p w14:paraId="5E6DF73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F9431EA" w14:textId="77777777" w:rsidTr="00C40B42">
        <w:trPr>
          <w:jc w:val="center"/>
        </w:trPr>
        <w:tc>
          <w:tcPr>
            <w:tcW w:w="2790" w:type="dxa"/>
            <w:shd w:val="clear" w:color="auto" w:fill="auto"/>
            <w:tcMar>
              <w:left w:w="0" w:type="dxa"/>
              <w:right w:w="115" w:type="dxa"/>
            </w:tcMar>
          </w:tcPr>
          <w:p w14:paraId="121EEB74"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620" w:type="dxa"/>
          </w:tcPr>
          <w:p w14:paraId="473B80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$37.98</w:t>
            </w:r>
          </w:p>
        </w:tc>
        <w:tc>
          <w:tcPr>
            <w:tcW w:w="1440" w:type="dxa"/>
          </w:tcPr>
          <w:p w14:paraId="50B04F2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$3.65</w:t>
            </w:r>
          </w:p>
        </w:tc>
        <w:tc>
          <w:tcPr>
            <w:tcW w:w="900" w:type="dxa"/>
            <w:tcMar>
              <w:left w:w="115" w:type="dxa"/>
              <w:right w:w="0" w:type="dxa"/>
            </w:tcMar>
          </w:tcPr>
          <w:p w14:paraId="16D9761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9A4A8CF" w14:textId="77777777" w:rsidTr="00C40B42">
        <w:trPr>
          <w:jc w:val="center"/>
        </w:trPr>
        <w:tc>
          <w:tcPr>
            <w:tcW w:w="2790" w:type="dxa"/>
            <w:tcBorders>
              <w:bottom w:val="double" w:sz="4" w:space="0" w:color="auto"/>
            </w:tcBorders>
            <w:shd w:val="clear" w:color="auto" w:fill="auto"/>
            <w:tcMar>
              <w:left w:w="0" w:type="dxa"/>
              <w:right w:w="115" w:type="dxa"/>
            </w:tcMar>
          </w:tcPr>
          <w:p w14:paraId="634BA483"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620" w:type="dxa"/>
            <w:tcBorders>
              <w:bottom w:val="double" w:sz="4" w:space="0" w:color="auto"/>
            </w:tcBorders>
          </w:tcPr>
          <w:p w14:paraId="67F332D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440" w:type="dxa"/>
            <w:tcBorders>
              <w:bottom w:val="double" w:sz="4" w:space="0" w:color="auto"/>
            </w:tcBorders>
          </w:tcPr>
          <w:p w14:paraId="77F363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bottom w:val="double" w:sz="4" w:space="0" w:color="auto"/>
            </w:tcBorders>
            <w:tcMar>
              <w:left w:w="115" w:type="dxa"/>
              <w:right w:w="0" w:type="dxa"/>
            </w:tcMar>
          </w:tcPr>
          <w:p w14:paraId="4F3B86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r>
    </w:tbl>
    <w:p w14:paraId="12D0267F" w14:textId="2418618E" w:rsidR="00FA7A70" w:rsidRDefault="00C40B42" w:rsidP="00332FE2">
      <w:pPr>
        <w:widowControl/>
        <w:spacing w:before="240"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Here, again, as evident from Table A3 of the </w:t>
      </w:r>
      <w:r w:rsidR="0074735E">
        <w:rPr>
          <w:rFonts w:asciiTheme="majorBidi" w:eastAsia="SimSun" w:hAnsiTheme="majorBidi" w:cstheme="majorBidi"/>
          <w:kern w:val="0"/>
          <w:szCs w:val="24"/>
          <w:lang w:bidi="he-IL"/>
        </w:rPr>
        <w:t>Online Appendix</w:t>
      </w:r>
      <w:r w:rsidRPr="00A61532">
        <w:rPr>
          <w:rFonts w:asciiTheme="majorBidi" w:eastAsia="SimSun" w:hAnsiTheme="majorBidi" w:cstheme="majorBidi"/>
          <w:kern w:val="0"/>
          <w:szCs w:val="24"/>
          <w:lang w:bidi="he-IL"/>
        </w:rPr>
        <w:t xml:space="preserve">, the findings continue to hold when we examine </w:t>
      </w:r>
      <w:r w:rsidR="00DB7751">
        <w:rPr>
          <w:rFonts w:asciiTheme="majorBidi" w:eastAsia="SimSun" w:hAnsiTheme="majorBidi" w:cstheme="majorBidi"/>
          <w:kern w:val="0"/>
          <w:szCs w:val="24"/>
          <w:lang w:bidi="he-IL"/>
        </w:rPr>
        <w:t>all 105 deals</w:t>
      </w:r>
      <w:r w:rsidRPr="00A61532">
        <w:rPr>
          <w:rFonts w:asciiTheme="majorBidi" w:eastAsia="SimSun" w:hAnsiTheme="majorBidi" w:cstheme="majorBidi"/>
          <w:kern w:val="0"/>
          <w:szCs w:val="24"/>
          <w:lang w:bidi="he-IL"/>
        </w:rPr>
        <w:t xml:space="preserve"> in our sample. The</w:t>
      </w:r>
      <w:r w:rsidRPr="00A61532" w:rsidDel="00FA7A70">
        <w:rPr>
          <w:rFonts w:asciiTheme="majorBidi" w:eastAsia="SimSun" w:hAnsiTheme="majorBidi" w:cstheme="majorBidi"/>
          <w:kern w:val="0"/>
          <w:szCs w:val="24"/>
          <w:lang w:bidi="he-IL"/>
        </w:rPr>
        <w:t xml:space="preserve"> average </w:t>
      </w:r>
      <w:r w:rsidRPr="00A61532" w:rsidDel="00FA7A70">
        <w:rPr>
          <w:rFonts w:asciiTheme="majorBidi" w:eastAsia="SimSun" w:hAnsiTheme="majorBidi" w:cstheme="majorBidi"/>
          <w:color w:val="000000" w:themeColor="text1"/>
          <w:kern w:val="0"/>
          <w:szCs w:val="24"/>
          <w:lang w:bidi="he-IL"/>
        </w:rPr>
        <w:t xml:space="preserve">(median) payment Qua Shareholders </w:t>
      </w:r>
      <w:r w:rsidR="006E358A">
        <w:rPr>
          <w:rFonts w:asciiTheme="majorBidi" w:eastAsia="SimSun" w:hAnsiTheme="majorBidi" w:cstheme="majorBidi"/>
          <w:color w:val="000000" w:themeColor="text1"/>
          <w:kern w:val="0"/>
          <w:szCs w:val="24"/>
          <w:lang w:bidi="he-IL"/>
        </w:rPr>
        <w:t xml:space="preserve">to </w:t>
      </w:r>
      <w:r w:rsidR="006E358A" w:rsidRPr="00A61532" w:rsidDel="00FA7A70">
        <w:rPr>
          <w:rFonts w:asciiTheme="majorBidi" w:eastAsia="SimSun" w:hAnsiTheme="majorBidi" w:cstheme="majorBidi"/>
          <w:color w:val="000000" w:themeColor="text1"/>
          <w:kern w:val="0"/>
          <w:szCs w:val="24"/>
          <w:lang w:bidi="he-IL"/>
        </w:rPr>
        <w:t xml:space="preserve">directors </w:t>
      </w:r>
      <w:r w:rsidRPr="00A61532" w:rsidDel="00FA7A70">
        <w:rPr>
          <w:rFonts w:asciiTheme="majorBidi" w:eastAsia="SimSun" w:hAnsiTheme="majorBidi" w:cstheme="majorBidi"/>
          <w:color w:val="000000" w:themeColor="text1"/>
          <w:kern w:val="0"/>
          <w:szCs w:val="24"/>
          <w:lang w:bidi="he-IL"/>
        </w:rPr>
        <w:t>is $27.37 ($6.45) million. Directors received Payments Qua Directors of any sort in 61% of the</w:t>
      </w:r>
      <w:r w:rsidR="00DB7751" w:rsidDel="00FA7A70">
        <w:rPr>
          <w:rFonts w:asciiTheme="majorBidi" w:eastAsia="SimSun" w:hAnsiTheme="majorBidi" w:cstheme="majorBidi"/>
          <w:color w:val="000000" w:themeColor="text1"/>
          <w:kern w:val="0"/>
          <w:szCs w:val="24"/>
          <w:lang w:bidi="he-IL"/>
        </w:rPr>
        <w:t xml:space="preserve"> transactions</w:t>
      </w:r>
      <w:r w:rsidRPr="00A61532" w:rsidDel="00FA7A70">
        <w:rPr>
          <w:rFonts w:asciiTheme="majorBidi" w:eastAsia="SimSun" w:hAnsiTheme="majorBidi" w:cstheme="majorBidi"/>
          <w:color w:val="000000" w:themeColor="text1"/>
          <w:kern w:val="0"/>
          <w:szCs w:val="24"/>
          <w:lang w:bidi="he-IL"/>
        </w:rPr>
        <w:t>, with an average (median) aggregate amount of $1.34</w:t>
      </w:r>
      <w:r w:rsidR="00DB7751" w:rsidDel="00FA7A70">
        <w:rPr>
          <w:rFonts w:asciiTheme="majorBidi" w:eastAsia="SimSun" w:hAnsiTheme="majorBidi" w:cstheme="majorBidi"/>
          <w:color w:val="000000" w:themeColor="text1"/>
          <w:kern w:val="0"/>
          <w:szCs w:val="24"/>
          <w:lang w:bidi="he-IL"/>
        </w:rPr>
        <w:t xml:space="preserve"> </w:t>
      </w:r>
      <w:r w:rsidRPr="00A61532" w:rsidDel="00FA7A70">
        <w:rPr>
          <w:rFonts w:asciiTheme="majorBidi" w:eastAsia="SimSun" w:hAnsiTheme="majorBidi" w:cstheme="majorBidi"/>
          <w:color w:val="000000" w:themeColor="text1"/>
          <w:kern w:val="0"/>
          <w:szCs w:val="24"/>
          <w:lang w:bidi="he-IL"/>
        </w:rPr>
        <w:t xml:space="preserve">($0.6) million. Directors were assigned seats at the board of the surviving company in 5% of </w:t>
      </w:r>
      <w:r w:rsidR="00DB7751" w:rsidDel="00FA7A70">
        <w:rPr>
          <w:rFonts w:asciiTheme="majorBidi" w:eastAsia="SimSun" w:hAnsiTheme="majorBidi" w:cstheme="majorBidi"/>
          <w:color w:val="000000" w:themeColor="text1"/>
          <w:kern w:val="0"/>
          <w:szCs w:val="24"/>
          <w:lang w:bidi="he-IL"/>
        </w:rPr>
        <w:t>all</w:t>
      </w:r>
      <w:r w:rsidRPr="00A61532" w:rsidDel="00FA7A70">
        <w:rPr>
          <w:rFonts w:asciiTheme="majorBidi" w:eastAsia="SimSun" w:hAnsiTheme="majorBidi" w:cstheme="majorBidi"/>
          <w:color w:val="000000" w:themeColor="text1"/>
          <w:kern w:val="0"/>
          <w:szCs w:val="24"/>
          <w:lang w:bidi="he-IL"/>
        </w:rPr>
        <w:t xml:space="preserve"> transactions.</w:t>
      </w:r>
      <w:r w:rsidR="00DB7751" w:rsidDel="00FA7A70">
        <w:rPr>
          <w:rFonts w:asciiTheme="majorBidi" w:eastAsia="SimSun" w:hAnsiTheme="majorBidi" w:cstheme="majorBidi"/>
          <w:color w:val="000000" w:themeColor="text1"/>
          <w:kern w:val="0"/>
          <w:szCs w:val="24"/>
          <w:lang w:bidi="he-IL"/>
        </w:rPr>
        <w:t xml:space="preserve"> </w:t>
      </w:r>
      <w:r w:rsidR="00DB7751" w:rsidRPr="00052D1C" w:rsidDel="00FA7A70">
        <w:rPr>
          <w:rFonts w:asciiTheme="majorBidi" w:eastAsia="SimSun" w:hAnsiTheme="majorBidi" w:cstheme="majorBidi"/>
          <w:color w:val="000000" w:themeColor="text1"/>
          <w:kern w:val="0"/>
          <w:szCs w:val="24"/>
          <w:lang w:bidi="he-IL"/>
        </w:rPr>
        <w:t>When we separate the ERR and Non-ERR deals, the findings remain qualitatively similar,</w:t>
      </w:r>
      <w:r w:rsidR="00DB7751" w:rsidRPr="00052D1C" w:rsidDel="00FA7A70">
        <w:rPr>
          <w:rFonts w:asciiTheme="majorBidi" w:eastAsia="SimSun" w:hAnsiTheme="majorBidi" w:cstheme="majorBidi"/>
          <w:kern w:val="0"/>
          <w:szCs w:val="24"/>
          <w:lang w:bidi="he-IL"/>
        </w:rPr>
        <w:t xml:space="preserve"> </w:t>
      </w:r>
      <w:r w:rsidR="00DB7751" w:rsidDel="00FA7A70">
        <w:rPr>
          <w:rFonts w:asciiTheme="majorBidi" w:eastAsia="SimSun" w:hAnsiTheme="majorBidi" w:cstheme="majorBidi"/>
          <w:kern w:val="0"/>
          <w:szCs w:val="24"/>
          <w:lang w:bidi="he-IL"/>
        </w:rPr>
        <w:t xml:space="preserve">though </w:t>
      </w:r>
      <w:r w:rsidR="00DB7751" w:rsidRPr="00052D1C" w:rsidDel="00FA7A70">
        <w:rPr>
          <w:rFonts w:asciiTheme="majorBidi" w:eastAsia="SimSun" w:hAnsiTheme="majorBidi" w:cstheme="majorBidi"/>
          <w:kern w:val="0"/>
          <w:szCs w:val="24"/>
          <w:lang w:bidi="he-IL"/>
        </w:rPr>
        <w:t>we document slightly higher gains and retention rates for all Non-ERR transactions</w:t>
      </w:r>
      <w:r w:rsidR="00426DBD">
        <w:rPr>
          <w:rFonts w:asciiTheme="majorBidi" w:eastAsia="SimSun" w:hAnsiTheme="majorBidi" w:cstheme="majorBidi"/>
          <w:kern w:val="0"/>
          <w:szCs w:val="24"/>
          <w:lang w:bidi="he-IL"/>
        </w:rPr>
        <w:t>.</w:t>
      </w:r>
    </w:p>
    <w:p w14:paraId="24F8785F" w14:textId="6C6529D9" w:rsidR="00C40B42" w:rsidRPr="00A61532"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As this Section demonstrates, corporate leaders used their power and leveraged the extensive negotiations with the acquirers to extract significant benefits for themselves. A large fraction of these benefits is attributed to Payment Qua Shareholders. Thus, </w:t>
      </w:r>
      <w:r w:rsidR="00137564">
        <w:rPr>
          <w:rFonts w:asciiTheme="majorBidi" w:eastAsia="SimSun" w:hAnsiTheme="majorBidi" w:cstheme="majorBidi"/>
          <w:color w:val="000000" w:themeColor="text1"/>
          <w:kern w:val="0"/>
          <w:szCs w:val="24"/>
          <w:lang w:bidi="he-IL"/>
        </w:rPr>
        <w:t>target leaders’</w:t>
      </w:r>
      <w:r w:rsidR="00137564"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 xml:space="preserve">success in extracting gains for shareholders translates into benefits for themselves. </w:t>
      </w:r>
      <w:r w:rsidR="00137564">
        <w:rPr>
          <w:rFonts w:asciiTheme="majorBidi" w:eastAsia="SimSun" w:hAnsiTheme="majorBidi" w:cstheme="majorBidi"/>
          <w:color w:val="000000" w:themeColor="text1"/>
          <w:kern w:val="0"/>
          <w:szCs w:val="24"/>
          <w:lang w:bidi="he-IL"/>
        </w:rPr>
        <w:t>Target leaders</w:t>
      </w:r>
      <w:r w:rsidR="00137564"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 xml:space="preserve">are also able to extract meaningful Payments Qua Executives/Directors and bonus payments, which are not shared equally with other shareholders. Finally, in a significant number of cases, CEOs and other executives are able to secure their future employment in the surviving company, or at the very least to receive some </w:t>
      </w:r>
      <w:r w:rsidR="002D43D6">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soft</w:t>
      </w:r>
      <w:r w:rsidR="002D43D6">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commitment in this regard from the buyer. </w:t>
      </w:r>
    </w:p>
    <w:p w14:paraId="6B2E9386" w14:textId="77777777" w:rsidR="00C40B42" w:rsidRPr="00A61532" w:rsidRDefault="00C40B42" w:rsidP="00C40B42">
      <w:pPr>
        <w:pStyle w:val="Heading2"/>
        <w:rPr>
          <w:rFonts w:eastAsia="SimSun"/>
          <w:lang w:bidi="he-IL"/>
        </w:rPr>
      </w:pPr>
      <w:bookmarkStart w:id="140" w:name="_Toc47616592"/>
      <w:bookmarkStart w:id="141" w:name="_Toc47665976"/>
      <w:bookmarkStart w:id="142" w:name="_Toc47886005"/>
      <w:r w:rsidRPr="00A61532">
        <w:rPr>
          <w:rFonts w:eastAsia="SimSun"/>
          <w:lang w:bidi="he-IL"/>
        </w:rPr>
        <w:t>What Did Stakeholders Get?</w:t>
      </w:r>
      <w:bookmarkEnd w:id="140"/>
      <w:bookmarkEnd w:id="141"/>
      <w:bookmarkEnd w:id="142"/>
      <w:r w:rsidRPr="00A61532">
        <w:rPr>
          <w:rFonts w:eastAsia="SimSun"/>
          <w:lang w:bidi="he-IL"/>
        </w:rPr>
        <w:t xml:space="preserve"> </w:t>
      </w:r>
    </w:p>
    <w:p w14:paraId="74DE72AA" w14:textId="77777777"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color w:val="000000" w:themeColor="text1"/>
          <w:kern w:val="0"/>
          <w:szCs w:val="24"/>
          <w:lang w:bidi="he-IL"/>
        </w:rPr>
        <w:t xml:space="preserve">We now turn to the crucial part of our inquiry: examining whether, and to what extent, corporate leaders bargained for </w:t>
      </w:r>
      <w:r w:rsidRPr="00A61532">
        <w:rPr>
          <w:rFonts w:asciiTheme="majorBidi" w:eastAsia="SimSun" w:hAnsiTheme="majorBidi" w:cstheme="majorBidi"/>
          <w:kern w:val="0"/>
          <w:szCs w:val="24"/>
          <w:lang w:bidi="he-IL"/>
        </w:rPr>
        <w:t xml:space="preserve">stakeholders. Stakeholders, of course, are the purported beneficiaries of the constituency statutes. Our review attempted to analyze separately the presence of protections for each </w:t>
      </w:r>
      <w:r w:rsidRPr="00A61532">
        <w:rPr>
          <w:rFonts w:asciiTheme="majorBidi" w:eastAsia="SimSun" w:hAnsiTheme="majorBidi" w:cstheme="majorBidi"/>
          <w:kern w:val="0"/>
          <w:szCs w:val="24"/>
          <w:lang w:bidi="he-IL"/>
        </w:rPr>
        <w:lastRenderedPageBreak/>
        <w:t xml:space="preserve">of the stakeholder groups that are identified in the constituency statutes and in the accompanying literature. </w:t>
      </w:r>
    </w:p>
    <w:p w14:paraId="14E1CEAF" w14:textId="12F0DBFB" w:rsidR="00C40B42" w:rsidRPr="00A61532" w:rsidRDefault="00C40B42" w:rsidP="00C40B42">
      <w:pPr>
        <w:widowControl/>
        <w:spacing w:after="16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Table </w:t>
      </w:r>
      <w:r w:rsidR="004E63D8">
        <w:rPr>
          <w:rFonts w:asciiTheme="majorBidi" w:eastAsia="SimSun" w:hAnsiTheme="majorBidi" w:cstheme="majorBidi"/>
          <w:kern w:val="0"/>
          <w:szCs w:val="24"/>
          <w:lang w:bidi="he-IL"/>
        </w:rPr>
        <w:t>8</w:t>
      </w:r>
      <w:r w:rsidRPr="00A61532">
        <w:rPr>
          <w:rFonts w:asciiTheme="majorBidi" w:eastAsia="SimSun" w:hAnsiTheme="majorBidi" w:cstheme="majorBidi"/>
          <w:kern w:val="0"/>
          <w:szCs w:val="24"/>
          <w:lang w:bidi="he-IL"/>
        </w:rPr>
        <w:t xml:space="preserve"> below reports all the stakeholder groups identified in the various constituency statutes in force as of December 2019. For each stakeholder group, the Table lists the states with a constituency statute that identifies it, and presents the total percentage of transactions governed by such constituency statutes. Note that several statutes contain a </w:t>
      </w:r>
      <w:r w:rsidR="002D43D6">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catch-all</w:t>
      </w:r>
      <w:r w:rsidR="002D43D6">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clause that allow</w:t>
      </w:r>
      <w:r w:rsidR="002D43D6">
        <w:rPr>
          <w:rFonts w:asciiTheme="majorBidi" w:eastAsia="SimSun" w:hAnsiTheme="majorBidi" w:cstheme="majorBidi"/>
          <w:kern w:val="0"/>
          <w:szCs w:val="24"/>
          <w:lang w:bidi="he-IL"/>
        </w:rPr>
        <w:t>s</w:t>
      </w:r>
      <w:r w:rsidRPr="00A61532">
        <w:rPr>
          <w:rFonts w:asciiTheme="majorBidi" w:eastAsia="SimSun" w:hAnsiTheme="majorBidi" w:cstheme="majorBidi"/>
          <w:kern w:val="0"/>
          <w:szCs w:val="24"/>
          <w:lang w:bidi="he-IL"/>
        </w:rPr>
        <w:t xml:space="preserve"> directors to identify other groups or factors to be taken into account when evaluating a sale of the company. </w:t>
      </w:r>
    </w:p>
    <w:p w14:paraId="35C2CAD8" w14:textId="3D33F517" w:rsidR="00C40B42" w:rsidRPr="00332FE2" w:rsidRDefault="00763DE6" w:rsidP="00332FE2">
      <w:pPr>
        <w:pStyle w:val="Caption"/>
        <w:rPr>
          <w:rFonts w:asciiTheme="majorBidi" w:eastAsia="SimSun" w:hAnsiTheme="majorBidi"/>
          <w:i w:val="0"/>
          <w:kern w:val="0"/>
        </w:rPr>
      </w:pPr>
      <w:bookmarkStart w:id="143" w:name="_Toc47873900"/>
      <w:bookmarkStart w:id="144" w:name="_Toc47886025"/>
      <w:r w:rsidRPr="00332FE2">
        <w:t xml:space="preserve">Table </w:t>
      </w:r>
      <w:r w:rsidRPr="00763DE6">
        <w:rPr>
          <w:rFonts w:asciiTheme="majorBidi" w:eastAsia="SimSun" w:hAnsiTheme="majorBidi" w:cstheme="majorBidi"/>
          <w:kern w:val="0"/>
          <w:lang w:bidi="he-IL"/>
        </w:rPr>
        <w:fldChar w:fldCharType="begin"/>
      </w:r>
      <w:r w:rsidRPr="00763DE6">
        <w:rPr>
          <w:rFonts w:asciiTheme="majorBidi" w:eastAsia="SimSun" w:hAnsiTheme="majorBidi" w:cstheme="majorBidi"/>
          <w:kern w:val="0"/>
          <w:lang w:bidi="he-IL"/>
        </w:rPr>
        <w:instrText xml:space="preserve"> SEQ Table \* ARABIC </w:instrText>
      </w:r>
      <w:r w:rsidRPr="00763DE6">
        <w:rPr>
          <w:rFonts w:asciiTheme="majorBidi" w:eastAsia="SimSun" w:hAnsiTheme="majorBidi" w:cstheme="majorBidi"/>
          <w:kern w:val="0"/>
          <w:lang w:bidi="he-IL"/>
        </w:rPr>
        <w:fldChar w:fldCharType="separate"/>
      </w:r>
      <w:r>
        <w:rPr>
          <w:rFonts w:asciiTheme="majorBidi" w:eastAsia="SimSun" w:hAnsiTheme="majorBidi" w:cstheme="majorBidi"/>
          <w:noProof/>
          <w:kern w:val="0"/>
          <w:lang w:bidi="he-IL"/>
        </w:rPr>
        <w:t>8</w:t>
      </w:r>
      <w:r w:rsidRPr="00763DE6">
        <w:rPr>
          <w:rFonts w:asciiTheme="majorBidi" w:eastAsia="SimSun" w:hAnsiTheme="majorBidi" w:cstheme="majorBidi"/>
          <w:kern w:val="0"/>
          <w:lang w:bidi="he-IL"/>
        </w:rPr>
        <w:fldChar w:fldCharType="end"/>
      </w:r>
      <w:r w:rsidR="00C40B42" w:rsidRPr="00A61532">
        <w:rPr>
          <w:rFonts w:asciiTheme="majorBidi" w:eastAsia="SimSun" w:hAnsiTheme="majorBidi" w:cstheme="majorBidi"/>
          <w:kern w:val="0"/>
          <w:lang w:bidi="he-IL"/>
        </w:rPr>
        <w:t>.</w:t>
      </w:r>
      <w:r w:rsidR="00C40B42" w:rsidRPr="00EC5918">
        <w:rPr>
          <w:rFonts w:asciiTheme="majorBidi" w:eastAsia="SimSun" w:hAnsiTheme="majorBidi"/>
          <w:kern w:val="0"/>
        </w:rPr>
        <w:t xml:space="preserve"> Stakeholder Groups Specified in Constituency Statutes</w:t>
      </w:r>
      <w:bookmarkEnd w:id="143"/>
      <w:bookmarkEnd w:id="144"/>
      <w:r w:rsidR="00C40B42" w:rsidRPr="00EC5918">
        <w:rPr>
          <w:rFonts w:asciiTheme="majorBidi" w:eastAsia="SimSun" w:hAnsiTheme="majorBidi"/>
          <w:kern w:val="0"/>
        </w:rPr>
        <w:t xml:space="preserve"> </w:t>
      </w:r>
    </w:p>
    <w:tbl>
      <w:tblPr>
        <w:tblStyle w:val="TableGrid1"/>
        <w:tblW w:w="7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590"/>
        <w:gridCol w:w="1350"/>
      </w:tblGrid>
      <w:tr w:rsidR="00C40B42" w:rsidRPr="00A61532" w14:paraId="324745B0" w14:textId="77777777" w:rsidTr="00C40B42">
        <w:trPr>
          <w:trHeight w:val="260"/>
          <w:jc w:val="center"/>
        </w:trPr>
        <w:tc>
          <w:tcPr>
            <w:tcW w:w="1440" w:type="dxa"/>
            <w:tcBorders>
              <w:bottom w:val="double" w:sz="4" w:space="0" w:color="auto"/>
            </w:tcBorders>
            <w:tcMar>
              <w:left w:w="0" w:type="dxa"/>
              <w:right w:w="0" w:type="dxa"/>
            </w:tcMar>
            <w:vAlign w:val="center"/>
          </w:tcPr>
          <w:p w14:paraId="0CEC8DF3" w14:textId="77777777" w:rsidR="00C40B42" w:rsidRPr="00A61532" w:rsidRDefault="00C40B42" w:rsidP="00C40B42">
            <w:pPr>
              <w:keepNext/>
              <w:widowControl/>
              <w:ind w:firstLine="0"/>
              <w:jc w:val="left"/>
              <w:rPr>
                <w:rFonts w:ascii="Times New Roman" w:eastAsia="Calibri" w:hAnsi="Times New Roman" w:cs="Times New Roman"/>
                <w:b/>
                <w:bCs/>
                <w:i/>
                <w:sz w:val="20"/>
              </w:rPr>
            </w:pPr>
            <w:r w:rsidRPr="00A61532">
              <w:rPr>
                <w:rFonts w:ascii="Times New Roman" w:eastAsia="Calibri" w:hAnsi="Times New Roman" w:cs="Times New Roman"/>
                <w:b/>
                <w:bCs/>
                <w:i/>
                <w:sz w:val="20"/>
              </w:rPr>
              <w:t>Group / Factor</w:t>
            </w:r>
          </w:p>
        </w:tc>
        <w:tc>
          <w:tcPr>
            <w:tcW w:w="4590" w:type="dxa"/>
            <w:tcBorders>
              <w:bottom w:val="double" w:sz="4" w:space="0" w:color="auto"/>
            </w:tcBorders>
            <w:tcMar>
              <w:left w:w="115" w:type="dxa"/>
              <w:right w:w="0" w:type="dxa"/>
            </w:tcMar>
            <w:vAlign w:val="center"/>
          </w:tcPr>
          <w:p w14:paraId="6A0E4FB5" w14:textId="77777777" w:rsidR="00C40B42" w:rsidRPr="00A61532" w:rsidRDefault="00C40B42" w:rsidP="00C40B42">
            <w:pPr>
              <w:keepNext/>
              <w:widowControl/>
              <w:ind w:firstLine="0"/>
              <w:jc w:val="center"/>
              <w:rPr>
                <w:rFonts w:ascii="Times New Roman" w:eastAsia="Calibri" w:hAnsi="Times New Roman" w:cs="Times New Roman"/>
                <w:b/>
                <w:bCs/>
                <w:i/>
                <w:sz w:val="20"/>
              </w:rPr>
            </w:pPr>
            <w:r w:rsidRPr="00A61532">
              <w:rPr>
                <w:rFonts w:ascii="Times New Roman" w:eastAsia="Calibri" w:hAnsi="Times New Roman" w:cs="Times New Roman"/>
                <w:b/>
                <w:bCs/>
                <w:i/>
                <w:sz w:val="20"/>
              </w:rPr>
              <w:t>States</w:t>
            </w:r>
          </w:p>
        </w:tc>
        <w:tc>
          <w:tcPr>
            <w:tcW w:w="1350" w:type="dxa"/>
            <w:tcBorders>
              <w:bottom w:val="double" w:sz="4" w:space="0" w:color="auto"/>
            </w:tcBorders>
            <w:vAlign w:val="center"/>
          </w:tcPr>
          <w:p w14:paraId="4214C7F1" w14:textId="77777777" w:rsidR="00C40B42" w:rsidRPr="00A61532" w:rsidRDefault="00C40B42" w:rsidP="00C40B42">
            <w:pPr>
              <w:keepNext/>
              <w:widowControl/>
              <w:ind w:firstLine="0"/>
              <w:jc w:val="center"/>
              <w:rPr>
                <w:rFonts w:ascii="Times New Roman" w:eastAsia="Calibri" w:hAnsi="Times New Roman" w:cs="Times New Roman"/>
                <w:b/>
                <w:bCs/>
                <w:i/>
                <w:sz w:val="20"/>
              </w:rPr>
            </w:pPr>
            <w:r w:rsidRPr="00A61532">
              <w:rPr>
                <w:rFonts w:ascii="Times New Roman" w:eastAsia="Calibri" w:hAnsi="Times New Roman" w:cs="Times New Roman"/>
                <w:b/>
                <w:bCs/>
                <w:i/>
                <w:sz w:val="20"/>
              </w:rPr>
              <w:t>Percent of Transactions Covered</w:t>
            </w:r>
          </w:p>
        </w:tc>
      </w:tr>
      <w:tr w:rsidR="00C40B42" w:rsidRPr="00A61532" w14:paraId="5A5FA272" w14:textId="77777777" w:rsidTr="00C40B42">
        <w:trPr>
          <w:trHeight w:val="260"/>
          <w:jc w:val="center"/>
        </w:trPr>
        <w:tc>
          <w:tcPr>
            <w:tcW w:w="1440" w:type="dxa"/>
            <w:tcBorders>
              <w:top w:val="double" w:sz="4" w:space="0" w:color="auto"/>
            </w:tcBorders>
            <w:tcMar>
              <w:left w:w="0" w:type="dxa"/>
              <w:right w:w="0" w:type="dxa"/>
            </w:tcMar>
          </w:tcPr>
          <w:p w14:paraId="7349424F" w14:textId="77777777" w:rsidR="00C40B42" w:rsidRPr="00A61532" w:rsidRDefault="00C40B42" w:rsidP="00C40B42">
            <w:pPr>
              <w:keepNext/>
              <w:widowControl/>
              <w:spacing w:before="40"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Employees</w:t>
            </w:r>
          </w:p>
        </w:tc>
        <w:tc>
          <w:tcPr>
            <w:tcW w:w="4590" w:type="dxa"/>
            <w:tcBorders>
              <w:top w:val="double" w:sz="4" w:space="0" w:color="auto"/>
            </w:tcBorders>
            <w:tcMar>
              <w:left w:w="115" w:type="dxa"/>
              <w:right w:w="0" w:type="dxa"/>
            </w:tcMar>
          </w:tcPr>
          <w:p w14:paraId="5C81B494" w14:textId="77777777" w:rsidR="00C40B42" w:rsidRPr="00A61532" w:rsidRDefault="00C40B42" w:rsidP="00C40B42">
            <w:pPr>
              <w:keepNext/>
              <w:widowControl/>
              <w:spacing w:before="40"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CT, FL, IL, IN, KY, LA, MA, MN, MO, NV, NJ, NY, ND, OH, OR, PA, WI</w:t>
            </w:r>
          </w:p>
        </w:tc>
        <w:tc>
          <w:tcPr>
            <w:tcW w:w="1350" w:type="dxa"/>
            <w:tcBorders>
              <w:top w:val="double" w:sz="4" w:space="0" w:color="auto"/>
            </w:tcBorders>
          </w:tcPr>
          <w:p w14:paraId="76F9708C" w14:textId="77777777" w:rsidR="00C40B42" w:rsidRPr="00A61532" w:rsidRDefault="00C40B42" w:rsidP="00C40B42">
            <w:pPr>
              <w:keepNext/>
              <w:widowControl/>
              <w:spacing w:before="40"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92%</w:t>
            </w:r>
          </w:p>
        </w:tc>
      </w:tr>
      <w:tr w:rsidR="00C40B42" w:rsidRPr="00A61532" w14:paraId="5601A753" w14:textId="77777777" w:rsidTr="00C40B42">
        <w:trPr>
          <w:trHeight w:val="260"/>
          <w:jc w:val="center"/>
        </w:trPr>
        <w:tc>
          <w:tcPr>
            <w:tcW w:w="1440" w:type="dxa"/>
            <w:tcMar>
              <w:left w:w="0" w:type="dxa"/>
              <w:right w:w="0" w:type="dxa"/>
            </w:tcMar>
          </w:tcPr>
          <w:p w14:paraId="21E7C55C"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Customers</w:t>
            </w:r>
          </w:p>
        </w:tc>
        <w:tc>
          <w:tcPr>
            <w:tcW w:w="4590" w:type="dxa"/>
            <w:tcMar>
              <w:left w:w="115" w:type="dxa"/>
              <w:right w:w="0" w:type="dxa"/>
            </w:tcMar>
          </w:tcPr>
          <w:p w14:paraId="538B1B02"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CT, FL, IL, IN, KY, LA, MA, MN, MO, NV, NJ, NY, ND, OH, OR, PA, WI</w:t>
            </w:r>
          </w:p>
        </w:tc>
        <w:tc>
          <w:tcPr>
            <w:tcW w:w="1350" w:type="dxa"/>
          </w:tcPr>
          <w:p w14:paraId="1A980B99"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92%</w:t>
            </w:r>
          </w:p>
        </w:tc>
      </w:tr>
      <w:tr w:rsidR="00C40B42" w:rsidRPr="00A61532" w14:paraId="735F9EBC" w14:textId="77777777" w:rsidTr="00C40B42">
        <w:trPr>
          <w:trHeight w:val="260"/>
          <w:jc w:val="center"/>
        </w:trPr>
        <w:tc>
          <w:tcPr>
            <w:tcW w:w="1440" w:type="dxa"/>
            <w:tcMar>
              <w:left w:w="0" w:type="dxa"/>
              <w:right w:w="0" w:type="dxa"/>
            </w:tcMar>
          </w:tcPr>
          <w:p w14:paraId="187D0494"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Suppliers</w:t>
            </w:r>
          </w:p>
        </w:tc>
        <w:tc>
          <w:tcPr>
            <w:tcW w:w="4590" w:type="dxa"/>
            <w:tcMar>
              <w:left w:w="115" w:type="dxa"/>
              <w:right w:w="0" w:type="dxa"/>
            </w:tcMar>
          </w:tcPr>
          <w:p w14:paraId="0F256B0C"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CT, FL, IL, IN, KY, MA, MN, NV, NJ, ND, OH, OR, PA, WI</w:t>
            </w:r>
          </w:p>
        </w:tc>
        <w:tc>
          <w:tcPr>
            <w:tcW w:w="1350" w:type="dxa"/>
          </w:tcPr>
          <w:p w14:paraId="29887790"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81%</w:t>
            </w:r>
          </w:p>
        </w:tc>
      </w:tr>
      <w:tr w:rsidR="00C40B42" w:rsidRPr="00A61532" w14:paraId="03CD9224" w14:textId="77777777" w:rsidTr="00C40B42">
        <w:trPr>
          <w:trHeight w:val="260"/>
          <w:jc w:val="center"/>
        </w:trPr>
        <w:tc>
          <w:tcPr>
            <w:tcW w:w="1440" w:type="dxa"/>
            <w:tcMar>
              <w:left w:w="0" w:type="dxa"/>
              <w:right w:w="0" w:type="dxa"/>
            </w:tcMar>
          </w:tcPr>
          <w:p w14:paraId="365980D1"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Creditors</w:t>
            </w:r>
          </w:p>
        </w:tc>
        <w:tc>
          <w:tcPr>
            <w:tcW w:w="4590" w:type="dxa"/>
            <w:tcMar>
              <w:left w:w="115" w:type="dxa"/>
              <w:right w:w="0" w:type="dxa"/>
            </w:tcMar>
          </w:tcPr>
          <w:p w14:paraId="22AFA8C5"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CT, KY, LA, MA, MN, MO, NV, NJ, NY, ND, OH, PA</w:t>
            </w:r>
          </w:p>
        </w:tc>
        <w:tc>
          <w:tcPr>
            <w:tcW w:w="1350" w:type="dxa"/>
          </w:tcPr>
          <w:p w14:paraId="47EA550C"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65%</w:t>
            </w:r>
          </w:p>
        </w:tc>
      </w:tr>
      <w:tr w:rsidR="00C40B42" w:rsidRPr="00A61532" w14:paraId="7C2013AB" w14:textId="77777777" w:rsidTr="00C40B42">
        <w:trPr>
          <w:trHeight w:val="260"/>
          <w:jc w:val="center"/>
        </w:trPr>
        <w:tc>
          <w:tcPr>
            <w:tcW w:w="1440" w:type="dxa"/>
            <w:tcMar>
              <w:left w:w="0" w:type="dxa"/>
              <w:right w:w="0" w:type="dxa"/>
            </w:tcMar>
          </w:tcPr>
          <w:p w14:paraId="006C2E52"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Local community</w:t>
            </w:r>
          </w:p>
        </w:tc>
        <w:tc>
          <w:tcPr>
            <w:tcW w:w="4590" w:type="dxa"/>
            <w:tcMar>
              <w:left w:w="115" w:type="dxa"/>
              <w:right w:w="0" w:type="dxa"/>
            </w:tcMar>
          </w:tcPr>
          <w:p w14:paraId="5139BEF4"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CT, FL, IL, IN, LA, MO, NJ, NY, OR, PA, WI</w:t>
            </w:r>
          </w:p>
        </w:tc>
        <w:tc>
          <w:tcPr>
            <w:tcW w:w="1350" w:type="dxa"/>
          </w:tcPr>
          <w:p w14:paraId="2F5F7534"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53%</w:t>
            </w:r>
          </w:p>
        </w:tc>
      </w:tr>
      <w:tr w:rsidR="00C40B42" w:rsidRPr="00A61532" w14:paraId="337FE333" w14:textId="77777777" w:rsidTr="00C40B42">
        <w:trPr>
          <w:trHeight w:val="260"/>
          <w:jc w:val="center"/>
        </w:trPr>
        <w:tc>
          <w:tcPr>
            <w:tcW w:w="1440" w:type="dxa"/>
            <w:tcMar>
              <w:left w:w="0" w:type="dxa"/>
              <w:right w:w="0" w:type="dxa"/>
            </w:tcMar>
          </w:tcPr>
          <w:p w14:paraId="759F87C5"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Society</w:t>
            </w:r>
          </w:p>
        </w:tc>
        <w:tc>
          <w:tcPr>
            <w:tcW w:w="4590" w:type="dxa"/>
            <w:tcMar>
              <w:left w:w="115" w:type="dxa"/>
              <w:right w:w="0" w:type="dxa"/>
            </w:tcMar>
          </w:tcPr>
          <w:p w14:paraId="04288C21"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CT, KY, MA, MN, NV, ND, OH, OR, TX</w:t>
            </w:r>
          </w:p>
        </w:tc>
        <w:tc>
          <w:tcPr>
            <w:tcW w:w="1350" w:type="dxa"/>
          </w:tcPr>
          <w:p w14:paraId="22946F55"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50%</w:t>
            </w:r>
          </w:p>
        </w:tc>
      </w:tr>
      <w:tr w:rsidR="00C40B42" w:rsidRPr="00A61532" w14:paraId="3521F4D1" w14:textId="77777777" w:rsidTr="00C40B42">
        <w:trPr>
          <w:trHeight w:val="260"/>
          <w:jc w:val="center"/>
        </w:trPr>
        <w:tc>
          <w:tcPr>
            <w:tcW w:w="1440" w:type="dxa"/>
            <w:tcMar>
              <w:left w:w="0" w:type="dxa"/>
              <w:right w:w="0" w:type="dxa"/>
            </w:tcMar>
          </w:tcPr>
          <w:p w14:paraId="4C3BF4C4" w14:textId="77777777" w:rsidR="00C40B42" w:rsidRPr="00A61532" w:rsidRDefault="00C40B42" w:rsidP="00C40B42">
            <w:pPr>
              <w:keepNext/>
              <w:widowControl/>
              <w:spacing w:after="120"/>
              <w:ind w:firstLine="0"/>
              <w:jc w:val="left"/>
              <w:rPr>
                <w:rFonts w:ascii="Times New Roman" w:eastAsia="Calibri" w:hAnsi="Times New Roman" w:cs="Times New Roman"/>
                <w:i/>
                <w:color w:val="000000"/>
                <w:sz w:val="20"/>
              </w:rPr>
            </w:pPr>
            <w:r w:rsidRPr="00A61532">
              <w:rPr>
                <w:rFonts w:ascii="Times New Roman" w:eastAsia="Calibri" w:hAnsi="Times New Roman" w:cs="Times New Roman"/>
                <w:i/>
                <w:color w:val="000000"/>
                <w:sz w:val="20"/>
              </w:rPr>
              <w:t>Economy of the state / nation</w:t>
            </w:r>
          </w:p>
        </w:tc>
        <w:tc>
          <w:tcPr>
            <w:tcW w:w="4590" w:type="dxa"/>
            <w:tcMar>
              <w:left w:w="115" w:type="dxa"/>
              <w:right w:w="0" w:type="dxa"/>
            </w:tcMar>
          </w:tcPr>
          <w:p w14:paraId="3329E9DB"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FL, KY, MA, MN, NV, ND, OH</w:t>
            </w:r>
          </w:p>
        </w:tc>
        <w:tc>
          <w:tcPr>
            <w:tcW w:w="1350" w:type="dxa"/>
          </w:tcPr>
          <w:p w14:paraId="69FD4A8D"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51%</w:t>
            </w:r>
          </w:p>
        </w:tc>
      </w:tr>
      <w:tr w:rsidR="00C40B42" w:rsidRPr="00A61532" w14:paraId="001BA87A" w14:textId="77777777" w:rsidTr="00C40B42">
        <w:trPr>
          <w:trHeight w:val="260"/>
          <w:jc w:val="center"/>
        </w:trPr>
        <w:tc>
          <w:tcPr>
            <w:tcW w:w="1440" w:type="dxa"/>
            <w:tcMar>
              <w:left w:w="0" w:type="dxa"/>
              <w:right w:w="0" w:type="dxa"/>
            </w:tcMar>
          </w:tcPr>
          <w:p w14:paraId="72B9B77C"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Environment</w:t>
            </w:r>
          </w:p>
        </w:tc>
        <w:tc>
          <w:tcPr>
            <w:tcW w:w="4590" w:type="dxa"/>
            <w:tcMar>
              <w:left w:w="115" w:type="dxa"/>
              <w:right w:w="0" w:type="dxa"/>
            </w:tcMar>
          </w:tcPr>
          <w:p w14:paraId="59C10DC6"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TX</w:t>
            </w:r>
          </w:p>
        </w:tc>
        <w:tc>
          <w:tcPr>
            <w:tcW w:w="1350" w:type="dxa"/>
          </w:tcPr>
          <w:p w14:paraId="5E3A5D57"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8%</w:t>
            </w:r>
          </w:p>
        </w:tc>
      </w:tr>
      <w:tr w:rsidR="00C40B42" w:rsidRPr="00A61532" w14:paraId="73694661" w14:textId="77777777" w:rsidTr="00C40B42">
        <w:trPr>
          <w:trHeight w:val="279"/>
          <w:jc w:val="center"/>
        </w:trPr>
        <w:tc>
          <w:tcPr>
            <w:tcW w:w="1440" w:type="dxa"/>
            <w:tcMar>
              <w:left w:w="0" w:type="dxa"/>
              <w:right w:w="0" w:type="dxa"/>
            </w:tcMar>
          </w:tcPr>
          <w:p w14:paraId="401B09F1"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sz w:val="20"/>
              </w:rPr>
              <w:t>Other</w:t>
            </w:r>
          </w:p>
        </w:tc>
        <w:tc>
          <w:tcPr>
            <w:tcW w:w="4590" w:type="dxa"/>
            <w:tcMar>
              <w:left w:w="115" w:type="dxa"/>
              <w:right w:w="0" w:type="dxa"/>
            </w:tcMar>
          </w:tcPr>
          <w:p w14:paraId="6859302D"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MO (“similar contractual relations”), NY (retired employees and other benefit recipients)</w:t>
            </w:r>
          </w:p>
        </w:tc>
        <w:tc>
          <w:tcPr>
            <w:tcW w:w="1350" w:type="dxa"/>
          </w:tcPr>
          <w:p w14:paraId="409A1D77"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10%</w:t>
            </w:r>
          </w:p>
        </w:tc>
      </w:tr>
      <w:tr w:rsidR="00C40B42" w:rsidRPr="00A61532" w14:paraId="4A516CC3" w14:textId="77777777" w:rsidTr="00C40B42">
        <w:trPr>
          <w:trHeight w:val="260"/>
          <w:jc w:val="center"/>
        </w:trPr>
        <w:tc>
          <w:tcPr>
            <w:tcW w:w="1440" w:type="dxa"/>
            <w:tcBorders>
              <w:bottom w:val="double" w:sz="4" w:space="0" w:color="auto"/>
            </w:tcBorders>
            <w:tcMar>
              <w:left w:w="0" w:type="dxa"/>
              <w:right w:w="0" w:type="dxa"/>
            </w:tcMar>
          </w:tcPr>
          <w:p w14:paraId="28BDE383" w14:textId="77777777" w:rsidR="00C40B42" w:rsidRPr="00A61532" w:rsidRDefault="00C40B42" w:rsidP="00C40B42">
            <w:pPr>
              <w:keepNext/>
              <w:widowControl/>
              <w:spacing w:after="120"/>
              <w:ind w:firstLine="0"/>
              <w:jc w:val="left"/>
              <w:rPr>
                <w:rFonts w:ascii="Times New Roman" w:eastAsia="Calibri" w:hAnsi="Times New Roman" w:cs="Times New Roman"/>
                <w:i/>
                <w:sz w:val="20"/>
              </w:rPr>
            </w:pPr>
            <w:r w:rsidRPr="00A61532">
              <w:rPr>
                <w:rFonts w:ascii="Times New Roman" w:eastAsia="Calibri" w:hAnsi="Times New Roman" w:cs="Times New Roman"/>
                <w:i/>
                <w:color w:val="000000"/>
                <w:sz w:val="20"/>
              </w:rPr>
              <w:t>Catch-all</w:t>
            </w:r>
          </w:p>
        </w:tc>
        <w:tc>
          <w:tcPr>
            <w:tcW w:w="4590" w:type="dxa"/>
            <w:tcBorders>
              <w:bottom w:val="double" w:sz="4" w:space="0" w:color="auto"/>
            </w:tcBorders>
            <w:tcMar>
              <w:left w:w="115" w:type="dxa"/>
              <w:right w:w="0" w:type="dxa"/>
            </w:tcMar>
          </w:tcPr>
          <w:p w14:paraId="17CDDE33" w14:textId="77777777" w:rsidR="00C40B42" w:rsidRPr="00A61532" w:rsidRDefault="00C40B42" w:rsidP="00C40B42">
            <w:pPr>
              <w:keepNext/>
              <w:widowControl/>
              <w:spacing w:after="120"/>
              <w:ind w:firstLine="0"/>
              <w:rPr>
                <w:rFonts w:ascii="Times New Roman" w:eastAsia="Calibri" w:hAnsi="Times New Roman" w:cs="Times New Roman"/>
                <w:iCs/>
                <w:sz w:val="20"/>
              </w:rPr>
            </w:pPr>
            <w:r w:rsidRPr="00A61532">
              <w:rPr>
                <w:rFonts w:ascii="Times New Roman" w:eastAsia="Calibri" w:hAnsi="Times New Roman" w:cs="Times New Roman"/>
                <w:iCs/>
                <w:sz w:val="20"/>
              </w:rPr>
              <w:t>CT, FL, IL, IN, NV, OR, PA, WI</w:t>
            </w:r>
          </w:p>
        </w:tc>
        <w:tc>
          <w:tcPr>
            <w:tcW w:w="1350" w:type="dxa"/>
            <w:tcBorders>
              <w:bottom w:val="double" w:sz="4" w:space="0" w:color="auto"/>
            </w:tcBorders>
          </w:tcPr>
          <w:p w14:paraId="4FD21A8D" w14:textId="77777777" w:rsidR="00C40B42" w:rsidRPr="00A61532" w:rsidRDefault="00C40B42" w:rsidP="00C40B42">
            <w:pPr>
              <w:keepNext/>
              <w:widowControl/>
              <w:spacing w:after="120"/>
              <w:ind w:firstLine="0"/>
              <w:jc w:val="center"/>
              <w:rPr>
                <w:rFonts w:ascii="Times New Roman" w:eastAsia="Calibri" w:hAnsi="Times New Roman" w:cs="Times New Roman"/>
                <w:iCs/>
                <w:sz w:val="20"/>
              </w:rPr>
            </w:pPr>
            <w:r w:rsidRPr="00A61532">
              <w:rPr>
                <w:rFonts w:ascii="Times New Roman" w:eastAsia="Calibri" w:hAnsi="Times New Roman" w:cs="Times New Roman"/>
                <w:iCs/>
                <w:sz w:val="20"/>
              </w:rPr>
              <w:t>52%</w:t>
            </w:r>
          </w:p>
        </w:tc>
      </w:tr>
    </w:tbl>
    <w:p w14:paraId="06C6A75E" w14:textId="77777777" w:rsidR="0066100F" w:rsidRDefault="0066100F" w:rsidP="0066100F">
      <w:pPr>
        <w:widowControl/>
        <w:spacing w:line="259" w:lineRule="auto"/>
        <w:rPr>
          <w:rFonts w:asciiTheme="majorBidi" w:eastAsia="SimSun" w:hAnsiTheme="majorBidi" w:cstheme="majorBidi"/>
          <w:kern w:val="0"/>
          <w:szCs w:val="24"/>
          <w:lang w:bidi="he-IL"/>
        </w:rPr>
      </w:pPr>
    </w:p>
    <w:p w14:paraId="1A218DAE" w14:textId="28A15706" w:rsidR="0066100F" w:rsidRDefault="006766E5" w:rsidP="0066100F">
      <w:pPr>
        <w:widowControl/>
        <w:spacing w:line="259" w:lineRule="auto"/>
        <w:rPr>
          <w:rFonts w:asciiTheme="majorBidi" w:eastAsia="SimSun" w:hAnsiTheme="majorBidi" w:cstheme="majorBidi"/>
          <w:kern w:val="0"/>
          <w:szCs w:val="24"/>
          <w:lang w:bidi="he-IL"/>
        </w:rPr>
      </w:pPr>
      <w:r w:rsidRPr="006766E5">
        <w:rPr>
          <w:rFonts w:asciiTheme="majorBidi" w:eastAsia="SimSun" w:hAnsiTheme="majorBidi" w:cstheme="majorBidi"/>
          <w:kern w:val="0"/>
          <w:szCs w:val="24"/>
          <w:lang w:bidi="he-IL"/>
        </w:rPr>
        <w:t xml:space="preserve">We would like to stress that </w:t>
      </w:r>
      <w:r w:rsidR="00A132B4">
        <w:rPr>
          <w:rFonts w:asciiTheme="majorBidi" w:eastAsia="SimSun" w:hAnsiTheme="majorBidi" w:cstheme="majorBidi"/>
          <w:kern w:val="0"/>
          <w:szCs w:val="24"/>
          <w:lang w:bidi="he-IL"/>
        </w:rPr>
        <w:t>many</w:t>
      </w:r>
      <w:r w:rsidRPr="006766E5">
        <w:rPr>
          <w:rFonts w:asciiTheme="majorBidi" w:eastAsia="SimSun" w:hAnsiTheme="majorBidi" w:cstheme="majorBidi"/>
          <w:kern w:val="0"/>
          <w:szCs w:val="24"/>
          <w:lang w:bidi="he-IL"/>
        </w:rPr>
        <w:t xml:space="preserve"> stakeholder</w:t>
      </w:r>
      <w:r w:rsidR="00A132B4">
        <w:rPr>
          <w:rFonts w:asciiTheme="majorBidi" w:eastAsia="SimSun" w:hAnsiTheme="majorBidi" w:cstheme="majorBidi"/>
          <w:kern w:val="0"/>
          <w:szCs w:val="24"/>
          <w:lang w:bidi="he-IL"/>
        </w:rPr>
        <w:t>s</w:t>
      </w:r>
      <w:r w:rsidR="0066100F">
        <w:rPr>
          <w:rFonts w:asciiTheme="majorBidi" w:eastAsia="SimSun" w:hAnsiTheme="majorBidi" w:cstheme="majorBidi"/>
          <w:kern w:val="0"/>
          <w:szCs w:val="24"/>
          <w:lang w:bidi="he-IL"/>
        </w:rPr>
        <w:t xml:space="preserve">, such as </w:t>
      </w:r>
      <w:r w:rsidR="0066100F" w:rsidRPr="0066100F">
        <w:rPr>
          <w:rFonts w:asciiTheme="majorBidi" w:eastAsia="SimSun" w:hAnsiTheme="majorBidi" w:cstheme="majorBidi"/>
          <w:color w:val="000000" w:themeColor="text1"/>
          <w:kern w:val="0"/>
          <w:szCs w:val="24"/>
          <w:lang w:bidi="he-IL"/>
        </w:rPr>
        <w:t>employees</w:t>
      </w:r>
      <w:r w:rsidR="0066100F" w:rsidRPr="006766E5">
        <w:rPr>
          <w:rFonts w:asciiTheme="majorBidi" w:eastAsia="SimSun" w:hAnsiTheme="majorBidi" w:cstheme="majorBidi"/>
          <w:kern w:val="0"/>
          <w:szCs w:val="24"/>
          <w:lang w:bidi="he-IL"/>
        </w:rPr>
        <w:t>, customers, suppliers</w:t>
      </w:r>
      <w:r w:rsidR="00626A3A">
        <w:rPr>
          <w:rFonts w:asciiTheme="majorBidi" w:eastAsia="SimSun" w:hAnsiTheme="majorBidi" w:cstheme="majorBidi"/>
          <w:kern w:val="0"/>
          <w:szCs w:val="24"/>
          <w:lang w:bidi="he-IL"/>
        </w:rPr>
        <w:t>,</w:t>
      </w:r>
      <w:r w:rsidR="0066100F" w:rsidRPr="006766E5">
        <w:rPr>
          <w:rFonts w:asciiTheme="majorBidi" w:eastAsia="SimSun" w:hAnsiTheme="majorBidi" w:cstheme="majorBidi"/>
          <w:kern w:val="0"/>
          <w:szCs w:val="24"/>
          <w:lang w:bidi="he-IL"/>
        </w:rPr>
        <w:t xml:space="preserve"> and creditors</w:t>
      </w:r>
      <w:r w:rsidR="0066100F">
        <w:rPr>
          <w:rFonts w:asciiTheme="majorBidi" w:eastAsia="SimSun" w:hAnsiTheme="majorBidi" w:cstheme="majorBidi"/>
          <w:kern w:val="0"/>
          <w:szCs w:val="24"/>
          <w:lang w:bidi="he-IL"/>
        </w:rPr>
        <w:t>, typically</w:t>
      </w:r>
      <w:r w:rsidRPr="006766E5">
        <w:rPr>
          <w:rFonts w:asciiTheme="majorBidi" w:eastAsia="SimSun" w:hAnsiTheme="majorBidi" w:cstheme="majorBidi"/>
          <w:kern w:val="0"/>
          <w:szCs w:val="24"/>
          <w:lang w:bidi="he-IL"/>
        </w:rPr>
        <w:t xml:space="preserve"> have contractual arrangements with the</w:t>
      </w:r>
      <w:r>
        <w:rPr>
          <w:rFonts w:asciiTheme="majorBidi" w:eastAsia="SimSun" w:hAnsiTheme="majorBidi" w:cstheme="majorBidi"/>
          <w:kern w:val="0"/>
          <w:szCs w:val="24"/>
          <w:lang w:bidi="he-IL"/>
        </w:rPr>
        <w:t xml:space="preserve"> target</w:t>
      </w:r>
      <w:r w:rsidRPr="006766E5">
        <w:rPr>
          <w:rFonts w:asciiTheme="majorBidi" w:eastAsia="SimSun" w:hAnsiTheme="majorBidi" w:cstheme="majorBidi"/>
          <w:kern w:val="0"/>
          <w:szCs w:val="24"/>
          <w:lang w:bidi="he-IL"/>
        </w:rPr>
        <w:t xml:space="preserve">. </w:t>
      </w:r>
      <w:r w:rsidR="0066100F">
        <w:rPr>
          <w:rFonts w:asciiTheme="majorBidi" w:eastAsia="SimSun" w:hAnsiTheme="majorBidi" w:cstheme="majorBidi"/>
          <w:kern w:val="0"/>
          <w:szCs w:val="24"/>
          <w:lang w:bidi="he-IL"/>
        </w:rPr>
        <w:t>These</w:t>
      </w:r>
      <w:r w:rsidRPr="006766E5">
        <w:rPr>
          <w:rFonts w:asciiTheme="majorBidi" w:eastAsia="SimSun" w:hAnsiTheme="majorBidi" w:cstheme="majorBidi"/>
          <w:kern w:val="0"/>
          <w:szCs w:val="24"/>
          <w:lang w:bidi="he-IL"/>
        </w:rPr>
        <w:t xml:space="preserve"> contractual arrangements might already provide them with some protection in the event of a private equity acquisition</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even if the corporate leaders negotiating the deal with the private equity buyer do not bargain for incorporating stakeholder protections as part of the acquisition agreements. Thus, for example, employment agreements might give some employees right</w:t>
      </w:r>
      <w:r w:rsidR="00626A3A">
        <w:rPr>
          <w:rFonts w:asciiTheme="majorBidi" w:eastAsia="SimSun" w:hAnsiTheme="majorBidi" w:cstheme="majorBidi"/>
          <w:kern w:val="0"/>
          <w:szCs w:val="24"/>
          <w:lang w:bidi="he-IL"/>
        </w:rPr>
        <w:t>s</w:t>
      </w:r>
      <w:r w:rsidRPr="006766E5">
        <w:rPr>
          <w:rFonts w:asciiTheme="majorBidi" w:eastAsia="SimSun" w:hAnsiTheme="majorBidi" w:cstheme="majorBidi"/>
          <w:kern w:val="0"/>
          <w:szCs w:val="24"/>
          <w:lang w:bidi="he-IL"/>
        </w:rPr>
        <w:t xml:space="preserve"> to some benefits in the event of termination, and supply </w:t>
      </w:r>
      <w:r w:rsidRPr="006766E5">
        <w:rPr>
          <w:rFonts w:asciiTheme="majorBidi" w:eastAsia="SimSun" w:hAnsiTheme="majorBidi" w:cstheme="majorBidi"/>
          <w:kern w:val="0"/>
          <w:szCs w:val="24"/>
          <w:lang w:bidi="he-IL"/>
        </w:rPr>
        <w:lastRenderedPageBreak/>
        <w:t>agreements might give some supplie</w:t>
      </w:r>
      <w:r w:rsidR="00626A3A">
        <w:rPr>
          <w:rFonts w:asciiTheme="majorBidi" w:eastAsia="SimSun" w:hAnsiTheme="majorBidi" w:cstheme="majorBidi"/>
          <w:kern w:val="0"/>
          <w:szCs w:val="24"/>
          <w:lang w:bidi="he-IL"/>
        </w:rPr>
        <w:t>r</w:t>
      </w:r>
      <w:r w:rsidRPr="006766E5">
        <w:rPr>
          <w:rFonts w:asciiTheme="majorBidi" w:eastAsia="SimSun" w:hAnsiTheme="majorBidi" w:cstheme="majorBidi"/>
          <w:kern w:val="0"/>
          <w:szCs w:val="24"/>
          <w:lang w:bidi="he-IL"/>
        </w:rPr>
        <w:t>s certain benefits in the event of termination of the supply relationship.</w:t>
      </w:r>
    </w:p>
    <w:p w14:paraId="3368F50C" w14:textId="50944B48" w:rsidR="006766E5" w:rsidRDefault="006766E5" w:rsidP="0066100F">
      <w:pPr>
        <w:widowControl/>
        <w:spacing w:line="259" w:lineRule="auto"/>
        <w:rPr>
          <w:rFonts w:asciiTheme="majorBidi" w:eastAsia="SimSun" w:hAnsiTheme="majorBidi" w:cstheme="majorBidi"/>
          <w:kern w:val="0"/>
          <w:szCs w:val="24"/>
          <w:lang w:bidi="he-IL"/>
        </w:rPr>
      </w:pPr>
      <w:r w:rsidRPr="006766E5">
        <w:rPr>
          <w:rFonts w:asciiTheme="majorBidi" w:eastAsia="SimSun" w:hAnsiTheme="majorBidi" w:cstheme="majorBidi"/>
          <w:kern w:val="0"/>
          <w:szCs w:val="24"/>
          <w:lang w:bidi="he-IL"/>
        </w:rPr>
        <w:t xml:space="preserve">However, the premise of constituency statutes, as well as of </w:t>
      </w:r>
      <w:r w:rsidR="00944027">
        <w:rPr>
          <w:rFonts w:asciiTheme="majorBidi" w:eastAsia="SimSun" w:hAnsiTheme="majorBidi" w:cstheme="majorBidi"/>
          <w:kern w:val="0"/>
          <w:szCs w:val="24"/>
          <w:lang w:bidi="he-IL"/>
        </w:rPr>
        <w:t xml:space="preserve">the </w:t>
      </w:r>
      <w:r w:rsidRPr="006766E5">
        <w:rPr>
          <w:rFonts w:asciiTheme="majorBidi" w:eastAsia="SimSun" w:hAnsiTheme="majorBidi" w:cstheme="majorBidi"/>
          <w:kern w:val="0"/>
          <w:szCs w:val="24"/>
          <w:lang w:bidi="he-IL"/>
        </w:rPr>
        <w:t xml:space="preserve">current </w:t>
      </w:r>
      <w:proofErr w:type="spellStart"/>
      <w:r w:rsidRPr="006766E5">
        <w:rPr>
          <w:rFonts w:asciiTheme="majorBidi" w:eastAsia="SimSun" w:hAnsiTheme="majorBidi" w:cstheme="majorBidi"/>
          <w:kern w:val="0"/>
          <w:szCs w:val="24"/>
          <w:lang w:bidi="he-IL"/>
        </w:rPr>
        <w:t>stakeholderism</w:t>
      </w:r>
      <w:proofErr w:type="spellEnd"/>
      <w:r w:rsidRPr="006766E5">
        <w:rPr>
          <w:rFonts w:asciiTheme="majorBidi" w:eastAsia="SimSun" w:hAnsiTheme="majorBidi" w:cstheme="majorBidi"/>
          <w:kern w:val="0"/>
          <w:szCs w:val="24"/>
          <w:lang w:bidi="he-IL"/>
        </w:rPr>
        <w:t>, is that the contractual arrangements of employees, customers, suppliers and creditors do not generally protect them from adverse effects that raise substantial social and policy concerns. Constituency statutes</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therefore</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authorize corporate leaders to seek </w:t>
      </w:r>
      <w:r w:rsidR="0066100F">
        <w:rPr>
          <w:rFonts w:asciiTheme="majorBidi" w:eastAsia="SimSun" w:hAnsiTheme="majorBidi" w:cstheme="majorBidi"/>
          <w:kern w:val="0"/>
          <w:szCs w:val="24"/>
          <w:lang w:bidi="he-IL"/>
        </w:rPr>
        <w:t xml:space="preserve">additional </w:t>
      </w:r>
      <w:r w:rsidRPr="006766E5">
        <w:rPr>
          <w:rFonts w:asciiTheme="majorBidi" w:eastAsia="SimSun" w:hAnsiTheme="majorBidi" w:cstheme="majorBidi"/>
          <w:kern w:val="0"/>
          <w:szCs w:val="24"/>
          <w:lang w:bidi="he-IL"/>
        </w:rPr>
        <w:t>protection</w:t>
      </w:r>
      <w:r w:rsidR="0066100F">
        <w:rPr>
          <w:rFonts w:asciiTheme="majorBidi" w:eastAsia="SimSun" w:hAnsiTheme="majorBidi" w:cstheme="majorBidi"/>
          <w:kern w:val="0"/>
          <w:szCs w:val="24"/>
          <w:lang w:bidi="he-IL"/>
        </w:rPr>
        <w:t>s</w:t>
      </w:r>
      <w:r w:rsidRPr="006766E5">
        <w:rPr>
          <w:rFonts w:asciiTheme="majorBidi" w:eastAsia="SimSun" w:hAnsiTheme="majorBidi" w:cstheme="majorBidi"/>
          <w:kern w:val="0"/>
          <w:szCs w:val="24"/>
          <w:lang w:bidi="he-IL"/>
        </w:rPr>
        <w:t xml:space="preserve"> for </w:t>
      </w:r>
      <w:r w:rsidR="0066100F" w:rsidRPr="006766E5">
        <w:rPr>
          <w:rFonts w:asciiTheme="majorBidi" w:eastAsia="SimSun" w:hAnsiTheme="majorBidi" w:cstheme="majorBidi"/>
          <w:kern w:val="0"/>
          <w:szCs w:val="24"/>
          <w:lang w:bidi="he-IL"/>
        </w:rPr>
        <w:t>stakeholders</w:t>
      </w:r>
      <w:r w:rsidRPr="006766E5">
        <w:rPr>
          <w:rFonts w:asciiTheme="majorBidi" w:eastAsia="SimSun" w:hAnsiTheme="majorBidi" w:cstheme="majorBidi"/>
          <w:kern w:val="0"/>
          <w:szCs w:val="24"/>
          <w:lang w:bidi="he-IL"/>
        </w:rPr>
        <w:t xml:space="preserve"> </w:t>
      </w:r>
      <w:r w:rsidR="0066100F">
        <w:rPr>
          <w:rFonts w:asciiTheme="majorBidi" w:eastAsia="SimSun" w:hAnsiTheme="majorBidi" w:cstheme="majorBidi"/>
          <w:kern w:val="0"/>
          <w:szCs w:val="24"/>
          <w:lang w:bidi="he-IL"/>
        </w:rPr>
        <w:t xml:space="preserve">from </w:t>
      </w:r>
      <w:r w:rsidRPr="006766E5">
        <w:rPr>
          <w:rFonts w:asciiTheme="majorBidi" w:eastAsia="SimSun" w:hAnsiTheme="majorBidi" w:cstheme="majorBidi"/>
          <w:kern w:val="0"/>
          <w:szCs w:val="24"/>
          <w:lang w:bidi="he-IL"/>
        </w:rPr>
        <w:t>some potential adverse effects</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w:t>
      </w:r>
      <w:r w:rsidR="0066100F">
        <w:rPr>
          <w:rFonts w:asciiTheme="majorBidi" w:eastAsia="SimSun" w:hAnsiTheme="majorBidi" w:cstheme="majorBidi"/>
          <w:kern w:val="0"/>
          <w:szCs w:val="24"/>
          <w:lang w:bidi="he-IL"/>
        </w:rPr>
        <w:t>which</w:t>
      </w:r>
      <w:r w:rsidRPr="006766E5">
        <w:rPr>
          <w:rFonts w:asciiTheme="majorBidi" w:eastAsia="SimSun" w:hAnsiTheme="majorBidi" w:cstheme="majorBidi"/>
          <w:kern w:val="0"/>
          <w:szCs w:val="24"/>
          <w:lang w:bidi="he-IL"/>
        </w:rPr>
        <w:t xml:space="preserve"> would not be precluded by contractual agreements </w:t>
      </w:r>
      <w:r w:rsidR="0066100F">
        <w:rPr>
          <w:rFonts w:asciiTheme="majorBidi" w:eastAsia="SimSun" w:hAnsiTheme="majorBidi" w:cstheme="majorBidi"/>
          <w:kern w:val="0"/>
          <w:szCs w:val="24"/>
          <w:lang w:bidi="he-IL"/>
        </w:rPr>
        <w:t xml:space="preserve">already </w:t>
      </w:r>
      <w:r w:rsidRPr="006766E5">
        <w:rPr>
          <w:rFonts w:asciiTheme="majorBidi" w:eastAsia="SimSun" w:hAnsiTheme="majorBidi" w:cstheme="majorBidi"/>
          <w:kern w:val="0"/>
          <w:szCs w:val="24"/>
          <w:lang w:bidi="he-IL"/>
        </w:rPr>
        <w:t>in place. For this reason, our focus below is only on whether corporate leaders negotiating in the shadow of constituency statutes indeed secured meaningful incidence of such protections.</w:t>
      </w:r>
    </w:p>
    <w:p w14:paraId="30C65101" w14:textId="63A105D0" w:rsidR="00C40B42" w:rsidRPr="00A61532" w:rsidRDefault="00C40B42" w:rsidP="00C40B42">
      <w:pPr>
        <w:widowControl/>
        <w:spacing w:before="240" w:after="160"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Below we will discuss the presence of protections with respect to each of the groups that were significantly noted in the reviewed transactions.</w:t>
      </w:r>
    </w:p>
    <w:p w14:paraId="431E56E0" w14:textId="77777777" w:rsidR="00C40B42" w:rsidRPr="00A61532" w:rsidRDefault="00C40B42" w:rsidP="00C40B42">
      <w:pPr>
        <w:pStyle w:val="Heading3"/>
        <w:numPr>
          <w:ilvl w:val="0"/>
          <w:numId w:val="9"/>
        </w:numPr>
        <w:rPr>
          <w:lang w:bidi="he-IL"/>
        </w:rPr>
      </w:pPr>
      <w:bookmarkStart w:id="145" w:name="_Toc47616593"/>
      <w:bookmarkStart w:id="146" w:name="_Toc47665977"/>
      <w:bookmarkStart w:id="147" w:name="_Toc47886006"/>
      <w:r w:rsidRPr="00A61532">
        <w:rPr>
          <w:lang w:bidi="he-IL"/>
        </w:rPr>
        <w:t>Employees</w:t>
      </w:r>
      <w:bookmarkEnd w:id="145"/>
      <w:bookmarkEnd w:id="146"/>
      <w:bookmarkEnd w:id="147"/>
    </w:p>
    <w:p w14:paraId="7DF79C19" w14:textId="77777777" w:rsidR="00C40B42" w:rsidRPr="00A61532" w:rsidRDefault="00C40B42" w:rsidP="00C40B42">
      <w:pPr>
        <w:widowControl/>
        <w:tabs>
          <w:tab w:val="right" w:pos="216"/>
        </w:tabs>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Employees are noted explicitly in constituency statutes of 17 different states, which govern a large majority (92%) of the deals in our sample. Moreover, as discussed in Part III, concerns about the adverse effects of takeovers on employees played an important role in the legislative history of the constituency statues and in articles advocating for </w:t>
      </w:r>
      <w:proofErr w:type="spellStart"/>
      <w:r w:rsidRPr="00A61532">
        <w:rPr>
          <w:rFonts w:asciiTheme="majorBidi" w:eastAsia="SimSun" w:hAnsiTheme="majorBidi" w:cstheme="majorBidi"/>
          <w:color w:val="000000" w:themeColor="text1"/>
          <w:kern w:val="0"/>
          <w:szCs w:val="24"/>
          <w:lang w:bidi="he-IL"/>
        </w:rPr>
        <w:t>stakeholderism</w:t>
      </w:r>
      <w:proofErr w:type="spellEnd"/>
      <w:r w:rsidRPr="00A61532">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vertAlign w:val="superscript"/>
          <w:lang w:bidi="he-IL"/>
        </w:rPr>
        <w:footnoteReference w:id="99"/>
      </w:r>
      <w:r w:rsidRPr="00A61532">
        <w:rPr>
          <w:rFonts w:asciiTheme="majorBidi" w:eastAsia="SimSun" w:hAnsiTheme="majorBidi" w:cstheme="majorBidi"/>
          <w:color w:val="000000" w:themeColor="text1"/>
          <w:kern w:val="0"/>
          <w:szCs w:val="24"/>
          <w:lang w:bidi="he-IL"/>
        </w:rPr>
        <w:t xml:space="preserve"> We therefore start our examination from this stakeholder group.</w:t>
      </w:r>
    </w:p>
    <w:p w14:paraId="1F2C6B49" w14:textId="6418FBA5" w:rsidR="00C40B42" w:rsidRPr="00A61532" w:rsidRDefault="00C40B42" w:rsidP="00C40B42">
      <w:pPr>
        <w:widowControl/>
        <w:tabs>
          <w:tab w:val="right" w:pos="216"/>
        </w:tabs>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benefits that we have identified in our sample can be generally divided into two different categories. The first category includes commitments regarding the future employment of </w:t>
      </w:r>
      <w:r w:rsidR="00626A3A">
        <w:rPr>
          <w:rFonts w:asciiTheme="majorBidi" w:eastAsia="SimSun" w:hAnsiTheme="majorBidi" w:cstheme="majorBidi"/>
          <w:color w:val="000000" w:themeColor="text1"/>
          <w:kern w:val="0"/>
          <w:szCs w:val="24"/>
          <w:lang w:bidi="he-IL"/>
        </w:rPr>
        <w:t xml:space="preserve">the </w:t>
      </w:r>
      <w:r w:rsidRPr="00A61532">
        <w:rPr>
          <w:rFonts w:asciiTheme="majorBidi" w:eastAsia="SimSun" w:hAnsiTheme="majorBidi" w:cstheme="majorBidi"/>
          <w:color w:val="000000" w:themeColor="text1"/>
          <w:kern w:val="0"/>
          <w:szCs w:val="24"/>
          <w:lang w:bidi="he-IL"/>
        </w:rPr>
        <w:t>target</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employees in the surviving company, such as commitments to employ some or all of the employees, to maintain certain headcount levels, or to retain certain benefit or compensation levels for continuing employees. The second category includes various sorts of payments made to employees in connection with the merger, such as retention or bonus payments.</w:t>
      </w:r>
    </w:p>
    <w:p w14:paraId="5BD4AA27" w14:textId="3E1143BE" w:rsidR="0023791A"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color w:val="000000" w:themeColor="text1"/>
          <w:kern w:val="0"/>
          <w:szCs w:val="24"/>
          <w:lang w:bidi="he-IL"/>
        </w:rPr>
        <w:t xml:space="preserve">Another aspect is whether these commitments are directly enforceable by employees, </w:t>
      </w:r>
      <w:r w:rsidRPr="00A61532">
        <w:rPr>
          <w:rFonts w:asciiTheme="majorBidi" w:eastAsia="SimSun" w:hAnsiTheme="majorBidi" w:cstheme="majorBidi"/>
          <w:kern w:val="0"/>
          <w:szCs w:val="24"/>
          <w:lang w:bidi="he-IL"/>
        </w:rPr>
        <w:t>as third-party beneficiaries.</w:t>
      </w:r>
      <w:r w:rsidRPr="00A61532">
        <w:rPr>
          <w:rFonts w:asciiTheme="majorBidi" w:eastAsia="SimSun" w:hAnsiTheme="majorBidi" w:cstheme="majorBidi"/>
          <w:kern w:val="0"/>
          <w:szCs w:val="24"/>
          <w:vertAlign w:val="superscript"/>
          <w:lang w:bidi="he-IL"/>
        </w:rPr>
        <w:footnoteReference w:id="100"/>
      </w:r>
      <w:r w:rsidRPr="00A61532">
        <w:rPr>
          <w:rFonts w:asciiTheme="majorBidi" w:eastAsia="SimSun" w:hAnsiTheme="majorBidi" w:cstheme="majorBidi"/>
          <w:kern w:val="0"/>
          <w:szCs w:val="24"/>
          <w:lang w:bidi="he-IL"/>
        </w:rPr>
        <w:t xml:space="preserve"> Since employees have the </w:t>
      </w:r>
      <w:r w:rsidRPr="00A61532">
        <w:rPr>
          <w:rFonts w:asciiTheme="majorBidi" w:eastAsia="SimSun" w:hAnsiTheme="majorBidi" w:cstheme="majorBidi"/>
          <w:kern w:val="0"/>
          <w:szCs w:val="24"/>
          <w:lang w:bidi="he-IL"/>
        </w:rPr>
        <w:lastRenderedPageBreak/>
        <w:t xml:space="preserve">strongest incentives to enforce these commitments, their ability to bring action in cases of breach of contract is a key factor to assess the extent to which these </w:t>
      </w:r>
      <w:r w:rsidRPr="00A61532">
        <w:rPr>
          <w:rFonts w:asciiTheme="majorBidi" w:eastAsia="SimSun" w:hAnsiTheme="majorBidi" w:cstheme="majorBidi"/>
          <w:color w:val="000000" w:themeColor="text1"/>
          <w:kern w:val="0"/>
          <w:szCs w:val="24"/>
          <w:lang w:bidi="he-IL"/>
        </w:rPr>
        <w:t>commitments are effectively enforceable, as well as the probability that the promised benefits will eventually be delivered.</w:t>
      </w:r>
    </w:p>
    <w:p w14:paraId="13638E10" w14:textId="5CB4201E" w:rsidR="00C40B42" w:rsidRPr="00A61532" w:rsidRDefault="00C40B42" w:rsidP="006E358A">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Consistent with the way we present our findings regarding other aspects of the transactions, we first show the results of our analysis for the </w:t>
      </w:r>
      <w:r w:rsidR="006E358A">
        <w:rPr>
          <w:rFonts w:asciiTheme="majorBidi" w:eastAsia="SimSun" w:hAnsiTheme="majorBidi" w:cstheme="majorBidi"/>
          <w:color w:val="000000" w:themeColor="text1"/>
          <w:kern w:val="0"/>
          <w:szCs w:val="24"/>
          <w:lang w:bidi="he-IL"/>
        </w:rPr>
        <w:t xml:space="preserve">12 largest </w:t>
      </w:r>
      <w:r w:rsidRPr="00A61532">
        <w:rPr>
          <w:rFonts w:asciiTheme="majorBidi" w:eastAsia="SimSun" w:hAnsiTheme="majorBidi" w:cstheme="majorBidi"/>
          <w:color w:val="000000" w:themeColor="text1"/>
          <w:kern w:val="0"/>
          <w:szCs w:val="24"/>
          <w:lang w:bidi="he-IL"/>
        </w:rPr>
        <w:t xml:space="preserve">ERR and </w:t>
      </w:r>
      <w:r w:rsidR="006E358A">
        <w:rPr>
          <w:rFonts w:asciiTheme="majorBidi" w:eastAsia="SimSun" w:hAnsiTheme="majorBidi" w:cstheme="majorBidi"/>
          <w:color w:val="000000" w:themeColor="text1"/>
          <w:kern w:val="0"/>
          <w:szCs w:val="24"/>
          <w:lang w:bidi="he-IL"/>
        </w:rPr>
        <w:t xml:space="preserve">12 largest </w:t>
      </w:r>
      <w:r w:rsidRPr="00A61532">
        <w:rPr>
          <w:rFonts w:asciiTheme="majorBidi" w:eastAsia="SimSun" w:hAnsiTheme="majorBidi" w:cstheme="majorBidi"/>
          <w:color w:val="000000" w:themeColor="text1"/>
          <w:kern w:val="0"/>
          <w:szCs w:val="24"/>
          <w:lang w:bidi="he-IL"/>
        </w:rPr>
        <w:t xml:space="preserve">Non-ERR transactions, and then discuss the summary statistics for </w:t>
      </w:r>
      <w:r w:rsidR="006E358A">
        <w:rPr>
          <w:rFonts w:asciiTheme="majorBidi" w:eastAsia="SimSun" w:hAnsiTheme="majorBidi" w:cstheme="majorBidi"/>
          <w:color w:val="000000" w:themeColor="text1"/>
          <w:kern w:val="0"/>
          <w:szCs w:val="24"/>
          <w:lang w:bidi="he-IL"/>
        </w:rPr>
        <w:t>our</w:t>
      </w:r>
      <w:r w:rsidRPr="00A61532">
        <w:rPr>
          <w:rFonts w:asciiTheme="majorBidi" w:eastAsia="SimSun" w:hAnsiTheme="majorBidi" w:cstheme="majorBidi"/>
          <w:color w:val="000000" w:themeColor="text1"/>
          <w:kern w:val="0"/>
          <w:szCs w:val="24"/>
          <w:lang w:bidi="he-IL"/>
        </w:rPr>
        <w:t xml:space="preserve"> sample as a whole.</w:t>
      </w:r>
    </w:p>
    <w:p w14:paraId="6D4DC5EA" w14:textId="0540F54B" w:rsidR="00C40B42" w:rsidRPr="00332FE2" w:rsidRDefault="00763DE6" w:rsidP="00332FE2">
      <w:pPr>
        <w:pStyle w:val="Caption"/>
        <w:rPr>
          <w:rFonts w:asciiTheme="majorBidi" w:eastAsia="SimSun" w:hAnsiTheme="majorBidi"/>
          <w:i w:val="0"/>
          <w:color w:val="000000" w:themeColor="text1"/>
          <w:kern w:val="0"/>
        </w:rPr>
      </w:pPr>
      <w:bookmarkStart w:id="148" w:name="_Toc47873901"/>
      <w:bookmarkStart w:id="149" w:name="_Toc47886026"/>
      <w:r w:rsidRPr="00332FE2">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Pr>
          <w:rFonts w:asciiTheme="majorBidi" w:eastAsia="SimSun" w:hAnsiTheme="majorBidi" w:cstheme="majorBidi"/>
          <w:noProof/>
          <w:color w:val="000000" w:themeColor="text1"/>
          <w:kern w:val="0"/>
          <w:lang w:bidi="he-IL"/>
        </w:rPr>
        <w:t>9</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Protections for Employees</w:t>
      </w:r>
      <w:bookmarkEnd w:id="148"/>
      <w:bookmarkEnd w:id="149"/>
      <w:r w:rsidR="00C40B42" w:rsidRPr="00EC5918">
        <w:rPr>
          <w:rFonts w:asciiTheme="majorBidi" w:eastAsia="SimSun" w:hAnsiTheme="majorBidi"/>
          <w:color w:val="000000" w:themeColor="text1"/>
          <w:kern w:val="0"/>
        </w:rPr>
        <w:t xml:space="preserve"> </w:t>
      </w:r>
    </w:p>
    <w:tbl>
      <w:tblPr>
        <w:tblStyle w:val="TableGrid1"/>
        <w:tblW w:w="6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080"/>
        <w:gridCol w:w="1980"/>
        <w:gridCol w:w="1481"/>
      </w:tblGrid>
      <w:tr w:rsidR="00C40B42" w:rsidRPr="00A61532" w14:paraId="71F08254" w14:textId="77777777" w:rsidTr="00C40B42">
        <w:trPr>
          <w:jc w:val="center"/>
        </w:trPr>
        <w:tc>
          <w:tcPr>
            <w:tcW w:w="1980" w:type="dxa"/>
            <w:tcBorders>
              <w:bottom w:val="double" w:sz="4" w:space="0" w:color="auto"/>
            </w:tcBorders>
            <w:tcMar>
              <w:left w:w="0" w:type="dxa"/>
              <w:right w:w="0" w:type="dxa"/>
            </w:tcMar>
            <w:vAlign w:val="center"/>
          </w:tcPr>
          <w:p w14:paraId="5BAE947F"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080" w:type="dxa"/>
            <w:tcBorders>
              <w:bottom w:val="double" w:sz="4" w:space="0" w:color="auto"/>
            </w:tcBorders>
            <w:vAlign w:val="center"/>
          </w:tcPr>
          <w:p w14:paraId="5383BAF4"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Limits on Firing</w:t>
            </w:r>
          </w:p>
        </w:tc>
        <w:tc>
          <w:tcPr>
            <w:tcW w:w="1980" w:type="dxa"/>
            <w:tcBorders>
              <w:bottom w:val="double" w:sz="4" w:space="0" w:color="auto"/>
            </w:tcBorders>
            <w:vAlign w:val="center"/>
          </w:tcPr>
          <w:p w14:paraId="7FA81547"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Length of Transition Period for Retained Employees</w:t>
            </w:r>
          </w:p>
        </w:tc>
        <w:tc>
          <w:tcPr>
            <w:tcW w:w="1481" w:type="dxa"/>
            <w:tcBorders>
              <w:bottom w:val="double" w:sz="4" w:space="0" w:color="auto"/>
            </w:tcBorders>
            <w:vAlign w:val="center"/>
          </w:tcPr>
          <w:p w14:paraId="6E45418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Commitments Enforceable by Beneficiaries?</w:t>
            </w:r>
          </w:p>
        </w:tc>
      </w:tr>
      <w:tr w:rsidR="00C40B42" w:rsidRPr="00A61532" w14:paraId="79B9D885" w14:textId="77777777" w:rsidTr="00C40B42">
        <w:trPr>
          <w:jc w:val="center"/>
        </w:trPr>
        <w:tc>
          <w:tcPr>
            <w:tcW w:w="1980" w:type="dxa"/>
            <w:tcBorders>
              <w:top w:val="double" w:sz="4" w:space="0" w:color="auto"/>
            </w:tcBorders>
            <w:tcMar>
              <w:left w:w="0" w:type="dxa"/>
              <w:right w:w="0" w:type="dxa"/>
            </w:tcMar>
            <w:vAlign w:val="center"/>
          </w:tcPr>
          <w:p w14:paraId="32C4D511"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080" w:type="dxa"/>
            <w:tcBorders>
              <w:top w:val="double" w:sz="4" w:space="0" w:color="auto"/>
            </w:tcBorders>
            <w:vAlign w:val="center"/>
          </w:tcPr>
          <w:p w14:paraId="442EAD17"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top w:val="double" w:sz="4" w:space="0" w:color="auto"/>
            </w:tcBorders>
            <w:vAlign w:val="center"/>
          </w:tcPr>
          <w:p w14:paraId="4DB322DF"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tcBorders>
              <w:top w:val="double" w:sz="4" w:space="0" w:color="auto"/>
            </w:tcBorders>
            <w:vAlign w:val="center"/>
          </w:tcPr>
          <w:p w14:paraId="6C4DA4D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6C4B6E9" w14:textId="77777777" w:rsidTr="00C40B42">
        <w:trPr>
          <w:jc w:val="center"/>
        </w:trPr>
        <w:tc>
          <w:tcPr>
            <w:tcW w:w="1980" w:type="dxa"/>
            <w:tcMar>
              <w:left w:w="0" w:type="dxa"/>
              <w:right w:w="0" w:type="dxa"/>
            </w:tcMar>
            <w:vAlign w:val="center"/>
          </w:tcPr>
          <w:p w14:paraId="69B44F7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080" w:type="dxa"/>
            <w:vAlign w:val="center"/>
          </w:tcPr>
          <w:p w14:paraId="455875E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DAFB5D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w:t>
            </w:r>
          </w:p>
        </w:tc>
        <w:tc>
          <w:tcPr>
            <w:tcW w:w="1481" w:type="dxa"/>
            <w:vAlign w:val="center"/>
          </w:tcPr>
          <w:p w14:paraId="08E00FA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CE141B7" w14:textId="77777777" w:rsidTr="00C40B42">
        <w:trPr>
          <w:jc w:val="center"/>
        </w:trPr>
        <w:tc>
          <w:tcPr>
            <w:tcW w:w="1980" w:type="dxa"/>
            <w:tcMar>
              <w:left w:w="0" w:type="dxa"/>
              <w:right w:w="0" w:type="dxa"/>
            </w:tcMar>
            <w:vAlign w:val="center"/>
          </w:tcPr>
          <w:p w14:paraId="13A9C23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080" w:type="dxa"/>
            <w:vAlign w:val="center"/>
          </w:tcPr>
          <w:p w14:paraId="728B98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7064A55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602880C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A620D89" w14:textId="77777777" w:rsidTr="00C40B42">
        <w:trPr>
          <w:jc w:val="center"/>
        </w:trPr>
        <w:tc>
          <w:tcPr>
            <w:tcW w:w="1980" w:type="dxa"/>
            <w:tcMar>
              <w:left w:w="0" w:type="dxa"/>
              <w:right w:w="0" w:type="dxa"/>
            </w:tcMar>
            <w:vAlign w:val="center"/>
          </w:tcPr>
          <w:p w14:paraId="38A2C0C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080" w:type="dxa"/>
            <w:vAlign w:val="center"/>
          </w:tcPr>
          <w:p w14:paraId="56CA6E1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2EEDE2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771D4E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B187B4B" w14:textId="77777777" w:rsidTr="00C40B42">
        <w:trPr>
          <w:jc w:val="center"/>
        </w:trPr>
        <w:tc>
          <w:tcPr>
            <w:tcW w:w="1980" w:type="dxa"/>
            <w:tcMar>
              <w:left w:w="0" w:type="dxa"/>
              <w:right w:w="0" w:type="dxa"/>
            </w:tcMar>
            <w:vAlign w:val="center"/>
          </w:tcPr>
          <w:p w14:paraId="5EAE243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080" w:type="dxa"/>
            <w:vAlign w:val="center"/>
          </w:tcPr>
          <w:p w14:paraId="59AF93C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3FC58F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1481" w:type="dxa"/>
            <w:vAlign w:val="center"/>
          </w:tcPr>
          <w:p w14:paraId="1919BA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C882FB4" w14:textId="77777777" w:rsidTr="00C40B42">
        <w:trPr>
          <w:jc w:val="center"/>
        </w:trPr>
        <w:tc>
          <w:tcPr>
            <w:tcW w:w="1980" w:type="dxa"/>
            <w:tcMar>
              <w:left w:w="0" w:type="dxa"/>
              <w:right w:w="0" w:type="dxa"/>
            </w:tcMar>
            <w:vAlign w:val="center"/>
          </w:tcPr>
          <w:p w14:paraId="453E9B7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080" w:type="dxa"/>
            <w:vAlign w:val="center"/>
          </w:tcPr>
          <w:p w14:paraId="0DDE75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2A44F6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32AC06A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94AA2EA" w14:textId="77777777" w:rsidTr="00C40B42">
        <w:trPr>
          <w:jc w:val="center"/>
        </w:trPr>
        <w:tc>
          <w:tcPr>
            <w:tcW w:w="1980" w:type="dxa"/>
            <w:tcMar>
              <w:left w:w="0" w:type="dxa"/>
              <w:right w:w="0" w:type="dxa"/>
            </w:tcMar>
            <w:vAlign w:val="center"/>
          </w:tcPr>
          <w:p w14:paraId="5F9AC99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080" w:type="dxa"/>
            <w:vAlign w:val="center"/>
          </w:tcPr>
          <w:p w14:paraId="5035288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225FDD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52D3254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741A9E2" w14:textId="77777777" w:rsidTr="00C40B42">
        <w:trPr>
          <w:jc w:val="center"/>
        </w:trPr>
        <w:tc>
          <w:tcPr>
            <w:tcW w:w="1980" w:type="dxa"/>
            <w:tcMar>
              <w:left w:w="0" w:type="dxa"/>
              <w:right w:w="0" w:type="dxa"/>
            </w:tcMar>
            <w:vAlign w:val="center"/>
          </w:tcPr>
          <w:p w14:paraId="0F58975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080" w:type="dxa"/>
            <w:vAlign w:val="center"/>
          </w:tcPr>
          <w:p w14:paraId="54B3B90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0DCD3CA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159B70C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0CD49D8" w14:textId="77777777" w:rsidTr="00C40B42">
        <w:trPr>
          <w:jc w:val="center"/>
        </w:trPr>
        <w:tc>
          <w:tcPr>
            <w:tcW w:w="1980" w:type="dxa"/>
            <w:tcMar>
              <w:left w:w="0" w:type="dxa"/>
              <w:right w:w="0" w:type="dxa"/>
            </w:tcMar>
            <w:vAlign w:val="center"/>
          </w:tcPr>
          <w:p w14:paraId="7D1EE9B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080" w:type="dxa"/>
            <w:vAlign w:val="center"/>
          </w:tcPr>
          <w:p w14:paraId="25F7F3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344C460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6D27895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9164A42" w14:textId="77777777" w:rsidTr="00C40B42">
        <w:trPr>
          <w:jc w:val="center"/>
        </w:trPr>
        <w:tc>
          <w:tcPr>
            <w:tcW w:w="1980" w:type="dxa"/>
            <w:tcMar>
              <w:left w:w="0" w:type="dxa"/>
              <w:right w:w="0" w:type="dxa"/>
            </w:tcMar>
            <w:vAlign w:val="center"/>
          </w:tcPr>
          <w:p w14:paraId="7E96989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080" w:type="dxa"/>
            <w:vAlign w:val="center"/>
          </w:tcPr>
          <w:p w14:paraId="7268D0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3A1CD4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7F1022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865BA32" w14:textId="77777777" w:rsidTr="00C40B42">
        <w:trPr>
          <w:jc w:val="center"/>
        </w:trPr>
        <w:tc>
          <w:tcPr>
            <w:tcW w:w="1980" w:type="dxa"/>
            <w:tcMar>
              <w:left w:w="0" w:type="dxa"/>
              <w:right w:w="0" w:type="dxa"/>
            </w:tcMar>
            <w:vAlign w:val="center"/>
          </w:tcPr>
          <w:p w14:paraId="572B950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080" w:type="dxa"/>
            <w:vAlign w:val="center"/>
          </w:tcPr>
          <w:p w14:paraId="3E00F9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4665C4B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4938857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D677145" w14:textId="77777777" w:rsidTr="00C40B42">
        <w:trPr>
          <w:jc w:val="center"/>
        </w:trPr>
        <w:tc>
          <w:tcPr>
            <w:tcW w:w="1980" w:type="dxa"/>
            <w:tcBorders>
              <w:bottom w:val="single" w:sz="4" w:space="0" w:color="auto"/>
            </w:tcBorders>
            <w:tcMar>
              <w:left w:w="0" w:type="dxa"/>
              <w:right w:w="0" w:type="dxa"/>
            </w:tcMar>
            <w:vAlign w:val="center"/>
          </w:tcPr>
          <w:p w14:paraId="11A4C2F8"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bookmarkStart w:id="150" w:name="_Hlk46712213"/>
            <w:r w:rsidRPr="00A61532">
              <w:rPr>
                <w:rFonts w:asciiTheme="majorBidi" w:hAnsiTheme="majorBidi" w:cstheme="majorBidi"/>
                <w:i/>
                <w:iCs/>
                <w:kern w:val="0"/>
                <w:sz w:val="20"/>
              </w:rPr>
              <w:t>Jo-Ann Stores</w:t>
            </w:r>
          </w:p>
        </w:tc>
        <w:tc>
          <w:tcPr>
            <w:tcW w:w="1080" w:type="dxa"/>
            <w:tcBorders>
              <w:bottom w:val="single" w:sz="4" w:space="0" w:color="auto"/>
            </w:tcBorders>
            <w:vAlign w:val="center"/>
          </w:tcPr>
          <w:p w14:paraId="78D85D69"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bottom w:val="single" w:sz="4" w:space="0" w:color="auto"/>
            </w:tcBorders>
            <w:vAlign w:val="center"/>
          </w:tcPr>
          <w:p w14:paraId="1F8483A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tcBorders>
              <w:bottom w:val="single" w:sz="4" w:space="0" w:color="auto"/>
            </w:tcBorders>
            <w:vAlign w:val="center"/>
          </w:tcPr>
          <w:p w14:paraId="39BA5BFB"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bookmarkEnd w:id="150"/>
      <w:tr w:rsidR="00C40B42" w:rsidRPr="00A61532" w14:paraId="040D0B7B" w14:textId="77777777" w:rsidTr="00C40B42">
        <w:trPr>
          <w:jc w:val="center"/>
        </w:trPr>
        <w:tc>
          <w:tcPr>
            <w:tcW w:w="1980" w:type="dxa"/>
            <w:tcBorders>
              <w:top w:val="single" w:sz="4" w:space="0" w:color="auto"/>
            </w:tcBorders>
            <w:tcMar>
              <w:left w:w="0" w:type="dxa"/>
              <w:right w:w="0" w:type="dxa"/>
            </w:tcMar>
          </w:tcPr>
          <w:p w14:paraId="447129AD"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t>Mean</w:t>
            </w:r>
          </w:p>
        </w:tc>
        <w:tc>
          <w:tcPr>
            <w:tcW w:w="1080" w:type="dxa"/>
            <w:tcBorders>
              <w:top w:val="single" w:sz="4" w:space="0" w:color="auto"/>
            </w:tcBorders>
            <w:vAlign w:val="center"/>
          </w:tcPr>
          <w:p w14:paraId="4458A1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tcBorders>
              <w:top w:val="single" w:sz="4" w:space="0" w:color="auto"/>
            </w:tcBorders>
            <w:vAlign w:val="center"/>
          </w:tcPr>
          <w:p w14:paraId="1746C18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12.75</w:t>
            </w:r>
          </w:p>
        </w:tc>
        <w:tc>
          <w:tcPr>
            <w:tcW w:w="1481" w:type="dxa"/>
            <w:tcBorders>
              <w:top w:val="single" w:sz="4" w:space="0" w:color="auto"/>
            </w:tcBorders>
            <w:vAlign w:val="center"/>
          </w:tcPr>
          <w:p w14:paraId="107C1A6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351A699" w14:textId="77777777" w:rsidTr="00C40B42">
        <w:trPr>
          <w:jc w:val="center"/>
        </w:trPr>
        <w:tc>
          <w:tcPr>
            <w:tcW w:w="1980" w:type="dxa"/>
            <w:tcMar>
              <w:left w:w="0" w:type="dxa"/>
              <w:right w:w="0" w:type="dxa"/>
            </w:tcMar>
          </w:tcPr>
          <w:p w14:paraId="037E140D"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080" w:type="dxa"/>
            <w:vAlign w:val="center"/>
          </w:tcPr>
          <w:p w14:paraId="16D3EA3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vAlign w:val="center"/>
          </w:tcPr>
          <w:p w14:paraId="5ACC78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481" w:type="dxa"/>
            <w:vAlign w:val="center"/>
          </w:tcPr>
          <w:p w14:paraId="712C15E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FA71680" w14:textId="77777777" w:rsidTr="00C40B42">
        <w:trPr>
          <w:jc w:val="center"/>
        </w:trPr>
        <w:tc>
          <w:tcPr>
            <w:tcW w:w="1980" w:type="dxa"/>
            <w:tcBorders>
              <w:bottom w:val="single" w:sz="4" w:space="0" w:color="auto"/>
            </w:tcBorders>
            <w:tcMar>
              <w:left w:w="0" w:type="dxa"/>
              <w:right w:w="0" w:type="dxa"/>
            </w:tcMar>
          </w:tcPr>
          <w:p w14:paraId="2E710756"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t>% of Yes</w:t>
            </w:r>
          </w:p>
        </w:tc>
        <w:tc>
          <w:tcPr>
            <w:tcW w:w="1080" w:type="dxa"/>
            <w:tcBorders>
              <w:bottom w:val="single" w:sz="4" w:space="0" w:color="auto"/>
            </w:tcBorders>
            <w:vAlign w:val="center"/>
          </w:tcPr>
          <w:p w14:paraId="41333A3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980" w:type="dxa"/>
            <w:tcBorders>
              <w:bottom w:val="single" w:sz="4" w:space="0" w:color="auto"/>
            </w:tcBorders>
            <w:vAlign w:val="center"/>
          </w:tcPr>
          <w:p w14:paraId="654D57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100%</w:t>
            </w:r>
          </w:p>
        </w:tc>
        <w:tc>
          <w:tcPr>
            <w:tcW w:w="1481" w:type="dxa"/>
            <w:tcBorders>
              <w:bottom w:val="single" w:sz="4" w:space="0" w:color="auto"/>
            </w:tcBorders>
            <w:vAlign w:val="center"/>
          </w:tcPr>
          <w:p w14:paraId="631820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r w:rsidR="00C40B42" w:rsidRPr="00A61532" w14:paraId="3347C11C" w14:textId="77777777" w:rsidTr="00C40B42">
        <w:trPr>
          <w:jc w:val="center"/>
        </w:trPr>
        <w:tc>
          <w:tcPr>
            <w:tcW w:w="1980" w:type="dxa"/>
            <w:tcBorders>
              <w:top w:val="single" w:sz="4" w:space="0" w:color="auto"/>
            </w:tcBorders>
            <w:tcMar>
              <w:left w:w="0" w:type="dxa"/>
              <w:right w:w="0" w:type="dxa"/>
            </w:tcMar>
            <w:vAlign w:val="center"/>
          </w:tcPr>
          <w:p w14:paraId="3816F794"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Dell EMC</w:t>
            </w:r>
          </w:p>
        </w:tc>
        <w:tc>
          <w:tcPr>
            <w:tcW w:w="1080" w:type="dxa"/>
            <w:tcBorders>
              <w:top w:val="single" w:sz="4" w:space="0" w:color="auto"/>
            </w:tcBorders>
            <w:vAlign w:val="center"/>
          </w:tcPr>
          <w:p w14:paraId="6424C2C1"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top w:val="single" w:sz="4" w:space="0" w:color="auto"/>
            </w:tcBorders>
            <w:vAlign w:val="center"/>
          </w:tcPr>
          <w:p w14:paraId="715045B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tcBorders>
              <w:top w:val="single" w:sz="4" w:space="0" w:color="auto"/>
            </w:tcBorders>
            <w:vAlign w:val="center"/>
          </w:tcPr>
          <w:p w14:paraId="2F8F9B5B"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35EFE68" w14:textId="77777777" w:rsidTr="00C40B42">
        <w:trPr>
          <w:jc w:val="center"/>
        </w:trPr>
        <w:tc>
          <w:tcPr>
            <w:tcW w:w="1980" w:type="dxa"/>
            <w:tcMar>
              <w:left w:w="0" w:type="dxa"/>
              <w:right w:w="0" w:type="dxa"/>
            </w:tcMar>
            <w:vAlign w:val="center"/>
          </w:tcPr>
          <w:p w14:paraId="62C81AD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TXU</w:t>
            </w:r>
          </w:p>
        </w:tc>
        <w:tc>
          <w:tcPr>
            <w:tcW w:w="1080" w:type="dxa"/>
            <w:vAlign w:val="center"/>
          </w:tcPr>
          <w:p w14:paraId="31BAE2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984C9E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w:t>
            </w:r>
          </w:p>
        </w:tc>
        <w:tc>
          <w:tcPr>
            <w:tcW w:w="1481" w:type="dxa"/>
            <w:vAlign w:val="center"/>
          </w:tcPr>
          <w:p w14:paraId="26422A5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94F2D49" w14:textId="77777777" w:rsidTr="00C40B42">
        <w:trPr>
          <w:jc w:val="center"/>
        </w:trPr>
        <w:tc>
          <w:tcPr>
            <w:tcW w:w="1980" w:type="dxa"/>
            <w:tcMar>
              <w:left w:w="0" w:type="dxa"/>
              <w:right w:w="0" w:type="dxa"/>
            </w:tcMar>
            <w:vAlign w:val="center"/>
          </w:tcPr>
          <w:p w14:paraId="7E52BB7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1080" w:type="dxa"/>
            <w:vAlign w:val="center"/>
          </w:tcPr>
          <w:p w14:paraId="46EE9C5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4AF0CD2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12FC6F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FAB2249" w14:textId="77777777" w:rsidTr="00C40B42">
        <w:trPr>
          <w:jc w:val="center"/>
        </w:trPr>
        <w:tc>
          <w:tcPr>
            <w:tcW w:w="1980" w:type="dxa"/>
            <w:tcMar>
              <w:left w:w="0" w:type="dxa"/>
              <w:right w:w="0" w:type="dxa"/>
            </w:tcMar>
            <w:vAlign w:val="center"/>
          </w:tcPr>
          <w:p w14:paraId="6D893FE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1080" w:type="dxa"/>
            <w:vAlign w:val="center"/>
          </w:tcPr>
          <w:p w14:paraId="456580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20BD4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7AE5098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CD70E2C" w14:textId="77777777" w:rsidTr="00C40B42">
        <w:trPr>
          <w:jc w:val="center"/>
        </w:trPr>
        <w:tc>
          <w:tcPr>
            <w:tcW w:w="1980" w:type="dxa"/>
            <w:tcMar>
              <w:left w:w="0" w:type="dxa"/>
              <w:right w:w="0" w:type="dxa"/>
            </w:tcMar>
            <w:vAlign w:val="center"/>
          </w:tcPr>
          <w:p w14:paraId="234F24CF" w14:textId="77777777" w:rsidR="00C40B42" w:rsidRPr="00A61532" w:rsidRDefault="00C40B42" w:rsidP="00C40B42">
            <w:pPr>
              <w:widowControl/>
              <w:ind w:firstLine="0"/>
              <w:jc w:val="left"/>
              <w:rPr>
                <w:rFonts w:asciiTheme="majorBidi" w:hAnsiTheme="majorBidi" w:cstheme="majorBidi"/>
                <w:i/>
                <w:iCs/>
                <w:kern w:val="0"/>
                <w:sz w:val="20"/>
              </w:rPr>
            </w:pPr>
            <w:proofErr w:type="spellStart"/>
            <w:r w:rsidRPr="00A61532">
              <w:rPr>
                <w:rFonts w:asciiTheme="majorBidi" w:hAnsiTheme="majorBidi" w:cstheme="majorBidi"/>
                <w:i/>
                <w:iCs/>
                <w:kern w:val="0"/>
                <w:sz w:val="20"/>
              </w:rPr>
              <w:t>Parexel</w:t>
            </w:r>
            <w:proofErr w:type="spellEnd"/>
          </w:p>
        </w:tc>
        <w:tc>
          <w:tcPr>
            <w:tcW w:w="1080" w:type="dxa"/>
            <w:vAlign w:val="center"/>
          </w:tcPr>
          <w:p w14:paraId="2E43EE5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7F1A807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1481" w:type="dxa"/>
            <w:vAlign w:val="center"/>
          </w:tcPr>
          <w:p w14:paraId="36BEB29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0877028" w14:textId="77777777" w:rsidTr="00C40B42">
        <w:trPr>
          <w:jc w:val="center"/>
        </w:trPr>
        <w:tc>
          <w:tcPr>
            <w:tcW w:w="1980" w:type="dxa"/>
            <w:tcMar>
              <w:left w:w="0" w:type="dxa"/>
              <w:right w:w="0" w:type="dxa"/>
            </w:tcMar>
            <w:vAlign w:val="center"/>
          </w:tcPr>
          <w:p w14:paraId="71477F5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1080" w:type="dxa"/>
            <w:vAlign w:val="center"/>
          </w:tcPr>
          <w:p w14:paraId="5EEDA9F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5E9D3A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481" w:type="dxa"/>
            <w:vAlign w:val="center"/>
          </w:tcPr>
          <w:p w14:paraId="50EC33A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D0C59E8" w14:textId="77777777" w:rsidTr="00C40B42">
        <w:trPr>
          <w:jc w:val="center"/>
        </w:trPr>
        <w:tc>
          <w:tcPr>
            <w:tcW w:w="1980" w:type="dxa"/>
            <w:tcMar>
              <w:left w:w="0" w:type="dxa"/>
              <w:right w:w="0" w:type="dxa"/>
            </w:tcMar>
            <w:vAlign w:val="center"/>
          </w:tcPr>
          <w:p w14:paraId="36E66F1F" w14:textId="4092B34D"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944027">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080" w:type="dxa"/>
            <w:vAlign w:val="center"/>
          </w:tcPr>
          <w:p w14:paraId="4141C1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2B35D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1481" w:type="dxa"/>
            <w:vAlign w:val="center"/>
          </w:tcPr>
          <w:p w14:paraId="060F892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3A426D9" w14:textId="77777777" w:rsidTr="00C40B42">
        <w:trPr>
          <w:jc w:val="center"/>
        </w:trPr>
        <w:tc>
          <w:tcPr>
            <w:tcW w:w="1980" w:type="dxa"/>
            <w:tcMar>
              <w:left w:w="0" w:type="dxa"/>
              <w:right w:w="0" w:type="dxa"/>
            </w:tcMar>
            <w:vAlign w:val="center"/>
          </w:tcPr>
          <w:p w14:paraId="7DE1E57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1080" w:type="dxa"/>
            <w:vAlign w:val="center"/>
          </w:tcPr>
          <w:p w14:paraId="5E2D95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5CC0B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4FD32E4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E647E2D" w14:textId="77777777" w:rsidTr="00C40B42">
        <w:trPr>
          <w:jc w:val="center"/>
        </w:trPr>
        <w:tc>
          <w:tcPr>
            <w:tcW w:w="1980" w:type="dxa"/>
            <w:tcMar>
              <w:left w:w="0" w:type="dxa"/>
              <w:right w:w="0" w:type="dxa"/>
            </w:tcMar>
            <w:vAlign w:val="center"/>
          </w:tcPr>
          <w:p w14:paraId="7B733BB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1080" w:type="dxa"/>
            <w:vAlign w:val="center"/>
          </w:tcPr>
          <w:p w14:paraId="0EC75A2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0DAC00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330553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2E87D25" w14:textId="77777777" w:rsidTr="00C40B42">
        <w:trPr>
          <w:jc w:val="center"/>
        </w:trPr>
        <w:tc>
          <w:tcPr>
            <w:tcW w:w="1980" w:type="dxa"/>
            <w:tcMar>
              <w:left w:w="0" w:type="dxa"/>
              <w:right w:w="0" w:type="dxa"/>
            </w:tcMar>
            <w:vAlign w:val="center"/>
          </w:tcPr>
          <w:p w14:paraId="204978A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080" w:type="dxa"/>
            <w:vAlign w:val="center"/>
          </w:tcPr>
          <w:p w14:paraId="3DA5DB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EE0F3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14</w:t>
            </w:r>
          </w:p>
        </w:tc>
        <w:tc>
          <w:tcPr>
            <w:tcW w:w="1481" w:type="dxa"/>
            <w:vAlign w:val="center"/>
          </w:tcPr>
          <w:p w14:paraId="36FC2A1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273C272" w14:textId="77777777" w:rsidTr="00C40B42">
        <w:trPr>
          <w:jc w:val="center"/>
        </w:trPr>
        <w:tc>
          <w:tcPr>
            <w:tcW w:w="1980" w:type="dxa"/>
            <w:tcMar>
              <w:left w:w="0" w:type="dxa"/>
              <w:right w:w="0" w:type="dxa"/>
            </w:tcMar>
            <w:vAlign w:val="center"/>
          </w:tcPr>
          <w:p w14:paraId="2C15A96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1080" w:type="dxa"/>
            <w:vAlign w:val="center"/>
          </w:tcPr>
          <w:p w14:paraId="561131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CA340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4DE2D7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262E01F" w14:textId="77777777" w:rsidTr="00C40B42">
        <w:trPr>
          <w:jc w:val="center"/>
        </w:trPr>
        <w:tc>
          <w:tcPr>
            <w:tcW w:w="1980" w:type="dxa"/>
            <w:tcBorders>
              <w:bottom w:val="single" w:sz="4" w:space="0" w:color="auto"/>
            </w:tcBorders>
            <w:tcMar>
              <w:left w:w="0" w:type="dxa"/>
              <w:right w:w="0" w:type="dxa"/>
            </w:tcMar>
            <w:vAlign w:val="center"/>
          </w:tcPr>
          <w:p w14:paraId="7DF745CF"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080" w:type="dxa"/>
            <w:tcBorders>
              <w:bottom w:val="single" w:sz="4" w:space="0" w:color="auto"/>
            </w:tcBorders>
            <w:vAlign w:val="center"/>
          </w:tcPr>
          <w:p w14:paraId="123E117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bottom w:val="single" w:sz="4" w:space="0" w:color="auto"/>
            </w:tcBorders>
            <w:vAlign w:val="center"/>
          </w:tcPr>
          <w:p w14:paraId="723087B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11</w:t>
            </w:r>
          </w:p>
        </w:tc>
        <w:tc>
          <w:tcPr>
            <w:tcW w:w="1481" w:type="dxa"/>
            <w:tcBorders>
              <w:bottom w:val="single" w:sz="4" w:space="0" w:color="auto"/>
            </w:tcBorders>
            <w:vAlign w:val="center"/>
          </w:tcPr>
          <w:p w14:paraId="4AD2C1D5"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E2F9B5B" w14:textId="77777777" w:rsidTr="00C40B42">
        <w:trPr>
          <w:jc w:val="center"/>
        </w:trPr>
        <w:tc>
          <w:tcPr>
            <w:tcW w:w="1980" w:type="dxa"/>
            <w:tcBorders>
              <w:top w:val="single" w:sz="4" w:space="0" w:color="auto"/>
            </w:tcBorders>
            <w:tcMar>
              <w:left w:w="0" w:type="dxa"/>
              <w:right w:w="0" w:type="dxa"/>
            </w:tcMar>
          </w:tcPr>
          <w:p w14:paraId="763CD3A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1080" w:type="dxa"/>
            <w:tcBorders>
              <w:top w:val="single" w:sz="4" w:space="0" w:color="auto"/>
            </w:tcBorders>
            <w:vAlign w:val="center"/>
          </w:tcPr>
          <w:p w14:paraId="168FED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tcBorders>
              <w:top w:val="single" w:sz="4" w:space="0" w:color="auto"/>
            </w:tcBorders>
            <w:vAlign w:val="center"/>
          </w:tcPr>
          <w:p w14:paraId="2AA6A11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13.30</w:t>
            </w:r>
          </w:p>
        </w:tc>
        <w:tc>
          <w:tcPr>
            <w:tcW w:w="1481" w:type="dxa"/>
            <w:tcBorders>
              <w:top w:val="single" w:sz="4" w:space="0" w:color="auto"/>
            </w:tcBorders>
            <w:vAlign w:val="center"/>
          </w:tcPr>
          <w:p w14:paraId="557ED7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537CD0A" w14:textId="77777777" w:rsidTr="00C40B42">
        <w:trPr>
          <w:jc w:val="center"/>
        </w:trPr>
        <w:tc>
          <w:tcPr>
            <w:tcW w:w="1980" w:type="dxa"/>
            <w:tcMar>
              <w:left w:w="0" w:type="dxa"/>
              <w:right w:w="0" w:type="dxa"/>
            </w:tcMar>
          </w:tcPr>
          <w:p w14:paraId="0367EB9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080" w:type="dxa"/>
            <w:vAlign w:val="center"/>
          </w:tcPr>
          <w:p w14:paraId="44C5F1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vAlign w:val="center"/>
          </w:tcPr>
          <w:p w14:paraId="78D529F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481" w:type="dxa"/>
            <w:vAlign w:val="center"/>
          </w:tcPr>
          <w:p w14:paraId="24B740A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7941F66" w14:textId="77777777" w:rsidTr="00C40B42">
        <w:trPr>
          <w:jc w:val="center"/>
        </w:trPr>
        <w:tc>
          <w:tcPr>
            <w:tcW w:w="1980" w:type="dxa"/>
            <w:tcBorders>
              <w:bottom w:val="double" w:sz="4" w:space="0" w:color="auto"/>
            </w:tcBorders>
            <w:tcMar>
              <w:left w:w="0" w:type="dxa"/>
              <w:right w:w="0" w:type="dxa"/>
            </w:tcMar>
          </w:tcPr>
          <w:p w14:paraId="68C1BCF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1080" w:type="dxa"/>
            <w:tcBorders>
              <w:bottom w:val="double" w:sz="4" w:space="0" w:color="auto"/>
            </w:tcBorders>
            <w:vAlign w:val="center"/>
          </w:tcPr>
          <w:p w14:paraId="6B7B42B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980" w:type="dxa"/>
            <w:tcBorders>
              <w:bottom w:val="double" w:sz="4" w:space="0" w:color="auto"/>
            </w:tcBorders>
            <w:vAlign w:val="center"/>
          </w:tcPr>
          <w:p w14:paraId="72BC6C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481" w:type="dxa"/>
            <w:tcBorders>
              <w:bottom w:val="double" w:sz="4" w:space="0" w:color="auto"/>
            </w:tcBorders>
            <w:vAlign w:val="center"/>
          </w:tcPr>
          <w:p w14:paraId="4191F5E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bl>
    <w:p w14:paraId="28855C88" w14:textId="69CD0C95" w:rsidR="00C40B42" w:rsidRPr="00A61532" w:rsidRDefault="00C40B42" w:rsidP="00C40B42">
      <w:pPr>
        <w:widowControl/>
        <w:spacing w:before="24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data set forth in Table </w:t>
      </w:r>
      <w:r w:rsidR="004E63D8">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 xml:space="preserve"> reveals that in both</w:t>
      </w:r>
      <w:r w:rsidR="000A19AA">
        <w:rPr>
          <w:rFonts w:asciiTheme="majorBidi" w:eastAsia="SimSun" w:hAnsiTheme="majorBidi" w:cstheme="majorBidi"/>
          <w:color w:val="000000" w:themeColor="text1"/>
          <w:kern w:val="0"/>
          <w:szCs w:val="24"/>
          <w:lang w:bidi="he-IL"/>
        </w:rPr>
        <w:t xml:space="preserve"> the</w:t>
      </w:r>
      <w:r w:rsidRPr="00A61532">
        <w:rPr>
          <w:rFonts w:asciiTheme="majorBidi" w:eastAsia="SimSun" w:hAnsiTheme="majorBidi" w:cstheme="majorBidi"/>
          <w:color w:val="000000" w:themeColor="text1"/>
          <w:kern w:val="0"/>
          <w:szCs w:val="24"/>
          <w:lang w:bidi="he-IL"/>
        </w:rPr>
        <w:t xml:space="preserve"> largest ERR and Non-ERR subsamples, the merger agreements fail to provide adequate </w:t>
      </w:r>
      <w:r w:rsidRPr="00A61532">
        <w:rPr>
          <w:rFonts w:asciiTheme="majorBidi" w:eastAsia="SimSun" w:hAnsiTheme="majorBidi" w:cstheme="majorBidi"/>
          <w:color w:val="000000" w:themeColor="text1"/>
          <w:kern w:val="0"/>
          <w:szCs w:val="24"/>
          <w:lang w:bidi="he-IL"/>
        </w:rPr>
        <w:lastRenderedPageBreak/>
        <w:t>protections for the target</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employees. First, we find that employees</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most crucial interest in keeping their jobs receives no protection</w:t>
      </w:r>
      <w:bookmarkStart w:id="151" w:name="_Toc47824864"/>
      <w:bookmarkStart w:id="152" w:name="_Toc47824865"/>
      <w:bookmarkEnd w:id="151"/>
      <w:bookmarkEnd w:id="152"/>
      <w:r w:rsidRPr="00A61532">
        <w:rPr>
          <w:rFonts w:asciiTheme="majorBidi" w:eastAsia="SimSun" w:hAnsiTheme="majorBidi" w:cstheme="majorBidi"/>
          <w:color w:val="000000" w:themeColor="text1"/>
          <w:kern w:val="0"/>
          <w:szCs w:val="24"/>
          <w:lang w:bidi="he-IL"/>
        </w:rPr>
        <w:t xml:space="preserve">: </w:t>
      </w:r>
      <w:r w:rsidR="00626A3A">
        <w:rPr>
          <w:rFonts w:asciiTheme="majorBidi" w:eastAsia="SimSun" w:hAnsiTheme="majorBidi" w:cstheme="majorBidi"/>
          <w:color w:val="000000" w:themeColor="text1"/>
          <w:kern w:val="0"/>
          <w:szCs w:val="24"/>
          <w:lang w:bidi="he-IL"/>
        </w:rPr>
        <w:t>t</w:t>
      </w:r>
      <w:r w:rsidR="00626A3A" w:rsidRPr="00A61532">
        <w:rPr>
          <w:rFonts w:asciiTheme="majorBidi" w:eastAsia="SimSun" w:hAnsiTheme="majorBidi" w:cstheme="majorBidi"/>
          <w:color w:val="000000" w:themeColor="text1"/>
          <w:kern w:val="0"/>
          <w:szCs w:val="24"/>
          <w:lang w:bidi="he-IL"/>
        </w:rPr>
        <w:t xml:space="preserve">he </w:t>
      </w:r>
      <w:r w:rsidRPr="00A61532">
        <w:rPr>
          <w:rFonts w:asciiTheme="majorBidi" w:eastAsia="SimSun" w:hAnsiTheme="majorBidi" w:cstheme="majorBidi"/>
          <w:color w:val="000000" w:themeColor="text1"/>
          <w:kern w:val="0"/>
          <w:szCs w:val="24"/>
          <w:lang w:bidi="he-IL"/>
        </w:rPr>
        <w:t>top ERR and Non-ERR transactions contain no evidence of commitment or expressed intention to retain any of the target</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s employees, or even to maintain certain aggregate levels of employment (a more relaxed commitment due to its general and impersonal nature). </w:t>
      </w:r>
      <w:bookmarkStart w:id="153" w:name="_Toc47824866"/>
      <w:bookmarkEnd w:id="153"/>
    </w:p>
    <w:p w14:paraId="1F3B8408" w14:textId="1FFE053A"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For those employees who will eventually continue with the surviving company after the merger (again, without any firm commitment by the acquirers to do so), all of the top ERR and nearly all of the top Non-ERR transactions contain a commitment to maintain the levels of compensation and benefits for a limited period, averaging 12.7 and 13.3 months, respectively. One of the Non-ERR transactions, however, only goes as far as committing to recognize employees’ seniority in the target company and waiving preexisting conditions for the benefit and retirement plans offered by the acquirer.</w:t>
      </w:r>
      <w:bookmarkStart w:id="154" w:name="_Toc47824867"/>
      <w:bookmarkEnd w:id="154"/>
    </w:p>
    <w:p w14:paraId="4944EA57" w14:textId="0A6860A2"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Additionally, we find that in four of the </w:t>
      </w:r>
      <w:r w:rsidR="004E63D8">
        <w:rPr>
          <w:rFonts w:asciiTheme="majorBidi" w:eastAsia="SimSun" w:hAnsiTheme="majorBidi" w:cstheme="majorBidi"/>
          <w:color w:val="000000" w:themeColor="text1"/>
          <w:kern w:val="0"/>
          <w:szCs w:val="24"/>
          <w:lang w:bidi="he-IL"/>
        </w:rPr>
        <w:t xml:space="preserve">largest </w:t>
      </w:r>
      <w:r w:rsidRPr="00A61532">
        <w:rPr>
          <w:rFonts w:asciiTheme="majorBidi" w:eastAsia="SimSun" w:hAnsiTheme="majorBidi" w:cstheme="majorBidi"/>
          <w:color w:val="000000" w:themeColor="text1"/>
          <w:kern w:val="0"/>
          <w:szCs w:val="24"/>
          <w:lang w:bidi="he-IL"/>
        </w:rPr>
        <w:t xml:space="preserve">ERR and four of the </w:t>
      </w:r>
      <w:r w:rsidR="004E63D8">
        <w:rPr>
          <w:rFonts w:asciiTheme="majorBidi" w:eastAsia="SimSun" w:hAnsiTheme="majorBidi" w:cstheme="majorBidi"/>
          <w:color w:val="000000" w:themeColor="text1"/>
          <w:kern w:val="0"/>
          <w:szCs w:val="24"/>
          <w:lang w:bidi="he-IL"/>
        </w:rPr>
        <w:t xml:space="preserve">largest </w:t>
      </w:r>
      <w:r w:rsidRPr="00A61532">
        <w:rPr>
          <w:rFonts w:asciiTheme="majorBidi" w:eastAsia="SimSun" w:hAnsiTheme="majorBidi" w:cstheme="majorBidi"/>
          <w:color w:val="000000" w:themeColor="text1"/>
          <w:kern w:val="0"/>
          <w:szCs w:val="24"/>
          <w:lang w:bidi="he-IL"/>
        </w:rPr>
        <w:t xml:space="preserve">Non-ERR </w:t>
      </w:r>
      <w:r w:rsidR="004E63D8">
        <w:rPr>
          <w:rFonts w:asciiTheme="majorBidi" w:eastAsia="SimSun" w:hAnsiTheme="majorBidi" w:cstheme="majorBidi"/>
          <w:color w:val="000000" w:themeColor="text1"/>
          <w:kern w:val="0"/>
          <w:szCs w:val="24"/>
          <w:lang w:bidi="he-IL"/>
        </w:rPr>
        <w:t>deals</w:t>
      </w:r>
      <w:r w:rsidRPr="00A61532">
        <w:rPr>
          <w:rFonts w:asciiTheme="majorBidi" w:eastAsia="SimSun" w:hAnsiTheme="majorBidi" w:cstheme="majorBidi"/>
          <w:color w:val="000000" w:themeColor="text1"/>
          <w:kern w:val="0"/>
          <w:szCs w:val="24"/>
          <w:lang w:bidi="he-IL"/>
        </w:rPr>
        <w:t xml:space="preserve"> (which represent 33% of these subsamples), some or all employees received some sort of additional payments as a result of the merger. However, in half of these deals, the proxy statement and merger agreement did not include specific figures, and in the rest of the deals, the payments were very modest compared to the size of the transactions and to benefits that corporate leaders extract for themselves or for shareholders. For example, in the top ERR subsample, a bonus of $740,000 and $1.</w:t>
      </w:r>
      <w:r w:rsidR="00C413E2">
        <w:rPr>
          <w:rFonts w:asciiTheme="majorBidi" w:eastAsia="SimSun" w:hAnsiTheme="majorBidi" w:cstheme="majorBidi"/>
          <w:color w:val="000000" w:themeColor="text1"/>
          <w:kern w:val="0"/>
          <w:szCs w:val="24"/>
          <w:lang w:bidi="he-IL"/>
        </w:rPr>
        <w:t>3</w:t>
      </w:r>
      <w:r w:rsidRPr="00A61532">
        <w:rPr>
          <w:rFonts w:asciiTheme="majorBidi" w:eastAsia="SimSun" w:hAnsiTheme="majorBidi" w:cstheme="majorBidi"/>
          <w:color w:val="000000" w:themeColor="text1"/>
          <w:kern w:val="0"/>
          <w:szCs w:val="24"/>
          <w:lang w:bidi="he-IL"/>
        </w:rPr>
        <w:t xml:space="preserve"> million were offered in deals with a value of $2.</w:t>
      </w:r>
      <w:r w:rsidR="00C413E2">
        <w:rPr>
          <w:rFonts w:asciiTheme="majorBidi" w:eastAsia="SimSun" w:hAnsiTheme="majorBidi" w:cstheme="majorBidi"/>
          <w:color w:val="000000" w:themeColor="text1"/>
          <w:kern w:val="0"/>
          <w:szCs w:val="24"/>
          <w:lang w:bidi="he-IL"/>
        </w:rPr>
        <w:t>7</w:t>
      </w:r>
      <w:r w:rsidRPr="00A61532">
        <w:rPr>
          <w:rFonts w:asciiTheme="majorBidi" w:eastAsia="SimSun" w:hAnsiTheme="majorBidi" w:cstheme="majorBidi"/>
          <w:color w:val="000000" w:themeColor="text1"/>
          <w:kern w:val="0"/>
          <w:szCs w:val="24"/>
          <w:lang w:bidi="he-IL"/>
        </w:rPr>
        <w:t xml:space="preserve"> billion and $2.2 billion, respectively. The average and median aggregate amount of such payments for the top ERR and non-ERR subsamples is $1.0 million and $13.0 million, respectively.</w:t>
      </w:r>
      <w:bookmarkStart w:id="155" w:name="_Toc47824868"/>
      <w:bookmarkEnd w:id="155"/>
    </w:p>
    <w:p w14:paraId="77EE1583" w14:textId="4FCADF56" w:rsidR="0023791A" w:rsidRPr="00E857FA" w:rsidRDefault="00C40B42" w:rsidP="00C40B42">
      <w:pPr>
        <w:widowControl/>
        <w:spacing w:line="259" w:lineRule="auto"/>
        <w:rPr>
          <w:rFonts w:asciiTheme="majorBidi" w:eastAsia="SimSun" w:hAnsiTheme="majorBidi" w:cstheme="majorBidi"/>
          <w:color w:val="000000" w:themeColor="text1"/>
          <w:kern w:val="0"/>
          <w:szCs w:val="24"/>
          <w:lang w:bidi="he-IL"/>
        </w:rPr>
      </w:pPr>
      <w:bookmarkStart w:id="156" w:name="_Toc47824869"/>
      <w:bookmarkEnd w:id="156"/>
      <w:r w:rsidRPr="00A61532">
        <w:rPr>
          <w:rFonts w:asciiTheme="majorBidi" w:eastAsia="SimSun" w:hAnsiTheme="majorBidi" w:cstheme="minorBidi"/>
          <w:color w:val="000000" w:themeColor="text1"/>
          <w:kern w:val="0"/>
          <w:szCs w:val="22"/>
          <w:lang w:bidi="he-IL"/>
        </w:rPr>
        <w:t xml:space="preserve">Lastly, </w:t>
      </w:r>
      <w:r w:rsidRPr="00A61532">
        <w:rPr>
          <w:rFonts w:asciiTheme="majorBidi" w:eastAsia="SimSun" w:hAnsiTheme="majorBidi" w:cstheme="majorBidi"/>
          <w:color w:val="000000" w:themeColor="text1"/>
          <w:kern w:val="0"/>
          <w:szCs w:val="24"/>
          <w:lang w:bidi="he-IL"/>
        </w:rPr>
        <w:t xml:space="preserve">regardless of the size of these </w:t>
      </w:r>
      <w:r w:rsidR="004E63D8" w:rsidRPr="00A61532">
        <w:rPr>
          <w:rFonts w:asciiTheme="majorBidi" w:eastAsia="SimSun" w:hAnsiTheme="majorBidi" w:cstheme="majorBidi"/>
          <w:color w:val="000000" w:themeColor="text1"/>
          <w:kern w:val="0"/>
          <w:szCs w:val="24"/>
          <w:lang w:bidi="he-IL"/>
        </w:rPr>
        <w:t>benefits,</w:t>
      </w:r>
      <w:r w:rsidRPr="00A61532">
        <w:rPr>
          <w:rFonts w:asciiTheme="majorBidi" w:eastAsia="SimSun" w:hAnsiTheme="majorBidi" w:cstheme="majorBidi"/>
          <w:color w:val="000000" w:themeColor="text1"/>
          <w:kern w:val="0"/>
          <w:szCs w:val="24"/>
          <w:lang w:bidi="he-IL"/>
        </w:rPr>
        <w:t xml:space="preserve"> it is important to examine whether employees are able to enforce the relevant commitments. Our analysis shows that in </w:t>
      </w:r>
      <w:r w:rsidRPr="00332FE2">
        <w:rPr>
          <w:rFonts w:asciiTheme="majorBidi" w:eastAsia="SimSun" w:hAnsiTheme="majorBidi"/>
          <w:color w:val="000000" w:themeColor="text1"/>
          <w:kern w:val="0"/>
        </w:rPr>
        <w:t>all</w:t>
      </w:r>
      <w:r w:rsidRPr="004227D7">
        <w:rPr>
          <w:rFonts w:asciiTheme="majorBidi" w:eastAsia="SimSun" w:hAnsiTheme="majorBidi" w:cstheme="majorBidi"/>
          <w:color w:val="000000" w:themeColor="text1"/>
          <w:kern w:val="0"/>
          <w:szCs w:val="24"/>
          <w:lang w:bidi="he-IL"/>
        </w:rPr>
        <w:t xml:space="preserve"> of the top ERR and Non-ERR</w:t>
      </w:r>
      <w:r w:rsidRPr="0023791A">
        <w:rPr>
          <w:rFonts w:asciiTheme="majorBidi" w:eastAsia="SimSun" w:hAnsiTheme="majorBidi" w:cstheme="majorBidi"/>
          <w:color w:val="000000" w:themeColor="text1"/>
          <w:kern w:val="0"/>
          <w:szCs w:val="24"/>
          <w:lang w:bidi="he-IL"/>
        </w:rPr>
        <w:t xml:space="preserve"> tran</w:t>
      </w:r>
      <w:r w:rsidRPr="00A61532">
        <w:rPr>
          <w:rFonts w:asciiTheme="majorBidi" w:eastAsia="SimSun" w:hAnsiTheme="majorBidi" w:cstheme="majorBidi"/>
          <w:color w:val="000000" w:themeColor="text1"/>
          <w:kern w:val="0"/>
          <w:szCs w:val="24"/>
          <w:lang w:bidi="he-IL"/>
        </w:rPr>
        <w:t>sactions, the merger agreement expressly excludes the possibility of third parties in general, or in some cases employees specifically, to enforce any rights conferred upon them. The legal implication of these provisions is that even if the deal includes some commitments in favor of employees or other stakeholders, they are effectively unenforceable due to the stakeholders</w:t>
      </w:r>
      <w:r w:rsidR="000A19A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inability to bring action if they are breached. It is worth emphasizing that none of the transactions which recognize the target</w:t>
      </w:r>
      <w:r w:rsidR="000A19A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s employees as third-party </w:t>
      </w:r>
      <w:r w:rsidRPr="00A61532">
        <w:rPr>
          <w:rFonts w:asciiTheme="majorBidi" w:eastAsia="SimSun" w:hAnsiTheme="majorBidi" w:cstheme="majorBidi"/>
          <w:color w:val="000000" w:themeColor="text1"/>
          <w:kern w:val="0"/>
          <w:szCs w:val="24"/>
          <w:lang w:bidi="he-IL"/>
        </w:rPr>
        <w:lastRenderedPageBreak/>
        <w:t>beneficiaries include commitment</w:t>
      </w:r>
      <w:r w:rsidR="000A19AA">
        <w:rPr>
          <w:rFonts w:asciiTheme="majorBidi" w:eastAsia="SimSun" w:hAnsiTheme="majorBidi" w:cstheme="majorBidi"/>
          <w:color w:val="000000" w:themeColor="text1"/>
          <w:kern w:val="0"/>
          <w:szCs w:val="24"/>
          <w:lang w:bidi="he-IL"/>
        </w:rPr>
        <w:t>s</w:t>
      </w:r>
      <w:r w:rsidRPr="00A61532">
        <w:rPr>
          <w:rFonts w:asciiTheme="majorBidi" w:eastAsia="SimSun" w:hAnsiTheme="majorBidi" w:cstheme="majorBidi"/>
          <w:color w:val="000000" w:themeColor="text1"/>
          <w:kern w:val="0"/>
          <w:szCs w:val="24"/>
          <w:lang w:bidi="he-IL"/>
        </w:rPr>
        <w:t xml:space="preserve"> to retain employment or </w:t>
      </w:r>
      <w:r w:rsidR="000A19AA">
        <w:rPr>
          <w:rFonts w:asciiTheme="majorBidi" w:eastAsia="SimSun" w:hAnsiTheme="majorBidi" w:cstheme="majorBidi"/>
          <w:color w:val="000000" w:themeColor="text1"/>
          <w:kern w:val="0"/>
          <w:szCs w:val="24"/>
          <w:lang w:bidi="he-IL"/>
        </w:rPr>
        <w:t xml:space="preserve">make </w:t>
      </w:r>
      <w:r w:rsidRPr="00A61532">
        <w:rPr>
          <w:rFonts w:asciiTheme="majorBidi" w:eastAsia="SimSun" w:hAnsiTheme="majorBidi" w:cstheme="majorBidi"/>
          <w:color w:val="000000" w:themeColor="text1"/>
          <w:kern w:val="0"/>
          <w:szCs w:val="24"/>
          <w:lang w:bidi="he-IL"/>
        </w:rPr>
        <w:t xml:space="preserve">direct payments of </w:t>
      </w:r>
      <w:r w:rsidRPr="00E857FA">
        <w:rPr>
          <w:rFonts w:asciiTheme="majorBidi" w:eastAsia="SimSun" w:hAnsiTheme="majorBidi" w:cstheme="majorBidi"/>
          <w:color w:val="000000" w:themeColor="text1"/>
          <w:kern w:val="0"/>
          <w:szCs w:val="24"/>
          <w:lang w:bidi="he-IL"/>
        </w:rPr>
        <w:t>any sort.</w:t>
      </w:r>
      <w:bookmarkStart w:id="157" w:name="_Toc47824870"/>
      <w:bookmarkEnd w:id="157"/>
      <w:r w:rsidR="00426DBD">
        <w:rPr>
          <w:rStyle w:val="FootnoteReference"/>
          <w:rFonts w:asciiTheme="majorBidi" w:eastAsia="SimSun" w:hAnsiTheme="majorBidi" w:cstheme="majorBidi"/>
          <w:color w:val="000000" w:themeColor="text1"/>
          <w:kern w:val="0"/>
          <w:szCs w:val="24"/>
          <w:lang w:bidi="he-IL"/>
        </w:rPr>
        <w:footnoteReference w:id="101"/>
      </w:r>
    </w:p>
    <w:p w14:paraId="5B5BCDFD" w14:textId="20DAFEC2" w:rsidR="00C413E2" w:rsidRPr="00E857FA" w:rsidRDefault="00C413E2" w:rsidP="00C413E2">
      <w:pPr>
        <w:widowControl/>
        <w:spacing w:line="259" w:lineRule="auto"/>
        <w:rPr>
          <w:rFonts w:asciiTheme="majorBidi" w:eastAsia="SimSun" w:hAnsiTheme="majorBidi" w:cstheme="majorBidi"/>
          <w:color w:val="000000" w:themeColor="text1"/>
          <w:kern w:val="0"/>
          <w:szCs w:val="24"/>
          <w:lang w:bidi="he-IL"/>
        </w:rPr>
      </w:pPr>
      <w:r w:rsidRPr="00E857FA">
        <w:rPr>
          <w:rFonts w:asciiTheme="majorBidi" w:eastAsia="SimSun" w:hAnsiTheme="majorBidi" w:cstheme="majorBidi"/>
          <w:color w:val="000000" w:themeColor="text1"/>
          <w:kern w:val="0"/>
          <w:szCs w:val="24"/>
          <w:lang w:bidi="he-IL"/>
        </w:rPr>
        <w:t>Table A4 of the Online Appendix</w:t>
      </w:r>
      <w:r w:rsidR="000A19AA">
        <w:rPr>
          <w:rFonts w:asciiTheme="majorBidi" w:eastAsia="SimSun" w:hAnsiTheme="majorBidi" w:cstheme="majorBidi"/>
          <w:color w:val="000000" w:themeColor="text1"/>
          <w:kern w:val="0"/>
          <w:szCs w:val="24"/>
          <w:lang w:bidi="he-IL"/>
        </w:rPr>
        <w:t xml:space="preserve"> shows</w:t>
      </w:r>
      <w:r w:rsidRPr="00E857FA">
        <w:rPr>
          <w:rFonts w:asciiTheme="majorBidi" w:eastAsia="SimSun" w:hAnsiTheme="majorBidi" w:cstheme="majorBidi"/>
          <w:color w:val="000000" w:themeColor="text1"/>
          <w:kern w:val="0"/>
          <w:szCs w:val="24"/>
          <w:lang w:bidi="he-IL"/>
        </w:rPr>
        <w:t xml:space="preserve"> these results hold </w:t>
      </w:r>
      <w:r w:rsidR="000A19AA">
        <w:rPr>
          <w:rFonts w:asciiTheme="majorBidi" w:eastAsia="SimSun" w:hAnsiTheme="majorBidi" w:cstheme="majorBidi"/>
          <w:color w:val="000000" w:themeColor="text1"/>
          <w:kern w:val="0"/>
          <w:szCs w:val="24"/>
          <w:lang w:bidi="he-IL"/>
        </w:rPr>
        <w:t>for</w:t>
      </w:r>
      <w:r w:rsidRPr="00E857FA">
        <w:rPr>
          <w:rFonts w:asciiTheme="majorBidi" w:eastAsia="SimSun" w:hAnsiTheme="majorBidi" w:cstheme="majorBidi"/>
          <w:color w:val="000000" w:themeColor="text1"/>
          <w:kern w:val="0"/>
          <w:szCs w:val="24"/>
          <w:lang w:bidi="he-IL"/>
        </w:rPr>
        <w:t xml:space="preserve"> all 105 transactions</w:t>
      </w:r>
      <w:r w:rsidR="00E857FA" w:rsidRPr="00E857FA">
        <w:rPr>
          <w:rFonts w:asciiTheme="majorBidi" w:eastAsia="SimSun" w:hAnsiTheme="majorBidi" w:cstheme="majorBidi"/>
          <w:color w:val="000000" w:themeColor="text1"/>
          <w:kern w:val="0"/>
          <w:szCs w:val="24"/>
          <w:lang w:bidi="he-IL"/>
        </w:rPr>
        <w:t xml:space="preserve"> in our sample</w:t>
      </w:r>
      <w:r w:rsidRPr="00E857FA">
        <w:rPr>
          <w:rFonts w:asciiTheme="majorBidi" w:eastAsia="SimSun" w:hAnsiTheme="majorBidi" w:cstheme="majorBidi"/>
          <w:color w:val="000000" w:themeColor="text1"/>
          <w:kern w:val="0"/>
          <w:szCs w:val="24"/>
          <w:lang w:bidi="he-IL"/>
        </w:rPr>
        <w:t xml:space="preserve">. Commitments to retain </w:t>
      </w:r>
      <w:r w:rsidR="00626A3A">
        <w:rPr>
          <w:rFonts w:asciiTheme="majorBidi" w:eastAsia="SimSun" w:hAnsiTheme="majorBidi" w:cstheme="majorBidi"/>
          <w:color w:val="000000" w:themeColor="text1"/>
          <w:kern w:val="0"/>
          <w:szCs w:val="24"/>
          <w:lang w:bidi="he-IL"/>
        </w:rPr>
        <w:t xml:space="preserve">the </w:t>
      </w:r>
      <w:r w:rsidRPr="00E857FA">
        <w:rPr>
          <w:rFonts w:asciiTheme="majorBidi" w:eastAsia="SimSun" w:hAnsiTheme="majorBidi" w:cstheme="majorBidi"/>
          <w:color w:val="000000" w:themeColor="text1"/>
          <w:kern w:val="0"/>
          <w:szCs w:val="24"/>
          <w:lang w:bidi="he-IL"/>
        </w:rPr>
        <w:t>target</w:t>
      </w:r>
      <w:r w:rsidR="000A19AA">
        <w:rPr>
          <w:rFonts w:asciiTheme="majorBidi" w:eastAsia="SimSun" w:hAnsiTheme="majorBidi" w:cstheme="majorBidi"/>
          <w:color w:val="000000" w:themeColor="text1"/>
          <w:kern w:val="0"/>
          <w:szCs w:val="24"/>
          <w:lang w:bidi="he-IL"/>
        </w:rPr>
        <w:t>’</w:t>
      </w:r>
      <w:r w:rsidRPr="00E857FA">
        <w:rPr>
          <w:rFonts w:asciiTheme="majorBidi" w:eastAsia="SimSun" w:hAnsiTheme="majorBidi" w:cstheme="majorBidi"/>
          <w:color w:val="000000" w:themeColor="text1"/>
          <w:kern w:val="0"/>
          <w:szCs w:val="24"/>
          <w:lang w:bidi="he-IL"/>
        </w:rPr>
        <w:t>s employees in the surviving company were only documented in 5% of the transactions. A textual assessment of these commitments suggests that not only do they appear very sparsely throughout the sample, but they also fall short in terms of quality. Except for the “NCO Group” acquisition, in which the buyer committed to retain 25 specific “Tier 2 employees,” these clauses are quite vague and narrow in nature. They do not specify until when employees must be retained</w:t>
      </w:r>
      <w:r w:rsidR="0080502C">
        <w:rPr>
          <w:rFonts w:asciiTheme="majorBidi" w:eastAsia="SimSun" w:hAnsiTheme="majorBidi" w:cstheme="majorBidi"/>
          <w:color w:val="000000" w:themeColor="text1"/>
          <w:kern w:val="0"/>
          <w:szCs w:val="24"/>
          <w:lang w:bidi="he-IL"/>
        </w:rPr>
        <w:t>,</w:t>
      </w:r>
      <w:r w:rsidRPr="00E857FA">
        <w:rPr>
          <w:rFonts w:asciiTheme="majorBidi" w:eastAsia="SimSun" w:hAnsiTheme="majorBidi" w:cstheme="majorBidi"/>
          <w:color w:val="000000" w:themeColor="text1"/>
          <w:kern w:val="0"/>
          <w:szCs w:val="24"/>
          <w:lang w:bidi="he-IL"/>
        </w:rPr>
        <w:t xml:space="preserve"> and the company maintains the right to terminate the employment of any employee after the merger.</w:t>
      </w:r>
      <w:r w:rsidRPr="00E857FA">
        <w:rPr>
          <w:rFonts w:asciiTheme="majorBidi" w:eastAsia="SimSun" w:hAnsiTheme="majorBidi" w:cstheme="majorBidi"/>
          <w:color w:val="000000" w:themeColor="text1"/>
          <w:kern w:val="0"/>
          <w:szCs w:val="24"/>
          <w:vertAlign w:val="superscript"/>
          <w:lang w:bidi="he-IL"/>
        </w:rPr>
        <w:footnoteReference w:id="102"/>
      </w:r>
      <w:r w:rsidRPr="00E857FA">
        <w:rPr>
          <w:rFonts w:asciiTheme="majorBidi" w:eastAsia="SimSun" w:hAnsiTheme="majorBidi" w:cstheme="majorBidi"/>
          <w:color w:val="000000" w:themeColor="text1"/>
          <w:kern w:val="0"/>
          <w:szCs w:val="24"/>
          <w:lang w:bidi="he-IL"/>
        </w:rPr>
        <w:t xml:space="preserve"> </w:t>
      </w:r>
      <w:bookmarkStart w:id="158" w:name="_Toc47824871"/>
      <w:bookmarkEnd w:id="158"/>
    </w:p>
    <w:p w14:paraId="6466CADA" w14:textId="2C7D0E7D" w:rsidR="00C40B42" w:rsidRPr="001D19C9" w:rsidRDefault="00C40B42" w:rsidP="00C40B42">
      <w:pPr>
        <w:widowControl/>
        <w:spacing w:line="259" w:lineRule="auto"/>
        <w:rPr>
          <w:rFonts w:asciiTheme="majorBidi" w:eastAsia="SimSun" w:hAnsiTheme="majorBidi" w:cstheme="majorBidi"/>
          <w:color w:val="000000" w:themeColor="text1"/>
          <w:kern w:val="0"/>
          <w:szCs w:val="24"/>
          <w:lang w:bidi="he-IL"/>
        </w:rPr>
      </w:pPr>
      <w:r w:rsidRPr="00E857FA">
        <w:rPr>
          <w:rFonts w:asciiTheme="majorBidi" w:eastAsia="SimSun" w:hAnsiTheme="majorBidi" w:cstheme="majorBidi"/>
          <w:color w:val="000000" w:themeColor="text1"/>
          <w:kern w:val="0"/>
          <w:szCs w:val="24"/>
          <w:lang w:bidi="he-IL"/>
        </w:rPr>
        <w:t>A commitment to maintain certain aggregate levels of employment was only docum</w:t>
      </w:r>
      <w:r w:rsidRPr="00A61532">
        <w:rPr>
          <w:rFonts w:asciiTheme="majorBidi" w:eastAsia="SimSun" w:hAnsiTheme="majorBidi" w:cstheme="majorBidi"/>
          <w:color w:val="000000" w:themeColor="text1"/>
          <w:kern w:val="0"/>
          <w:szCs w:val="24"/>
          <w:lang w:bidi="he-IL"/>
        </w:rPr>
        <w:t>ented in the “Michael Baker Corp” acquisition. This specific commitment was equipped with an enforcement mechanism, requiring continuing directors selected from the target</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previous board to approve any decision that would be inconsistent with it. However, this commitment is limited to a period of three years and</w:t>
      </w:r>
      <w:r w:rsidR="00F43B63">
        <w:rPr>
          <w:rFonts w:asciiTheme="majorBidi" w:eastAsia="SimSun" w:hAnsiTheme="majorBidi" w:cstheme="majorBidi"/>
          <w:color w:val="000000" w:themeColor="text1"/>
          <w:kern w:val="0"/>
          <w:szCs w:val="24"/>
          <w:lang w:bidi="he-IL"/>
        </w:rPr>
        <w:t>,</w:t>
      </w:r>
      <w:r w:rsidR="00F43B63" w:rsidRPr="00F43B63">
        <w:rPr>
          <w:rFonts w:asciiTheme="majorBidi" w:eastAsia="SimSun" w:hAnsiTheme="majorBidi" w:cstheme="majorBidi"/>
          <w:color w:val="000000" w:themeColor="text1"/>
          <w:kern w:val="0"/>
          <w:szCs w:val="24"/>
          <w:lang w:bidi="he-IL"/>
        </w:rPr>
        <w:t xml:space="preserve"> </w:t>
      </w:r>
      <w:r w:rsidR="00F43B63" w:rsidRPr="00A61532">
        <w:rPr>
          <w:rFonts w:asciiTheme="majorBidi" w:eastAsia="SimSun" w:hAnsiTheme="majorBidi" w:cstheme="majorBidi"/>
          <w:color w:val="000000" w:themeColor="text1"/>
          <w:kern w:val="0"/>
          <w:szCs w:val="24"/>
          <w:lang w:bidi="he-IL"/>
        </w:rPr>
        <w:t>by definition,</w:t>
      </w:r>
      <w:r w:rsidRPr="00A61532">
        <w:rPr>
          <w:rFonts w:asciiTheme="majorBidi" w:eastAsia="SimSun" w:hAnsiTheme="majorBidi" w:cstheme="majorBidi"/>
          <w:color w:val="000000" w:themeColor="text1"/>
          <w:kern w:val="0"/>
          <w:szCs w:val="24"/>
          <w:lang w:bidi="he-IL"/>
        </w:rPr>
        <w:t xml:space="preserve"> allows the acquirer to terminate specific employees and replace them with new ones. This commitment is also subject to a vague qualifier (“to the extent commercially reasonable”), which leaves a significant amount of uncerta</w:t>
      </w:r>
      <w:r w:rsidRPr="001D19C9">
        <w:rPr>
          <w:rFonts w:asciiTheme="majorBidi" w:eastAsia="SimSun" w:hAnsiTheme="majorBidi" w:cstheme="majorBidi"/>
          <w:color w:val="000000" w:themeColor="text1"/>
          <w:kern w:val="0"/>
          <w:szCs w:val="24"/>
          <w:lang w:bidi="he-IL"/>
        </w:rPr>
        <w:t>inty as to the circumstances under which it can be avoided.</w:t>
      </w:r>
      <w:r w:rsidRPr="001D19C9">
        <w:rPr>
          <w:rFonts w:asciiTheme="majorBidi" w:eastAsia="SimSun" w:hAnsiTheme="majorBidi" w:cstheme="majorBidi"/>
          <w:color w:val="000000" w:themeColor="text1"/>
          <w:kern w:val="0"/>
          <w:szCs w:val="24"/>
          <w:vertAlign w:val="superscript"/>
          <w:lang w:bidi="he-IL"/>
        </w:rPr>
        <w:footnoteReference w:id="103"/>
      </w:r>
      <w:bookmarkStart w:id="159" w:name="_Toc47824872"/>
      <w:bookmarkEnd w:id="159"/>
    </w:p>
    <w:p w14:paraId="5680F80B" w14:textId="44B56FC6" w:rsidR="00C40B42" w:rsidRPr="001D19C9"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1D19C9">
        <w:rPr>
          <w:rFonts w:asciiTheme="majorBidi" w:eastAsia="SimSun" w:hAnsiTheme="majorBidi" w:cstheme="majorBidi"/>
          <w:color w:val="000000" w:themeColor="text1"/>
          <w:kern w:val="0"/>
          <w:szCs w:val="24"/>
          <w:lang w:bidi="he-IL"/>
        </w:rPr>
        <w:lastRenderedPageBreak/>
        <w:t xml:space="preserve">Additionally, commitments to maintain the levels of compensation and benefits for continuing employees (without a commitment to retain their employment) were documented in </w:t>
      </w:r>
      <w:r w:rsidR="00F43B63" w:rsidRPr="001D19C9">
        <w:rPr>
          <w:rFonts w:asciiTheme="majorBidi" w:eastAsia="SimSun" w:hAnsiTheme="majorBidi" w:cstheme="majorBidi"/>
          <w:color w:val="000000" w:themeColor="text1"/>
          <w:kern w:val="0"/>
          <w:szCs w:val="24"/>
          <w:lang w:bidi="he-IL"/>
        </w:rPr>
        <w:t xml:space="preserve">only </w:t>
      </w:r>
      <w:r w:rsidR="001D19C9" w:rsidRPr="001D19C9">
        <w:rPr>
          <w:rFonts w:asciiTheme="majorBidi" w:eastAsia="SimSun" w:hAnsiTheme="majorBidi" w:cstheme="majorBidi"/>
          <w:color w:val="000000" w:themeColor="text1"/>
          <w:kern w:val="0"/>
          <w:szCs w:val="24"/>
          <w:lang w:bidi="he-IL"/>
        </w:rPr>
        <w:t>72</w:t>
      </w:r>
      <w:r w:rsidRPr="001D19C9">
        <w:rPr>
          <w:rFonts w:asciiTheme="majorBidi" w:eastAsia="SimSun" w:hAnsiTheme="majorBidi" w:cstheme="majorBidi"/>
          <w:color w:val="000000" w:themeColor="text1"/>
          <w:kern w:val="0"/>
          <w:szCs w:val="24"/>
          <w:lang w:bidi="he-IL"/>
        </w:rPr>
        <w:t>% of transactions</w:t>
      </w:r>
      <w:r w:rsidR="001D19C9" w:rsidRPr="001D19C9">
        <w:rPr>
          <w:rFonts w:asciiTheme="majorBidi" w:eastAsia="SimSun" w:hAnsiTheme="majorBidi" w:cstheme="majorBidi"/>
          <w:color w:val="000000" w:themeColor="text1"/>
          <w:kern w:val="0"/>
          <w:szCs w:val="24"/>
          <w:lang w:bidi="he-IL"/>
        </w:rPr>
        <w:t xml:space="preserve"> in the sample</w:t>
      </w:r>
      <w:r w:rsidRPr="001D19C9">
        <w:rPr>
          <w:rFonts w:asciiTheme="majorBidi" w:eastAsia="SimSun" w:hAnsiTheme="majorBidi" w:cstheme="majorBidi"/>
          <w:color w:val="000000" w:themeColor="text1"/>
          <w:kern w:val="0"/>
          <w:szCs w:val="24"/>
          <w:lang w:bidi="he-IL"/>
        </w:rPr>
        <w:t>, and were typically limited to a time period averaging 12 months.</w:t>
      </w:r>
      <w:r w:rsidR="001D19C9">
        <w:rPr>
          <w:rFonts w:asciiTheme="majorBidi" w:eastAsia="SimSun" w:hAnsiTheme="majorBidi" w:cstheme="majorBidi"/>
          <w:color w:val="000000" w:themeColor="text1"/>
          <w:kern w:val="0"/>
          <w:szCs w:val="24"/>
          <w:lang w:bidi="he-IL"/>
        </w:rPr>
        <w:t xml:space="preserve"> </w:t>
      </w:r>
      <w:r w:rsidR="001D19C9" w:rsidRPr="00E857FA">
        <w:t>The remaining transactions offered either lesser protections for employees or none at all</w:t>
      </w:r>
      <w:r w:rsidR="001D19C9">
        <w:t>.</w:t>
      </w:r>
      <w:r w:rsidRPr="001D19C9">
        <w:rPr>
          <w:rFonts w:asciiTheme="majorBidi" w:eastAsia="SimSun" w:hAnsiTheme="majorBidi" w:cstheme="majorBidi"/>
          <w:color w:val="000000" w:themeColor="text1"/>
          <w:kern w:val="0"/>
          <w:szCs w:val="24"/>
          <w:lang w:bidi="he-IL"/>
        </w:rPr>
        <w:t xml:space="preserve"> Employees received additional payments in </w:t>
      </w:r>
      <w:r w:rsidR="00E61AB2">
        <w:rPr>
          <w:rFonts w:asciiTheme="majorBidi" w:eastAsia="SimSun" w:hAnsiTheme="majorBidi" w:cstheme="majorBidi"/>
          <w:color w:val="000000" w:themeColor="text1"/>
          <w:kern w:val="0"/>
          <w:szCs w:val="24"/>
          <w:lang w:bidi="he-IL"/>
        </w:rPr>
        <w:t>16</w:t>
      </w:r>
      <w:r w:rsidR="00E61AB2" w:rsidRPr="001D19C9">
        <w:rPr>
          <w:rFonts w:asciiTheme="majorBidi" w:eastAsia="SimSun" w:hAnsiTheme="majorBidi" w:cstheme="majorBidi"/>
          <w:color w:val="000000" w:themeColor="text1"/>
          <w:kern w:val="0"/>
          <w:szCs w:val="24"/>
          <w:lang w:bidi="he-IL"/>
        </w:rPr>
        <w:t xml:space="preserve">% </w:t>
      </w:r>
      <w:r w:rsidRPr="001D19C9">
        <w:rPr>
          <w:rFonts w:asciiTheme="majorBidi" w:eastAsia="SimSun" w:hAnsiTheme="majorBidi" w:cstheme="majorBidi"/>
          <w:color w:val="000000" w:themeColor="text1"/>
          <w:kern w:val="0"/>
          <w:szCs w:val="24"/>
          <w:lang w:bidi="he-IL"/>
        </w:rPr>
        <w:t xml:space="preserve">of </w:t>
      </w:r>
      <w:r w:rsidR="001D19C9" w:rsidRPr="001D19C9">
        <w:rPr>
          <w:rFonts w:asciiTheme="majorBidi" w:eastAsia="SimSun" w:hAnsiTheme="majorBidi" w:cstheme="majorBidi"/>
          <w:color w:val="000000" w:themeColor="text1"/>
          <w:kern w:val="0"/>
          <w:szCs w:val="24"/>
          <w:lang w:bidi="he-IL"/>
        </w:rPr>
        <w:t>all</w:t>
      </w:r>
      <w:r w:rsidRPr="001D19C9">
        <w:rPr>
          <w:rFonts w:asciiTheme="majorBidi" w:eastAsia="SimSun" w:hAnsiTheme="majorBidi" w:cstheme="majorBidi"/>
          <w:color w:val="000000" w:themeColor="text1"/>
          <w:kern w:val="0"/>
          <w:szCs w:val="24"/>
          <w:lang w:bidi="he-IL"/>
        </w:rPr>
        <w:t xml:space="preserve"> transactions, with an average (median) amount of $</w:t>
      </w:r>
      <w:r w:rsidR="001D19C9" w:rsidRPr="001D19C9">
        <w:rPr>
          <w:rFonts w:asciiTheme="majorBidi" w:eastAsia="SimSun" w:hAnsiTheme="majorBidi" w:cstheme="majorBidi"/>
          <w:color w:val="000000" w:themeColor="text1"/>
          <w:kern w:val="0"/>
          <w:szCs w:val="24"/>
          <w:lang w:bidi="he-IL"/>
        </w:rPr>
        <w:t>3</w:t>
      </w:r>
      <w:r w:rsidRPr="001D19C9">
        <w:rPr>
          <w:rFonts w:asciiTheme="majorBidi" w:eastAsia="SimSun" w:hAnsiTheme="majorBidi" w:cstheme="majorBidi"/>
          <w:color w:val="000000" w:themeColor="text1"/>
          <w:kern w:val="0"/>
          <w:szCs w:val="24"/>
          <w:lang w:bidi="he-IL"/>
        </w:rPr>
        <w:t>.</w:t>
      </w:r>
      <w:r w:rsidR="001D19C9" w:rsidRPr="001D19C9">
        <w:rPr>
          <w:rFonts w:asciiTheme="majorBidi" w:eastAsia="SimSun" w:hAnsiTheme="majorBidi" w:cstheme="majorBidi"/>
          <w:color w:val="000000" w:themeColor="text1"/>
          <w:kern w:val="0"/>
          <w:szCs w:val="24"/>
          <w:lang w:bidi="he-IL"/>
        </w:rPr>
        <w:t>6</w:t>
      </w:r>
      <w:r w:rsidRPr="001D19C9">
        <w:rPr>
          <w:rFonts w:asciiTheme="majorBidi" w:eastAsia="SimSun" w:hAnsiTheme="majorBidi" w:cstheme="majorBidi"/>
          <w:color w:val="000000" w:themeColor="text1"/>
          <w:kern w:val="0"/>
          <w:szCs w:val="24"/>
          <w:lang w:bidi="he-IL"/>
        </w:rPr>
        <w:t xml:space="preserve"> ($0.</w:t>
      </w:r>
      <w:r w:rsidR="001D19C9" w:rsidRPr="001D19C9">
        <w:rPr>
          <w:rFonts w:asciiTheme="majorBidi" w:eastAsia="SimSun" w:hAnsiTheme="majorBidi" w:cstheme="majorBidi"/>
          <w:color w:val="000000" w:themeColor="text1"/>
          <w:kern w:val="0"/>
          <w:szCs w:val="24"/>
          <w:lang w:bidi="he-IL"/>
        </w:rPr>
        <w:t>7</w:t>
      </w:r>
      <w:r w:rsidRPr="001D19C9">
        <w:rPr>
          <w:rFonts w:asciiTheme="majorBidi" w:eastAsia="SimSun" w:hAnsiTheme="majorBidi" w:cstheme="majorBidi"/>
          <w:color w:val="000000" w:themeColor="text1"/>
          <w:kern w:val="0"/>
          <w:szCs w:val="24"/>
          <w:lang w:bidi="he-IL"/>
        </w:rPr>
        <w:t>)</w:t>
      </w:r>
      <w:r w:rsidR="00E61AB2">
        <w:rPr>
          <w:rFonts w:asciiTheme="majorBidi" w:eastAsia="SimSun" w:hAnsiTheme="majorBidi" w:cstheme="majorBidi"/>
          <w:color w:val="000000" w:themeColor="text1"/>
          <w:kern w:val="0"/>
          <w:szCs w:val="24"/>
          <w:lang w:bidi="he-IL"/>
        </w:rPr>
        <w:t xml:space="preserve"> million</w:t>
      </w:r>
      <w:r w:rsidRPr="001D19C9">
        <w:rPr>
          <w:rFonts w:asciiTheme="majorBidi" w:eastAsia="SimSun" w:hAnsiTheme="majorBidi" w:cstheme="majorBidi"/>
          <w:color w:val="000000" w:themeColor="text1"/>
          <w:kern w:val="0"/>
          <w:szCs w:val="24"/>
          <w:lang w:bidi="he-IL"/>
        </w:rPr>
        <w:t>; and explicit rejection of third-party beneficiary rights to employees was documented in 9</w:t>
      </w:r>
      <w:r w:rsidR="001D19C9" w:rsidRPr="001D19C9">
        <w:rPr>
          <w:rFonts w:asciiTheme="majorBidi" w:eastAsia="SimSun" w:hAnsiTheme="majorBidi" w:cstheme="majorBidi"/>
          <w:color w:val="000000" w:themeColor="text1"/>
          <w:kern w:val="0"/>
          <w:szCs w:val="24"/>
          <w:lang w:bidi="he-IL"/>
        </w:rPr>
        <w:t>4</w:t>
      </w:r>
      <w:r w:rsidRPr="001D19C9">
        <w:rPr>
          <w:rFonts w:asciiTheme="majorBidi" w:eastAsia="SimSun" w:hAnsiTheme="majorBidi" w:cstheme="majorBidi"/>
          <w:color w:val="000000" w:themeColor="text1"/>
          <w:kern w:val="0"/>
          <w:szCs w:val="24"/>
          <w:lang w:bidi="he-IL"/>
        </w:rPr>
        <w:t>% of the transactions.</w:t>
      </w:r>
      <w:r w:rsidRPr="001D19C9">
        <w:rPr>
          <w:rFonts w:asciiTheme="majorBidi" w:eastAsia="SimSun" w:hAnsiTheme="majorBidi" w:cstheme="majorBidi"/>
          <w:color w:val="000000" w:themeColor="text1"/>
          <w:kern w:val="0"/>
          <w:szCs w:val="24"/>
          <w:vertAlign w:val="superscript"/>
          <w:lang w:bidi="he-IL"/>
        </w:rPr>
        <w:footnoteReference w:id="104"/>
      </w:r>
      <w:r w:rsidR="001D19C9">
        <w:rPr>
          <w:rFonts w:asciiTheme="majorBidi" w:eastAsia="SimSun" w:hAnsiTheme="majorBidi" w:cstheme="majorBidi"/>
          <w:color w:val="000000" w:themeColor="text1"/>
          <w:kern w:val="0"/>
          <w:szCs w:val="24"/>
          <w:lang w:bidi="he-IL"/>
        </w:rPr>
        <w:t xml:space="preserve"> </w:t>
      </w:r>
      <w:r w:rsidR="001D19C9" w:rsidRPr="00052D1C">
        <w:rPr>
          <w:rFonts w:asciiTheme="majorBidi" w:eastAsia="SimSun" w:hAnsiTheme="majorBidi" w:cstheme="majorBidi"/>
          <w:color w:val="000000" w:themeColor="text1"/>
          <w:kern w:val="0"/>
          <w:szCs w:val="24"/>
          <w:lang w:bidi="he-IL"/>
        </w:rPr>
        <w:t>When we separate the ERR and Non-ERR deals, the findings remain qualitatively similar</w:t>
      </w:r>
      <w:r w:rsidR="001D19C9">
        <w:rPr>
          <w:rFonts w:asciiTheme="majorBidi" w:eastAsia="SimSun" w:hAnsiTheme="majorBidi" w:cstheme="majorBidi"/>
          <w:color w:val="000000" w:themeColor="text1"/>
          <w:kern w:val="0"/>
          <w:szCs w:val="24"/>
          <w:lang w:bidi="he-IL"/>
        </w:rPr>
        <w:t>.</w:t>
      </w:r>
      <w:r w:rsidR="001D19C9" w:rsidRPr="001D19C9">
        <w:rPr>
          <w:rFonts w:asciiTheme="majorBidi" w:eastAsia="SimSun" w:hAnsiTheme="majorBidi" w:cstheme="majorBidi"/>
          <w:color w:val="000000" w:themeColor="text1"/>
          <w:kern w:val="0"/>
          <w:szCs w:val="24"/>
          <w:vertAlign w:val="superscript"/>
          <w:lang w:bidi="he-IL"/>
        </w:rPr>
        <w:footnoteReference w:id="105"/>
      </w:r>
      <w:bookmarkStart w:id="160" w:name="_Toc47824873"/>
      <w:bookmarkEnd w:id="160"/>
    </w:p>
    <w:p w14:paraId="2CB89896" w14:textId="77777777" w:rsidR="00C40B42" w:rsidRPr="001D19C9" w:rsidRDefault="00C40B42" w:rsidP="00C40B42">
      <w:pPr>
        <w:pStyle w:val="Heading3"/>
        <w:rPr>
          <w:lang w:bidi="he-IL"/>
        </w:rPr>
      </w:pPr>
      <w:bookmarkStart w:id="161" w:name="_Toc47616594"/>
      <w:bookmarkStart w:id="162" w:name="_Toc47665978"/>
      <w:bookmarkStart w:id="163" w:name="_Toc47886007"/>
      <w:r w:rsidRPr="001D19C9">
        <w:rPr>
          <w:lang w:bidi="he-IL"/>
        </w:rPr>
        <w:t>Customers, Suppliers, and Creditors</w:t>
      </w:r>
      <w:bookmarkEnd w:id="161"/>
      <w:bookmarkEnd w:id="162"/>
      <w:bookmarkEnd w:id="163"/>
    </w:p>
    <w:p w14:paraId="40C27D1F" w14:textId="3D9ED17A" w:rsidR="00C40B42" w:rsidRPr="00A61532" w:rsidRDefault="00C40B42" w:rsidP="00C40B42">
      <w:pPr>
        <w:widowControl/>
        <w:spacing w:before="240"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We now turn to look at three other groups which are explicitly noted in the constituency statutes that govern a substantial majority of the transactions in our sample. As Table </w:t>
      </w:r>
      <w:r w:rsidR="004E63D8">
        <w:rPr>
          <w:rFonts w:asciiTheme="majorBidi" w:eastAsia="SimSun" w:hAnsiTheme="majorBidi" w:cstheme="majorBidi"/>
          <w:kern w:val="0"/>
          <w:szCs w:val="24"/>
          <w:lang w:bidi="he-IL"/>
        </w:rPr>
        <w:t>8</w:t>
      </w:r>
      <w:r w:rsidRPr="00A61532">
        <w:rPr>
          <w:rFonts w:asciiTheme="majorBidi" w:eastAsia="SimSun" w:hAnsiTheme="majorBidi" w:cstheme="majorBidi"/>
          <w:kern w:val="0"/>
          <w:szCs w:val="24"/>
          <w:lang w:bidi="he-IL"/>
        </w:rPr>
        <w:t xml:space="preserve"> above shows, customers were explicitly mentioned in 17 constituency statutes, which governed over 90% of the transactions in the sample; suppliers were explicitly mentioned in 14 constituency statutes, which governed over 80% of the transactions in the sample; and creditors were explicitly noted in 12 constituency statutes, which governed 65% of the transactions.</w:t>
      </w:r>
      <w:r w:rsidRPr="00A61532">
        <w:rPr>
          <w:rFonts w:asciiTheme="majorBidi" w:eastAsia="SimSun" w:hAnsiTheme="majorBidi" w:cstheme="majorBidi"/>
          <w:color w:val="000000" w:themeColor="text1"/>
          <w:kern w:val="0"/>
          <w:szCs w:val="24"/>
          <w:lang w:bidi="he-IL"/>
        </w:rPr>
        <w:t xml:space="preserve"> However, as Table </w:t>
      </w:r>
      <w:r w:rsidR="006B5B7A">
        <w:rPr>
          <w:rFonts w:asciiTheme="majorBidi" w:eastAsia="SimSun" w:hAnsiTheme="majorBidi" w:cstheme="majorBidi"/>
          <w:color w:val="000000" w:themeColor="text1"/>
          <w:kern w:val="0"/>
          <w:szCs w:val="24"/>
          <w:lang w:bidi="he-IL"/>
        </w:rPr>
        <w:t>10</w:t>
      </w:r>
      <w:r w:rsidRPr="00A61532">
        <w:rPr>
          <w:rFonts w:asciiTheme="majorBidi" w:eastAsia="SimSun" w:hAnsiTheme="majorBidi" w:cstheme="majorBidi"/>
          <w:color w:val="000000" w:themeColor="text1"/>
          <w:kern w:val="0"/>
          <w:szCs w:val="24"/>
          <w:lang w:bidi="he-IL"/>
        </w:rPr>
        <w:t xml:space="preserve"> </w:t>
      </w:r>
      <w:r w:rsidR="006B5B7A">
        <w:rPr>
          <w:rFonts w:asciiTheme="majorBidi" w:eastAsia="SimSun" w:hAnsiTheme="majorBidi" w:cstheme="majorBidi"/>
          <w:color w:val="000000" w:themeColor="text1"/>
          <w:kern w:val="0"/>
          <w:szCs w:val="24"/>
          <w:lang w:bidi="he-IL"/>
        </w:rPr>
        <w:t xml:space="preserve">reports, </w:t>
      </w:r>
      <w:r w:rsidRPr="00A61532">
        <w:rPr>
          <w:rFonts w:asciiTheme="majorBidi" w:eastAsia="SimSun" w:hAnsiTheme="majorBidi" w:cstheme="majorBidi"/>
          <w:color w:val="000000" w:themeColor="text1"/>
          <w:kern w:val="0"/>
          <w:szCs w:val="24"/>
          <w:lang w:bidi="he-IL"/>
        </w:rPr>
        <w:t xml:space="preserve">none of the </w:t>
      </w:r>
      <w:r w:rsidR="006B5B7A">
        <w:rPr>
          <w:rFonts w:asciiTheme="majorBidi" w:eastAsia="SimSun" w:hAnsiTheme="majorBidi" w:cstheme="majorBidi"/>
          <w:color w:val="000000" w:themeColor="text1"/>
          <w:kern w:val="0"/>
          <w:szCs w:val="24"/>
          <w:lang w:bidi="he-IL"/>
        </w:rPr>
        <w:t>12</w:t>
      </w:r>
      <w:r w:rsidRPr="00A61532">
        <w:rPr>
          <w:rFonts w:asciiTheme="majorBidi" w:eastAsia="SimSun" w:hAnsiTheme="majorBidi" w:cstheme="majorBidi"/>
          <w:color w:val="000000" w:themeColor="text1"/>
          <w:kern w:val="0"/>
          <w:szCs w:val="24"/>
          <w:lang w:bidi="he-IL"/>
        </w:rPr>
        <w:t xml:space="preserve"> largest ERR and </w:t>
      </w:r>
      <w:r w:rsidR="006B5B7A">
        <w:rPr>
          <w:rFonts w:asciiTheme="majorBidi" w:eastAsia="SimSun" w:hAnsiTheme="majorBidi" w:cstheme="majorBidi"/>
          <w:color w:val="000000" w:themeColor="text1"/>
          <w:kern w:val="0"/>
          <w:szCs w:val="24"/>
          <w:lang w:bidi="he-IL"/>
        </w:rPr>
        <w:t xml:space="preserve">12 largest </w:t>
      </w:r>
      <w:r w:rsidRPr="00A61532">
        <w:rPr>
          <w:rFonts w:asciiTheme="majorBidi" w:eastAsia="SimSun" w:hAnsiTheme="majorBidi" w:cstheme="majorBidi"/>
          <w:color w:val="000000" w:themeColor="text1"/>
          <w:kern w:val="0"/>
          <w:szCs w:val="24"/>
          <w:lang w:bidi="he-IL"/>
        </w:rPr>
        <w:t>Non-ERR transactions include protections for these three groups of stakeholders.</w:t>
      </w:r>
    </w:p>
    <w:p w14:paraId="0046E4CF" w14:textId="10D718D4" w:rsidR="00C40B42" w:rsidRPr="00332FE2" w:rsidRDefault="00763DE6" w:rsidP="00332FE2">
      <w:pPr>
        <w:pStyle w:val="Caption"/>
        <w:rPr>
          <w:rFonts w:asciiTheme="majorBidi" w:eastAsia="SimSun" w:hAnsiTheme="majorBidi"/>
          <w:i w:val="0"/>
          <w:color w:val="000000" w:themeColor="text1"/>
          <w:kern w:val="0"/>
        </w:rPr>
      </w:pPr>
      <w:bookmarkStart w:id="164" w:name="_Toc47873902"/>
      <w:bookmarkStart w:id="165" w:name="_Toc47886027"/>
      <w:r w:rsidRPr="00332FE2">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Pr>
          <w:rFonts w:asciiTheme="majorBidi" w:eastAsia="SimSun" w:hAnsiTheme="majorBidi" w:cstheme="majorBidi"/>
          <w:noProof/>
          <w:color w:val="000000" w:themeColor="text1"/>
          <w:kern w:val="0"/>
          <w:lang w:bidi="he-IL"/>
        </w:rPr>
        <w:t>10</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Protections for Customers, Suppliers, and Creditors</w:t>
      </w:r>
      <w:bookmarkEnd w:id="164"/>
      <w:bookmarkEnd w:id="165"/>
    </w:p>
    <w:tbl>
      <w:tblPr>
        <w:tblStyle w:val="TableGrid1"/>
        <w:tblW w:w="4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900"/>
        <w:gridCol w:w="1080"/>
        <w:gridCol w:w="810"/>
      </w:tblGrid>
      <w:tr w:rsidR="00C40B42" w:rsidRPr="00A61532" w14:paraId="505BD833" w14:textId="77777777" w:rsidTr="00C40B42">
        <w:trPr>
          <w:jc w:val="center"/>
        </w:trPr>
        <w:tc>
          <w:tcPr>
            <w:tcW w:w="1980" w:type="dxa"/>
            <w:tcBorders>
              <w:bottom w:val="double" w:sz="4" w:space="0" w:color="auto"/>
            </w:tcBorders>
            <w:tcMar>
              <w:left w:w="0" w:type="dxa"/>
              <w:right w:w="0" w:type="dxa"/>
            </w:tcMar>
            <w:vAlign w:val="center"/>
          </w:tcPr>
          <w:p w14:paraId="3AC484CF"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900" w:type="dxa"/>
            <w:tcBorders>
              <w:bottom w:val="double" w:sz="4" w:space="0" w:color="auto"/>
            </w:tcBorders>
            <w:tcMar>
              <w:left w:w="0" w:type="dxa"/>
              <w:right w:w="0" w:type="dxa"/>
            </w:tcMar>
            <w:vAlign w:val="center"/>
          </w:tcPr>
          <w:p w14:paraId="2027C81A"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 xml:space="preserve">Customers </w:t>
            </w:r>
          </w:p>
        </w:tc>
        <w:tc>
          <w:tcPr>
            <w:tcW w:w="1080" w:type="dxa"/>
            <w:tcBorders>
              <w:bottom w:val="double" w:sz="4" w:space="0" w:color="auto"/>
            </w:tcBorders>
            <w:tcMar>
              <w:left w:w="0" w:type="dxa"/>
              <w:right w:w="0" w:type="dxa"/>
            </w:tcMar>
            <w:vAlign w:val="center"/>
          </w:tcPr>
          <w:p w14:paraId="31345993"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Suppliers</w:t>
            </w:r>
          </w:p>
        </w:tc>
        <w:tc>
          <w:tcPr>
            <w:tcW w:w="810" w:type="dxa"/>
            <w:tcBorders>
              <w:bottom w:val="double" w:sz="4" w:space="0" w:color="auto"/>
            </w:tcBorders>
            <w:tcMar>
              <w:left w:w="0" w:type="dxa"/>
              <w:right w:w="0" w:type="dxa"/>
            </w:tcMar>
          </w:tcPr>
          <w:p w14:paraId="405D24D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Creditors</w:t>
            </w:r>
          </w:p>
        </w:tc>
      </w:tr>
      <w:tr w:rsidR="00C40B42" w:rsidRPr="00A61532" w14:paraId="3C679077" w14:textId="77777777" w:rsidTr="00C40B42">
        <w:trPr>
          <w:jc w:val="center"/>
        </w:trPr>
        <w:tc>
          <w:tcPr>
            <w:tcW w:w="1980" w:type="dxa"/>
            <w:tcBorders>
              <w:top w:val="double" w:sz="4" w:space="0" w:color="auto"/>
            </w:tcBorders>
            <w:tcMar>
              <w:left w:w="0" w:type="dxa"/>
              <w:right w:w="0" w:type="dxa"/>
            </w:tcMar>
          </w:tcPr>
          <w:p w14:paraId="6E81F2EB"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900" w:type="dxa"/>
            <w:tcBorders>
              <w:top w:val="double" w:sz="4" w:space="0" w:color="auto"/>
            </w:tcBorders>
            <w:tcMar>
              <w:left w:w="0" w:type="dxa"/>
              <w:right w:w="0" w:type="dxa"/>
            </w:tcMar>
          </w:tcPr>
          <w:p w14:paraId="0A510BC6"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top w:val="double" w:sz="4" w:space="0" w:color="auto"/>
            </w:tcBorders>
            <w:tcMar>
              <w:left w:w="0" w:type="dxa"/>
              <w:right w:w="0" w:type="dxa"/>
            </w:tcMar>
          </w:tcPr>
          <w:p w14:paraId="623D5BB5"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double" w:sz="4" w:space="0" w:color="auto"/>
            </w:tcBorders>
            <w:tcMar>
              <w:left w:w="0" w:type="dxa"/>
              <w:right w:w="0" w:type="dxa"/>
            </w:tcMar>
          </w:tcPr>
          <w:p w14:paraId="66F4121B"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52D1C99" w14:textId="77777777" w:rsidTr="00C40B42">
        <w:trPr>
          <w:jc w:val="center"/>
        </w:trPr>
        <w:tc>
          <w:tcPr>
            <w:tcW w:w="1980" w:type="dxa"/>
            <w:tcMar>
              <w:left w:w="0" w:type="dxa"/>
              <w:right w:w="0" w:type="dxa"/>
            </w:tcMar>
          </w:tcPr>
          <w:p w14:paraId="6C1E0C5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900" w:type="dxa"/>
            <w:tcMar>
              <w:left w:w="0" w:type="dxa"/>
              <w:right w:w="0" w:type="dxa"/>
            </w:tcMar>
          </w:tcPr>
          <w:p w14:paraId="57CBF05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45CF52B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DA59AB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1CB076E" w14:textId="77777777" w:rsidTr="00C40B42">
        <w:trPr>
          <w:jc w:val="center"/>
        </w:trPr>
        <w:tc>
          <w:tcPr>
            <w:tcW w:w="1980" w:type="dxa"/>
            <w:tcMar>
              <w:left w:w="0" w:type="dxa"/>
              <w:right w:w="0" w:type="dxa"/>
            </w:tcMar>
          </w:tcPr>
          <w:p w14:paraId="7EAEE34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900" w:type="dxa"/>
            <w:tcMar>
              <w:left w:w="0" w:type="dxa"/>
              <w:right w:w="0" w:type="dxa"/>
            </w:tcMar>
          </w:tcPr>
          <w:p w14:paraId="165343B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13597A4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AB3E0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A2E4332" w14:textId="77777777" w:rsidTr="00C40B42">
        <w:trPr>
          <w:jc w:val="center"/>
        </w:trPr>
        <w:tc>
          <w:tcPr>
            <w:tcW w:w="1980" w:type="dxa"/>
            <w:tcMar>
              <w:left w:w="0" w:type="dxa"/>
              <w:right w:w="0" w:type="dxa"/>
            </w:tcMar>
          </w:tcPr>
          <w:p w14:paraId="34E8BF4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900" w:type="dxa"/>
            <w:tcMar>
              <w:left w:w="0" w:type="dxa"/>
              <w:right w:w="0" w:type="dxa"/>
            </w:tcMar>
          </w:tcPr>
          <w:p w14:paraId="600003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7BA481B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110BCF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319E28A" w14:textId="77777777" w:rsidTr="00C40B42">
        <w:trPr>
          <w:jc w:val="center"/>
        </w:trPr>
        <w:tc>
          <w:tcPr>
            <w:tcW w:w="1980" w:type="dxa"/>
            <w:tcMar>
              <w:left w:w="0" w:type="dxa"/>
              <w:right w:w="0" w:type="dxa"/>
            </w:tcMar>
          </w:tcPr>
          <w:p w14:paraId="4BD4AB8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900" w:type="dxa"/>
            <w:tcMar>
              <w:left w:w="0" w:type="dxa"/>
              <w:right w:w="0" w:type="dxa"/>
            </w:tcMar>
          </w:tcPr>
          <w:p w14:paraId="38C650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2B1DAAB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C2A054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875EC0E" w14:textId="77777777" w:rsidTr="00C40B42">
        <w:trPr>
          <w:jc w:val="center"/>
        </w:trPr>
        <w:tc>
          <w:tcPr>
            <w:tcW w:w="1980" w:type="dxa"/>
            <w:tcMar>
              <w:left w:w="0" w:type="dxa"/>
              <w:right w:w="0" w:type="dxa"/>
            </w:tcMar>
          </w:tcPr>
          <w:p w14:paraId="7314AF3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900" w:type="dxa"/>
            <w:tcMar>
              <w:left w:w="0" w:type="dxa"/>
              <w:right w:w="0" w:type="dxa"/>
            </w:tcMar>
          </w:tcPr>
          <w:p w14:paraId="7B93683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112C51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820414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53960B0" w14:textId="77777777" w:rsidTr="00C40B42">
        <w:trPr>
          <w:jc w:val="center"/>
        </w:trPr>
        <w:tc>
          <w:tcPr>
            <w:tcW w:w="1980" w:type="dxa"/>
            <w:tcMar>
              <w:left w:w="0" w:type="dxa"/>
              <w:right w:w="0" w:type="dxa"/>
            </w:tcMar>
          </w:tcPr>
          <w:p w14:paraId="5EEDC10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900" w:type="dxa"/>
            <w:tcMar>
              <w:left w:w="0" w:type="dxa"/>
              <w:right w:w="0" w:type="dxa"/>
            </w:tcMar>
          </w:tcPr>
          <w:p w14:paraId="62142C8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3AFDD75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73C093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11F871E" w14:textId="77777777" w:rsidTr="00C40B42">
        <w:trPr>
          <w:jc w:val="center"/>
        </w:trPr>
        <w:tc>
          <w:tcPr>
            <w:tcW w:w="1980" w:type="dxa"/>
            <w:tcMar>
              <w:left w:w="0" w:type="dxa"/>
              <w:right w:w="0" w:type="dxa"/>
            </w:tcMar>
          </w:tcPr>
          <w:p w14:paraId="553F092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900" w:type="dxa"/>
            <w:tcMar>
              <w:left w:w="0" w:type="dxa"/>
              <w:right w:w="0" w:type="dxa"/>
            </w:tcMar>
          </w:tcPr>
          <w:p w14:paraId="6E4E95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57D0E1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363A78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7828175" w14:textId="77777777" w:rsidTr="00C40B42">
        <w:trPr>
          <w:jc w:val="center"/>
        </w:trPr>
        <w:tc>
          <w:tcPr>
            <w:tcW w:w="1980" w:type="dxa"/>
            <w:tcMar>
              <w:left w:w="0" w:type="dxa"/>
              <w:right w:w="0" w:type="dxa"/>
            </w:tcMar>
          </w:tcPr>
          <w:p w14:paraId="518F5AE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900" w:type="dxa"/>
            <w:tcMar>
              <w:left w:w="0" w:type="dxa"/>
              <w:right w:w="0" w:type="dxa"/>
            </w:tcMar>
          </w:tcPr>
          <w:p w14:paraId="039EEA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029A962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F7FDE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BCB4625" w14:textId="77777777" w:rsidTr="00C40B42">
        <w:trPr>
          <w:jc w:val="center"/>
        </w:trPr>
        <w:tc>
          <w:tcPr>
            <w:tcW w:w="1980" w:type="dxa"/>
            <w:tcMar>
              <w:left w:w="0" w:type="dxa"/>
              <w:right w:w="0" w:type="dxa"/>
            </w:tcMar>
          </w:tcPr>
          <w:p w14:paraId="14AD570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900" w:type="dxa"/>
            <w:tcMar>
              <w:left w:w="0" w:type="dxa"/>
              <w:right w:w="0" w:type="dxa"/>
            </w:tcMar>
          </w:tcPr>
          <w:p w14:paraId="58F03BC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1331F66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EC738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333A76A" w14:textId="77777777" w:rsidTr="00C40B42">
        <w:trPr>
          <w:jc w:val="center"/>
        </w:trPr>
        <w:tc>
          <w:tcPr>
            <w:tcW w:w="1980" w:type="dxa"/>
            <w:tcMar>
              <w:left w:w="0" w:type="dxa"/>
              <w:right w:w="0" w:type="dxa"/>
            </w:tcMar>
          </w:tcPr>
          <w:p w14:paraId="004ECFF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lastRenderedPageBreak/>
              <w:t>Genesis HealthCare</w:t>
            </w:r>
          </w:p>
        </w:tc>
        <w:tc>
          <w:tcPr>
            <w:tcW w:w="900" w:type="dxa"/>
            <w:tcMar>
              <w:left w:w="0" w:type="dxa"/>
              <w:right w:w="0" w:type="dxa"/>
            </w:tcMar>
          </w:tcPr>
          <w:p w14:paraId="6A8DC8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5C52653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001E1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9EF37A5" w14:textId="77777777" w:rsidTr="00C40B42">
        <w:trPr>
          <w:jc w:val="center"/>
        </w:trPr>
        <w:tc>
          <w:tcPr>
            <w:tcW w:w="1980" w:type="dxa"/>
            <w:tcBorders>
              <w:bottom w:val="single" w:sz="4" w:space="0" w:color="auto"/>
            </w:tcBorders>
            <w:tcMar>
              <w:left w:w="0" w:type="dxa"/>
              <w:right w:w="0" w:type="dxa"/>
            </w:tcMar>
          </w:tcPr>
          <w:p w14:paraId="2FAA59C9"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900" w:type="dxa"/>
            <w:tcBorders>
              <w:bottom w:val="single" w:sz="4" w:space="0" w:color="auto"/>
            </w:tcBorders>
            <w:tcMar>
              <w:left w:w="0" w:type="dxa"/>
              <w:right w:w="0" w:type="dxa"/>
            </w:tcMar>
          </w:tcPr>
          <w:p w14:paraId="35434A6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718A888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6AA513A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44153FD" w14:textId="77777777" w:rsidTr="00C40B42">
        <w:trPr>
          <w:jc w:val="center"/>
        </w:trPr>
        <w:tc>
          <w:tcPr>
            <w:tcW w:w="1980" w:type="dxa"/>
            <w:tcBorders>
              <w:top w:val="single" w:sz="4" w:space="0" w:color="auto"/>
            </w:tcBorders>
            <w:tcMar>
              <w:left w:w="0" w:type="dxa"/>
              <w:right w:w="0" w:type="dxa"/>
            </w:tcMar>
          </w:tcPr>
          <w:p w14:paraId="4936903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900" w:type="dxa"/>
            <w:tcBorders>
              <w:top w:val="single" w:sz="4" w:space="0" w:color="auto"/>
            </w:tcBorders>
            <w:tcMar>
              <w:left w:w="0" w:type="dxa"/>
              <w:right w:w="0" w:type="dxa"/>
            </w:tcMar>
          </w:tcPr>
          <w:p w14:paraId="4D46FD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37862BD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314C395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C70F95E" w14:textId="77777777" w:rsidTr="00C40B42">
        <w:trPr>
          <w:jc w:val="center"/>
        </w:trPr>
        <w:tc>
          <w:tcPr>
            <w:tcW w:w="1980" w:type="dxa"/>
            <w:tcMar>
              <w:left w:w="0" w:type="dxa"/>
              <w:right w:w="0" w:type="dxa"/>
            </w:tcMar>
          </w:tcPr>
          <w:p w14:paraId="693FFB62"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900" w:type="dxa"/>
            <w:tcMar>
              <w:left w:w="0" w:type="dxa"/>
              <w:right w:w="0" w:type="dxa"/>
            </w:tcMar>
          </w:tcPr>
          <w:p w14:paraId="569BBCB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2FA3715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2C405E5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491460C" w14:textId="77777777" w:rsidTr="00C40B42">
        <w:trPr>
          <w:jc w:val="center"/>
        </w:trPr>
        <w:tc>
          <w:tcPr>
            <w:tcW w:w="1980" w:type="dxa"/>
            <w:tcBorders>
              <w:bottom w:val="single" w:sz="4" w:space="0" w:color="auto"/>
            </w:tcBorders>
            <w:tcMar>
              <w:left w:w="0" w:type="dxa"/>
              <w:right w:w="0" w:type="dxa"/>
            </w:tcMar>
          </w:tcPr>
          <w:p w14:paraId="551B4DF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900" w:type="dxa"/>
            <w:tcBorders>
              <w:bottom w:val="single" w:sz="4" w:space="0" w:color="auto"/>
            </w:tcBorders>
            <w:tcMar>
              <w:left w:w="0" w:type="dxa"/>
              <w:right w:w="0" w:type="dxa"/>
            </w:tcMar>
          </w:tcPr>
          <w:p w14:paraId="138B97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080" w:type="dxa"/>
            <w:tcBorders>
              <w:bottom w:val="single" w:sz="4" w:space="0" w:color="auto"/>
            </w:tcBorders>
            <w:tcMar>
              <w:left w:w="0" w:type="dxa"/>
              <w:right w:w="0" w:type="dxa"/>
            </w:tcMar>
          </w:tcPr>
          <w:p w14:paraId="6D37A4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810" w:type="dxa"/>
            <w:tcBorders>
              <w:bottom w:val="single" w:sz="4" w:space="0" w:color="auto"/>
            </w:tcBorders>
            <w:tcMar>
              <w:left w:w="0" w:type="dxa"/>
              <w:right w:w="0" w:type="dxa"/>
            </w:tcMar>
          </w:tcPr>
          <w:p w14:paraId="0A9EAE4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r w:rsidR="00C40B42" w:rsidRPr="00A61532" w14:paraId="31E3E92B" w14:textId="77777777" w:rsidTr="00C40B42">
        <w:trPr>
          <w:jc w:val="center"/>
        </w:trPr>
        <w:tc>
          <w:tcPr>
            <w:tcW w:w="1980" w:type="dxa"/>
            <w:tcBorders>
              <w:top w:val="single" w:sz="4" w:space="0" w:color="auto"/>
            </w:tcBorders>
            <w:tcMar>
              <w:left w:w="0" w:type="dxa"/>
              <w:right w:w="0" w:type="dxa"/>
            </w:tcMar>
          </w:tcPr>
          <w:p w14:paraId="5438E2D2"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Dell EMC</w:t>
            </w:r>
          </w:p>
        </w:tc>
        <w:tc>
          <w:tcPr>
            <w:tcW w:w="900" w:type="dxa"/>
            <w:tcBorders>
              <w:top w:val="single" w:sz="4" w:space="0" w:color="auto"/>
            </w:tcBorders>
            <w:tcMar>
              <w:left w:w="0" w:type="dxa"/>
              <w:right w:w="0" w:type="dxa"/>
            </w:tcMar>
          </w:tcPr>
          <w:p w14:paraId="25626F6D"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top w:val="single" w:sz="4" w:space="0" w:color="auto"/>
            </w:tcBorders>
            <w:tcMar>
              <w:left w:w="0" w:type="dxa"/>
              <w:right w:w="0" w:type="dxa"/>
            </w:tcMar>
          </w:tcPr>
          <w:p w14:paraId="4C5979F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single" w:sz="4" w:space="0" w:color="auto"/>
            </w:tcBorders>
            <w:tcMar>
              <w:left w:w="0" w:type="dxa"/>
              <w:right w:w="0" w:type="dxa"/>
            </w:tcMar>
          </w:tcPr>
          <w:p w14:paraId="1FA902FA"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29D1C48" w14:textId="77777777" w:rsidTr="00C40B42">
        <w:trPr>
          <w:jc w:val="center"/>
        </w:trPr>
        <w:tc>
          <w:tcPr>
            <w:tcW w:w="1980" w:type="dxa"/>
            <w:tcMar>
              <w:left w:w="0" w:type="dxa"/>
              <w:right w:w="0" w:type="dxa"/>
            </w:tcMar>
          </w:tcPr>
          <w:p w14:paraId="0F74E0E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TXU</w:t>
            </w:r>
          </w:p>
        </w:tc>
        <w:tc>
          <w:tcPr>
            <w:tcW w:w="900" w:type="dxa"/>
            <w:tcMar>
              <w:left w:w="0" w:type="dxa"/>
              <w:right w:w="0" w:type="dxa"/>
            </w:tcMar>
          </w:tcPr>
          <w:p w14:paraId="11E3CB7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B006E4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A92F3B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9F9AB68" w14:textId="77777777" w:rsidTr="00C40B42">
        <w:trPr>
          <w:jc w:val="center"/>
        </w:trPr>
        <w:tc>
          <w:tcPr>
            <w:tcW w:w="1980" w:type="dxa"/>
            <w:tcMar>
              <w:left w:w="0" w:type="dxa"/>
              <w:right w:w="0" w:type="dxa"/>
            </w:tcMar>
          </w:tcPr>
          <w:p w14:paraId="2052DDB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900" w:type="dxa"/>
            <w:tcMar>
              <w:left w:w="0" w:type="dxa"/>
              <w:right w:w="0" w:type="dxa"/>
            </w:tcMar>
          </w:tcPr>
          <w:p w14:paraId="261043A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58FFD11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904D8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BF43147" w14:textId="77777777" w:rsidTr="00C40B42">
        <w:trPr>
          <w:jc w:val="center"/>
        </w:trPr>
        <w:tc>
          <w:tcPr>
            <w:tcW w:w="1980" w:type="dxa"/>
            <w:tcMar>
              <w:left w:w="0" w:type="dxa"/>
              <w:right w:w="0" w:type="dxa"/>
            </w:tcMar>
          </w:tcPr>
          <w:p w14:paraId="7A319BF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900" w:type="dxa"/>
            <w:tcMar>
              <w:left w:w="0" w:type="dxa"/>
              <w:right w:w="0" w:type="dxa"/>
            </w:tcMar>
          </w:tcPr>
          <w:p w14:paraId="5C38E47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0DA26B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AF74A9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CEDC011" w14:textId="77777777" w:rsidTr="00C40B42">
        <w:trPr>
          <w:jc w:val="center"/>
        </w:trPr>
        <w:tc>
          <w:tcPr>
            <w:tcW w:w="1980" w:type="dxa"/>
            <w:tcMar>
              <w:left w:w="0" w:type="dxa"/>
              <w:right w:w="0" w:type="dxa"/>
            </w:tcMar>
          </w:tcPr>
          <w:p w14:paraId="12136F20" w14:textId="77777777" w:rsidR="00C40B42" w:rsidRPr="00A61532" w:rsidRDefault="00C40B42" w:rsidP="00C40B42">
            <w:pPr>
              <w:widowControl/>
              <w:ind w:firstLine="0"/>
              <w:jc w:val="left"/>
              <w:rPr>
                <w:rFonts w:asciiTheme="majorBidi" w:hAnsiTheme="majorBidi" w:cstheme="majorBidi"/>
                <w:i/>
                <w:iCs/>
                <w:kern w:val="0"/>
                <w:sz w:val="20"/>
              </w:rPr>
            </w:pPr>
            <w:proofErr w:type="spellStart"/>
            <w:r w:rsidRPr="00A61532">
              <w:rPr>
                <w:rFonts w:asciiTheme="majorBidi" w:hAnsiTheme="majorBidi" w:cstheme="majorBidi"/>
                <w:i/>
                <w:iCs/>
                <w:kern w:val="0"/>
                <w:sz w:val="20"/>
              </w:rPr>
              <w:t>Parexel</w:t>
            </w:r>
            <w:proofErr w:type="spellEnd"/>
          </w:p>
        </w:tc>
        <w:tc>
          <w:tcPr>
            <w:tcW w:w="900" w:type="dxa"/>
            <w:tcMar>
              <w:left w:w="0" w:type="dxa"/>
              <w:right w:w="0" w:type="dxa"/>
            </w:tcMar>
          </w:tcPr>
          <w:p w14:paraId="0E9ADBB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5EAF09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11BA74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14A9F14" w14:textId="77777777" w:rsidTr="00C40B42">
        <w:trPr>
          <w:jc w:val="center"/>
        </w:trPr>
        <w:tc>
          <w:tcPr>
            <w:tcW w:w="1980" w:type="dxa"/>
            <w:tcMar>
              <w:left w:w="0" w:type="dxa"/>
              <w:right w:w="0" w:type="dxa"/>
            </w:tcMar>
          </w:tcPr>
          <w:p w14:paraId="67EDFB2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900" w:type="dxa"/>
            <w:tcMar>
              <w:left w:w="0" w:type="dxa"/>
              <w:right w:w="0" w:type="dxa"/>
            </w:tcMar>
          </w:tcPr>
          <w:p w14:paraId="2FC90E9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4F41FC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186F3F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4345859" w14:textId="77777777" w:rsidTr="00C40B42">
        <w:trPr>
          <w:jc w:val="center"/>
        </w:trPr>
        <w:tc>
          <w:tcPr>
            <w:tcW w:w="1980" w:type="dxa"/>
            <w:tcMar>
              <w:left w:w="0" w:type="dxa"/>
              <w:right w:w="0" w:type="dxa"/>
            </w:tcMar>
          </w:tcPr>
          <w:p w14:paraId="46C59343" w14:textId="62EF437A"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F43B63">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900" w:type="dxa"/>
            <w:tcMar>
              <w:left w:w="0" w:type="dxa"/>
              <w:right w:w="0" w:type="dxa"/>
            </w:tcMar>
          </w:tcPr>
          <w:p w14:paraId="24AF58B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75EC3DF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31268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F015A19" w14:textId="77777777" w:rsidTr="00C40B42">
        <w:trPr>
          <w:jc w:val="center"/>
        </w:trPr>
        <w:tc>
          <w:tcPr>
            <w:tcW w:w="1980" w:type="dxa"/>
            <w:tcMar>
              <w:left w:w="0" w:type="dxa"/>
              <w:right w:w="0" w:type="dxa"/>
            </w:tcMar>
          </w:tcPr>
          <w:p w14:paraId="172E36C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900" w:type="dxa"/>
            <w:tcMar>
              <w:left w:w="0" w:type="dxa"/>
              <w:right w:w="0" w:type="dxa"/>
            </w:tcMar>
          </w:tcPr>
          <w:p w14:paraId="62F88F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74A6944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592E25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6FD8F80" w14:textId="77777777" w:rsidTr="00C40B42">
        <w:trPr>
          <w:jc w:val="center"/>
        </w:trPr>
        <w:tc>
          <w:tcPr>
            <w:tcW w:w="1980" w:type="dxa"/>
            <w:tcMar>
              <w:left w:w="0" w:type="dxa"/>
              <w:right w:w="0" w:type="dxa"/>
            </w:tcMar>
          </w:tcPr>
          <w:p w14:paraId="51EA6A0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900" w:type="dxa"/>
            <w:tcMar>
              <w:left w:w="0" w:type="dxa"/>
              <w:right w:w="0" w:type="dxa"/>
            </w:tcMar>
          </w:tcPr>
          <w:p w14:paraId="28F1FB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65344C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383165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2083D4C" w14:textId="77777777" w:rsidTr="00C40B42">
        <w:trPr>
          <w:jc w:val="center"/>
        </w:trPr>
        <w:tc>
          <w:tcPr>
            <w:tcW w:w="1980" w:type="dxa"/>
            <w:tcMar>
              <w:left w:w="0" w:type="dxa"/>
              <w:right w:w="0" w:type="dxa"/>
            </w:tcMar>
          </w:tcPr>
          <w:p w14:paraId="787717A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900" w:type="dxa"/>
            <w:tcMar>
              <w:left w:w="0" w:type="dxa"/>
              <w:right w:w="0" w:type="dxa"/>
            </w:tcMar>
          </w:tcPr>
          <w:p w14:paraId="0BD399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4FB359C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E88D2B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8683496" w14:textId="77777777" w:rsidTr="00C40B42">
        <w:trPr>
          <w:jc w:val="center"/>
        </w:trPr>
        <w:tc>
          <w:tcPr>
            <w:tcW w:w="1980" w:type="dxa"/>
            <w:tcMar>
              <w:left w:w="0" w:type="dxa"/>
              <w:right w:w="0" w:type="dxa"/>
            </w:tcMar>
          </w:tcPr>
          <w:p w14:paraId="21247AC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900" w:type="dxa"/>
            <w:tcMar>
              <w:left w:w="0" w:type="dxa"/>
              <w:right w:w="0" w:type="dxa"/>
            </w:tcMar>
          </w:tcPr>
          <w:p w14:paraId="0F86186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2662FC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E7EFAC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79717AA" w14:textId="77777777" w:rsidTr="00C40B42">
        <w:trPr>
          <w:jc w:val="center"/>
        </w:trPr>
        <w:tc>
          <w:tcPr>
            <w:tcW w:w="1980" w:type="dxa"/>
            <w:tcBorders>
              <w:bottom w:val="single" w:sz="4" w:space="0" w:color="auto"/>
            </w:tcBorders>
            <w:tcMar>
              <w:left w:w="0" w:type="dxa"/>
              <w:right w:w="0" w:type="dxa"/>
            </w:tcMar>
          </w:tcPr>
          <w:p w14:paraId="40B6151D"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900" w:type="dxa"/>
            <w:tcBorders>
              <w:bottom w:val="single" w:sz="4" w:space="0" w:color="auto"/>
            </w:tcBorders>
            <w:tcMar>
              <w:left w:w="0" w:type="dxa"/>
              <w:right w:w="0" w:type="dxa"/>
            </w:tcMar>
          </w:tcPr>
          <w:p w14:paraId="2454E35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67A2200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51B27DF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B67E6BD" w14:textId="77777777" w:rsidTr="00C40B42">
        <w:trPr>
          <w:jc w:val="center"/>
        </w:trPr>
        <w:tc>
          <w:tcPr>
            <w:tcW w:w="1980" w:type="dxa"/>
            <w:tcBorders>
              <w:top w:val="single" w:sz="4" w:space="0" w:color="auto"/>
            </w:tcBorders>
            <w:tcMar>
              <w:left w:w="0" w:type="dxa"/>
              <w:right w:w="0" w:type="dxa"/>
            </w:tcMar>
          </w:tcPr>
          <w:p w14:paraId="0A73B1A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900" w:type="dxa"/>
            <w:tcBorders>
              <w:top w:val="single" w:sz="4" w:space="0" w:color="auto"/>
            </w:tcBorders>
            <w:tcMar>
              <w:left w:w="0" w:type="dxa"/>
              <w:right w:w="0" w:type="dxa"/>
            </w:tcMar>
          </w:tcPr>
          <w:p w14:paraId="1373CF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5CFD8D8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062B04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ACC2CE0" w14:textId="77777777" w:rsidTr="00C40B42">
        <w:trPr>
          <w:jc w:val="center"/>
        </w:trPr>
        <w:tc>
          <w:tcPr>
            <w:tcW w:w="1980" w:type="dxa"/>
            <w:tcMar>
              <w:left w:w="0" w:type="dxa"/>
              <w:right w:w="0" w:type="dxa"/>
            </w:tcMar>
          </w:tcPr>
          <w:p w14:paraId="1C0BABD1"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900" w:type="dxa"/>
            <w:tcMar>
              <w:left w:w="0" w:type="dxa"/>
              <w:right w:w="0" w:type="dxa"/>
            </w:tcMar>
          </w:tcPr>
          <w:p w14:paraId="06CB2B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3B5168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3D2E785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5CBD7FF" w14:textId="77777777" w:rsidTr="00C40B42">
        <w:trPr>
          <w:jc w:val="center"/>
        </w:trPr>
        <w:tc>
          <w:tcPr>
            <w:tcW w:w="1980" w:type="dxa"/>
            <w:tcBorders>
              <w:bottom w:val="double" w:sz="4" w:space="0" w:color="auto"/>
            </w:tcBorders>
            <w:tcMar>
              <w:left w:w="0" w:type="dxa"/>
              <w:right w:w="0" w:type="dxa"/>
            </w:tcMar>
          </w:tcPr>
          <w:p w14:paraId="45E263D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900" w:type="dxa"/>
            <w:tcBorders>
              <w:bottom w:val="double" w:sz="4" w:space="0" w:color="auto"/>
            </w:tcBorders>
            <w:tcMar>
              <w:left w:w="0" w:type="dxa"/>
              <w:right w:w="0" w:type="dxa"/>
            </w:tcMar>
          </w:tcPr>
          <w:p w14:paraId="191D20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080" w:type="dxa"/>
            <w:tcBorders>
              <w:bottom w:val="double" w:sz="4" w:space="0" w:color="auto"/>
            </w:tcBorders>
            <w:tcMar>
              <w:left w:w="0" w:type="dxa"/>
              <w:right w:w="0" w:type="dxa"/>
            </w:tcMar>
          </w:tcPr>
          <w:p w14:paraId="0D7394F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810" w:type="dxa"/>
            <w:tcBorders>
              <w:bottom w:val="double" w:sz="4" w:space="0" w:color="auto"/>
            </w:tcBorders>
            <w:tcMar>
              <w:left w:w="0" w:type="dxa"/>
              <w:right w:w="0" w:type="dxa"/>
            </w:tcMar>
          </w:tcPr>
          <w:p w14:paraId="26271E8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bl>
    <w:p w14:paraId="43B905AB" w14:textId="17DE4F78" w:rsidR="00C40B42" w:rsidRPr="00A61532" w:rsidRDefault="00C40B42" w:rsidP="00332FE2">
      <w:pPr>
        <w:widowControl/>
        <w:spacing w:before="24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Table A5 in the </w:t>
      </w:r>
      <w:r w:rsidR="0074735E">
        <w:rPr>
          <w:rFonts w:asciiTheme="majorBidi" w:eastAsia="SimSun" w:hAnsiTheme="majorBidi" w:cstheme="majorBidi"/>
          <w:color w:val="000000" w:themeColor="text1"/>
          <w:kern w:val="0"/>
          <w:szCs w:val="24"/>
          <w:lang w:bidi="he-IL"/>
        </w:rPr>
        <w:t>Online Appendix</w:t>
      </w:r>
      <w:r w:rsidRPr="00A61532">
        <w:rPr>
          <w:rFonts w:asciiTheme="majorBidi" w:eastAsia="SimSun" w:hAnsiTheme="majorBidi" w:cstheme="majorBidi"/>
          <w:color w:val="000000" w:themeColor="text1"/>
          <w:kern w:val="0"/>
          <w:szCs w:val="24"/>
          <w:lang w:bidi="he-IL"/>
        </w:rPr>
        <w:t xml:space="preserve"> provides substantially similar results for </w:t>
      </w:r>
      <w:r w:rsidR="00DB7751">
        <w:rPr>
          <w:rFonts w:asciiTheme="majorBidi" w:eastAsia="SimSun" w:hAnsiTheme="majorBidi" w:cstheme="majorBidi"/>
          <w:color w:val="000000" w:themeColor="text1"/>
          <w:kern w:val="0"/>
          <w:szCs w:val="24"/>
          <w:lang w:bidi="he-IL"/>
        </w:rPr>
        <w:t>all</w:t>
      </w:r>
      <w:r w:rsidRPr="00A61532">
        <w:rPr>
          <w:rFonts w:asciiTheme="majorBidi" w:eastAsia="SimSun" w:hAnsiTheme="majorBidi" w:cstheme="majorBidi"/>
          <w:color w:val="000000" w:themeColor="text1"/>
          <w:kern w:val="0"/>
          <w:szCs w:val="24"/>
          <w:lang w:bidi="he-IL"/>
        </w:rPr>
        <w:t xml:space="preserve"> transactions in our sample: while </w:t>
      </w:r>
      <w:r w:rsidRPr="00332FE2">
        <w:rPr>
          <w:rFonts w:asciiTheme="majorBidi" w:eastAsia="SimSun" w:hAnsiTheme="majorBidi"/>
          <w:color w:val="000000" w:themeColor="text1"/>
          <w:kern w:val="0"/>
        </w:rPr>
        <w:t>none</w:t>
      </w:r>
      <w:r w:rsidRPr="00A61532">
        <w:rPr>
          <w:rFonts w:asciiTheme="majorBidi" w:eastAsia="SimSun" w:hAnsiTheme="majorBidi" w:cstheme="majorBidi"/>
          <w:i/>
          <w:iCs/>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of the transactions offered protections for the target</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suppliers or creditors, the only transaction that contained a commitment somewhat in favor of the target</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s customers is the </w:t>
      </w:r>
      <w:r w:rsidR="00F43B63">
        <w:rPr>
          <w:rFonts w:asciiTheme="majorBidi" w:eastAsia="SimSun" w:hAnsiTheme="majorBidi" w:cstheme="majorBidi"/>
          <w:color w:val="000000" w:themeColor="text1"/>
          <w:kern w:val="0"/>
          <w:szCs w:val="24"/>
          <w:lang w:bidi="he-IL"/>
        </w:rPr>
        <w:t>“</w:t>
      </w:r>
      <w:r w:rsidRPr="00332FE2">
        <w:rPr>
          <w:rFonts w:asciiTheme="majorBidi" w:eastAsia="SimSun" w:hAnsiTheme="majorBidi"/>
          <w:color w:val="000000" w:themeColor="text1"/>
          <w:kern w:val="0"/>
        </w:rPr>
        <w:t>Gevity HR</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acquisition. Under the terms of this deal, the acquirer </w:t>
      </w:r>
      <w:r w:rsidR="006B5B7A">
        <w:rPr>
          <w:rFonts w:asciiTheme="majorBidi" w:eastAsia="SimSun" w:hAnsiTheme="majorBidi" w:cstheme="majorBidi"/>
          <w:color w:val="000000" w:themeColor="text1"/>
          <w:kern w:val="0"/>
          <w:szCs w:val="24"/>
          <w:lang w:bidi="he-IL"/>
        </w:rPr>
        <w:t>must</w:t>
      </w:r>
      <w:r w:rsidR="0080502C"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not violate the privacy policy previously set by the target and its subsidiaries regarding the collection, use and disclosure of customer information.</w:t>
      </w:r>
    </w:p>
    <w:p w14:paraId="2C1B3861" w14:textId="2D5B3C29" w:rsidR="00C40B42" w:rsidRPr="00A61532"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It might be argued that private equity buyers have an interest in treating customers, suppliers, and creditors well </w:t>
      </w:r>
      <w:r w:rsidR="0038609F">
        <w:rPr>
          <w:rFonts w:asciiTheme="majorBidi" w:eastAsia="SimSun" w:hAnsiTheme="majorBidi" w:cstheme="majorBidi"/>
          <w:color w:val="000000" w:themeColor="text1"/>
          <w:kern w:val="0"/>
          <w:szCs w:val="24"/>
          <w:lang w:bidi="he-IL"/>
        </w:rPr>
        <w:t>after the deal</w:t>
      </w:r>
      <w:r w:rsidRPr="00A61532">
        <w:rPr>
          <w:rFonts w:asciiTheme="majorBidi" w:eastAsia="SimSun" w:hAnsiTheme="majorBidi" w:cstheme="majorBidi"/>
          <w:color w:val="000000" w:themeColor="text1"/>
          <w:kern w:val="0"/>
          <w:szCs w:val="24"/>
          <w:lang w:bidi="he-IL"/>
        </w:rPr>
        <w:t xml:space="preserve"> even </w:t>
      </w:r>
      <w:r w:rsidR="0038609F">
        <w:rPr>
          <w:rFonts w:asciiTheme="majorBidi" w:eastAsia="SimSun" w:hAnsiTheme="majorBidi" w:cstheme="majorBidi"/>
          <w:color w:val="000000" w:themeColor="text1"/>
          <w:kern w:val="0"/>
          <w:szCs w:val="24"/>
          <w:lang w:bidi="he-IL"/>
        </w:rPr>
        <w:t>in the absence of</w:t>
      </w:r>
      <w:r w:rsidR="0038609F"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contractual obligations. However, there is no guarantee that this will always be the case. In many situations it might be profit maximizing for the private equity buyer to pursue strategies that would have adverse effects on customers, suppliers or creditors. Indeed, the concerns of adverse effects on these groups was the reason why they were explicitly referenced in so many of the constituency statutes. Our findings show, however, that the constituency statutes produced no protection whatsoever to either customers, suppliers, or creditors in the overwhelming majority of the 105 transactions in our sample.</w:t>
      </w:r>
    </w:p>
    <w:p w14:paraId="2B4EB11D" w14:textId="77777777" w:rsidR="00C40B42" w:rsidRPr="00A61532" w:rsidRDefault="00C40B42" w:rsidP="00C40B42">
      <w:pPr>
        <w:pStyle w:val="Heading3"/>
        <w:rPr>
          <w:lang w:bidi="he-IL"/>
        </w:rPr>
      </w:pPr>
      <w:bookmarkStart w:id="166" w:name="_Toc47616595"/>
      <w:bookmarkStart w:id="167" w:name="_Toc47665979"/>
      <w:bookmarkStart w:id="168" w:name="_Toc47886008"/>
      <w:r w:rsidRPr="00A61532">
        <w:rPr>
          <w:lang w:bidi="he-IL"/>
        </w:rPr>
        <w:t>Communities, Environment and Other Stakeholders</w:t>
      </w:r>
      <w:bookmarkEnd w:id="166"/>
      <w:bookmarkEnd w:id="167"/>
      <w:bookmarkEnd w:id="168"/>
    </w:p>
    <w:p w14:paraId="534ACC17" w14:textId="7EA020BE" w:rsidR="0077487A" w:rsidRDefault="00C40B42" w:rsidP="00C40B42">
      <w:pPr>
        <w:widowControl/>
        <w:spacing w:before="240" w:after="160"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We now expand our analysis beyond the four main stakeholder groups and turn to examine contractual protections secured for local communities, </w:t>
      </w:r>
      <w:r w:rsidRPr="00A61532">
        <w:rPr>
          <w:rFonts w:asciiTheme="majorBidi" w:eastAsia="SimSun" w:hAnsiTheme="majorBidi" w:cstheme="majorBidi"/>
          <w:color w:val="000000" w:themeColor="text1"/>
          <w:kern w:val="0"/>
          <w:szCs w:val="24"/>
          <w:lang w:bidi="he-IL"/>
        </w:rPr>
        <w:lastRenderedPageBreak/>
        <w:t>the environment, and other stakeholders. Communities or local communities are explicitly mentioned in 11 statutes governing over 50% of the deals in the sample.</w:t>
      </w:r>
      <w:r w:rsidRPr="00A61532">
        <w:rPr>
          <w:rFonts w:asciiTheme="majorBidi" w:eastAsia="SimSun" w:hAnsiTheme="majorBidi" w:cstheme="majorBidi"/>
          <w:color w:val="000000" w:themeColor="text1"/>
          <w:kern w:val="0"/>
          <w:szCs w:val="24"/>
          <w:vertAlign w:val="superscript"/>
          <w:lang w:bidi="he-IL"/>
        </w:rPr>
        <w:footnoteReference w:id="106"/>
      </w:r>
      <w:r w:rsidRPr="00A61532">
        <w:rPr>
          <w:rFonts w:asciiTheme="majorBidi" w:eastAsia="SimSun" w:hAnsiTheme="majorBidi" w:cstheme="majorBidi"/>
          <w:color w:val="000000" w:themeColor="text1"/>
          <w:kern w:val="0"/>
          <w:szCs w:val="24"/>
          <w:lang w:bidi="he-IL"/>
        </w:rPr>
        <w:t xml:space="preserve"> The environment is explicitly mentioned only in one statute, covering 8% of the reviewed deals, but it is a factor that has been increasingly playing a central role in the </w:t>
      </w:r>
      <w:proofErr w:type="spellStart"/>
      <w:r w:rsidRPr="00A61532">
        <w:rPr>
          <w:rFonts w:asciiTheme="majorBidi" w:eastAsia="SimSun" w:hAnsiTheme="majorBidi" w:cstheme="majorBidi"/>
          <w:color w:val="000000" w:themeColor="text1"/>
          <w:kern w:val="0"/>
          <w:szCs w:val="24"/>
          <w:lang w:bidi="he-IL"/>
        </w:rPr>
        <w:t>stakeholderism</w:t>
      </w:r>
      <w:proofErr w:type="spellEnd"/>
      <w:r w:rsidRPr="00A61532">
        <w:rPr>
          <w:rFonts w:asciiTheme="majorBidi" w:eastAsia="SimSun" w:hAnsiTheme="majorBidi" w:cstheme="majorBidi"/>
          <w:color w:val="000000" w:themeColor="text1"/>
          <w:kern w:val="0"/>
          <w:szCs w:val="24"/>
          <w:lang w:bidi="he-IL"/>
        </w:rPr>
        <w:t xml:space="preserve"> debate.</w:t>
      </w:r>
      <w:bookmarkStart w:id="169" w:name="_Ref47692459"/>
      <w:r w:rsidRPr="00A61532">
        <w:rPr>
          <w:rFonts w:asciiTheme="majorBidi" w:eastAsia="SimSun" w:hAnsiTheme="majorBidi" w:cstheme="majorBidi"/>
          <w:color w:val="000000" w:themeColor="text1"/>
          <w:kern w:val="0"/>
          <w:szCs w:val="24"/>
          <w:vertAlign w:val="superscript"/>
          <w:lang w:bidi="he-IL"/>
        </w:rPr>
        <w:footnoteReference w:id="107"/>
      </w:r>
      <w:bookmarkEnd w:id="169"/>
      <w:r w:rsidRPr="00A61532">
        <w:rPr>
          <w:rFonts w:asciiTheme="majorBidi" w:eastAsia="SimSun" w:hAnsiTheme="majorBidi" w:cstheme="majorBidi"/>
          <w:color w:val="000000" w:themeColor="text1"/>
          <w:kern w:val="0"/>
          <w:szCs w:val="24"/>
          <w:lang w:bidi="he-IL"/>
        </w:rPr>
        <w:t xml:space="preserve"> Lastly, we consider other stakeholder groups and factors, namely society at large, which is referred to in 9 statutes; the economy, which is mentioned in 7 statutes; and other unenumerated stakeholder groups and interests, which directors can elect to take into account under the </w:t>
      </w:r>
      <w:r w:rsidR="00641D2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catch-all</w:t>
      </w:r>
      <w:r w:rsidR="00641D2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clause included in 8 statutes.</w:t>
      </w:r>
    </w:p>
    <w:p w14:paraId="4D9518E7" w14:textId="60150B23" w:rsidR="006B5B7A" w:rsidRDefault="006B5B7A" w:rsidP="006B5B7A">
      <w:pPr>
        <w:widowControl/>
        <w:spacing w:before="240" w:after="160" w:line="259" w:lineRule="auto"/>
        <w:ind w:firstLine="360"/>
        <w:rPr>
          <w:rFonts w:asciiTheme="majorBidi" w:eastAsia="SimSun" w:hAnsiTheme="majorBidi" w:cstheme="majorBidi"/>
          <w:color w:val="000000" w:themeColor="text1"/>
          <w:kern w:val="0"/>
          <w:szCs w:val="24"/>
          <w:lang w:bidi="he-IL"/>
        </w:rPr>
      </w:pPr>
      <w:r w:rsidRPr="006B5B7A">
        <w:rPr>
          <w:rFonts w:asciiTheme="majorBidi" w:eastAsia="SimSun" w:hAnsiTheme="majorBidi" w:cstheme="majorBidi"/>
          <w:color w:val="000000" w:themeColor="text1"/>
          <w:kern w:val="0"/>
          <w:szCs w:val="24"/>
          <w:lang w:bidi="he-IL"/>
        </w:rPr>
        <w:t>Table 1</w:t>
      </w:r>
      <w:r w:rsidR="00E2046E">
        <w:rPr>
          <w:rFonts w:asciiTheme="majorBidi" w:eastAsia="SimSun" w:hAnsiTheme="majorBidi" w:cstheme="majorBidi"/>
          <w:color w:val="000000" w:themeColor="text1"/>
          <w:kern w:val="0"/>
          <w:szCs w:val="24"/>
          <w:lang w:bidi="he-IL"/>
        </w:rPr>
        <w:t>1</w:t>
      </w:r>
      <w:r w:rsidRPr="006B5B7A">
        <w:rPr>
          <w:rFonts w:asciiTheme="majorBidi" w:eastAsia="SimSun" w:hAnsiTheme="majorBidi" w:cstheme="majorBidi"/>
          <w:color w:val="000000" w:themeColor="text1"/>
          <w:kern w:val="0"/>
          <w:szCs w:val="24"/>
          <w:lang w:bidi="he-IL"/>
        </w:rPr>
        <w:t xml:space="preserve"> reports our findings for the 12 largest ERR deals</w:t>
      </w:r>
      <w:r>
        <w:rPr>
          <w:rFonts w:asciiTheme="majorBidi" w:eastAsia="SimSun" w:hAnsiTheme="majorBidi" w:cstheme="majorBidi"/>
          <w:color w:val="000000" w:themeColor="text1"/>
          <w:kern w:val="0"/>
          <w:szCs w:val="24"/>
          <w:lang w:bidi="he-IL"/>
        </w:rPr>
        <w:t xml:space="preserve"> </w:t>
      </w:r>
      <w:r w:rsidRPr="006B5B7A">
        <w:rPr>
          <w:rFonts w:asciiTheme="majorBidi" w:eastAsia="SimSun" w:hAnsiTheme="majorBidi" w:cstheme="majorBidi"/>
          <w:color w:val="000000" w:themeColor="text1"/>
          <w:kern w:val="0"/>
          <w:szCs w:val="24"/>
          <w:lang w:bidi="he-IL"/>
        </w:rPr>
        <w:t>and the 12 largest non-ERR deals</w:t>
      </w:r>
      <w:r>
        <w:rPr>
          <w:rFonts w:asciiTheme="majorBidi" w:eastAsia="SimSun" w:hAnsiTheme="majorBidi" w:cstheme="majorBidi"/>
          <w:color w:val="000000" w:themeColor="text1"/>
          <w:kern w:val="0"/>
          <w:szCs w:val="24"/>
          <w:lang w:bidi="he-IL"/>
        </w:rPr>
        <w:t xml:space="preserve"> in our sample.</w:t>
      </w:r>
    </w:p>
    <w:p w14:paraId="241A301F" w14:textId="0523D707" w:rsidR="00C40B42" w:rsidRPr="00332FE2" w:rsidRDefault="00763DE6" w:rsidP="00332FE2">
      <w:pPr>
        <w:pStyle w:val="Caption"/>
        <w:rPr>
          <w:rFonts w:asciiTheme="majorBidi" w:eastAsia="SimSun" w:hAnsiTheme="majorBidi"/>
          <w:i w:val="0"/>
          <w:color w:val="000000" w:themeColor="text1"/>
          <w:kern w:val="0"/>
        </w:rPr>
      </w:pPr>
      <w:bookmarkStart w:id="170" w:name="_Toc47873903"/>
      <w:bookmarkStart w:id="171" w:name="_Toc47886028"/>
      <w:r>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Pr="00763DE6">
        <w:rPr>
          <w:rFonts w:asciiTheme="majorBidi" w:eastAsia="SimSun" w:hAnsiTheme="majorBidi" w:cstheme="majorBidi"/>
          <w:noProof/>
          <w:color w:val="000000" w:themeColor="text1"/>
          <w:kern w:val="0"/>
          <w:lang w:bidi="he-IL"/>
        </w:rPr>
        <w:t>11</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Protections for Communities, Environment and Other Stakeholders</w:t>
      </w:r>
      <w:bookmarkEnd w:id="170"/>
      <w:bookmarkEnd w:id="171"/>
    </w:p>
    <w:tbl>
      <w:tblPr>
        <w:tblStyle w:val="TableGrid1"/>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710"/>
        <w:gridCol w:w="1260"/>
        <w:gridCol w:w="1260"/>
        <w:gridCol w:w="540"/>
      </w:tblGrid>
      <w:tr w:rsidR="00C40B42" w:rsidRPr="00A61532" w14:paraId="6617E8E4" w14:textId="77777777" w:rsidTr="00C40B42">
        <w:trPr>
          <w:jc w:val="center"/>
        </w:trPr>
        <w:tc>
          <w:tcPr>
            <w:tcW w:w="1980" w:type="dxa"/>
            <w:tcBorders>
              <w:bottom w:val="double" w:sz="4" w:space="0" w:color="auto"/>
            </w:tcBorders>
            <w:tcMar>
              <w:left w:w="0" w:type="dxa"/>
              <w:right w:w="0" w:type="dxa"/>
            </w:tcMar>
            <w:vAlign w:val="center"/>
          </w:tcPr>
          <w:p w14:paraId="1BB4D806"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710" w:type="dxa"/>
            <w:tcBorders>
              <w:bottom w:val="double" w:sz="4" w:space="0" w:color="auto"/>
            </w:tcBorders>
            <w:tcMar>
              <w:left w:w="0" w:type="dxa"/>
              <w:right w:w="0" w:type="dxa"/>
            </w:tcMar>
            <w:vAlign w:val="center"/>
          </w:tcPr>
          <w:p w14:paraId="03D031F4"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Length of Commitment to Retain HQ Location (Months)</w:t>
            </w:r>
          </w:p>
        </w:tc>
        <w:tc>
          <w:tcPr>
            <w:tcW w:w="1260" w:type="dxa"/>
            <w:tcBorders>
              <w:bottom w:val="double" w:sz="4" w:space="0" w:color="auto"/>
            </w:tcBorders>
            <w:tcMar>
              <w:left w:w="0" w:type="dxa"/>
              <w:right w:w="0" w:type="dxa"/>
            </w:tcMar>
            <w:vAlign w:val="center"/>
          </w:tcPr>
          <w:p w14:paraId="651913F6"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Continuation of Local Investments / Philanthropy</w:t>
            </w:r>
          </w:p>
        </w:tc>
        <w:tc>
          <w:tcPr>
            <w:tcW w:w="1260" w:type="dxa"/>
            <w:tcBorders>
              <w:bottom w:val="double" w:sz="4" w:space="0" w:color="auto"/>
            </w:tcBorders>
            <w:tcMar>
              <w:left w:w="0" w:type="dxa"/>
              <w:right w:w="0" w:type="dxa"/>
            </w:tcMar>
            <w:vAlign w:val="center"/>
          </w:tcPr>
          <w:p w14:paraId="0E1FB8A9"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Environment</w:t>
            </w:r>
          </w:p>
        </w:tc>
        <w:tc>
          <w:tcPr>
            <w:tcW w:w="540" w:type="dxa"/>
            <w:tcBorders>
              <w:bottom w:val="double" w:sz="4" w:space="0" w:color="auto"/>
            </w:tcBorders>
            <w:tcMar>
              <w:left w:w="0" w:type="dxa"/>
              <w:right w:w="0" w:type="dxa"/>
            </w:tcMar>
            <w:vAlign w:val="center"/>
          </w:tcPr>
          <w:p w14:paraId="71FBDB45"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Other</w:t>
            </w:r>
          </w:p>
        </w:tc>
      </w:tr>
      <w:tr w:rsidR="00C40B42" w:rsidRPr="00A61532" w14:paraId="11BC6035" w14:textId="77777777" w:rsidTr="00C40B42">
        <w:trPr>
          <w:jc w:val="center"/>
        </w:trPr>
        <w:tc>
          <w:tcPr>
            <w:tcW w:w="1980" w:type="dxa"/>
            <w:tcBorders>
              <w:top w:val="double" w:sz="4" w:space="0" w:color="auto"/>
            </w:tcBorders>
            <w:tcMar>
              <w:left w:w="0" w:type="dxa"/>
              <w:right w:w="0" w:type="dxa"/>
            </w:tcMar>
          </w:tcPr>
          <w:p w14:paraId="3E4E525D"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710" w:type="dxa"/>
            <w:tcBorders>
              <w:top w:val="double" w:sz="4" w:space="0" w:color="auto"/>
            </w:tcBorders>
            <w:tcMar>
              <w:left w:w="0" w:type="dxa"/>
              <w:right w:w="0" w:type="dxa"/>
            </w:tcMar>
          </w:tcPr>
          <w:p w14:paraId="5DBA83F6"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Unspecified</w:t>
            </w:r>
          </w:p>
        </w:tc>
        <w:tc>
          <w:tcPr>
            <w:tcW w:w="1260" w:type="dxa"/>
            <w:tcBorders>
              <w:top w:val="double" w:sz="4" w:space="0" w:color="auto"/>
            </w:tcBorders>
            <w:tcMar>
              <w:left w:w="0" w:type="dxa"/>
              <w:right w:w="0" w:type="dxa"/>
            </w:tcMar>
            <w:vAlign w:val="center"/>
          </w:tcPr>
          <w:p w14:paraId="57656DD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260" w:type="dxa"/>
            <w:tcBorders>
              <w:top w:val="double" w:sz="4" w:space="0" w:color="auto"/>
            </w:tcBorders>
            <w:tcMar>
              <w:left w:w="0" w:type="dxa"/>
              <w:right w:w="0" w:type="dxa"/>
            </w:tcMar>
          </w:tcPr>
          <w:p w14:paraId="69332259"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top w:val="double" w:sz="4" w:space="0" w:color="auto"/>
            </w:tcBorders>
            <w:tcMar>
              <w:left w:w="0" w:type="dxa"/>
              <w:right w:w="0" w:type="dxa"/>
            </w:tcMar>
          </w:tcPr>
          <w:p w14:paraId="69B9A35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CD0099D" w14:textId="77777777" w:rsidTr="00C40B42">
        <w:trPr>
          <w:jc w:val="center"/>
        </w:trPr>
        <w:tc>
          <w:tcPr>
            <w:tcW w:w="1980" w:type="dxa"/>
            <w:tcMar>
              <w:left w:w="0" w:type="dxa"/>
              <w:right w:w="0" w:type="dxa"/>
            </w:tcMar>
          </w:tcPr>
          <w:p w14:paraId="02C380B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710" w:type="dxa"/>
            <w:tcMar>
              <w:left w:w="0" w:type="dxa"/>
              <w:right w:w="0" w:type="dxa"/>
            </w:tcMar>
          </w:tcPr>
          <w:p w14:paraId="212C92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vAlign w:val="center"/>
          </w:tcPr>
          <w:p w14:paraId="46007C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1BB9174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6BFF2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CFC202E" w14:textId="77777777" w:rsidTr="00C40B42">
        <w:trPr>
          <w:jc w:val="center"/>
        </w:trPr>
        <w:tc>
          <w:tcPr>
            <w:tcW w:w="1980" w:type="dxa"/>
            <w:tcMar>
              <w:left w:w="0" w:type="dxa"/>
              <w:right w:w="0" w:type="dxa"/>
            </w:tcMar>
          </w:tcPr>
          <w:p w14:paraId="440D946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710" w:type="dxa"/>
            <w:tcMar>
              <w:left w:w="0" w:type="dxa"/>
              <w:right w:w="0" w:type="dxa"/>
            </w:tcMar>
          </w:tcPr>
          <w:p w14:paraId="580392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vAlign w:val="center"/>
          </w:tcPr>
          <w:p w14:paraId="1C0BC93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B3379B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50D1D5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E7C29CE" w14:textId="77777777" w:rsidTr="00C40B42">
        <w:trPr>
          <w:jc w:val="center"/>
        </w:trPr>
        <w:tc>
          <w:tcPr>
            <w:tcW w:w="1980" w:type="dxa"/>
            <w:tcMar>
              <w:left w:w="0" w:type="dxa"/>
              <w:right w:w="0" w:type="dxa"/>
            </w:tcMar>
          </w:tcPr>
          <w:p w14:paraId="0F6B572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710" w:type="dxa"/>
            <w:tcMar>
              <w:left w:w="0" w:type="dxa"/>
              <w:right w:w="0" w:type="dxa"/>
            </w:tcMar>
          </w:tcPr>
          <w:p w14:paraId="23FA85B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5CE7EF6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48D8384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9F3F14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E75F277" w14:textId="77777777" w:rsidTr="00C40B42">
        <w:trPr>
          <w:jc w:val="center"/>
        </w:trPr>
        <w:tc>
          <w:tcPr>
            <w:tcW w:w="1980" w:type="dxa"/>
            <w:tcMar>
              <w:left w:w="0" w:type="dxa"/>
              <w:right w:w="0" w:type="dxa"/>
            </w:tcMar>
          </w:tcPr>
          <w:p w14:paraId="4C5C84B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710" w:type="dxa"/>
            <w:tcMar>
              <w:left w:w="0" w:type="dxa"/>
              <w:right w:w="0" w:type="dxa"/>
            </w:tcMar>
          </w:tcPr>
          <w:p w14:paraId="145C92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3E7055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67E247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0497E0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2C2A088" w14:textId="77777777" w:rsidTr="00C40B42">
        <w:trPr>
          <w:jc w:val="center"/>
        </w:trPr>
        <w:tc>
          <w:tcPr>
            <w:tcW w:w="1980" w:type="dxa"/>
            <w:tcMar>
              <w:left w:w="0" w:type="dxa"/>
              <w:right w:w="0" w:type="dxa"/>
            </w:tcMar>
          </w:tcPr>
          <w:p w14:paraId="0DE3CA7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710" w:type="dxa"/>
            <w:tcMar>
              <w:left w:w="0" w:type="dxa"/>
              <w:right w:w="0" w:type="dxa"/>
            </w:tcMar>
          </w:tcPr>
          <w:p w14:paraId="76DA642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w:t>
            </w:r>
          </w:p>
        </w:tc>
        <w:tc>
          <w:tcPr>
            <w:tcW w:w="1260" w:type="dxa"/>
            <w:tcMar>
              <w:left w:w="0" w:type="dxa"/>
              <w:right w:w="0" w:type="dxa"/>
            </w:tcMar>
            <w:vAlign w:val="center"/>
          </w:tcPr>
          <w:p w14:paraId="33405BB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260" w:type="dxa"/>
            <w:tcMar>
              <w:left w:w="0" w:type="dxa"/>
              <w:right w:w="0" w:type="dxa"/>
            </w:tcMar>
          </w:tcPr>
          <w:p w14:paraId="470A928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BA34C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C92FDA0" w14:textId="77777777" w:rsidTr="00C40B42">
        <w:trPr>
          <w:jc w:val="center"/>
        </w:trPr>
        <w:tc>
          <w:tcPr>
            <w:tcW w:w="1980" w:type="dxa"/>
            <w:tcMar>
              <w:left w:w="0" w:type="dxa"/>
              <w:right w:w="0" w:type="dxa"/>
            </w:tcMar>
          </w:tcPr>
          <w:p w14:paraId="3F95671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710" w:type="dxa"/>
            <w:tcMar>
              <w:left w:w="0" w:type="dxa"/>
              <w:right w:w="0" w:type="dxa"/>
            </w:tcMar>
          </w:tcPr>
          <w:p w14:paraId="61A07D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64ED0F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567BBD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79F126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7C530BD" w14:textId="77777777" w:rsidTr="00C40B42">
        <w:trPr>
          <w:jc w:val="center"/>
        </w:trPr>
        <w:tc>
          <w:tcPr>
            <w:tcW w:w="1980" w:type="dxa"/>
            <w:tcMar>
              <w:left w:w="0" w:type="dxa"/>
              <w:right w:w="0" w:type="dxa"/>
            </w:tcMar>
          </w:tcPr>
          <w:p w14:paraId="4E1899A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710" w:type="dxa"/>
            <w:tcMar>
              <w:left w:w="0" w:type="dxa"/>
              <w:right w:w="0" w:type="dxa"/>
            </w:tcMar>
          </w:tcPr>
          <w:p w14:paraId="20CC3E5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567F73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27754E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701B68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8A8FBD3" w14:textId="77777777" w:rsidTr="00C40B42">
        <w:trPr>
          <w:jc w:val="center"/>
        </w:trPr>
        <w:tc>
          <w:tcPr>
            <w:tcW w:w="1980" w:type="dxa"/>
            <w:tcMar>
              <w:left w:w="0" w:type="dxa"/>
              <w:right w:w="0" w:type="dxa"/>
            </w:tcMar>
          </w:tcPr>
          <w:p w14:paraId="72EBA39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710" w:type="dxa"/>
            <w:tcMar>
              <w:left w:w="0" w:type="dxa"/>
              <w:right w:w="0" w:type="dxa"/>
            </w:tcMar>
          </w:tcPr>
          <w:p w14:paraId="54F0BFE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32FE39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5DDFED3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29CE92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A3F3147" w14:textId="77777777" w:rsidTr="00C40B42">
        <w:trPr>
          <w:jc w:val="center"/>
        </w:trPr>
        <w:tc>
          <w:tcPr>
            <w:tcW w:w="1980" w:type="dxa"/>
            <w:tcMar>
              <w:left w:w="0" w:type="dxa"/>
              <w:right w:w="0" w:type="dxa"/>
            </w:tcMar>
          </w:tcPr>
          <w:p w14:paraId="55D176F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710" w:type="dxa"/>
            <w:tcMar>
              <w:left w:w="0" w:type="dxa"/>
              <w:right w:w="0" w:type="dxa"/>
            </w:tcMar>
          </w:tcPr>
          <w:p w14:paraId="5FCCB23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4ADF0BA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69CEEDA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428097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482ACF8" w14:textId="77777777" w:rsidTr="00C40B42">
        <w:trPr>
          <w:jc w:val="center"/>
        </w:trPr>
        <w:tc>
          <w:tcPr>
            <w:tcW w:w="1980" w:type="dxa"/>
            <w:tcMar>
              <w:left w:w="0" w:type="dxa"/>
              <w:right w:w="0" w:type="dxa"/>
            </w:tcMar>
          </w:tcPr>
          <w:p w14:paraId="45525F7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710" w:type="dxa"/>
            <w:tcMar>
              <w:left w:w="0" w:type="dxa"/>
              <w:right w:w="0" w:type="dxa"/>
            </w:tcMar>
          </w:tcPr>
          <w:p w14:paraId="0425169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DDFBD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2B7C592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5C744B8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B230835" w14:textId="77777777" w:rsidTr="00C40B42">
        <w:trPr>
          <w:jc w:val="center"/>
        </w:trPr>
        <w:tc>
          <w:tcPr>
            <w:tcW w:w="1980" w:type="dxa"/>
            <w:tcBorders>
              <w:bottom w:val="single" w:sz="4" w:space="0" w:color="auto"/>
            </w:tcBorders>
            <w:tcMar>
              <w:left w:w="0" w:type="dxa"/>
              <w:right w:w="0" w:type="dxa"/>
            </w:tcMar>
          </w:tcPr>
          <w:p w14:paraId="54329D01"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710" w:type="dxa"/>
            <w:tcBorders>
              <w:bottom w:val="single" w:sz="4" w:space="0" w:color="auto"/>
            </w:tcBorders>
            <w:tcMar>
              <w:left w:w="0" w:type="dxa"/>
              <w:right w:w="0" w:type="dxa"/>
            </w:tcMar>
          </w:tcPr>
          <w:p w14:paraId="34BE1365"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Borders>
              <w:bottom w:val="single" w:sz="4" w:space="0" w:color="auto"/>
            </w:tcBorders>
            <w:tcMar>
              <w:left w:w="0" w:type="dxa"/>
              <w:right w:w="0" w:type="dxa"/>
            </w:tcMar>
          </w:tcPr>
          <w:p w14:paraId="7AFACFF9"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Borders>
              <w:bottom w:val="single" w:sz="4" w:space="0" w:color="auto"/>
            </w:tcBorders>
            <w:tcMar>
              <w:left w:w="0" w:type="dxa"/>
              <w:right w:w="0" w:type="dxa"/>
            </w:tcMar>
          </w:tcPr>
          <w:p w14:paraId="03096BD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bottom w:val="single" w:sz="4" w:space="0" w:color="auto"/>
            </w:tcBorders>
            <w:tcMar>
              <w:left w:w="0" w:type="dxa"/>
              <w:right w:w="0" w:type="dxa"/>
            </w:tcMar>
          </w:tcPr>
          <w:p w14:paraId="1B7AA545"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52A9F33" w14:textId="77777777" w:rsidTr="00C40B42">
        <w:trPr>
          <w:jc w:val="center"/>
        </w:trPr>
        <w:tc>
          <w:tcPr>
            <w:tcW w:w="1980" w:type="dxa"/>
            <w:tcBorders>
              <w:top w:val="single" w:sz="4" w:space="0" w:color="auto"/>
            </w:tcBorders>
            <w:tcMar>
              <w:left w:w="0" w:type="dxa"/>
              <w:right w:w="0" w:type="dxa"/>
            </w:tcMar>
          </w:tcPr>
          <w:p w14:paraId="19FEB65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1710" w:type="dxa"/>
            <w:tcBorders>
              <w:top w:val="single" w:sz="4" w:space="0" w:color="auto"/>
            </w:tcBorders>
            <w:tcMar>
              <w:left w:w="0" w:type="dxa"/>
              <w:right w:w="0" w:type="dxa"/>
            </w:tcMar>
          </w:tcPr>
          <w:p w14:paraId="5BA50BD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60.00</w:t>
            </w:r>
          </w:p>
        </w:tc>
        <w:tc>
          <w:tcPr>
            <w:tcW w:w="1260" w:type="dxa"/>
            <w:tcBorders>
              <w:top w:val="single" w:sz="4" w:space="0" w:color="auto"/>
            </w:tcBorders>
            <w:tcMar>
              <w:left w:w="0" w:type="dxa"/>
              <w:right w:w="0" w:type="dxa"/>
            </w:tcMar>
          </w:tcPr>
          <w:p w14:paraId="65C3AC0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Borders>
              <w:top w:val="single" w:sz="4" w:space="0" w:color="auto"/>
            </w:tcBorders>
            <w:tcMar>
              <w:left w:w="0" w:type="dxa"/>
              <w:right w:w="0" w:type="dxa"/>
            </w:tcMar>
          </w:tcPr>
          <w:p w14:paraId="1EAAF3C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Borders>
              <w:top w:val="single" w:sz="4" w:space="0" w:color="auto"/>
            </w:tcBorders>
            <w:tcMar>
              <w:left w:w="0" w:type="dxa"/>
              <w:right w:w="0" w:type="dxa"/>
            </w:tcMar>
          </w:tcPr>
          <w:p w14:paraId="1F575A2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09D767A" w14:textId="77777777" w:rsidTr="00C40B42">
        <w:trPr>
          <w:jc w:val="center"/>
        </w:trPr>
        <w:tc>
          <w:tcPr>
            <w:tcW w:w="1980" w:type="dxa"/>
            <w:tcMar>
              <w:left w:w="0" w:type="dxa"/>
              <w:right w:w="0" w:type="dxa"/>
            </w:tcMar>
          </w:tcPr>
          <w:p w14:paraId="7F2A4C3A"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710" w:type="dxa"/>
            <w:tcMar>
              <w:left w:w="0" w:type="dxa"/>
              <w:right w:w="0" w:type="dxa"/>
            </w:tcMar>
          </w:tcPr>
          <w:p w14:paraId="14BB521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60.00</w:t>
            </w:r>
          </w:p>
        </w:tc>
        <w:tc>
          <w:tcPr>
            <w:tcW w:w="1260" w:type="dxa"/>
            <w:tcMar>
              <w:left w:w="0" w:type="dxa"/>
              <w:right w:w="0" w:type="dxa"/>
            </w:tcMar>
          </w:tcPr>
          <w:p w14:paraId="71483FE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Mar>
              <w:left w:w="0" w:type="dxa"/>
              <w:right w:w="0" w:type="dxa"/>
            </w:tcMar>
          </w:tcPr>
          <w:p w14:paraId="7BC83F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Mar>
              <w:left w:w="0" w:type="dxa"/>
              <w:right w:w="0" w:type="dxa"/>
            </w:tcMar>
          </w:tcPr>
          <w:p w14:paraId="4C40E4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2875B29" w14:textId="77777777" w:rsidTr="00C40B42">
        <w:trPr>
          <w:jc w:val="center"/>
        </w:trPr>
        <w:tc>
          <w:tcPr>
            <w:tcW w:w="1980" w:type="dxa"/>
            <w:tcBorders>
              <w:bottom w:val="single" w:sz="4" w:space="0" w:color="auto"/>
            </w:tcBorders>
            <w:tcMar>
              <w:left w:w="0" w:type="dxa"/>
              <w:right w:w="0" w:type="dxa"/>
            </w:tcMar>
          </w:tcPr>
          <w:p w14:paraId="63D72BD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1710" w:type="dxa"/>
            <w:tcBorders>
              <w:bottom w:val="single" w:sz="4" w:space="0" w:color="auto"/>
            </w:tcBorders>
            <w:tcMar>
              <w:left w:w="0" w:type="dxa"/>
              <w:right w:w="0" w:type="dxa"/>
            </w:tcMar>
          </w:tcPr>
          <w:p w14:paraId="50B9CB5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c>
          <w:tcPr>
            <w:tcW w:w="1260" w:type="dxa"/>
            <w:tcBorders>
              <w:bottom w:val="single" w:sz="4" w:space="0" w:color="auto"/>
            </w:tcBorders>
            <w:tcMar>
              <w:left w:w="0" w:type="dxa"/>
              <w:right w:w="0" w:type="dxa"/>
            </w:tcMar>
          </w:tcPr>
          <w:p w14:paraId="02B9D81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c>
          <w:tcPr>
            <w:tcW w:w="1260" w:type="dxa"/>
            <w:tcBorders>
              <w:bottom w:val="single" w:sz="4" w:space="0" w:color="auto"/>
            </w:tcBorders>
            <w:tcMar>
              <w:left w:w="0" w:type="dxa"/>
              <w:right w:w="0" w:type="dxa"/>
            </w:tcMar>
          </w:tcPr>
          <w:p w14:paraId="2EA2BE6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540" w:type="dxa"/>
            <w:tcBorders>
              <w:bottom w:val="single" w:sz="4" w:space="0" w:color="auto"/>
            </w:tcBorders>
            <w:tcMar>
              <w:left w:w="0" w:type="dxa"/>
              <w:right w:w="0" w:type="dxa"/>
            </w:tcMar>
          </w:tcPr>
          <w:p w14:paraId="346F07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r w:rsidR="00C40B42" w:rsidRPr="00A61532" w14:paraId="49EF65AD" w14:textId="77777777" w:rsidTr="00C40B42">
        <w:trPr>
          <w:jc w:val="center"/>
        </w:trPr>
        <w:tc>
          <w:tcPr>
            <w:tcW w:w="1980" w:type="dxa"/>
            <w:tcBorders>
              <w:top w:val="single" w:sz="4" w:space="0" w:color="auto"/>
            </w:tcBorders>
            <w:tcMar>
              <w:left w:w="0" w:type="dxa"/>
              <w:right w:w="0" w:type="dxa"/>
            </w:tcMar>
          </w:tcPr>
          <w:p w14:paraId="3DC0F469"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Dell EMC</w:t>
            </w:r>
          </w:p>
        </w:tc>
        <w:tc>
          <w:tcPr>
            <w:tcW w:w="1710" w:type="dxa"/>
            <w:tcBorders>
              <w:top w:val="single" w:sz="4" w:space="0" w:color="auto"/>
            </w:tcBorders>
            <w:tcMar>
              <w:left w:w="0" w:type="dxa"/>
              <w:right w:w="0" w:type="dxa"/>
            </w:tcMar>
          </w:tcPr>
          <w:p w14:paraId="2E6D22AF"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120</w:t>
            </w:r>
          </w:p>
        </w:tc>
        <w:tc>
          <w:tcPr>
            <w:tcW w:w="1260" w:type="dxa"/>
            <w:tcBorders>
              <w:top w:val="single" w:sz="4" w:space="0" w:color="auto"/>
            </w:tcBorders>
            <w:tcMar>
              <w:left w:w="0" w:type="dxa"/>
              <w:right w:w="0" w:type="dxa"/>
            </w:tcMar>
            <w:vAlign w:val="center"/>
          </w:tcPr>
          <w:p w14:paraId="2BD85271"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Borders>
              <w:top w:val="single" w:sz="4" w:space="0" w:color="auto"/>
            </w:tcBorders>
            <w:tcMar>
              <w:left w:w="0" w:type="dxa"/>
              <w:right w:w="0" w:type="dxa"/>
            </w:tcMar>
          </w:tcPr>
          <w:p w14:paraId="24DF7BBD"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top w:val="single" w:sz="4" w:space="0" w:color="auto"/>
            </w:tcBorders>
            <w:tcMar>
              <w:left w:w="0" w:type="dxa"/>
              <w:right w:w="0" w:type="dxa"/>
            </w:tcMar>
          </w:tcPr>
          <w:p w14:paraId="2C9ACE77"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C88914B" w14:textId="77777777" w:rsidTr="00C40B42">
        <w:trPr>
          <w:jc w:val="center"/>
        </w:trPr>
        <w:tc>
          <w:tcPr>
            <w:tcW w:w="1980" w:type="dxa"/>
            <w:tcMar>
              <w:left w:w="0" w:type="dxa"/>
              <w:right w:w="0" w:type="dxa"/>
            </w:tcMar>
          </w:tcPr>
          <w:p w14:paraId="001C6B6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lastRenderedPageBreak/>
              <w:t>TXU</w:t>
            </w:r>
          </w:p>
        </w:tc>
        <w:tc>
          <w:tcPr>
            <w:tcW w:w="1710" w:type="dxa"/>
            <w:tcMar>
              <w:left w:w="0" w:type="dxa"/>
              <w:right w:w="0" w:type="dxa"/>
            </w:tcMar>
          </w:tcPr>
          <w:p w14:paraId="5D5101D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07BF9FF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5D69BF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3CD7C40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91A70F0" w14:textId="77777777" w:rsidTr="00C40B42">
        <w:trPr>
          <w:jc w:val="center"/>
        </w:trPr>
        <w:tc>
          <w:tcPr>
            <w:tcW w:w="1980" w:type="dxa"/>
            <w:tcMar>
              <w:left w:w="0" w:type="dxa"/>
              <w:right w:w="0" w:type="dxa"/>
            </w:tcMar>
          </w:tcPr>
          <w:p w14:paraId="5E3AC60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1710" w:type="dxa"/>
            <w:tcMar>
              <w:left w:w="0" w:type="dxa"/>
              <w:right w:w="0" w:type="dxa"/>
            </w:tcMar>
          </w:tcPr>
          <w:p w14:paraId="0FCC0E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224D814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126665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D491E4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EB30626" w14:textId="77777777" w:rsidTr="00C40B42">
        <w:trPr>
          <w:jc w:val="center"/>
        </w:trPr>
        <w:tc>
          <w:tcPr>
            <w:tcW w:w="1980" w:type="dxa"/>
            <w:tcMar>
              <w:left w:w="0" w:type="dxa"/>
              <w:right w:w="0" w:type="dxa"/>
            </w:tcMar>
          </w:tcPr>
          <w:p w14:paraId="066B926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1710" w:type="dxa"/>
            <w:tcMar>
              <w:left w:w="0" w:type="dxa"/>
              <w:right w:w="0" w:type="dxa"/>
            </w:tcMar>
          </w:tcPr>
          <w:p w14:paraId="67DC9D4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58ADCE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B4851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071F43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8CADBE2" w14:textId="77777777" w:rsidTr="00C40B42">
        <w:trPr>
          <w:jc w:val="center"/>
        </w:trPr>
        <w:tc>
          <w:tcPr>
            <w:tcW w:w="1980" w:type="dxa"/>
            <w:tcMar>
              <w:left w:w="0" w:type="dxa"/>
              <w:right w:w="0" w:type="dxa"/>
            </w:tcMar>
          </w:tcPr>
          <w:p w14:paraId="14FFB8BF" w14:textId="77777777" w:rsidR="00C40B42" w:rsidRPr="00A61532" w:rsidRDefault="00C40B42" w:rsidP="00C40B42">
            <w:pPr>
              <w:widowControl/>
              <w:ind w:firstLine="0"/>
              <w:jc w:val="left"/>
              <w:rPr>
                <w:rFonts w:asciiTheme="majorBidi" w:hAnsiTheme="majorBidi" w:cstheme="majorBidi"/>
                <w:i/>
                <w:iCs/>
                <w:kern w:val="0"/>
                <w:sz w:val="20"/>
              </w:rPr>
            </w:pPr>
            <w:proofErr w:type="spellStart"/>
            <w:r w:rsidRPr="00A61532">
              <w:rPr>
                <w:rFonts w:asciiTheme="majorBidi" w:hAnsiTheme="majorBidi" w:cstheme="majorBidi"/>
                <w:i/>
                <w:iCs/>
                <w:kern w:val="0"/>
                <w:sz w:val="20"/>
              </w:rPr>
              <w:t>Parexel</w:t>
            </w:r>
            <w:proofErr w:type="spellEnd"/>
          </w:p>
        </w:tc>
        <w:tc>
          <w:tcPr>
            <w:tcW w:w="1710" w:type="dxa"/>
            <w:tcMar>
              <w:left w:w="0" w:type="dxa"/>
              <w:right w:w="0" w:type="dxa"/>
            </w:tcMar>
          </w:tcPr>
          <w:p w14:paraId="315F42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2E7A29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1FA001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586228F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FF4C763" w14:textId="77777777" w:rsidTr="00C40B42">
        <w:trPr>
          <w:jc w:val="center"/>
        </w:trPr>
        <w:tc>
          <w:tcPr>
            <w:tcW w:w="1980" w:type="dxa"/>
            <w:tcMar>
              <w:left w:w="0" w:type="dxa"/>
              <w:right w:w="0" w:type="dxa"/>
            </w:tcMar>
          </w:tcPr>
          <w:p w14:paraId="2962378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1710" w:type="dxa"/>
            <w:tcMar>
              <w:left w:w="0" w:type="dxa"/>
              <w:right w:w="0" w:type="dxa"/>
            </w:tcMar>
          </w:tcPr>
          <w:p w14:paraId="37F837D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4883F79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9BF5C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0D4DE27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AB81F66" w14:textId="77777777" w:rsidTr="00C40B42">
        <w:trPr>
          <w:jc w:val="center"/>
        </w:trPr>
        <w:tc>
          <w:tcPr>
            <w:tcW w:w="1980" w:type="dxa"/>
            <w:tcMar>
              <w:left w:w="0" w:type="dxa"/>
              <w:right w:w="0" w:type="dxa"/>
            </w:tcMar>
          </w:tcPr>
          <w:p w14:paraId="6C9225F6" w14:textId="02347F50"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641D2A">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710" w:type="dxa"/>
            <w:tcMar>
              <w:left w:w="0" w:type="dxa"/>
              <w:right w:w="0" w:type="dxa"/>
            </w:tcMar>
          </w:tcPr>
          <w:p w14:paraId="3DC7381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EBFAF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3ABFD0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BA2418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B56995B" w14:textId="77777777" w:rsidTr="00C40B42">
        <w:trPr>
          <w:jc w:val="center"/>
        </w:trPr>
        <w:tc>
          <w:tcPr>
            <w:tcW w:w="1980" w:type="dxa"/>
            <w:tcMar>
              <w:left w:w="0" w:type="dxa"/>
              <w:right w:w="0" w:type="dxa"/>
            </w:tcMar>
          </w:tcPr>
          <w:p w14:paraId="1499599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1710" w:type="dxa"/>
            <w:tcMar>
              <w:left w:w="0" w:type="dxa"/>
              <w:right w:w="0" w:type="dxa"/>
            </w:tcMar>
          </w:tcPr>
          <w:p w14:paraId="5A0F691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C3EC89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2FA2BF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11A5A9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F21246A" w14:textId="77777777" w:rsidTr="00C40B42">
        <w:trPr>
          <w:jc w:val="center"/>
        </w:trPr>
        <w:tc>
          <w:tcPr>
            <w:tcW w:w="1980" w:type="dxa"/>
            <w:tcMar>
              <w:left w:w="0" w:type="dxa"/>
              <w:right w:w="0" w:type="dxa"/>
            </w:tcMar>
          </w:tcPr>
          <w:p w14:paraId="6445F24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1710" w:type="dxa"/>
            <w:tcMar>
              <w:left w:w="0" w:type="dxa"/>
              <w:right w:w="0" w:type="dxa"/>
            </w:tcMar>
          </w:tcPr>
          <w:p w14:paraId="6A6C6CC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5C96DA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224D0F8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01596FC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6A04729" w14:textId="77777777" w:rsidTr="00C40B42">
        <w:trPr>
          <w:jc w:val="center"/>
        </w:trPr>
        <w:tc>
          <w:tcPr>
            <w:tcW w:w="1980" w:type="dxa"/>
            <w:tcMar>
              <w:left w:w="0" w:type="dxa"/>
              <w:right w:w="0" w:type="dxa"/>
            </w:tcMar>
          </w:tcPr>
          <w:p w14:paraId="157EE68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710" w:type="dxa"/>
            <w:tcMar>
              <w:left w:w="0" w:type="dxa"/>
              <w:right w:w="0" w:type="dxa"/>
            </w:tcMar>
          </w:tcPr>
          <w:p w14:paraId="405E9D3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08C113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219DAA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4E52A9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9023311" w14:textId="77777777" w:rsidTr="00C40B42">
        <w:trPr>
          <w:jc w:val="center"/>
        </w:trPr>
        <w:tc>
          <w:tcPr>
            <w:tcW w:w="1980" w:type="dxa"/>
            <w:tcMar>
              <w:left w:w="0" w:type="dxa"/>
              <w:right w:w="0" w:type="dxa"/>
            </w:tcMar>
          </w:tcPr>
          <w:p w14:paraId="0DD6DB5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1710" w:type="dxa"/>
            <w:tcMar>
              <w:left w:w="0" w:type="dxa"/>
              <w:right w:w="0" w:type="dxa"/>
            </w:tcMar>
          </w:tcPr>
          <w:p w14:paraId="06A9849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304FF1C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5FBABE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2FF58E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FFF9514" w14:textId="77777777" w:rsidTr="00C40B42">
        <w:trPr>
          <w:jc w:val="center"/>
        </w:trPr>
        <w:tc>
          <w:tcPr>
            <w:tcW w:w="1980" w:type="dxa"/>
            <w:tcBorders>
              <w:bottom w:val="single" w:sz="4" w:space="0" w:color="auto"/>
            </w:tcBorders>
            <w:tcMar>
              <w:left w:w="0" w:type="dxa"/>
              <w:right w:w="0" w:type="dxa"/>
            </w:tcMar>
          </w:tcPr>
          <w:p w14:paraId="246DDFE8"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710" w:type="dxa"/>
            <w:tcBorders>
              <w:bottom w:val="single" w:sz="4" w:space="0" w:color="auto"/>
            </w:tcBorders>
            <w:tcMar>
              <w:left w:w="0" w:type="dxa"/>
              <w:right w:w="0" w:type="dxa"/>
            </w:tcMar>
          </w:tcPr>
          <w:p w14:paraId="26337AC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Borders>
              <w:bottom w:val="single" w:sz="4" w:space="0" w:color="auto"/>
            </w:tcBorders>
            <w:tcMar>
              <w:left w:w="0" w:type="dxa"/>
              <w:right w:w="0" w:type="dxa"/>
            </w:tcMar>
          </w:tcPr>
          <w:p w14:paraId="1FF93627"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Borders>
              <w:bottom w:val="single" w:sz="4" w:space="0" w:color="auto"/>
            </w:tcBorders>
            <w:tcMar>
              <w:left w:w="0" w:type="dxa"/>
              <w:right w:w="0" w:type="dxa"/>
            </w:tcMar>
          </w:tcPr>
          <w:p w14:paraId="369F293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bottom w:val="single" w:sz="4" w:space="0" w:color="auto"/>
            </w:tcBorders>
            <w:tcMar>
              <w:left w:w="0" w:type="dxa"/>
              <w:right w:w="0" w:type="dxa"/>
            </w:tcMar>
          </w:tcPr>
          <w:p w14:paraId="12FC3164"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3B87926" w14:textId="77777777" w:rsidTr="00C40B42">
        <w:trPr>
          <w:jc w:val="center"/>
        </w:trPr>
        <w:tc>
          <w:tcPr>
            <w:tcW w:w="1980" w:type="dxa"/>
            <w:tcBorders>
              <w:top w:val="single" w:sz="4" w:space="0" w:color="auto"/>
            </w:tcBorders>
            <w:tcMar>
              <w:left w:w="0" w:type="dxa"/>
              <w:right w:w="0" w:type="dxa"/>
            </w:tcMar>
          </w:tcPr>
          <w:p w14:paraId="3B07129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1710" w:type="dxa"/>
            <w:tcBorders>
              <w:top w:val="single" w:sz="4" w:space="0" w:color="auto"/>
            </w:tcBorders>
            <w:tcMar>
              <w:left w:w="0" w:type="dxa"/>
              <w:right w:w="0" w:type="dxa"/>
            </w:tcMar>
          </w:tcPr>
          <w:p w14:paraId="1961A558" w14:textId="7C88811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260" w:type="dxa"/>
            <w:tcBorders>
              <w:top w:val="single" w:sz="4" w:space="0" w:color="auto"/>
            </w:tcBorders>
            <w:tcMar>
              <w:left w:w="0" w:type="dxa"/>
              <w:right w:w="0" w:type="dxa"/>
            </w:tcMar>
          </w:tcPr>
          <w:p w14:paraId="5210DD0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Borders>
              <w:top w:val="single" w:sz="4" w:space="0" w:color="auto"/>
            </w:tcBorders>
            <w:tcMar>
              <w:left w:w="0" w:type="dxa"/>
              <w:right w:w="0" w:type="dxa"/>
            </w:tcMar>
          </w:tcPr>
          <w:p w14:paraId="6BFD7C3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Borders>
              <w:top w:val="single" w:sz="4" w:space="0" w:color="auto"/>
            </w:tcBorders>
            <w:tcMar>
              <w:left w:w="0" w:type="dxa"/>
              <w:right w:w="0" w:type="dxa"/>
            </w:tcMar>
          </w:tcPr>
          <w:p w14:paraId="769315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B02DDFD" w14:textId="77777777" w:rsidTr="00C40B42">
        <w:trPr>
          <w:jc w:val="center"/>
        </w:trPr>
        <w:tc>
          <w:tcPr>
            <w:tcW w:w="1980" w:type="dxa"/>
            <w:tcMar>
              <w:left w:w="0" w:type="dxa"/>
              <w:right w:w="0" w:type="dxa"/>
            </w:tcMar>
          </w:tcPr>
          <w:p w14:paraId="570C5D47"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710" w:type="dxa"/>
            <w:tcMar>
              <w:left w:w="0" w:type="dxa"/>
              <w:right w:w="0" w:type="dxa"/>
            </w:tcMar>
          </w:tcPr>
          <w:p w14:paraId="106348A9" w14:textId="1BCD52EF"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260" w:type="dxa"/>
            <w:tcMar>
              <w:left w:w="0" w:type="dxa"/>
              <w:right w:w="0" w:type="dxa"/>
            </w:tcMar>
          </w:tcPr>
          <w:p w14:paraId="4BE7230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Mar>
              <w:left w:w="0" w:type="dxa"/>
              <w:right w:w="0" w:type="dxa"/>
            </w:tcMar>
          </w:tcPr>
          <w:p w14:paraId="7D37C71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Mar>
              <w:left w:w="0" w:type="dxa"/>
              <w:right w:w="0" w:type="dxa"/>
            </w:tcMar>
          </w:tcPr>
          <w:p w14:paraId="5FDEA23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A57DB57" w14:textId="77777777" w:rsidTr="00C40B42">
        <w:trPr>
          <w:jc w:val="center"/>
        </w:trPr>
        <w:tc>
          <w:tcPr>
            <w:tcW w:w="1980" w:type="dxa"/>
            <w:tcBorders>
              <w:bottom w:val="double" w:sz="4" w:space="0" w:color="auto"/>
            </w:tcBorders>
            <w:tcMar>
              <w:left w:w="0" w:type="dxa"/>
              <w:right w:w="0" w:type="dxa"/>
            </w:tcMar>
          </w:tcPr>
          <w:p w14:paraId="380B3F5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1710" w:type="dxa"/>
            <w:tcBorders>
              <w:bottom w:val="double" w:sz="4" w:space="0" w:color="auto"/>
            </w:tcBorders>
            <w:tcMar>
              <w:left w:w="0" w:type="dxa"/>
              <w:right w:w="0" w:type="dxa"/>
            </w:tcMar>
          </w:tcPr>
          <w:p w14:paraId="22893C4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w:t>
            </w:r>
          </w:p>
        </w:tc>
        <w:tc>
          <w:tcPr>
            <w:tcW w:w="1260" w:type="dxa"/>
            <w:tcBorders>
              <w:bottom w:val="double" w:sz="4" w:space="0" w:color="auto"/>
            </w:tcBorders>
            <w:tcMar>
              <w:left w:w="0" w:type="dxa"/>
              <w:right w:w="0" w:type="dxa"/>
            </w:tcMar>
          </w:tcPr>
          <w:p w14:paraId="05DA439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Borders>
              <w:bottom w:val="double" w:sz="4" w:space="0" w:color="auto"/>
            </w:tcBorders>
            <w:tcMar>
              <w:left w:w="0" w:type="dxa"/>
              <w:right w:w="0" w:type="dxa"/>
            </w:tcMar>
          </w:tcPr>
          <w:p w14:paraId="215EC8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540" w:type="dxa"/>
            <w:tcBorders>
              <w:bottom w:val="double" w:sz="4" w:space="0" w:color="auto"/>
            </w:tcBorders>
            <w:tcMar>
              <w:left w:w="0" w:type="dxa"/>
              <w:right w:w="0" w:type="dxa"/>
            </w:tcMar>
          </w:tcPr>
          <w:p w14:paraId="4C2B75E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bl>
    <w:p w14:paraId="6119FC9E" w14:textId="77777777" w:rsidR="001C29AE" w:rsidRDefault="001C29AE" w:rsidP="001C29AE">
      <w:pPr>
        <w:widowControl/>
        <w:spacing w:line="259" w:lineRule="auto"/>
        <w:rPr>
          <w:rFonts w:asciiTheme="majorBidi" w:eastAsia="SimSun" w:hAnsiTheme="majorBidi" w:cstheme="majorBidi"/>
          <w:color w:val="000000" w:themeColor="text1"/>
          <w:kern w:val="0"/>
          <w:szCs w:val="24"/>
          <w:lang w:bidi="he-IL"/>
        </w:rPr>
      </w:pPr>
    </w:p>
    <w:p w14:paraId="518433AC" w14:textId="5C0BBD1B" w:rsidR="0077487A" w:rsidRPr="00A61532" w:rsidRDefault="00C40B42" w:rsidP="001C29AE">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Table 1</w:t>
      </w:r>
      <w:r w:rsidR="00E2046E">
        <w:rPr>
          <w:rFonts w:asciiTheme="majorBidi" w:eastAsia="SimSun" w:hAnsiTheme="majorBidi" w:cstheme="majorBidi"/>
          <w:color w:val="000000" w:themeColor="text1"/>
          <w:kern w:val="0"/>
          <w:szCs w:val="24"/>
          <w:lang w:bidi="he-IL"/>
        </w:rPr>
        <w:t>1</w:t>
      </w:r>
      <w:r w:rsidRPr="00A61532">
        <w:rPr>
          <w:rFonts w:asciiTheme="majorBidi" w:eastAsia="SimSun" w:hAnsiTheme="majorBidi" w:cstheme="majorBidi"/>
          <w:color w:val="000000" w:themeColor="text1"/>
          <w:kern w:val="0"/>
          <w:szCs w:val="24"/>
          <w:lang w:bidi="he-IL"/>
        </w:rPr>
        <w:t xml:space="preserve"> shows that these additional stakeholder interests hardly received any protection in the top 24 ERR and Non-ERR transactions. First, as far as local communities are concerned, we find that commitments to retain the location of the target company</w:t>
      </w:r>
      <w:r w:rsidR="00DB676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headquarters appeared in only two of the largest ERR transactions and one of the Non-ERR transactions. While one of the ERR examples was not limited to a specific time period, the remaining ERR example and its Non-ERR counterpart were limited to 60 and 120 months, respectively. Commitments to invest or to retain existing investments in local communities, philanthropy or charitable organizations were docume</w:t>
      </w:r>
      <w:r w:rsidRPr="001C29AE">
        <w:rPr>
          <w:rFonts w:asciiTheme="majorBidi" w:eastAsia="SimSun" w:hAnsiTheme="majorBidi" w:cstheme="majorBidi"/>
          <w:color w:val="000000" w:themeColor="text1"/>
          <w:kern w:val="0"/>
          <w:szCs w:val="24"/>
          <w:lang w:bidi="he-IL"/>
        </w:rPr>
        <w:t>nted only in the top ERR transactions subsample (17% of the transactions).</w:t>
      </w:r>
      <w:r w:rsidR="00426DBD" w:rsidRPr="001C29AE">
        <w:rPr>
          <w:rFonts w:asciiTheme="majorBidi" w:eastAsia="SimSun" w:hAnsiTheme="majorBidi" w:cstheme="majorBidi"/>
          <w:color w:val="000000" w:themeColor="text1"/>
          <w:kern w:val="0"/>
          <w:szCs w:val="24"/>
          <w:vertAlign w:val="superscript"/>
          <w:lang w:bidi="he-IL"/>
        </w:rPr>
        <w:footnoteReference w:id="108"/>
      </w:r>
      <w:r w:rsidRPr="00A61532">
        <w:rPr>
          <w:rFonts w:asciiTheme="majorBidi" w:eastAsia="SimSun" w:hAnsiTheme="majorBidi" w:cstheme="majorBidi"/>
          <w:color w:val="000000" w:themeColor="text1"/>
          <w:kern w:val="0"/>
          <w:szCs w:val="24"/>
          <w:lang w:bidi="he-IL"/>
        </w:rPr>
        <w:t xml:space="preserve"> </w:t>
      </w:r>
    </w:p>
    <w:p w14:paraId="5C45EC8F" w14:textId="3BB46D86" w:rsidR="00C40B42" w:rsidRPr="00332FE2" w:rsidRDefault="00C40B42" w:rsidP="00426DBD">
      <w:pPr>
        <w:widowControl/>
        <w:spacing w:line="259" w:lineRule="auto"/>
        <w:rPr>
          <w:rFonts w:asciiTheme="majorBidi" w:eastAsia="SimSun" w:hAnsiTheme="majorBidi"/>
          <w:kern w:val="0"/>
        </w:rPr>
      </w:pPr>
      <w:r w:rsidRPr="0004357A">
        <w:rPr>
          <w:rFonts w:asciiTheme="majorBidi" w:eastAsia="SimSun" w:hAnsiTheme="majorBidi" w:cstheme="majorBidi"/>
          <w:color w:val="000000" w:themeColor="text1"/>
          <w:kern w:val="0"/>
          <w:szCs w:val="24"/>
          <w:lang w:bidi="he-IL"/>
        </w:rPr>
        <w:t xml:space="preserve">As Table A6 </w:t>
      </w:r>
      <w:r w:rsidR="001C29AE" w:rsidRPr="0004357A">
        <w:rPr>
          <w:rFonts w:asciiTheme="majorBidi" w:eastAsia="SimSun" w:hAnsiTheme="majorBidi" w:cstheme="majorBidi"/>
          <w:color w:val="000000" w:themeColor="text1"/>
          <w:kern w:val="0"/>
          <w:szCs w:val="24"/>
          <w:lang w:bidi="he-IL"/>
        </w:rPr>
        <w:t>of</w:t>
      </w:r>
      <w:r w:rsidRPr="0004357A">
        <w:rPr>
          <w:rFonts w:asciiTheme="majorBidi" w:eastAsia="SimSun" w:hAnsiTheme="majorBidi" w:cstheme="majorBidi"/>
          <w:color w:val="000000" w:themeColor="text1"/>
          <w:kern w:val="0"/>
          <w:szCs w:val="24"/>
          <w:lang w:bidi="he-IL"/>
        </w:rPr>
        <w:t xml:space="preserve"> the </w:t>
      </w:r>
      <w:r w:rsidR="0074735E" w:rsidRPr="0004357A">
        <w:rPr>
          <w:rFonts w:asciiTheme="majorBidi" w:eastAsia="SimSun" w:hAnsiTheme="majorBidi" w:cstheme="majorBidi"/>
          <w:color w:val="000000" w:themeColor="text1"/>
          <w:kern w:val="0"/>
          <w:szCs w:val="24"/>
          <w:lang w:bidi="he-IL"/>
        </w:rPr>
        <w:t>Online Appendix</w:t>
      </w:r>
      <w:r w:rsidRPr="0004357A">
        <w:rPr>
          <w:rFonts w:asciiTheme="majorBidi" w:eastAsia="SimSun" w:hAnsiTheme="majorBidi" w:cstheme="majorBidi"/>
          <w:color w:val="000000" w:themeColor="text1"/>
          <w:kern w:val="0"/>
          <w:szCs w:val="24"/>
          <w:lang w:bidi="he-IL"/>
        </w:rPr>
        <w:t xml:space="preserve"> shows, </w:t>
      </w:r>
      <w:r w:rsidR="001C29AE" w:rsidRPr="0004357A">
        <w:rPr>
          <w:rFonts w:asciiTheme="majorBidi" w:eastAsia="SimSun" w:hAnsiTheme="majorBidi" w:cstheme="majorBidi"/>
          <w:kern w:val="0"/>
          <w:szCs w:val="24"/>
          <w:lang w:bidi="he-IL"/>
        </w:rPr>
        <w:t xml:space="preserve">the findings continue to hold when we examine all 105 deals in our sample. </w:t>
      </w:r>
      <w:r w:rsidR="00426DBD">
        <w:rPr>
          <w:rFonts w:asciiTheme="majorBidi" w:eastAsia="SimSun" w:hAnsiTheme="majorBidi" w:cstheme="majorBidi"/>
          <w:kern w:val="0"/>
          <w:szCs w:val="24"/>
          <w:lang w:bidi="he-IL"/>
        </w:rPr>
        <w:t>W</w:t>
      </w:r>
      <w:r w:rsidR="00E2046E" w:rsidRPr="00E2046E">
        <w:rPr>
          <w:rFonts w:asciiTheme="majorBidi" w:eastAsia="SimSun" w:hAnsiTheme="majorBidi" w:cstheme="majorBidi"/>
          <w:kern w:val="0"/>
          <w:szCs w:val="24"/>
          <w:lang w:bidi="he-IL"/>
        </w:rPr>
        <w:t>e find</w:t>
      </w:r>
      <w:r w:rsidR="00E2046E" w:rsidRPr="00332FE2">
        <w:rPr>
          <w:rFonts w:asciiTheme="majorBidi" w:eastAsia="SimSun" w:hAnsiTheme="majorBidi"/>
          <w:kern w:val="0"/>
        </w:rPr>
        <w:t xml:space="preserve"> a commitment to</w:t>
      </w:r>
      <w:r w:rsidR="00426DBD">
        <w:rPr>
          <w:rFonts w:asciiTheme="majorBidi" w:eastAsia="SimSun" w:hAnsiTheme="majorBidi" w:cstheme="majorBidi"/>
          <w:color w:val="000000" w:themeColor="text1"/>
          <w:kern w:val="0"/>
          <w:szCs w:val="24"/>
          <w:lang w:bidi="he-IL"/>
        </w:rPr>
        <w:t xml:space="preserve"> </w:t>
      </w:r>
      <w:r w:rsidR="00E2046E" w:rsidRPr="00332FE2">
        <w:rPr>
          <w:rFonts w:asciiTheme="majorBidi" w:eastAsia="SimSun" w:hAnsiTheme="majorBidi"/>
          <w:kern w:val="0"/>
        </w:rPr>
        <w:t xml:space="preserve">retain the </w:t>
      </w:r>
      <w:r w:rsidR="00E2046E" w:rsidRPr="00E2046E">
        <w:rPr>
          <w:rFonts w:asciiTheme="majorBidi" w:eastAsia="SimSun" w:hAnsiTheme="majorBidi" w:cstheme="majorBidi"/>
          <w:kern w:val="0"/>
          <w:szCs w:val="24"/>
          <w:lang w:bidi="he-IL"/>
        </w:rPr>
        <w:t>location of the target company’s</w:t>
      </w:r>
      <w:r w:rsidR="00E2046E" w:rsidRPr="00332FE2">
        <w:rPr>
          <w:rFonts w:asciiTheme="majorBidi" w:eastAsia="SimSun" w:hAnsiTheme="majorBidi"/>
          <w:kern w:val="0"/>
        </w:rPr>
        <w:t xml:space="preserve"> headquarters</w:t>
      </w:r>
      <w:r w:rsidR="00E2046E" w:rsidRPr="00E2046E">
        <w:rPr>
          <w:rFonts w:asciiTheme="majorBidi" w:eastAsia="SimSun" w:hAnsiTheme="majorBidi" w:cstheme="majorBidi"/>
          <w:kern w:val="0"/>
          <w:szCs w:val="24"/>
          <w:lang w:bidi="he-IL"/>
        </w:rPr>
        <w:t xml:space="preserve"> in only 9% of </w:t>
      </w:r>
      <w:r w:rsidR="00E2046E">
        <w:rPr>
          <w:rFonts w:asciiTheme="majorBidi" w:eastAsia="SimSun" w:hAnsiTheme="majorBidi" w:cstheme="majorBidi"/>
          <w:kern w:val="0"/>
          <w:szCs w:val="24"/>
          <w:lang w:bidi="he-IL"/>
        </w:rPr>
        <w:t xml:space="preserve">all </w:t>
      </w:r>
      <w:r w:rsidR="00E2046E" w:rsidRPr="00E2046E">
        <w:rPr>
          <w:rFonts w:asciiTheme="majorBidi" w:eastAsia="SimSun" w:hAnsiTheme="majorBidi" w:cstheme="majorBidi"/>
          <w:kern w:val="0"/>
          <w:szCs w:val="24"/>
          <w:lang w:bidi="he-IL"/>
        </w:rPr>
        <w:t>transactions,</w:t>
      </w:r>
      <w:r w:rsidR="00E2046E" w:rsidRPr="00332FE2">
        <w:rPr>
          <w:rFonts w:asciiTheme="majorBidi" w:eastAsia="SimSun" w:hAnsiTheme="majorBidi"/>
          <w:kern w:val="0"/>
        </w:rPr>
        <w:t xml:space="preserve"> for an average period of 49 months. </w:t>
      </w:r>
      <w:r w:rsidRPr="0004357A">
        <w:rPr>
          <w:rFonts w:asciiTheme="majorBidi" w:eastAsia="SimSun" w:hAnsiTheme="majorBidi" w:cstheme="majorBidi"/>
          <w:color w:val="000000" w:themeColor="text1"/>
          <w:kern w:val="0"/>
          <w:szCs w:val="24"/>
          <w:lang w:bidi="he-IL"/>
        </w:rPr>
        <w:t xml:space="preserve">Additionally, </w:t>
      </w:r>
      <w:r w:rsidR="0004357A">
        <w:rPr>
          <w:rFonts w:asciiTheme="majorBidi" w:eastAsia="SimSun" w:hAnsiTheme="majorBidi" w:cstheme="majorBidi"/>
          <w:color w:val="000000" w:themeColor="text1"/>
          <w:kern w:val="0"/>
          <w:szCs w:val="24"/>
          <w:lang w:bidi="he-IL"/>
        </w:rPr>
        <w:t xml:space="preserve">only </w:t>
      </w:r>
      <w:r w:rsidR="001C29AE" w:rsidRPr="0004357A">
        <w:rPr>
          <w:rFonts w:asciiTheme="majorBidi" w:eastAsia="SimSun" w:hAnsiTheme="majorBidi" w:cstheme="majorBidi"/>
          <w:color w:val="000000" w:themeColor="text1"/>
          <w:kern w:val="0"/>
          <w:szCs w:val="24"/>
          <w:lang w:bidi="he-IL"/>
        </w:rPr>
        <w:t>4</w:t>
      </w:r>
      <w:r w:rsidRPr="0004357A">
        <w:rPr>
          <w:rFonts w:asciiTheme="majorBidi" w:eastAsia="SimSun" w:hAnsiTheme="majorBidi" w:cstheme="majorBidi"/>
          <w:color w:val="000000" w:themeColor="text1"/>
          <w:kern w:val="0"/>
          <w:szCs w:val="24"/>
          <w:lang w:bidi="he-IL"/>
        </w:rPr>
        <w:t xml:space="preserve">% of the transactions contained commitments </w:t>
      </w:r>
      <w:r w:rsidR="0004357A" w:rsidRPr="0004357A">
        <w:rPr>
          <w:rFonts w:asciiTheme="majorBidi" w:eastAsia="SimSun" w:hAnsiTheme="majorBidi" w:cstheme="majorBidi"/>
          <w:color w:val="000000" w:themeColor="text1"/>
          <w:kern w:val="0"/>
          <w:szCs w:val="24"/>
          <w:lang w:bidi="he-IL"/>
        </w:rPr>
        <w:t>to</w:t>
      </w:r>
      <w:r w:rsidRPr="0004357A">
        <w:rPr>
          <w:rFonts w:asciiTheme="majorBidi" w:eastAsia="SimSun" w:hAnsiTheme="majorBidi" w:cstheme="majorBidi"/>
          <w:color w:val="000000" w:themeColor="text1"/>
          <w:kern w:val="0"/>
          <w:szCs w:val="24"/>
          <w:lang w:bidi="he-IL"/>
        </w:rPr>
        <w:t xml:space="preserve"> invest in local communities, philanthropy, or charitable organizations.</w:t>
      </w:r>
      <w:r w:rsidR="001C29AE" w:rsidRPr="0004357A">
        <w:rPr>
          <w:rFonts w:asciiTheme="majorBidi" w:eastAsia="SimSun" w:hAnsiTheme="majorBidi" w:cstheme="majorBidi"/>
          <w:color w:val="000000" w:themeColor="text1"/>
          <w:kern w:val="0"/>
          <w:szCs w:val="24"/>
          <w:lang w:bidi="he-IL"/>
        </w:rPr>
        <w:t xml:space="preserve"> When we separate the ERR and Non-ERR deals, the findings remain qualitatively similar</w:t>
      </w:r>
      <w:r w:rsidR="001C29AE" w:rsidRPr="0004357A">
        <w:rPr>
          <w:rFonts w:asciiTheme="majorBidi" w:eastAsia="SimSun" w:hAnsiTheme="majorBidi" w:cstheme="majorBidi"/>
          <w:kern w:val="0"/>
          <w:szCs w:val="24"/>
          <w:lang w:bidi="he-IL"/>
        </w:rPr>
        <w:t>.</w:t>
      </w:r>
      <w:r w:rsidR="00E2046E" w:rsidRPr="001C29AE">
        <w:rPr>
          <w:rFonts w:asciiTheme="majorBidi" w:eastAsia="SimSun" w:hAnsiTheme="majorBidi" w:cstheme="majorBidi"/>
          <w:color w:val="000000" w:themeColor="text1"/>
          <w:kern w:val="0"/>
          <w:szCs w:val="24"/>
          <w:vertAlign w:val="superscript"/>
          <w:lang w:bidi="he-IL"/>
        </w:rPr>
        <w:footnoteReference w:id="109"/>
      </w:r>
    </w:p>
    <w:p w14:paraId="01910C8F" w14:textId="73DA02B0"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It should be emphasized that these provisions are often very short and underspecified. Commitments related to the retention of the target</w:t>
      </w:r>
      <w:r w:rsidR="00DB676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s headquarters were often vague and offered no contractual definition of </w:t>
      </w:r>
      <w:r w:rsidRPr="00A61532">
        <w:rPr>
          <w:rFonts w:asciiTheme="majorBidi" w:eastAsia="SimSun" w:hAnsiTheme="majorBidi" w:cstheme="majorBidi"/>
          <w:color w:val="000000" w:themeColor="text1"/>
          <w:kern w:val="0"/>
          <w:szCs w:val="24"/>
          <w:lang w:bidi="he-IL"/>
        </w:rPr>
        <w:lastRenderedPageBreak/>
        <w:t>“headquarters” nor a detailed specification of what minimum assets, employees, or operations must be maintained in order to satisfy the commitment. The same goes for commitments revolving around philanthropy or community involvement: although some of these commitments require the buyer to operate in a manner consistent with the target</w:t>
      </w:r>
      <w:r w:rsidR="00DB676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“past practice” or “historic levels”, none of them specify the amount of money that will satisfy the commitment. In any event, none of these commitments are enforceable by the potential beneficiaries.</w:t>
      </w:r>
    </w:p>
    <w:p w14:paraId="349B7EED" w14:textId="0DA61353" w:rsidR="00C40B42" w:rsidRPr="00A61532"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Additionally, throughout our sample, we find no protection whatsoever for the environment. Apparently, despite the prominent role played by environmental issues in the </w:t>
      </w:r>
      <w:proofErr w:type="spellStart"/>
      <w:r w:rsidRPr="00A61532">
        <w:rPr>
          <w:rFonts w:asciiTheme="majorBidi" w:eastAsia="SimSun" w:hAnsiTheme="majorBidi" w:cstheme="majorBidi"/>
          <w:color w:val="000000" w:themeColor="text1"/>
          <w:kern w:val="0"/>
          <w:szCs w:val="24"/>
          <w:lang w:bidi="he-IL"/>
        </w:rPr>
        <w:t>stakeholderism</w:t>
      </w:r>
      <w:proofErr w:type="spellEnd"/>
      <w:r w:rsidRPr="00A61532">
        <w:rPr>
          <w:rFonts w:asciiTheme="majorBidi" w:eastAsia="SimSun" w:hAnsiTheme="majorBidi" w:cstheme="majorBidi"/>
          <w:color w:val="000000" w:themeColor="text1"/>
          <w:kern w:val="0"/>
          <w:szCs w:val="24"/>
          <w:lang w:bidi="he-IL"/>
        </w:rPr>
        <w:t xml:space="preserve"> debate, corporate leaders refrained from exercising their power to negotiate environmental safeguards or commitments. The abstract factors of “economy” and “society” merited no better treatment—none of the deals in our sample contained any specific provisions on the grounds that they would be beneficial to the economy or society at large. Lastly, corporate leaders have made no use of the discretion arising from the statutes’ “catch-all” provision—we found no protection for stakeholder groups not explicitly mentioned in the constituency statutes.</w:t>
      </w:r>
    </w:p>
    <w:p w14:paraId="2E16CFD2" w14:textId="4B9DD439" w:rsidR="00BB2B75" w:rsidRPr="00A61532" w:rsidRDefault="00BB2B75" w:rsidP="00253D6B">
      <w:pPr>
        <w:pStyle w:val="Heading1"/>
        <w:rPr>
          <w:rFonts w:eastAsia="SimSun"/>
          <w:i/>
          <w:iCs/>
          <w:lang w:bidi="he-IL"/>
        </w:rPr>
      </w:pPr>
      <w:bookmarkStart w:id="172" w:name="_Toc47665980"/>
      <w:bookmarkStart w:id="173" w:name="_Toc47886009"/>
      <w:r w:rsidRPr="00A61532">
        <w:rPr>
          <w:rFonts w:eastAsia="SimSun"/>
          <w:lang w:bidi="he-IL"/>
        </w:rPr>
        <w:t>Implications and Conclusions</w:t>
      </w:r>
      <w:bookmarkEnd w:id="172"/>
      <w:bookmarkEnd w:id="173"/>
    </w:p>
    <w:p w14:paraId="3C2F63EF" w14:textId="694FAB03" w:rsidR="00BB2B75" w:rsidRPr="00A61532" w:rsidRDefault="00BB2B75" w:rsidP="00253D6B">
      <w:pPr>
        <w:pStyle w:val="Heading2"/>
        <w:rPr>
          <w:rFonts w:eastAsia="SimSun"/>
          <w:lang w:bidi="he-IL"/>
        </w:rPr>
      </w:pPr>
      <w:bookmarkStart w:id="174" w:name="_Toc47665981"/>
      <w:bookmarkStart w:id="175" w:name="_Toc47886010"/>
      <w:r w:rsidRPr="00A61532">
        <w:rPr>
          <w:rFonts w:eastAsia="SimSun"/>
          <w:lang w:bidi="he-IL"/>
        </w:rPr>
        <w:t>Did Constituency Statutes Deliver?</w:t>
      </w:r>
      <w:bookmarkEnd w:id="174"/>
      <w:bookmarkEnd w:id="175"/>
    </w:p>
    <w:p w14:paraId="079B0274" w14:textId="77777777" w:rsidR="00B20CC8" w:rsidRPr="00A61532" w:rsidRDefault="00B20CC8" w:rsidP="00332FE2">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More than 30 states adopted constituency statutes with the “chief purpose to protect </w:t>
      </w:r>
      <w:proofErr w:type="spellStart"/>
      <w:r w:rsidRPr="00A61532">
        <w:rPr>
          <w:rFonts w:asciiTheme="majorBidi" w:eastAsia="SimSun" w:hAnsiTheme="majorBidi" w:cstheme="majorBidi"/>
          <w:kern w:val="0"/>
          <w:szCs w:val="24"/>
          <w:lang w:bidi="he-IL"/>
        </w:rPr>
        <w:t>nonshareholders</w:t>
      </w:r>
      <w:proofErr w:type="spellEnd"/>
      <w:r w:rsidRPr="00A61532">
        <w:rPr>
          <w:rFonts w:asciiTheme="majorBidi" w:eastAsia="SimSun" w:hAnsiTheme="majorBidi" w:cstheme="majorBidi"/>
          <w:kern w:val="0"/>
          <w:szCs w:val="24"/>
          <w:lang w:bidi="he-IL"/>
        </w:rPr>
        <w:t>” from the effects of takeovers.</w:t>
      </w:r>
      <w:r w:rsidRPr="00A61532">
        <w:rPr>
          <w:rFonts w:asciiTheme="majorBidi" w:eastAsia="SimSun" w:hAnsiTheme="majorBidi" w:cstheme="majorBidi"/>
          <w:kern w:val="0"/>
          <w:szCs w:val="24"/>
          <w:vertAlign w:val="superscript"/>
          <w:lang w:bidi="he-IL"/>
        </w:rPr>
        <w:footnoteReference w:id="110"/>
      </w:r>
      <w:r w:rsidRPr="00A61532">
        <w:rPr>
          <w:rFonts w:asciiTheme="majorBidi" w:eastAsia="SimSun" w:hAnsiTheme="majorBidi" w:cstheme="majorBidi"/>
          <w:kern w:val="0"/>
          <w:szCs w:val="24"/>
          <w:lang w:bidi="he-IL"/>
        </w:rPr>
        <w:t xml:space="preserve"> The philosophy and goal of these statutes have been the subject of a heated debate since the time of adoption. Their departure from the well-established principle of shareholder primacy was viewed by some as an unwarranted novelty,</w:t>
      </w:r>
      <w:r w:rsidRPr="00A61532">
        <w:rPr>
          <w:rFonts w:asciiTheme="majorBidi" w:eastAsia="SimSun" w:hAnsiTheme="majorBidi" w:cstheme="majorBidi"/>
          <w:kern w:val="0"/>
          <w:szCs w:val="24"/>
          <w:vertAlign w:val="superscript"/>
          <w:lang w:bidi="he-IL"/>
        </w:rPr>
        <w:footnoteReference w:id="111"/>
      </w:r>
      <w:r w:rsidRPr="00A61532">
        <w:rPr>
          <w:rFonts w:asciiTheme="majorBidi" w:eastAsia="SimSun" w:hAnsiTheme="majorBidi" w:cstheme="majorBidi"/>
          <w:kern w:val="0"/>
          <w:szCs w:val="24"/>
          <w:lang w:bidi="he-IL"/>
        </w:rPr>
        <w:t xml:space="preserve"> and by others as an appropriate protection for stakeholders.</w:t>
      </w:r>
      <w:r w:rsidRPr="00A61532">
        <w:rPr>
          <w:rFonts w:asciiTheme="majorBidi" w:eastAsia="SimSun" w:hAnsiTheme="majorBidi" w:cstheme="majorBidi"/>
          <w:kern w:val="0"/>
          <w:szCs w:val="24"/>
          <w:vertAlign w:val="superscript"/>
          <w:lang w:bidi="he-IL"/>
        </w:rPr>
        <w:footnoteReference w:id="112"/>
      </w:r>
      <w:r w:rsidRPr="00A61532">
        <w:rPr>
          <w:rFonts w:asciiTheme="majorBidi" w:eastAsia="SimSun" w:hAnsiTheme="majorBidi" w:cstheme="majorBidi"/>
          <w:kern w:val="0"/>
          <w:szCs w:val="24"/>
          <w:lang w:bidi="he-IL"/>
        </w:rPr>
        <w:t xml:space="preserve"> In this Article, we asked a different question: taking as given the desirability of protecting stakeholders from the disruptive impact of acquisitions, we sought to assess whether the constituency statutes delivered on their promise. </w:t>
      </w:r>
    </w:p>
    <w:p w14:paraId="60B9CA98" w14:textId="77777777" w:rsidR="00B20CC8" w:rsidRPr="00A61532" w:rsidRDefault="00B20CC8" w:rsidP="007A7AC1">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Our analysis has provided a direct test of this question and a clear answer. We have examined all private equity acquisitions of public companies of significant size governed by constituency statutes that took place in the past two decades. Private equity acquisitions provide a good test case because they create significant risks for stakeholders, and therefore are clear instances of </w:t>
      </w:r>
      <w:r w:rsidRPr="00A61532">
        <w:rPr>
          <w:rFonts w:asciiTheme="majorBidi" w:eastAsia="SimSun" w:hAnsiTheme="majorBidi" w:cstheme="majorBidi"/>
          <w:kern w:val="0"/>
          <w:szCs w:val="24"/>
          <w:lang w:bidi="he-IL"/>
        </w:rPr>
        <w:lastRenderedPageBreak/>
        <w:t xml:space="preserve">the potential disruptive impact that the statutes aimed at eliminating or at least curtailing. Our findings clearly indicate that the constituency statutes did not deliver their purported benefits. </w:t>
      </w:r>
    </w:p>
    <w:p w14:paraId="529E1ABC" w14:textId="77777777" w:rsidR="00B20CC8" w:rsidRPr="00A61532" w:rsidRDefault="00B20CC8" w:rsidP="00B20CC8">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Using hand-collected data, we documented a substantial amount of bargaining between corporate leaders and private equity buyers, and we identified what corporate leaders bargained for. Corporate leaders obtained significant benefits for stockholders and for themselves, but they obtained very little for stakeholders. Our review of the contractual terms of these deals finds very little protection from the risks posed to stakeholders by private equity control. In particular, in the vast majority of cases, corporate leaders have not obtained any limitation on the freedom of private equity buyers to fire employees and reduce employment. Furthermore, we find no protections for consumers, suppliers, creditors, the environment, communities, or other stakeholder groups, except for some rare and mostly cosmetic protection for the communities in which the target’s headquarters was located.</w:t>
      </w:r>
    </w:p>
    <w:p w14:paraId="16747F42" w14:textId="77777777" w:rsidR="00B20CC8" w:rsidRPr="00A61532" w:rsidRDefault="00B20CC8" w:rsidP="00B20CC8">
      <w:pPr>
        <w:widowControl/>
        <w:spacing w:line="257" w:lineRule="auto"/>
        <w:ind w:firstLine="42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Moreover, a study of the legal details of these terms reveals that the limited stakeholder protections that are occasionally found in private equity deals are even weaker than they seem at first look. While contractual provisions designed to protect executives are typically well-specified, contractual provisions in favor of stakeholders are commonly under-specified, and therefore difficult to monitor and enforce. Furthermore, while the former provisions can be enforced by their beneficiaries, the latter protections cannot be enforced by stakeholders.</w:t>
      </w:r>
    </w:p>
    <w:p w14:paraId="0E42BC1B" w14:textId="77777777" w:rsidR="00B20CC8" w:rsidRPr="00A61532" w:rsidRDefault="00B20CC8" w:rsidP="00B20CC8">
      <w:pPr>
        <w:widowControl/>
        <w:spacing w:after="160"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What makes our findings so telling is how few stakeholder benefits corporate leaders delivered. Had substantial protections been obtained in a significant number of cases, it would have been difficult to assess how well corporate leaders had carried out the role of stakeholder guardians entrusted to them by constituency statutes. With the clear patterns that our analysis identifies, however, clear conclusions are possible. Constituency statutes failed to deliver the benefits to stakeholders that were promised or hoped for in the push for the adoption of these statutes.</w:t>
      </w:r>
    </w:p>
    <w:p w14:paraId="313702F8" w14:textId="77777777" w:rsidR="00B20CC8" w:rsidRPr="00A61532" w:rsidRDefault="00B20CC8" w:rsidP="00B20CC8">
      <w:pPr>
        <w:pStyle w:val="Heading2"/>
        <w:rPr>
          <w:rFonts w:eastAsia="SimSun"/>
          <w:smallCaps/>
          <w:lang w:bidi="he-IL"/>
        </w:rPr>
      </w:pPr>
      <w:bookmarkStart w:id="176" w:name="_Toc47616599"/>
      <w:bookmarkStart w:id="177" w:name="_Toc47886011"/>
      <w:r w:rsidRPr="00A61532">
        <w:rPr>
          <w:rFonts w:eastAsia="SimSun"/>
          <w:lang w:bidi="he-IL"/>
        </w:rPr>
        <w:t xml:space="preserve">Can </w:t>
      </w:r>
      <w:proofErr w:type="spellStart"/>
      <w:r w:rsidRPr="00A61532">
        <w:rPr>
          <w:rFonts w:eastAsia="SimSun"/>
          <w:lang w:bidi="he-IL"/>
        </w:rPr>
        <w:t>Stakeholderism</w:t>
      </w:r>
      <w:proofErr w:type="spellEnd"/>
      <w:r w:rsidRPr="00A61532">
        <w:rPr>
          <w:rFonts w:eastAsia="SimSun"/>
          <w:lang w:bidi="he-IL"/>
        </w:rPr>
        <w:t xml:space="preserve"> Deliver?</w:t>
      </w:r>
      <w:bookmarkEnd w:id="176"/>
      <w:bookmarkEnd w:id="177"/>
    </w:p>
    <w:p w14:paraId="2679AF8C" w14:textId="77777777" w:rsidR="00B20CC8" w:rsidRPr="00A61532" w:rsidRDefault="00B20CC8" w:rsidP="00B20CC8">
      <w:pPr>
        <w:widowControl/>
        <w:spacing w:before="240" w:line="256" w:lineRule="auto"/>
        <w:rPr>
          <w:rFonts w:asciiTheme="majorBidi" w:eastAsia="SimSun" w:hAnsiTheme="majorBidi" w:cstheme="majorBidi"/>
          <w:color w:val="000000" w:themeColor="text1"/>
          <w:kern w:val="0"/>
          <w:szCs w:val="24"/>
          <w:lang w:bidi="he-IL"/>
        </w:rPr>
      </w:pPr>
      <w:proofErr w:type="spellStart"/>
      <w:r w:rsidRPr="00A61532">
        <w:rPr>
          <w:rFonts w:asciiTheme="majorBidi" w:eastAsia="SimSun" w:hAnsiTheme="majorBidi" w:cstheme="majorBidi"/>
          <w:color w:val="000000" w:themeColor="text1"/>
          <w:kern w:val="0"/>
          <w:szCs w:val="24"/>
          <w:lang w:bidi="he-IL"/>
        </w:rPr>
        <w:t>Stakeholderists</w:t>
      </w:r>
      <w:proofErr w:type="spellEnd"/>
      <w:r w:rsidRPr="00A61532">
        <w:rPr>
          <w:rFonts w:asciiTheme="majorBidi" w:eastAsia="SimSun" w:hAnsiTheme="majorBidi" w:cstheme="majorBidi"/>
          <w:color w:val="000000" w:themeColor="text1"/>
          <w:kern w:val="0"/>
          <w:szCs w:val="24"/>
          <w:lang w:bidi="he-IL"/>
        </w:rPr>
        <w:t xml:space="preserve"> argue that corporate leaders should be allowed to take the interests of stakeholders into account, and believe that doing so would address the externalities that companies impose on </w:t>
      </w:r>
      <w:r w:rsidRPr="00A61532">
        <w:rPr>
          <w:rFonts w:asciiTheme="majorBidi" w:eastAsia="SimSun" w:hAnsiTheme="majorBidi" w:cstheme="majorBidi"/>
          <w:kern w:val="0"/>
          <w:szCs w:val="24"/>
          <w:lang w:bidi="he-IL"/>
        </w:rPr>
        <w:t xml:space="preserve">employees and other </w:t>
      </w:r>
      <w:r w:rsidRPr="00A61532">
        <w:rPr>
          <w:rFonts w:asciiTheme="majorBidi" w:eastAsia="SimSun" w:hAnsiTheme="majorBidi" w:cstheme="majorBidi"/>
          <w:kern w:val="0"/>
          <w:szCs w:val="24"/>
          <w:lang w:bidi="he-IL"/>
        </w:rPr>
        <w:lastRenderedPageBreak/>
        <w:t>stakeholder groups</w:t>
      </w:r>
      <w:r w:rsidRPr="00A61532">
        <w:rPr>
          <w:rFonts w:asciiTheme="majorBidi" w:eastAsia="SimSun" w:hAnsiTheme="majorBidi" w:cstheme="majorBidi"/>
          <w:color w:val="000000" w:themeColor="text1"/>
          <w:kern w:val="0"/>
          <w:szCs w:val="24"/>
          <w:lang w:bidi="he-IL"/>
        </w:rPr>
        <w:t>.</w:t>
      </w:r>
      <w:bookmarkStart w:id="178" w:name="_Ref47446813"/>
      <w:r w:rsidRPr="00A61532">
        <w:rPr>
          <w:rFonts w:asciiTheme="majorBidi" w:eastAsia="SimSun" w:hAnsiTheme="majorBidi" w:cstheme="majorBidi"/>
          <w:kern w:val="0"/>
          <w:szCs w:val="24"/>
          <w:vertAlign w:val="superscript"/>
          <w:lang w:bidi="he-IL"/>
        </w:rPr>
        <w:footnoteReference w:id="113"/>
      </w:r>
      <w:bookmarkEnd w:id="178"/>
      <w:r w:rsidRPr="00A61532">
        <w:rPr>
          <w:rFonts w:asciiTheme="majorBidi" w:eastAsia="SimSun" w:hAnsiTheme="majorBidi" w:cstheme="majorBidi"/>
          <w:color w:val="000000" w:themeColor="text1"/>
          <w:kern w:val="0"/>
          <w:szCs w:val="24"/>
          <w:lang w:bidi="he-IL"/>
        </w:rPr>
        <w:t xml:space="preserve"> </w:t>
      </w:r>
      <w:proofErr w:type="spellStart"/>
      <w:r w:rsidRPr="00A61532">
        <w:rPr>
          <w:rFonts w:asciiTheme="majorBidi" w:eastAsia="SimSun" w:hAnsiTheme="majorBidi" w:cstheme="majorBidi"/>
          <w:color w:val="000000" w:themeColor="text1"/>
          <w:kern w:val="0"/>
          <w:szCs w:val="24"/>
          <w:lang w:bidi="he-IL"/>
        </w:rPr>
        <w:t>Stakeholderists</w:t>
      </w:r>
      <w:proofErr w:type="spellEnd"/>
      <w:r w:rsidRPr="00A61532">
        <w:rPr>
          <w:rFonts w:asciiTheme="majorBidi" w:eastAsia="SimSun" w:hAnsiTheme="majorBidi" w:cstheme="majorBidi"/>
          <w:color w:val="000000" w:themeColor="text1"/>
          <w:kern w:val="0"/>
          <w:szCs w:val="24"/>
          <w:lang w:bidi="he-IL"/>
        </w:rPr>
        <w:t xml:space="preserve"> rely on managerial discretion to balance the interests of stakeholders and shareholders in a socially desirable way. </w:t>
      </w:r>
    </w:p>
    <w:p w14:paraId="25506454" w14:textId="77777777" w:rsidR="00B20CC8" w:rsidRPr="00A61532" w:rsidRDefault="00B20CC8" w:rsidP="00B20CC8">
      <w:pPr>
        <w:widowControl/>
        <w:spacing w:after="160" w:line="256"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But modern </w:t>
      </w:r>
      <w:proofErr w:type="spellStart"/>
      <w:r w:rsidRPr="00A61532">
        <w:rPr>
          <w:rFonts w:asciiTheme="majorBidi" w:eastAsia="SimSun" w:hAnsiTheme="majorBidi" w:cstheme="majorBidi"/>
          <w:color w:val="000000" w:themeColor="text1"/>
          <w:kern w:val="0"/>
          <w:szCs w:val="24"/>
          <w:lang w:bidi="he-IL"/>
        </w:rPr>
        <w:t>stakeholderists</w:t>
      </w:r>
      <w:proofErr w:type="spellEnd"/>
      <w:r w:rsidRPr="00A61532">
        <w:rPr>
          <w:rFonts w:asciiTheme="majorBidi" w:eastAsia="SimSun" w:hAnsiTheme="majorBidi" w:cstheme="majorBidi"/>
          <w:color w:val="000000" w:themeColor="text1"/>
          <w:kern w:val="0"/>
          <w:szCs w:val="24"/>
          <w:lang w:bidi="he-IL"/>
        </w:rPr>
        <w:t xml:space="preserve"> have paid little attention to the three-decade experiment of constituency statutes. Constituency statutes were motivated by a similar philosophy to that of modern </w:t>
      </w:r>
      <w:proofErr w:type="spellStart"/>
      <w:r w:rsidRPr="00A61532">
        <w:rPr>
          <w:rFonts w:asciiTheme="majorBidi" w:eastAsia="SimSun" w:hAnsiTheme="majorBidi" w:cstheme="majorBidi"/>
          <w:color w:val="000000" w:themeColor="text1"/>
          <w:kern w:val="0"/>
          <w:szCs w:val="24"/>
          <w:lang w:bidi="he-IL"/>
        </w:rPr>
        <w:t>stakeholderism</w:t>
      </w:r>
      <w:proofErr w:type="spellEnd"/>
      <w:r w:rsidRPr="00A61532">
        <w:rPr>
          <w:rFonts w:asciiTheme="majorBidi" w:eastAsia="SimSun" w:hAnsiTheme="majorBidi" w:cstheme="majorBidi"/>
          <w:color w:val="000000" w:themeColor="text1"/>
          <w:kern w:val="0"/>
          <w:szCs w:val="24"/>
          <w:lang w:bidi="he-IL"/>
        </w:rPr>
        <w:t xml:space="preserve"> – to harness the discretion of corporate leaders in order to protect stakeholders. Before embracing </w:t>
      </w:r>
      <w:proofErr w:type="spellStart"/>
      <w:r w:rsidRPr="00A61532">
        <w:rPr>
          <w:rFonts w:asciiTheme="majorBidi" w:eastAsia="SimSun" w:hAnsiTheme="majorBidi" w:cstheme="majorBidi"/>
          <w:color w:val="000000" w:themeColor="text1"/>
          <w:kern w:val="0"/>
          <w:szCs w:val="24"/>
          <w:lang w:bidi="he-IL"/>
        </w:rPr>
        <w:t>stakeholderism</w:t>
      </w:r>
      <w:proofErr w:type="spellEnd"/>
      <w:r w:rsidRPr="00A61532">
        <w:rPr>
          <w:rFonts w:asciiTheme="majorBidi" w:eastAsia="SimSun" w:hAnsiTheme="majorBidi" w:cstheme="majorBidi"/>
          <w:color w:val="000000" w:themeColor="text1"/>
          <w:kern w:val="0"/>
          <w:szCs w:val="24"/>
          <w:lang w:bidi="he-IL"/>
        </w:rPr>
        <w:t>, it is necessary to pause and examine whether constituency statutes delivered on their promise and what lessons we can learn from the experience accumulated since their adoption.</w:t>
      </w:r>
    </w:p>
    <w:p w14:paraId="1825B586" w14:textId="37401485" w:rsidR="00B20CC8" w:rsidRPr="00A61532" w:rsidRDefault="00B20CC8" w:rsidP="00A61532">
      <w:pPr>
        <w:pStyle w:val="Heading3"/>
        <w:numPr>
          <w:ilvl w:val="0"/>
          <w:numId w:val="12"/>
        </w:numPr>
        <w:tabs>
          <w:tab w:val="num" w:pos="360"/>
        </w:tabs>
        <w:rPr>
          <w:lang w:bidi="he-IL"/>
        </w:rPr>
      </w:pPr>
      <w:bookmarkStart w:id="179" w:name="_Toc47616600"/>
      <w:bookmarkStart w:id="180" w:name="_Toc47886012"/>
      <w:r w:rsidRPr="00A61532">
        <w:rPr>
          <w:lang w:bidi="he-IL"/>
        </w:rPr>
        <w:t>Uncertainty About the Statutes’ Authorization</w:t>
      </w:r>
      <w:bookmarkEnd w:id="179"/>
      <w:bookmarkEnd w:id="180"/>
    </w:p>
    <w:p w14:paraId="79B18255"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The first possible explanation for the failure of the </w:t>
      </w:r>
      <w:r w:rsidRPr="00A61532">
        <w:rPr>
          <w:rFonts w:asciiTheme="majorBidi" w:eastAsia="SimSun" w:hAnsiTheme="majorBidi" w:cstheme="majorBidi"/>
          <w:color w:val="000000" w:themeColor="text1"/>
          <w:kern w:val="0"/>
          <w:szCs w:val="24"/>
          <w:lang w:bidi="he-IL"/>
        </w:rPr>
        <w:t>constituency statutes</w:t>
      </w:r>
      <w:r w:rsidRPr="00A61532">
        <w:rPr>
          <w:rFonts w:asciiTheme="majorBidi" w:eastAsia="SimSun" w:hAnsiTheme="majorBidi" w:cstheme="majorBidi"/>
          <w:kern w:val="0"/>
          <w:szCs w:val="24"/>
          <w:lang w:bidi="he-IL"/>
        </w:rPr>
        <w:t xml:space="preserve"> is that the statutes authorized corporate leaders, or could be interpreted by corporate leaders as possibly authorizing them, to take stakeholder interests into account only to the extent that doing so would serve shareholder value. According to this explanation, corporate leaders are reluctant to bargain for costly stakeholder protections because of their perception that the statutes might have authorized them to protect stakeholders only when it would also be useful for shareholder value, but not when it is costly for shareholders—that is, the constituency statutes are interpreted by corporate leaders according to an “enlightened shareholder value” approach. </w:t>
      </w:r>
    </w:p>
    <w:p w14:paraId="29E200F9" w14:textId="30600317" w:rsidR="00B20CC8" w:rsidRPr="00A61532" w:rsidRDefault="00B20CC8" w:rsidP="00DB1B47">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If this explanation is correct, we cannot infer from this experiment that a pluralistic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which treats stakeholder welfare as an end in itself rather than a mere means, cannot deliver protections to stakeholders. Instead, all we can infer is that that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-lite version” of enlightened shareholder value cannot be expected to deliver meaningful stakeholder protections. However, even in this case, it would be a meaningful and important conclusion for the current discourse. </w:t>
      </w:r>
    </w:p>
    <w:p w14:paraId="5E4C214E" w14:textId="6E635BD9"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lastRenderedPageBreak/>
        <w:t>The “enlightened shareholder value” approach has high-profile advocates. For example, the Reporters of the ongoing project for the American Law Institute’s Restatement of Corporate Law are now considering adopting this approach.</w:t>
      </w:r>
      <w:r w:rsidRPr="00A61532">
        <w:rPr>
          <w:rFonts w:asciiTheme="majorBidi" w:eastAsia="SimSun" w:hAnsiTheme="majorBidi" w:cstheme="majorBidi"/>
          <w:kern w:val="0"/>
          <w:szCs w:val="24"/>
          <w:vertAlign w:val="superscript"/>
          <w:lang w:bidi="he-IL"/>
        </w:rPr>
        <w:footnoteReference w:id="114"/>
      </w:r>
      <w:r w:rsidRPr="00A61532">
        <w:rPr>
          <w:rFonts w:asciiTheme="majorBidi" w:eastAsia="SimSun" w:hAnsiTheme="majorBidi" w:cstheme="majorBidi"/>
          <w:kern w:val="0"/>
          <w:szCs w:val="24"/>
          <w:lang w:bidi="he-IL"/>
        </w:rPr>
        <w:t xml:space="preserve"> The theory behind this proposal is that once the connection between the interests of shareholders and stakeholders is codified and made more salient, corporate leaders will be more likely to pay attention to it and make decisions that benefit stakeholders. However, this view overlooks the fact that many situations are not win-win, but rather involve significant trade-offs between the interests of some stakeholders and long-term shareholder value. </w:t>
      </w:r>
    </w:p>
    <w:p w14:paraId="29A686CD"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In the case of private equity deals, corporate leaders could bargain for protection to employees, consumers, suppliers, creditors, the environment, communities, or other stakeholder groups, but this might reduce the gains that the private equity buyer will be willing to provide to the selling shareholders or to corporate leaders themselves. If the reason why the constituency statutes have failed to produce meaningful protections for stakeholders is the (real or perceived) “enlightened shareholder value” approach of these statutes, then we should not expect this “soft” approach to produce more meaningful benefits to stakeholders in the future. </w:t>
      </w:r>
    </w:p>
    <w:p w14:paraId="748E3BAA"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Furthermore, and importantly, we do not think that this explanation regarding the uncertainty of the statutes’ authorization is plausible and can explain the robust results of our study. As Section III.A.3 shows, the reasonable and most widely accepted view of the constituency statutes is that they allow corporate leaders to trade off the interests of stakeholders and shareholders. However, even if we limit our analysis to the acquisitions of companies incorporated in states that explicitly reject the priority of shareholders over other constituencies (Iowa, New York, Pennsylvania, and Nevada), we do not find stakeholder protections more meaningful than in the other states.</w:t>
      </w:r>
    </w:p>
    <w:p w14:paraId="0F93D6C1" w14:textId="74C79382" w:rsidR="00B20CC8" w:rsidRPr="00A61532" w:rsidRDefault="00B20CC8" w:rsidP="00B20CC8">
      <w:pPr>
        <w:pStyle w:val="Heading3"/>
        <w:rPr>
          <w:lang w:bidi="he-IL"/>
        </w:rPr>
      </w:pPr>
      <w:bookmarkStart w:id="181" w:name="_Toc47616601"/>
      <w:bookmarkStart w:id="182" w:name="_Toc47886013"/>
      <w:r w:rsidRPr="00A61532">
        <w:rPr>
          <w:lang w:bidi="he-IL"/>
        </w:rPr>
        <w:t>Shadow of Revlon</w:t>
      </w:r>
      <w:bookmarkEnd w:id="181"/>
      <w:bookmarkEnd w:id="182"/>
    </w:p>
    <w:p w14:paraId="35A27677"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Another possible explanation is that, in some states, corporate leaders were influenced by the applicability or potential applicability of </w:t>
      </w:r>
      <w:r w:rsidRPr="00A61532">
        <w:rPr>
          <w:rFonts w:asciiTheme="majorBidi" w:eastAsia="SimSun" w:hAnsiTheme="majorBidi" w:cstheme="majorBidi"/>
          <w:i/>
          <w:iCs/>
          <w:kern w:val="0"/>
          <w:szCs w:val="24"/>
          <w:lang w:bidi="he-IL"/>
        </w:rPr>
        <w:t>Revlon v. MacAndrews &amp; Forbes Holdings</w:t>
      </w:r>
      <w:r w:rsidRPr="00A61532">
        <w:rPr>
          <w:rFonts w:asciiTheme="majorBidi" w:eastAsia="SimSun" w:hAnsiTheme="majorBidi" w:cstheme="majorBidi"/>
          <w:kern w:val="0"/>
          <w:szCs w:val="24"/>
          <w:lang w:bidi="he-IL"/>
        </w:rPr>
        <w:t>.</w:t>
      </w:r>
      <w:r w:rsidRPr="00A61532">
        <w:rPr>
          <w:rFonts w:asciiTheme="majorBidi" w:eastAsia="SimSun" w:hAnsiTheme="majorBidi" w:cstheme="majorBidi"/>
          <w:kern w:val="0"/>
          <w:szCs w:val="24"/>
          <w:vertAlign w:val="superscript"/>
          <w:lang w:bidi="he-IL"/>
        </w:rPr>
        <w:footnoteReference w:id="115"/>
      </w:r>
      <w:r w:rsidRPr="00A61532">
        <w:rPr>
          <w:rFonts w:asciiTheme="majorBidi" w:eastAsia="SimSun" w:hAnsiTheme="majorBidi" w:cstheme="majorBidi"/>
          <w:kern w:val="0"/>
          <w:szCs w:val="24"/>
          <w:lang w:bidi="he-IL"/>
        </w:rPr>
        <w:t xml:space="preserve"> Under this Delaware standard, once there is a decision to sell the company, corporate leaders have a duty to obtain </w:t>
      </w:r>
      <w:r w:rsidRPr="00A61532">
        <w:rPr>
          <w:rFonts w:asciiTheme="majorBidi" w:eastAsia="SimSun" w:hAnsiTheme="majorBidi" w:cstheme="majorBidi"/>
          <w:kern w:val="0"/>
          <w:szCs w:val="24"/>
          <w:lang w:bidi="he-IL"/>
        </w:rPr>
        <w:lastRenderedPageBreak/>
        <w:t>the highest price for shareholders.</w:t>
      </w:r>
      <w:r w:rsidRPr="00A61532">
        <w:rPr>
          <w:rFonts w:asciiTheme="majorBidi" w:eastAsia="SimSun" w:hAnsiTheme="majorBidi" w:cstheme="majorBidi"/>
          <w:kern w:val="0"/>
          <w:szCs w:val="24"/>
          <w:vertAlign w:val="superscript"/>
          <w:lang w:bidi="he-IL"/>
        </w:rPr>
        <w:footnoteReference w:id="116"/>
      </w:r>
      <w:r w:rsidRPr="00A61532">
        <w:rPr>
          <w:rFonts w:asciiTheme="majorBidi" w:eastAsia="SimSun" w:hAnsiTheme="majorBidi" w:cstheme="majorBidi"/>
          <w:kern w:val="0"/>
          <w:szCs w:val="24"/>
          <w:lang w:bidi="he-IL"/>
        </w:rPr>
        <w:t xml:space="preserve"> As was noted in Section IV.A.3, there are only 13 deals (out of 105 deals in our sample) in states that explicitly adopted Revlon and an additional 39 deals in states that did not explicitly reject or adopt Revlon. It might be argued that corporate leaders of targets incorporated in these states saw themselves constrained in their ability to provide protections to stakeholders.</w:t>
      </w:r>
    </w:p>
    <w:p w14:paraId="34A79098"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We believe, however, that this explanation does not persuasively make sense of our findings. First of all, even if Revlon duties applied or had some probability of applying, corporate leaders would not be subject to them unless the sale of the company becomes “inevitable.”</w:t>
      </w:r>
      <w:r w:rsidRPr="00A61532">
        <w:rPr>
          <w:rFonts w:asciiTheme="majorBidi" w:eastAsia="SimSun" w:hAnsiTheme="majorBidi" w:cstheme="majorBidi"/>
          <w:kern w:val="0"/>
          <w:szCs w:val="24"/>
          <w:vertAlign w:val="superscript"/>
          <w:lang w:bidi="he-IL"/>
        </w:rPr>
        <w:footnoteReference w:id="117"/>
      </w:r>
      <w:r w:rsidRPr="00A61532">
        <w:rPr>
          <w:rFonts w:asciiTheme="majorBidi" w:eastAsia="SimSun" w:hAnsiTheme="majorBidi" w:cstheme="majorBidi"/>
          <w:kern w:val="0"/>
          <w:szCs w:val="24"/>
          <w:lang w:bidi="he-IL"/>
        </w:rPr>
        <w:t xml:space="preserve"> Therefore, it is plausible that corporate leaders can take the position that they would consider a sale of the company only if there are certain protections for stakeholders and, subject to the existence of these protections, seek the buyer that would offer the highest price. However, we did not find evidence that this kind of process was even attempted.</w:t>
      </w:r>
    </w:p>
    <w:p w14:paraId="63F5EE62" w14:textId="77777777" w:rsidR="00B20CC8" w:rsidRPr="00A61532" w:rsidRDefault="00B20CC8" w:rsidP="00B20CC8">
      <w:pPr>
        <w:widowControl/>
        <w:spacing w:line="257" w:lineRule="auto"/>
        <w:ind w:firstLine="357"/>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Second, in about half of the deals examined in our sample state law had explicitly rejected Revlon. Nonetheless, these deals have no better protection for stakeholders than deals subject to the law of other states. </w:t>
      </w:r>
    </w:p>
    <w:p w14:paraId="39E40ADE" w14:textId="348EC3AF" w:rsidR="00B20CC8" w:rsidRPr="00A61532" w:rsidRDefault="00B20CC8" w:rsidP="00B20CC8">
      <w:pPr>
        <w:widowControl/>
        <w:spacing w:line="257" w:lineRule="auto"/>
        <w:ind w:firstLine="357"/>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Third, and most importantly, even allowing for some substantial degree of legal uncertainty with respect to the co-existence of constituency statutes and Revlon or Revlon-like duties to shareholders, we would expect corporate leaders, based on their own beliefs and on the specific circumstances of the deal, to take different stances on this issue. Therefore, we would expect to find at least several deals with very strong stakeholder protections and many with good protections. In contrast, we did not find a single deal containing meaningful benefits for stakeholders. Thus, the shadow of Revlon cannot adequately explain our findings.</w:t>
      </w:r>
    </w:p>
    <w:p w14:paraId="7C81C67A" w14:textId="2772CFD9" w:rsidR="00B20CC8" w:rsidRPr="00A61532" w:rsidRDefault="00B20CC8" w:rsidP="00B20CC8">
      <w:pPr>
        <w:pStyle w:val="Heading3"/>
        <w:rPr>
          <w:lang w:bidi="he-IL"/>
        </w:rPr>
      </w:pPr>
      <w:bookmarkStart w:id="183" w:name="_Toc47616602"/>
      <w:bookmarkStart w:id="184" w:name="_Toc47886014"/>
      <w:r w:rsidRPr="00A61532">
        <w:rPr>
          <w:lang w:bidi="he-IL"/>
        </w:rPr>
        <w:t>Need for Shareholder Approval</w:t>
      </w:r>
      <w:bookmarkEnd w:id="183"/>
      <w:bookmarkEnd w:id="184"/>
    </w:p>
    <w:p w14:paraId="19A842BD"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It might be argued that even if corporate leaders were interested in providing protections for stakeholders, they would not be at liberty to do so, because these deals need shareholder approval. On this view, corporate leaders might believe that if they had bargained for some stakeholder protections in exchange for a somewhat lower deal premium, shareholders would not have approved the transaction. In our view, however, the need for </w:t>
      </w:r>
      <w:r w:rsidRPr="00A61532">
        <w:rPr>
          <w:rFonts w:asciiTheme="majorBidi" w:eastAsia="SimSun" w:hAnsiTheme="majorBidi" w:cstheme="majorBidi"/>
          <w:kern w:val="0"/>
          <w:szCs w:val="24"/>
          <w:lang w:bidi="he-IL"/>
        </w:rPr>
        <w:lastRenderedPageBreak/>
        <w:t xml:space="preserve">shareholder approval could not explain the practical absence of stakeholder protections from the negotiated deals. </w:t>
      </w:r>
    </w:p>
    <w:p w14:paraId="67150F6B" w14:textId="3B1CE291"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To begin with, since shareholders commonly received a substantial premium relative to the pre-announcement stock price, and thus relative to what they would likely have received had they voted the transaction down, it would have been in the interest of shareholders to vote for the transaction even with a somewhat lower, but still significant, premium.</w:t>
      </w:r>
      <w:r w:rsidR="00A61532" w:rsidRPr="00A61532">
        <w:rPr>
          <w:rFonts w:asciiTheme="majorBidi" w:eastAsia="SimSun" w:hAnsiTheme="majorBidi" w:cstheme="majorBidi"/>
          <w:kern w:val="0"/>
          <w:szCs w:val="24"/>
          <w:vertAlign w:val="superscript"/>
          <w:lang w:bidi="he-IL"/>
        </w:rPr>
        <w:footnoteReference w:id="118"/>
      </w:r>
      <w:r w:rsidRPr="00A61532">
        <w:rPr>
          <w:rFonts w:asciiTheme="majorBidi" w:eastAsia="SimSun" w:hAnsiTheme="majorBidi" w:cstheme="majorBidi"/>
          <w:kern w:val="0"/>
          <w:szCs w:val="24"/>
          <w:lang w:bidi="he-IL"/>
        </w:rPr>
        <w:t xml:space="preserve"> Indeed, the high support rate for deals commonly approved by shareholders indicates that an amended deal with some protections for stakeholders and a somewhat lower premium for shareholders would still have passed.</w:t>
      </w:r>
      <w:r w:rsidR="00A61532" w:rsidRPr="00A61532">
        <w:rPr>
          <w:rFonts w:asciiTheme="majorBidi" w:eastAsia="SimSun" w:hAnsiTheme="majorBidi" w:cstheme="majorBidi"/>
          <w:kern w:val="0"/>
          <w:szCs w:val="24"/>
          <w:vertAlign w:val="superscript"/>
          <w:lang w:bidi="he-IL"/>
        </w:rPr>
        <w:footnoteReference w:id="119"/>
      </w:r>
      <w:r w:rsidRPr="00A61532">
        <w:rPr>
          <w:rFonts w:asciiTheme="majorBidi" w:eastAsia="SimSun" w:hAnsiTheme="majorBidi" w:cstheme="majorBidi"/>
          <w:kern w:val="0"/>
          <w:szCs w:val="24"/>
          <w:lang w:bidi="he-IL"/>
        </w:rPr>
        <w:t xml:space="preserve"> </w:t>
      </w:r>
    </w:p>
    <w:p w14:paraId="2DFD7601"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This explanation could have played a role if corporate leaders had secured meaningful protections for stakeholders in many cases with somewhat low premia for shareholders. In that case, it could have been argued that seeking additional protections and lowering the premia further would have prevented the transaction altogether. But the virtual absence of stakeholder protections is hard to explain in this way. </w:t>
      </w:r>
    </w:p>
    <w:p w14:paraId="6FA4E10C"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Indeed, even if hypothetically corporate leaders were willing to sacrifice stakeholder interests in order to close a profitable deal for shareholders and themselves, this would still suggest that the constituency statutes failed to deliver on their promise. At least some of the support for these statutes was motivated by the hope that they would prevent or curtail deals that enrich shareholders and corporate leaders but come at the expense of stakeholders.</w:t>
      </w:r>
      <w:r w:rsidRPr="00A61532">
        <w:rPr>
          <w:rFonts w:asciiTheme="majorBidi" w:eastAsia="SimSun" w:hAnsiTheme="majorBidi" w:cstheme="majorBidi"/>
          <w:kern w:val="0"/>
          <w:szCs w:val="24"/>
          <w:vertAlign w:val="superscript"/>
          <w:lang w:bidi="he-IL"/>
        </w:rPr>
        <w:footnoteReference w:id="120"/>
      </w:r>
      <w:r w:rsidRPr="00A61532">
        <w:rPr>
          <w:rFonts w:asciiTheme="majorBidi" w:eastAsia="SimSun" w:hAnsiTheme="majorBidi" w:cstheme="majorBidi"/>
          <w:kern w:val="0"/>
          <w:szCs w:val="24"/>
          <w:lang w:bidi="he-IL"/>
        </w:rPr>
        <w:t xml:space="preserve"> </w:t>
      </w:r>
    </w:p>
    <w:p w14:paraId="235A7DA6"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Finally, although we do not view the need to obtain shareholder approval as a main driver of our results, we think that the discussion of it carries some lessons for supporters of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w:t>
      </w:r>
      <w:proofErr w:type="spellStart"/>
      <w:r w:rsidRPr="00A61532">
        <w:rPr>
          <w:rFonts w:asciiTheme="majorBidi" w:eastAsia="SimSun" w:hAnsiTheme="majorBidi" w:cstheme="majorBidi"/>
          <w:kern w:val="0"/>
          <w:szCs w:val="24"/>
          <w:lang w:bidi="he-IL"/>
        </w:rPr>
        <w:t>Stakeholderists</w:t>
      </w:r>
      <w:proofErr w:type="spellEnd"/>
      <w:r w:rsidRPr="00A61532">
        <w:rPr>
          <w:rFonts w:asciiTheme="majorBidi" w:eastAsia="SimSun" w:hAnsiTheme="majorBidi" w:cstheme="majorBidi"/>
          <w:kern w:val="0"/>
          <w:szCs w:val="24"/>
          <w:lang w:bidi="he-IL"/>
        </w:rPr>
        <w:t xml:space="preserve"> largely advocate for providing corporate leaders with discretion to protect stakeholder interests and rely on such discretion to produce stakeholder-favoring results, without any other changes to corporate law. In particular, prominent </w:t>
      </w:r>
      <w:proofErr w:type="spellStart"/>
      <w:r w:rsidRPr="00A61532">
        <w:rPr>
          <w:rFonts w:asciiTheme="majorBidi" w:eastAsia="SimSun" w:hAnsiTheme="majorBidi" w:cstheme="majorBidi"/>
          <w:kern w:val="0"/>
          <w:szCs w:val="24"/>
          <w:lang w:bidi="he-IL"/>
        </w:rPr>
        <w:t>stakeholderists</w:t>
      </w:r>
      <w:proofErr w:type="spellEnd"/>
      <w:r w:rsidRPr="00A61532">
        <w:rPr>
          <w:rFonts w:asciiTheme="majorBidi" w:eastAsia="SimSun" w:hAnsiTheme="majorBidi" w:cstheme="majorBidi"/>
          <w:kern w:val="0"/>
          <w:szCs w:val="24"/>
          <w:lang w:bidi="he-IL"/>
        </w:rPr>
        <w:t xml:space="preserve"> accept that shareholders alone should elect directors and do not wish to revise </w:t>
      </w:r>
      <w:r w:rsidRPr="00A61532">
        <w:rPr>
          <w:rFonts w:asciiTheme="majorBidi" w:eastAsia="SimSun" w:hAnsiTheme="majorBidi" w:cstheme="majorBidi"/>
          <w:kern w:val="0"/>
          <w:szCs w:val="24"/>
          <w:lang w:bidi="he-IL"/>
        </w:rPr>
        <w:lastRenderedPageBreak/>
        <w:t>this crucial aspect of corporate governance.</w:t>
      </w:r>
      <w:r w:rsidRPr="00A61532">
        <w:rPr>
          <w:rFonts w:asciiTheme="majorBidi" w:eastAsia="SimSun" w:hAnsiTheme="majorBidi" w:cstheme="majorBidi"/>
          <w:kern w:val="0"/>
          <w:szCs w:val="24"/>
          <w:vertAlign w:val="superscript"/>
          <w:lang w:bidi="he-IL"/>
        </w:rPr>
        <w:footnoteReference w:id="121"/>
      </w:r>
      <w:r w:rsidRPr="00A61532">
        <w:rPr>
          <w:rFonts w:asciiTheme="majorBidi" w:eastAsia="SimSun" w:hAnsiTheme="majorBidi" w:cstheme="majorBidi"/>
          <w:kern w:val="0"/>
          <w:szCs w:val="24"/>
          <w:lang w:bidi="he-IL"/>
        </w:rPr>
        <w:t xml:space="preserve"> However, the discussion in this Section highlights that the exclusive voting power of shareholders might be in tension, or even contradiction, with the desire to induce corporate leaders to serve all stakeholders. </w:t>
      </w:r>
    </w:p>
    <w:p w14:paraId="61931F8C"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The explanation under discussion suggests that the voting rights of shareholders might give corporate leaders strong incentives, or indeed force them, to avoid bargaining for stakeholder protections. As we explained above, this explanation does not seem plausible. However, the general point that incentives matter is correct and we will return to it below. </w:t>
      </w:r>
      <w:proofErr w:type="spellStart"/>
      <w:r w:rsidRPr="00A61532">
        <w:rPr>
          <w:rFonts w:asciiTheme="majorBidi" w:eastAsia="SimSun" w:hAnsiTheme="majorBidi" w:cstheme="majorBidi"/>
          <w:kern w:val="0"/>
          <w:szCs w:val="24"/>
          <w:lang w:bidi="he-IL"/>
        </w:rPr>
        <w:t>Stakeholderists</w:t>
      </w:r>
      <w:proofErr w:type="spellEnd"/>
      <w:r w:rsidRPr="00A61532">
        <w:rPr>
          <w:rFonts w:asciiTheme="majorBidi" w:eastAsia="SimSun" w:hAnsiTheme="majorBidi" w:cstheme="majorBidi"/>
          <w:kern w:val="0"/>
          <w:szCs w:val="24"/>
          <w:lang w:bidi="he-IL"/>
        </w:rPr>
        <w:t xml:space="preserve"> need to take the incentives of corporate leaders seriously before suggesting that the discretion of corporate leaders can be readily harnessed to protect stakeholders.</w:t>
      </w:r>
    </w:p>
    <w:p w14:paraId="642E1A52" w14:textId="7A9C87C7" w:rsidR="00B20CC8" w:rsidRPr="00A61532" w:rsidRDefault="00B20CC8" w:rsidP="00B20CC8">
      <w:pPr>
        <w:pStyle w:val="Heading3"/>
        <w:rPr>
          <w:lang w:bidi="he-IL"/>
        </w:rPr>
      </w:pPr>
      <w:bookmarkStart w:id="185" w:name="_Toc47616603"/>
      <w:bookmarkStart w:id="186" w:name="_Toc47886015"/>
      <w:r w:rsidRPr="00A61532">
        <w:rPr>
          <w:lang w:bidi="he-IL"/>
        </w:rPr>
        <w:t>Corporate Leader Norms</w:t>
      </w:r>
      <w:bookmarkEnd w:id="185"/>
      <w:bookmarkEnd w:id="186"/>
    </w:p>
    <w:p w14:paraId="57B49B2C"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An alternative explanation of our findings, and of the failure of constituency statutes, is to blame the shareholder-centric norms that dominated boardrooms and executive suites in the past. These norms, it might be argued, shaped how corporate leaders used their discretion. This explanation accepts that constituency statutes failed to protect stakeholders due to the prevailing norms. However, in this view,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can still deliver substantial stakeholder protections in the future. </w:t>
      </w:r>
    </w:p>
    <w:p w14:paraId="46B1C997"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Rising concerns about corporate externalities in general and changes in social views and attitudes have been affecting the norms in boardrooms and executive suites, and can be expected to continue to do so.</w:t>
      </w:r>
      <w:r w:rsidRPr="00A61532">
        <w:rPr>
          <w:rFonts w:asciiTheme="majorBidi" w:eastAsia="SimSun" w:hAnsiTheme="majorBidi" w:cstheme="majorBidi"/>
          <w:kern w:val="0"/>
          <w:szCs w:val="24"/>
          <w:vertAlign w:val="superscript"/>
          <w:lang w:bidi="he-IL"/>
        </w:rPr>
        <w:footnoteReference w:id="122"/>
      </w:r>
      <w:r w:rsidRPr="00A61532">
        <w:rPr>
          <w:rFonts w:asciiTheme="majorBidi" w:eastAsia="SimSun" w:hAnsiTheme="majorBidi" w:cstheme="majorBidi"/>
          <w:kern w:val="0"/>
          <w:szCs w:val="24"/>
          <w:lang w:bidi="he-IL"/>
        </w:rPr>
        <w:t xml:space="preserve"> Indeed, the embrace of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can further contribute to the strengthening of pro-stakeholder norms, which in turn might make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more likely to be impactful. </w:t>
      </w:r>
    </w:p>
    <w:p w14:paraId="2D8F8132"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examine the force of this explanation, we considered separately the deals from the preceding seven, five, and three years to see whether we can identify any trend in the data that reflects growing pro-stakeholder norms. We have found that the practical absence of meaningful stakeholder </w:t>
      </w:r>
      <w:r w:rsidRPr="00A61532">
        <w:rPr>
          <w:rFonts w:asciiTheme="majorBidi" w:eastAsia="SimSun" w:hAnsiTheme="majorBidi" w:cstheme="majorBidi"/>
          <w:kern w:val="0"/>
          <w:szCs w:val="24"/>
          <w:lang w:bidi="he-IL"/>
        </w:rPr>
        <w:lastRenderedPageBreak/>
        <w:t xml:space="preserve">protections is also present when it comes to very recent deals, which take place in a period in which stakeholder rhetoric has been extensively used by management and its advisors. </w:t>
      </w:r>
    </w:p>
    <w:p w14:paraId="755C1EBF"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Thus, at least at the current time, the evidence is inconsistent with the presence of significant pro-stakeholder norms that can be relied on to induce corporate leaders to use their discretion to benefit stakeholders beyond what would serve shareholder value. To be sure, </w:t>
      </w:r>
      <w:proofErr w:type="spellStart"/>
      <w:r w:rsidRPr="00A61532">
        <w:rPr>
          <w:rFonts w:asciiTheme="majorBidi" w:eastAsia="SimSun" w:hAnsiTheme="majorBidi" w:cstheme="majorBidi"/>
          <w:kern w:val="0"/>
          <w:szCs w:val="24"/>
          <w:lang w:bidi="he-IL"/>
        </w:rPr>
        <w:t>stakeholderists</w:t>
      </w:r>
      <w:proofErr w:type="spellEnd"/>
      <w:r w:rsidRPr="00A61532">
        <w:rPr>
          <w:rFonts w:asciiTheme="majorBidi" w:eastAsia="SimSun" w:hAnsiTheme="majorBidi" w:cstheme="majorBidi"/>
          <w:kern w:val="0"/>
          <w:szCs w:val="24"/>
          <w:lang w:bidi="he-IL"/>
        </w:rPr>
        <w:t xml:space="preserve"> might argue in response that such norms can develop in the future. However, the fact that thus far they have not registered any meaningful impact suggests at a minimum that we should be cautious about relying on such predictions. This is especially the case because, as we now turn to discuss, following such norms would be in tension with the significant incentives that corporate leaders have.</w:t>
      </w:r>
    </w:p>
    <w:p w14:paraId="6A147F71" w14:textId="77777777" w:rsidR="00B20CC8" w:rsidRPr="00A61532" w:rsidRDefault="00B20CC8" w:rsidP="00B20CC8">
      <w:pPr>
        <w:pStyle w:val="Heading3"/>
        <w:rPr>
          <w:lang w:bidi="he-IL"/>
        </w:rPr>
      </w:pPr>
      <w:bookmarkStart w:id="187" w:name="_Toc47616604"/>
      <w:bookmarkStart w:id="188" w:name="_Toc47886016"/>
      <w:r w:rsidRPr="00A61532">
        <w:rPr>
          <w:lang w:bidi="he-IL"/>
        </w:rPr>
        <w:t>Incentives</w:t>
      </w:r>
      <w:bookmarkEnd w:id="187"/>
      <w:bookmarkEnd w:id="188"/>
    </w:p>
    <w:p w14:paraId="2F6A0E35"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We now turn to incentives. In our view, this is the most important factor in explaining our results, and it carries substantial lessons for </w:t>
      </w:r>
      <w:proofErr w:type="spellStart"/>
      <w:r w:rsidRPr="00A61532">
        <w:rPr>
          <w:rFonts w:asciiTheme="majorBidi" w:eastAsia="SimSun" w:hAnsiTheme="majorBidi" w:cstheme="majorBidi"/>
          <w:kern w:val="0"/>
          <w:szCs w:val="24"/>
          <w:lang w:bidi="he-IL"/>
        </w:rPr>
        <w:t>stakeholderists</w:t>
      </w:r>
      <w:proofErr w:type="spellEnd"/>
      <w:r w:rsidRPr="00A61532">
        <w:rPr>
          <w:rFonts w:asciiTheme="majorBidi" w:eastAsia="SimSun" w:hAnsiTheme="majorBidi" w:cstheme="majorBidi"/>
          <w:kern w:val="0"/>
          <w:szCs w:val="24"/>
          <w:lang w:bidi="he-IL"/>
        </w:rPr>
        <w:t xml:space="preserve">. Incentives matter, and what corporate leaders have bargained for is consistent with, and can be explained by, the incentives that corporate leaders have. </w:t>
      </w:r>
    </w:p>
    <w:p w14:paraId="12AFE046"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be sure, management and its advisors had a clear interest in pushing for the adoption of constituency statutes. These statutes enhanced the power of corporate leaders to veto acquisitions, but the increased bargaining power could be used discretionarily to obtain benefits for shareholders, stakeholders, or themselves. In other words, constituency statutes allowed corporate leaders to reject offers that were detrimental to their own interests and to bargain for better contractual terms for themselves. At the same time, they did not constrain managerial discretion in a way that made benefits for specific constituencies more likely or richer. This convincingly explains the strong support that the new legislation received from business interest groups. </w:t>
      </w:r>
    </w:p>
    <w:p w14:paraId="003B88D1"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Once the statutes were in place, however, corporate leaders did not have an incentive to use them to produce the stakeholder benefits promised by the supporters of the statutes. The interests of corporate leaders, while not perfectly aligned with the interest of shareholders, are robustly linked to them. As discussed in the theoretical and empirical literature on corporate governance, shareholder legal rights, the structure of director and executive compensation, and the dynamics of the labor and control markets provide directors and top executives with incentives to increase shareholder value.</w:t>
      </w:r>
      <w:r w:rsidRPr="00A61532">
        <w:rPr>
          <w:rFonts w:asciiTheme="majorBidi" w:eastAsia="SimSun" w:hAnsiTheme="majorBidi" w:cstheme="majorBidi"/>
          <w:kern w:val="0"/>
          <w:szCs w:val="24"/>
          <w:vertAlign w:val="superscript"/>
          <w:lang w:bidi="he-IL"/>
        </w:rPr>
        <w:footnoteReference w:id="123"/>
      </w:r>
      <w:r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lastRenderedPageBreak/>
        <w:t xml:space="preserve">By contrast, there is no significant link between the interests of corporate leaders selling their companies and the post-sale interests of stakeholders. </w:t>
      </w:r>
    </w:p>
    <w:p w14:paraId="06FC73ED"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As we document, the private equity deals that we examined provided significant gains to the corporate leaders who negotiated the transactions. As a result of their significant equity holdings (designed for the very purpose of aligning the interests of corporate leaders and shareholders), corporate leaders made significant profits. In addition, the agreements that corporate leaders negotiated contained additional payments as well as continuing employment for some of them. </w:t>
      </w:r>
    </w:p>
    <w:p w14:paraId="1DF7EED8"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At the same time, the lack of stakeholder protections we documented did not adversely affect the interests of corporate leaders. Obtaining stakeholder protections would not have improved the position of directors and executives. In fact, to the extent that meaningful stakeholder protections are costly and therefore would have resulted in smaller gains available for shareholders (and corporate leaders in their capacity as equity holders), that would have been contrary to their own interests. Considering the above incentive analysis, it is not surprising that corporate leaders negotiating a sale to a private equity buyer did not bargain for stakeholder protections. To the contrary, such an outcome is what should have been expected. </w:t>
      </w:r>
    </w:p>
    <w:p w14:paraId="4B92889C"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Our findings warn </w:t>
      </w:r>
      <w:proofErr w:type="spellStart"/>
      <w:r w:rsidRPr="00A61532">
        <w:rPr>
          <w:rFonts w:asciiTheme="majorBidi" w:eastAsia="SimSun" w:hAnsiTheme="majorBidi" w:cstheme="majorBidi"/>
          <w:kern w:val="0"/>
          <w:szCs w:val="24"/>
          <w:lang w:bidi="he-IL"/>
        </w:rPr>
        <w:t>stakeholderists</w:t>
      </w:r>
      <w:proofErr w:type="spellEnd"/>
      <w:r w:rsidRPr="00A61532">
        <w:rPr>
          <w:rFonts w:asciiTheme="majorBidi" w:eastAsia="SimSun" w:hAnsiTheme="majorBidi" w:cstheme="majorBidi"/>
          <w:kern w:val="0"/>
          <w:szCs w:val="24"/>
          <w:lang w:bidi="he-IL"/>
        </w:rPr>
        <w:t xml:space="preserve"> that they need to take incentives seriously. Like the supporters of constituency statutes, supporters of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have commonly assumed that corporate leaders would use their enhanced discretion to protect stakeholders, only because it would be socially desirable to do so. This assumption has proved unrealistic in the case of constituency statutes and should not be relied on in assessing the promise of modern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w:t>
      </w:r>
    </w:p>
    <w:p w14:paraId="4F8FA372" w14:textId="77777777" w:rsidR="00B20CC8" w:rsidRPr="00A61532" w:rsidRDefault="00B20CC8" w:rsidP="00B20CC8">
      <w:pPr>
        <w:pStyle w:val="Heading2"/>
        <w:rPr>
          <w:rFonts w:eastAsia="SimSun"/>
          <w:lang w:bidi="he-IL"/>
        </w:rPr>
      </w:pPr>
      <w:bookmarkStart w:id="189" w:name="_Toc47616605"/>
      <w:bookmarkStart w:id="190" w:name="_Toc47886017"/>
      <w:r w:rsidRPr="00A61532">
        <w:rPr>
          <w:rFonts w:eastAsia="SimSun"/>
          <w:lang w:bidi="he-IL"/>
        </w:rPr>
        <w:t>Going Forward</w:t>
      </w:r>
      <w:bookmarkEnd w:id="189"/>
      <w:bookmarkEnd w:id="190"/>
    </w:p>
    <w:p w14:paraId="547E3B9B" w14:textId="77777777" w:rsidR="00B20CC8" w:rsidRPr="00A61532" w:rsidRDefault="00B20CC8" w:rsidP="00B20CC8">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Three decades after the passage of constituency statutes, our analysis of hand-collected data enables reaching a clear verdict on their success in addressing concerns about the effects of acquisitions on corporate stakeholders. Constituency statutes were at least partly justified on the basis of their promise for addressing concerns related to stakeholders. This promise enabled corporate leaders to join forces with labor representatives and other groups to obtain support for the legislation of the constituency statutes. But the statutes failed to deliver on this promise.</w:t>
      </w:r>
    </w:p>
    <w:p w14:paraId="2F37F34F" w14:textId="5D265B60" w:rsidR="00317C2B" w:rsidRPr="00C23450" w:rsidRDefault="00B20CC8" w:rsidP="00B20CC8">
      <w:pPr>
        <w:widowControl/>
        <w:rPr>
          <w:rFonts w:asciiTheme="majorBidi" w:hAnsiTheme="majorBidi" w:cstheme="majorBidi"/>
          <w:sz w:val="17"/>
          <w:szCs w:val="17"/>
        </w:rPr>
      </w:pPr>
      <w:r w:rsidRPr="00A61532">
        <w:rPr>
          <w:rFonts w:asciiTheme="majorBidi" w:eastAsia="SimSun" w:hAnsiTheme="majorBidi" w:cstheme="majorBidi"/>
          <w:kern w:val="0"/>
          <w:szCs w:val="24"/>
          <w:lang w:bidi="he-IL"/>
        </w:rPr>
        <w:t xml:space="preserve">Even more important than the implications of our analysis for an assessment of constituency statutes are its implications for the influential current movement in support of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has been </w:t>
      </w:r>
      <w:r w:rsidRPr="00A61532">
        <w:rPr>
          <w:rFonts w:asciiTheme="majorBidi" w:eastAsia="SimSun" w:hAnsiTheme="majorBidi" w:cstheme="majorBidi"/>
          <w:kern w:val="0"/>
          <w:szCs w:val="24"/>
          <w:lang w:bidi="he-IL"/>
        </w:rPr>
        <w:lastRenderedPageBreak/>
        <w:t xml:space="preserve">garnering increasing support and offered as a major remedy for growing concerns about the adverse effects of companies on their stakeholders. Our findings should serve as a warning for advocates of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and for the many who find the promise of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alluring. In our view, they should recognize that the incentive systems of corporate leaders have prevented constituency statutes from protecting stakeholders. Such findings should similarly raise doubt over the broader approach that </w:t>
      </w:r>
      <w:proofErr w:type="spellStart"/>
      <w:r w:rsidRPr="00A61532">
        <w:rPr>
          <w:rFonts w:asciiTheme="majorBidi" w:eastAsia="SimSun" w:hAnsiTheme="majorBidi" w:cstheme="majorBidi"/>
          <w:kern w:val="0"/>
          <w:szCs w:val="24"/>
          <w:lang w:bidi="he-IL"/>
        </w:rPr>
        <w:t>stakeholderism</w:t>
      </w:r>
      <w:proofErr w:type="spellEnd"/>
      <w:r w:rsidRPr="00A61532">
        <w:rPr>
          <w:rFonts w:asciiTheme="majorBidi" w:eastAsia="SimSun" w:hAnsiTheme="majorBidi" w:cstheme="majorBidi"/>
          <w:kern w:val="0"/>
          <w:szCs w:val="24"/>
          <w:lang w:bidi="he-IL"/>
        </w:rPr>
        <w:t xml:space="preserve"> benefits stakeholders. At a minimum, our clear findings should give </w:t>
      </w:r>
      <w:proofErr w:type="spellStart"/>
      <w:r w:rsidRPr="00A61532">
        <w:rPr>
          <w:rFonts w:asciiTheme="majorBidi" w:eastAsia="SimSun" w:hAnsiTheme="majorBidi" w:cstheme="majorBidi"/>
          <w:kern w:val="0"/>
          <w:szCs w:val="24"/>
          <w:lang w:bidi="he-IL"/>
        </w:rPr>
        <w:t>stakeholderists</w:t>
      </w:r>
      <w:proofErr w:type="spellEnd"/>
      <w:r w:rsidRPr="00A61532">
        <w:rPr>
          <w:rFonts w:asciiTheme="majorBidi" w:eastAsia="SimSun" w:hAnsiTheme="majorBidi" w:cstheme="majorBidi"/>
          <w:kern w:val="0"/>
          <w:szCs w:val="24"/>
          <w:lang w:bidi="he-IL"/>
        </w:rPr>
        <w:t xml:space="preserve"> pause and force them to come to terms and wrestle with these findings before continuing with their advocacy</w:t>
      </w:r>
      <w:r w:rsidR="00BB2B75" w:rsidRPr="00A61532">
        <w:rPr>
          <w:rFonts w:asciiTheme="majorBidi" w:eastAsia="SimSun" w:hAnsiTheme="majorBidi" w:cstheme="majorBidi"/>
          <w:kern w:val="0"/>
          <w:szCs w:val="24"/>
          <w:lang w:bidi="he-IL"/>
        </w:rPr>
        <w:t>.</w:t>
      </w:r>
      <w:r w:rsidR="00BB2B75" w:rsidRPr="00BB2B75">
        <w:rPr>
          <w:rFonts w:asciiTheme="majorBidi" w:eastAsia="SimSun" w:hAnsiTheme="majorBidi" w:cstheme="majorBidi"/>
          <w:kern w:val="0"/>
          <w:szCs w:val="24"/>
          <w:lang w:bidi="he-IL"/>
        </w:rPr>
        <w:t xml:space="preserve"> </w:t>
      </w:r>
      <w:bookmarkEnd w:id="0"/>
    </w:p>
    <w:sectPr w:rsidR="00317C2B" w:rsidRPr="00C23450" w:rsidSect="00D27291">
      <w:headerReference w:type="even" r:id="rId10"/>
      <w:headerReference w:type="default" r:id="rId11"/>
      <w:pgSz w:w="12240" w:h="15840" w:code="1"/>
      <w:pgMar w:top="2016" w:right="2448" w:bottom="2016" w:left="2448" w:header="151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D2A39" w14:textId="77777777" w:rsidR="00B77C00" w:rsidRDefault="00B77C00">
      <w:r>
        <w:separator/>
      </w:r>
    </w:p>
  </w:endnote>
  <w:endnote w:type="continuationSeparator" w:id="0">
    <w:p w14:paraId="31AF8EA2" w14:textId="77777777" w:rsidR="00B77C00" w:rsidRDefault="00B77C00">
      <w:r>
        <w:continuationSeparator/>
      </w:r>
    </w:p>
  </w:endnote>
  <w:endnote w:type="continuationNotice" w:id="1">
    <w:p w14:paraId="0BABAEFE" w14:textId="77777777" w:rsidR="00B77C00" w:rsidRDefault="00B77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NexusSansWeb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7D7F2" w14:textId="77777777" w:rsidR="00CE42F1" w:rsidRDefault="00CE4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0CEE2" w14:textId="77777777" w:rsidR="00B77C00" w:rsidRPr="001651D9" w:rsidRDefault="00B77C00" w:rsidP="00D27291">
      <w:pPr>
        <w:ind w:right="-1440" w:firstLine="0"/>
        <w:rPr>
          <w:strike/>
          <w:sz w:val="22"/>
        </w:rPr>
      </w:pPr>
      <w:r w:rsidRPr="001651D9">
        <w:rPr>
          <w:strike/>
          <w:sz w:val="22"/>
        </w:rPr>
        <w:t>—————————————————————————————————</w:t>
      </w:r>
    </w:p>
  </w:footnote>
  <w:footnote w:type="continuationSeparator" w:id="0">
    <w:p w14:paraId="1D171388" w14:textId="77777777" w:rsidR="00B77C00" w:rsidRDefault="00B77C00">
      <w:r>
        <w:continuationSeparator/>
      </w:r>
    </w:p>
  </w:footnote>
  <w:footnote w:type="continuationNotice" w:id="1">
    <w:p w14:paraId="70EA69BF" w14:textId="77777777" w:rsidR="00B77C00" w:rsidRDefault="00B77C00"/>
  </w:footnote>
  <w:footnote w:id="2">
    <w:p w14:paraId="2F5D1CFB" w14:textId="77777777" w:rsidR="00CE42F1" w:rsidRPr="00207F53" w:rsidRDefault="00CE42F1" w:rsidP="00B02A6F">
      <w:pPr>
        <w:pStyle w:val="FootNote0"/>
      </w:pPr>
      <w:r w:rsidRPr="00207F53">
        <w:rPr>
          <w:rStyle w:val="FootnoteReference"/>
          <w:rFonts w:cs="Times New Roman"/>
        </w:rPr>
        <w:t>*</w:t>
      </w:r>
      <w:r w:rsidRPr="00207F53">
        <w:t xml:space="preserve"> James Barr Ames Professor of Law, Economics, and Finance, and Director of the Program on Corporate Governance, Harvard Law School. </w:t>
      </w:r>
    </w:p>
  </w:footnote>
  <w:footnote w:id="3">
    <w:p w14:paraId="222D9D8E" w14:textId="77777777" w:rsidR="00CE42F1" w:rsidRPr="00207F53" w:rsidRDefault="00CE42F1" w:rsidP="00B02A6F">
      <w:pPr>
        <w:pStyle w:val="FootnoteText"/>
      </w:pPr>
      <w:r w:rsidRPr="00207F53">
        <w:rPr>
          <w:rStyle w:val="FootnoteReference"/>
        </w:rPr>
        <w:sym w:font="Symbol" w:char="F02A"/>
      </w:r>
      <w:r w:rsidRPr="00207F53">
        <w:rPr>
          <w:rStyle w:val="FootnoteReference"/>
        </w:rPr>
        <w:sym w:font="Symbol" w:char="F02A"/>
      </w:r>
      <w:r w:rsidRPr="00207F53">
        <w:t xml:space="preserve"> Assistant Professor, Tel Aviv University Faculty of Law; Research Fellow, Program on Corporate Governance, Harvard Law School.</w:t>
      </w:r>
    </w:p>
  </w:footnote>
  <w:footnote w:id="4">
    <w:p w14:paraId="4B02184B" w14:textId="77777777" w:rsidR="00CE42F1" w:rsidRPr="00207F53" w:rsidRDefault="00CE42F1" w:rsidP="00B02A6F">
      <w:pPr>
        <w:pStyle w:val="FootnoteText"/>
      </w:pPr>
      <w:r w:rsidRPr="00207F53">
        <w:rPr>
          <w:rStyle w:val="FootnoteReference"/>
        </w:rPr>
        <w:t>***</w:t>
      </w:r>
      <w:r w:rsidRPr="00207F53">
        <w:t xml:space="preserve"> Terence M. Considine Fellow in Law and Economics, and Associate Director and Research Fellow of the Program on Corporate Governance, Harvard Law School.</w:t>
      </w:r>
    </w:p>
    <w:p w14:paraId="2A6AC891" w14:textId="6211D63A" w:rsidR="00CE42F1" w:rsidRPr="00207F53" w:rsidRDefault="00CE42F1" w:rsidP="00B02A6F">
      <w:pPr>
        <w:pStyle w:val="FootnoteText"/>
      </w:pPr>
      <w:r w:rsidRPr="00207F53">
        <w:t xml:space="preserve">We have benefitted from discussions with and suggestions from Robert Eccles, Andrew </w:t>
      </w:r>
      <w:proofErr w:type="spellStart"/>
      <w:r w:rsidRPr="00207F53">
        <w:t>Tuch</w:t>
      </w:r>
      <w:proofErr w:type="spellEnd"/>
      <w:r w:rsidRPr="00207F53">
        <w:t>, as well as from the comments and questions of workshop participants at the Greater Boston Corporate Governance workshop, Harvard Law School, Columbia</w:t>
      </w:r>
      <w:r>
        <w:t xml:space="preserve"> Law School</w:t>
      </w:r>
      <w:r w:rsidRPr="00207F53">
        <w:t xml:space="preserve">, and the Oxford Great Debate on Stakeholder Capitalism. We also gratefully acknowledge the excellent research assistance of Maya Ashkenazi, Aaron Haefner, Tamar </w:t>
      </w:r>
      <w:proofErr w:type="spellStart"/>
      <w:r w:rsidRPr="00207F53">
        <w:t>Groswald</w:t>
      </w:r>
      <w:proofErr w:type="spellEnd"/>
      <w:r w:rsidRPr="00207F53">
        <w:t xml:space="preserve"> </w:t>
      </w:r>
      <w:proofErr w:type="spellStart"/>
      <w:r w:rsidRPr="00207F53">
        <w:t>Ozery</w:t>
      </w:r>
      <w:proofErr w:type="spellEnd"/>
      <w:r>
        <w:t xml:space="preserve">, Zoe </w:t>
      </w:r>
      <w:proofErr w:type="spellStart"/>
      <w:r>
        <w:t>Piel</w:t>
      </w:r>
      <w:proofErr w:type="spellEnd"/>
      <w:r>
        <w:t>,</w:t>
      </w:r>
      <w:r w:rsidRPr="00207F53">
        <w:t xml:space="preserve"> Tom </w:t>
      </w:r>
      <w:proofErr w:type="spellStart"/>
      <w:r w:rsidRPr="00207F53">
        <w:t>Schifter</w:t>
      </w:r>
      <w:proofErr w:type="spellEnd"/>
      <w:r>
        <w:t xml:space="preserve">, and </w:t>
      </w:r>
      <w:proofErr w:type="spellStart"/>
      <w:r>
        <w:t>Wanling</w:t>
      </w:r>
      <w:proofErr w:type="spellEnd"/>
      <w:r>
        <w:t xml:space="preserve"> </w:t>
      </w:r>
      <w:proofErr w:type="spellStart"/>
      <w:r>
        <w:t>Su</w:t>
      </w:r>
      <w:proofErr w:type="spellEnd"/>
      <w:r w:rsidRPr="00207F53">
        <w:t>. We are especially grateful to Roee Amir for his invaluable research assistance throughout our work on this Article. The Harvard Law School Program on Corporate Governance and the John M. Olin Center for Law, Economics and Business provided financial support.</w:t>
      </w:r>
    </w:p>
  </w:footnote>
  <w:footnote w:id="5">
    <w:p w14:paraId="6967B46E" w14:textId="77777777" w:rsidR="00CE42F1" w:rsidRPr="00207F53" w:rsidRDefault="00CE42F1" w:rsidP="003131E0">
      <w:pPr>
        <w:pStyle w:val="FootnoteText"/>
      </w:pPr>
      <w:r w:rsidRPr="00207F53">
        <w:rPr>
          <w:rStyle w:val="FootnoteReference"/>
        </w:rPr>
        <w:footnoteRef/>
      </w:r>
      <w:r w:rsidRPr="00207F53">
        <w:t xml:space="preserve"> </w:t>
      </w:r>
      <w:r w:rsidRPr="00207F53">
        <w:rPr>
          <w:i/>
          <w:iCs/>
        </w:rPr>
        <w:t>See</w:t>
      </w:r>
      <w:r w:rsidRPr="00207F53">
        <w:t xml:space="preserve"> sources in Section II.B.</w:t>
      </w:r>
    </w:p>
  </w:footnote>
  <w:footnote w:id="6">
    <w:p w14:paraId="4A81E09D" w14:textId="003C108B" w:rsidR="00CE42F1" w:rsidRPr="00207F53" w:rsidRDefault="00CE42F1" w:rsidP="003131E0">
      <w:pPr>
        <w:pStyle w:val="FootnoteText"/>
      </w:pPr>
      <w:r w:rsidRPr="00207F53">
        <w:rPr>
          <w:rStyle w:val="FootnoteReference"/>
        </w:rPr>
        <w:footnoteRef/>
      </w:r>
      <w:r w:rsidRPr="00207F53">
        <w:t xml:space="preserve"> </w:t>
      </w:r>
      <w:r w:rsidRPr="00207F53">
        <w:rPr>
          <w:i/>
          <w:iCs/>
        </w:rPr>
        <w:t>See</w:t>
      </w:r>
      <w:r w:rsidRPr="00207F53">
        <w:t xml:space="preserve"> Business Roundtable, Statement on the Purpose of a Corporation (Aug. 19, 2019), </w:t>
      </w:r>
      <w:hyperlink r:id="rId1" w:history="1">
        <w:r w:rsidRPr="00207F53">
          <w:rPr>
            <w:rStyle w:val="Hyperlink"/>
          </w:rPr>
          <w:t>https://opportunity.businessroundtable.org/wp-content/uploads/2019/12/BRT-Statement-onthe-Purpose-of-a-Corporation-with-Signatures.pdf</w:t>
        </w:r>
      </w:hyperlink>
      <w:r w:rsidRPr="00207F53">
        <w:t xml:space="preserve">. Market capitalization of the public companies led by the signatories of the BRT statement, is based on data collected from </w:t>
      </w:r>
      <w:proofErr w:type="spellStart"/>
      <w:r w:rsidRPr="00207F53">
        <w:t>Compustat</w:t>
      </w:r>
      <w:proofErr w:type="spellEnd"/>
      <w:r w:rsidRPr="00207F53">
        <w:t>.</w:t>
      </w:r>
    </w:p>
  </w:footnote>
  <w:footnote w:id="7">
    <w:p w14:paraId="7392BC27" w14:textId="77777777" w:rsidR="00CE42F1" w:rsidRPr="00207F53" w:rsidRDefault="00CE42F1" w:rsidP="003131E0">
      <w:pPr>
        <w:pStyle w:val="FootNote0"/>
      </w:pPr>
      <w:r w:rsidRPr="00207F53">
        <w:rPr>
          <w:rStyle w:val="FootnoteReference"/>
        </w:rPr>
        <w:footnoteRef/>
      </w:r>
      <w:r w:rsidRPr="00207F53">
        <w:t xml:space="preserve"> Davos Manifesto 2020: The Universal Purpose of a Company in the Fourth Industrial Revolution (Dec. 2, 2019), https://www.weforum.org/agenda/2019/12/davos-manifesto-2020-the-universal-purpose-of-a-company-in-the-fourth-industrial-revolution/.  </w:t>
      </w:r>
    </w:p>
  </w:footnote>
  <w:footnote w:id="8">
    <w:p w14:paraId="5F490B31" w14:textId="66126C42" w:rsidR="00CE42F1" w:rsidRPr="00207F53" w:rsidRDefault="00CE42F1" w:rsidP="003131E0">
      <w:pPr>
        <w:pStyle w:val="FootnoteText"/>
        <w:rPr>
          <w:lang w:bidi="he-IL"/>
        </w:rPr>
      </w:pPr>
      <w:r w:rsidRPr="00207F53">
        <w:rPr>
          <w:rStyle w:val="FootnoteReference"/>
        </w:rPr>
        <w:footnoteRef/>
      </w:r>
      <w:r w:rsidRPr="00207F53">
        <w:t xml:space="preserve"> </w:t>
      </w:r>
      <w:r w:rsidRPr="00207F53">
        <w:t xml:space="preserve">For </w:t>
      </w:r>
      <w:r>
        <w:t xml:space="preserve">articles expressing </w:t>
      </w:r>
      <w:r w:rsidRPr="00207F53">
        <w:t>such concerns, see</w:t>
      </w:r>
      <w:r>
        <w:t xml:space="preserve"> the sources cited in </w:t>
      </w:r>
      <w:r w:rsidRPr="00332FE2">
        <w:rPr>
          <w:i/>
          <w:iCs/>
        </w:rPr>
        <w:t>infra</w:t>
      </w:r>
      <w:r>
        <w:t xml:space="preserve"> note </w:t>
      </w:r>
      <w:r>
        <w:fldChar w:fldCharType="begin"/>
      </w:r>
      <w:r>
        <w:instrText xml:space="preserve"> NOTEREF _Ref47569965 \h </w:instrText>
      </w:r>
      <w:r>
        <w:fldChar w:fldCharType="separate"/>
      </w:r>
      <w:r w:rsidR="00581B6B">
        <w:t>28</w:t>
      </w:r>
      <w:r>
        <w:fldChar w:fldCharType="end"/>
      </w:r>
      <w:r w:rsidRPr="00207F53">
        <w:t>.</w:t>
      </w:r>
    </w:p>
  </w:footnote>
  <w:footnote w:id="9">
    <w:p w14:paraId="103F4DB7" w14:textId="44DFB546" w:rsidR="00CE42F1" w:rsidRPr="00207F53" w:rsidRDefault="00CE42F1" w:rsidP="003131E0">
      <w:pPr>
        <w:pStyle w:val="FootnoteText"/>
        <w:rPr>
          <w:rtl/>
        </w:rPr>
      </w:pPr>
      <w:r w:rsidRPr="00207F53">
        <w:rPr>
          <w:rStyle w:val="FootnoteReference"/>
        </w:rPr>
        <w:footnoteRef/>
      </w:r>
      <w:r w:rsidRPr="00207F53">
        <w:t xml:space="preserve"> </w:t>
      </w:r>
      <w:r w:rsidRPr="00207F53">
        <w:t xml:space="preserve">For a description of the statutes that are the focus of this paragraph see sources mentioned in </w:t>
      </w:r>
      <w:r w:rsidRPr="00207F53">
        <w:rPr>
          <w:i/>
          <w:iCs/>
        </w:rPr>
        <w:t>infra</w:t>
      </w:r>
      <w:r w:rsidRPr="00207F53">
        <w:t xml:space="preserve"> notes </w:t>
      </w:r>
      <w:r w:rsidRPr="00207F53">
        <w:fldChar w:fldCharType="begin"/>
      </w:r>
      <w:r w:rsidRPr="00207F53">
        <w:instrText xml:space="preserve"> NOTEREF _Ref47581192 \h  \* MERGEFORMAT </w:instrText>
      </w:r>
      <w:r w:rsidRPr="00207F53">
        <w:fldChar w:fldCharType="separate"/>
      </w:r>
      <w:r w:rsidR="00581B6B">
        <w:t>31</w:t>
      </w:r>
      <w:r w:rsidRPr="00207F53">
        <w:fldChar w:fldCharType="end"/>
      </w:r>
      <w:r w:rsidRPr="00207F53">
        <w:t>-</w:t>
      </w:r>
      <w:r w:rsidRPr="00207F53">
        <w:fldChar w:fldCharType="begin"/>
      </w:r>
      <w:r w:rsidRPr="00207F53">
        <w:instrText xml:space="preserve"> NOTEREF _Ref46673837 \h  \* MERGEFORMAT </w:instrText>
      </w:r>
      <w:r w:rsidRPr="00207F53">
        <w:fldChar w:fldCharType="separate"/>
      </w:r>
      <w:r w:rsidR="00581B6B">
        <w:t>32</w:t>
      </w:r>
      <w:r w:rsidRPr="00207F53">
        <w:fldChar w:fldCharType="end"/>
      </w:r>
      <w:r w:rsidRPr="00207F53">
        <w:t>.</w:t>
      </w:r>
    </w:p>
  </w:footnote>
  <w:footnote w:id="10">
    <w:p w14:paraId="41C42845" w14:textId="095F89DE" w:rsidR="00CE42F1" w:rsidRPr="00207F53" w:rsidRDefault="00CE42F1" w:rsidP="000E58DF">
      <w:pPr>
        <w:pStyle w:val="FootnoteText"/>
      </w:pPr>
      <w:r w:rsidRPr="00332FE2">
        <w:rPr>
          <w:rStyle w:val="FootnoteReference"/>
        </w:rPr>
        <w:footnoteRef/>
      </w:r>
      <w:r w:rsidRPr="00332FE2">
        <w:t xml:space="preserve"> </w:t>
      </w:r>
      <w:r w:rsidRPr="00332FE2">
        <w:rPr>
          <w:i/>
        </w:rPr>
        <w:t>See</w:t>
      </w:r>
      <w:r w:rsidRPr="00332FE2">
        <w:t xml:space="preserve"> </w:t>
      </w:r>
      <w:proofErr w:type="spellStart"/>
      <w:r w:rsidRPr="00332FE2">
        <w:t>e.g</w:t>
      </w:r>
      <w:proofErr w:type="spellEnd"/>
      <w:r w:rsidRPr="00332FE2">
        <w:t xml:space="preserve">, </w:t>
      </w:r>
      <w:r w:rsidRPr="00332FE2">
        <w:rPr>
          <w:smallCaps/>
        </w:rPr>
        <w:t>James D. Cox &amp; Thomas Lee Hazen</w:t>
      </w:r>
      <w:r w:rsidRPr="00332FE2">
        <w:t xml:space="preserve">, 1 </w:t>
      </w:r>
      <w:r w:rsidRPr="00332FE2">
        <w:rPr>
          <w:smallCaps/>
        </w:rPr>
        <w:t>Treatise on the Law of Corporations</w:t>
      </w:r>
      <w:r w:rsidRPr="00332FE2">
        <w:t xml:space="preserve"> § 4:10 (3d ed. 2013)</w:t>
      </w:r>
      <w:r>
        <w:t>.</w:t>
      </w:r>
    </w:p>
  </w:footnote>
  <w:footnote w:id="11">
    <w:p w14:paraId="5F6F4F37" w14:textId="1D229950" w:rsidR="00CE42F1" w:rsidRPr="00207F53" w:rsidRDefault="00CE42F1" w:rsidP="00DB1B47">
      <w:pPr>
        <w:pStyle w:val="FootnoteText"/>
      </w:pPr>
      <w:r w:rsidRPr="00207F53">
        <w:rPr>
          <w:rStyle w:val="FootnoteReference"/>
        </w:rPr>
        <w:footnoteRef/>
      </w:r>
      <w:r w:rsidRPr="00207F53">
        <w:t xml:space="preserve"> </w:t>
      </w:r>
      <w:r w:rsidRPr="00207F53">
        <w:rPr>
          <w:i/>
          <w:iCs/>
        </w:rPr>
        <w:t>See</w:t>
      </w:r>
      <w:r w:rsidRPr="00207F53">
        <w:t xml:space="preserve"> articles cited </w:t>
      </w:r>
      <w:r w:rsidRPr="00207F53">
        <w:rPr>
          <w:i/>
          <w:iCs/>
        </w:rPr>
        <w:t>infra</w:t>
      </w:r>
      <w:r w:rsidRPr="00207F53">
        <w:t xml:space="preserve"> notes </w:t>
      </w:r>
      <w:r w:rsidRPr="00207F53">
        <w:fldChar w:fldCharType="begin"/>
      </w:r>
      <w:r w:rsidRPr="00207F53">
        <w:instrText xml:space="preserve"> NOTEREF _Ref46673837 \h  \* MERGEFORMAT </w:instrText>
      </w:r>
      <w:r w:rsidRPr="00207F53">
        <w:fldChar w:fldCharType="separate"/>
      </w:r>
      <w:r w:rsidR="00581B6B">
        <w:t>32</w:t>
      </w:r>
      <w:r w:rsidRPr="00207F53">
        <w:fldChar w:fldCharType="end"/>
      </w:r>
      <w:r w:rsidRPr="00207F53">
        <w:t xml:space="preserve">, </w:t>
      </w:r>
      <w:r w:rsidRPr="00207F53">
        <w:fldChar w:fldCharType="begin"/>
      </w:r>
      <w:r w:rsidRPr="00207F53">
        <w:instrText xml:space="preserve"> NOTEREF _Ref47686211 \h  \* MERGEFORMAT </w:instrText>
      </w:r>
      <w:r w:rsidRPr="00207F53">
        <w:fldChar w:fldCharType="separate"/>
      </w:r>
      <w:r w:rsidR="00581B6B">
        <w:t>37</w:t>
      </w:r>
      <w:r w:rsidRPr="00207F53">
        <w:fldChar w:fldCharType="end"/>
      </w:r>
      <w:r w:rsidRPr="00207F53">
        <w:t xml:space="preserve">, and </w:t>
      </w:r>
      <w:r w:rsidRPr="00207F53">
        <w:fldChar w:fldCharType="begin"/>
      </w:r>
      <w:r w:rsidRPr="00207F53">
        <w:instrText xml:space="preserve"> NOTEREF _Ref47290396 \h  \* MERGEFORMAT </w:instrText>
      </w:r>
      <w:r w:rsidRPr="00207F53">
        <w:fldChar w:fldCharType="separate"/>
      </w:r>
      <w:r w:rsidR="00581B6B">
        <w:t>46</w:t>
      </w:r>
      <w:r w:rsidRPr="00207F53">
        <w:fldChar w:fldCharType="end"/>
      </w:r>
      <w:r w:rsidRPr="00207F53">
        <w:t xml:space="preserve">. </w:t>
      </w:r>
    </w:p>
  </w:footnote>
  <w:footnote w:id="12">
    <w:p w14:paraId="4C3EDD7A" w14:textId="11F2CCB3" w:rsidR="00CE42F1" w:rsidRPr="00207F53" w:rsidRDefault="00CE42F1" w:rsidP="003131E0">
      <w:pPr>
        <w:pStyle w:val="FootnoteText"/>
      </w:pPr>
      <w:r w:rsidRPr="00207F53">
        <w:rPr>
          <w:rStyle w:val="FootnoteReference"/>
        </w:rPr>
        <w:footnoteRef/>
      </w:r>
      <w:r w:rsidRPr="00207F53">
        <w:t xml:space="preserve"> There have been some empirical studies that attempt to identify the indirect effects of constituency statutes by looking at post-acquisition variables available in standard financial datasets. </w:t>
      </w:r>
      <w:r w:rsidRPr="00332FE2">
        <w:rPr>
          <w:i/>
        </w:rPr>
        <w:t xml:space="preserve">See </w:t>
      </w:r>
      <w:proofErr w:type="spellStart"/>
      <w:r w:rsidRPr="00332FE2">
        <w:rPr>
          <w:i/>
        </w:rPr>
        <w:t>e.g</w:t>
      </w:r>
      <w:proofErr w:type="spellEnd"/>
      <w:r w:rsidRPr="00332FE2">
        <w:rPr>
          <w:i/>
        </w:rPr>
        <w:t>,</w:t>
      </w:r>
      <w:r w:rsidRPr="00207F53">
        <w:t xml:space="preserve"> Aleksandra </w:t>
      </w:r>
      <w:proofErr w:type="spellStart"/>
      <w:r w:rsidRPr="00207F53">
        <w:t>Kacperczyk</w:t>
      </w:r>
      <w:proofErr w:type="spellEnd"/>
      <w:r w:rsidRPr="00207F53">
        <w:t xml:space="preserve">, </w:t>
      </w:r>
      <w:r w:rsidRPr="00207F53">
        <w:rPr>
          <w:i/>
          <w:iCs/>
        </w:rPr>
        <w:t>With Greater Power Comes Greater Responsibility? Takeover Protection and Corporate Attention to Stakeholders</w:t>
      </w:r>
      <w:r w:rsidRPr="00207F53">
        <w:t xml:space="preserve">, 30 </w:t>
      </w:r>
      <w:r w:rsidRPr="00207F53">
        <w:rPr>
          <w:smallCaps/>
        </w:rPr>
        <w:t>Strategic Mgmt. J</w:t>
      </w:r>
      <w:r w:rsidRPr="00207F53">
        <w:t xml:space="preserve">. 261 (2009). However, no attempt has been done to conduct a comprehensive review of all the merger agreements and proxy statements for a large sample of transactions. </w:t>
      </w:r>
    </w:p>
  </w:footnote>
  <w:footnote w:id="13">
    <w:p w14:paraId="602BBD3D" w14:textId="6DFBD851" w:rsidR="00CE42F1" w:rsidRPr="00207F53" w:rsidRDefault="00CE42F1">
      <w:pPr>
        <w:pStyle w:val="FootnoteText"/>
      </w:pPr>
      <w:r w:rsidRPr="00207F53">
        <w:rPr>
          <w:rStyle w:val="FootnoteReference"/>
        </w:rPr>
        <w:footnoteRef/>
      </w:r>
      <w:r w:rsidRPr="00207F53">
        <w:t xml:space="preserve"> Detailed information about all companies in our sample appear in Part IV below and in an Online Appendix, available at [</w:t>
      </w:r>
      <w:r w:rsidRPr="00332FE2">
        <w:rPr>
          <w:b/>
          <w:highlight w:val="yellow"/>
        </w:rPr>
        <w:t>XX</w:t>
      </w:r>
      <w:r w:rsidRPr="00332FE2">
        <w:t>]</w:t>
      </w:r>
      <w:r w:rsidRPr="00207F53">
        <w:t xml:space="preserve"> (the "Online Appendix").</w:t>
      </w:r>
    </w:p>
  </w:footnote>
  <w:footnote w:id="14">
    <w:p w14:paraId="22C36BC3" w14:textId="77777777" w:rsidR="00CE42F1" w:rsidRPr="00207F53" w:rsidRDefault="00CE42F1" w:rsidP="003131E0">
      <w:pPr>
        <w:pStyle w:val="FootNote0"/>
      </w:pPr>
      <w:r w:rsidRPr="00207F53">
        <w:rPr>
          <w:rStyle w:val="FootnoteReference"/>
        </w:rPr>
        <w:footnoteRef/>
      </w:r>
      <w:r w:rsidRPr="00207F53">
        <w:t xml:space="preserve"> Traditionally, the origin of the </w:t>
      </w:r>
      <w:proofErr w:type="spellStart"/>
      <w:r w:rsidRPr="00207F53">
        <w:t>stakeholderism</w:t>
      </w:r>
      <w:proofErr w:type="spellEnd"/>
      <w:r w:rsidRPr="00207F53">
        <w:t xml:space="preserve"> debate is taken to be a 1932 paper by Merrick Dodd in response to an article by Adolf </w:t>
      </w:r>
      <w:proofErr w:type="spellStart"/>
      <w:r w:rsidRPr="00207F53">
        <w:t>Berle</w:t>
      </w:r>
      <w:proofErr w:type="spellEnd"/>
      <w:r w:rsidRPr="00207F53">
        <w:t xml:space="preserve"> published the previous year, as well as </w:t>
      </w:r>
      <w:proofErr w:type="spellStart"/>
      <w:r w:rsidRPr="00207F53">
        <w:t>Berle’s</w:t>
      </w:r>
      <w:proofErr w:type="spellEnd"/>
      <w:r w:rsidRPr="00207F53">
        <w:t xml:space="preserve"> subsequent rejoinder. Adolf A. </w:t>
      </w:r>
      <w:proofErr w:type="spellStart"/>
      <w:r w:rsidRPr="00207F53">
        <w:t>Berle</w:t>
      </w:r>
      <w:proofErr w:type="spellEnd"/>
      <w:r w:rsidRPr="00207F53">
        <w:t xml:space="preserve">, Jr., </w:t>
      </w:r>
      <w:r w:rsidRPr="00207F53">
        <w:rPr>
          <w:i/>
          <w:iCs/>
        </w:rPr>
        <w:t>Corporate Powers as Powers in Trust</w:t>
      </w:r>
      <w:r w:rsidRPr="00207F53">
        <w:t xml:space="preserve">, 44 </w:t>
      </w:r>
      <w:r w:rsidRPr="00207F53">
        <w:rPr>
          <w:smallCaps/>
        </w:rPr>
        <w:t>Harv. L. Rev</w:t>
      </w:r>
      <w:r w:rsidRPr="00207F53">
        <w:t>.</w:t>
      </w:r>
      <w:r w:rsidRPr="00207F53">
        <w:rPr>
          <w:sz w:val="15"/>
          <w:szCs w:val="15"/>
        </w:rPr>
        <w:t xml:space="preserve"> </w:t>
      </w:r>
      <w:r w:rsidRPr="00207F53">
        <w:t xml:space="preserve">1049 (1931)(defending the view that “all powers granted to a corporation or to the management of the corporation… are necessarily and at all times exercisable only for the ratable benefit of all the shareholders”); E. Merrick Dodd Jr., </w:t>
      </w:r>
      <w:r w:rsidRPr="00207F53">
        <w:rPr>
          <w:i/>
        </w:rPr>
        <w:t>For Whom Are Corporate Managers Trustees?</w:t>
      </w:r>
      <w:r w:rsidRPr="00207F53">
        <w:t xml:space="preserve">, 45 </w:t>
      </w:r>
      <w:r w:rsidRPr="00207F53">
        <w:rPr>
          <w:smallCaps/>
        </w:rPr>
        <w:t xml:space="preserve">Harv. L. Rev. </w:t>
      </w:r>
      <w:r w:rsidRPr="00207F53">
        <w:t xml:space="preserve">1145 (1932); (suggesting that corporate law could experiment with some form of </w:t>
      </w:r>
      <w:proofErr w:type="spellStart"/>
      <w:r w:rsidRPr="00207F53">
        <w:t>stakeholderism</w:t>
      </w:r>
      <w:proofErr w:type="spellEnd"/>
      <w:r w:rsidRPr="00207F53">
        <w:t xml:space="preserve">); and Adolf A. </w:t>
      </w:r>
      <w:proofErr w:type="spellStart"/>
      <w:r w:rsidRPr="00207F53">
        <w:t>Berle</w:t>
      </w:r>
      <w:proofErr w:type="spellEnd"/>
      <w:r w:rsidRPr="00207F53">
        <w:t xml:space="preserve">, Jr., </w:t>
      </w:r>
      <w:r w:rsidRPr="00207F53">
        <w:rPr>
          <w:i/>
        </w:rPr>
        <w:t>For Whom Are Corporate Managers Trustees: A Note</w:t>
      </w:r>
      <w:r w:rsidRPr="00207F53">
        <w:t xml:space="preserve">, 45 </w:t>
      </w:r>
      <w:r w:rsidRPr="00207F53">
        <w:rPr>
          <w:smallCaps/>
        </w:rPr>
        <w:t>Harv. L. Rev</w:t>
      </w:r>
      <w:r w:rsidRPr="00207F53">
        <w:t>.</w:t>
      </w:r>
      <w:r w:rsidRPr="00207F53">
        <w:rPr>
          <w:sz w:val="15"/>
          <w:szCs w:val="15"/>
        </w:rPr>
        <w:t xml:space="preserve"> </w:t>
      </w:r>
      <w:r w:rsidRPr="00207F53">
        <w:t>1365 (1932) (objecting that “[w]hen the fiduciary obligation of the corporate management and ‘control’ to stockholders is weakened or eliminated, the management and ‘control’ become for all practical purposes absolute”).</w:t>
      </w:r>
    </w:p>
  </w:footnote>
  <w:footnote w:id="15">
    <w:p w14:paraId="3E09D488" w14:textId="57C83190" w:rsidR="00CE42F1" w:rsidRPr="00207F53" w:rsidRDefault="00CE42F1" w:rsidP="001D4EF9">
      <w:pPr>
        <w:pStyle w:val="FootnoteText"/>
      </w:pPr>
      <w:r w:rsidRPr="00207F53">
        <w:rPr>
          <w:rStyle w:val="FootnoteReference"/>
        </w:rPr>
        <w:footnoteRef/>
      </w:r>
      <w:r w:rsidRPr="00207F53">
        <w:t xml:space="preserve"> S</w:t>
      </w:r>
      <w:r w:rsidRPr="00207F53">
        <w:rPr>
          <w:i/>
          <w:iCs/>
        </w:rPr>
        <w:t>ee, e.g.,</w:t>
      </w:r>
      <w:r w:rsidRPr="00207F53">
        <w:t xml:space="preserve"> </w:t>
      </w:r>
      <w:r w:rsidRPr="00207F53">
        <w:rPr>
          <w:smallCaps/>
        </w:rPr>
        <w:t>Lynn A. Stout</w:t>
      </w:r>
      <w:r w:rsidRPr="00207F53">
        <w:t xml:space="preserve">, </w:t>
      </w:r>
      <w:r w:rsidRPr="00207F53">
        <w:rPr>
          <w:smallCaps/>
        </w:rPr>
        <w:t>The Shareholder Value Myth</w:t>
      </w:r>
      <w:r w:rsidRPr="00207F53">
        <w:t xml:space="preserve"> 1 (2012); </w:t>
      </w:r>
      <w:proofErr w:type="spellStart"/>
      <w:r w:rsidRPr="00207F53">
        <w:t>Einer</w:t>
      </w:r>
      <w:proofErr w:type="spellEnd"/>
      <w:r w:rsidRPr="00207F53">
        <w:t xml:space="preserve"> </w:t>
      </w:r>
      <w:proofErr w:type="spellStart"/>
      <w:r w:rsidRPr="00207F53">
        <w:t>Elhauge</w:t>
      </w:r>
      <w:proofErr w:type="spellEnd"/>
      <w:r w:rsidRPr="00207F53">
        <w:t xml:space="preserve">, </w:t>
      </w:r>
      <w:r w:rsidRPr="00207F53">
        <w:rPr>
          <w:i/>
        </w:rPr>
        <w:t>Sacrificing Corporate Profits in the Public Interest</w:t>
      </w:r>
      <w:r w:rsidRPr="00207F53">
        <w:t xml:space="preserve">, 80 </w:t>
      </w:r>
      <w:r w:rsidRPr="00207F53">
        <w:rPr>
          <w:smallCaps/>
        </w:rPr>
        <w:t>N.Y.U. L. Rev</w:t>
      </w:r>
      <w:r w:rsidRPr="00207F53">
        <w:t>. 733 (2005).</w:t>
      </w:r>
    </w:p>
  </w:footnote>
  <w:footnote w:id="16">
    <w:p w14:paraId="08E3DD07" w14:textId="7246060F" w:rsidR="00CE42F1" w:rsidRPr="00207F53" w:rsidRDefault="00CE42F1" w:rsidP="00F06491">
      <w:pPr>
        <w:pStyle w:val="FootnoteText"/>
      </w:pPr>
      <w:r w:rsidRPr="00207F53">
        <w:rPr>
          <w:rStyle w:val="FootnoteReference"/>
        </w:rPr>
        <w:footnoteRef/>
      </w:r>
      <w:r w:rsidRPr="00207F53">
        <w:t xml:space="preserve"> S</w:t>
      </w:r>
      <w:r w:rsidRPr="00207F53">
        <w:rPr>
          <w:i/>
          <w:iCs/>
        </w:rPr>
        <w:t>ee, e.g.,</w:t>
      </w:r>
      <w:r w:rsidRPr="00207F53">
        <w:t xml:space="preserve"> </w:t>
      </w:r>
      <w:r w:rsidRPr="00207F53">
        <w:rPr>
          <w:smallCaps/>
        </w:rPr>
        <w:t>Colin Mayer</w:t>
      </w:r>
      <w:r w:rsidRPr="00207F53">
        <w:t xml:space="preserve">, </w:t>
      </w:r>
      <w:r w:rsidRPr="00207F53">
        <w:rPr>
          <w:smallCaps/>
        </w:rPr>
        <w:t>Prosperity</w:t>
      </w:r>
      <w:r w:rsidRPr="00207F53">
        <w:t xml:space="preserve"> (2018). The seminal defense of </w:t>
      </w:r>
      <w:proofErr w:type="spellStart"/>
      <w:r w:rsidRPr="00207F53">
        <w:t>stakeholderism</w:t>
      </w:r>
      <w:proofErr w:type="spellEnd"/>
      <w:r w:rsidRPr="00207F53">
        <w:t xml:space="preserve"> in management literature is </w:t>
      </w:r>
      <w:r w:rsidRPr="00207F53">
        <w:rPr>
          <w:smallCaps/>
        </w:rPr>
        <w:t>R. Edward Freeman</w:t>
      </w:r>
      <w:r w:rsidRPr="00207F53">
        <w:t xml:space="preserve">, </w:t>
      </w:r>
      <w:r w:rsidRPr="00207F53">
        <w:rPr>
          <w:smallCaps/>
        </w:rPr>
        <w:t>Strategic Management: A Stakeholder Approach</w:t>
      </w:r>
      <w:r w:rsidRPr="00207F53">
        <w:t xml:space="preserve"> 1 (1984)</w:t>
      </w:r>
      <w:r w:rsidRPr="00207F53">
        <w:rPr>
          <w:rFonts w:asciiTheme="majorBidi" w:eastAsia="SimHei" w:hAnsiTheme="majorBidi" w:cstheme="majorBidi"/>
          <w:szCs w:val="24"/>
        </w:rPr>
        <w:t>.</w:t>
      </w:r>
      <w:r w:rsidRPr="00207F53">
        <w:t xml:space="preserve"> </w:t>
      </w:r>
    </w:p>
  </w:footnote>
  <w:footnote w:id="17">
    <w:p w14:paraId="28A30520" w14:textId="2EE2B61C" w:rsidR="00CE42F1" w:rsidRPr="00207F53" w:rsidRDefault="00CE42F1" w:rsidP="003131E0">
      <w:pPr>
        <w:pStyle w:val="FootnoteText"/>
      </w:pPr>
      <w:r w:rsidRPr="00207F53">
        <w:rPr>
          <w:rStyle w:val="FootnoteReference"/>
        </w:rPr>
        <w:footnoteRef/>
      </w:r>
      <w:r w:rsidRPr="00207F53">
        <w:t xml:space="preserve"> </w:t>
      </w:r>
      <w:r w:rsidRPr="00207F53">
        <w:rPr>
          <w:i/>
          <w:iCs/>
        </w:rPr>
        <w:t>See, e.g.</w:t>
      </w:r>
      <w:r w:rsidRPr="00207F53">
        <w:t xml:space="preserve">, </w:t>
      </w:r>
      <w:r w:rsidRPr="00207F53">
        <w:rPr>
          <w:smallCaps/>
        </w:rPr>
        <w:t>Stout</w:t>
      </w:r>
      <w:r w:rsidRPr="00207F53">
        <w:t xml:space="preserve">, </w:t>
      </w:r>
      <w:r w:rsidRPr="00207F53">
        <w:rPr>
          <w:rFonts w:asciiTheme="majorBidi" w:eastAsia="SimHei" w:hAnsiTheme="majorBidi" w:cstheme="majorBidi"/>
          <w:i/>
          <w:iCs/>
        </w:rPr>
        <w:t>supra</w:t>
      </w:r>
      <w:r w:rsidRPr="00207F53">
        <w:rPr>
          <w:rFonts w:asciiTheme="majorBidi" w:eastAsia="SimHei" w:hAnsiTheme="majorBidi" w:cstheme="majorBidi"/>
        </w:rPr>
        <w:t xml:space="preserve"> note </w:t>
      </w:r>
      <w:r w:rsidRPr="00207F53">
        <w:rPr>
          <w:rFonts w:asciiTheme="majorBidi" w:eastAsia="SimHei" w:hAnsiTheme="majorBidi" w:cstheme="majorBidi"/>
        </w:rPr>
        <w:fldChar w:fldCharType="begin"/>
      </w:r>
      <w:r w:rsidRPr="00207F53">
        <w:rPr>
          <w:rFonts w:asciiTheme="majorBidi" w:eastAsia="SimHei" w:hAnsiTheme="majorBidi" w:cstheme="majorBidi"/>
        </w:rPr>
        <w:instrText xml:space="preserve"> NOTEREF _Ref47660978 \h  \* MERGEFORMAT </w:instrText>
      </w:r>
      <w:r w:rsidRPr="00207F53">
        <w:rPr>
          <w:rFonts w:asciiTheme="majorBidi" w:eastAsia="SimHei" w:hAnsiTheme="majorBidi" w:cstheme="majorBidi"/>
        </w:rPr>
      </w:r>
      <w:r w:rsidRPr="00207F53">
        <w:rPr>
          <w:rFonts w:asciiTheme="majorBidi" w:eastAsia="SimHei" w:hAnsiTheme="majorBidi" w:cstheme="majorBidi"/>
        </w:rPr>
        <w:fldChar w:fldCharType="separate"/>
      </w:r>
      <w:r w:rsidR="00581B6B">
        <w:rPr>
          <w:rFonts w:asciiTheme="majorBidi" w:eastAsia="SimHei" w:hAnsiTheme="majorBidi" w:cstheme="majorBidi"/>
        </w:rPr>
        <w:t>11</w:t>
      </w:r>
      <w:r w:rsidRPr="00207F53">
        <w:rPr>
          <w:rFonts w:asciiTheme="majorBidi" w:eastAsia="SimHei" w:hAnsiTheme="majorBidi" w:cstheme="majorBidi"/>
        </w:rPr>
        <w:fldChar w:fldCharType="end"/>
      </w:r>
      <w:r w:rsidRPr="00207F53">
        <w:t>, at 21 (“</w:t>
      </w:r>
      <w:r w:rsidRPr="00207F53">
        <w:rPr>
          <w:rFonts w:asciiTheme="majorBidi" w:eastAsia="SimHei" w:hAnsiTheme="majorBidi" w:cstheme="majorBidi"/>
        </w:rPr>
        <w:t>by the close of the millennium [… m]</w:t>
      </w:r>
      <w:proofErr w:type="spellStart"/>
      <w:r w:rsidRPr="00207F53">
        <w:rPr>
          <w:rFonts w:asciiTheme="majorBidi" w:eastAsia="SimHei" w:hAnsiTheme="majorBidi" w:cstheme="majorBidi"/>
        </w:rPr>
        <w:t>ost</w:t>
      </w:r>
      <w:proofErr w:type="spellEnd"/>
      <w:r w:rsidRPr="00207F53">
        <w:rPr>
          <w:rFonts w:asciiTheme="majorBidi" w:eastAsia="SimHei" w:hAnsiTheme="majorBidi" w:cstheme="majorBidi"/>
        </w:rPr>
        <w:t xml:space="preserve"> scholars, regulators and business leaders accepted without question that shareholder wealth maximization was the only proper goal of corporate governance”); </w:t>
      </w:r>
      <w:r w:rsidRPr="00207F53">
        <w:rPr>
          <w:i/>
        </w:rPr>
        <w:t>and</w:t>
      </w:r>
      <w:r w:rsidRPr="00207F53">
        <w:t xml:space="preserve"> Henry </w:t>
      </w:r>
      <w:proofErr w:type="spellStart"/>
      <w:r w:rsidRPr="00207F53">
        <w:t>Hansmann</w:t>
      </w:r>
      <w:proofErr w:type="spellEnd"/>
      <w:r w:rsidRPr="00207F53">
        <w:t xml:space="preserve"> &amp; </w:t>
      </w:r>
      <w:proofErr w:type="spellStart"/>
      <w:r w:rsidRPr="00207F53">
        <w:t>Reinier</w:t>
      </w:r>
      <w:proofErr w:type="spellEnd"/>
      <w:r w:rsidRPr="00207F53">
        <w:t xml:space="preserve"> </w:t>
      </w:r>
      <w:proofErr w:type="spellStart"/>
      <w:r w:rsidRPr="00207F53">
        <w:t>Kraakman</w:t>
      </w:r>
      <w:proofErr w:type="spellEnd"/>
      <w:r w:rsidRPr="00207F53">
        <w:t xml:space="preserve">, </w:t>
      </w:r>
      <w:r w:rsidRPr="00207F53">
        <w:rPr>
          <w:i/>
        </w:rPr>
        <w:t>The End of History for Corporate Law</w:t>
      </w:r>
      <w:r w:rsidRPr="00207F53">
        <w:t xml:space="preserve">, 89 </w:t>
      </w:r>
      <w:r w:rsidRPr="00207F53">
        <w:rPr>
          <w:smallCaps/>
        </w:rPr>
        <w:t>Geo. L. J.</w:t>
      </w:r>
      <w:r w:rsidRPr="00207F53">
        <w:t xml:space="preserve"> 439, 440 (2001) (“there is convergence on a consensus that the best means to this end (that is, the pursuit of aggregate social welfare) is to make corporate managers strongly accountable to shareholder interests and, at least in direct terms, only to those interests”).</w:t>
      </w:r>
    </w:p>
  </w:footnote>
  <w:footnote w:id="18">
    <w:p w14:paraId="11085D37" w14:textId="4A7112B5" w:rsidR="00CE42F1" w:rsidRPr="00207F53" w:rsidRDefault="00CE42F1" w:rsidP="003131E0">
      <w:pPr>
        <w:pStyle w:val="FootNote0"/>
      </w:pPr>
      <w:r w:rsidRPr="00207F53">
        <w:rPr>
          <w:rStyle w:val="FootnoteReference"/>
        </w:rPr>
        <w:footnoteRef/>
      </w:r>
      <w:r w:rsidRPr="00207F53">
        <w:t xml:space="preserve"> Business Roundtable, </w:t>
      </w:r>
      <w:r w:rsidRPr="00207F53">
        <w:rPr>
          <w:i/>
        </w:rPr>
        <w:t>Business Roundtable Redefines the Purpose of a Corporation to Promote “An Economy That Serves All Americans”</w:t>
      </w:r>
      <w:r w:rsidRPr="00207F53">
        <w:t xml:space="preserve"> (Aug. 19, 2019), </w:t>
      </w:r>
      <w:hyperlink r:id="rId2" w:history="1">
        <w:r w:rsidRPr="00207F53">
          <w:rPr>
            <w:rStyle w:val="Hyperlink"/>
          </w:rPr>
          <w:t>https://www.businessroundtable.org/business-roundtable-redefines-the-purpose-of-a-corporation-to-promote-an-economy-that-serves-all-americans</w:t>
        </w:r>
      </w:hyperlink>
      <w:r w:rsidRPr="00207F53">
        <w:t xml:space="preserve">. </w:t>
      </w:r>
    </w:p>
  </w:footnote>
  <w:footnote w:id="19">
    <w:p w14:paraId="08ECD07D" w14:textId="44651C3C" w:rsidR="00CE42F1" w:rsidRPr="00207F53" w:rsidRDefault="00CE42F1" w:rsidP="003131E0">
      <w:pPr>
        <w:pStyle w:val="FootNote0"/>
      </w:pPr>
      <w:r w:rsidRPr="00207F53">
        <w:rPr>
          <w:rStyle w:val="FootnoteReference"/>
        </w:rPr>
        <w:footnoteRef/>
      </w:r>
      <w:r w:rsidRPr="00207F53">
        <w:t xml:space="preserve"> </w:t>
      </w:r>
      <w:r w:rsidRPr="00207F53">
        <w:t xml:space="preserve">Business Roundtable, </w:t>
      </w:r>
      <w:r w:rsidRPr="00207F53">
        <w:rPr>
          <w:i/>
        </w:rPr>
        <w:t>Statement on the Purpose of a Corporation</w:t>
      </w:r>
      <w:r w:rsidRPr="00207F53">
        <w:t xml:space="preserve">, </w:t>
      </w:r>
      <w:r w:rsidRPr="00207F53">
        <w:rPr>
          <w:i/>
          <w:iCs/>
        </w:rPr>
        <w:t>supra</w:t>
      </w:r>
      <w:r w:rsidRPr="00207F53">
        <w:t xml:space="preserve"> note</w:t>
      </w:r>
      <w:r>
        <w:t xml:space="preserve"> </w:t>
      </w:r>
      <w:r>
        <w:fldChar w:fldCharType="begin"/>
      </w:r>
      <w:r>
        <w:instrText xml:space="preserve"> NOTEREF _Ref47771802 \h </w:instrText>
      </w:r>
      <w:r>
        <w:fldChar w:fldCharType="separate"/>
      </w:r>
      <w:r w:rsidR="00581B6B">
        <w:t>2</w:t>
      </w:r>
      <w:r>
        <w:fldChar w:fldCharType="end"/>
      </w:r>
      <w:r w:rsidRPr="00207F53">
        <w:t>.</w:t>
      </w:r>
    </w:p>
  </w:footnote>
  <w:footnote w:id="20">
    <w:p w14:paraId="00070628" w14:textId="75F8F6BF" w:rsidR="00CE42F1" w:rsidRPr="00207F53" w:rsidRDefault="00CE42F1" w:rsidP="003131E0">
      <w:pPr>
        <w:pStyle w:val="FootNote0"/>
      </w:pPr>
      <w:r w:rsidRPr="00207F53">
        <w:rPr>
          <w:rStyle w:val="FootnoteReference"/>
        </w:rPr>
        <w:footnoteRef/>
      </w:r>
      <w:r w:rsidRPr="00207F53">
        <w:t xml:space="preserve"> </w:t>
      </w:r>
      <w:r w:rsidRPr="00207F53">
        <w:rPr>
          <w:i/>
        </w:rPr>
        <w:t>See, e.g.</w:t>
      </w:r>
      <w:r w:rsidRPr="00207F53">
        <w:t xml:space="preserve">, Alan Murray, </w:t>
      </w:r>
      <w:r w:rsidRPr="00207F53">
        <w:rPr>
          <w:i/>
        </w:rPr>
        <w:t>A New Purpose for the Corporation</w:t>
      </w:r>
      <w:r w:rsidRPr="00207F53">
        <w:t xml:space="preserve">, </w:t>
      </w:r>
      <w:r w:rsidRPr="00207F53">
        <w:rPr>
          <w:smallCaps/>
        </w:rPr>
        <w:t>Fortune</w:t>
      </w:r>
      <w:r w:rsidRPr="00207F53">
        <w:t xml:space="preserve"> (Sept. 2019), </w:t>
      </w:r>
      <w:hyperlink r:id="rId3" w:history="1">
        <w:r w:rsidRPr="00207F53">
          <w:rPr>
            <w:rStyle w:val="Hyperlink"/>
          </w:rPr>
          <w:t>https://fortune.com/longform/business-roundtable-ceos-corporations-purpose/</w:t>
        </w:r>
      </w:hyperlink>
      <w:r w:rsidRPr="00207F53">
        <w:t xml:space="preserve"> (“the [Business Roundtable] announced a new purpose for the corporation and tossed the old one into the dustbin”); David </w:t>
      </w:r>
      <w:proofErr w:type="spellStart"/>
      <w:r w:rsidRPr="00207F53">
        <w:t>Gelles</w:t>
      </w:r>
      <w:proofErr w:type="spellEnd"/>
      <w:r w:rsidRPr="00207F53">
        <w:t xml:space="preserve"> &amp; David </w:t>
      </w:r>
      <w:proofErr w:type="spellStart"/>
      <w:r w:rsidRPr="00207F53">
        <w:t>Yaffe-Befany</w:t>
      </w:r>
      <w:proofErr w:type="spellEnd"/>
      <w:r w:rsidRPr="00207F53">
        <w:t xml:space="preserve">, </w:t>
      </w:r>
      <w:r w:rsidRPr="00207F53">
        <w:rPr>
          <w:i/>
        </w:rPr>
        <w:t>Feeling Heat, C.E.O.s Pledge New Priorities</w:t>
      </w:r>
      <w:r w:rsidRPr="00207F53">
        <w:t xml:space="preserve">, </w:t>
      </w:r>
      <w:r w:rsidRPr="00207F53">
        <w:rPr>
          <w:smallCaps/>
        </w:rPr>
        <w:t xml:space="preserve">N.Y. Times, </w:t>
      </w:r>
      <w:r w:rsidRPr="00207F53">
        <w:t xml:space="preserve">Aug. 19, 2019 at A1 (stating that the new statement “break[s] with decades of long-held corporate orthodoxy”). </w:t>
      </w:r>
    </w:p>
  </w:footnote>
  <w:footnote w:id="21">
    <w:p w14:paraId="2883EF98" w14:textId="1C5599D0" w:rsidR="00CE42F1" w:rsidRPr="00207F53" w:rsidRDefault="00CE42F1" w:rsidP="003131E0">
      <w:pPr>
        <w:pStyle w:val="FootNote0"/>
      </w:pPr>
      <w:r w:rsidRPr="00207F53">
        <w:rPr>
          <w:rStyle w:val="FootnoteReference"/>
        </w:rPr>
        <w:footnoteRef/>
      </w:r>
      <w:r w:rsidRPr="00207F53">
        <w:t xml:space="preserve"> </w:t>
      </w:r>
      <w:r w:rsidRPr="00207F53">
        <w:t xml:space="preserve">Davos Manifesto, </w:t>
      </w:r>
      <w:r w:rsidRPr="00207F53">
        <w:rPr>
          <w:i/>
          <w:iCs/>
        </w:rPr>
        <w:t>supra</w:t>
      </w:r>
      <w:r w:rsidRPr="00207F53">
        <w:t xml:space="preserve"> note </w:t>
      </w:r>
      <w:r w:rsidRPr="00207F53">
        <w:fldChar w:fldCharType="begin"/>
      </w:r>
      <w:r w:rsidRPr="00207F53">
        <w:instrText xml:space="preserve"> NOTEREF _Ref47652549 \h  \* MERGEFORMAT </w:instrText>
      </w:r>
      <w:r w:rsidRPr="00207F53">
        <w:fldChar w:fldCharType="separate"/>
      </w:r>
      <w:r w:rsidR="00581B6B">
        <w:t>3</w:t>
      </w:r>
      <w:r w:rsidRPr="00207F53">
        <w:fldChar w:fldCharType="end"/>
      </w:r>
      <w:r w:rsidRPr="00207F53">
        <w:t xml:space="preserve"> (“[t]he purpose of a company is to engage all its stakeholders in shared and sustained value creation. In creating such value, a company serves not only its shareholders, but all its stakeholders…”). </w:t>
      </w:r>
    </w:p>
  </w:footnote>
  <w:footnote w:id="22">
    <w:p w14:paraId="688B637F" w14:textId="77777777" w:rsidR="00CE42F1" w:rsidRPr="00207F53" w:rsidRDefault="00CE42F1" w:rsidP="003131E0">
      <w:pPr>
        <w:pStyle w:val="FootNote0"/>
      </w:pPr>
      <w:r w:rsidRPr="00207F53">
        <w:rPr>
          <w:rStyle w:val="FootnoteReference"/>
        </w:rPr>
        <w:footnoteRef/>
      </w:r>
      <w:r w:rsidRPr="00207F53">
        <w:t xml:space="preserve"> The Reporter discussed this possibility in an NYU roundtable on December 6, 2019.</w:t>
      </w:r>
    </w:p>
  </w:footnote>
  <w:footnote w:id="23">
    <w:p w14:paraId="4674FF57" w14:textId="1AFA82BA" w:rsidR="00CE42F1" w:rsidRPr="00207F53" w:rsidRDefault="00CE42F1" w:rsidP="003131E0">
      <w:pPr>
        <w:pStyle w:val="FootNote0"/>
      </w:pPr>
      <w:r w:rsidRPr="00207F53">
        <w:rPr>
          <w:rStyle w:val="FootnoteReference"/>
        </w:rPr>
        <w:footnoteRef/>
      </w:r>
      <w:r w:rsidRPr="00207F53">
        <w:t xml:space="preserve"> Martin Lipton, Steven A. Rosenblum, &amp; </w:t>
      </w:r>
      <w:proofErr w:type="spellStart"/>
      <w:r w:rsidRPr="00207F53">
        <w:t>Karessa</w:t>
      </w:r>
      <w:proofErr w:type="spellEnd"/>
      <w:r w:rsidRPr="00207F53">
        <w:t xml:space="preserve"> L. Cain, </w:t>
      </w:r>
      <w:r w:rsidRPr="00207F53">
        <w:rPr>
          <w:i/>
        </w:rPr>
        <w:t>Thoughts for Boards of Directors in 2020</w:t>
      </w:r>
      <w:r w:rsidRPr="00207F53">
        <w:t xml:space="preserve">, </w:t>
      </w:r>
      <w:r w:rsidRPr="00207F53">
        <w:rPr>
          <w:smallCaps/>
        </w:rPr>
        <w:t>Harv. L. Sch. F. on Corp. Governance</w:t>
      </w:r>
      <w:r w:rsidRPr="00207F53">
        <w:t xml:space="preserve"> (Dec. 10, 2019), </w:t>
      </w:r>
      <w:hyperlink r:id="rId4" w:history="1">
        <w:r w:rsidRPr="00207F53">
          <w:rPr>
            <w:rStyle w:val="Hyperlink"/>
          </w:rPr>
          <w:t>https://corpgov.law.harvard.edu/2019/12/10/thoughts-for-boards-of-directors-in-2020/</w:t>
        </w:r>
      </w:hyperlink>
      <w:r w:rsidRPr="00207F53">
        <w:t xml:space="preserve">. </w:t>
      </w:r>
    </w:p>
  </w:footnote>
  <w:footnote w:id="24">
    <w:p w14:paraId="11747E48" w14:textId="6D2FA470" w:rsidR="00CE42F1" w:rsidRPr="00207F53" w:rsidRDefault="00CE42F1" w:rsidP="003131E0">
      <w:pPr>
        <w:rPr>
          <w:rFonts w:eastAsia="Calibri" w:cs="Arial"/>
          <w:sz w:val="20"/>
        </w:rPr>
      </w:pPr>
      <w:r w:rsidRPr="00207F53">
        <w:rPr>
          <w:rStyle w:val="FootnoteReference"/>
          <w:sz w:val="20"/>
        </w:rPr>
        <w:footnoteRef/>
      </w:r>
      <w:r w:rsidRPr="00207F53">
        <w:rPr>
          <w:sz w:val="20"/>
        </w:rPr>
        <w:t xml:space="preserve"> </w:t>
      </w:r>
      <w:r w:rsidRPr="00207F53">
        <w:rPr>
          <w:i/>
          <w:iCs/>
          <w:sz w:val="20"/>
        </w:rPr>
        <w:t>See</w:t>
      </w:r>
      <w:r w:rsidRPr="00207F53">
        <w:rPr>
          <w:sz w:val="20"/>
        </w:rPr>
        <w:t xml:space="preserve"> </w:t>
      </w:r>
      <w:r w:rsidRPr="00207F53">
        <w:rPr>
          <w:rFonts w:asciiTheme="majorBidi" w:hAnsiTheme="majorBidi" w:cstheme="majorBidi"/>
          <w:sz w:val="20"/>
        </w:rPr>
        <w:t xml:space="preserve">Martin Lipton, </w:t>
      </w:r>
      <w:r w:rsidRPr="00207F53">
        <w:rPr>
          <w:rFonts w:asciiTheme="majorBidi" w:hAnsiTheme="majorBidi" w:cstheme="majorBidi"/>
          <w:i/>
          <w:iCs/>
          <w:sz w:val="20"/>
        </w:rPr>
        <w:t>Spotlight on Boards</w:t>
      </w:r>
      <w:r w:rsidRPr="00207F53">
        <w:rPr>
          <w:rFonts w:asciiTheme="majorBidi" w:hAnsiTheme="majorBidi" w:cstheme="majorBidi"/>
          <w:sz w:val="20"/>
        </w:rPr>
        <w:t xml:space="preserve">, </w:t>
      </w:r>
      <w:r w:rsidRPr="00207F53">
        <w:rPr>
          <w:rFonts w:asciiTheme="majorBidi" w:hAnsiTheme="majorBidi" w:cstheme="majorBidi"/>
          <w:smallCaps/>
          <w:sz w:val="20"/>
        </w:rPr>
        <w:t>Harv. L. Sch. F. on Corp. Governance</w:t>
      </w:r>
      <w:r w:rsidRPr="00207F53">
        <w:rPr>
          <w:rFonts w:asciiTheme="majorBidi" w:hAnsiTheme="majorBidi" w:cstheme="majorBidi"/>
          <w:sz w:val="20"/>
        </w:rPr>
        <w:t xml:space="preserve"> (Jul. 18, 2020), </w:t>
      </w:r>
      <w:r w:rsidRPr="00207F53">
        <w:rPr>
          <w:rFonts w:eastAsia="Calibri" w:cs="Arial"/>
          <w:sz w:val="20"/>
        </w:rPr>
        <w:t>https://corpgov.law.harvard.edu/2020/07/18/spotlight-on-boards-7/.</w:t>
      </w:r>
    </w:p>
  </w:footnote>
  <w:footnote w:id="25">
    <w:p w14:paraId="3D1D432F" w14:textId="1F841D4C" w:rsidR="00CE42F1" w:rsidRPr="00207F53" w:rsidRDefault="00CE42F1" w:rsidP="003131E0">
      <w:pPr>
        <w:pStyle w:val="FootNote0"/>
      </w:pPr>
      <w:r w:rsidRPr="00207F53">
        <w:rPr>
          <w:rStyle w:val="FootnoteReference"/>
        </w:rPr>
        <w:footnoteRef/>
      </w:r>
      <w:r w:rsidRPr="00207F53">
        <w:t xml:space="preserve"> </w:t>
      </w:r>
      <w:r w:rsidRPr="00207F53">
        <w:t xml:space="preserve">For a recent defense of </w:t>
      </w:r>
      <w:proofErr w:type="spellStart"/>
      <w:r w:rsidRPr="00207F53">
        <w:t>stakeholderism</w:t>
      </w:r>
      <w:proofErr w:type="spellEnd"/>
      <w:r w:rsidRPr="00207F53">
        <w:t xml:space="preserve">, </w:t>
      </w:r>
      <w:r w:rsidRPr="00207F53">
        <w:rPr>
          <w:i/>
          <w:iCs/>
        </w:rPr>
        <w:t xml:space="preserve">see </w:t>
      </w:r>
      <w:r w:rsidRPr="00207F53">
        <w:rPr>
          <w:smallCaps/>
        </w:rPr>
        <w:t>Mayer</w:t>
      </w:r>
      <w:r w:rsidRPr="00207F53">
        <w:t xml:space="preserve">, </w:t>
      </w:r>
      <w:r w:rsidRPr="00207F53">
        <w:rPr>
          <w:i/>
          <w:iCs/>
        </w:rPr>
        <w:t>supra</w:t>
      </w:r>
      <w:r w:rsidRPr="00207F53">
        <w:t xml:space="preserve"> note </w:t>
      </w:r>
      <w:r w:rsidRPr="00207F53">
        <w:fldChar w:fldCharType="begin"/>
      </w:r>
      <w:r w:rsidRPr="00207F53">
        <w:instrText xml:space="preserve"> NOTEREF _Ref47686940 \h  \* MERGEFORMAT </w:instrText>
      </w:r>
      <w:r w:rsidRPr="00207F53">
        <w:fldChar w:fldCharType="separate"/>
      </w:r>
      <w:r w:rsidR="00581B6B">
        <w:t>12</w:t>
      </w:r>
      <w:r w:rsidRPr="00207F53">
        <w:fldChar w:fldCharType="end"/>
      </w:r>
      <w:r w:rsidRPr="00207F53">
        <w:t>, at</w:t>
      </w:r>
      <w:r w:rsidRPr="00207F53">
        <w:rPr>
          <w:smallCaps/>
        </w:rPr>
        <w:t xml:space="preserve"> </w:t>
      </w:r>
      <w:r w:rsidRPr="00207F53">
        <w:t>39.</w:t>
      </w:r>
    </w:p>
  </w:footnote>
  <w:footnote w:id="26">
    <w:p w14:paraId="76F4C5B9" w14:textId="74E1F52F" w:rsidR="00CE42F1" w:rsidRPr="00F52048" w:rsidRDefault="00CE42F1" w:rsidP="00DB1B47">
      <w:pPr>
        <w:pStyle w:val="FootNote0"/>
      </w:pPr>
      <w:r w:rsidRPr="00207F53">
        <w:rPr>
          <w:rStyle w:val="FootnoteReference"/>
        </w:rPr>
        <w:footnoteRef/>
      </w:r>
      <w:r w:rsidRPr="00207F53">
        <w:t xml:space="preserve"> </w:t>
      </w:r>
      <w:r>
        <w:t xml:space="preserve">Business Roundtable, </w:t>
      </w:r>
      <w:r>
        <w:rPr>
          <w:i/>
          <w:iCs/>
        </w:rPr>
        <w:t>Statement</w:t>
      </w:r>
      <w:r>
        <w:t>,</w:t>
      </w:r>
      <w:r w:rsidRPr="00332FE2">
        <w:rPr>
          <w:i/>
        </w:rPr>
        <w:t xml:space="preserve"> </w:t>
      </w:r>
      <w:r>
        <w:rPr>
          <w:i/>
          <w:iCs/>
        </w:rPr>
        <w:t xml:space="preserve">supra </w:t>
      </w:r>
      <w:r>
        <w:t xml:space="preserve">note </w:t>
      </w:r>
      <w:r>
        <w:fldChar w:fldCharType="begin"/>
      </w:r>
      <w:r>
        <w:instrText xml:space="preserve"> NOTEREF _Ref47771802 \h </w:instrText>
      </w:r>
      <w:r>
        <w:fldChar w:fldCharType="separate"/>
      </w:r>
      <w:r w:rsidR="00581B6B">
        <w:t>2</w:t>
      </w:r>
      <w:r>
        <w:fldChar w:fldCharType="end"/>
      </w:r>
      <w:r>
        <w:t>.</w:t>
      </w:r>
    </w:p>
  </w:footnote>
  <w:footnote w:id="27">
    <w:p w14:paraId="27523C8D" w14:textId="77777777" w:rsidR="00CE42F1" w:rsidRPr="00207F53" w:rsidRDefault="00CE42F1" w:rsidP="003131E0">
      <w:pPr>
        <w:pStyle w:val="FootNote0"/>
      </w:pPr>
      <w:r w:rsidRPr="00207F53">
        <w:rPr>
          <w:rStyle w:val="FootnoteReference"/>
        </w:rPr>
        <w:footnoteRef/>
      </w:r>
      <w:r w:rsidRPr="00207F53">
        <w:t xml:space="preserve"> </w:t>
      </w:r>
      <w:r w:rsidRPr="00207F53">
        <w:rPr>
          <w:i/>
          <w:iCs/>
        </w:rPr>
        <w:t>See</w:t>
      </w:r>
      <w:r w:rsidRPr="00207F53">
        <w:t xml:space="preserve"> </w:t>
      </w:r>
      <w:r w:rsidRPr="00207F53">
        <w:rPr>
          <w:i/>
          <w:iCs/>
        </w:rPr>
        <w:t>infra</w:t>
      </w:r>
      <w:r w:rsidRPr="00207F53">
        <w:t xml:space="preserve"> section III.A.</w:t>
      </w:r>
    </w:p>
  </w:footnote>
  <w:footnote w:id="28">
    <w:p w14:paraId="18E9A7E5" w14:textId="49A59BA5" w:rsidR="00CE42F1" w:rsidRPr="00207F53" w:rsidRDefault="00CE42F1" w:rsidP="003131E0">
      <w:pPr>
        <w:pStyle w:val="FootNote0"/>
      </w:pPr>
      <w:r w:rsidRPr="00207F53">
        <w:rPr>
          <w:rStyle w:val="FootnoteReference"/>
        </w:rPr>
        <w:footnoteRef/>
      </w:r>
      <w:r w:rsidRPr="00207F53">
        <w:t xml:space="preserve"> </w:t>
      </w:r>
      <w:r w:rsidRPr="00207F53">
        <w:rPr>
          <w:i/>
          <w:iCs/>
        </w:rPr>
        <w:t>See infra</w:t>
      </w:r>
      <w:r w:rsidRPr="00207F53">
        <w:t xml:space="preserve"> note </w:t>
      </w:r>
      <w:r w:rsidRPr="00207F53">
        <w:fldChar w:fldCharType="begin"/>
      </w:r>
      <w:r w:rsidRPr="00207F53">
        <w:instrText xml:space="preserve"> NOTEREF _Ref46829135 \h  \* MERGEFORMAT </w:instrText>
      </w:r>
      <w:r w:rsidRPr="00207F53">
        <w:fldChar w:fldCharType="separate"/>
      </w:r>
      <w:r w:rsidR="00581B6B">
        <w:t>65</w:t>
      </w:r>
      <w:r w:rsidRPr="00207F53">
        <w:fldChar w:fldCharType="end"/>
      </w:r>
      <w:r w:rsidRPr="00207F53">
        <w:t xml:space="preserve"> and accompanying text.</w:t>
      </w:r>
    </w:p>
  </w:footnote>
  <w:footnote w:id="29">
    <w:p w14:paraId="56DAB848" w14:textId="25A56D57" w:rsidR="00CE42F1" w:rsidRPr="00207F53" w:rsidRDefault="00CE42F1" w:rsidP="003131E0">
      <w:pPr>
        <w:pStyle w:val="FootNote0"/>
      </w:pPr>
      <w:r w:rsidRPr="00207F53">
        <w:rPr>
          <w:rStyle w:val="FootnoteReference"/>
        </w:rPr>
        <w:footnoteRef/>
      </w:r>
      <w:r w:rsidRPr="00207F53">
        <w:t xml:space="preserve"> Margaret M. Blair &amp; Lynn A. Stout, </w:t>
      </w:r>
      <w:r w:rsidRPr="00207F53">
        <w:rPr>
          <w:i/>
        </w:rPr>
        <w:t>A Team Production Theory of Corporate Law</w:t>
      </w:r>
      <w:r w:rsidRPr="00207F53">
        <w:t xml:space="preserve">, 85 </w:t>
      </w:r>
      <w:r w:rsidRPr="00207F53">
        <w:rPr>
          <w:smallCaps/>
        </w:rPr>
        <w:t>Va. L. Rev</w:t>
      </w:r>
      <w:r w:rsidRPr="00207F53">
        <w:t>. 247, 251 (1999) (arguing that the board of directors should “coordinate the activities of the team members [that is, shareholders and various groups of stakeholders], allocate the resulting production, and mediate disputes among team members over that allocation.”).</w:t>
      </w:r>
    </w:p>
  </w:footnote>
  <w:footnote w:id="30">
    <w:p w14:paraId="1FDC95EC" w14:textId="7150ECE5" w:rsidR="00CE42F1" w:rsidRPr="00207F53" w:rsidRDefault="00CE42F1" w:rsidP="003131E0">
      <w:pPr>
        <w:pStyle w:val="FootNote0"/>
      </w:pPr>
      <w:r w:rsidRPr="00207F53">
        <w:rPr>
          <w:rStyle w:val="FootnoteReference"/>
        </w:rPr>
        <w:footnoteRef/>
      </w:r>
      <w:r w:rsidRPr="00207F53">
        <w:t xml:space="preserve"> Colin Mayer, </w:t>
      </w:r>
      <w:r w:rsidRPr="00207F53">
        <w:rPr>
          <w:i/>
          <w:iCs/>
        </w:rPr>
        <w:t>Ownership, Agency, and Trusteeship</w:t>
      </w:r>
      <w:r w:rsidRPr="00207F53">
        <w:t xml:space="preserve">, ECGI Law Working Paper No. 488 (2020), available at </w:t>
      </w:r>
      <w:hyperlink r:id="rId5" w:history="1">
        <w:r w:rsidRPr="00207F53">
          <w:rPr>
            <w:rStyle w:val="Hyperlink"/>
          </w:rPr>
          <w:t>https://papers.ssrn.com/sol3/papers.cfm?abstract_id=3522269</w:t>
        </w:r>
      </w:hyperlink>
      <w:r w:rsidRPr="00207F53">
        <w:t>.</w:t>
      </w:r>
    </w:p>
  </w:footnote>
  <w:footnote w:id="31">
    <w:p w14:paraId="6C704A8F" w14:textId="77777777" w:rsidR="00CE42F1" w:rsidRPr="00207F53" w:rsidRDefault="00CE42F1" w:rsidP="003131E0">
      <w:pPr>
        <w:pStyle w:val="FootNote0"/>
      </w:pPr>
      <w:r w:rsidRPr="00207F53">
        <w:rPr>
          <w:rStyle w:val="FootnoteReference"/>
        </w:rPr>
        <w:footnoteRef/>
      </w:r>
      <w:r w:rsidRPr="00207F53">
        <w:t xml:space="preserve"> For example, </w:t>
      </w:r>
      <w:r w:rsidRPr="00207F53">
        <w:rPr>
          <w:rFonts w:eastAsia="SimHei"/>
        </w:rPr>
        <w:t xml:space="preserve">the 2006 UK Companies Act lists some stakeholder-related factors that directors should consider for the success of the company and the interests of its shareholders. </w:t>
      </w:r>
      <w:r w:rsidRPr="00207F53">
        <w:t xml:space="preserve">Companies Act (UK) §172(1). </w:t>
      </w:r>
    </w:p>
  </w:footnote>
  <w:footnote w:id="32">
    <w:p w14:paraId="2AE94942" w14:textId="478AC237" w:rsidR="00CE42F1" w:rsidRPr="00207F53" w:rsidRDefault="00CE42F1" w:rsidP="003131E0">
      <w:pPr>
        <w:pStyle w:val="FootnoteText"/>
      </w:pPr>
      <w:r w:rsidRPr="00207F53">
        <w:rPr>
          <w:rStyle w:val="FootnoteReference"/>
        </w:rPr>
        <w:footnoteRef/>
      </w:r>
      <w:r w:rsidRPr="00207F53">
        <w:t xml:space="preserve"> </w:t>
      </w:r>
      <w:r w:rsidRPr="00207F53">
        <w:rPr>
          <w:i/>
        </w:rPr>
        <w:t>See</w:t>
      </w:r>
      <w:r>
        <w:rPr>
          <w:i/>
        </w:rPr>
        <w:t xml:space="preserve">, e.g., </w:t>
      </w:r>
      <w:r w:rsidRPr="00207F53">
        <w:t xml:space="preserve">Leo E. </w:t>
      </w:r>
      <w:proofErr w:type="spellStart"/>
      <w:r w:rsidRPr="00207F53">
        <w:t>Strine</w:t>
      </w:r>
      <w:proofErr w:type="spellEnd"/>
      <w:r w:rsidRPr="00207F53">
        <w:t>, Jr</w:t>
      </w:r>
      <w:r w:rsidRPr="00207F53">
        <w:rPr>
          <w:i/>
        </w:rPr>
        <w:t>., The Dangers of Denial: The Need for a Clear-Eyed Understanding of the Power and Accountability Structure Established by the Delaware General Corporation Law</w:t>
      </w:r>
      <w:r w:rsidRPr="00207F53">
        <w:t xml:space="preserve">, 50 </w:t>
      </w:r>
      <w:r w:rsidRPr="00207F53">
        <w:rPr>
          <w:smallCaps/>
        </w:rPr>
        <w:t>Wake Forest L. Rev</w:t>
      </w:r>
      <w:r w:rsidRPr="00207F53">
        <w:t xml:space="preserve">. 761, 768 (2015); Jill E. Fisch &amp; Steven Davidoff Solomon, </w:t>
      </w:r>
      <w:r w:rsidRPr="00207F53">
        <w:rPr>
          <w:i/>
          <w:iCs/>
        </w:rPr>
        <w:t>Should Corporations have a Purpose?</w:t>
      </w:r>
      <w:r w:rsidRPr="00207F53">
        <w:t xml:space="preserve"> 101, 123-27 (ECGI working paper, 2020), available at https://ssrn.com/abstract=3561164; Lucian A. </w:t>
      </w:r>
      <w:proofErr w:type="spellStart"/>
      <w:r w:rsidRPr="00207F53">
        <w:t>Bebchuk</w:t>
      </w:r>
      <w:proofErr w:type="spellEnd"/>
      <w:r w:rsidRPr="00207F53">
        <w:t xml:space="preserve"> &amp; Roberto </w:t>
      </w:r>
      <w:proofErr w:type="spellStart"/>
      <w:r w:rsidRPr="00207F53">
        <w:t>Tallarita</w:t>
      </w:r>
      <w:proofErr w:type="spellEnd"/>
      <w:r w:rsidRPr="00207F53">
        <w:t xml:space="preserve">, </w:t>
      </w:r>
      <w:r w:rsidRPr="00207F53">
        <w:rPr>
          <w:i/>
          <w:iCs/>
        </w:rPr>
        <w:t>The Illusory Promise of Stakeholder Governance</w:t>
      </w:r>
      <w:r w:rsidRPr="00207F53">
        <w:t xml:space="preserve">, 106 </w:t>
      </w:r>
      <w:r w:rsidRPr="00207F53">
        <w:rPr>
          <w:smallCaps/>
        </w:rPr>
        <w:t>Cornell L. Rev</w:t>
      </w:r>
      <w:r w:rsidRPr="00207F53">
        <w:t>. (forthcoming 2020).</w:t>
      </w:r>
    </w:p>
  </w:footnote>
  <w:footnote w:id="33">
    <w:p w14:paraId="52AC45D0" w14:textId="77777777" w:rsidR="00CE42F1" w:rsidRPr="00207F53" w:rsidRDefault="00CE42F1" w:rsidP="003131E0">
      <w:pPr>
        <w:pStyle w:val="FootnoteText"/>
      </w:pPr>
      <w:r w:rsidRPr="00207F53">
        <w:rPr>
          <w:rStyle w:val="FootnoteReference"/>
        </w:rPr>
        <w:footnoteRef/>
      </w:r>
      <w:r w:rsidRPr="00207F53">
        <w:t xml:space="preserve"> </w:t>
      </w:r>
      <w:r w:rsidRPr="00207F53">
        <w:rPr>
          <w:i/>
          <w:iCs/>
        </w:rPr>
        <w:t>See, e.g.,</w:t>
      </w:r>
      <w:r w:rsidRPr="00207F53">
        <w:t xml:space="preserve"> </w:t>
      </w:r>
      <w:proofErr w:type="spellStart"/>
      <w:r w:rsidRPr="00207F53">
        <w:t>Equilar</w:t>
      </w:r>
      <w:proofErr w:type="spellEnd"/>
      <w:r w:rsidRPr="00207F53">
        <w:t xml:space="preserve">, </w:t>
      </w:r>
      <w:r w:rsidRPr="00207F53">
        <w:rPr>
          <w:i/>
          <w:iCs/>
        </w:rPr>
        <w:t>CEO Pay Trends</w:t>
      </w:r>
      <w:r w:rsidRPr="00207F53">
        <w:t xml:space="preserve"> 18 (2018); Meridian Compensation Partners, </w:t>
      </w:r>
      <w:r w:rsidRPr="00207F53">
        <w:rPr>
          <w:i/>
          <w:iCs/>
        </w:rPr>
        <w:t>Trends and Development in Executive Compensation</w:t>
      </w:r>
      <w:r w:rsidRPr="00207F53">
        <w:t xml:space="preserve"> 21 (2018). </w:t>
      </w:r>
    </w:p>
  </w:footnote>
  <w:footnote w:id="34">
    <w:p w14:paraId="35FF186D" w14:textId="77777777" w:rsidR="00CE42F1" w:rsidRPr="00207F53" w:rsidRDefault="00CE42F1" w:rsidP="003131E0">
      <w:pPr>
        <w:pStyle w:val="FootnoteText"/>
      </w:pPr>
      <w:r w:rsidRPr="00207F53">
        <w:rPr>
          <w:rStyle w:val="FootnoteReference"/>
        </w:rPr>
        <w:footnoteRef/>
      </w:r>
      <w:r w:rsidRPr="00207F53">
        <w:t xml:space="preserve"> </w:t>
      </w:r>
      <w:r w:rsidRPr="00207F53">
        <w:rPr>
          <w:i/>
          <w:iCs/>
        </w:rPr>
        <w:t>See, e.g.,</w:t>
      </w:r>
      <w:r w:rsidRPr="00207F53">
        <w:t xml:space="preserve"> Steven N. Kaplan &amp; Bernadette A. Minton, </w:t>
      </w:r>
      <w:r w:rsidRPr="00207F53">
        <w:rPr>
          <w:i/>
          <w:iCs/>
        </w:rPr>
        <w:t>How Has CEO Turnover Changed?</w:t>
      </w:r>
      <w:r w:rsidRPr="00207F53">
        <w:t xml:space="preserve">, 12 </w:t>
      </w:r>
      <w:r w:rsidRPr="00207F53">
        <w:rPr>
          <w:smallCaps/>
        </w:rPr>
        <w:t>Int’l. Rev. Fin.</w:t>
      </w:r>
      <w:r w:rsidRPr="00207F53">
        <w:t xml:space="preserve"> 57 (2012); Dirk </w:t>
      </w:r>
      <w:proofErr w:type="spellStart"/>
      <w:r w:rsidRPr="00207F53">
        <w:t>Jenter</w:t>
      </w:r>
      <w:proofErr w:type="spellEnd"/>
      <w:r w:rsidRPr="00207F53">
        <w:t xml:space="preserve"> &amp; </w:t>
      </w:r>
      <w:proofErr w:type="spellStart"/>
      <w:r w:rsidRPr="00207F53">
        <w:t>Fadi</w:t>
      </w:r>
      <w:proofErr w:type="spellEnd"/>
      <w:r w:rsidRPr="00207F53">
        <w:t xml:space="preserve"> Kanaan, </w:t>
      </w:r>
      <w:r w:rsidRPr="00207F53">
        <w:rPr>
          <w:i/>
          <w:iCs/>
        </w:rPr>
        <w:t>CEO Turnover and Relative Performance Evaluation: CEO Turnover and Relative Performance Evaluation</w:t>
      </w:r>
      <w:r w:rsidRPr="00207F53">
        <w:t xml:space="preserve">, 70 </w:t>
      </w:r>
      <w:r w:rsidRPr="00207F53">
        <w:rPr>
          <w:smallCaps/>
        </w:rPr>
        <w:t xml:space="preserve">J.  Fin. </w:t>
      </w:r>
      <w:r w:rsidRPr="00207F53">
        <w:t>2155 (2015).</w:t>
      </w:r>
    </w:p>
  </w:footnote>
  <w:footnote w:id="35">
    <w:p w14:paraId="77D260CC" w14:textId="77777777" w:rsidR="00CE42F1" w:rsidRPr="00207F53" w:rsidRDefault="00CE42F1" w:rsidP="0054491A">
      <w:pPr>
        <w:pStyle w:val="FootNote0"/>
      </w:pPr>
      <w:r w:rsidRPr="00207F53">
        <w:rPr>
          <w:rStyle w:val="FootnoteReference"/>
        </w:rPr>
        <w:footnoteRef/>
      </w:r>
      <w:r w:rsidRPr="00207F53">
        <w:t xml:space="preserve"> For a discussion of state anti-takeover laws, </w:t>
      </w:r>
      <w:r w:rsidRPr="00207F53">
        <w:rPr>
          <w:i/>
          <w:iCs/>
        </w:rPr>
        <w:t xml:space="preserve">see </w:t>
      </w:r>
      <w:r w:rsidRPr="00207F53">
        <w:t xml:space="preserve">Michal </w:t>
      </w:r>
      <w:proofErr w:type="spellStart"/>
      <w:r w:rsidRPr="00207F53">
        <w:t>Barzuza</w:t>
      </w:r>
      <w:proofErr w:type="spellEnd"/>
      <w:r w:rsidRPr="00207F53">
        <w:t xml:space="preserve">, </w:t>
      </w:r>
      <w:r w:rsidRPr="00207F53">
        <w:rPr>
          <w:i/>
          <w:iCs/>
        </w:rPr>
        <w:t>The State of State Antitakeover Law</w:t>
      </w:r>
      <w:r w:rsidRPr="00207F53">
        <w:t xml:space="preserve">, 95 </w:t>
      </w:r>
      <w:r w:rsidRPr="00207F53">
        <w:rPr>
          <w:smallCaps/>
        </w:rPr>
        <w:t>Va. L. Rev.</w:t>
      </w:r>
      <w:r w:rsidRPr="00207F53">
        <w:t xml:space="preserve"> 1973 (2009).</w:t>
      </w:r>
    </w:p>
  </w:footnote>
  <w:footnote w:id="36">
    <w:p w14:paraId="5CD8724F" w14:textId="30E329AB" w:rsidR="00CE42F1" w:rsidRPr="00207F53" w:rsidRDefault="00CE42F1" w:rsidP="00F6263F">
      <w:pPr>
        <w:pStyle w:val="FootNote0"/>
      </w:pPr>
      <w:r w:rsidRPr="00207F53">
        <w:rPr>
          <w:rStyle w:val="FootnoteReference"/>
        </w:rPr>
        <w:footnoteRef/>
      </w:r>
      <w:r w:rsidRPr="00207F53">
        <w:t xml:space="preserve"> For a general overview</w:t>
      </w:r>
      <w:r>
        <w:t xml:space="preserve"> of these statutes, </w:t>
      </w:r>
      <w:r w:rsidRPr="00207F53">
        <w:rPr>
          <w:i/>
          <w:iCs/>
        </w:rPr>
        <w:t xml:space="preserve">see </w:t>
      </w:r>
      <w:r w:rsidRPr="00207F53">
        <w:t xml:space="preserve">American Bar Association Committee on Corporate Laws, </w:t>
      </w:r>
      <w:r w:rsidRPr="00207F53">
        <w:rPr>
          <w:i/>
          <w:iCs/>
        </w:rPr>
        <w:t>Other Constituencies Statutes: Potential for Confusion</w:t>
      </w:r>
      <w:r w:rsidRPr="00207F53">
        <w:t xml:space="preserve">, 45 </w:t>
      </w:r>
      <w:r w:rsidRPr="00207F53">
        <w:rPr>
          <w:smallCaps/>
        </w:rPr>
        <w:t>Bus. Law</w:t>
      </w:r>
      <w:r w:rsidRPr="00207F53">
        <w:t xml:space="preserve">. 2253 (1990); Eric W. Orts, </w:t>
      </w:r>
      <w:r w:rsidRPr="00207F53">
        <w:rPr>
          <w:i/>
          <w:iCs/>
        </w:rPr>
        <w:t>Beyond Shareholders: Interpreting Corporate Constituency Statutes</w:t>
      </w:r>
      <w:r w:rsidRPr="00207F53">
        <w:t xml:space="preserve">, 61 </w:t>
      </w:r>
      <w:r w:rsidRPr="00207F53">
        <w:rPr>
          <w:smallCaps/>
        </w:rPr>
        <w:t>Geo. Wash. L. Rev</w:t>
      </w:r>
      <w:r w:rsidRPr="00207F53">
        <w:t xml:space="preserve">. 14 (1992); Stephen M. Bainbridge, </w:t>
      </w:r>
      <w:r w:rsidRPr="00207F53">
        <w:rPr>
          <w:i/>
          <w:iCs/>
        </w:rPr>
        <w:t xml:space="preserve">Interpreting </w:t>
      </w:r>
      <w:proofErr w:type="spellStart"/>
      <w:r w:rsidRPr="00207F53">
        <w:rPr>
          <w:i/>
          <w:iCs/>
        </w:rPr>
        <w:t>Nonshareholder</w:t>
      </w:r>
      <w:proofErr w:type="spellEnd"/>
      <w:r w:rsidRPr="00207F53">
        <w:rPr>
          <w:i/>
          <w:iCs/>
        </w:rPr>
        <w:t xml:space="preserve"> Constituency Statutes</w:t>
      </w:r>
      <w:r w:rsidRPr="00207F53">
        <w:t xml:space="preserve">, 19 </w:t>
      </w:r>
      <w:proofErr w:type="spellStart"/>
      <w:r w:rsidRPr="00207F53">
        <w:rPr>
          <w:smallCaps/>
        </w:rPr>
        <w:t>Pepp</w:t>
      </w:r>
      <w:proofErr w:type="spellEnd"/>
      <w:r w:rsidRPr="00207F53">
        <w:rPr>
          <w:smallCaps/>
        </w:rPr>
        <w:t>. L. Rev.</w:t>
      </w:r>
      <w:r w:rsidRPr="00207F53">
        <w:t xml:space="preserve"> 971 (1992); Jonathan D. Springer, </w:t>
      </w:r>
      <w:r w:rsidRPr="00207F53">
        <w:rPr>
          <w:i/>
          <w:iCs/>
        </w:rPr>
        <w:t>Corporate Constituency Statutes: Hollow Hopes and False Fears</w:t>
      </w:r>
      <w:r w:rsidRPr="00207F53">
        <w:t xml:space="preserve">, 1999 </w:t>
      </w:r>
      <w:r w:rsidRPr="00207F53">
        <w:rPr>
          <w:smallCaps/>
        </w:rPr>
        <w:t xml:space="preserve">Ann. </w:t>
      </w:r>
      <w:proofErr w:type="spellStart"/>
      <w:r w:rsidRPr="00207F53">
        <w:rPr>
          <w:smallCaps/>
        </w:rPr>
        <w:t>Surv</w:t>
      </w:r>
      <w:proofErr w:type="spellEnd"/>
      <w:r w:rsidRPr="00207F53">
        <w:rPr>
          <w:smallCaps/>
        </w:rPr>
        <w:t>. Am. L</w:t>
      </w:r>
      <w:r w:rsidRPr="00207F53">
        <w:t xml:space="preserve">. 85 (1999); </w:t>
      </w:r>
      <w:proofErr w:type="spellStart"/>
      <w:r w:rsidRPr="00207F53">
        <w:t>Barzuza</w:t>
      </w:r>
      <w:proofErr w:type="spellEnd"/>
      <w:r w:rsidRPr="00207F53">
        <w:t xml:space="preserve">, </w:t>
      </w:r>
      <w:r w:rsidRPr="00207F53">
        <w:rPr>
          <w:i/>
          <w:iCs/>
        </w:rPr>
        <w:t>id</w:t>
      </w:r>
      <w:r w:rsidRPr="00207F53">
        <w:t>.</w:t>
      </w:r>
    </w:p>
  </w:footnote>
  <w:footnote w:id="37">
    <w:p w14:paraId="76A638CE" w14:textId="77777777" w:rsidR="00CE42F1" w:rsidRPr="00207F53" w:rsidRDefault="00CE42F1" w:rsidP="0054491A">
      <w:pPr>
        <w:pStyle w:val="FootNote0"/>
      </w:pPr>
      <w:r w:rsidRPr="00207F53">
        <w:rPr>
          <w:rStyle w:val="FootnoteReference"/>
        </w:rPr>
        <w:footnoteRef/>
      </w:r>
      <w:r w:rsidRPr="00207F53">
        <w:t xml:space="preserve"> For the different structures and provisions of the constituency statutes, </w:t>
      </w:r>
      <w:r w:rsidRPr="00207F53">
        <w:rPr>
          <w:i/>
          <w:iCs/>
        </w:rPr>
        <w:t>see infra</w:t>
      </w:r>
      <w:r w:rsidRPr="00207F53">
        <w:t xml:space="preserve"> section III.A.2.</w:t>
      </w:r>
    </w:p>
  </w:footnote>
  <w:footnote w:id="38">
    <w:p w14:paraId="61DE3D8E" w14:textId="15C260C3" w:rsidR="00CE42F1" w:rsidRPr="00207F53" w:rsidRDefault="00CE42F1" w:rsidP="0054491A">
      <w:pPr>
        <w:pStyle w:val="FootNote0"/>
      </w:pPr>
      <w:r w:rsidRPr="00207F53">
        <w:rPr>
          <w:rStyle w:val="FootnoteReference"/>
        </w:rPr>
        <w:footnoteRef/>
      </w:r>
      <w:r w:rsidRPr="00207F53">
        <w:t xml:space="preserve"> </w:t>
      </w:r>
      <w:r w:rsidRPr="00207F53">
        <w:rPr>
          <w:i/>
          <w:iCs/>
        </w:rPr>
        <w:t xml:space="preserve">See </w:t>
      </w:r>
      <w:r w:rsidRPr="00207F53">
        <w:t xml:space="preserve">Martin Lipton &amp; Steven A. Rosenblum, </w:t>
      </w:r>
      <w:r w:rsidRPr="00207F53">
        <w:rPr>
          <w:i/>
          <w:iCs/>
        </w:rPr>
        <w:t>A New System of Corporate Governance: The Quinquennial Election of Directors</w:t>
      </w:r>
      <w:r w:rsidRPr="00207F53">
        <w:t xml:space="preserve">, 58 </w:t>
      </w:r>
      <w:r w:rsidRPr="00207F53">
        <w:rPr>
          <w:smallCaps/>
        </w:rPr>
        <w:t>U. Chi. L. Rev.</w:t>
      </w:r>
      <w:r w:rsidRPr="00207F53">
        <w:rPr>
          <w:sz w:val="15"/>
          <w:szCs w:val="15"/>
        </w:rPr>
        <w:t xml:space="preserve"> </w:t>
      </w:r>
      <w:r w:rsidRPr="00207F53">
        <w:t>187, nt. 6 (1991)</w:t>
      </w:r>
      <w:r>
        <w:t xml:space="preserve"> </w:t>
      </w:r>
      <w:r w:rsidRPr="00207F53">
        <w:t xml:space="preserve">(“Because about 50 percent of major public companies are incorporated in Delaware, the Delaware courts, more than any others, have been compelled to be the judicial arbiters of the corporate governance debate”). </w:t>
      </w:r>
    </w:p>
  </w:footnote>
  <w:footnote w:id="39">
    <w:p w14:paraId="25EC6134" w14:textId="77777777" w:rsidR="00CE42F1" w:rsidRPr="00207F53" w:rsidRDefault="00CE42F1" w:rsidP="0054491A">
      <w:pPr>
        <w:pStyle w:val="FootNote0"/>
      </w:pPr>
      <w:r w:rsidRPr="00207F53">
        <w:rPr>
          <w:rStyle w:val="FootnoteReference"/>
        </w:rPr>
        <w:footnoteRef/>
      </w:r>
      <w:r w:rsidRPr="00207F53">
        <w:t xml:space="preserve"> Martin Lipton, </w:t>
      </w:r>
      <w:r w:rsidRPr="00207F53">
        <w:rPr>
          <w:i/>
          <w:iCs/>
        </w:rPr>
        <w:t>Takeover Bids in the Target's Boardroom</w:t>
      </w:r>
      <w:r w:rsidRPr="00207F53">
        <w:t xml:space="preserve">, 35 </w:t>
      </w:r>
      <w:r w:rsidRPr="00207F53">
        <w:rPr>
          <w:smallCaps/>
        </w:rPr>
        <w:t>Bus. Law</w:t>
      </w:r>
      <w:r w:rsidRPr="00207F53">
        <w:t>. 101, 122 (1979) (“It is reasonable for the directors of a target to reject a takeover on… the grounds […that it would have an] adverse impact on constituencies other than shareholders”).</w:t>
      </w:r>
    </w:p>
  </w:footnote>
  <w:footnote w:id="40">
    <w:p w14:paraId="7859E1F4" w14:textId="77777777" w:rsidR="00CE42F1" w:rsidRPr="00207F53" w:rsidRDefault="00CE42F1" w:rsidP="0054491A">
      <w:pPr>
        <w:pStyle w:val="FootNote0"/>
      </w:pPr>
      <w:r w:rsidRPr="00207F53">
        <w:rPr>
          <w:rStyle w:val="FootnoteReference"/>
        </w:rPr>
        <w:footnoteRef/>
      </w:r>
      <w:r w:rsidRPr="00207F53">
        <w:t xml:space="preserve"> Martin Lipton, </w:t>
      </w:r>
      <w:r w:rsidRPr="00207F53">
        <w:rPr>
          <w:i/>
          <w:iCs/>
        </w:rPr>
        <w:t>A New System of Corporate Governance: The Quinquennial Election of Directors</w:t>
      </w:r>
      <w:r w:rsidRPr="00207F53">
        <w:t xml:space="preserve">, 58 </w:t>
      </w:r>
      <w:r w:rsidRPr="00207F53">
        <w:rPr>
          <w:smallCaps/>
        </w:rPr>
        <w:t>U. Chi. L. Rev.</w:t>
      </w:r>
      <w:r w:rsidRPr="00207F53">
        <w:rPr>
          <w:sz w:val="15"/>
          <w:szCs w:val="15"/>
        </w:rPr>
        <w:t xml:space="preserve"> </w:t>
      </w:r>
      <w:r w:rsidRPr="00207F53">
        <w:t>187 (1991).</w:t>
      </w:r>
    </w:p>
  </w:footnote>
  <w:footnote w:id="41">
    <w:p w14:paraId="2B3E3438" w14:textId="77777777" w:rsidR="00CE42F1" w:rsidRPr="00207F53" w:rsidRDefault="00CE42F1" w:rsidP="0054491A">
      <w:pPr>
        <w:pStyle w:val="FootNote0"/>
      </w:pPr>
      <w:r w:rsidRPr="00207F53">
        <w:rPr>
          <w:rStyle w:val="FootnoteReference"/>
        </w:rPr>
        <w:footnoteRef/>
      </w:r>
      <w:r w:rsidRPr="00207F53">
        <w:t xml:space="preserve"> Steven M.H. </w:t>
      </w:r>
      <w:proofErr w:type="spellStart"/>
      <w:r w:rsidRPr="00207F53">
        <w:t>Wallman</w:t>
      </w:r>
      <w:proofErr w:type="spellEnd"/>
      <w:r w:rsidRPr="00207F53">
        <w:t xml:space="preserve">, </w:t>
      </w:r>
      <w:r w:rsidRPr="00207F53">
        <w:rPr>
          <w:i/>
          <w:iCs/>
        </w:rPr>
        <w:t>Corporate Constituency Statutes: Placing the Corporation's Interests First</w:t>
      </w:r>
      <w:r w:rsidRPr="00207F53">
        <w:t>, 11 Bus. Law. Update 1, 2 (1990).</w:t>
      </w:r>
    </w:p>
  </w:footnote>
  <w:footnote w:id="42">
    <w:p w14:paraId="0C661573" w14:textId="77777777" w:rsidR="00CE42F1" w:rsidRPr="00207F53" w:rsidRDefault="00CE42F1" w:rsidP="0054491A">
      <w:pPr>
        <w:pStyle w:val="FootNote0"/>
      </w:pPr>
      <w:r w:rsidRPr="00207F53">
        <w:rPr>
          <w:rStyle w:val="FootnoteReference"/>
        </w:rPr>
        <w:footnoteRef/>
      </w:r>
      <w:r w:rsidRPr="00207F53">
        <w:t xml:space="preserve"> </w:t>
      </w:r>
      <w:r w:rsidRPr="00207F53">
        <w:rPr>
          <w:i/>
          <w:iCs/>
        </w:rPr>
        <w:t>See, e.g.</w:t>
      </w:r>
      <w:r w:rsidRPr="00207F53">
        <w:t xml:space="preserve"> Lyman Johnson &amp; David </w:t>
      </w:r>
      <w:proofErr w:type="spellStart"/>
      <w:r w:rsidRPr="00207F53">
        <w:t>Millon</w:t>
      </w:r>
      <w:proofErr w:type="spellEnd"/>
      <w:r w:rsidRPr="00207F53">
        <w:t xml:space="preserve">, </w:t>
      </w:r>
      <w:r w:rsidRPr="00207F53">
        <w:rPr>
          <w:i/>
          <w:iCs/>
        </w:rPr>
        <w:t>Missing the Point About State Takeover Statutes</w:t>
      </w:r>
      <w:r w:rsidRPr="00207F53">
        <w:t xml:space="preserve">, 87 </w:t>
      </w:r>
      <w:r w:rsidRPr="00207F53">
        <w:rPr>
          <w:smallCaps/>
        </w:rPr>
        <w:t>Mich. L. Rev</w:t>
      </w:r>
      <w:r w:rsidRPr="00207F53">
        <w:t>. 846, 848 (1989).</w:t>
      </w:r>
    </w:p>
  </w:footnote>
  <w:footnote w:id="43">
    <w:p w14:paraId="43518CBB" w14:textId="77777777" w:rsidR="00CE42F1" w:rsidRPr="00207F53" w:rsidRDefault="00CE42F1" w:rsidP="0054491A">
      <w:pPr>
        <w:pStyle w:val="FootNote0"/>
      </w:pPr>
      <w:r w:rsidRPr="00207F53">
        <w:rPr>
          <w:rStyle w:val="FootnoteReference"/>
        </w:rPr>
        <w:footnoteRef/>
      </w:r>
      <w:r w:rsidRPr="00207F53">
        <w:t xml:space="preserve"> Perhaps for this reason, while some “states—particularly those in the ‘Rustbelt’ extending through New York, Pennsylvania, Ohio, Indiana, Wisconsin and Minnesota—have become protective havens for target corporations… Congress has tended more towards neutrality.” John C. Coffee, Jr., </w:t>
      </w:r>
      <w:r w:rsidRPr="00207F53">
        <w:rPr>
          <w:i/>
          <w:iCs/>
        </w:rPr>
        <w:t>The Uncertain Case for Takeover Reform: An Essay on Stockholders, Stakeholders and Bust-Ups</w:t>
      </w:r>
      <w:r w:rsidRPr="00207F53">
        <w:t xml:space="preserve">, 1988 </w:t>
      </w:r>
      <w:r w:rsidRPr="00207F53">
        <w:rPr>
          <w:smallCaps/>
        </w:rPr>
        <w:t>Wis. L. Rev</w:t>
      </w:r>
      <w:r w:rsidRPr="00207F53">
        <w:t xml:space="preserve">. 435, 436 (1988). </w:t>
      </w:r>
    </w:p>
  </w:footnote>
  <w:footnote w:id="44">
    <w:p w14:paraId="2A90C55D" w14:textId="77777777" w:rsidR="00CE42F1" w:rsidRPr="00207F53" w:rsidRDefault="00CE42F1" w:rsidP="0054491A">
      <w:pPr>
        <w:pStyle w:val="FootNote0"/>
      </w:pPr>
      <w:r w:rsidRPr="00207F53">
        <w:rPr>
          <w:rStyle w:val="FootnoteReference"/>
        </w:rPr>
        <w:footnoteRef/>
      </w:r>
      <w:r w:rsidRPr="00207F53">
        <w:t xml:space="preserve"> </w:t>
      </w:r>
      <w:r w:rsidRPr="00207F53">
        <w:rPr>
          <w:i/>
          <w:iCs/>
        </w:rPr>
        <w:t>See, e.g.,</w:t>
      </w:r>
      <w:r w:rsidRPr="00207F53">
        <w:t xml:space="preserve"> Michael C. Jensen &amp; Richard S. </w:t>
      </w:r>
      <w:proofErr w:type="spellStart"/>
      <w:r w:rsidRPr="00207F53">
        <w:t>Ruback</w:t>
      </w:r>
      <w:proofErr w:type="spellEnd"/>
      <w:r w:rsidRPr="00207F53">
        <w:t xml:space="preserve">, </w:t>
      </w:r>
      <w:r w:rsidRPr="00207F53">
        <w:rPr>
          <w:i/>
          <w:iCs/>
        </w:rPr>
        <w:t>The Market for Corporate Control: The Scientific Evidence</w:t>
      </w:r>
      <w:r w:rsidRPr="00207F53">
        <w:t xml:space="preserve">, 11 </w:t>
      </w:r>
      <w:r w:rsidRPr="00207F53">
        <w:rPr>
          <w:smallCaps/>
        </w:rPr>
        <w:t>J. Fin. Econ.</w:t>
      </w:r>
      <w:r w:rsidRPr="00207F53">
        <w:t xml:space="preserve"> 5 (1983).</w:t>
      </w:r>
    </w:p>
  </w:footnote>
  <w:footnote w:id="45">
    <w:p w14:paraId="0EF05C0D" w14:textId="69E78E9B" w:rsidR="00CE42F1" w:rsidRPr="00207F53" w:rsidRDefault="00CE42F1" w:rsidP="0054491A">
      <w:pPr>
        <w:pStyle w:val="FootNote0"/>
      </w:pPr>
      <w:r w:rsidRPr="00207F53">
        <w:rPr>
          <w:rStyle w:val="FootnoteReference"/>
        </w:rPr>
        <w:footnoteRef/>
      </w:r>
      <w:r w:rsidRPr="00207F53">
        <w:t xml:space="preserve"> Andrei Schleifer &amp; Lawrence H. Summers, </w:t>
      </w:r>
      <w:r w:rsidRPr="00207F53">
        <w:rPr>
          <w:i/>
          <w:iCs/>
        </w:rPr>
        <w:t>Breach of Trust in Hostile Takeovers</w:t>
      </w:r>
      <w:r>
        <w:rPr>
          <w:i/>
          <w:iCs/>
        </w:rPr>
        <w:t xml:space="preserve"> </w:t>
      </w:r>
      <w:r w:rsidRPr="00207F53">
        <w:rPr>
          <w:i/>
          <w:iCs/>
        </w:rPr>
        <w:t xml:space="preserve">, </w:t>
      </w:r>
      <w:r w:rsidRPr="00207F53">
        <w:t xml:space="preserve">in </w:t>
      </w:r>
      <w:r w:rsidRPr="00207F53">
        <w:rPr>
          <w:smallCaps/>
        </w:rPr>
        <w:t>Corporate Takeovers: Causes and Consequences</w:t>
      </w:r>
      <w:r w:rsidRPr="00207F53">
        <w:t xml:space="preserve"> (Alan J. Auerbach ed. 1988). </w:t>
      </w:r>
    </w:p>
  </w:footnote>
  <w:footnote w:id="46">
    <w:p w14:paraId="36081B57" w14:textId="481E1B38" w:rsidR="00CE42F1" w:rsidRPr="00207F53" w:rsidRDefault="00CE42F1" w:rsidP="0054491A">
      <w:pPr>
        <w:pStyle w:val="FootNote0"/>
      </w:pPr>
      <w:r w:rsidRPr="00207F53">
        <w:rPr>
          <w:rStyle w:val="FootnoteReference"/>
        </w:rPr>
        <w:footnoteRef/>
      </w:r>
      <w:r w:rsidRPr="00207F53">
        <w:t xml:space="preserve"> </w:t>
      </w:r>
      <w:r w:rsidRPr="00207F53">
        <w:rPr>
          <w:i/>
          <w:iCs/>
        </w:rPr>
        <w:t>Id.</w:t>
      </w:r>
      <w:r w:rsidRPr="00207F53">
        <w:t xml:space="preserve"> at 53. </w:t>
      </w:r>
      <w:r w:rsidRPr="00207F53">
        <w:rPr>
          <w:i/>
          <w:iCs/>
        </w:rPr>
        <w:t xml:space="preserve">See also </w:t>
      </w:r>
      <w:r w:rsidRPr="00207F53">
        <w:t xml:space="preserve">Coffee, </w:t>
      </w:r>
      <w:r w:rsidRPr="00207F53">
        <w:rPr>
          <w:i/>
          <w:iCs/>
        </w:rPr>
        <w:t>supra</w:t>
      </w:r>
      <w:r w:rsidRPr="00207F53">
        <w:t xml:space="preserve"> note </w:t>
      </w:r>
      <w:r w:rsidRPr="00207F53">
        <w:fldChar w:fldCharType="begin"/>
      </w:r>
      <w:r w:rsidRPr="00207F53">
        <w:instrText xml:space="preserve"> NOTEREF _Ref47571566 \h  \* MERGEFORMAT </w:instrText>
      </w:r>
      <w:r w:rsidRPr="00207F53">
        <w:fldChar w:fldCharType="separate"/>
      </w:r>
      <w:r w:rsidR="00581B6B">
        <w:t>39</w:t>
      </w:r>
      <w:r w:rsidRPr="00207F53">
        <w:fldChar w:fldCharType="end"/>
      </w:r>
      <w:r w:rsidRPr="00207F53">
        <w:t>, at 440 (“[some] stakeholders… are in a poor position to bargain. Having sunk substantial investments in the firm, they are exposed…to shareholder opportunism”).</w:t>
      </w:r>
    </w:p>
  </w:footnote>
  <w:footnote w:id="47">
    <w:p w14:paraId="700DB06B" w14:textId="18B3E8B0" w:rsidR="00CE42F1" w:rsidRPr="00207F53" w:rsidRDefault="00CE42F1" w:rsidP="0054491A">
      <w:pPr>
        <w:pStyle w:val="FootNote0"/>
      </w:pPr>
      <w:r w:rsidRPr="00207F53">
        <w:rPr>
          <w:rStyle w:val="FootnoteReference"/>
        </w:rPr>
        <w:footnoteRef/>
      </w:r>
      <w:r w:rsidRPr="00207F53">
        <w:t xml:space="preserve"> </w:t>
      </w:r>
      <w:r w:rsidRPr="00207F53">
        <w:t xml:space="preserve">Johnson &amp; Million, </w:t>
      </w:r>
      <w:r w:rsidRPr="00207F53">
        <w:rPr>
          <w:i/>
          <w:iCs/>
        </w:rPr>
        <w:t xml:space="preserve">supra </w:t>
      </w:r>
      <w:r w:rsidRPr="00207F53">
        <w:t xml:space="preserve">note </w:t>
      </w:r>
      <w:r w:rsidRPr="00207F53">
        <w:fldChar w:fldCharType="begin"/>
      </w:r>
      <w:r w:rsidRPr="00207F53">
        <w:instrText xml:space="preserve"> NOTEREF _Ref47261953 \h  \* MERGEFORMAT </w:instrText>
      </w:r>
      <w:r w:rsidRPr="00207F53">
        <w:fldChar w:fldCharType="separate"/>
      </w:r>
      <w:r w:rsidR="00581B6B">
        <w:t>38</w:t>
      </w:r>
      <w:r w:rsidRPr="00207F53">
        <w:fldChar w:fldCharType="end"/>
      </w:r>
      <w:r w:rsidRPr="00207F53">
        <w:t>, at 850.</w:t>
      </w:r>
    </w:p>
  </w:footnote>
  <w:footnote w:id="48">
    <w:p w14:paraId="5835F494" w14:textId="4F000EA3" w:rsidR="00CE42F1" w:rsidRPr="00207F53" w:rsidRDefault="00CE42F1" w:rsidP="00DB1B47">
      <w:pPr>
        <w:pStyle w:val="FootNote0"/>
      </w:pPr>
      <w:r w:rsidRPr="00207F53">
        <w:rPr>
          <w:rStyle w:val="FootnoteReference"/>
        </w:rPr>
        <w:footnoteRef/>
      </w:r>
      <w:r w:rsidRPr="00207F53">
        <w:t xml:space="preserve"> Minutes of the Nevada State Legislature, Assembly Committee on Judiciary, May 21, 1991, p. 12-15. </w:t>
      </w:r>
    </w:p>
  </w:footnote>
  <w:footnote w:id="49">
    <w:p w14:paraId="28F4A769" w14:textId="77777777" w:rsidR="00CE42F1" w:rsidRPr="00207F53" w:rsidRDefault="00CE42F1" w:rsidP="0054491A">
      <w:pPr>
        <w:pStyle w:val="FootNote0"/>
      </w:pPr>
      <w:r w:rsidRPr="00207F53">
        <w:rPr>
          <w:rStyle w:val="FootnoteReference"/>
        </w:rPr>
        <w:footnoteRef/>
      </w:r>
      <w:r w:rsidRPr="00207F53">
        <w:t xml:space="preserve"> For the role of corporate managers and their lobbyist in the enactment of state takeover laws, </w:t>
      </w:r>
      <w:r w:rsidRPr="00207F53">
        <w:rPr>
          <w:i/>
          <w:iCs/>
        </w:rPr>
        <w:t>see</w:t>
      </w:r>
      <w:r w:rsidRPr="00207F53">
        <w:t xml:space="preserve"> Roberta Romano, </w:t>
      </w:r>
      <w:r w:rsidRPr="00207F53">
        <w:rPr>
          <w:i/>
          <w:iCs/>
        </w:rPr>
        <w:t>The Political Economy of Takeover Statutes</w:t>
      </w:r>
      <w:r w:rsidRPr="00207F53">
        <w:t xml:space="preserve">, 73 </w:t>
      </w:r>
      <w:r w:rsidRPr="00207F53">
        <w:rPr>
          <w:smallCaps/>
        </w:rPr>
        <w:t xml:space="preserve">Va. L. Rev. </w:t>
      </w:r>
      <w:r w:rsidRPr="00207F53">
        <w:t xml:space="preserve">111 (1987). For the role of individual corporations targeted by corporate raiders, </w:t>
      </w:r>
      <w:r w:rsidRPr="00207F53">
        <w:rPr>
          <w:i/>
          <w:iCs/>
        </w:rPr>
        <w:t xml:space="preserve">see, </w:t>
      </w:r>
      <w:proofErr w:type="spellStart"/>
      <w:r w:rsidRPr="00207F53">
        <w:rPr>
          <w:i/>
          <w:iCs/>
        </w:rPr>
        <w:t>e.g</w:t>
      </w:r>
      <w:proofErr w:type="spellEnd"/>
      <w:r w:rsidRPr="00207F53">
        <w:rPr>
          <w:i/>
          <w:iCs/>
        </w:rPr>
        <w:t xml:space="preserve">, </w:t>
      </w:r>
      <w:r w:rsidRPr="00207F53">
        <w:t xml:space="preserve">Virginia Inman, </w:t>
      </w:r>
      <w:r w:rsidRPr="00207F53">
        <w:rPr>
          <w:i/>
          <w:iCs/>
        </w:rPr>
        <w:t>Pennsylvania Senate Is Seen Near Vote on Bill that May Deter Dissident Investors</w:t>
      </w:r>
      <w:r w:rsidRPr="00207F53">
        <w:t xml:space="preserve">, </w:t>
      </w:r>
      <w:r w:rsidRPr="00207F53">
        <w:rPr>
          <w:smallCaps/>
        </w:rPr>
        <w:t>Wall St. J.,</w:t>
      </w:r>
      <w:r w:rsidRPr="00207F53">
        <w:t xml:space="preserve"> Dec. 6, 1983, at 12 (reporting that an anti-takeover bill was drafted the Chamber of Commerce and backed by Scott Paper Co., at the time the target of a takeover bid by the Canadian investment firm Brascan Ltd.).</w:t>
      </w:r>
    </w:p>
  </w:footnote>
  <w:footnote w:id="50">
    <w:p w14:paraId="10DE8EB3" w14:textId="77777777" w:rsidR="00CE42F1" w:rsidRPr="00207F53" w:rsidRDefault="00CE42F1" w:rsidP="0054491A">
      <w:pPr>
        <w:pStyle w:val="FootNote0"/>
      </w:pPr>
      <w:r w:rsidRPr="00207F53">
        <w:rPr>
          <w:rStyle w:val="FootnoteReference"/>
        </w:rPr>
        <w:footnoteRef/>
      </w:r>
      <w:r w:rsidRPr="00207F53">
        <w:t xml:space="preserve"> </w:t>
      </w:r>
      <w:r w:rsidRPr="00207F53">
        <w:rPr>
          <w:i/>
          <w:iCs/>
        </w:rPr>
        <w:t>See, e.g.</w:t>
      </w:r>
      <w:r w:rsidRPr="00207F53">
        <w:t xml:space="preserve">, </w:t>
      </w:r>
      <w:r w:rsidRPr="00207F53">
        <w:rPr>
          <w:rFonts w:cs="Times New Roman"/>
        </w:rPr>
        <w:t xml:space="preserve">Roberta S. </w:t>
      </w:r>
      <w:proofErr w:type="spellStart"/>
      <w:r w:rsidRPr="00207F53">
        <w:rPr>
          <w:rFonts w:cs="Times New Roman"/>
          <w:shd w:val="clear" w:color="auto" w:fill="FFFFFF"/>
        </w:rPr>
        <w:t>Karmel</w:t>
      </w:r>
      <w:proofErr w:type="spellEnd"/>
      <w:r w:rsidRPr="00207F53">
        <w:rPr>
          <w:rFonts w:cs="Times New Roman"/>
          <w:shd w:val="clear" w:color="auto" w:fill="FFFFFF"/>
        </w:rPr>
        <w:t xml:space="preserve">, </w:t>
      </w:r>
      <w:r w:rsidRPr="00207F53">
        <w:rPr>
          <w:rFonts w:cs="Times New Roman"/>
          <w:i/>
          <w:iCs/>
          <w:shd w:val="clear" w:color="auto" w:fill="FFFFFF"/>
        </w:rPr>
        <w:t>The Duty of Directors to Non-Shareholder Constituencies in Control Transactions-A Comparison of US and UK Law,</w:t>
      </w:r>
      <w:r w:rsidRPr="00207F53">
        <w:rPr>
          <w:rFonts w:cs="Times New Roman"/>
          <w:shd w:val="clear" w:color="auto" w:fill="FFFFFF"/>
        </w:rPr>
        <w:t xml:space="preserve"> 61 </w:t>
      </w:r>
      <w:r w:rsidRPr="00207F53">
        <w:rPr>
          <w:rFonts w:cs="Times New Roman"/>
          <w:smallCaps/>
          <w:shd w:val="clear" w:color="auto" w:fill="FFFFFF"/>
        </w:rPr>
        <w:t>Wake Forest L. Rev. 25</w:t>
      </w:r>
      <w:r w:rsidRPr="00207F53">
        <w:rPr>
          <w:rFonts w:cs="Times New Roman"/>
          <w:shd w:val="clear" w:color="auto" w:fill="FFFFFF"/>
        </w:rPr>
        <w:t xml:space="preserve">, 96 (1990) </w:t>
      </w:r>
      <w:r w:rsidRPr="00207F53">
        <w:t>(“In some change of control situations, unions have played a key role in assisting management in either restructuring or resisting a hostile bid. Employee stock ownership plans have been utilized as a takeover defense mechanism. Some unions have inserted anti-takeover devices in collective bargaining agreements”).</w:t>
      </w:r>
    </w:p>
  </w:footnote>
  <w:footnote w:id="51">
    <w:p w14:paraId="45152246" w14:textId="77777777" w:rsidR="00CE42F1" w:rsidRPr="00207F53" w:rsidRDefault="00CE42F1" w:rsidP="0054491A">
      <w:pPr>
        <w:pStyle w:val="FootNote0"/>
      </w:pPr>
      <w:r w:rsidRPr="00207F53">
        <w:rPr>
          <w:rStyle w:val="FootnoteReference"/>
        </w:rPr>
        <w:footnoteRef/>
      </w:r>
      <w:r w:rsidRPr="00207F53">
        <w:t xml:space="preserve"> </w:t>
      </w:r>
      <w:r w:rsidRPr="00207F53">
        <w:rPr>
          <w:i/>
          <w:iCs/>
        </w:rPr>
        <w:t>See, e.g.</w:t>
      </w:r>
      <w:r w:rsidRPr="00207F53">
        <w:t xml:space="preserve"> Leslie Wayne, </w:t>
      </w:r>
      <w:r w:rsidRPr="00207F53">
        <w:rPr>
          <w:i/>
          <w:iCs/>
        </w:rPr>
        <w:t>Takeovers Face New Obstacles: Pennsylvania Effort Raises Broad Issues</w:t>
      </w:r>
      <w:r w:rsidRPr="00207F53">
        <w:t>, N.Y. Times, Apr. 19, 1990, at D1 (quoting William M. George, secretary-treasurer of Pennsylvania A.F.L.-C.I.O., in support of the proposed anti-takeover bill, which strengthened the constituency statute).</w:t>
      </w:r>
    </w:p>
  </w:footnote>
  <w:footnote w:id="52">
    <w:p w14:paraId="56D0A893" w14:textId="1575DA00" w:rsidR="00CE42F1" w:rsidRPr="00207F53" w:rsidRDefault="00CE42F1" w:rsidP="0054491A">
      <w:pPr>
        <w:pStyle w:val="FootNote0"/>
      </w:pPr>
      <w:r w:rsidRPr="00207F53">
        <w:rPr>
          <w:rStyle w:val="FootnoteReference"/>
        </w:rPr>
        <w:footnoteRef/>
      </w:r>
      <w:r w:rsidRPr="00207F53">
        <w:t xml:space="preserve"> Commonwealth of Pennsylvania, Legislative Journal, Dec. </w:t>
      </w:r>
      <w:r w:rsidRPr="00207F53">
        <w:t xml:space="preserve">6, 1983, at 1431, 1436, </w:t>
      </w:r>
      <w:r w:rsidRPr="00207F53">
        <w:rPr>
          <w:i/>
          <w:iCs/>
        </w:rPr>
        <w:t>quoted in</w:t>
      </w:r>
      <w:r w:rsidRPr="00207F53">
        <w:t xml:space="preserve"> Orts </w:t>
      </w:r>
      <w:r w:rsidRPr="00207F53">
        <w:rPr>
          <w:i/>
          <w:iCs/>
        </w:rPr>
        <w:t xml:space="preserve">supra </w:t>
      </w:r>
      <w:r w:rsidRPr="00207F53">
        <w:t xml:space="preserve">note </w:t>
      </w:r>
      <w:r w:rsidRPr="00207F53">
        <w:fldChar w:fldCharType="begin"/>
      </w:r>
      <w:r w:rsidRPr="00207F53">
        <w:instrText xml:space="preserve"> NOTEREF _Ref46673837 \h  \* MERGEFORMAT </w:instrText>
      </w:r>
      <w:r w:rsidRPr="00207F53">
        <w:fldChar w:fldCharType="separate"/>
      </w:r>
      <w:r w:rsidR="00581B6B">
        <w:t>32</w:t>
      </w:r>
      <w:r w:rsidRPr="00207F53">
        <w:fldChar w:fldCharType="end"/>
      </w:r>
      <w:r w:rsidRPr="00207F53">
        <w:t xml:space="preserve">, ft. 47. </w:t>
      </w:r>
    </w:p>
  </w:footnote>
  <w:footnote w:id="53">
    <w:p w14:paraId="6AF35A5D" w14:textId="72FA3CC6" w:rsidR="00CE42F1" w:rsidRPr="00207F53" w:rsidRDefault="00CE42F1" w:rsidP="00DB1B47">
      <w:pPr>
        <w:pStyle w:val="FootNote0"/>
      </w:pPr>
      <w:r w:rsidRPr="00207F53">
        <w:rPr>
          <w:rStyle w:val="FootnoteReference"/>
        </w:rPr>
        <w:footnoteRef/>
      </w:r>
      <w:r w:rsidRPr="00207F53">
        <w:t xml:space="preserve"> </w:t>
      </w:r>
      <w:r>
        <w:t>S</w:t>
      </w:r>
      <w:r w:rsidRPr="00207F53">
        <w:rPr>
          <w:i/>
          <w:iCs/>
        </w:rPr>
        <w:t>ee</w:t>
      </w:r>
      <w:r w:rsidRPr="00207F53">
        <w:t xml:space="preserve"> Milo </w:t>
      </w:r>
      <w:proofErr w:type="spellStart"/>
      <w:r w:rsidRPr="00207F53">
        <w:t>Geyelin</w:t>
      </w:r>
      <w:proofErr w:type="spellEnd"/>
      <w:r w:rsidRPr="00207F53">
        <w:t xml:space="preserve"> &amp; </w:t>
      </w:r>
      <w:proofErr w:type="spellStart"/>
      <w:r w:rsidRPr="00207F53">
        <w:t>Vindu</w:t>
      </w:r>
      <w:proofErr w:type="spellEnd"/>
      <w:r w:rsidRPr="00207F53">
        <w:t xml:space="preserve"> P. Goel, </w:t>
      </w:r>
      <w:r w:rsidRPr="00207F53">
        <w:rPr>
          <w:i/>
          <w:iCs/>
        </w:rPr>
        <w:t>Pennsylvania Legislators Gird to Battle Over Bill That Could Become Stiffest Anti-Takeover Law</w:t>
      </w:r>
      <w:r w:rsidRPr="00207F53">
        <w:t>, Wall St. J., Dec. 20, 1989, at A16</w:t>
      </w:r>
      <w:r>
        <w:t xml:space="preserve">. </w:t>
      </w:r>
      <w:r w:rsidRPr="00207F53">
        <w:t xml:space="preserve">For a classic discussion of the political alliance between business interests and labor against finance interests, </w:t>
      </w:r>
      <w:r w:rsidRPr="00207F53">
        <w:rPr>
          <w:i/>
          <w:iCs/>
        </w:rPr>
        <w:t xml:space="preserve">see </w:t>
      </w:r>
      <w:r w:rsidRPr="00207F53">
        <w:t xml:space="preserve">Mark J. Roe, </w:t>
      </w:r>
      <w:r w:rsidRPr="00207F53">
        <w:rPr>
          <w:i/>
          <w:iCs/>
        </w:rPr>
        <w:t>A Political Theory of American Corporate Finance</w:t>
      </w:r>
      <w:r w:rsidRPr="00207F53">
        <w:t xml:space="preserve">, 91 </w:t>
      </w:r>
      <w:r w:rsidRPr="00207F53">
        <w:rPr>
          <w:smallCaps/>
        </w:rPr>
        <w:t>Colum. L. Rev.</w:t>
      </w:r>
      <w:r w:rsidRPr="00207F53">
        <w:t xml:space="preserve"> 10 (1991).</w:t>
      </w:r>
    </w:p>
  </w:footnote>
  <w:footnote w:id="54">
    <w:p w14:paraId="1DE004BE" w14:textId="77777777" w:rsidR="00CE42F1" w:rsidRPr="00207F53" w:rsidRDefault="00CE42F1" w:rsidP="0054491A">
      <w:pPr>
        <w:pStyle w:val="FootNote0"/>
      </w:pPr>
      <w:r w:rsidRPr="00207F53">
        <w:rPr>
          <w:rStyle w:val="FootnoteReference"/>
        </w:rPr>
        <w:footnoteRef/>
      </w:r>
      <w:r w:rsidRPr="00207F53">
        <w:t xml:space="preserve"> </w:t>
      </w:r>
      <w:r w:rsidRPr="00207F53">
        <w:rPr>
          <w:i/>
          <w:iCs/>
        </w:rPr>
        <w:t xml:space="preserve">See </w:t>
      </w:r>
      <w:proofErr w:type="spellStart"/>
      <w:r w:rsidRPr="00207F53">
        <w:t>Guhan</w:t>
      </w:r>
      <w:proofErr w:type="spellEnd"/>
      <w:r w:rsidRPr="00207F53">
        <w:t xml:space="preserve"> Subramanian, </w:t>
      </w:r>
      <w:r w:rsidRPr="00207F53">
        <w:rPr>
          <w:i/>
          <w:iCs/>
        </w:rPr>
        <w:t>Bargaining in the Shadow of Takeover Defenses</w:t>
      </w:r>
      <w:r w:rsidRPr="00207F53">
        <w:t xml:space="preserve">, 113 </w:t>
      </w:r>
      <w:r w:rsidRPr="00207F53">
        <w:rPr>
          <w:smallCaps/>
        </w:rPr>
        <w:t>Yale L.J. 621</w:t>
      </w:r>
      <w:r w:rsidRPr="00207F53">
        <w:t xml:space="preserve"> (2003)(“This hypothesis states that a target with strong takeover defenses will extract more in a negotiated acquisition than a target with weaker takeover defenses, because of the acquirer’s no-deal alternative, to make a hostile bid, is less attractive against a strong-defense target”).</w:t>
      </w:r>
    </w:p>
  </w:footnote>
  <w:footnote w:id="55">
    <w:p w14:paraId="3622B1BC" w14:textId="77777777" w:rsidR="00CE42F1" w:rsidRPr="00207F53" w:rsidRDefault="00CE42F1" w:rsidP="0054491A">
      <w:pPr>
        <w:pStyle w:val="FootnoteText"/>
      </w:pPr>
      <w:r w:rsidRPr="00207F53">
        <w:rPr>
          <w:rStyle w:val="FootnoteReference"/>
        </w:rPr>
        <w:footnoteRef/>
      </w:r>
      <w:r w:rsidRPr="00207F53">
        <w:t xml:space="preserve"> For a discussion of the bargaining power hypothesis from shareholder value maximization perspective, </w:t>
      </w:r>
      <w:r w:rsidRPr="00207F53">
        <w:rPr>
          <w:i/>
          <w:iCs/>
        </w:rPr>
        <w:t>see, e.g.</w:t>
      </w:r>
      <w:r w:rsidRPr="00207F53">
        <w:t xml:space="preserve">, Dale Arthur Oesterle, </w:t>
      </w:r>
      <w:r w:rsidRPr="00207F53">
        <w:rPr>
          <w:i/>
          <w:iCs/>
        </w:rPr>
        <w:t>Negotiation Model of Tender Offer Defenses and the Delaware Supreme Court</w:t>
      </w:r>
      <w:r w:rsidRPr="00207F53">
        <w:t xml:space="preserve">, </w:t>
      </w:r>
      <w:r w:rsidRPr="00207F53">
        <w:rPr>
          <w:smallCaps/>
        </w:rPr>
        <w:t>72 C</w:t>
      </w:r>
      <w:r w:rsidRPr="00207F53">
        <w:rPr>
          <w:smallCaps/>
          <w:sz w:val="15"/>
          <w:szCs w:val="15"/>
        </w:rPr>
        <w:t xml:space="preserve">ornell </w:t>
      </w:r>
      <w:r w:rsidRPr="00207F53">
        <w:rPr>
          <w:smallCaps/>
        </w:rPr>
        <w:t>L</w:t>
      </w:r>
      <w:r w:rsidRPr="00207F53">
        <w:rPr>
          <w:smallCaps/>
          <w:sz w:val="15"/>
          <w:szCs w:val="15"/>
        </w:rPr>
        <w:t xml:space="preserve">. </w:t>
      </w:r>
      <w:r w:rsidRPr="00207F53">
        <w:rPr>
          <w:smallCaps/>
        </w:rPr>
        <w:t>R</w:t>
      </w:r>
      <w:r w:rsidRPr="00207F53">
        <w:rPr>
          <w:smallCaps/>
          <w:sz w:val="15"/>
          <w:szCs w:val="15"/>
        </w:rPr>
        <w:t>ev.</w:t>
      </w:r>
      <w:r w:rsidRPr="00207F53">
        <w:rPr>
          <w:smallCaps/>
        </w:rPr>
        <w:t xml:space="preserve"> 117</w:t>
      </w:r>
      <w:r w:rsidRPr="00207F53">
        <w:t xml:space="preserve"> (1986-1987) </w:t>
      </w:r>
      <w:r w:rsidRPr="00207F53">
        <w:rPr>
          <w:i/>
          <w:iCs/>
        </w:rPr>
        <w:t xml:space="preserve">and </w:t>
      </w:r>
      <w:r w:rsidRPr="00207F53">
        <w:t xml:space="preserve">Rene N. </w:t>
      </w:r>
      <w:proofErr w:type="spellStart"/>
      <w:r w:rsidRPr="00207F53">
        <w:t>Stulz</w:t>
      </w:r>
      <w:proofErr w:type="spellEnd"/>
      <w:r w:rsidRPr="00207F53">
        <w:t xml:space="preserve">, </w:t>
      </w:r>
      <w:r w:rsidRPr="00207F53">
        <w:rPr>
          <w:i/>
          <w:iCs/>
        </w:rPr>
        <w:t>Managerial control of voting rights: Financing policies and the market for corporate control</w:t>
      </w:r>
      <w:r w:rsidRPr="00207F53">
        <w:t xml:space="preserve">, 20 </w:t>
      </w:r>
      <w:r w:rsidRPr="00207F53">
        <w:rPr>
          <w:smallCaps/>
        </w:rPr>
        <w:t>J. Fin. Econ</w:t>
      </w:r>
      <w:r w:rsidRPr="00207F53">
        <w:t xml:space="preserve">. 25 (1988). </w:t>
      </w:r>
    </w:p>
  </w:footnote>
  <w:footnote w:id="56">
    <w:p w14:paraId="6C09426D" w14:textId="54DC1311" w:rsidR="00CE42F1" w:rsidRPr="00207F53" w:rsidRDefault="00CE42F1" w:rsidP="0054491A">
      <w:pPr>
        <w:pStyle w:val="FootNote0"/>
      </w:pPr>
      <w:r w:rsidRPr="00207F53">
        <w:rPr>
          <w:rStyle w:val="FootnoteReference"/>
        </w:rPr>
        <w:footnoteRef/>
      </w:r>
      <w:r w:rsidRPr="00207F53">
        <w:t xml:space="preserve"> </w:t>
      </w:r>
      <w:r w:rsidRPr="00207F53">
        <w:rPr>
          <w:i/>
          <w:iCs/>
        </w:rPr>
        <w:t xml:space="preserve">See, e.g., </w:t>
      </w:r>
      <w:r w:rsidRPr="00207F53">
        <w:t xml:space="preserve">Lynn A. Stout, </w:t>
      </w:r>
      <w:r w:rsidRPr="00207F53">
        <w:rPr>
          <w:i/>
          <w:iCs/>
        </w:rPr>
        <w:t>The Shareholder as Ulysses: Some Empirical Evidence on Why Investors in Public Corporations Tolerate Board Governance</w:t>
      </w:r>
      <w:r w:rsidRPr="00207F53">
        <w:t xml:space="preserve">, 152 </w:t>
      </w:r>
      <w:r w:rsidRPr="00207F53">
        <w:rPr>
          <w:smallCaps/>
        </w:rPr>
        <w:t>U. Pa. L. Rev</w:t>
      </w:r>
      <w:r w:rsidRPr="00207F53">
        <w:t xml:space="preserve">. 667 (2003)(arguing that companies adopt takeover defenses to give directors the power to advance the interests of stakeholders at the expense of shareholders, when appropriate). </w:t>
      </w:r>
      <w:r w:rsidRPr="00207F53">
        <w:t xml:space="preserve">For the role of constituency statutes in negotiated acquisitions, </w:t>
      </w:r>
      <w:r w:rsidRPr="00207F53">
        <w:rPr>
          <w:i/>
          <w:iCs/>
        </w:rPr>
        <w:t xml:space="preserve">see, e.g., </w:t>
      </w:r>
      <w:r w:rsidRPr="00207F53">
        <w:t xml:space="preserve">Bainbridge, </w:t>
      </w:r>
      <w:r w:rsidRPr="00207F53">
        <w:rPr>
          <w:i/>
          <w:iCs/>
        </w:rPr>
        <w:t>supra</w:t>
      </w:r>
      <w:r w:rsidRPr="00207F53">
        <w:t xml:space="preserve"> note </w:t>
      </w:r>
      <w:r w:rsidRPr="00207F53">
        <w:fldChar w:fldCharType="begin"/>
      </w:r>
      <w:r w:rsidRPr="00207F53">
        <w:instrText xml:space="preserve"> NOTEREF _Ref46673837 \h  \* MERGEFORMAT </w:instrText>
      </w:r>
      <w:r w:rsidRPr="00207F53">
        <w:fldChar w:fldCharType="separate"/>
      </w:r>
      <w:r w:rsidR="00581B6B">
        <w:t>32</w:t>
      </w:r>
      <w:r w:rsidRPr="00207F53">
        <w:fldChar w:fldCharType="end"/>
      </w:r>
      <w:r w:rsidRPr="00207F53">
        <w:t>, at 1020-1022.</w:t>
      </w:r>
    </w:p>
  </w:footnote>
  <w:footnote w:id="57">
    <w:p w14:paraId="3A46343A" w14:textId="77777777" w:rsidR="00CE42F1" w:rsidRPr="00207F53" w:rsidRDefault="00CE42F1" w:rsidP="0054491A">
      <w:pPr>
        <w:pStyle w:val="FootNote0"/>
      </w:pPr>
      <w:r w:rsidRPr="00207F53">
        <w:rPr>
          <w:rStyle w:val="FootnoteReference"/>
        </w:rPr>
        <w:footnoteRef/>
      </w:r>
      <w:r w:rsidRPr="00207F53">
        <w:t xml:space="preserve"> 2014 La. ALS 328 (enacting the new Louisiana Business Corporation Act, effective January 1, 2015, which does not include a constituency statute).</w:t>
      </w:r>
    </w:p>
  </w:footnote>
  <w:footnote w:id="58">
    <w:p w14:paraId="324E6CD0" w14:textId="77777777" w:rsidR="00CE42F1" w:rsidRPr="00207F53" w:rsidRDefault="00CE42F1" w:rsidP="0054491A">
      <w:pPr>
        <w:pStyle w:val="FootNote0"/>
      </w:pPr>
      <w:r w:rsidRPr="00207F53">
        <w:rPr>
          <w:rStyle w:val="FootnoteReference"/>
        </w:rPr>
        <w:footnoteRef/>
      </w:r>
      <w:r w:rsidRPr="00207F53">
        <w:t xml:space="preserve"> Ariz. Rev. Stat. § 10-830; Ga. Code Ann. § 14-2-202; Md. Code Ann., Corps. &amp; </w:t>
      </w:r>
      <w:proofErr w:type="spellStart"/>
      <w:r w:rsidRPr="00207F53">
        <w:t>Ass’ns</w:t>
      </w:r>
      <w:proofErr w:type="spellEnd"/>
      <w:r w:rsidRPr="00207F53">
        <w:t xml:space="preserve"> § 2-104; Tenn. Code Ann. § 48-103-204.</w:t>
      </w:r>
    </w:p>
  </w:footnote>
  <w:footnote w:id="59">
    <w:p w14:paraId="05B135F1" w14:textId="77777777" w:rsidR="00CE42F1" w:rsidRPr="00207F53" w:rsidRDefault="00CE42F1" w:rsidP="0054491A">
      <w:pPr>
        <w:pStyle w:val="FootNote0"/>
      </w:pPr>
      <w:r w:rsidRPr="00207F53">
        <w:rPr>
          <w:rStyle w:val="FootnoteReference"/>
        </w:rPr>
        <w:footnoteRef/>
      </w:r>
      <w:r w:rsidRPr="00207F53">
        <w:t xml:space="preserve"> Conn. Gen. Stat. § 33-756 (1990). </w:t>
      </w:r>
    </w:p>
  </w:footnote>
  <w:footnote w:id="60">
    <w:p w14:paraId="7A6F11E0" w14:textId="77777777" w:rsidR="00CE42F1" w:rsidRPr="00207F53" w:rsidRDefault="00CE42F1" w:rsidP="0054491A">
      <w:pPr>
        <w:pStyle w:val="FootNote0"/>
      </w:pPr>
      <w:r w:rsidRPr="00207F53">
        <w:rPr>
          <w:rStyle w:val="FootnoteReference"/>
        </w:rPr>
        <w:footnoteRef/>
      </w:r>
      <w:r w:rsidRPr="00207F53">
        <w:t xml:space="preserve"> HB 5530, 2010 ALS 35 (Conn. 2010).</w:t>
      </w:r>
    </w:p>
  </w:footnote>
  <w:footnote w:id="61">
    <w:p w14:paraId="120DA87A" w14:textId="5F432872" w:rsidR="00CE42F1" w:rsidRPr="00207F53" w:rsidRDefault="00CE42F1" w:rsidP="0054491A">
      <w:pPr>
        <w:pStyle w:val="FootnoteText"/>
      </w:pPr>
      <w:r w:rsidRPr="00207F53">
        <w:rPr>
          <w:rStyle w:val="FootnoteReference"/>
        </w:rPr>
        <w:footnoteRef/>
      </w:r>
      <w:r w:rsidRPr="00207F53">
        <w:t xml:space="preserve"> See Tables </w:t>
      </w:r>
      <w:r>
        <w:t>A1</w:t>
      </w:r>
      <w:r w:rsidRPr="00207F53">
        <w:t>-</w:t>
      </w:r>
      <w:r>
        <w:t>A6 to the Online Appendix</w:t>
      </w:r>
      <w:r w:rsidRPr="00207F53">
        <w:t xml:space="preserve">, in which the </w:t>
      </w:r>
      <w:proofErr w:type="spellStart"/>
      <w:r w:rsidRPr="00207F53">
        <w:t>MacDermid</w:t>
      </w:r>
      <w:proofErr w:type="spellEnd"/>
      <w:r w:rsidRPr="00207F53">
        <w:t xml:space="preserve"> acquisition appears.</w:t>
      </w:r>
    </w:p>
  </w:footnote>
  <w:footnote w:id="62">
    <w:p w14:paraId="31050B97" w14:textId="77777777" w:rsidR="00CE42F1" w:rsidRPr="00207F53" w:rsidRDefault="00CE42F1" w:rsidP="0054491A">
      <w:pPr>
        <w:pStyle w:val="FootNote0"/>
      </w:pPr>
      <w:r w:rsidRPr="00207F53">
        <w:rPr>
          <w:rStyle w:val="FootnoteReference"/>
        </w:rPr>
        <w:footnoteRef/>
      </w:r>
      <w:r w:rsidRPr="00207F53">
        <w:t xml:space="preserve"> Four states (Mississippi, New Mexico, Ohio, and Wyoming) oblige directors to consider the interests of shareholders. Therefore, while directors may or may not, in their discretion, consider the interests of stakeholders (and could legitimately decide to ignore them), they must always consider the effect of their decisions on shareholders. Miss. Code § 79-4-8.30; N.M. Stat. § 53-11-35; Ohio Rev. Code § 1701.59; Wyo. Stat. § 17-16-830. We believe that the practical consequences of this alternative wording are not significant. The fact that directors must consider the interests of shareholders does not imply that they cannot, after due consideration, favor stakeholders at the expense of shareholders. In all these cases, directors have the broadest discretion to balance shareholder and stakeholder interests in the way they see fit, without any real constraint.</w:t>
      </w:r>
    </w:p>
  </w:footnote>
  <w:footnote w:id="63">
    <w:p w14:paraId="299A6D55" w14:textId="2E737695" w:rsidR="00CE42F1" w:rsidRPr="00207F53" w:rsidRDefault="00CE42F1" w:rsidP="0054491A">
      <w:pPr>
        <w:pStyle w:val="FootNote0"/>
      </w:pPr>
      <w:r w:rsidRPr="00207F53">
        <w:rPr>
          <w:rStyle w:val="FootnoteReference"/>
        </w:rPr>
        <w:footnoteRef/>
      </w:r>
      <w:r w:rsidRPr="00207F53">
        <w:t xml:space="preserve"> </w:t>
      </w:r>
      <w:r w:rsidRPr="00207F53">
        <w:rPr>
          <w:i/>
          <w:iCs/>
        </w:rPr>
        <w:t>See infra</w:t>
      </w:r>
      <w:r w:rsidRPr="00207F53">
        <w:t xml:space="preserve"> Part IV, Table </w:t>
      </w:r>
      <w:r>
        <w:t>8</w:t>
      </w:r>
      <w:r w:rsidRPr="00207F53">
        <w:t>. Fourteen statutes contain a catch-all provision that enables directors to extend the protection of the constituency statute to unenumerated stakeholder interests.</w:t>
      </w:r>
    </w:p>
  </w:footnote>
  <w:footnote w:id="64">
    <w:p w14:paraId="246128AD" w14:textId="0144FC80" w:rsidR="00CE42F1" w:rsidRPr="00207F53" w:rsidRDefault="00CE42F1" w:rsidP="0054491A">
      <w:pPr>
        <w:pStyle w:val="FootNote0"/>
      </w:pPr>
      <w:r w:rsidRPr="00207F53">
        <w:rPr>
          <w:rStyle w:val="FootnoteReference"/>
        </w:rPr>
        <w:footnoteRef/>
      </w:r>
      <w:r w:rsidRPr="00207F53">
        <w:t xml:space="preserve"> </w:t>
      </w:r>
      <w:proofErr w:type="spellStart"/>
      <w:r w:rsidRPr="00207F53">
        <w:rPr>
          <w:rFonts w:cs="Times New Roman"/>
          <w:shd w:val="clear" w:color="auto" w:fill="FFFFFF"/>
        </w:rPr>
        <w:t>Karmel</w:t>
      </w:r>
      <w:proofErr w:type="spellEnd"/>
      <w:r w:rsidRPr="00207F53">
        <w:rPr>
          <w:rFonts w:cs="Times New Roman"/>
          <w:shd w:val="clear" w:color="auto" w:fill="FFFFFF"/>
        </w:rPr>
        <w:t xml:space="preserve">, </w:t>
      </w:r>
      <w:r w:rsidRPr="00207F53">
        <w:rPr>
          <w:rFonts w:cs="Times New Roman"/>
          <w:i/>
          <w:iCs/>
          <w:shd w:val="clear" w:color="auto" w:fill="FFFFFF"/>
        </w:rPr>
        <w:t xml:space="preserve">supra </w:t>
      </w:r>
      <w:r w:rsidRPr="00207F53">
        <w:rPr>
          <w:rFonts w:cs="Times New Roman"/>
          <w:shd w:val="clear" w:color="auto" w:fill="FFFFFF"/>
        </w:rPr>
        <w:t xml:space="preserve">note </w:t>
      </w:r>
      <w:r w:rsidRPr="00207F53">
        <w:rPr>
          <w:rFonts w:cs="Times New Roman"/>
          <w:shd w:val="clear" w:color="auto" w:fill="FFFFFF"/>
        </w:rPr>
        <w:fldChar w:fldCharType="begin"/>
      </w:r>
      <w:r w:rsidRPr="00207F53">
        <w:rPr>
          <w:rFonts w:cs="Times New Roman"/>
          <w:shd w:val="clear" w:color="auto" w:fill="FFFFFF"/>
        </w:rPr>
        <w:instrText xml:space="preserve"> NOTEREF _Ref47290396 \h  \* MERGEFORMAT </w:instrText>
      </w:r>
      <w:r w:rsidRPr="00207F53">
        <w:rPr>
          <w:rFonts w:cs="Times New Roman"/>
          <w:shd w:val="clear" w:color="auto" w:fill="FFFFFF"/>
        </w:rPr>
      </w:r>
      <w:r w:rsidRPr="00207F53">
        <w:rPr>
          <w:rFonts w:cs="Times New Roman"/>
          <w:shd w:val="clear" w:color="auto" w:fill="FFFFFF"/>
        </w:rPr>
        <w:fldChar w:fldCharType="separate"/>
      </w:r>
      <w:r w:rsidR="00581B6B">
        <w:rPr>
          <w:rFonts w:cs="Times New Roman"/>
          <w:shd w:val="clear" w:color="auto" w:fill="FFFFFF"/>
        </w:rPr>
        <w:t>46</w:t>
      </w:r>
      <w:r w:rsidRPr="00207F53">
        <w:rPr>
          <w:rFonts w:cs="Times New Roman"/>
          <w:shd w:val="clear" w:color="auto" w:fill="FFFFFF"/>
        </w:rPr>
        <w:fldChar w:fldCharType="end"/>
      </w:r>
      <w:r w:rsidRPr="00207F53">
        <w:rPr>
          <w:rFonts w:cs="Times New Roman"/>
          <w:shd w:val="clear" w:color="auto" w:fill="FFFFFF"/>
        </w:rPr>
        <w:t>, at 96.</w:t>
      </w:r>
    </w:p>
  </w:footnote>
  <w:footnote w:id="65">
    <w:p w14:paraId="3E6243AC" w14:textId="206058A5" w:rsidR="00CE42F1" w:rsidRPr="00207F53" w:rsidRDefault="00CE42F1" w:rsidP="0054491A">
      <w:pPr>
        <w:pStyle w:val="FootNote0"/>
      </w:pPr>
      <w:r w:rsidRPr="00207F53">
        <w:rPr>
          <w:rStyle w:val="FootnoteReference"/>
        </w:rPr>
        <w:footnoteRef/>
      </w:r>
      <w:r w:rsidRPr="00207F53">
        <w:t xml:space="preserve"> </w:t>
      </w:r>
      <w:r w:rsidRPr="00207F53">
        <w:t xml:space="preserve">American Bar Association, </w:t>
      </w:r>
      <w:r w:rsidRPr="00207F53">
        <w:rPr>
          <w:i/>
          <w:iCs/>
        </w:rPr>
        <w:t xml:space="preserve">supra </w:t>
      </w:r>
      <w:r w:rsidRPr="00207F53">
        <w:t xml:space="preserve">note </w:t>
      </w:r>
      <w:r w:rsidRPr="00207F53">
        <w:fldChar w:fldCharType="begin"/>
      </w:r>
      <w:r w:rsidRPr="00207F53">
        <w:instrText xml:space="preserve"> NOTEREF _Ref46673837 \h  \* MERGEFORMAT </w:instrText>
      </w:r>
      <w:r w:rsidRPr="00207F53">
        <w:fldChar w:fldCharType="separate"/>
      </w:r>
      <w:r w:rsidR="00581B6B">
        <w:t>32</w:t>
      </w:r>
      <w:r w:rsidRPr="00207F53">
        <w:fldChar w:fldCharType="end"/>
      </w:r>
      <w:r w:rsidRPr="00207F53">
        <w:t xml:space="preserve">, at 2269. The phrase “rationally related benefit to shareholders” echoes the one used by </w:t>
      </w:r>
      <w:r>
        <w:t xml:space="preserve">the </w:t>
      </w:r>
      <w:r w:rsidRPr="00207F53">
        <w:t>Delaware Supreme Court in Revlon. Revlon, Inc. v. MacAndrews &amp; Forbes Holdings, Inc., 506 A.2d 173, 176 (Del. 1986) (“while concern for various corporate constituencies is proper when addressing a takeover threat, that principle is limited by the requirement that there be some rationally related benefit accruing to the stockholders”)</w:t>
      </w:r>
      <w:r>
        <w:t>.</w:t>
      </w:r>
    </w:p>
  </w:footnote>
  <w:footnote w:id="66">
    <w:p w14:paraId="5ACAFA9E" w14:textId="77777777" w:rsidR="00CE42F1" w:rsidRPr="00207F53" w:rsidRDefault="00CE42F1" w:rsidP="0054491A">
      <w:pPr>
        <w:pStyle w:val="FootNote0"/>
      </w:pPr>
      <w:r w:rsidRPr="00207F53">
        <w:rPr>
          <w:rStyle w:val="FootnoteReference"/>
        </w:rPr>
        <w:footnoteRef/>
      </w:r>
      <w:r w:rsidRPr="00207F53">
        <w:t xml:space="preserve"> Iowa Code § 490.1108A.</w:t>
      </w:r>
    </w:p>
  </w:footnote>
  <w:footnote w:id="67">
    <w:p w14:paraId="37FD7722" w14:textId="77777777" w:rsidR="00CE42F1" w:rsidRPr="00207F53" w:rsidRDefault="00CE42F1" w:rsidP="0054491A">
      <w:pPr>
        <w:pStyle w:val="FootNote0"/>
      </w:pPr>
      <w:r w:rsidRPr="00207F53">
        <w:rPr>
          <w:rStyle w:val="FootnoteReference"/>
        </w:rPr>
        <w:footnoteRef/>
      </w:r>
      <w:r w:rsidRPr="00207F53">
        <w:t xml:space="preserve"> N.Y. Bus. Corp. Law § 717. </w:t>
      </w:r>
    </w:p>
  </w:footnote>
  <w:footnote w:id="68">
    <w:p w14:paraId="11D0373C" w14:textId="77777777" w:rsidR="00CE42F1" w:rsidRPr="00207F53" w:rsidRDefault="00CE42F1" w:rsidP="0054491A">
      <w:pPr>
        <w:pStyle w:val="FootNote0"/>
      </w:pPr>
      <w:r w:rsidRPr="00207F53">
        <w:rPr>
          <w:rStyle w:val="FootnoteReference"/>
        </w:rPr>
        <w:footnoteRef/>
      </w:r>
      <w:r w:rsidRPr="00207F53">
        <w:t xml:space="preserve"> 15 Pa. Cons. Stat. § 1715. </w:t>
      </w:r>
    </w:p>
  </w:footnote>
  <w:footnote w:id="69">
    <w:p w14:paraId="7BE3B124" w14:textId="77777777" w:rsidR="00CE42F1" w:rsidRPr="00207F53" w:rsidRDefault="00CE42F1" w:rsidP="0054491A">
      <w:pPr>
        <w:pStyle w:val="FootNote0"/>
      </w:pPr>
      <w:r w:rsidRPr="00207F53">
        <w:rPr>
          <w:rStyle w:val="FootnoteReference"/>
        </w:rPr>
        <w:footnoteRef/>
      </w:r>
      <w:r w:rsidRPr="00207F53">
        <w:t xml:space="preserve"> Nev. Rev. Stat. § 78.138 (“Directors and officers… may… consider or assign weight to the interests of any particular person or group, or to any other relevant facts, circumstances, contingencies or constituencies”).</w:t>
      </w:r>
    </w:p>
  </w:footnote>
  <w:footnote w:id="70">
    <w:p w14:paraId="690FA2B1" w14:textId="77777777" w:rsidR="00CE42F1" w:rsidRPr="00207F53" w:rsidRDefault="00CE42F1" w:rsidP="0054491A">
      <w:pPr>
        <w:pStyle w:val="FootNote0"/>
      </w:pPr>
      <w:r w:rsidRPr="00207F53">
        <w:rPr>
          <w:rStyle w:val="FootnoteReference"/>
        </w:rPr>
        <w:footnoteRef/>
      </w:r>
      <w:r w:rsidRPr="00207F53">
        <w:t xml:space="preserve"> </w:t>
      </w:r>
      <w:r w:rsidRPr="00207F53">
        <w:rPr>
          <w:i/>
          <w:iCs/>
        </w:rPr>
        <w:t xml:space="preserve">See </w:t>
      </w:r>
      <w:r w:rsidRPr="00207F53">
        <w:t>Ga. Code § 14-2-202 (“any such provision shall be deemed solely to grant discretionary authority to the directors and shall not be deemed to provide to any constituency any right to be considered”). The Georgia constituency statute has an opt-in mechanism and therefore is not included in our empirical analysis.</w:t>
      </w:r>
    </w:p>
  </w:footnote>
  <w:footnote w:id="71">
    <w:p w14:paraId="17E160CE" w14:textId="77777777" w:rsidR="00CE42F1" w:rsidRPr="00207F53" w:rsidRDefault="00CE42F1" w:rsidP="0054491A">
      <w:pPr>
        <w:pStyle w:val="FootNote0"/>
      </w:pPr>
      <w:r w:rsidRPr="00207F53">
        <w:rPr>
          <w:rStyle w:val="FootnoteReference"/>
        </w:rPr>
        <w:footnoteRef/>
      </w:r>
      <w:r w:rsidRPr="00207F53">
        <w:t xml:space="preserve"> Tenn. Code § 48-103-204. The Tennessee constituency statute has an opt-in mechanism and therefore is not included in our empirical analysis.</w:t>
      </w:r>
    </w:p>
  </w:footnote>
  <w:footnote w:id="72">
    <w:p w14:paraId="3C4B8605" w14:textId="77777777" w:rsidR="00CE42F1" w:rsidRPr="00207F53" w:rsidRDefault="00CE42F1" w:rsidP="0054491A">
      <w:pPr>
        <w:pStyle w:val="FootNote0"/>
      </w:pPr>
      <w:r w:rsidRPr="00207F53">
        <w:rPr>
          <w:rStyle w:val="FootnoteReference"/>
        </w:rPr>
        <w:footnoteRef/>
      </w:r>
      <w:r w:rsidRPr="00207F53">
        <w:t xml:space="preserve"> Vt. Stat. tit. 11A, § 8-30.</w:t>
      </w:r>
    </w:p>
  </w:footnote>
  <w:footnote w:id="73">
    <w:p w14:paraId="386136B9" w14:textId="2047D7E2" w:rsidR="00CE42F1" w:rsidRPr="00207F53" w:rsidRDefault="00CE42F1" w:rsidP="0054491A">
      <w:pPr>
        <w:pStyle w:val="FootNote0"/>
      </w:pPr>
      <w:r w:rsidRPr="00207F53">
        <w:rPr>
          <w:rStyle w:val="FootnoteReference"/>
        </w:rPr>
        <w:footnoteRef/>
      </w:r>
      <w:r w:rsidRPr="00207F53">
        <w:t xml:space="preserve"> </w:t>
      </w:r>
      <w:r w:rsidRPr="00207F53">
        <w:rPr>
          <w:i/>
          <w:iCs/>
        </w:rPr>
        <w:t>See, e.g.</w:t>
      </w:r>
      <w:r w:rsidRPr="00207F53">
        <w:t xml:space="preserve">, Blair &amp; Stout, </w:t>
      </w:r>
      <w:r w:rsidRPr="00207F53">
        <w:rPr>
          <w:i/>
          <w:iCs/>
        </w:rPr>
        <w:t xml:space="preserve">supra </w:t>
      </w:r>
      <w:r w:rsidRPr="00207F53">
        <w:t xml:space="preserve">note </w:t>
      </w:r>
      <w:r w:rsidRPr="00207F53">
        <w:fldChar w:fldCharType="begin"/>
      </w:r>
      <w:r w:rsidRPr="00207F53">
        <w:instrText xml:space="preserve"> NOTEREF _Ref47660978 \h  \* MERGEFORMAT </w:instrText>
      </w:r>
      <w:r w:rsidRPr="00207F53">
        <w:fldChar w:fldCharType="separate"/>
      </w:r>
      <w:r w:rsidR="00581B6B">
        <w:t>11</w:t>
      </w:r>
      <w:r w:rsidRPr="00207F53">
        <w:fldChar w:fldCharType="end"/>
      </w:r>
      <w:r w:rsidRPr="00207F53">
        <w:t xml:space="preserve">, at 253 (“mentioning state constituency statutes as an example of legislation that weakens shareholders’ control over directors”); </w:t>
      </w:r>
      <w:proofErr w:type="spellStart"/>
      <w:r w:rsidRPr="00207F53">
        <w:t>Hansmann</w:t>
      </w:r>
      <w:proofErr w:type="spellEnd"/>
      <w:r w:rsidRPr="00207F53">
        <w:t xml:space="preserve"> &amp; </w:t>
      </w:r>
      <w:proofErr w:type="spellStart"/>
      <w:r w:rsidRPr="00207F53">
        <w:t>Kraakman</w:t>
      </w:r>
      <w:proofErr w:type="spellEnd"/>
      <w:r w:rsidRPr="00207F53">
        <w:t xml:space="preserve">, </w:t>
      </w:r>
      <w:r w:rsidRPr="00207F53">
        <w:rPr>
          <w:i/>
          <w:iCs/>
        </w:rPr>
        <w:t>supra</w:t>
      </w:r>
      <w:r w:rsidRPr="00207F53">
        <w:t xml:space="preserve"> note </w:t>
      </w:r>
      <w:r w:rsidRPr="00207F53">
        <w:fldChar w:fldCharType="begin"/>
      </w:r>
      <w:r w:rsidRPr="00207F53">
        <w:instrText xml:space="preserve"> NOTEREF _Ref47580493 \h  \* MERGEFORMAT </w:instrText>
      </w:r>
      <w:r w:rsidRPr="00207F53">
        <w:fldChar w:fldCharType="separate"/>
      </w:r>
      <w:r w:rsidR="00581B6B">
        <w:t>13</w:t>
      </w:r>
      <w:r w:rsidRPr="00207F53">
        <w:fldChar w:fldCharType="end"/>
      </w:r>
      <w:r w:rsidRPr="00207F53">
        <w:t>, at</w:t>
      </w:r>
      <w:r w:rsidRPr="00207F53">
        <w:rPr>
          <w:smallCaps/>
        </w:rPr>
        <w:t xml:space="preserve"> 447</w:t>
      </w:r>
      <w:r w:rsidRPr="00207F53">
        <w:t xml:space="preserve"> (referring to constituency statutes as an example of what they term “fiduciary model” of stakeholder protection, “in which </w:t>
      </w:r>
      <w:r w:rsidRPr="00207F53">
        <w:rPr>
          <w:rFonts w:cs="Times New Roman"/>
        </w:rPr>
        <w:t xml:space="preserve">the board of directors functions as a neutral coordinator of the contributions and returns of all stakeholders in the firm”); Stephen M. Bainbridge, </w:t>
      </w:r>
      <w:r w:rsidRPr="00207F53">
        <w:rPr>
          <w:rFonts w:cs="Times New Roman"/>
          <w:i/>
          <w:iCs/>
        </w:rPr>
        <w:t>Director Primacy: The Means and Ends of Corporate Governance</w:t>
      </w:r>
      <w:r w:rsidRPr="00207F53">
        <w:rPr>
          <w:rFonts w:cs="Times New Roman"/>
        </w:rPr>
        <w:t xml:space="preserve">, 97 </w:t>
      </w:r>
      <w:r w:rsidRPr="00207F53">
        <w:rPr>
          <w:rFonts w:cs="Times New Roman"/>
          <w:smallCaps/>
        </w:rPr>
        <w:t>Nw. U. L. Rev.</w:t>
      </w:r>
      <w:r w:rsidRPr="00207F53">
        <w:rPr>
          <w:rFonts w:cs="Times New Roman"/>
        </w:rPr>
        <w:t xml:space="preserve"> 547, 606 (2003) (arguing that constituency statutes authorized “the board to make tradeoffs between shareholder and stakeholder interests”); Bainbridge, </w:t>
      </w:r>
      <w:r w:rsidRPr="00207F53">
        <w:rPr>
          <w:rFonts w:cs="Times New Roman"/>
          <w:i/>
          <w:iCs/>
        </w:rPr>
        <w:t xml:space="preserve">Interpreting </w:t>
      </w:r>
      <w:proofErr w:type="spellStart"/>
      <w:r w:rsidRPr="00207F53">
        <w:rPr>
          <w:rFonts w:cs="Times New Roman"/>
          <w:i/>
          <w:iCs/>
        </w:rPr>
        <w:t>Nonshareholder</w:t>
      </w:r>
      <w:proofErr w:type="spellEnd"/>
      <w:r w:rsidRPr="00207F53">
        <w:rPr>
          <w:rFonts w:cs="Times New Roman"/>
          <w:i/>
          <w:iCs/>
        </w:rPr>
        <w:t xml:space="preserve"> Constituency Statutes</w:t>
      </w:r>
      <w:r w:rsidRPr="00207F53">
        <w:rPr>
          <w:rFonts w:cs="Times New Roman"/>
        </w:rPr>
        <w:t xml:space="preserve">, </w:t>
      </w:r>
      <w:r w:rsidRPr="00207F53">
        <w:rPr>
          <w:rFonts w:cs="Times New Roman"/>
          <w:i/>
          <w:iCs/>
        </w:rPr>
        <w:t xml:space="preserve">supra </w:t>
      </w:r>
      <w:r w:rsidRPr="00207F53">
        <w:rPr>
          <w:rFonts w:cs="Times New Roman"/>
        </w:rPr>
        <w:t xml:space="preserve">note </w:t>
      </w:r>
      <w:r w:rsidRPr="00207F53">
        <w:rPr>
          <w:rFonts w:cs="Times New Roman"/>
        </w:rPr>
        <w:fldChar w:fldCharType="begin"/>
      </w:r>
      <w:r w:rsidRPr="00207F53">
        <w:rPr>
          <w:rFonts w:cs="Times New Roman"/>
        </w:rPr>
        <w:instrText xml:space="preserve"> NOTEREF _Ref46673837 \h  \* MERGEFORMAT </w:instrText>
      </w:r>
      <w:r w:rsidRPr="00207F53">
        <w:rPr>
          <w:rFonts w:cs="Times New Roman"/>
        </w:rPr>
      </w:r>
      <w:r w:rsidRPr="00207F53">
        <w:rPr>
          <w:rFonts w:cs="Times New Roman"/>
        </w:rPr>
        <w:fldChar w:fldCharType="separate"/>
      </w:r>
      <w:r w:rsidR="00581B6B">
        <w:rPr>
          <w:rFonts w:cs="Times New Roman"/>
        </w:rPr>
        <w:t>32</w:t>
      </w:r>
      <w:r w:rsidRPr="00207F53">
        <w:rPr>
          <w:rFonts w:cs="Times New Roman"/>
        </w:rPr>
        <w:fldChar w:fldCharType="end"/>
      </w:r>
      <w:r w:rsidRPr="00207F53">
        <w:rPr>
          <w:rFonts w:cs="Times New Roman"/>
        </w:rPr>
        <w:t xml:space="preserve">, at 995 (“If the statutes are to have any meaning, they must permit directors to make some trade-offs between their various constituencies”); </w:t>
      </w:r>
      <w:r w:rsidRPr="00207F53">
        <w:rPr>
          <w:smallCaps/>
        </w:rPr>
        <w:t>Cox &amp; Hazen</w:t>
      </w:r>
      <w:r w:rsidRPr="00207F53">
        <w:t xml:space="preserve">, supra note </w:t>
      </w:r>
      <w:r w:rsidRPr="00207F53">
        <w:fldChar w:fldCharType="begin"/>
      </w:r>
      <w:r w:rsidRPr="00207F53">
        <w:instrText xml:space="preserve"> NOTEREF _Ref47714465 \h </w:instrText>
      </w:r>
      <w:r>
        <w:instrText xml:space="preserve"> \* MERGEFORMAT </w:instrText>
      </w:r>
      <w:r w:rsidRPr="00207F53">
        <w:fldChar w:fldCharType="separate"/>
      </w:r>
      <w:r w:rsidR="00581B6B">
        <w:t>6</w:t>
      </w:r>
      <w:r w:rsidRPr="00207F53">
        <w:fldChar w:fldCharType="end"/>
      </w:r>
      <w:r w:rsidRPr="00207F53">
        <w:t xml:space="preserve"> (“Other-constituencies statutes invite not simply a kinder, gentler standard, but the unbridled discretion of management to choose when to favor stockholders and when to favor workers or bondholders”).</w:t>
      </w:r>
    </w:p>
  </w:footnote>
  <w:footnote w:id="74">
    <w:p w14:paraId="047D26EF" w14:textId="77777777" w:rsidR="00CE42F1" w:rsidRPr="00207F53" w:rsidRDefault="00CE42F1" w:rsidP="0054491A">
      <w:pPr>
        <w:pStyle w:val="FootnoteText"/>
        <w:rPr>
          <w:rFonts w:asciiTheme="majorBidi" w:hAnsiTheme="majorBidi" w:cstheme="majorBidi"/>
        </w:rPr>
      </w:pPr>
      <w:r w:rsidRPr="00207F53">
        <w:rPr>
          <w:rStyle w:val="FootnoteReference"/>
        </w:rPr>
        <w:footnoteRef/>
      </w:r>
      <w:r w:rsidRPr="00207F53">
        <w:t xml:space="preserve"> </w:t>
      </w:r>
      <w:r w:rsidRPr="00207F53">
        <w:rPr>
          <w:rFonts w:asciiTheme="majorBidi" w:hAnsiTheme="majorBidi" w:cstheme="majorBidi"/>
          <w:i/>
          <w:iCs/>
        </w:rPr>
        <w:t>See</w:t>
      </w:r>
      <w:r w:rsidRPr="00207F53">
        <w:rPr>
          <w:rFonts w:asciiTheme="majorBidi" w:hAnsiTheme="majorBidi" w:cstheme="majorBidi"/>
        </w:rPr>
        <w:t xml:space="preserve"> Steven N. Kaplan &amp; Per </w:t>
      </w:r>
      <w:proofErr w:type="spellStart"/>
      <w:r w:rsidRPr="00207F53">
        <w:rPr>
          <w:rFonts w:asciiTheme="majorBidi" w:hAnsiTheme="majorBidi" w:cstheme="majorBidi"/>
        </w:rPr>
        <w:t>Stömberg</w:t>
      </w:r>
      <w:proofErr w:type="spellEnd"/>
      <w:r w:rsidRPr="00207F53">
        <w:rPr>
          <w:rFonts w:asciiTheme="majorBidi" w:hAnsiTheme="majorBidi" w:cstheme="majorBidi"/>
        </w:rPr>
        <w:t xml:space="preserve">, </w:t>
      </w:r>
      <w:r w:rsidRPr="00207F53">
        <w:rPr>
          <w:rFonts w:asciiTheme="majorBidi" w:hAnsiTheme="majorBidi" w:cstheme="majorBidi"/>
          <w:i/>
          <w:iCs/>
        </w:rPr>
        <w:t>Leveraged Buyouts and Private Equity</w:t>
      </w:r>
      <w:r w:rsidRPr="00207F53">
        <w:rPr>
          <w:rFonts w:asciiTheme="majorBidi" w:hAnsiTheme="majorBidi" w:cstheme="majorBidi"/>
        </w:rPr>
        <w:t xml:space="preserve">, 23 </w:t>
      </w:r>
      <w:r w:rsidRPr="00207F53">
        <w:rPr>
          <w:rFonts w:asciiTheme="majorBidi" w:hAnsiTheme="majorBidi" w:cstheme="majorBidi"/>
          <w:smallCaps/>
        </w:rPr>
        <w:t xml:space="preserve">J. Econ. </w:t>
      </w:r>
      <w:proofErr w:type="spellStart"/>
      <w:r w:rsidRPr="00207F53">
        <w:rPr>
          <w:rFonts w:asciiTheme="majorBidi" w:hAnsiTheme="majorBidi" w:cstheme="majorBidi"/>
          <w:smallCaps/>
        </w:rPr>
        <w:t>Persp</w:t>
      </w:r>
      <w:proofErr w:type="spellEnd"/>
      <w:r w:rsidRPr="00207F53">
        <w:rPr>
          <w:rFonts w:asciiTheme="majorBidi" w:hAnsiTheme="majorBidi" w:cstheme="majorBidi"/>
        </w:rPr>
        <w:t xml:space="preserve">. 121, 124-125 (2009) (stating that private equity acquisitions are typically financed with 60 to 90 percent debt); </w:t>
      </w:r>
      <w:r w:rsidRPr="00207F53">
        <w:rPr>
          <w:rFonts w:asciiTheme="majorBidi" w:hAnsiTheme="majorBidi" w:cstheme="majorBidi"/>
          <w:smallCaps/>
        </w:rPr>
        <w:t>Josh Lerner et al., Venture Capital &amp; Private Equity: A Casebook</w:t>
      </w:r>
      <w:r w:rsidRPr="00207F53">
        <w:rPr>
          <w:rFonts w:asciiTheme="majorBidi" w:hAnsiTheme="majorBidi" w:cstheme="majorBidi"/>
        </w:rPr>
        <w:t xml:space="preserve"> 69-75 (3d ed. 2005) (discussing trends in compensation structure of private equity funds); Victor Fleischer, </w:t>
      </w:r>
      <w:r w:rsidRPr="00207F53">
        <w:rPr>
          <w:rFonts w:asciiTheme="majorBidi" w:hAnsiTheme="majorBidi" w:cstheme="majorBidi"/>
          <w:i/>
          <w:iCs/>
        </w:rPr>
        <w:t>Two and Twenty: Taxing Partnership Profits in Private Equity Funds</w:t>
      </w:r>
      <w:r w:rsidRPr="00207F53">
        <w:rPr>
          <w:rFonts w:asciiTheme="majorBidi" w:hAnsiTheme="majorBidi" w:cstheme="majorBidi"/>
        </w:rPr>
        <w:t xml:space="preserve">, 83 N.Y.U. L. </w:t>
      </w:r>
      <w:r w:rsidRPr="00207F53">
        <w:rPr>
          <w:rFonts w:asciiTheme="majorBidi" w:hAnsiTheme="majorBidi" w:cstheme="majorBidi"/>
          <w:smallCaps/>
        </w:rPr>
        <w:t>Rev</w:t>
      </w:r>
      <w:r w:rsidRPr="00207F53">
        <w:rPr>
          <w:rFonts w:asciiTheme="majorBidi" w:hAnsiTheme="majorBidi" w:cstheme="majorBidi"/>
        </w:rPr>
        <w:t>. 1, 5-7 (2008) (discussing the organizational structure and compensation practices of private equity funds).</w:t>
      </w:r>
    </w:p>
  </w:footnote>
  <w:footnote w:id="75">
    <w:p w14:paraId="504B5C7D" w14:textId="77777777" w:rsidR="00CE42F1" w:rsidRPr="00207F53" w:rsidRDefault="00CE42F1" w:rsidP="0054491A">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Robert J. Jackson Jr., </w:t>
      </w:r>
      <w:r w:rsidRPr="00207F53">
        <w:rPr>
          <w:rFonts w:asciiTheme="majorBidi" w:hAnsiTheme="majorBidi" w:cstheme="majorBidi"/>
          <w:i/>
          <w:iCs/>
        </w:rPr>
        <w:t>Private Equity and Executive Compensation</w:t>
      </w:r>
      <w:r w:rsidRPr="00207F53">
        <w:rPr>
          <w:rFonts w:asciiTheme="majorBidi" w:hAnsiTheme="majorBidi" w:cstheme="majorBidi"/>
        </w:rPr>
        <w:t xml:space="preserve">, 60 </w:t>
      </w:r>
      <w:proofErr w:type="spellStart"/>
      <w:r w:rsidRPr="00207F53">
        <w:rPr>
          <w:rFonts w:asciiTheme="majorBidi" w:hAnsiTheme="majorBidi" w:cstheme="majorBidi"/>
          <w:smallCaps/>
        </w:rPr>
        <w:t>Ucla</w:t>
      </w:r>
      <w:proofErr w:type="spellEnd"/>
      <w:r w:rsidRPr="00207F53">
        <w:rPr>
          <w:rFonts w:asciiTheme="majorBidi" w:hAnsiTheme="majorBidi" w:cstheme="majorBidi"/>
          <w:smallCaps/>
        </w:rPr>
        <w:t xml:space="preserve"> L. Rev</w:t>
      </w:r>
      <w:r w:rsidRPr="00207F53">
        <w:rPr>
          <w:rFonts w:asciiTheme="majorBidi" w:hAnsiTheme="majorBidi" w:cstheme="majorBidi"/>
        </w:rPr>
        <w:t xml:space="preserve">. 638 (2013) (analyzing how executive compensation in companies owned by private equity firms differs from executive compensation in public companies, and concluding that private equity investors tie CEO pay much more closely to performance than do the boards of directors of otherwise similar public companies); Kaplan &amp; </w:t>
      </w:r>
      <w:proofErr w:type="spellStart"/>
      <w:r w:rsidRPr="00207F53">
        <w:rPr>
          <w:rFonts w:asciiTheme="majorBidi" w:hAnsiTheme="majorBidi" w:cstheme="majorBidi"/>
        </w:rPr>
        <w:t>Stömberg</w:t>
      </w:r>
      <w:proofErr w:type="spellEnd"/>
      <w:r w:rsidRPr="00207F53">
        <w:rPr>
          <w:rFonts w:asciiTheme="majorBidi" w:hAnsiTheme="majorBidi" w:cstheme="majorBidi"/>
        </w:rPr>
        <w:t xml:space="preserve">, </w:t>
      </w:r>
      <w:r w:rsidRPr="00207F53">
        <w:rPr>
          <w:rFonts w:asciiTheme="majorBidi" w:hAnsiTheme="majorBidi" w:cstheme="majorBidi"/>
          <w:i/>
          <w:iCs/>
        </w:rPr>
        <w:t>id</w:t>
      </w:r>
      <w:r w:rsidRPr="00207F53">
        <w:rPr>
          <w:rFonts w:asciiTheme="majorBidi" w:hAnsiTheme="majorBidi" w:cstheme="majorBidi"/>
        </w:rPr>
        <w:t>, at 130-131 (observing that private equity firms “pay careful attention to management incentives in their portfolio companies” and that “[t]hey typically give the management team a large equity upside through stock and options”, while maintaining a significant downside by “require[</w:t>
      </w:r>
      <w:proofErr w:type="spellStart"/>
      <w:r w:rsidRPr="00207F53">
        <w:rPr>
          <w:rFonts w:asciiTheme="majorBidi" w:hAnsiTheme="majorBidi" w:cstheme="majorBidi"/>
        </w:rPr>
        <w:t>ing</w:t>
      </w:r>
      <w:proofErr w:type="spellEnd"/>
      <w:r w:rsidRPr="00207F53">
        <w:rPr>
          <w:rFonts w:asciiTheme="majorBidi" w:hAnsiTheme="majorBidi" w:cstheme="majorBidi"/>
        </w:rPr>
        <w:t>] management to make a meaningful investment in the company”).</w:t>
      </w:r>
    </w:p>
  </w:footnote>
  <w:footnote w:id="76">
    <w:p w14:paraId="7628140E" w14:textId="7F31CF57" w:rsidR="00CE42F1" w:rsidRPr="00207F53" w:rsidRDefault="00CE42F1" w:rsidP="0054491A">
      <w:pPr>
        <w:pStyle w:val="FootNote0"/>
      </w:pPr>
      <w:r w:rsidRPr="00207F53">
        <w:rPr>
          <w:rStyle w:val="FootnoteReference"/>
        </w:rPr>
        <w:footnoteRef/>
      </w:r>
      <w:r w:rsidRPr="00207F53">
        <w:t xml:space="preserve"> Steven J. Davis et al., </w:t>
      </w:r>
      <w:r w:rsidRPr="00207F53">
        <w:rPr>
          <w:i/>
          <w:iCs/>
        </w:rPr>
        <w:t>The Economic Effects of Private Equity Buyouts</w:t>
      </w:r>
      <w:r w:rsidRPr="00207F53">
        <w:t xml:space="preserve">, NBER Working Paper 26370 (October 2019), </w:t>
      </w:r>
      <w:hyperlink r:id="rId6" w:history="1">
        <w:r w:rsidRPr="00207F53">
          <w:rPr>
            <w:rStyle w:val="Hyperlink"/>
          </w:rPr>
          <w:t>https://papers.ssrn.com/sol3/papers.cfm?abstract_id=3465723</w:t>
        </w:r>
      </w:hyperlink>
      <w:r w:rsidRPr="00207F53">
        <w:t xml:space="preserve"> (examining thousands of U.S. private equity buyouts from 1980 to 2013, and finding that employment at target firms shrinks 13% over two years in buyouts of publicly listed firms relative to controlled firms, and average earnings per worker fall by 1.7% at target firms after buyouts, largely erasing a pre-buyout wage premium relative to controls). </w:t>
      </w:r>
    </w:p>
  </w:footnote>
  <w:footnote w:id="77">
    <w:p w14:paraId="71F39AC1" w14:textId="6B6175C6" w:rsidR="00CE42F1" w:rsidRPr="00207F53" w:rsidRDefault="00CE42F1" w:rsidP="00553647">
      <w:pPr>
        <w:rPr>
          <w:rFonts w:asciiTheme="majorBidi" w:hAnsiTheme="majorBidi" w:cstheme="majorBidi"/>
        </w:rPr>
      </w:pPr>
      <w:r w:rsidRPr="00207F53">
        <w:rPr>
          <w:rStyle w:val="FootnoteReference"/>
          <w:rFonts w:asciiTheme="majorBidi" w:hAnsiTheme="majorBidi" w:cstheme="majorBidi"/>
          <w:sz w:val="20"/>
        </w:rPr>
        <w:footnoteRef/>
      </w:r>
      <w:r w:rsidRPr="00207F53">
        <w:rPr>
          <w:rFonts w:asciiTheme="majorBidi" w:hAnsiTheme="majorBidi" w:cstheme="majorBidi"/>
          <w:sz w:val="20"/>
        </w:rPr>
        <w:t xml:space="preserve"> Frank Lichtenberg &amp; Donald Siegel, </w:t>
      </w:r>
      <w:r w:rsidRPr="00207F53">
        <w:rPr>
          <w:rFonts w:asciiTheme="majorBidi" w:hAnsiTheme="majorBidi" w:cstheme="majorBidi"/>
          <w:i/>
          <w:iCs/>
          <w:sz w:val="20"/>
        </w:rPr>
        <w:t>The Effects of Leveraged Buyouts on Productivity and Related Aspects of Firm Behavior</w:t>
      </w:r>
      <w:r w:rsidRPr="00207F53">
        <w:rPr>
          <w:rFonts w:asciiTheme="majorBidi" w:hAnsiTheme="majorBidi" w:cstheme="majorBidi"/>
          <w:sz w:val="20"/>
        </w:rPr>
        <w:t xml:space="preserve">, 27 </w:t>
      </w:r>
      <w:r w:rsidRPr="00207F53">
        <w:rPr>
          <w:rFonts w:asciiTheme="majorBidi" w:hAnsiTheme="majorBidi" w:cstheme="majorBidi"/>
          <w:smallCaps/>
          <w:sz w:val="20"/>
        </w:rPr>
        <w:t>J. Fin. Econ</w:t>
      </w:r>
      <w:r w:rsidRPr="00207F53">
        <w:rPr>
          <w:rFonts w:asciiTheme="majorBidi" w:hAnsiTheme="majorBidi" w:cstheme="majorBidi"/>
          <w:sz w:val="20"/>
        </w:rPr>
        <w:t xml:space="preserve">. 165 (1990). Some view private equity’s heavy reliance on debt financing and intense focus on investor returns as having negative effects on firm performance, employment, and wages. See, e.g., </w:t>
      </w:r>
      <w:r w:rsidRPr="00207F53">
        <w:rPr>
          <w:rFonts w:asciiTheme="majorBidi" w:hAnsiTheme="majorBidi" w:cstheme="majorBidi"/>
          <w:smallCaps/>
          <w:sz w:val="20"/>
        </w:rPr>
        <w:t>Eileen Appelbaum &amp; Rosemary Batt, Private Equity at Work: When Wall Street Manages Main Street</w:t>
      </w:r>
      <w:r w:rsidRPr="00207F53">
        <w:rPr>
          <w:rFonts w:asciiTheme="majorBidi" w:hAnsiTheme="majorBidi" w:cstheme="majorBidi"/>
          <w:sz w:val="20"/>
        </w:rPr>
        <w:t xml:space="preserve"> 1 (2014); </w:t>
      </w:r>
      <w:proofErr w:type="spellStart"/>
      <w:r w:rsidRPr="00207F53">
        <w:rPr>
          <w:rFonts w:asciiTheme="majorBidi" w:hAnsiTheme="majorBidi" w:cstheme="majorBidi"/>
          <w:smallCaps/>
          <w:sz w:val="20"/>
        </w:rPr>
        <w:t>Ludovic</w:t>
      </w:r>
      <w:proofErr w:type="spellEnd"/>
      <w:r w:rsidRPr="00207F53">
        <w:rPr>
          <w:rFonts w:asciiTheme="majorBidi" w:hAnsiTheme="majorBidi" w:cstheme="majorBidi"/>
          <w:smallCaps/>
          <w:sz w:val="20"/>
        </w:rPr>
        <w:t xml:space="preserve"> </w:t>
      </w:r>
      <w:proofErr w:type="spellStart"/>
      <w:r w:rsidRPr="00207F53">
        <w:rPr>
          <w:rFonts w:asciiTheme="majorBidi" w:hAnsiTheme="majorBidi" w:cstheme="majorBidi"/>
          <w:smallCaps/>
          <w:sz w:val="20"/>
        </w:rPr>
        <w:t>Phalippou</w:t>
      </w:r>
      <w:proofErr w:type="spellEnd"/>
      <w:r w:rsidRPr="00207F53">
        <w:rPr>
          <w:rFonts w:asciiTheme="majorBidi" w:hAnsiTheme="majorBidi" w:cstheme="majorBidi"/>
          <w:smallCaps/>
          <w:sz w:val="20"/>
        </w:rPr>
        <w:t xml:space="preserve">, Private Equity Laid Bare </w:t>
      </w:r>
      <w:r w:rsidRPr="00207F53">
        <w:rPr>
          <w:rFonts w:asciiTheme="majorBidi" w:hAnsiTheme="majorBidi" w:cstheme="majorBidi"/>
          <w:sz w:val="20"/>
        </w:rPr>
        <w:t xml:space="preserve">1 (2017). </w:t>
      </w:r>
    </w:p>
  </w:footnote>
  <w:footnote w:id="78">
    <w:p w14:paraId="2984C4B1" w14:textId="664A3E7E" w:rsidR="00CE42F1" w:rsidRPr="00207F53" w:rsidRDefault="00CE42F1" w:rsidP="0054491A">
      <w:pPr>
        <w:pStyle w:val="FootnoteText"/>
      </w:pPr>
      <w:r w:rsidRPr="00207F53">
        <w:rPr>
          <w:rStyle w:val="FootnoteReference"/>
        </w:rPr>
        <w:footnoteRef/>
      </w:r>
      <w:r w:rsidRPr="00207F53">
        <w:t xml:space="preserve"> Stop Wall Street Looting Act, H.R. 3848, 116th Cong. (2019); </w:t>
      </w:r>
      <w:r w:rsidRPr="00207F53">
        <w:rPr>
          <w:i/>
          <w:iCs/>
        </w:rPr>
        <w:t>See</w:t>
      </w:r>
      <w:r w:rsidRPr="00207F53">
        <w:t xml:space="preserve"> </w:t>
      </w:r>
      <w:r w:rsidRPr="00207F53">
        <w:rPr>
          <w:i/>
          <w:iCs/>
        </w:rPr>
        <w:t>also</w:t>
      </w:r>
      <w:r w:rsidRPr="00207F53">
        <w:t xml:space="preserve"> Elizabeth Warren, </w:t>
      </w:r>
      <w:r w:rsidRPr="00207F53">
        <w:rPr>
          <w:i/>
          <w:iCs/>
        </w:rPr>
        <w:t>End Wall Street’s Stranglehold On Our Economy</w:t>
      </w:r>
      <w:r w:rsidRPr="00207F53">
        <w:t xml:space="preserve"> (Jul. 18, 2019), </w:t>
      </w:r>
      <w:hyperlink r:id="rId7" w:history="1">
        <w:r w:rsidRPr="00207F53">
          <w:rPr>
            <w:rStyle w:val="Hyperlink"/>
          </w:rPr>
          <w:t>https://medium.com/@teamwarren/end-wall-streets-stranglehold-on-our-economy-70cf038bac76</w:t>
        </w:r>
      </w:hyperlink>
      <w:r w:rsidRPr="00207F53">
        <w:t xml:space="preserve"> </w:t>
      </w:r>
      <w:r w:rsidRPr="00207F53">
        <w:rPr>
          <w:i/>
          <w:iCs/>
        </w:rPr>
        <w:t>and</w:t>
      </w:r>
      <w:r w:rsidRPr="00207F53">
        <w:t xml:space="preserve"> Economic Policy Institute, Written Testimony in Support of the ‘Stop Wall Street Looting Act of 2019 (Nov. 18, 2019), </w:t>
      </w:r>
      <w:hyperlink r:id="rId8" w:history="1">
        <w:r w:rsidRPr="00207F53">
          <w:rPr>
            <w:rStyle w:val="Hyperlink"/>
          </w:rPr>
          <w:t>https://www.epi.org/publication/written-testimony-private-equity-nov-2019/</w:t>
        </w:r>
      </w:hyperlink>
      <w:r w:rsidRPr="00207F53">
        <w:t>.</w:t>
      </w:r>
    </w:p>
  </w:footnote>
  <w:footnote w:id="79">
    <w:p w14:paraId="7F0F989E" w14:textId="494C5851" w:rsidR="00CE42F1" w:rsidRPr="0016774C" w:rsidRDefault="00CE42F1" w:rsidP="00690EFF">
      <w:pPr>
        <w:pStyle w:val="FootNote0"/>
      </w:pPr>
      <w:r>
        <w:rPr>
          <w:rStyle w:val="FootnoteReference"/>
        </w:rPr>
        <w:footnoteRef/>
      </w:r>
      <w:r>
        <w:t xml:space="preserve"> </w:t>
      </w:r>
      <w:r>
        <w:rPr>
          <w:i/>
          <w:iCs/>
        </w:rPr>
        <w:t xml:space="preserve">See </w:t>
      </w:r>
      <w:r>
        <w:t xml:space="preserve">Suzy </w:t>
      </w:r>
      <w:proofErr w:type="spellStart"/>
      <w:r>
        <w:t>Khimm</w:t>
      </w:r>
      <w:proofErr w:type="spellEnd"/>
      <w:r>
        <w:t xml:space="preserve">, </w:t>
      </w:r>
      <w:r w:rsidRPr="00690EFF">
        <w:rPr>
          <w:i/>
          <w:iCs/>
        </w:rPr>
        <w:t>The Two Faces of Mitt Romney and Bain Capital</w:t>
      </w:r>
      <w:r>
        <w:t xml:space="preserve">, Wash. Post, Jan. 10, 2012, </w:t>
      </w:r>
      <w:hyperlink r:id="rId9" w:history="1">
        <w:r w:rsidRPr="00022F69">
          <w:rPr>
            <w:rStyle w:val="Hyperlink"/>
          </w:rPr>
          <w:t>https://www.washingtonpost.com/blogs/ezra-klein/post/the-two-faces-of-mitt-romney-and-bain-capital/2012/01/10/gIQArYmRoP_blog.html</w:t>
        </w:r>
      </w:hyperlink>
      <w:r>
        <w:t xml:space="preserve"> </w:t>
      </w:r>
    </w:p>
  </w:footnote>
  <w:footnote w:id="80">
    <w:p w14:paraId="547F30BD"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The FactSet M&amp;A dataset defines a private equity acquisition as any acquisition by a private equity firm or by a buyer backed up by a private equity sponsor owning an interest in the acquirer of at least 20%.</w:t>
      </w:r>
    </w:p>
  </w:footnote>
  <w:footnote w:id="81">
    <w:p w14:paraId="2E7DB11B"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We obtained the list of states with constituency statutes and the year of their adoption from Matthew D. Cain, Stephen B. McKeon, &amp; Steven Davidoff Solomon, </w:t>
      </w:r>
      <w:r w:rsidRPr="00207F53">
        <w:rPr>
          <w:rFonts w:asciiTheme="majorBidi" w:hAnsiTheme="majorBidi" w:cstheme="majorBidi"/>
          <w:i/>
          <w:iCs/>
        </w:rPr>
        <w:t>Do takeover laws matter? Evidence from five decades of hostile takeovers</w:t>
      </w:r>
      <w:r w:rsidRPr="00207F53">
        <w:rPr>
          <w:rFonts w:asciiTheme="majorBidi" w:hAnsiTheme="majorBidi" w:cstheme="majorBidi"/>
        </w:rPr>
        <w:t xml:space="preserve">, 124 </w:t>
      </w:r>
      <w:r w:rsidRPr="00207F53">
        <w:rPr>
          <w:rFonts w:asciiTheme="majorBidi" w:hAnsiTheme="majorBidi" w:cstheme="majorBidi"/>
          <w:smallCaps/>
        </w:rPr>
        <w:t>J. Fin. Econ</w:t>
      </w:r>
      <w:r w:rsidRPr="00207F53">
        <w:rPr>
          <w:rFonts w:asciiTheme="majorBidi" w:hAnsiTheme="majorBidi" w:cstheme="majorBidi"/>
        </w:rPr>
        <w:t>. 464 (2017). However, we manually verified the correctness of the data with primary legislative sources (currently in force and historical versions). We were not able to verify the existence of constituency statutes in North Carolina and Virginia, and we therefore excluded these states from our study.</w:t>
      </w:r>
    </w:p>
  </w:footnote>
  <w:footnote w:id="82">
    <w:p w14:paraId="2700289C"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No transactions satisfying the sample selection criteria were found between 2000 and 2003.</w:t>
      </w:r>
    </w:p>
  </w:footnote>
  <w:footnote w:id="83">
    <w:p w14:paraId="4C22AD4E" w14:textId="399F4F04"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rPr>
        <w:t xml:space="preserve">Revlon, </w:t>
      </w:r>
      <w:r w:rsidRPr="00207F53">
        <w:rPr>
          <w:rFonts w:asciiTheme="majorBidi" w:hAnsiTheme="majorBidi" w:cstheme="majorBidi"/>
          <w:i/>
          <w:iCs/>
        </w:rPr>
        <w:t xml:space="preserve">supra </w:t>
      </w:r>
      <w:r w:rsidRPr="00207F53">
        <w:rPr>
          <w:rFonts w:asciiTheme="majorBidi" w:hAnsiTheme="majorBidi" w:cstheme="majorBidi"/>
        </w:rPr>
        <w:t xml:space="preserve">note </w:t>
      </w:r>
      <w:r w:rsidRPr="00207F53">
        <w:rPr>
          <w:rFonts w:asciiTheme="majorBidi" w:hAnsiTheme="majorBidi" w:cstheme="majorBidi"/>
        </w:rPr>
        <w:fldChar w:fldCharType="begin"/>
      </w:r>
      <w:r w:rsidRPr="00207F53">
        <w:rPr>
          <w:rFonts w:asciiTheme="majorBidi" w:hAnsiTheme="majorBidi" w:cstheme="majorBidi"/>
        </w:rPr>
        <w:instrText xml:space="preserve"> NOTEREF _Ref47582086 \h  \* MERGEFORMAT </w:instrText>
      </w:r>
      <w:r w:rsidRPr="00207F53">
        <w:rPr>
          <w:rFonts w:asciiTheme="majorBidi" w:hAnsiTheme="majorBidi" w:cstheme="majorBidi"/>
        </w:rPr>
      </w:r>
      <w:r w:rsidRPr="00207F53">
        <w:rPr>
          <w:rFonts w:asciiTheme="majorBidi" w:hAnsiTheme="majorBidi" w:cstheme="majorBidi"/>
        </w:rPr>
        <w:fldChar w:fldCharType="separate"/>
      </w:r>
      <w:r w:rsidR="00581B6B">
        <w:rPr>
          <w:rFonts w:asciiTheme="majorBidi" w:hAnsiTheme="majorBidi" w:cstheme="majorBidi"/>
        </w:rPr>
        <w:t>61</w:t>
      </w:r>
      <w:r w:rsidRPr="00207F53">
        <w:rPr>
          <w:rFonts w:asciiTheme="majorBidi" w:hAnsiTheme="majorBidi" w:cstheme="majorBidi"/>
        </w:rPr>
        <w:fldChar w:fldCharType="end"/>
      </w:r>
      <w:r w:rsidRPr="00207F53">
        <w:rPr>
          <w:rFonts w:asciiTheme="majorBidi" w:hAnsiTheme="majorBidi" w:cstheme="majorBidi"/>
        </w:rPr>
        <w:t>, at 182 (“The duty of the board had thus changed from the preservation of Revlon as a corporate entity to the maximization of the company's value at a sale for the stockholders' benefit”). The duties to maximize shareholder value in an “inevitable” sale of the company came to be known as “Revlon duties.”</w:t>
      </w:r>
    </w:p>
  </w:footnote>
  <w:footnote w:id="84">
    <w:p w14:paraId="695F71DC" w14:textId="387AF3AE" w:rsidR="00CE42F1" w:rsidRPr="00207F53" w:rsidRDefault="00CE42F1" w:rsidP="00C40B42">
      <w:pPr>
        <w:pStyle w:val="FootNote0"/>
      </w:pPr>
      <w:r w:rsidRPr="00207F53">
        <w:rPr>
          <w:rStyle w:val="FootnoteReference"/>
        </w:rPr>
        <w:footnoteRef/>
      </w:r>
      <w:r w:rsidRPr="00207F53">
        <w:t xml:space="preserve"> </w:t>
      </w:r>
      <w:r w:rsidRPr="00207F53">
        <w:t xml:space="preserve">Cain, McKeon, &amp; Davidoff Solomon, </w:t>
      </w:r>
      <w:r w:rsidRPr="00207F53">
        <w:rPr>
          <w:i/>
          <w:iCs/>
        </w:rPr>
        <w:t xml:space="preserve">supra </w:t>
      </w:r>
      <w:r w:rsidRPr="00207F53">
        <w:t xml:space="preserve">note </w:t>
      </w:r>
      <w:r w:rsidRPr="00207F53">
        <w:fldChar w:fldCharType="begin"/>
      </w:r>
      <w:r w:rsidRPr="00207F53">
        <w:instrText xml:space="preserve"> NOTEREF _Ref47604904 \h  \* MERGEFORMAT </w:instrText>
      </w:r>
      <w:r w:rsidRPr="00207F53">
        <w:fldChar w:fldCharType="separate"/>
      </w:r>
      <w:r w:rsidR="00581B6B">
        <w:t>77</w:t>
      </w:r>
      <w:r w:rsidRPr="00207F53">
        <w:fldChar w:fldCharType="end"/>
      </w:r>
      <w:r w:rsidRPr="00207F53">
        <w:t>.</w:t>
      </w:r>
    </w:p>
  </w:footnote>
  <w:footnote w:id="85">
    <w:p w14:paraId="0D9FEDAD"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sz w:val="16"/>
          <w:szCs w:val="16"/>
        </w:rPr>
        <w:t xml:space="preserve"> </w:t>
      </w:r>
      <w:r w:rsidRPr="00207F53">
        <w:rPr>
          <w:rFonts w:asciiTheme="majorBidi" w:hAnsiTheme="majorBidi" w:cstheme="majorBidi"/>
        </w:rPr>
        <w:t>As mentioned above, we relied on the 'Background of the Merger' section in the proxy statements as the primary source for the data regarding the bargaining process.</w:t>
      </w:r>
    </w:p>
  </w:footnote>
  <w:footnote w:id="86">
    <w:p w14:paraId="4B6DB6C7"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We examined the unaffected premium provided by FactSet for a random sample of deals and found that it is consistent with the information provided in the proxy materials.</w:t>
      </w:r>
    </w:p>
  </w:footnote>
  <w:footnote w:id="87">
    <w:p w14:paraId="4B09BB39"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When “Unaffected Premium” was unavailable, we used the premium over the closing price of the target's share one day prior to the announcement of the merger agreement.</w:t>
      </w:r>
    </w:p>
  </w:footnote>
  <w:footnote w:id="88">
    <w:p w14:paraId="70E4B84B" w14:textId="08BE6371" w:rsidR="00CE42F1" w:rsidRPr="00A61532" w:rsidRDefault="00CE42F1" w:rsidP="00CE42F1">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sidR="00E55CF3">
        <w:rPr>
          <w:rFonts w:asciiTheme="majorBidi" w:eastAsia="SimSun" w:hAnsiTheme="majorBidi" w:cstheme="majorBidi"/>
          <w:kern w:val="0"/>
          <w:szCs w:val="24"/>
          <w:lang w:bidi="he-IL"/>
        </w:rPr>
        <w:t xml:space="preserve">Gains to shareholders are slightly higher </w:t>
      </w:r>
      <w:r w:rsidR="009D5F41">
        <w:rPr>
          <w:rFonts w:asciiTheme="majorBidi" w:eastAsia="SimSun" w:hAnsiTheme="majorBidi" w:cstheme="majorBidi"/>
          <w:kern w:val="0"/>
          <w:szCs w:val="24"/>
          <w:lang w:bidi="he-IL"/>
        </w:rPr>
        <w:t>in</w:t>
      </w:r>
      <w:r w:rsidR="00E55CF3">
        <w:rPr>
          <w:rFonts w:asciiTheme="majorBidi" w:eastAsia="SimSun" w:hAnsiTheme="majorBidi" w:cstheme="majorBidi"/>
          <w:kern w:val="0"/>
          <w:szCs w:val="24"/>
          <w:lang w:bidi="he-IL"/>
        </w:rPr>
        <w:t xml:space="preserve"> the</w:t>
      </w:r>
      <w:r w:rsidRPr="00A61532">
        <w:rPr>
          <w:rFonts w:asciiTheme="majorBidi" w:eastAsia="SimSun" w:hAnsiTheme="majorBidi" w:cstheme="majorBidi"/>
          <w:kern w:val="0"/>
          <w:szCs w:val="24"/>
          <w:lang w:bidi="he-IL"/>
        </w:rPr>
        <w:t xml:space="preserve"> 81 </w:t>
      </w:r>
      <w:r w:rsidR="00E55CF3">
        <w:rPr>
          <w:rFonts w:asciiTheme="majorBidi" w:eastAsia="SimSun" w:hAnsiTheme="majorBidi" w:cstheme="majorBidi"/>
          <w:kern w:val="0"/>
          <w:szCs w:val="24"/>
          <w:lang w:bidi="he-IL"/>
        </w:rPr>
        <w:t xml:space="preserve">smaller </w:t>
      </w:r>
      <w:r w:rsidRPr="00A61532">
        <w:rPr>
          <w:rFonts w:asciiTheme="majorBidi" w:eastAsia="SimSun" w:hAnsiTheme="majorBidi" w:cstheme="majorBidi"/>
          <w:kern w:val="0"/>
          <w:szCs w:val="24"/>
          <w:lang w:bidi="he-IL"/>
        </w:rPr>
        <w:t xml:space="preserve">transactions in our sample. </w:t>
      </w:r>
      <w:r>
        <w:rPr>
          <w:rFonts w:asciiTheme="majorBidi" w:eastAsia="SimSun" w:hAnsiTheme="majorBidi" w:cstheme="majorBidi"/>
          <w:kern w:val="0"/>
          <w:szCs w:val="24"/>
          <w:lang w:bidi="he-IL"/>
        </w:rPr>
        <w:t>T</w:t>
      </w:r>
      <w:r w:rsidRPr="00A61532">
        <w:rPr>
          <w:rFonts w:asciiTheme="majorBidi" w:eastAsia="SimSun" w:hAnsiTheme="majorBidi" w:cstheme="majorBidi"/>
          <w:kern w:val="0"/>
          <w:szCs w:val="24"/>
          <w:lang w:bidi="he-IL"/>
        </w:rPr>
        <w:t xml:space="preserve">he </w:t>
      </w:r>
      <w:r>
        <w:rPr>
          <w:rFonts w:asciiTheme="majorBidi" w:eastAsia="SimSun" w:hAnsiTheme="majorBidi" w:cstheme="majorBidi"/>
          <w:kern w:val="0"/>
          <w:szCs w:val="24"/>
          <w:lang w:bidi="he-IL"/>
        </w:rPr>
        <w:t>u</w:t>
      </w:r>
      <w:r w:rsidRPr="00A61532">
        <w:rPr>
          <w:rFonts w:asciiTheme="majorBidi" w:eastAsia="SimSun" w:hAnsiTheme="majorBidi" w:cstheme="majorBidi"/>
          <w:kern w:val="0"/>
          <w:szCs w:val="24"/>
          <w:lang w:bidi="he-IL"/>
        </w:rPr>
        <w:t xml:space="preserve">naffected </w:t>
      </w:r>
      <w:r w:rsidR="009D5F41">
        <w:rPr>
          <w:rFonts w:asciiTheme="majorBidi" w:eastAsia="SimSun" w:hAnsiTheme="majorBidi" w:cstheme="majorBidi"/>
          <w:kern w:val="0"/>
          <w:szCs w:val="24"/>
          <w:lang w:bidi="he-IL"/>
        </w:rPr>
        <w:t xml:space="preserve">premium </w:t>
      </w:r>
      <w:r w:rsidRPr="00A61532">
        <w:rPr>
          <w:rFonts w:asciiTheme="majorBidi" w:eastAsia="SimSun" w:hAnsiTheme="majorBidi" w:cstheme="majorBidi"/>
          <w:kern w:val="0"/>
          <w:szCs w:val="24"/>
          <w:lang w:bidi="he-IL"/>
        </w:rPr>
        <w:t>had a mean</w:t>
      </w:r>
      <w:r>
        <w:rPr>
          <w:rFonts w:asciiTheme="majorBidi" w:eastAsia="SimSun" w:hAnsiTheme="majorBidi" w:cstheme="majorBidi"/>
          <w:kern w:val="0"/>
          <w:szCs w:val="24"/>
          <w:lang w:bidi="he-IL"/>
        </w:rPr>
        <w:t xml:space="preserve"> (median)</w:t>
      </w:r>
      <w:r w:rsidRPr="00A61532">
        <w:rPr>
          <w:rFonts w:asciiTheme="majorBidi" w:eastAsia="SimSun" w:hAnsiTheme="majorBidi" w:cstheme="majorBidi"/>
          <w:kern w:val="0"/>
          <w:szCs w:val="24"/>
          <w:lang w:bidi="he-IL"/>
        </w:rPr>
        <w:t xml:space="preserve"> of </w:t>
      </w:r>
      <w:r>
        <w:rPr>
          <w:rFonts w:asciiTheme="majorBidi" w:eastAsia="SimSun" w:hAnsiTheme="majorBidi" w:cstheme="majorBidi"/>
          <w:kern w:val="0"/>
          <w:szCs w:val="24"/>
          <w:lang w:bidi="he-IL"/>
        </w:rPr>
        <w:t>31</w:t>
      </w:r>
      <w:r w:rsidRPr="00A61532">
        <w:rPr>
          <w:rFonts w:asciiTheme="majorBidi" w:eastAsia="SimSun" w:hAnsiTheme="majorBidi" w:cstheme="majorBidi"/>
          <w:kern w:val="0"/>
          <w:szCs w:val="24"/>
          <w:lang w:bidi="he-IL"/>
        </w:rPr>
        <w:t xml:space="preserve">% </w:t>
      </w:r>
      <w:r>
        <w:rPr>
          <w:rFonts w:asciiTheme="majorBidi" w:eastAsia="SimSun" w:hAnsiTheme="majorBidi" w:cstheme="majorBidi"/>
          <w:kern w:val="0"/>
          <w:szCs w:val="24"/>
          <w:lang w:bidi="he-IL"/>
        </w:rPr>
        <w:t>(25%)</w:t>
      </w:r>
      <w:r>
        <w:rPr>
          <w:rFonts w:asciiTheme="majorBidi" w:hAnsiTheme="majorBidi" w:cstheme="majorBidi"/>
        </w:rPr>
        <w:t xml:space="preserve"> </w:t>
      </w:r>
      <w:r w:rsidRPr="00A61532">
        <w:rPr>
          <w:rFonts w:asciiTheme="majorBidi" w:eastAsia="SimSun" w:hAnsiTheme="majorBidi" w:cstheme="majorBidi"/>
          <w:kern w:val="0"/>
          <w:szCs w:val="24"/>
          <w:lang w:bidi="he-IL"/>
        </w:rPr>
        <w:t xml:space="preserve">in the smaller </w:t>
      </w:r>
      <w:r>
        <w:rPr>
          <w:rFonts w:asciiTheme="majorBidi" w:eastAsia="SimSun" w:hAnsiTheme="majorBidi" w:cstheme="majorBidi"/>
          <w:kern w:val="0"/>
          <w:szCs w:val="24"/>
          <w:lang w:bidi="he-IL"/>
        </w:rPr>
        <w:t xml:space="preserve">ERR </w:t>
      </w:r>
      <w:r w:rsidRPr="00A61532">
        <w:rPr>
          <w:rFonts w:asciiTheme="majorBidi" w:eastAsia="SimSun" w:hAnsiTheme="majorBidi" w:cstheme="majorBidi"/>
          <w:kern w:val="0"/>
          <w:szCs w:val="24"/>
          <w:lang w:bidi="he-IL"/>
        </w:rPr>
        <w:t>deals</w:t>
      </w:r>
      <w:r>
        <w:rPr>
          <w:rFonts w:asciiTheme="majorBidi" w:eastAsia="SimSun" w:hAnsiTheme="majorBidi" w:cstheme="majorBidi"/>
          <w:kern w:val="0"/>
          <w:szCs w:val="24"/>
          <w:lang w:bidi="he-IL"/>
        </w:rPr>
        <w:t>; and 38</w:t>
      </w:r>
      <w:r w:rsidRPr="00A61532">
        <w:rPr>
          <w:rFonts w:asciiTheme="majorBidi" w:eastAsia="SimSun" w:hAnsiTheme="majorBidi" w:cstheme="majorBidi"/>
          <w:kern w:val="0"/>
          <w:szCs w:val="24"/>
          <w:lang w:bidi="he-IL"/>
        </w:rPr>
        <w:t xml:space="preserve">% </w:t>
      </w:r>
      <w:r>
        <w:rPr>
          <w:rFonts w:asciiTheme="majorBidi" w:eastAsia="SimSun" w:hAnsiTheme="majorBidi" w:cstheme="majorBidi"/>
          <w:kern w:val="0"/>
          <w:szCs w:val="24"/>
          <w:lang w:bidi="he-IL"/>
        </w:rPr>
        <w:t>(30%)</w:t>
      </w:r>
      <w:r>
        <w:rPr>
          <w:rFonts w:asciiTheme="majorBidi" w:hAnsiTheme="majorBidi" w:cstheme="majorBidi"/>
        </w:rPr>
        <w:t xml:space="preserve"> </w:t>
      </w:r>
      <w:r w:rsidRPr="00A61532">
        <w:rPr>
          <w:rFonts w:asciiTheme="majorBidi" w:eastAsia="SimSun" w:hAnsiTheme="majorBidi" w:cstheme="majorBidi"/>
          <w:kern w:val="0"/>
          <w:szCs w:val="24"/>
          <w:lang w:bidi="he-IL"/>
        </w:rPr>
        <w:t xml:space="preserve">in the smaller </w:t>
      </w:r>
      <w:r>
        <w:rPr>
          <w:rFonts w:asciiTheme="majorBidi" w:eastAsia="SimSun" w:hAnsiTheme="majorBidi" w:cstheme="majorBidi"/>
          <w:kern w:val="0"/>
          <w:szCs w:val="24"/>
          <w:lang w:bidi="he-IL"/>
        </w:rPr>
        <w:t xml:space="preserve">ERR </w:t>
      </w:r>
      <w:r w:rsidRPr="00A61532">
        <w:rPr>
          <w:rFonts w:asciiTheme="majorBidi" w:eastAsia="SimSun" w:hAnsiTheme="majorBidi" w:cstheme="majorBidi"/>
          <w:kern w:val="0"/>
          <w:szCs w:val="24"/>
          <w:lang w:bidi="he-IL"/>
        </w:rPr>
        <w:t>deals</w:t>
      </w:r>
      <w:r>
        <w:rPr>
          <w:rFonts w:asciiTheme="majorBidi" w:hAnsiTheme="majorBidi" w:cstheme="majorBidi"/>
        </w:rPr>
        <w:t xml:space="preserve">. </w:t>
      </w:r>
      <w:r w:rsidRPr="009D5F41">
        <w:rPr>
          <w:rFonts w:asciiTheme="majorBidi" w:eastAsia="SimSun" w:hAnsiTheme="majorBidi" w:cstheme="majorBidi"/>
          <w:i/>
          <w:iCs/>
          <w:kern w:val="0"/>
          <w:szCs w:val="24"/>
          <w:lang w:bidi="he-IL"/>
        </w:rPr>
        <w:t>See</w:t>
      </w:r>
      <w:r>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Table A1 in the </w:t>
      </w:r>
      <w:r>
        <w:rPr>
          <w:rFonts w:asciiTheme="majorBidi" w:eastAsia="SimSun" w:hAnsiTheme="majorBidi" w:cstheme="majorBidi"/>
          <w:kern w:val="0"/>
          <w:szCs w:val="24"/>
          <w:lang w:bidi="he-IL"/>
        </w:rPr>
        <w:t>Online Appendix.</w:t>
      </w:r>
    </w:p>
  </w:footnote>
  <w:footnote w:id="89">
    <w:p w14:paraId="4F6045C2" w14:textId="7206E1DB"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w:t>
      </w:r>
      <w:r w:rsidRPr="00207F53">
        <w:rPr>
          <w:rFonts w:asciiTheme="majorBidi" w:hAnsiTheme="majorBidi" w:cstheme="majorBidi"/>
          <w:i/>
          <w:iCs/>
        </w:rPr>
        <w:t>supra</w:t>
      </w:r>
      <w:r w:rsidRPr="00207F53">
        <w:rPr>
          <w:rFonts w:asciiTheme="majorBidi" w:hAnsiTheme="majorBidi" w:cstheme="majorBidi"/>
        </w:rPr>
        <w:t xml:space="preserve"> Table </w:t>
      </w:r>
      <w:r>
        <w:rPr>
          <w:rFonts w:asciiTheme="majorBidi" w:hAnsiTheme="majorBidi" w:cstheme="majorBidi"/>
        </w:rPr>
        <w:t>4</w:t>
      </w:r>
      <w:r w:rsidRPr="00207F53">
        <w:rPr>
          <w:rFonts w:asciiTheme="majorBidi" w:hAnsiTheme="majorBidi" w:cstheme="majorBidi"/>
        </w:rPr>
        <w:t xml:space="preserve">. </w:t>
      </w:r>
    </w:p>
  </w:footnote>
  <w:footnote w:id="90">
    <w:p w14:paraId="327710E2" w14:textId="13710DF2" w:rsidR="00CE42F1" w:rsidRDefault="00CE42F1">
      <w:pPr>
        <w:pStyle w:val="FootnoteText"/>
      </w:pPr>
      <w:r w:rsidRPr="00667819">
        <w:rPr>
          <w:rStyle w:val="FootnoteReference"/>
        </w:rPr>
        <w:footnoteRef/>
      </w:r>
      <w:r w:rsidRPr="00667819">
        <w:t xml:space="preserve"> </w:t>
      </w:r>
      <w:r>
        <w:t>W</w:t>
      </w:r>
      <w:r w:rsidRPr="00667819">
        <w:t xml:space="preserve">e </w:t>
      </w:r>
      <w:r>
        <w:t xml:space="preserve">collected data on commitments give in favor of all </w:t>
      </w:r>
      <w:r w:rsidRPr="00667819">
        <w:t xml:space="preserve">executives </w:t>
      </w:r>
      <w:r>
        <w:t xml:space="preserve">and directors that were </w:t>
      </w:r>
      <w:r w:rsidRPr="00667819">
        <w:t>mentioned in the proxy statements</w:t>
      </w:r>
      <w:r>
        <w:t>.</w:t>
      </w:r>
    </w:p>
  </w:footnote>
  <w:footnote w:id="91">
    <w:p w14:paraId="14FC65EB" w14:textId="29B56F61"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Jackson, </w:t>
      </w:r>
      <w:r w:rsidRPr="00207F53">
        <w:rPr>
          <w:rFonts w:asciiTheme="majorBidi" w:hAnsiTheme="majorBidi" w:cstheme="majorBidi"/>
          <w:i/>
          <w:iCs/>
        </w:rPr>
        <w:t>supra</w:t>
      </w:r>
      <w:r w:rsidRPr="00207F53">
        <w:rPr>
          <w:rFonts w:asciiTheme="majorBidi" w:hAnsiTheme="majorBidi" w:cstheme="majorBidi"/>
        </w:rPr>
        <w:t xml:space="preserve"> note </w:t>
      </w:r>
      <w:r w:rsidRPr="00207F53">
        <w:rPr>
          <w:rFonts w:asciiTheme="majorBidi" w:hAnsiTheme="majorBidi" w:cstheme="majorBidi"/>
        </w:rPr>
        <w:fldChar w:fldCharType="begin"/>
      </w:r>
      <w:r w:rsidRPr="00207F53">
        <w:rPr>
          <w:rFonts w:asciiTheme="majorBidi" w:hAnsiTheme="majorBidi" w:cstheme="majorBidi"/>
        </w:rPr>
        <w:instrText xml:space="preserve"> NOTEREF _Ref46952711 \h  \* MERGEFORMAT </w:instrText>
      </w:r>
      <w:r w:rsidRPr="00207F53">
        <w:rPr>
          <w:rFonts w:asciiTheme="majorBidi" w:hAnsiTheme="majorBidi" w:cstheme="majorBidi"/>
        </w:rPr>
      </w:r>
      <w:r w:rsidRPr="00207F53">
        <w:rPr>
          <w:rFonts w:asciiTheme="majorBidi" w:hAnsiTheme="majorBidi" w:cstheme="majorBidi"/>
        </w:rPr>
        <w:fldChar w:fldCharType="separate"/>
      </w:r>
      <w:r w:rsidR="00581B6B">
        <w:rPr>
          <w:rFonts w:asciiTheme="majorBidi" w:hAnsiTheme="majorBidi" w:cstheme="majorBidi"/>
        </w:rPr>
        <w:t>71</w:t>
      </w:r>
      <w:r w:rsidRPr="00207F53">
        <w:rPr>
          <w:rFonts w:asciiTheme="majorBidi" w:hAnsiTheme="majorBidi" w:cstheme="majorBidi"/>
        </w:rPr>
        <w:fldChar w:fldCharType="end"/>
      </w:r>
      <w:r w:rsidRPr="00207F53">
        <w:rPr>
          <w:rFonts w:asciiTheme="majorBidi" w:hAnsiTheme="majorBidi" w:cstheme="majorBidi"/>
        </w:rPr>
        <w:t xml:space="preserve"> (</w:t>
      </w:r>
      <w:r>
        <w:rPr>
          <w:rFonts w:asciiTheme="majorBidi" w:hAnsiTheme="majorBidi" w:cstheme="majorBidi"/>
        </w:rPr>
        <w:t>finding</w:t>
      </w:r>
      <w:r w:rsidRPr="00207F53">
        <w:rPr>
          <w:rFonts w:asciiTheme="majorBidi" w:hAnsiTheme="majorBidi" w:cstheme="majorBidi"/>
        </w:rPr>
        <w:t xml:space="preserve"> that the level of CEO pay in companies owned by private equity firms is statistically indistinguishable from the level of pay in similar public companies. However, private equity investors tie CEO pay much more closely to performance than do the boards of directors of otherwise similar public companies). </w:t>
      </w:r>
    </w:p>
  </w:footnote>
  <w:footnote w:id="92">
    <w:p w14:paraId="31DE9807"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In some cases, the proxy statements did not provide a quantification for all or certain parts of the payment. In cases where other components of the payment were quantified, we recorded the minimal amount presented in the proxy statement.</w:t>
      </w:r>
    </w:p>
  </w:footnote>
  <w:footnote w:id="93">
    <w:p w14:paraId="2EBA1854" w14:textId="37C33489" w:rsidR="00E55CF3" w:rsidRPr="00A61532" w:rsidRDefault="00E55CF3" w:rsidP="00E55CF3">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Pr>
          <w:rFonts w:asciiTheme="majorBidi" w:hAnsiTheme="majorBidi" w:cstheme="majorBidi"/>
        </w:rPr>
        <w:t xml:space="preserve">The </w:t>
      </w:r>
      <w:r w:rsidRPr="00AB6050">
        <w:rPr>
          <w:rFonts w:asciiTheme="majorBidi" w:hAnsiTheme="majorBidi" w:cstheme="majorBidi"/>
        </w:rPr>
        <w:t xml:space="preserve">Online Appendix reports substantially similar results with respect to the </w:t>
      </w:r>
      <w:r>
        <w:rPr>
          <w:rFonts w:asciiTheme="majorBidi" w:hAnsiTheme="majorBidi" w:cstheme="majorBidi"/>
        </w:rPr>
        <w:t>81 smaller</w:t>
      </w:r>
      <w:r w:rsidRPr="00AB6050">
        <w:rPr>
          <w:rFonts w:asciiTheme="majorBidi" w:hAnsiTheme="majorBidi" w:cstheme="majorBidi"/>
        </w:rPr>
        <w:t xml:space="preserve"> </w:t>
      </w:r>
      <w:r>
        <w:rPr>
          <w:rFonts w:asciiTheme="majorBidi" w:hAnsiTheme="majorBidi" w:cstheme="majorBidi"/>
        </w:rPr>
        <w:t>d</w:t>
      </w:r>
      <w:r w:rsidRPr="00A61532">
        <w:rPr>
          <w:rFonts w:asciiTheme="majorBidi" w:hAnsiTheme="majorBidi" w:cstheme="majorBidi"/>
        </w:rPr>
        <w:t>eals in our sample</w:t>
      </w:r>
      <w:r w:rsidRPr="00AB6050">
        <w:rPr>
          <w:rFonts w:asciiTheme="majorBidi" w:hAnsiTheme="majorBidi" w:cstheme="majorBidi"/>
        </w:rPr>
        <w:t xml:space="preserve">. </w:t>
      </w:r>
      <w:r>
        <w:rPr>
          <w:rFonts w:asciiTheme="majorBidi" w:hAnsiTheme="majorBidi" w:cstheme="majorBidi"/>
        </w:rPr>
        <w:t>W</w:t>
      </w:r>
      <w:r w:rsidRPr="00AB6050">
        <w:rPr>
          <w:rFonts w:asciiTheme="majorBidi" w:hAnsiTheme="majorBidi" w:cstheme="majorBidi"/>
        </w:rPr>
        <w:t>e find that for the smaller ERR transactions, the average (median) amount of payment that target's executives receive Qua Shareholders is $26.</w:t>
      </w:r>
      <w:r>
        <w:rPr>
          <w:rFonts w:asciiTheme="majorBidi" w:hAnsiTheme="majorBidi" w:cstheme="majorBidi"/>
        </w:rPr>
        <w:t>1</w:t>
      </w:r>
      <w:r w:rsidRPr="00AB6050">
        <w:rPr>
          <w:rFonts w:asciiTheme="majorBidi" w:hAnsiTheme="majorBidi" w:cstheme="majorBidi"/>
        </w:rPr>
        <w:t xml:space="preserve"> ($11.</w:t>
      </w:r>
      <w:r>
        <w:rPr>
          <w:rFonts w:asciiTheme="majorBidi" w:hAnsiTheme="majorBidi" w:cstheme="majorBidi"/>
        </w:rPr>
        <w:t>2</w:t>
      </w:r>
      <w:r w:rsidRPr="00AB6050">
        <w:rPr>
          <w:rFonts w:asciiTheme="majorBidi" w:hAnsiTheme="majorBidi" w:cstheme="majorBidi"/>
        </w:rPr>
        <w:t>) million, the Payment Qua Executives is $6.</w:t>
      </w:r>
      <w:r>
        <w:rPr>
          <w:rFonts w:asciiTheme="majorBidi" w:hAnsiTheme="majorBidi" w:cstheme="majorBidi"/>
        </w:rPr>
        <w:t>5</w:t>
      </w:r>
      <w:r w:rsidRPr="00AB6050">
        <w:rPr>
          <w:rFonts w:asciiTheme="majorBidi" w:hAnsiTheme="majorBidi" w:cstheme="majorBidi"/>
        </w:rPr>
        <w:t xml:space="preserve"> ($3.3) million. </w:t>
      </w:r>
      <w:r w:rsidR="00B93DAD">
        <w:rPr>
          <w:rFonts w:asciiTheme="majorBidi" w:hAnsiTheme="majorBidi" w:cstheme="majorBidi"/>
        </w:rPr>
        <w:t>H</w:t>
      </w:r>
      <w:r w:rsidRPr="00AB6050">
        <w:rPr>
          <w:rFonts w:asciiTheme="majorBidi" w:hAnsiTheme="majorBidi" w:cstheme="majorBidi"/>
        </w:rPr>
        <w:t xml:space="preserve">igher gains were documented for </w:t>
      </w:r>
      <w:r>
        <w:rPr>
          <w:rFonts w:asciiTheme="majorBidi" w:hAnsiTheme="majorBidi" w:cstheme="majorBidi"/>
        </w:rPr>
        <w:t>the smaller</w:t>
      </w:r>
      <w:r w:rsidRPr="00AB6050">
        <w:rPr>
          <w:rFonts w:asciiTheme="majorBidi" w:hAnsiTheme="majorBidi" w:cstheme="majorBidi"/>
        </w:rPr>
        <w:t xml:space="preserve"> Non-ERR transactions, with the average (median) amount of Payment Qua Shareholders being $40.</w:t>
      </w:r>
      <w:r>
        <w:rPr>
          <w:rFonts w:asciiTheme="majorBidi" w:hAnsiTheme="majorBidi" w:cstheme="majorBidi"/>
        </w:rPr>
        <w:t>7</w:t>
      </w:r>
      <w:r w:rsidRPr="00AB6050">
        <w:rPr>
          <w:rFonts w:asciiTheme="majorBidi" w:hAnsiTheme="majorBidi" w:cstheme="majorBidi"/>
        </w:rPr>
        <w:t xml:space="preserve"> ($10.8) million, </w:t>
      </w:r>
      <w:r w:rsidR="009D5F41">
        <w:rPr>
          <w:rFonts w:asciiTheme="majorBidi" w:hAnsiTheme="majorBidi" w:cstheme="majorBidi"/>
        </w:rPr>
        <w:t xml:space="preserve">and </w:t>
      </w:r>
      <w:r w:rsidRPr="00AB6050">
        <w:rPr>
          <w:rFonts w:asciiTheme="majorBidi" w:hAnsiTheme="majorBidi" w:cstheme="majorBidi"/>
        </w:rPr>
        <w:t>Payment Qua Executives being $15.</w:t>
      </w:r>
      <w:r>
        <w:rPr>
          <w:rFonts w:asciiTheme="majorBidi" w:hAnsiTheme="majorBidi" w:cstheme="majorBidi"/>
        </w:rPr>
        <w:t>0</w:t>
      </w:r>
      <w:r w:rsidRPr="00AB6050">
        <w:rPr>
          <w:rFonts w:asciiTheme="majorBidi" w:hAnsiTheme="majorBidi" w:cstheme="majorBidi"/>
        </w:rPr>
        <w:t xml:space="preserve"> ($11.5) million. </w:t>
      </w:r>
    </w:p>
  </w:footnote>
  <w:footnote w:id="94">
    <w:p w14:paraId="437B0C19"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These numbers combine (i) percentage of deals in which the buyer committed to retain the target's CEO (42% of the top ERR and 17% for the top Non-ERR deals), and (ii) the percentage of deals in which other executives received such a commitment (33% of the top ERR and 25% for the top Non-ERR deals), while counting only once deals that fall within these two categories.</w:t>
      </w:r>
    </w:p>
  </w:footnote>
  <w:footnote w:id="95">
    <w:p w14:paraId="628C06D4" w14:textId="56C32EFB" w:rsidR="00CE42F1" w:rsidRPr="00207F53" w:rsidRDefault="00CE42F1" w:rsidP="00C40B42">
      <w:pPr>
        <w:pStyle w:val="FootnoteText"/>
        <w:rPr>
          <w:rFonts w:asciiTheme="majorBidi" w:hAnsiTheme="majorBidi" w:cstheme="majorBidi"/>
          <w:rtl/>
        </w:rPr>
      </w:pPr>
      <w:r w:rsidRPr="00207F53">
        <w:rPr>
          <w:rStyle w:val="FootnoteReference"/>
          <w:rFonts w:asciiTheme="majorBidi" w:hAnsiTheme="majorBidi" w:cstheme="majorBidi"/>
        </w:rPr>
        <w:footnoteRef/>
      </w:r>
      <w:r w:rsidRPr="00207F53">
        <w:rPr>
          <w:rFonts w:asciiTheme="majorBidi" w:hAnsiTheme="majorBidi" w:cstheme="majorBidi"/>
        </w:rPr>
        <w:t xml:space="preserve"> Some representative examples are: (1) “It is </w:t>
      </w:r>
      <w:r w:rsidRPr="00207F53">
        <w:rPr>
          <w:rFonts w:asciiTheme="majorBidi" w:hAnsiTheme="majorBidi" w:cstheme="majorBidi"/>
          <w:i/>
          <w:iCs/>
        </w:rPr>
        <w:t>possible</w:t>
      </w:r>
      <w:r w:rsidRPr="00207F53">
        <w:rPr>
          <w:rFonts w:asciiTheme="majorBidi" w:hAnsiTheme="majorBidi" w:cstheme="majorBidi"/>
        </w:rPr>
        <w:t xml:space="preserve"> that some or all of our executive officers may discuss or enter into agreements with parent regarding their continuing employment”; (2) “Acquirer has </w:t>
      </w:r>
      <w:r w:rsidRPr="00207F53">
        <w:rPr>
          <w:rFonts w:asciiTheme="majorBidi" w:hAnsiTheme="majorBidi" w:cstheme="majorBidi"/>
          <w:i/>
          <w:iCs/>
        </w:rPr>
        <w:t>expressed its intention</w:t>
      </w:r>
      <w:r w:rsidRPr="00207F53">
        <w:rPr>
          <w:rFonts w:asciiTheme="majorBidi" w:hAnsiTheme="majorBidi" w:cstheme="majorBidi"/>
        </w:rPr>
        <w:t xml:space="preserve"> to cause the surviving corporation to enter into agreements with other members of our management team”; and even (3) “Parent has </w:t>
      </w:r>
      <w:r w:rsidRPr="00207F53">
        <w:rPr>
          <w:rFonts w:asciiTheme="majorBidi" w:hAnsiTheme="majorBidi" w:cstheme="majorBidi"/>
          <w:i/>
          <w:iCs/>
        </w:rPr>
        <w:t>engaged in initial conversations</w:t>
      </w:r>
      <w:r w:rsidRPr="00207F53">
        <w:rPr>
          <w:rFonts w:asciiTheme="majorBidi" w:hAnsiTheme="majorBidi" w:cstheme="majorBidi"/>
        </w:rPr>
        <w:t xml:space="preserve"> with certain members of management” (Regarding employment arrangements with the surviving company).</w:t>
      </w:r>
      <w:r w:rsidR="00B93DAD">
        <w:rPr>
          <w:rFonts w:asciiTheme="majorBidi" w:hAnsiTheme="majorBidi" w:cstheme="majorBidi"/>
        </w:rPr>
        <w:t xml:space="preserve"> </w:t>
      </w:r>
      <w:r w:rsidR="00B93DAD" w:rsidRPr="00B93DAD">
        <w:rPr>
          <w:rFonts w:asciiTheme="majorBidi" w:hAnsiTheme="majorBidi" w:cstheme="majorBidi"/>
        </w:rPr>
        <w:t xml:space="preserve">These soft commitments often coexist with concrete commitments for retention of the target's CEO or certain </w:t>
      </w:r>
      <w:r w:rsidR="00B93DAD">
        <w:rPr>
          <w:rFonts w:asciiTheme="majorBidi" w:hAnsiTheme="majorBidi" w:cstheme="majorBidi"/>
        </w:rPr>
        <w:t xml:space="preserve">other top </w:t>
      </w:r>
      <w:r w:rsidR="00B93DAD" w:rsidRPr="00B93DAD">
        <w:rPr>
          <w:rFonts w:asciiTheme="majorBidi" w:hAnsiTheme="majorBidi" w:cstheme="majorBidi"/>
        </w:rPr>
        <w:t>executives. Due to the difference in the degree of certainty that these two types of commitments provide for the executives, they were documented separately.</w:t>
      </w:r>
    </w:p>
  </w:footnote>
  <w:footnote w:id="96">
    <w:p w14:paraId="3677510D" w14:textId="5683D59F" w:rsidR="009409BA" w:rsidRPr="00A61532" w:rsidRDefault="009409BA" w:rsidP="009409BA">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Pr>
          <w:rFonts w:asciiTheme="majorBidi" w:hAnsiTheme="majorBidi" w:cstheme="majorBidi"/>
        </w:rPr>
        <w:t xml:space="preserve">The </w:t>
      </w:r>
      <w:r w:rsidRPr="00AB6050">
        <w:rPr>
          <w:rFonts w:asciiTheme="majorBidi" w:hAnsiTheme="majorBidi" w:cstheme="majorBidi"/>
        </w:rPr>
        <w:t>Online Appendix reports substantially similar results with respect to the</w:t>
      </w:r>
      <w:r>
        <w:rPr>
          <w:rFonts w:asciiTheme="majorBidi" w:hAnsiTheme="majorBidi" w:cstheme="majorBidi"/>
        </w:rPr>
        <w:t xml:space="preserve"> 81</w:t>
      </w:r>
      <w:r w:rsidRPr="00AB6050">
        <w:rPr>
          <w:rFonts w:asciiTheme="majorBidi" w:hAnsiTheme="majorBidi" w:cstheme="majorBidi"/>
        </w:rPr>
        <w:t xml:space="preserve"> </w:t>
      </w:r>
      <w:r>
        <w:rPr>
          <w:rFonts w:asciiTheme="majorBidi" w:hAnsiTheme="majorBidi" w:cstheme="majorBidi"/>
        </w:rPr>
        <w:t>smaller</w:t>
      </w:r>
      <w:r w:rsidRPr="00AB6050">
        <w:rPr>
          <w:rFonts w:asciiTheme="majorBidi" w:hAnsiTheme="majorBidi" w:cstheme="majorBidi"/>
        </w:rPr>
        <w:t xml:space="preserve"> </w:t>
      </w:r>
      <w:r w:rsidRPr="00A61532">
        <w:rPr>
          <w:rFonts w:asciiTheme="majorBidi" w:hAnsiTheme="majorBidi" w:cstheme="majorBidi"/>
        </w:rPr>
        <w:t>deals in our sample</w:t>
      </w:r>
      <w:r w:rsidRPr="00AB6050">
        <w:rPr>
          <w:rFonts w:asciiTheme="majorBidi" w:hAnsiTheme="majorBidi" w:cstheme="majorBidi"/>
        </w:rPr>
        <w:t xml:space="preserve">. </w:t>
      </w:r>
      <w:r>
        <w:rPr>
          <w:rFonts w:asciiTheme="majorBidi" w:hAnsiTheme="majorBidi" w:cstheme="majorBidi"/>
        </w:rPr>
        <w:t>I</w:t>
      </w:r>
      <w:r w:rsidRPr="00A61532">
        <w:rPr>
          <w:rFonts w:asciiTheme="majorBidi" w:hAnsiTheme="majorBidi" w:cstheme="majorBidi"/>
        </w:rPr>
        <w:t xml:space="preserve">n </w:t>
      </w:r>
      <w:r>
        <w:rPr>
          <w:rFonts w:asciiTheme="majorBidi" w:hAnsiTheme="majorBidi" w:cstheme="majorBidi"/>
        </w:rPr>
        <w:t>22</w:t>
      </w:r>
      <w:r w:rsidRPr="00A61532">
        <w:rPr>
          <w:rFonts w:asciiTheme="majorBidi" w:hAnsiTheme="majorBidi" w:cstheme="majorBidi"/>
        </w:rPr>
        <w:t xml:space="preserve">% of </w:t>
      </w:r>
      <w:r w:rsidR="00B93DAD">
        <w:rPr>
          <w:rFonts w:asciiTheme="majorBidi" w:hAnsiTheme="majorBidi" w:cstheme="majorBidi"/>
        </w:rPr>
        <w:t xml:space="preserve">the </w:t>
      </w:r>
      <w:r>
        <w:rPr>
          <w:rFonts w:asciiTheme="majorBidi" w:hAnsiTheme="majorBidi" w:cstheme="majorBidi"/>
        </w:rPr>
        <w:t>smaller</w:t>
      </w:r>
      <w:r w:rsidRPr="00A61532">
        <w:rPr>
          <w:rFonts w:asciiTheme="majorBidi" w:hAnsiTheme="majorBidi" w:cstheme="majorBidi"/>
        </w:rPr>
        <w:t xml:space="preserve"> ERR deals and 33% of the Non-ERR deals, the proxy statement expressly states that the target's CEO or other top executives will be employed in the surviving company</w:t>
      </w:r>
      <w:r w:rsidR="00B93DAD">
        <w:rPr>
          <w:rFonts w:asciiTheme="majorBidi" w:hAnsiTheme="majorBidi" w:cstheme="majorBidi"/>
        </w:rPr>
        <w:t>.</w:t>
      </w:r>
      <w:r w:rsidRPr="00A61532">
        <w:rPr>
          <w:rFonts w:asciiTheme="majorBidi" w:hAnsiTheme="majorBidi" w:cstheme="majorBidi"/>
        </w:rPr>
        <w:t xml:space="preserve"> </w:t>
      </w:r>
      <w:r w:rsidR="00B93DAD" w:rsidRPr="00A61532">
        <w:rPr>
          <w:rFonts w:asciiTheme="majorBidi" w:hAnsiTheme="majorBidi" w:cstheme="majorBidi"/>
        </w:rPr>
        <w:t>“</w:t>
      </w:r>
      <w:r w:rsidR="00B93DAD">
        <w:rPr>
          <w:rFonts w:asciiTheme="majorBidi" w:hAnsiTheme="majorBidi" w:cstheme="majorBidi"/>
        </w:rPr>
        <w:t>S</w:t>
      </w:r>
      <w:r w:rsidR="00B93DAD" w:rsidRPr="00A61532">
        <w:rPr>
          <w:rFonts w:asciiTheme="majorBidi" w:hAnsiTheme="majorBidi" w:cstheme="majorBidi"/>
        </w:rPr>
        <w:t>ofter”</w:t>
      </w:r>
      <w:r w:rsidR="00B93DAD" w:rsidRPr="00A61532" w:rsidDel="001D6B57">
        <w:rPr>
          <w:rFonts w:asciiTheme="majorBidi" w:hAnsiTheme="majorBidi" w:cstheme="majorBidi"/>
        </w:rPr>
        <w:t xml:space="preserve"> </w:t>
      </w:r>
      <w:r w:rsidR="00B93DAD">
        <w:rPr>
          <w:rFonts w:asciiTheme="majorBidi" w:hAnsiTheme="majorBidi" w:cstheme="majorBidi"/>
        </w:rPr>
        <w:t>commitments were documented</w:t>
      </w:r>
      <w:r w:rsidR="00B93DAD" w:rsidRPr="00A61532" w:rsidDel="00B93DAD">
        <w:rPr>
          <w:rFonts w:asciiTheme="majorBidi" w:hAnsiTheme="majorBidi" w:cstheme="majorBidi"/>
        </w:rPr>
        <w:t xml:space="preserve"> </w:t>
      </w:r>
      <w:r w:rsidRPr="00A61532">
        <w:rPr>
          <w:rFonts w:asciiTheme="majorBidi" w:hAnsiTheme="majorBidi" w:cstheme="majorBidi"/>
        </w:rPr>
        <w:t xml:space="preserve">in </w:t>
      </w:r>
      <w:r>
        <w:rPr>
          <w:rFonts w:asciiTheme="majorBidi" w:hAnsiTheme="majorBidi" w:cstheme="majorBidi"/>
        </w:rPr>
        <w:t>54</w:t>
      </w:r>
      <w:r w:rsidRPr="00A61532">
        <w:rPr>
          <w:rFonts w:asciiTheme="majorBidi" w:hAnsiTheme="majorBidi" w:cstheme="majorBidi"/>
        </w:rPr>
        <w:t xml:space="preserve">% of </w:t>
      </w:r>
      <w:r>
        <w:rPr>
          <w:rFonts w:asciiTheme="majorBidi" w:hAnsiTheme="majorBidi" w:cstheme="majorBidi"/>
        </w:rPr>
        <w:t>the smaller</w:t>
      </w:r>
      <w:r w:rsidRPr="00A61532">
        <w:rPr>
          <w:rFonts w:asciiTheme="majorBidi" w:hAnsiTheme="majorBidi" w:cstheme="majorBidi"/>
        </w:rPr>
        <w:t xml:space="preserve"> ERR transactions and in 3</w:t>
      </w:r>
      <w:r>
        <w:rPr>
          <w:rFonts w:asciiTheme="majorBidi" w:hAnsiTheme="majorBidi" w:cstheme="majorBidi"/>
        </w:rPr>
        <w:t>3</w:t>
      </w:r>
      <w:r w:rsidRPr="00A61532">
        <w:rPr>
          <w:rFonts w:asciiTheme="majorBidi" w:hAnsiTheme="majorBidi" w:cstheme="majorBidi"/>
        </w:rPr>
        <w:t>% of Non-ERR transactions</w:t>
      </w:r>
      <w:r w:rsidR="00B93DAD">
        <w:rPr>
          <w:rFonts w:asciiTheme="majorBidi" w:hAnsiTheme="majorBidi" w:cstheme="majorBidi"/>
        </w:rPr>
        <w:t>.</w:t>
      </w:r>
      <w:r w:rsidRPr="00A61532">
        <w:rPr>
          <w:rFonts w:asciiTheme="majorBidi" w:hAnsiTheme="majorBidi" w:cstheme="majorBidi"/>
        </w:rPr>
        <w:t xml:space="preserve"> </w:t>
      </w:r>
    </w:p>
  </w:footnote>
  <w:footnote w:id="97">
    <w:p w14:paraId="53CEEA2A" w14:textId="77777777" w:rsidR="00CE42F1" w:rsidRPr="00207F53" w:rsidRDefault="00CE42F1" w:rsidP="00052D1C">
      <w:pPr>
        <w:pStyle w:val="FootnoteText"/>
      </w:pPr>
      <w:r w:rsidRPr="00207F53">
        <w:rPr>
          <w:rStyle w:val="FootnoteReference"/>
        </w:rPr>
        <w:footnoteRef/>
      </w:r>
      <w:r w:rsidRPr="00207F53">
        <w:t xml:space="preserve"> </w:t>
      </w:r>
      <w:r w:rsidRPr="00332FE2">
        <w:rPr>
          <w:rFonts w:asciiTheme="majorBidi" w:hAnsiTheme="majorBidi"/>
          <w:i/>
        </w:rPr>
        <w:t>See</w:t>
      </w:r>
      <w:r w:rsidRPr="00207F53">
        <w:rPr>
          <w:rFonts w:asciiTheme="majorBidi" w:hAnsiTheme="majorBidi" w:cstheme="majorBidi"/>
        </w:rPr>
        <w:t xml:space="preserve"> Table A2 of the Online Appendix</w:t>
      </w:r>
      <w:r w:rsidRPr="00207F53">
        <w:t>.</w:t>
      </w:r>
    </w:p>
  </w:footnote>
  <w:footnote w:id="98">
    <w:p w14:paraId="1C1B2463" w14:textId="5BD9AFCF" w:rsidR="00B93DAD" w:rsidRPr="00A61532" w:rsidRDefault="00B93DAD" w:rsidP="00B93DAD">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Pr>
          <w:rFonts w:asciiTheme="majorBidi" w:hAnsiTheme="majorBidi" w:cstheme="majorBidi"/>
        </w:rPr>
        <w:t>A</w:t>
      </w:r>
      <w:r w:rsidRPr="00DB7751">
        <w:rPr>
          <w:rFonts w:asciiTheme="majorBidi" w:hAnsiTheme="majorBidi" w:cstheme="majorBidi"/>
        </w:rPr>
        <w:t>s Table A3 of the Online Appendix</w:t>
      </w:r>
      <w:r>
        <w:rPr>
          <w:rFonts w:asciiTheme="majorBidi" w:hAnsiTheme="majorBidi" w:cstheme="majorBidi"/>
        </w:rPr>
        <w:t xml:space="preserve"> shows</w:t>
      </w:r>
      <w:r w:rsidRPr="00DB7751">
        <w:rPr>
          <w:rFonts w:asciiTheme="majorBidi" w:hAnsiTheme="majorBidi" w:cstheme="majorBidi"/>
        </w:rPr>
        <w:t xml:space="preserve">, the findings </w:t>
      </w:r>
      <w:r w:rsidR="00426DBD">
        <w:rPr>
          <w:rFonts w:asciiTheme="majorBidi" w:hAnsiTheme="majorBidi" w:cstheme="majorBidi"/>
        </w:rPr>
        <w:t>also</w:t>
      </w:r>
      <w:r w:rsidRPr="00DB7751">
        <w:rPr>
          <w:rFonts w:asciiTheme="majorBidi" w:hAnsiTheme="majorBidi" w:cstheme="majorBidi"/>
        </w:rPr>
        <w:t xml:space="preserve"> hold when we examine the 81 smaller deals in our sample. The average (median) amount of payments that directors received Qua Shareholders for the smaller ERR and Non-ERR transactions is $27.3 ($6.4) million and $28.</w:t>
      </w:r>
      <w:r>
        <w:rPr>
          <w:rFonts w:asciiTheme="majorBidi" w:hAnsiTheme="majorBidi" w:cstheme="majorBidi"/>
        </w:rPr>
        <w:t>9</w:t>
      </w:r>
      <w:r w:rsidRPr="00DB7751">
        <w:rPr>
          <w:rFonts w:asciiTheme="majorBidi" w:hAnsiTheme="majorBidi" w:cstheme="majorBidi"/>
        </w:rPr>
        <w:t xml:space="preserve"> ($5.4), respectively. Directors received Payments Qua Directors of any sort in 61% of the smaller ERR transactions and 58% of the Non-ERR transactions, with an average (median) aggregate amount of $1.3 ($0.6) million and $1.2 ($1.1) million, respectively. Directors were assigned </w:t>
      </w:r>
      <w:r>
        <w:rPr>
          <w:rFonts w:asciiTheme="majorBidi" w:hAnsiTheme="majorBidi" w:cstheme="majorBidi"/>
        </w:rPr>
        <w:t xml:space="preserve">board </w:t>
      </w:r>
      <w:r w:rsidRPr="00DB7751">
        <w:rPr>
          <w:rFonts w:asciiTheme="majorBidi" w:hAnsiTheme="majorBidi" w:cstheme="majorBidi"/>
        </w:rPr>
        <w:t>seats at the surviving company in 5% of the smaller ERR transactions and in 13% of the smaller Non-ERR transactions.</w:t>
      </w:r>
    </w:p>
  </w:footnote>
  <w:footnote w:id="99">
    <w:p w14:paraId="1D0444AC" w14:textId="6530941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rPr>
        <w:t xml:space="preserve">See </w:t>
      </w:r>
      <w:r w:rsidRPr="00207F53">
        <w:rPr>
          <w:rFonts w:asciiTheme="majorBidi" w:hAnsiTheme="majorBidi" w:cstheme="majorBidi"/>
          <w:i/>
          <w:iCs/>
        </w:rPr>
        <w:t>supra</w:t>
      </w:r>
      <w:r w:rsidRPr="00207F53">
        <w:rPr>
          <w:rFonts w:asciiTheme="majorBidi" w:hAnsiTheme="majorBidi" w:cstheme="majorBidi"/>
        </w:rPr>
        <w:t xml:space="preserve"> notes</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_Ref47771952 \h </w:instrText>
      </w:r>
      <w:r>
        <w:rPr>
          <w:rFonts w:asciiTheme="majorBidi" w:hAnsiTheme="majorBidi" w:cstheme="majorBidi"/>
        </w:rPr>
      </w:r>
      <w:r>
        <w:rPr>
          <w:rFonts w:asciiTheme="majorBidi" w:hAnsiTheme="majorBidi" w:cstheme="majorBidi"/>
        </w:rPr>
        <w:fldChar w:fldCharType="separate"/>
      </w:r>
      <w:r w:rsidR="00581B6B">
        <w:rPr>
          <w:rFonts w:asciiTheme="majorBidi" w:hAnsiTheme="majorBidi" w:cstheme="majorBidi"/>
        </w:rPr>
        <w:t>43</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_Ref47771957 \h </w:instrText>
      </w:r>
      <w:r>
        <w:rPr>
          <w:rFonts w:asciiTheme="majorBidi" w:hAnsiTheme="majorBidi" w:cstheme="majorBidi"/>
        </w:rPr>
      </w:r>
      <w:r>
        <w:rPr>
          <w:rFonts w:asciiTheme="majorBidi" w:hAnsiTheme="majorBidi" w:cstheme="majorBidi"/>
        </w:rPr>
        <w:fldChar w:fldCharType="separate"/>
      </w:r>
      <w:r w:rsidR="00581B6B">
        <w:rPr>
          <w:rFonts w:asciiTheme="majorBidi" w:hAnsiTheme="majorBidi" w:cstheme="majorBidi"/>
        </w:rPr>
        <w:t>48</w:t>
      </w:r>
      <w:r>
        <w:rPr>
          <w:rFonts w:asciiTheme="majorBidi" w:hAnsiTheme="majorBidi" w:cstheme="majorBidi"/>
        </w:rPr>
        <w:fldChar w:fldCharType="end"/>
      </w:r>
      <w:r>
        <w:rPr>
          <w:rFonts w:asciiTheme="majorBidi" w:hAnsiTheme="majorBidi" w:cstheme="majorBidi"/>
        </w:rPr>
        <w:t xml:space="preserve">, </w:t>
      </w:r>
      <w:r w:rsidRPr="00207F53">
        <w:rPr>
          <w:rFonts w:asciiTheme="majorBidi" w:hAnsiTheme="majorBidi" w:cstheme="majorBidi"/>
        </w:rPr>
        <w:t>and accompanying text.</w:t>
      </w:r>
    </w:p>
  </w:footnote>
  <w:footnote w:id="100">
    <w:p w14:paraId="47CB488F"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To determine the value of this dimension, we looked for exclusions of enforceability in the clauses containing the documented commitments, as well as for general “No Third-Party Beneficiaries” clauses in the miscellanea of the merger agreements. Clauses of the latter type were reviewed in search of exceptions that expressly allow employees to enforce their rights.</w:t>
      </w:r>
    </w:p>
  </w:footnote>
  <w:footnote w:id="101">
    <w:p w14:paraId="03BE283F" w14:textId="151FF8D7" w:rsidR="00426DBD" w:rsidRDefault="00426DBD" w:rsidP="00426DBD">
      <w:pPr>
        <w:pStyle w:val="FootnoteText"/>
      </w:pPr>
      <w:r>
        <w:rPr>
          <w:rStyle w:val="FootnoteReference"/>
        </w:rPr>
        <w:footnoteRef/>
      </w:r>
      <w:r>
        <w:t xml:space="preserve"> </w:t>
      </w:r>
      <w:r w:rsidRPr="00E857FA">
        <w:t xml:space="preserve">As </w:t>
      </w:r>
      <w:r>
        <w:t>T</w:t>
      </w:r>
      <w:r w:rsidRPr="00E857FA">
        <w:t>able A4 of the Online Appendix</w:t>
      </w:r>
      <w:r>
        <w:t xml:space="preserve"> shows</w:t>
      </w:r>
      <w:r w:rsidRPr="00E857FA">
        <w:t xml:space="preserve">, these </w:t>
      </w:r>
      <w:r>
        <w:t>results</w:t>
      </w:r>
      <w:r w:rsidRPr="00E857FA">
        <w:t xml:space="preserve"> </w:t>
      </w:r>
      <w:r>
        <w:t xml:space="preserve">also </w:t>
      </w:r>
      <w:r w:rsidRPr="00E857FA">
        <w:t xml:space="preserve">hold as we examine </w:t>
      </w:r>
      <w:r w:rsidRPr="00DB7751">
        <w:rPr>
          <w:rFonts w:asciiTheme="majorBidi" w:hAnsiTheme="majorBidi" w:cstheme="majorBidi"/>
        </w:rPr>
        <w:t>when we examine the 81 smaller deals in our sample</w:t>
      </w:r>
      <w:r w:rsidRPr="00E857FA">
        <w:t>. Commitments to retain target's employees in the surviving company were only documented in five of these transactions.</w:t>
      </w:r>
      <w:r>
        <w:t xml:space="preserve"> </w:t>
      </w:r>
      <w:r w:rsidRPr="00E857FA">
        <w:t>Additionally, commitments to maintain the levels of compensation and benefits for continuing employees (without a commitment to retain their employment) were documented only in 63% of the smaller ERR and 68% of the smaller Non-ERR transactions, and were typically limited to a time period averaging 11.00 and 12.50 months, respectively.  Employees received additional payments in 10% of the smaller ERR transactions and in 13% of the smaller Non-ERR transactions, with an average amount of $0.2 million and $1.3 million, respectively; and explicit rejection of third-party beneficiary rights to employees was documented in 93% of the smaller ERR transactions and 92% of the Non-ERR transactions</w:t>
      </w:r>
      <w:r>
        <w:t xml:space="preserve">. </w:t>
      </w:r>
    </w:p>
  </w:footnote>
  <w:footnote w:id="102">
    <w:p w14:paraId="6BFA55EC" w14:textId="1B3A1498" w:rsidR="00CE42F1" w:rsidRPr="00207F53" w:rsidRDefault="00CE42F1" w:rsidP="00C413E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For representative examples of such commitment see the 'White River Capital' merger agreement, stating that: “Immediately after the effective time of the merger, the surviving corporation and Coastal Credit will continue to employ all employees, </w:t>
      </w:r>
      <w:r w:rsidRPr="00207F53">
        <w:rPr>
          <w:rFonts w:asciiTheme="majorBidi" w:hAnsiTheme="majorBidi" w:cstheme="majorBidi"/>
          <w:i/>
          <w:iCs/>
        </w:rPr>
        <w:t>on an 'at-will' basis</w:t>
      </w:r>
      <w:r w:rsidRPr="00207F53">
        <w:rPr>
          <w:rFonts w:asciiTheme="majorBidi" w:hAnsiTheme="majorBidi" w:cstheme="majorBidi"/>
        </w:rPr>
        <w:t xml:space="preserve">”; as well as in the ' Silverleaf Resorts' merger agreement, which stipulates that: “As of the Closing Date, Parent shall cause the Company to continue to employ each employee of the Company [...] </w:t>
      </w:r>
      <w:r w:rsidRPr="00207F53">
        <w:rPr>
          <w:rFonts w:asciiTheme="majorBidi" w:hAnsiTheme="majorBidi" w:cstheme="majorBidi"/>
          <w:i/>
          <w:iCs/>
        </w:rPr>
        <w:t>Nothing in this provision precludes the Company from terminating an Employee’s employment for any reason at any time following the Closing Date.</w:t>
      </w:r>
      <w:r w:rsidRPr="00207F53">
        <w:rPr>
          <w:rFonts w:asciiTheme="majorBidi" w:hAnsiTheme="majorBidi" w:cstheme="majorBidi"/>
        </w:rPr>
        <w:t>”</w:t>
      </w:r>
    </w:p>
  </w:footnote>
  <w:footnote w:id="103">
    <w:p w14:paraId="39791835" w14:textId="77777777"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The relevant covenant in the merger agreement states that: “For three years (or five years in the instance specified below), a majority of the Continuing Directors must approve any decision by IMS that is inconsistent with certain commitments made under the Merger Agreement, which include: to the extent commercially reasonable, maintaining Baker’s current staffing levels at its business locations”.</w:t>
      </w:r>
    </w:p>
  </w:footnote>
  <w:footnote w:id="104">
    <w:p w14:paraId="75A28962" w14:textId="6058B881"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Table A4 of the Online Appendix.</w:t>
      </w:r>
    </w:p>
  </w:footnote>
  <w:footnote w:id="105">
    <w:p w14:paraId="1E6A9C13" w14:textId="27F251AA" w:rsidR="00CE42F1" w:rsidRPr="00207F53" w:rsidRDefault="00CE42F1" w:rsidP="001D19C9">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Id</w:t>
      </w:r>
      <w:r w:rsidRPr="00207F53">
        <w:rPr>
          <w:rFonts w:asciiTheme="majorBidi" w:hAnsiTheme="majorBidi" w:cstheme="majorBidi"/>
        </w:rPr>
        <w:t>.</w:t>
      </w:r>
    </w:p>
  </w:footnote>
  <w:footnote w:id="106">
    <w:p w14:paraId="777D7686" w14:textId="1E34BA5A"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 supra</w:t>
      </w:r>
      <w:r w:rsidRPr="00207F53">
        <w:rPr>
          <w:rFonts w:asciiTheme="majorBidi" w:hAnsiTheme="majorBidi" w:cstheme="majorBidi"/>
        </w:rPr>
        <w:t xml:space="preserve"> Table </w:t>
      </w:r>
      <w:r>
        <w:rPr>
          <w:rFonts w:asciiTheme="majorBidi" w:hAnsiTheme="majorBidi" w:cstheme="majorBidi"/>
        </w:rPr>
        <w:t>8</w:t>
      </w:r>
      <w:r w:rsidRPr="00207F53">
        <w:rPr>
          <w:rFonts w:asciiTheme="majorBidi" w:hAnsiTheme="majorBidi" w:cstheme="majorBidi"/>
        </w:rPr>
        <w:t>.</w:t>
      </w:r>
    </w:p>
  </w:footnote>
  <w:footnote w:id="107">
    <w:p w14:paraId="2338F1AF" w14:textId="13AE252D" w:rsidR="00CE42F1" w:rsidRPr="00207F53" w:rsidRDefault="00CE42F1"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 e.g.,</w:t>
      </w:r>
      <w:r w:rsidRPr="00207F53">
        <w:rPr>
          <w:rFonts w:asciiTheme="majorBidi" w:hAnsiTheme="majorBidi" w:cstheme="majorBidi"/>
        </w:rPr>
        <w:t xml:space="preserve"> Martin Lipton et al., </w:t>
      </w:r>
      <w:r w:rsidRPr="00207F53">
        <w:rPr>
          <w:rFonts w:asciiTheme="majorBidi" w:hAnsiTheme="majorBidi" w:cstheme="majorBidi"/>
          <w:i/>
          <w:iCs/>
        </w:rPr>
        <w:t>A Framework for Management and Board of Directors Consideration of ESG and Stakeholder Governance</w:t>
      </w:r>
      <w:r w:rsidRPr="00207F53">
        <w:rPr>
          <w:rFonts w:asciiTheme="majorBidi" w:hAnsiTheme="majorBidi" w:cstheme="majorBidi"/>
        </w:rPr>
        <w:t xml:space="preserve">, </w:t>
      </w:r>
      <w:r w:rsidRPr="00207F53">
        <w:rPr>
          <w:rFonts w:asciiTheme="majorBidi" w:hAnsiTheme="majorBidi" w:cstheme="majorBidi"/>
          <w:smallCaps/>
        </w:rPr>
        <w:t>Harv. L. Sch. F. on Corp. Governance</w:t>
      </w:r>
      <w:r w:rsidRPr="00207F53">
        <w:rPr>
          <w:rFonts w:asciiTheme="majorBidi" w:hAnsiTheme="majorBidi" w:cstheme="majorBidi"/>
        </w:rPr>
        <w:t xml:space="preserve"> (Jun. 5, 2020), </w:t>
      </w:r>
      <w:hyperlink r:id="rId10" w:history="1">
        <w:r w:rsidRPr="00207F53">
          <w:rPr>
            <w:rStyle w:val="Hyperlink"/>
          </w:rPr>
          <w:t>https://corpgov.law.harvard.edu/2020/06/05/a-framework-for-management-and-board-of-directors-consideration-of-esg-and-stakeholder-governance/</w:t>
        </w:r>
      </w:hyperlink>
      <w:r w:rsidRPr="00207F53">
        <w:t xml:space="preserve">; </w:t>
      </w:r>
      <w:r w:rsidRPr="00207F53">
        <w:rPr>
          <w:rFonts w:asciiTheme="majorBidi" w:hAnsiTheme="majorBidi" w:cstheme="majorBidi"/>
        </w:rPr>
        <w:t xml:space="preserve">Martin Lipton, </w:t>
      </w:r>
      <w:r w:rsidRPr="00207F53">
        <w:rPr>
          <w:rFonts w:asciiTheme="majorBidi" w:hAnsiTheme="majorBidi" w:cstheme="majorBidi"/>
          <w:i/>
          <w:iCs/>
        </w:rPr>
        <w:t>Purpose, Stakeholders, ESG and Sustainable Long-Term Investment</w:t>
      </w:r>
      <w:r w:rsidRPr="00207F53">
        <w:rPr>
          <w:rFonts w:asciiTheme="majorBidi" w:hAnsiTheme="majorBidi" w:cstheme="majorBidi"/>
        </w:rPr>
        <w:t xml:space="preserve">, </w:t>
      </w:r>
      <w:r w:rsidRPr="00207F53">
        <w:rPr>
          <w:rFonts w:asciiTheme="majorBidi" w:hAnsiTheme="majorBidi" w:cstheme="majorBidi"/>
          <w:smallCaps/>
        </w:rPr>
        <w:t>Harv. L. Sch. F. on Corp. Governance</w:t>
      </w:r>
      <w:r w:rsidRPr="00207F53">
        <w:rPr>
          <w:rFonts w:asciiTheme="majorBidi" w:hAnsiTheme="majorBidi" w:cstheme="majorBidi"/>
        </w:rPr>
        <w:t xml:space="preserve"> (Dec. 24, 2019), </w:t>
      </w:r>
      <w:r w:rsidRPr="00207F53">
        <w:t xml:space="preserve">https://corpgov.law.harvard.edu/2019/12/24/purpose-stakeholders-esg-and-sustainable-long-term-investment/. </w:t>
      </w:r>
    </w:p>
  </w:footnote>
  <w:footnote w:id="108">
    <w:p w14:paraId="0C958DAC" w14:textId="5DB83F89" w:rsidR="00426DBD" w:rsidRPr="00A61532" w:rsidRDefault="00426DBD" w:rsidP="00426DBD">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sidRPr="001C29AE">
        <w:rPr>
          <w:rFonts w:asciiTheme="majorBidi" w:hAnsiTheme="majorBidi" w:cstheme="majorBidi"/>
        </w:rPr>
        <w:t xml:space="preserve">As Table A6 </w:t>
      </w:r>
      <w:r>
        <w:rPr>
          <w:rFonts w:asciiTheme="majorBidi" w:hAnsiTheme="majorBidi" w:cstheme="majorBidi"/>
        </w:rPr>
        <w:t>of</w:t>
      </w:r>
      <w:r w:rsidRPr="001C29AE">
        <w:rPr>
          <w:rFonts w:asciiTheme="majorBidi" w:hAnsiTheme="majorBidi" w:cstheme="majorBidi"/>
        </w:rPr>
        <w:t xml:space="preserve"> the Online Appendix shows, shifting our view to the</w:t>
      </w:r>
      <w:r>
        <w:rPr>
          <w:rFonts w:asciiTheme="majorBidi" w:hAnsiTheme="majorBidi" w:cstheme="majorBidi"/>
        </w:rPr>
        <w:t xml:space="preserve"> 81</w:t>
      </w:r>
      <w:r w:rsidRPr="001C29AE">
        <w:rPr>
          <w:rFonts w:asciiTheme="majorBidi" w:hAnsiTheme="majorBidi" w:cstheme="majorBidi"/>
        </w:rPr>
        <w:t xml:space="preserve"> smaller transactions in our samples yield</w:t>
      </w:r>
      <w:r>
        <w:rPr>
          <w:rFonts w:asciiTheme="majorBidi" w:hAnsiTheme="majorBidi" w:cstheme="majorBidi"/>
        </w:rPr>
        <w:t>s</w:t>
      </w:r>
      <w:r w:rsidRPr="001C29AE">
        <w:rPr>
          <w:rFonts w:asciiTheme="majorBidi" w:hAnsiTheme="majorBidi" w:cstheme="majorBidi"/>
        </w:rPr>
        <w:t xml:space="preserve"> even more significant results. </w:t>
      </w:r>
      <w:r>
        <w:rPr>
          <w:rFonts w:asciiTheme="majorBidi" w:hAnsiTheme="majorBidi" w:cstheme="majorBidi"/>
        </w:rPr>
        <w:t xml:space="preserve">Only </w:t>
      </w:r>
      <w:r w:rsidRPr="001C29AE">
        <w:rPr>
          <w:rFonts w:asciiTheme="majorBidi" w:hAnsiTheme="majorBidi" w:cstheme="majorBidi"/>
        </w:rPr>
        <w:t xml:space="preserve">7% of the smaller ERR transactions and 8% of the smaller Non-ERR transactions contained a commitment to retain the target's headquarters for an average period of 24 and 33 months, respectively. </w:t>
      </w:r>
      <w:r>
        <w:rPr>
          <w:rFonts w:asciiTheme="majorBidi" w:hAnsiTheme="majorBidi" w:cstheme="majorBidi"/>
        </w:rPr>
        <w:t>Additionally, only</w:t>
      </w:r>
      <w:r w:rsidRPr="001C29AE">
        <w:rPr>
          <w:rFonts w:asciiTheme="majorBidi" w:hAnsiTheme="majorBidi" w:cstheme="majorBidi"/>
        </w:rPr>
        <w:t xml:space="preserve"> 2% of the smaller ERR transactions and 3% of the smaller Non-ERR transactions contained commitments </w:t>
      </w:r>
      <w:r>
        <w:rPr>
          <w:rFonts w:asciiTheme="majorBidi" w:hAnsiTheme="majorBidi" w:cstheme="majorBidi"/>
        </w:rPr>
        <w:t xml:space="preserve">to </w:t>
      </w:r>
      <w:r w:rsidRPr="001C29AE">
        <w:rPr>
          <w:rFonts w:asciiTheme="majorBidi" w:hAnsiTheme="majorBidi" w:cstheme="majorBidi"/>
        </w:rPr>
        <w:t>investment in local communities</w:t>
      </w:r>
      <w:r>
        <w:rPr>
          <w:rFonts w:asciiTheme="majorBidi" w:hAnsiTheme="majorBidi" w:cstheme="majorBidi"/>
        </w:rPr>
        <w:t xml:space="preserve"> or</w:t>
      </w:r>
      <w:r w:rsidRPr="001C29AE">
        <w:rPr>
          <w:rFonts w:asciiTheme="majorBidi" w:hAnsiTheme="majorBidi" w:cstheme="majorBidi"/>
        </w:rPr>
        <w:t xml:space="preserve"> philanthropy</w:t>
      </w:r>
      <w:r w:rsidRPr="00A61532">
        <w:rPr>
          <w:rFonts w:asciiTheme="majorBidi" w:hAnsiTheme="majorBidi" w:cstheme="majorBidi"/>
        </w:rPr>
        <w:t>.</w:t>
      </w:r>
    </w:p>
  </w:footnote>
  <w:footnote w:id="109">
    <w:p w14:paraId="350741BC" w14:textId="77777777" w:rsidR="00CE42F1" w:rsidRPr="00207F53" w:rsidRDefault="00CE42F1" w:rsidP="00E2046E">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See Table A6 of the Online Appendix.</w:t>
      </w:r>
    </w:p>
  </w:footnote>
  <w:footnote w:id="110">
    <w:p w14:paraId="630175BF" w14:textId="77C5FF84" w:rsidR="00CE42F1" w:rsidRPr="00207F53" w:rsidRDefault="00CE42F1" w:rsidP="00B20CC8">
      <w:pPr>
        <w:pStyle w:val="FootNote0"/>
      </w:pPr>
      <w:r w:rsidRPr="00207F53">
        <w:rPr>
          <w:rStyle w:val="FootnoteReference"/>
        </w:rPr>
        <w:footnoteRef/>
      </w:r>
      <w:r w:rsidRPr="00207F53">
        <w:t xml:space="preserve"> </w:t>
      </w:r>
      <w:r w:rsidRPr="00207F53">
        <w:t xml:space="preserve">Johnson &amp; </w:t>
      </w:r>
      <w:proofErr w:type="spellStart"/>
      <w:r w:rsidRPr="00207F53">
        <w:t>Millon</w:t>
      </w:r>
      <w:proofErr w:type="spellEnd"/>
      <w:r w:rsidRPr="00207F53">
        <w:t xml:space="preserve">, </w:t>
      </w:r>
      <w:r w:rsidRPr="00207F53">
        <w:rPr>
          <w:i/>
          <w:iCs/>
        </w:rPr>
        <w:t xml:space="preserve">supra </w:t>
      </w:r>
      <w:r w:rsidRPr="00207F53">
        <w:t xml:space="preserve">note </w:t>
      </w:r>
      <w:r w:rsidRPr="00207F53">
        <w:fldChar w:fldCharType="begin"/>
      </w:r>
      <w:r w:rsidRPr="00207F53">
        <w:instrText xml:space="preserve"> NOTEREF _Ref47261953 \h  \* MERGEFORMAT </w:instrText>
      </w:r>
      <w:r w:rsidRPr="00207F53">
        <w:fldChar w:fldCharType="separate"/>
      </w:r>
      <w:r w:rsidR="00581B6B">
        <w:t>38</w:t>
      </w:r>
      <w:r w:rsidRPr="00207F53">
        <w:fldChar w:fldCharType="end"/>
      </w:r>
      <w:r w:rsidRPr="00207F53">
        <w:t>, at 848.</w:t>
      </w:r>
    </w:p>
  </w:footnote>
  <w:footnote w:id="111">
    <w:p w14:paraId="4A0F0CA8" w14:textId="491F34D6" w:rsidR="00CE42F1" w:rsidRPr="00207F53" w:rsidRDefault="00CE42F1" w:rsidP="00B20CC8">
      <w:pPr>
        <w:pStyle w:val="FootNote0"/>
        <w:rPr>
          <w:i/>
          <w:iCs/>
        </w:rPr>
      </w:pPr>
      <w:r w:rsidRPr="00207F53">
        <w:rPr>
          <w:rStyle w:val="FootnoteReference"/>
        </w:rPr>
        <w:footnoteRef/>
      </w:r>
      <w:r w:rsidRPr="00207F53">
        <w:t xml:space="preserve"> </w:t>
      </w:r>
      <w:r w:rsidRPr="00207F53">
        <w:rPr>
          <w:i/>
          <w:iCs/>
        </w:rPr>
        <w:t>See, e.g.</w:t>
      </w:r>
      <w:r w:rsidRPr="00207F53">
        <w:t xml:space="preserve">, </w:t>
      </w:r>
      <w:r w:rsidRPr="00207F53">
        <w:rPr>
          <w:i/>
          <w:iCs/>
        </w:rPr>
        <w:t xml:space="preserve">supra </w:t>
      </w:r>
      <w:r w:rsidRPr="00207F53">
        <w:t>note</w:t>
      </w:r>
      <w:r>
        <w:t xml:space="preserve"> </w:t>
      </w:r>
      <w:r>
        <w:fldChar w:fldCharType="begin"/>
      </w:r>
      <w:r>
        <w:instrText xml:space="preserve"> NOTEREF _Ref47652636 \h </w:instrText>
      </w:r>
      <w:r>
        <w:fldChar w:fldCharType="separate"/>
      </w:r>
      <w:r w:rsidR="00581B6B">
        <w:t>4</w:t>
      </w:r>
      <w:r>
        <w:fldChar w:fldCharType="end"/>
      </w:r>
      <w:r w:rsidRPr="00207F53">
        <w:t xml:space="preserve"> </w:t>
      </w:r>
      <w:r>
        <w:t>and the discussion in Section II.C</w:t>
      </w:r>
      <w:r w:rsidRPr="00207F53">
        <w:t>.</w:t>
      </w:r>
    </w:p>
  </w:footnote>
  <w:footnote w:id="112">
    <w:p w14:paraId="3E6574EE" w14:textId="53FB6848" w:rsidR="00CE42F1" w:rsidRPr="00207F53" w:rsidRDefault="00CE42F1" w:rsidP="00B20CC8">
      <w:pPr>
        <w:pStyle w:val="FootNote0"/>
      </w:pPr>
      <w:r w:rsidRPr="00207F53">
        <w:rPr>
          <w:rStyle w:val="FootnoteReference"/>
        </w:rPr>
        <w:footnoteRef/>
      </w:r>
      <w:r w:rsidRPr="00207F53">
        <w:t xml:space="preserve"> </w:t>
      </w:r>
      <w:r w:rsidRPr="00207F53">
        <w:rPr>
          <w:i/>
          <w:iCs/>
        </w:rPr>
        <w:t>See, e.g.</w:t>
      </w:r>
      <w:r w:rsidRPr="00207F53">
        <w:t xml:space="preserve">, </w:t>
      </w:r>
      <w:r w:rsidRPr="00207F53">
        <w:rPr>
          <w:i/>
          <w:iCs/>
        </w:rPr>
        <w:t xml:space="preserve">supra </w:t>
      </w:r>
      <w:r w:rsidRPr="00207F53">
        <w:t>notes</w:t>
      </w:r>
      <w:r>
        <w:t xml:space="preserve"> </w:t>
      </w:r>
      <w:r>
        <w:fldChar w:fldCharType="begin"/>
      </w:r>
      <w:r>
        <w:instrText xml:space="preserve"> NOTEREF _Ref47660978 \h </w:instrText>
      </w:r>
      <w:r>
        <w:fldChar w:fldCharType="separate"/>
      </w:r>
      <w:r w:rsidR="00581B6B">
        <w:t>11</w:t>
      </w:r>
      <w:r>
        <w:fldChar w:fldCharType="end"/>
      </w:r>
      <w:r>
        <w:t>-</w:t>
      </w:r>
      <w:r>
        <w:fldChar w:fldCharType="begin"/>
      </w:r>
      <w:r>
        <w:instrText xml:space="preserve"> NOTEREF _Ref47774205 \h </w:instrText>
      </w:r>
      <w:r>
        <w:fldChar w:fldCharType="separate"/>
      </w:r>
      <w:r w:rsidR="00581B6B">
        <w:t>12</w:t>
      </w:r>
      <w:r>
        <w:fldChar w:fldCharType="end"/>
      </w:r>
      <w:r>
        <w:t xml:space="preserve">, and </w:t>
      </w:r>
      <w:r>
        <w:fldChar w:fldCharType="begin"/>
      </w:r>
      <w:r>
        <w:instrText xml:space="preserve"> NOTEREF _Ref47774221 \h </w:instrText>
      </w:r>
      <w:r>
        <w:fldChar w:fldCharType="separate"/>
      </w:r>
      <w:r w:rsidR="00581B6B">
        <w:t>25</w:t>
      </w:r>
      <w:r>
        <w:fldChar w:fldCharType="end"/>
      </w:r>
      <w:r>
        <w:t>-</w:t>
      </w:r>
      <w:r>
        <w:fldChar w:fldCharType="begin"/>
      </w:r>
      <w:r>
        <w:instrText xml:space="preserve"> NOTEREF _Ref47774224 \h </w:instrText>
      </w:r>
      <w:r>
        <w:fldChar w:fldCharType="separate"/>
      </w:r>
      <w:r w:rsidR="00581B6B">
        <w:t>26</w:t>
      </w:r>
      <w:r>
        <w:fldChar w:fldCharType="end"/>
      </w:r>
      <w:r w:rsidRPr="00207F53">
        <w:t>.</w:t>
      </w:r>
    </w:p>
  </w:footnote>
  <w:footnote w:id="113">
    <w:p w14:paraId="55439784" w14:textId="6EDC68FF" w:rsidR="00CE42F1" w:rsidRPr="00207F53" w:rsidRDefault="00CE42F1" w:rsidP="00B20CC8">
      <w:pPr>
        <w:pStyle w:val="FootNote0"/>
      </w:pPr>
      <w:r w:rsidRPr="00207F53">
        <w:rPr>
          <w:rStyle w:val="FootnoteReference"/>
          <w:rFonts w:asciiTheme="majorBidi" w:hAnsiTheme="majorBidi" w:cstheme="majorBidi"/>
        </w:rPr>
        <w:footnoteRef/>
      </w:r>
      <w:r w:rsidRPr="00207F53">
        <w:t xml:space="preserve"> For discussions of such problems and externalities, </w:t>
      </w:r>
      <w:r w:rsidRPr="00207F53">
        <w:rPr>
          <w:i/>
          <w:iCs/>
        </w:rPr>
        <w:t>see, e.g.</w:t>
      </w:r>
      <w:r w:rsidRPr="00207F53">
        <w:t xml:space="preserve">, the papers presented at the conference “A New Deal for this New Century: Making Our Economy Work for All”, October 3-4, 2019, available at https://www.law.nyu.edu/centers/icgf/events/newdeal-new-century; Jeffrey N. Gordon, </w:t>
      </w:r>
      <w:r w:rsidRPr="00207F53">
        <w:rPr>
          <w:i/>
          <w:iCs/>
        </w:rPr>
        <w:t>Addressing Economic Insecurity: Why Social Insurance Is Better Than Corporate Governance Reform</w:t>
      </w:r>
      <w:r w:rsidRPr="00207F53">
        <w:t xml:space="preserve">, </w:t>
      </w:r>
      <w:r w:rsidRPr="00332FE2">
        <w:t xml:space="preserve">CLS </w:t>
      </w:r>
      <w:r w:rsidRPr="00207F53">
        <w:t xml:space="preserve">BLUE SKY BLOG, (August 21, 2019), https://clsbluesky.law.columbia.edu/2019/08/21/addressing-economic-insecuritywhy-social-insurance-isbetter-than-corporate-governance-reform; and Matteo </w:t>
      </w:r>
      <w:proofErr w:type="spellStart"/>
      <w:r w:rsidRPr="00207F53">
        <w:t>Gatti</w:t>
      </w:r>
      <w:proofErr w:type="spellEnd"/>
      <w:r w:rsidRPr="00207F53">
        <w:t xml:space="preserve"> &amp; </w:t>
      </w:r>
      <w:proofErr w:type="spellStart"/>
      <w:r w:rsidRPr="00207F53">
        <w:t>Chrystin</w:t>
      </w:r>
      <w:proofErr w:type="spellEnd"/>
      <w:r w:rsidRPr="00207F53">
        <w:t xml:space="preserve"> </w:t>
      </w:r>
      <w:proofErr w:type="spellStart"/>
      <w:r w:rsidRPr="00207F53">
        <w:t>Ondersma</w:t>
      </w:r>
      <w:proofErr w:type="spellEnd"/>
      <w:r w:rsidRPr="00207F53">
        <w:t xml:space="preserve">, </w:t>
      </w:r>
      <w:r w:rsidRPr="00207F53">
        <w:rPr>
          <w:i/>
          <w:iCs/>
        </w:rPr>
        <w:t>Can a Broader Corporate Purpose Redress Inequality? The Stakeholder Approach Chimera</w:t>
      </w:r>
      <w:r w:rsidRPr="00207F53">
        <w:t xml:space="preserve"> (unpublished working paper) (April 2020), available at </w:t>
      </w:r>
      <w:hyperlink r:id="rId11" w:history="1">
        <w:r w:rsidRPr="00207F53">
          <w:rPr>
            <w:rStyle w:val="Hyperlink"/>
            <w:rFonts w:asciiTheme="majorBidi" w:hAnsiTheme="majorBidi" w:cstheme="majorBidi"/>
          </w:rPr>
          <w:t>https://papers.ssrn.com/sol3/papers.cfm?abstract_id=3547791</w:t>
        </w:r>
      </w:hyperlink>
      <w:r w:rsidRPr="00207F53">
        <w:t xml:space="preserve">. </w:t>
      </w:r>
    </w:p>
  </w:footnote>
  <w:footnote w:id="114">
    <w:p w14:paraId="500AE2D2" w14:textId="77777777" w:rsidR="00CE42F1" w:rsidRPr="00207F53" w:rsidRDefault="00CE42F1" w:rsidP="00B20CC8">
      <w:pPr>
        <w:pStyle w:val="FootNote0"/>
      </w:pPr>
      <w:r w:rsidRPr="00207F53">
        <w:rPr>
          <w:rStyle w:val="FootnoteReference"/>
        </w:rPr>
        <w:footnoteRef/>
      </w:r>
      <w:r w:rsidRPr="00207F53">
        <w:t xml:space="preserve"> The Reporter discussed this possibility in an NYU roundtable on December 6, 2019. </w:t>
      </w:r>
    </w:p>
  </w:footnote>
  <w:footnote w:id="115">
    <w:p w14:paraId="10AB3DE9" w14:textId="6FE10F9C" w:rsidR="00CE42F1" w:rsidRPr="00207F53" w:rsidRDefault="00CE42F1" w:rsidP="00B20CC8">
      <w:pPr>
        <w:pStyle w:val="FootNote0"/>
      </w:pPr>
      <w:r w:rsidRPr="00207F53">
        <w:rPr>
          <w:rStyle w:val="FootnoteReference"/>
        </w:rPr>
        <w:footnoteRef/>
      </w:r>
      <w:r w:rsidRPr="00207F53">
        <w:t xml:space="preserve"> </w:t>
      </w:r>
      <w:r w:rsidRPr="00207F53">
        <w:t xml:space="preserve">Revlon, </w:t>
      </w:r>
      <w:r w:rsidRPr="00207F53">
        <w:rPr>
          <w:i/>
          <w:iCs/>
        </w:rPr>
        <w:t>supra</w:t>
      </w:r>
      <w:r w:rsidRPr="00207F53">
        <w:t xml:space="preserve"> note </w:t>
      </w:r>
      <w:r w:rsidRPr="00207F53">
        <w:fldChar w:fldCharType="begin"/>
      </w:r>
      <w:r w:rsidRPr="00207F53">
        <w:instrText xml:space="preserve"> NOTEREF _Ref47582086 \h  \* MERGEFORMAT </w:instrText>
      </w:r>
      <w:r w:rsidRPr="00207F53">
        <w:fldChar w:fldCharType="separate"/>
      </w:r>
      <w:r w:rsidR="00581B6B">
        <w:t>61</w:t>
      </w:r>
      <w:r w:rsidRPr="00207F53">
        <w:fldChar w:fldCharType="end"/>
      </w:r>
      <w:r w:rsidRPr="00207F53">
        <w:t>.</w:t>
      </w:r>
    </w:p>
  </w:footnote>
  <w:footnote w:id="116">
    <w:p w14:paraId="1472C540" w14:textId="77777777" w:rsidR="00CE42F1" w:rsidRPr="00207F53" w:rsidRDefault="00CE42F1" w:rsidP="00B20CC8">
      <w:pPr>
        <w:pStyle w:val="FootNote0"/>
      </w:pPr>
      <w:r w:rsidRPr="00207F53">
        <w:rPr>
          <w:rStyle w:val="FootnoteReference"/>
        </w:rPr>
        <w:footnoteRef/>
      </w:r>
      <w:r w:rsidRPr="00207F53">
        <w:t xml:space="preserve"> </w:t>
      </w:r>
      <w:r w:rsidRPr="00207F53">
        <w:rPr>
          <w:i/>
          <w:iCs/>
        </w:rPr>
        <w:t>Id.</w:t>
      </w:r>
      <w:r w:rsidRPr="00207F53">
        <w:t>, at 182 (“The duty of the board [changes] from the preservation of Revlon as a corporate entity to the maximization of the company's value at a sale for the stockholders' benefit”).</w:t>
      </w:r>
    </w:p>
  </w:footnote>
  <w:footnote w:id="117">
    <w:p w14:paraId="1205E52B" w14:textId="77777777" w:rsidR="00CE42F1" w:rsidRPr="00207F53" w:rsidRDefault="00CE42F1" w:rsidP="00B20CC8">
      <w:pPr>
        <w:pStyle w:val="FootNote0"/>
      </w:pPr>
      <w:r w:rsidRPr="00207F53">
        <w:rPr>
          <w:rStyle w:val="FootnoteReference"/>
        </w:rPr>
        <w:footnoteRef/>
      </w:r>
      <w:r w:rsidRPr="00207F53">
        <w:t xml:space="preserve"> </w:t>
      </w:r>
      <w:r w:rsidRPr="00207F53">
        <w:rPr>
          <w:i/>
          <w:iCs/>
        </w:rPr>
        <w:t>Id.</w:t>
      </w:r>
      <w:r w:rsidRPr="00207F53">
        <w:t>, at 184.</w:t>
      </w:r>
    </w:p>
  </w:footnote>
  <w:footnote w:id="118">
    <w:p w14:paraId="2E8711B6" w14:textId="2820C737" w:rsidR="00CE42F1" w:rsidRPr="00207F53" w:rsidRDefault="00CE42F1" w:rsidP="00A61532">
      <w:pPr>
        <w:pStyle w:val="FootNote0"/>
      </w:pPr>
      <w:r w:rsidRPr="00207F53">
        <w:rPr>
          <w:rStyle w:val="FootnoteReference"/>
        </w:rPr>
        <w:footnoteRef/>
      </w:r>
      <w:r w:rsidRPr="00207F53">
        <w:t xml:space="preserve"> </w:t>
      </w:r>
      <w:r w:rsidRPr="00207F53">
        <w:rPr>
          <w:i/>
          <w:iCs/>
        </w:rPr>
        <w:t>See, e.g.,</w:t>
      </w:r>
      <w:r w:rsidRPr="00207F53">
        <w:t xml:space="preserve"> Matthew D. Cain, Sean J. Griffith, Roberto J. Jackson &amp; Steven Davidoff Solomon, </w:t>
      </w:r>
      <w:r w:rsidRPr="00207F53">
        <w:rPr>
          <w:i/>
          <w:iCs/>
        </w:rPr>
        <w:t>Does Revlon Matter? An Empirical and Theoretical Study</w:t>
      </w:r>
      <w:r w:rsidRPr="00207F53">
        <w:t xml:space="preserve"> 1, 4-5 (ECGI Working Paper, 2020), available at </w:t>
      </w:r>
      <w:hyperlink r:id="rId12" w:history="1">
        <w:r w:rsidRPr="00207F53">
          <w:rPr>
            <w:rStyle w:val="Hyperlink"/>
          </w:rPr>
          <w:t>https://ssrn.com/abstract=3418499</w:t>
        </w:r>
      </w:hyperlink>
      <w:r w:rsidRPr="00207F53">
        <w:t xml:space="preserve"> (providing evidence on the magnitude of deal premium in1,913 transactions from 2003-2017)</w:t>
      </w:r>
      <w:r w:rsidRPr="00332FE2">
        <w:rPr>
          <w:i/>
        </w:rPr>
        <w:t>.</w:t>
      </w:r>
    </w:p>
  </w:footnote>
  <w:footnote w:id="119">
    <w:p w14:paraId="27DA83E1" w14:textId="3D65CF62" w:rsidR="00CE42F1" w:rsidRPr="00207F53" w:rsidRDefault="00CE42F1" w:rsidP="00A61532">
      <w:pPr>
        <w:pStyle w:val="FootNote0"/>
      </w:pPr>
      <w:r w:rsidRPr="00332FE2">
        <w:rPr>
          <w:rStyle w:val="FootnoteReference"/>
        </w:rPr>
        <w:footnoteRef/>
      </w:r>
      <w:r w:rsidRPr="00332FE2">
        <w:t xml:space="preserve"> </w:t>
      </w:r>
      <w:r w:rsidRPr="00332FE2">
        <w:rPr>
          <w:i/>
        </w:rPr>
        <w:t>See, e.g.,</w:t>
      </w:r>
      <w:r w:rsidRPr="00332FE2">
        <w:t xml:space="preserve"> James D. Cox, Tomas </w:t>
      </w:r>
      <w:proofErr w:type="spellStart"/>
      <w:r w:rsidRPr="00332FE2">
        <w:t>Mondino</w:t>
      </w:r>
      <w:proofErr w:type="spellEnd"/>
      <w:r w:rsidRPr="00332FE2">
        <w:t xml:space="preserve"> &amp; Randall S. Thomas, </w:t>
      </w:r>
      <w:r w:rsidRPr="00332FE2">
        <w:rPr>
          <w:i/>
        </w:rPr>
        <w:t>Understanding the (</w:t>
      </w:r>
      <w:proofErr w:type="spellStart"/>
      <w:r w:rsidRPr="00332FE2">
        <w:rPr>
          <w:i/>
        </w:rPr>
        <w:t>Ir</w:t>
      </w:r>
      <w:proofErr w:type="spellEnd"/>
      <w:r w:rsidRPr="00332FE2">
        <w:rPr>
          <w:i/>
        </w:rPr>
        <w:t>)Relevance of Shareholder Votes on M&amp;A Deals</w:t>
      </w:r>
      <w:r w:rsidRPr="00332FE2">
        <w:t xml:space="preserve">, 69 </w:t>
      </w:r>
      <w:r w:rsidRPr="00332FE2">
        <w:rPr>
          <w:smallCaps/>
        </w:rPr>
        <w:t>Duke L. J.</w:t>
      </w:r>
      <w:r w:rsidRPr="00332FE2">
        <w:t xml:space="preserve"> 504, 511-13 (2019) (surveying evidence which shows that shareholders rarely</w:t>
      </w:r>
      <w:r w:rsidRPr="00207F53">
        <w:t xml:space="preserve"> vote down mergers).</w:t>
      </w:r>
    </w:p>
  </w:footnote>
  <w:footnote w:id="120">
    <w:p w14:paraId="28148223" w14:textId="2720AA50" w:rsidR="00CE42F1" w:rsidRPr="00207F53" w:rsidRDefault="00CE42F1" w:rsidP="00B20CC8">
      <w:pPr>
        <w:pStyle w:val="FootNote0"/>
      </w:pPr>
      <w:r w:rsidRPr="00207F53">
        <w:rPr>
          <w:rStyle w:val="FootnoteReference"/>
        </w:rPr>
        <w:footnoteRef/>
      </w:r>
      <w:r w:rsidRPr="00207F53">
        <w:t xml:space="preserve"> </w:t>
      </w:r>
      <w:r w:rsidRPr="00207F53">
        <w:rPr>
          <w:i/>
          <w:iCs/>
        </w:rPr>
        <w:t xml:space="preserve">See </w:t>
      </w:r>
      <w:r w:rsidRPr="00207F53">
        <w:rPr>
          <w:rFonts w:asciiTheme="majorBidi" w:hAnsiTheme="majorBidi" w:cstheme="majorBidi"/>
          <w:i/>
          <w:iCs/>
        </w:rPr>
        <w:t>supra</w:t>
      </w:r>
      <w:r w:rsidRPr="00207F53">
        <w:rPr>
          <w:rFonts w:asciiTheme="majorBidi" w:hAnsiTheme="majorBidi" w:cstheme="majorBidi"/>
        </w:rPr>
        <w:t xml:space="preserve"> notes</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_Ref47271921 \h </w:instrText>
      </w:r>
      <w:r>
        <w:rPr>
          <w:rFonts w:asciiTheme="majorBidi" w:hAnsiTheme="majorBidi" w:cstheme="majorBidi"/>
        </w:rPr>
      </w:r>
      <w:r>
        <w:rPr>
          <w:rFonts w:asciiTheme="majorBidi" w:hAnsiTheme="majorBidi" w:cstheme="majorBidi"/>
        </w:rPr>
        <w:fldChar w:fldCharType="separate"/>
      </w:r>
      <w:r w:rsidR="00581B6B">
        <w:rPr>
          <w:rFonts w:asciiTheme="majorBidi" w:hAnsiTheme="majorBidi" w:cstheme="majorBidi"/>
        </w:rPr>
        <w:t>35</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_Ref47571566 \h </w:instrText>
      </w:r>
      <w:r>
        <w:rPr>
          <w:rFonts w:asciiTheme="majorBidi" w:hAnsiTheme="majorBidi" w:cstheme="majorBidi"/>
        </w:rPr>
      </w:r>
      <w:r>
        <w:rPr>
          <w:rFonts w:asciiTheme="majorBidi" w:hAnsiTheme="majorBidi" w:cstheme="majorBidi"/>
        </w:rPr>
        <w:fldChar w:fldCharType="separate"/>
      </w:r>
      <w:r w:rsidR="00581B6B">
        <w:rPr>
          <w:rFonts w:asciiTheme="majorBidi" w:hAnsiTheme="majorBidi" w:cstheme="majorBidi"/>
        </w:rPr>
        <w:t>39</w:t>
      </w:r>
      <w:r>
        <w:rPr>
          <w:rFonts w:asciiTheme="majorBidi" w:hAnsiTheme="majorBidi" w:cstheme="majorBidi"/>
        </w:rPr>
        <w:fldChar w:fldCharType="end"/>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_Ref47774832 \h </w:instrText>
      </w:r>
      <w:r>
        <w:rPr>
          <w:rFonts w:asciiTheme="majorBidi" w:hAnsiTheme="majorBidi" w:cstheme="majorBidi"/>
        </w:rPr>
      </w:r>
      <w:r>
        <w:rPr>
          <w:rFonts w:asciiTheme="majorBidi" w:hAnsiTheme="majorBidi" w:cstheme="majorBidi"/>
        </w:rPr>
        <w:fldChar w:fldCharType="separate"/>
      </w:r>
      <w:r w:rsidR="00581B6B">
        <w:rPr>
          <w:rFonts w:asciiTheme="majorBidi" w:hAnsiTheme="majorBidi" w:cstheme="majorBidi"/>
        </w:rPr>
        <w:t>41</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_Ref47774839 \h </w:instrText>
      </w:r>
      <w:r>
        <w:rPr>
          <w:rFonts w:asciiTheme="majorBidi" w:hAnsiTheme="majorBidi" w:cstheme="majorBidi"/>
        </w:rPr>
      </w:r>
      <w:r>
        <w:rPr>
          <w:rFonts w:asciiTheme="majorBidi" w:hAnsiTheme="majorBidi" w:cstheme="majorBidi"/>
        </w:rPr>
        <w:fldChar w:fldCharType="separate"/>
      </w:r>
      <w:r w:rsidR="00581B6B">
        <w:rPr>
          <w:rFonts w:asciiTheme="majorBidi" w:hAnsiTheme="majorBidi" w:cstheme="majorBidi"/>
        </w:rPr>
        <w:t>52</w:t>
      </w:r>
      <w:r>
        <w:rPr>
          <w:rFonts w:asciiTheme="majorBidi" w:hAnsiTheme="majorBidi" w:cstheme="majorBidi"/>
        </w:rPr>
        <w:fldChar w:fldCharType="end"/>
      </w:r>
      <w:r>
        <w:rPr>
          <w:rFonts w:asciiTheme="majorBidi" w:hAnsiTheme="majorBidi" w:cstheme="majorBidi"/>
        </w:rPr>
        <w:t>,</w:t>
      </w:r>
      <w:r w:rsidRPr="00207F53">
        <w:rPr>
          <w:rFonts w:asciiTheme="majorBidi" w:hAnsiTheme="majorBidi" w:cstheme="majorBidi"/>
        </w:rPr>
        <w:t xml:space="preserve"> and accompanying text</w:t>
      </w:r>
      <w:r w:rsidRPr="00207F53">
        <w:t>.</w:t>
      </w:r>
    </w:p>
  </w:footnote>
  <w:footnote w:id="121">
    <w:p w14:paraId="35D14FC8" w14:textId="2B32984E" w:rsidR="00CE42F1" w:rsidRPr="00207F53" w:rsidRDefault="00CE42F1" w:rsidP="00C94819">
      <w:pPr>
        <w:pStyle w:val="FootNote0"/>
      </w:pPr>
      <w:r w:rsidRPr="00207F53">
        <w:rPr>
          <w:rStyle w:val="FootnoteReference"/>
        </w:rPr>
        <w:footnoteRef/>
      </w:r>
      <w:r w:rsidRPr="00207F53">
        <w:t xml:space="preserve"> </w:t>
      </w:r>
      <w:r w:rsidRPr="00207F53">
        <w:rPr>
          <w:i/>
          <w:iCs/>
        </w:rPr>
        <w:t>See, e.g.,</w:t>
      </w:r>
      <w:r w:rsidRPr="00207F53">
        <w:t xml:space="preserve"> </w:t>
      </w:r>
      <w:r w:rsidRPr="00207F53">
        <w:rPr>
          <w:rFonts w:asciiTheme="majorBidi" w:hAnsiTheme="majorBidi" w:cstheme="majorBidi"/>
        </w:rPr>
        <w:t xml:space="preserve">Lipton et al., </w:t>
      </w:r>
      <w:r w:rsidRPr="00207F53">
        <w:rPr>
          <w:rFonts w:asciiTheme="majorBidi" w:hAnsiTheme="majorBidi" w:cstheme="majorBidi"/>
          <w:i/>
          <w:iCs/>
        </w:rPr>
        <w:t>On the Purpose and Objective of the Corporation</w:t>
      </w:r>
      <w:r w:rsidRPr="00207F53">
        <w:t xml:space="preserve">, </w:t>
      </w:r>
      <w:r w:rsidRPr="00207F53">
        <w:rPr>
          <w:rFonts w:asciiTheme="majorBidi" w:hAnsiTheme="majorBidi" w:cstheme="majorBidi"/>
          <w:smallCaps/>
        </w:rPr>
        <w:t>Harv. L. Sch. F. on Corp. Governance</w:t>
      </w:r>
      <w:r w:rsidRPr="00207F53">
        <w:rPr>
          <w:rFonts w:asciiTheme="majorBidi" w:hAnsiTheme="majorBidi" w:cstheme="majorBidi"/>
        </w:rPr>
        <w:t xml:space="preserve"> (</w:t>
      </w:r>
      <w:r>
        <w:rPr>
          <w:rFonts w:asciiTheme="majorBidi" w:hAnsiTheme="majorBidi" w:cstheme="majorBidi"/>
        </w:rPr>
        <w:t>Aug</w:t>
      </w:r>
      <w:r w:rsidRPr="00207F53">
        <w:rPr>
          <w:rFonts w:asciiTheme="majorBidi" w:hAnsiTheme="majorBidi" w:cstheme="majorBidi"/>
        </w:rPr>
        <w:t xml:space="preserve">. </w:t>
      </w:r>
      <w:r>
        <w:rPr>
          <w:rFonts w:asciiTheme="majorBidi" w:hAnsiTheme="majorBidi" w:cstheme="majorBidi"/>
        </w:rPr>
        <w:t>5</w:t>
      </w:r>
      <w:r w:rsidRPr="00207F53">
        <w:rPr>
          <w:rFonts w:asciiTheme="majorBidi" w:hAnsiTheme="majorBidi" w:cstheme="majorBidi"/>
        </w:rPr>
        <w:t>, 20</w:t>
      </w:r>
      <w:r>
        <w:rPr>
          <w:rFonts w:asciiTheme="majorBidi" w:hAnsiTheme="majorBidi" w:cstheme="majorBidi"/>
        </w:rPr>
        <w:t>20</w:t>
      </w:r>
      <w:r w:rsidRPr="00207F53">
        <w:rPr>
          <w:rFonts w:asciiTheme="majorBidi" w:hAnsiTheme="majorBidi" w:cstheme="majorBidi"/>
        </w:rPr>
        <w:t xml:space="preserve">), </w:t>
      </w:r>
      <w:hyperlink r:id="rId13" w:history="1">
        <w:r w:rsidRPr="00AE6ECE">
          <w:rPr>
            <w:rStyle w:val="Hyperlink"/>
          </w:rPr>
          <w:t>https://corpgov.law.harvard.edu/2020/08/05/on-the-purpose-and-objective-of-the-corporation/</w:t>
        </w:r>
      </w:hyperlink>
      <w:r>
        <w:t xml:space="preserve"> </w:t>
      </w:r>
      <w:r w:rsidRPr="00207F53">
        <w:t>(claiming that the purpose of the corporation, which require the consideration of stakeholders interest, should be determined “by the corporation and the board of directors using its business judgment and with regular engagement with shareholders, who are essential partners in supporting the corporation’s pursuit of this mission”).</w:t>
      </w:r>
    </w:p>
  </w:footnote>
  <w:footnote w:id="122">
    <w:p w14:paraId="39EE880B" w14:textId="2B93F786" w:rsidR="00CE42F1" w:rsidRPr="00207F53" w:rsidRDefault="00CE42F1" w:rsidP="00B20CC8">
      <w:pPr>
        <w:pStyle w:val="FootNote0"/>
      </w:pPr>
      <w:r w:rsidRPr="00207F53">
        <w:rPr>
          <w:rStyle w:val="FootnoteReference"/>
        </w:rPr>
        <w:footnoteRef/>
      </w:r>
      <w:r w:rsidRPr="00207F53">
        <w:t xml:space="preserve"> </w:t>
      </w:r>
      <w:r w:rsidRPr="00207F53">
        <w:t xml:space="preserve">For discussions of such problems and externalities, see </w:t>
      </w:r>
      <w:r w:rsidRPr="00207F53">
        <w:rPr>
          <w:i/>
          <w:iCs/>
        </w:rPr>
        <w:t>supra</w:t>
      </w:r>
      <w:r w:rsidRPr="00207F53">
        <w:t xml:space="preserve"> note </w:t>
      </w:r>
      <w:r w:rsidRPr="00207F53">
        <w:fldChar w:fldCharType="begin"/>
      </w:r>
      <w:r w:rsidRPr="00207F53">
        <w:instrText xml:space="preserve"> NOTEREF _Ref47446813 \h  \* MERGEFORMAT </w:instrText>
      </w:r>
      <w:r w:rsidRPr="00207F53">
        <w:fldChar w:fldCharType="separate"/>
      </w:r>
      <w:r w:rsidR="00581B6B">
        <w:t>109</w:t>
      </w:r>
      <w:r w:rsidRPr="00207F53">
        <w:fldChar w:fldCharType="end"/>
      </w:r>
      <w:r w:rsidRPr="00207F53">
        <w:t xml:space="preserve">. For examples as to how these social views affected the boardroom discussion, </w:t>
      </w:r>
      <w:r w:rsidRPr="00207F53">
        <w:rPr>
          <w:i/>
          <w:iCs/>
        </w:rPr>
        <w:t>see</w:t>
      </w:r>
      <w:r w:rsidRPr="00207F53">
        <w:t xml:space="preserve"> </w:t>
      </w:r>
      <w:r w:rsidRPr="00207F53">
        <w:rPr>
          <w:i/>
          <w:iCs/>
        </w:rPr>
        <w:t>supra</w:t>
      </w:r>
      <w:r w:rsidRPr="00207F53">
        <w:t xml:space="preserve"> notes </w:t>
      </w:r>
      <w:r w:rsidRPr="00207F53">
        <w:fldChar w:fldCharType="begin"/>
      </w:r>
      <w:r w:rsidRPr="00207F53">
        <w:instrText xml:space="preserve"> NOTEREF _Ref47714785 \h </w:instrText>
      </w:r>
      <w:r>
        <w:instrText xml:space="preserve"> \* MERGEFORMAT </w:instrText>
      </w:r>
      <w:r w:rsidRPr="00207F53">
        <w:fldChar w:fldCharType="separate"/>
      </w:r>
      <w:r w:rsidR="00581B6B">
        <w:t>19</w:t>
      </w:r>
      <w:r w:rsidRPr="00207F53">
        <w:fldChar w:fldCharType="end"/>
      </w:r>
      <w:r w:rsidRPr="00207F53">
        <w:t>-</w:t>
      </w:r>
      <w:r w:rsidRPr="00207F53">
        <w:fldChar w:fldCharType="begin"/>
      </w:r>
      <w:r w:rsidRPr="00207F53">
        <w:instrText xml:space="preserve"> NOTEREF _Ref47714789 \h </w:instrText>
      </w:r>
      <w:r>
        <w:instrText xml:space="preserve"> \* MERGEFORMAT </w:instrText>
      </w:r>
      <w:r w:rsidRPr="00207F53">
        <w:fldChar w:fldCharType="separate"/>
      </w:r>
      <w:r w:rsidR="00581B6B">
        <w:t>20</w:t>
      </w:r>
      <w:r w:rsidRPr="00207F53">
        <w:fldChar w:fldCharType="end"/>
      </w:r>
      <w:r w:rsidRPr="00207F53">
        <w:t xml:space="preserve">, </w:t>
      </w:r>
      <w:r w:rsidRPr="00207F53">
        <w:fldChar w:fldCharType="begin"/>
      </w:r>
      <w:r w:rsidRPr="00207F53">
        <w:instrText xml:space="preserve"> NOTEREF _Ref47692459 \h </w:instrText>
      </w:r>
      <w:r>
        <w:instrText xml:space="preserve"> \* MERGEFORMAT </w:instrText>
      </w:r>
      <w:r w:rsidRPr="00207F53">
        <w:fldChar w:fldCharType="separate"/>
      </w:r>
      <w:r w:rsidR="00581B6B">
        <w:t>103</w:t>
      </w:r>
      <w:r w:rsidRPr="00207F53">
        <w:fldChar w:fldCharType="end"/>
      </w:r>
      <w:r w:rsidRPr="00207F53">
        <w:t>.</w:t>
      </w:r>
    </w:p>
  </w:footnote>
  <w:footnote w:id="123">
    <w:p w14:paraId="0EE5E66A" w14:textId="12618698" w:rsidR="00CE42F1" w:rsidRDefault="00CE42F1" w:rsidP="00B20CC8">
      <w:pPr>
        <w:pStyle w:val="FootNote0"/>
      </w:pPr>
      <w:r w:rsidRPr="00207F53">
        <w:rPr>
          <w:rStyle w:val="FootnoteReference"/>
        </w:rPr>
        <w:footnoteRef/>
      </w:r>
      <w:r w:rsidRPr="00207F53">
        <w:t xml:space="preserve"> </w:t>
      </w:r>
      <w:r w:rsidRPr="00207F53">
        <w:t xml:space="preserve">For a discussion of corporate leaders’ incentives, </w:t>
      </w:r>
      <w:r w:rsidRPr="00207F53">
        <w:rPr>
          <w:i/>
          <w:iCs/>
        </w:rPr>
        <w:t>see</w:t>
      </w:r>
      <w:r w:rsidRPr="00207F53">
        <w:t xml:space="preserve"> </w:t>
      </w:r>
      <w:proofErr w:type="spellStart"/>
      <w:r w:rsidRPr="00207F53">
        <w:t>Bebchuk</w:t>
      </w:r>
      <w:proofErr w:type="spellEnd"/>
      <w:r w:rsidRPr="00207F53">
        <w:t xml:space="preserve"> &amp; </w:t>
      </w:r>
      <w:proofErr w:type="spellStart"/>
      <w:r w:rsidRPr="00207F53">
        <w:t>Tallarita</w:t>
      </w:r>
      <w:proofErr w:type="spellEnd"/>
      <w:r w:rsidRPr="00207F53">
        <w:t xml:space="preserve">, </w:t>
      </w:r>
      <w:r w:rsidRPr="00207F53">
        <w:rPr>
          <w:i/>
          <w:iCs/>
        </w:rPr>
        <w:t xml:space="preserve">supra </w:t>
      </w:r>
      <w:r w:rsidRPr="00207F53">
        <w:t>note</w:t>
      </w:r>
      <w:r>
        <w:t xml:space="preserve"> </w:t>
      </w:r>
      <w:r>
        <w:fldChar w:fldCharType="begin"/>
      </w:r>
      <w:r>
        <w:instrText xml:space="preserve"> NOTEREF _Ref47569965 \h </w:instrText>
      </w:r>
      <w:r>
        <w:fldChar w:fldCharType="separate"/>
      </w:r>
      <w:r w:rsidR="00581B6B">
        <w:t>28</w:t>
      </w:r>
      <w:r>
        <w:fldChar w:fldCharType="end"/>
      </w:r>
      <w:r w:rsidRPr="00207F53">
        <w:t>, at 29-40</w:t>
      </w:r>
      <w:r w:rsidRPr="00E2046E">
        <w:t>; Fisch &amp; Davidoff Solomon</w:t>
      </w:r>
      <w:r>
        <w:t xml:space="preserve">, </w:t>
      </w:r>
      <w:r w:rsidRPr="00E2046E">
        <w:t>supra note</w:t>
      </w:r>
      <w:r>
        <w:t xml:space="preserve"> </w:t>
      </w:r>
      <w:r>
        <w:fldChar w:fldCharType="begin"/>
      </w:r>
      <w:r>
        <w:instrText xml:space="preserve"> NOTEREF _Ref47569965 \h </w:instrText>
      </w:r>
      <w:r>
        <w:fldChar w:fldCharType="separate"/>
      </w:r>
      <w:r w:rsidR="00581B6B">
        <w:t>28</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A677" w14:textId="77777777" w:rsidR="00CE42F1" w:rsidRDefault="00CE4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03F6" w14:textId="224C1FCA" w:rsidR="00CE42F1" w:rsidRPr="00F46A96" w:rsidRDefault="00CE42F1" w:rsidP="007505E6">
    <w:pPr>
      <w:pStyle w:val="Header"/>
      <w:tabs>
        <w:tab w:val="clear" w:pos="4320"/>
        <w:tab w:val="clear" w:pos="8640"/>
        <w:tab w:val="left" w:pos="1980"/>
        <w:tab w:val="center" w:pos="3510"/>
        <w:tab w:val="right" w:pos="7344"/>
      </w:tabs>
      <w:ind w:firstLine="0"/>
      <w:rPr>
        <w:iCs/>
        <w:sz w:val="22"/>
      </w:rPr>
    </w:pPr>
    <w:r w:rsidRPr="000A581F">
      <w:rPr>
        <w:rStyle w:val="PageNumber"/>
        <w:sz w:val="22"/>
      </w:rPr>
      <w:fldChar w:fldCharType="begin"/>
    </w:r>
    <w:r w:rsidRPr="000A581F">
      <w:rPr>
        <w:rStyle w:val="PageNumber"/>
        <w:sz w:val="22"/>
      </w:rPr>
      <w:instrText xml:space="preserve"> PAGE </w:instrText>
    </w:r>
    <w:r w:rsidRPr="000A581F">
      <w:rPr>
        <w:rStyle w:val="PageNumber"/>
        <w:sz w:val="22"/>
      </w:rPr>
      <w:fldChar w:fldCharType="separate"/>
    </w:r>
    <w:r>
      <w:rPr>
        <w:rStyle w:val="PageNumber"/>
        <w:noProof/>
        <w:sz w:val="22"/>
      </w:rPr>
      <w:t>16</w:t>
    </w:r>
    <w:r w:rsidRPr="000A581F">
      <w:rPr>
        <w:rStyle w:val="PageNumber"/>
        <w:sz w:val="22"/>
      </w:rPr>
      <w:fldChar w:fldCharType="end"/>
    </w:r>
    <w:r>
      <w:rPr>
        <w:rStyle w:val="PageNumber"/>
        <w:sz w:val="22"/>
      </w:rPr>
      <w:t xml:space="preserve">            </w:t>
    </w:r>
    <w:r>
      <w:rPr>
        <w:rStyle w:val="PageNumber"/>
        <w:sz w:val="22"/>
      </w:rPr>
      <w:tab/>
    </w:r>
    <w:r>
      <w:rPr>
        <w:i/>
        <w:sz w:val="22"/>
        <w:szCs w:val="22"/>
      </w:rPr>
      <w:t xml:space="preserve">For Whom Corporate Leaders Bargain         </w:t>
    </w:r>
    <w:r w:rsidRPr="000A581F">
      <w:rPr>
        <w:sz w:val="22"/>
        <w:szCs w:val="22"/>
      </w:rPr>
      <w:tab/>
    </w:r>
  </w:p>
  <w:p w14:paraId="6673C404" w14:textId="77777777" w:rsidR="00CE42F1" w:rsidRPr="005E3DC0" w:rsidRDefault="00CE42F1" w:rsidP="00D27291">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545C" w14:textId="089B1FB8" w:rsidR="00CE42F1" w:rsidRPr="005E3DC0" w:rsidRDefault="00CE42F1" w:rsidP="007505E6">
    <w:pPr>
      <w:pStyle w:val="Header"/>
      <w:tabs>
        <w:tab w:val="clear" w:pos="4320"/>
        <w:tab w:val="clear" w:pos="8640"/>
        <w:tab w:val="left" w:pos="90"/>
        <w:tab w:val="left" w:pos="1890"/>
        <w:tab w:val="right" w:pos="7290"/>
      </w:tabs>
      <w:ind w:firstLine="0"/>
      <w:rPr>
        <w:sz w:val="22"/>
      </w:rPr>
    </w:pPr>
    <w:r>
      <w:rPr>
        <w:i/>
        <w:sz w:val="22"/>
        <w:szCs w:val="22"/>
      </w:rPr>
      <w:tab/>
    </w:r>
    <w:r>
      <w:rPr>
        <w:i/>
        <w:sz w:val="22"/>
        <w:szCs w:val="22"/>
      </w:rPr>
      <w:tab/>
      <w:t xml:space="preserve">For Whom Corporate Leaders Bargain         </w:t>
    </w:r>
    <w:r w:rsidRPr="000A581F">
      <w:rPr>
        <w:sz w:val="22"/>
        <w:szCs w:val="22"/>
      </w:rPr>
      <w:tab/>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Pr>
        <w:rStyle w:val="PageNumber"/>
        <w:noProof/>
        <w:sz w:val="22"/>
        <w:szCs w:val="22"/>
      </w:rPr>
      <w:t>17</w:t>
    </w:r>
    <w:r w:rsidRPr="000A581F">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1" w15:restartNumberingAfterBreak="0">
    <w:nsid w:val="6C3A39FC"/>
    <w:multiLevelType w:val="multilevel"/>
    <w:tmpl w:val="5910391E"/>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2480447"/>
    <w:multiLevelType w:val="multilevel"/>
    <w:tmpl w:val="AAAE4402"/>
    <w:lvl w:ilvl="0">
      <w:start w:val="1"/>
      <w:numFmt w:val="upperRoman"/>
      <w:pStyle w:val="Heading1"/>
      <w:suff w:val="space"/>
      <w:lvlText w:val="%1."/>
      <w:lvlJc w:val="left"/>
      <w:pPr>
        <w:ind w:left="3870" w:firstLine="0"/>
      </w:pPr>
      <w:rPr>
        <w:rFonts w:hint="default"/>
        <w:b w:val="0"/>
        <w:i w:val="0"/>
        <w:iCs w:val="0"/>
      </w:rPr>
    </w:lvl>
    <w:lvl w:ilvl="1">
      <w:start w:val="1"/>
      <w:numFmt w:val="upperLetter"/>
      <w:pStyle w:val="Heading2"/>
      <w:suff w:val="space"/>
      <w:lvlText w:val="%2."/>
      <w:lvlJc w:val="left"/>
      <w:pPr>
        <w:ind w:left="468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AF"/>
    <w:rsid w:val="00001444"/>
    <w:rsid w:val="00003BE9"/>
    <w:rsid w:val="00015E50"/>
    <w:rsid w:val="00025145"/>
    <w:rsid w:val="0002556D"/>
    <w:rsid w:val="0004330D"/>
    <w:rsid w:val="0004357A"/>
    <w:rsid w:val="0005066A"/>
    <w:rsid w:val="00050BDD"/>
    <w:rsid w:val="00052D1C"/>
    <w:rsid w:val="00055856"/>
    <w:rsid w:val="00055897"/>
    <w:rsid w:val="000569C9"/>
    <w:rsid w:val="00065354"/>
    <w:rsid w:val="00070666"/>
    <w:rsid w:val="00071740"/>
    <w:rsid w:val="00073C91"/>
    <w:rsid w:val="00075A3E"/>
    <w:rsid w:val="00076E74"/>
    <w:rsid w:val="0008054F"/>
    <w:rsid w:val="00081515"/>
    <w:rsid w:val="00087133"/>
    <w:rsid w:val="00093160"/>
    <w:rsid w:val="00093721"/>
    <w:rsid w:val="00094EC3"/>
    <w:rsid w:val="000A19AA"/>
    <w:rsid w:val="000A1F88"/>
    <w:rsid w:val="000A4DBB"/>
    <w:rsid w:val="000A6936"/>
    <w:rsid w:val="000B62F8"/>
    <w:rsid w:val="000C1A04"/>
    <w:rsid w:val="000C3E0E"/>
    <w:rsid w:val="000C5550"/>
    <w:rsid w:val="000D0927"/>
    <w:rsid w:val="000E3F9E"/>
    <w:rsid w:val="000E4B71"/>
    <w:rsid w:val="000E58DF"/>
    <w:rsid w:val="000E7A26"/>
    <w:rsid w:val="000F0A60"/>
    <w:rsid w:val="000F2D5C"/>
    <w:rsid w:val="000F3450"/>
    <w:rsid w:val="00103302"/>
    <w:rsid w:val="001033B9"/>
    <w:rsid w:val="00104663"/>
    <w:rsid w:val="00106607"/>
    <w:rsid w:val="00114C45"/>
    <w:rsid w:val="00117762"/>
    <w:rsid w:val="00120717"/>
    <w:rsid w:val="001228B6"/>
    <w:rsid w:val="00125388"/>
    <w:rsid w:val="001261E0"/>
    <w:rsid w:val="00126F9F"/>
    <w:rsid w:val="0013350E"/>
    <w:rsid w:val="00137564"/>
    <w:rsid w:val="00142300"/>
    <w:rsid w:val="00146AAD"/>
    <w:rsid w:val="0015061F"/>
    <w:rsid w:val="0015291A"/>
    <w:rsid w:val="001574CD"/>
    <w:rsid w:val="00161078"/>
    <w:rsid w:val="00162CAE"/>
    <w:rsid w:val="0016774C"/>
    <w:rsid w:val="001704DB"/>
    <w:rsid w:val="00170AE8"/>
    <w:rsid w:val="001755BA"/>
    <w:rsid w:val="0018262D"/>
    <w:rsid w:val="001827A8"/>
    <w:rsid w:val="00183011"/>
    <w:rsid w:val="001834C5"/>
    <w:rsid w:val="001844BE"/>
    <w:rsid w:val="0018576F"/>
    <w:rsid w:val="00190328"/>
    <w:rsid w:val="0019364B"/>
    <w:rsid w:val="001937C5"/>
    <w:rsid w:val="001937F5"/>
    <w:rsid w:val="00194055"/>
    <w:rsid w:val="00197791"/>
    <w:rsid w:val="001A2AAF"/>
    <w:rsid w:val="001A3211"/>
    <w:rsid w:val="001A5F8F"/>
    <w:rsid w:val="001B06B7"/>
    <w:rsid w:val="001B18C3"/>
    <w:rsid w:val="001B36A7"/>
    <w:rsid w:val="001C29AE"/>
    <w:rsid w:val="001C416D"/>
    <w:rsid w:val="001C669F"/>
    <w:rsid w:val="001D19C9"/>
    <w:rsid w:val="001D1AB4"/>
    <w:rsid w:val="001D4EF9"/>
    <w:rsid w:val="001D6B57"/>
    <w:rsid w:val="001D6CF4"/>
    <w:rsid w:val="001D6D39"/>
    <w:rsid w:val="001D78D4"/>
    <w:rsid w:val="001E4AD4"/>
    <w:rsid w:val="001F0780"/>
    <w:rsid w:val="001F5988"/>
    <w:rsid w:val="001F707F"/>
    <w:rsid w:val="001F7CDA"/>
    <w:rsid w:val="00204A08"/>
    <w:rsid w:val="0020605D"/>
    <w:rsid w:val="00207F53"/>
    <w:rsid w:val="002165F9"/>
    <w:rsid w:val="00220937"/>
    <w:rsid w:val="00220DD7"/>
    <w:rsid w:val="0022148F"/>
    <w:rsid w:val="00222AE1"/>
    <w:rsid w:val="002263C7"/>
    <w:rsid w:val="00232929"/>
    <w:rsid w:val="0023791A"/>
    <w:rsid w:val="002421D6"/>
    <w:rsid w:val="00243D74"/>
    <w:rsid w:val="00250983"/>
    <w:rsid w:val="00250BEA"/>
    <w:rsid w:val="00251CF2"/>
    <w:rsid w:val="00253D6B"/>
    <w:rsid w:val="002540A8"/>
    <w:rsid w:val="0025561D"/>
    <w:rsid w:val="00255DFC"/>
    <w:rsid w:val="00256565"/>
    <w:rsid w:val="00260BCE"/>
    <w:rsid w:val="002611AB"/>
    <w:rsid w:val="002671C1"/>
    <w:rsid w:val="00270D5A"/>
    <w:rsid w:val="00273046"/>
    <w:rsid w:val="00277EEF"/>
    <w:rsid w:val="00281740"/>
    <w:rsid w:val="00281A6B"/>
    <w:rsid w:val="00290A51"/>
    <w:rsid w:val="00292432"/>
    <w:rsid w:val="00296644"/>
    <w:rsid w:val="002A4C63"/>
    <w:rsid w:val="002A69C7"/>
    <w:rsid w:val="002B02C4"/>
    <w:rsid w:val="002B0F19"/>
    <w:rsid w:val="002B518C"/>
    <w:rsid w:val="002B71FF"/>
    <w:rsid w:val="002B76EF"/>
    <w:rsid w:val="002C2524"/>
    <w:rsid w:val="002C76D1"/>
    <w:rsid w:val="002D3204"/>
    <w:rsid w:val="002D39D9"/>
    <w:rsid w:val="002D43D6"/>
    <w:rsid w:val="002D5FA3"/>
    <w:rsid w:val="002D7731"/>
    <w:rsid w:val="002E0218"/>
    <w:rsid w:val="002E2969"/>
    <w:rsid w:val="002E2F7E"/>
    <w:rsid w:val="003004C3"/>
    <w:rsid w:val="00301E29"/>
    <w:rsid w:val="00302836"/>
    <w:rsid w:val="0030373D"/>
    <w:rsid w:val="00304A3C"/>
    <w:rsid w:val="00305ABE"/>
    <w:rsid w:val="0030601E"/>
    <w:rsid w:val="00306438"/>
    <w:rsid w:val="00310D2F"/>
    <w:rsid w:val="003131E0"/>
    <w:rsid w:val="00313C2F"/>
    <w:rsid w:val="0031537C"/>
    <w:rsid w:val="0031586A"/>
    <w:rsid w:val="00316075"/>
    <w:rsid w:val="00316677"/>
    <w:rsid w:val="00317C2B"/>
    <w:rsid w:val="003238B0"/>
    <w:rsid w:val="00323E1C"/>
    <w:rsid w:val="00325ED0"/>
    <w:rsid w:val="00331FFC"/>
    <w:rsid w:val="00332FE2"/>
    <w:rsid w:val="003338F5"/>
    <w:rsid w:val="00335EE8"/>
    <w:rsid w:val="00336E1C"/>
    <w:rsid w:val="00337CDC"/>
    <w:rsid w:val="0034727F"/>
    <w:rsid w:val="00347705"/>
    <w:rsid w:val="003477CD"/>
    <w:rsid w:val="00350835"/>
    <w:rsid w:val="0035447D"/>
    <w:rsid w:val="00356E0B"/>
    <w:rsid w:val="00357DC1"/>
    <w:rsid w:val="0036158F"/>
    <w:rsid w:val="00362AB2"/>
    <w:rsid w:val="00366683"/>
    <w:rsid w:val="00367783"/>
    <w:rsid w:val="00370D43"/>
    <w:rsid w:val="00380EDC"/>
    <w:rsid w:val="00383C68"/>
    <w:rsid w:val="0038609F"/>
    <w:rsid w:val="00392833"/>
    <w:rsid w:val="003979FC"/>
    <w:rsid w:val="003A131D"/>
    <w:rsid w:val="003A1898"/>
    <w:rsid w:val="003A5F26"/>
    <w:rsid w:val="003A691A"/>
    <w:rsid w:val="003C4880"/>
    <w:rsid w:val="003D2085"/>
    <w:rsid w:val="003D2352"/>
    <w:rsid w:val="003D40AA"/>
    <w:rsid w:val="003D7A93"/>
    <w:rsid w:val="003E15EE"/>
    <w:rsid w:val="003E4D66"/>
    <w:rsid w:val="003E7B84"/>
    <w:rsid w:val="003F067B"/>
    <w:rsid w:val="003F166F"/>
    <w:rsid w:val="003F3032"/>
    <w:rsid w:val="003F6F3F"/>
    <w:rsid w:val="00400C8C"/>
    <w:rsid w:val="0040134D"/>
    <w:rsid w:val="00403017"/>
    <w:rsid w:val="00405C20"/>
    <w:rsid w:val="00405C4E"/>
    <w:rsid w:val="004072C0"/>
    <w:rsid w:val="00414582"/>
    <w:rsid w:val="00415113"/>
    <w:rsid w:val="00417CB2"/>
    <w:rsid w:val="004227D7"/>
    <w:rsid w:val="00422C42"/>
    <w:rsid w:val="004261AD"/>
    <w:rsid w:val="00426DBD"/>
    <w:rsid w:val="00433366"/>
    <w:rsid w:val="00436FDC"/>
    <w:rsid w:val="004420FB"/>
    <w:rsid w:val="00442D6F"/>
    <w:rsid w:val="00446C60"/>
    <w:rsid w:val="00450083"/>
    <w:rsid w:val="00450AB2"/>
    <w:rsid w:val="004510BC"/>
    <w:rsid w:val="00464157"/>
    <w:rsid w:val="0046487C"/>
    <w:rsid w:val="00473CFD"/>
    <w:rsid w:val="00475EC0"/>
    <w:rsid w:val="00476FED"/>
    <w:rsid w:val="00487F74"/>
    <w:rsid w:val="004918A6"/>
    <w:rsid w:val="00492203"/>
    <w:rsid w:val="004A16E1"/>
    <w:rsid w:val="004A5153"/>
    <w:rsid w:val="004A7F4E"/>
    <w:rsid w:val="004C2B9B"/>
    <w:rsid w:val="004D3C8E"/>
    <w:rsid w:val="004D4A9F"/>
    <w:rsid w:val="004D4CD5"/>
    <w:rsid w:val="004D65EE"/>
    <w:rsid w:val="004E11F8"/>
    <w:rsid w:val="004E285C"/>
    <w:rsid w:val="004E63D8"/>
    <w:rsid w:val="004F093B"/>
    <w:rsid w:val="004F10FF"/>
    <w:rsid w:val="004F23A8"/>
    <w:rsid w:val="00501848"/>
    <w:rsid w:val="00502147"/>
    <w:rsid w:val="00502BFF"/>
    <w:rsid w:val="00503B64"/>
    <w:rsid w:val="00504DBE"/>
    <w:rsid w:val="00512435"/>
    <w:rsid w:val="0051474C"/>
    <w:rsid w:val="00517F61"/>
    <w:rsid w:val="00530F05"/>
    <w:rsid w:val="005318E7"/>
    <w:rsid w:val="00531FC3"/>
    <w:rsid w:val="00537510"/>
    <w:rsid w:val="00542BA4"/>
    <w:rsid w:val="0054307C"/>
    <w:rsid w:val="0054491A"/>
    <w:rsid w:val="00545858"/>
    <w:rsid w:val="00547F4C"/>
    <w:rsid w:val="00553647"/>
    <w:rsid w:val="0055377D"/>
    <w:rsid w:val="00553E38"/>
    <w:rsid w:val="00556F13"/>
    <w:rsid w:val="005579FA"/>
    <w:rsid w:val="005604D1"/>
    <w:rsid w:val="00561577"/>
    <w:rsid w:val="00561C23"/>
    <w:rsid w:val="00563BA3"/>
    <w:rsid w:val="00565068"/>
    <w:rsid w:val="005715C4"/>
    <w:rsid w:val="005731A2"/>
    <w:rsid w:val="00575ADC"/>
    <w:rsid w:val="00577497"/>
    <w:rsid w:val="00581B6B"/>
    <w:rsid w:val="00586278"/>
    <w:rsid w:val="00593B94"/>
    <w:rsid w:val="00593FC1"/>
    <w:rsid w:val="00595199"/>
    <w:rsid w:val="005A0E3F"/>
    <w:rsid w:val="005A16F5"/>
    <w:rsid w:val="005A1A43"/>
    <w:rsid w:val="005B2C8C"/>
    <w:rsid w:val="005B4EB9"/>
    <w:rsid w:val="005C1672"/>
    <w:rsid w:val="005C20B9"/>
    <w:rsid w:val="005C33E4"/>
    <w:rsid w:val="005C5058"/>
    <w:rsid w:val="005C6180"/>
    <w:rsid w:val="005D4FAB"/>
    <w:rsid w:val="005D5C34"/>
    <w:rsid w:val="005F6B25"/>
    <w:rsid w:val="006010BA"/>
    <w:rsid w:val="00601D9B"/>
    <w:rsid w:val="00604E5C"/>
    <w:rsid w:val="006051D7"/>
    <w:rsid w:val="00605B2A"/>
    <w:rsid w:val="00610C49"/>
    <w:rsid w:val="00610C7A"/>
    <w:rsid w:val="00610E2A"/>
    <w:rsid w:val="00610E58"/>
    <w:rsid w:val="006240BC"/>
    <w:rsid w:val="006255DC"/>
    <w:rsid w:val="00626A3A"/>
    <w:rsid w:val="006300D1"/>
    <w:rsid w:val="006341D5"/>
    <w:rsid w:val="00636CED"/>
    <w:rsid w:val="00641D2A"/>
    <w:rsid w:val="00641EF7"/>
    <w:rsid w:val="0064585F"/>
    <w:rsid w:val="00651654"/>
    <w:rsid w:val="00654C47"/>
    <w:rsid w:val="00654D33"/>
    <w:rsid w:val="00657DC9"/>
    <w:rsid w:val="00657E7D"/>
    <w:rsid w:val="0066100F"/>
    <w:rsid w:val="00662B7D"/>
    <w:rsid w:val="00662DF9"/>
    <w:rsid w:val="00665E83"/>
    <w:rsid w:val="006670D9"/>
    <w:rsid w:val="00667819"/>
    <w:rsid w:val="00670B09"/>
    <w:rsid w:val="0067155B"/>
    <w:rsid w:val="00674008"/>
    <w:rsid w:val="006758F9"/>
    <w:rsid w:val="006766E5"/>
    <w:rsid w:val="006767F5"/>
    <w:rsid w:val="006778DD"/>
    <w:rsid w:val="006852D1"/>
    <w:rsid w:val="006878C0"/>
    <w:rsid w:val="00690EFF"/>
    <w:rsid w:val="00696F9B"/>
    <w:rsid w:val="00697305"/>
    <w:rsid w:val="006A18CE"/>
    <w:rsid w:val="006A5445"/>
    <w:rsid w:val="006A62C4"/>
    <w:rsid w:val="006B4DB7"/>
    <w:rsid w:val="006B531D"/>
    <w:rsid w:val="006B5B7A"/>
    <w:rsid w:val="006B70C6"/>
    <w:rsid w:val="006B7612"/>
    <w:rsid w:val="006C2A0D"/>
    <w:rsid w:val="006C2D60"/>
    <w:rsid w:val="006C3BC2"/>
    <w:rsid w:val="006C438D"/>
    <w:rsid w:val="006C63EA"/>
    <w:rsid w:val="006C653E"/>
    <w:rsid w:val="006D34A0"/>
    <w:rsid w:val="006D521F"/>
    <w:rsid w:val="006E27E2"/>
    <w:rsid w:val="006E358A"/>
    <w:rsid w:val="006F1385"/>
    <w:rsid w:val="006F36E6"/>
    <w:rsid w:val="006F4AA5"/>
    <w:rsid w:val="006F51B2"/>
    <w:rsid w:val="006F51D8"/>
    <w:rsid w:val="00700B4A"/>
    <w:rsid w:val="00700BD3"/>
    <w:rsid w:val="007050BF"/>
    <w:rsid w:val="00710659"/>
    <w:rsid w:val="0071288A"/>
    <w:rsid w:val="007145A5"/>
    <w:rsid w:val="00716EFA"/>
    <w:rsid w:val="007179FD"/>
    <w:rsid w:val="00722D39"/>
    <w:rsid w:val="00723ADD"/>
    <w:rsid w:val="00726849"/>
    <w:rsid w:val="00727656"/>
    <w:rsid w:val="00741053"/>
    <w:rsid w:val="007455C9"/>
    <w:rsid w:val="00745BC7"/>
    <w:rsid w:val="007462B9"/>
    <w:rsid w:val="0074735E"/>
    <w:rsid w:val="0075046E"/>
    <w:rsid w:val="007505E6"/>
    <w:rsid w:val="007528BE"/>
    <w:rsid w:val="00753277"/>
    <w:rsid w:val="00755201"/>
    <w:rsid w:val="007556C2"/>
    <w:rsid w:val="00761BF7"/>
    <w:rsid w:val="00763065"/>
    <w:rsid w:val="00763DE6"/>
    <w:rsid w:val="007645C5"/>
    <w:rsid w:val="0077487A"/>
    <w:rsid w:val="007753D7"/>
    <w:rsid w:val="007754EC"/>
    <w:rsid w:val="00776EE6"/>
    <w:rsid w:val="00781BCE"/>
    <w:rsid w:val="00781D56"/>
    <w:rsid w:val="00790DAF"/>
    <w:rsid w:val="00794F21"/>
    <w:rsid w:val="0079761E"/>
    <w:rsid w:val="007A79D1"/>
    <w:rsid w:val="007A7AC1"/>
    <w:rsid w:val="007B0E03"/>
    <w:rsid w:val="007C052E"/>
    <w:rsid w:val="007C12DD"/>
    <w:rsid w:val="007C2D38"/>
    <w:rsid w:val="007C5283"/>
    <w:rsid w:val="007C53E0"/>
    <w:rsid w:val="007C77EF"/>
    <w:rsid w:val="007D0B69"/>
    <w:rsid w:val="007D2852"/>
    <w:rsid w:val="007D4E14"/>
    <w:rsid w:val="007D5111"/>
    <w:rsid w:val="007D5730"/>
    <w:rsid w:val="007D5C3E"/>
    <w:rsid w:val="007D62B1"/>
    <w:rsid w:val="007D69E0"/>
    <w:rsid w:val="007E3AD1"/>
    <w:rsid w:val="007E657F"/>
    <w:rsid w:val="007E79B6"/>
    <w:rsid w:val="007F04A6"/>
    <w:rsid w:val="007F5B4A"/>
    <w:rsid w:val="007F73E8"/>
    <w:rsid w:val="0080502C"/>
    <w:rsid w:val="00806B2B"/>
    <w:rsid w:val="00807A12"/>
    <w:rsid w:val="00811761"/>
    <w:rsid w:val="00814D77"/>
    <w:rsid w:val="00815DF6"/>
    <w:rsid w:val="00824FA2"/>
    <w:rsid w:val="008258F3"/>
    <w:rsid w:val="00827ED7"/>
    <w:rsid w:val="008427DA"/>
    <w:rsid w:val="00845394"/>
    <w:rsid w:val="00846482"/>
    <w:rsid w:val="00846EF0"/>
    <w:rsid w:val="00847BBF"/>
    <w:rsid w:val="00850183"/>
    <w:rsid w:val="008513A1"/>
    <w:rsid w:val="008541E6"/>
    <w:rsid w:val="00860F80"/>
    <w:rsid w:val="008613F9"/>
    <w:rsid w:val="00867F5A"/>
    <w:rsid w:val="00872408"/>
    <w:rsid w:val="00875849"/>
    <w:rsid w:val="00880424"/>
    <w:rsid w:val="00881ED8"/>
    <w:rsid w:val="008829C9"/>
    <w:rsid w:val="00890384"/>
    <w:rsid w:val="00891CE2"/>
    <w:rsid w:val="008A24FC"/>
    <w:rsid w:val="008A7471"/>
    <w:rsid w:val="008B1649"/>
    <w:rsid w:val="008B3170"/>
    <w:rsid w:val="008B5832"/>
    <w:rsid w:val="008B60C4"/>
    <w:rsid w:val="008C118E"/>
    <w:rsid w:val="008D05A2"/>
    <w:rsid w:val="008D0B88"/>
    <w:rsid w:val="008E00B9"/>
    <w:rsid w:val="008E09FA"/>
    <w:rsid w:val="008F6F46"/>
    <w:rsid w:val="0090240B"/>
    <w:rsid w:val="00906B48"/>
    <w:rsid w:val="00910B08"/>
    <w:rsid w:val="00914276"/>
    <w:rsid w:val="00916F02"/>
    <w:rsid w:val="00923E6A"/>
    <w:rsid w:val="00931AB0"/>
    <w:rsid w:val="00937684"/>
    <w:rsid w:val="00937988"/>
    <w:rsid w:val="009409BA"/>
    <w:rsid w:val="009428C4"/>
    <w:rsid w:val="00944027"/>
    <w:rsid w:val="009545ED"/>
    <w:rsid w:val="00954DCF"/>
    <w:rsid w:val="00954FC9"/>
    <w:rsid w:val="0096033D"/>
    <w:rsid w:val="00961CD6"/>
    <w:rsid w:val="00962032"/>
    <w:rsid w:val="0096505E"/>
    <w:rsid w:val="00972D20"/>
    <w:rsid w:val="009777DB"/>
    <w:rsid w:val="009829D6"/>
    <w:rsid w:val="00984C74"/>
    <w:rsid w:val="009868AB"/>
    <w:rsid w:val="00987D41"/>
    <w:rsid w:val="00993340"/>
    <w:rsid w:val="009A02EF"/>
    <w:rsid w:val="009A07B8"/>
    <w:rsid w:val="009B0BFD"/>
    <w:rsid w:val="009B3599"/>
    <w:rsid w:val="009B6783"/>
    <w:rsid w:val="009C08A8"/>
    <w:rsid w:val="009C2346"/>
    <w:rsid w:val="009C6B2F"/>
    <w:rsid w:val="009D204B"/>
    <w:rsid w:val="009D5CF4"/>
    <w:rsid w:val="009D5F41"/>
    <w:rsid w:val="009D6A52"/>
    <w:rsid w:val="009D756F"/>
    <w:rsid w:val="009E0CD2"/>
    <w:rsid w:val="009E344F"/>
    <w:rsid w:val="009F2465"/>
    <w:rsid w:val="009F7B19"/>
    <w:rsid w:val="00A0144D"/>
    <w:rsid w:val="00A03AFD"/>
    <w:rsid w:val="00A063CA"/>
    <w:rsid w:val="00A10198"/>
    <w:rsid w:val="00A1265C"/>
    <w:rsid w:val="00A132B4"/>
    <w:rsid w:val="00A21A22"/>
    <w:rsid w:val="00A257B4"/>
    <w:rsid w:val="00A275D3"/>
    <w:rsid w:val="00A3070E"/>
    <w:rsid w:val="00A34D2C"/>
    <w:rsid w:val="00A3546E"/>
    <w:rsid w:val="00A36920"/>
    <w:rsid w:val="00A375C1"/>
    <w:rsid w:val="00A37FE8"/>
    <w:rsid w:val="00A40764"/>
    <w:rsid w:val="00A40CB5"/>
    <w:rsid w:val="00A42FF3"/>
    <w:rsid w:val="00A44AEF"/>
    <w:rsid w:val="00A5069A"/>
    <w:rsid w:val="00A61532"/>
    <w:rsid w:val="00A65CB1"/>
    <w:rsid w:val="00A706D4"/>
    <w:rsid w:val="00A70C98"/>
    <w:rsid w:val="00A762CD"/>
    <w:rsid w:val="00A84B07"/>
    <w:rsid w:val="00A908AF"/>
    <w:rsid w:val="00A90C1D"/>
    <w:rsid w:val="00A9240D"/>
    <w:rsid w:val="00A92781"/>
    <w:rsid w:val="00A9430B"/>
    <w:rsid w:val="00A947EE"/>
    <w:rsid w:val="00A9524F"/>
    <w:rsid w:val="00A96EA9"/>
    <w:rsid w:val="00AA3338"/>
    <w:rsid w:val="00AA6781"/>
    <w:rsid w:val="00AA6C73"/>
    <w:rsid w:val="00AB136B"/>
    <w:rsid w:val="00AB14A8"/>
    <w:rsid w:val="00AB37E8"/>
    <w:rsid w:val="00AB6050"/>
    <w:rsid w:val="00AB7399"/>
    <w:rsid w:val="00AC1F2E"/>
    <w:rsid w:val="00AC3749"/>
    <w:rsid w:val="00AC46B5"/>
    <w:rsid w:val="00AC59ED"/>
    <w:rsid w:val="00AD16AF"/>
    <w:rsid w:val="00AD295F"/>
    <w:rsid w:val="00AD3A18"/>
    <w:rsid w:val="00AD3E4B"/>
    <w:rsid w:val="00AF6AC0"/>
    <w:rsid w:val="00B02A6F"/>
    <w:rsid w:val="00B04C4E"/>
    <w:rsid w:val="00B07F55"/>
    <w:rsid w:val="00B100EC"/>
    <w:rsid w:val="00B1086B"/>
    <w:rsid w:val="00B1211B"/>
    <w:rsid w:val="00B13787"/>
    <w:rsid w:val="00B142F7"/>
    <w:rsid w:val="00B14E11"/>
    <w:rsid w:val="00B20CC8"/>
    <w:rsid w:val="00B2102B"/>
    <w:rsid w:val="00B22677"/>
    <w:rsid w:val="00B23235"/>
    <w:rsid w:val="00B24237"/>
    <w:rsid w:val="00B3008E"/>
    <w:rsid w:val="00B3251E"/>
    <w:rsid w:val="00B4635A"/>
    <w:rsid w:val="00B50DE0"/>
    <w:rsid w:val="00B5292B"/>
    <w:rsid w:val="00B54E5C"/>
    <w:rsid w:val="00B55418"/>
    <w:rsid w:val="00B570F3"/>
    <w:rsid w:val="00B631F5"/>
    <w:rsid w:val="00B65627"/>
    <w:rsid w:val="00B663B4"/>
    <w:rsid w:val="00B66852"/>
    <w:rsid w:val="00B66D5C"/>
    <w:rsid w:val="00B7535D"/>
    <w:rsid w:val="00B77478"/>
    <w:rsid w:val="00B77C00"/>
    <w:rsid w:val="00B82CA8"/>
    <w:rsid w:val="00B838ED"/>
    <w:rsid w:val="00B91783"/>
    <w:rsid w:val="00B93DAD"/>
    <w:rsid w:val="00B954A8"/>
    <w:rsid w:val="00BB2B75"/>
    <w:rsid w:val="00BC5C06"/>
    <w:rsid w:val="00BD2459"/>
    <w:rsid w:val="00BD4530"/>
    <w:rsid w:val="00BE06F6"/>
    <w:rsid w:val="00BE0D2E"/>
    <w:rsid w:val="00BE4169"/>
    <w:rsid w:val="00BE6800"/>
    <w:rsid w:val="00BE6A20"/>
    <w:rsid w:val="00BF07F6"/>
    <w:rsid w:val="00BF0A13"/>
    <w:rsid w:val="00BF0D8E"/>
    <w:rsid w:val="00BF358F"/>
    <w:rsid w:val="00C0203D"/>
    <w:rsid w:val="00C03B47"/>
    <w:rsid w:val="00C0748D"/>
    <w:rsid w:val="00C07D09"/>
    <w:rsid w:val="00C13943"/>
    <w:rsid w:val="00C14539"/>
    <w:rsid w:val="00C14DB1"/>
    <w:rsid w:val="00C17D3E"/>
    <w:rsid w:val="00C23450"/>
    <w:rsid w:val="00C24C37"/>
    <w:rsid w:val="00C3062F"/>
    <w:rsid w:val="00C316E7"/>
    <w:rsid w:val="00C32025"/>
    <w:rsid w:val="00C336A1"/>
    <w:rsid w:val="00C40B42"/>
    <w:rsid w:val="00C40F37"/>
    <w:rsid w:val="00C412E9"/>
    <w:rsid w:val="00C413E2"/>
    <w:rsid w:val="00C414A3"/>
    <w:rsid w:val="00C5377A"/>
    <w:rsid w:val="00C53E5E"/>
    <w:rsid w:val="00C54B3A"/>
    <w:rsid w:val="00C56932"/>
    <w:rsid w:val="00C56B44"/>
    <w:rsid w:val="00C57B12"/>
    <w:rsid w:val="00C60EFF"/>
    <w:rsid w:val="00C70F9E"/>
    <w:rsid w:val="00C753C2"/>
    <w:rsid w:val="00C75452"/>
    <w:rsid w:val="00C76481"/>
    <w:rsid w:val="00C84A71"/>
    <w:rsid w:val="00C86047"/>
    <w:rsid w:val="00C87C42"/>
    <w:rsid w:val="00C91DAC"/>
    <w:rsid w:val="00C94708"/>
    <w:rsid w:val="00C94819"/>
    <w:rsid w:val="00CA1291"/>
    <w:rsid w:val="00CC1319"/>
    <w:rsid w:val="00CC1A3C"/>
    <w:rsid w:val="00CC5FAD"/>
    <w:rsid w:val="00CD4B97"/>
    <w:rsid w:val="00CE185F"/>
    <w:rsid w:val="00CE36C9"/>
    <w:rsid w:val="00CE42F1"/>
    <w:rsid w:val="00CF1508"/>
    <w:rsid w:val="00CF4BDF"/>
    <w:rsid w:val="00CF4F60"/>
    <w:rsid w:val="00CF5553"/>
    <w:rsid w:val="00D0168A"/>
    <w:rsid w:val="00D02623"/>
    <w:rsid w:val="00D052C8"/>
    <w:rsid w:val="00D13525"/>
    <w:rsid w:val="00D167F2"/>
    <w:rsid w:val="00D2041F"/>
    <w:rsid w:val="00D204F1"/>
    <w:rsid w:val="00D20550"/>
    <w:rsid w:val="00D27291"/>
    <w:rsid w:val="00D31B57"/>
    <w:rsid w:val="00D330C2"/>
    <w:rsid w:val="00D3329E"/>
    <w:rsid w:val="00D35495"/>
    <w:rsid w:val="00D41187"/>
    <w:rsid w:val="00D44A8F"/>
    <w:rsid w:val="00D46931"/>
    <w:rsid w:val="00D5156F"/>
    <w:rsid w:val="00D51BBC"/>
    <w:rsid w:val="00D538A6"/>
    <w:rsid w:val="00D627B3"/>
    <w:rsid w:val="00D6349F"/>
    <w:rsid w:val="00D65D99"/>
    <w:rsid w:val="00D6753A"/>
    <w:rsid w:val="00D676D9"/>
    <w:rsid w:val="00D74D17"/>
    <w:rsid w:val="00D75A07"/>
    <w:rsid w:val="00D8515A"/>
    <w:rsid w:val="00D9413A"/>
    <w:rsid w:val="00DA0343"/>
    <w:rsid w:val="00DA0E3E"/>
    <w:rsid w:val="00DA1E8E"/>
    <w:rsid w:val="00DA4552"/>
    <w:rsid w:val="00DA6E4A"/>
    <w:rsid w:val="00DB0505"/>
    <w:rsid w:val="00DB11B5"/>
    <w:rsid w:val="00DB1402"/>
    <w:rsid w:val="00DB1B47"/>
    <w:rsid w:val="00DB2142"/>
    <w:rsid w:val="00DB357C"/>
    <w:rsid w:val="00DB3C6F"/>
    <w:rsid w:val="00DB450E"/>
    <w:rsid w:val="00DB52C1"/>
    <w:rsid w:val="00DB676A"/>
    <w:rsid w:val="00DB7045"/>
    <w:rsid w:val="00DB7751"/>
    <w:rsid w:val="00DC0725"/>
    <w:rsid w:val="00DC0C31"/>
    <w:rsid w:val="00DD4C78"/>
    <w:rsid w:val="00DE4391"/>
    <w:rsid w:val="00DE6781"/>
    <w:rsid w:val="00DF37AC"/>
    <w:rsid w:val="00E007EE"/>
    <w:rsid w:val="00E00AB0"/>
    <w:rsid w:val="00E022B4"/>
    <w:rsid w:val="00E03B0F"/>
    <w:rsid w:val="00E11BE6"/>
    <w:rsid w:val="00E1226B"/>
    <w:rsid w:val="00E12984"/>
    <w:rsid w:val="00E14729"/>
    <w:rsid w:val="00E16303"/>
    <w:rsid w:val="00E2046E"/>
    <w:rsid w:val="00E238DA"/>
    <w:rsid w:val="00E27A8D"/>
    <w:rsid w:val="00E30F67"/>
    <w:rsid w:val="00E36BEF"/>
    <w:rsid w:val="00E4254D"/>
    <w:rsid w:val="00E45CBD"/>
    <w:rsid w:val="00E46B33"/>
    <w:rsid w:val="00E511AE"/>
    <w:rsid w:val="00E51459"/>
    <w:rsid w:val="00E52206"/>
    <w:rsid w:val="00E5403E"/>
    <w:rsid w:val="00E5597A"/>
    <w:rsid w:val="00E55CF3"/>
    <w:rsid w:val="00E6094F"/>
    <w:rsid w:val="00E61AB2"/>
    <w:rsid w:val="00E7247D"/>
    <w:rsid w:val="00E771CC"/>
    <w:rsid w:val="00E77A7F"/>
    <w:rsid w:val="00E81159"/>
    <w:rsid w:val="00E82BA1"/>
    <w:rsid w:val="00E85046"/>
    <w:rsid w:val="00E85093"/>
    <w:rsid w:val="00E857FA"/>
    <w:rsid w:val="00E91988"/>
    <w:rsid w:val="00E928CE"/>
    <w:rsid w:val="00E956BD"/>
    <w:rsid w:val="00E97D30"/>
    <w:rsid w:val="00EA2A29"/>
    <w:rsid w:val="00EA2BFD"/>
    <w:rsid w:val="00EB00F1"/>
    <w:rsid w:val="00EC1CA3"/>
    <w:rsid w:val="00EC2B42"/>
    <w:rsid w:val="00EC4970"/>
    <w:rsid w:val="00EC5436"/>
    <w:rsid w:val="00EC5918"/>
    <w:rsid w:val="00EC7D0E"/>
    <w:rsid w:val="00ED37AD"/>
    <w:rsid w:val="00ED4B73"/>
    <w:rsid w:val="00ED4F74"/>
    <w:rsid w:val="00EE0BEA"/>
    <w:rsid w:val="00EF508B"/>
    <w:rsid w:val="00F01739"/>
    <w:rsid w:val="00F06261"/>
    <w:rsid w:val="00F06491"/>
    <w:rsid w:val="00F07E3A"/>
    <w:rsid w:val="00F130B0"/>
    <w:rsid w:val="00F20490"/>
    <w:rsid w:val="00F22524"/>
    <w:rsid w:val="00F22CF7"/>
    <w:rsid w:val="00F22D9E"/>
    <w:rsid w:val="00F24CB3"/>
    <w:rsid w:val="00F25707"/>
    <w:rsid w:val="00F2766E"/>
    <w:rsid w:val="00F311F0"/>
    <w:rsid w:val="00F34EB6"/>
    <w:rsid w:val="00F36A7A"/>
    <w:rsid w:val="00F37CD8"/>
    <w:rsid w:val="00F4056A"/>
    <w:rsid w:val="00F43A7E"/>
    <w:rsid w:val="00F43B63"/>
    <w:rsid w:val="00F46A96"/>
    <w:rsid w:val="00F506BA"/>
    <w:rsid w:val="00F514CF"/>
    <w:rsid w:val="00F52048"/>
    <w:rsid w:val="00F54CF3"/>
    <w:rsid w:val="00F56D4B"/>
    <w:rsid w:val="00F61AF4"/>
    <w:rsid w:val="00F6263F"/>
    <w:rsid w:val="00F64564"/>
    <w:rsid w:val="00F66196"/>
    <w:rsid w:val="00F71047"/>
    <w:rsid w:val="00F8399C"/>
    <w:rsid w:val="00F90B29"/>
    <w:rsid w:val="00F90FAD"/>
    <w:rsid w:val="00F9214D"/>
    <w:rsid w:val="00F93588"/>
    <w:rsid w:val="00F9412E"/>
    <w:rsid w:val="00F97106"/>
    <w:rsid w:val="00FA38C4"/>
    <w:rsid w:val="00FA7A70"/>
    <w:rsid w:val="00FB474F"/>
    <w:rsid w:val="00FB5878"/>
    <w:rsid w:val="00FB62B5"/>
    <w:rsid w:val="00FC18C0"/>
    <w:rsid w:val="00FC7B7E"/>
    <w:rsid w:val="00FD0628"/>
    <w:rsid w:val="00FD1533"/>
    <w:rsid w:val="00FD3C73"/>
    <w:rsid w:val="00FD4D54"/>
    <w:rsid w:val="00FD6693"/>
    <w:rsid w:val="00FE0669"/>
    <w:rsid w:val="00FE2DC1"/>
    <w:rsid w:val="00FE36BB"/>
    <w:rsid w:val="00FE4A8B"/>
    <w:rsid w:val="00FF5B1C"/>
    <w:rsid w:val="00FF7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202B09"/>
    <w:pPr>
      <w:keepNext/>
      <w:widowControl/>
      <w:numPr>
        <w:numId w:val="4"/>
      </w:numPr>
      <w:spacing w:before="240" w:after="240"/>
      <w:outlineLvl w:val="2"/>
    </w:pPr>
    <w:rPr>
      <w:rFonts w:eastAsia="SimHe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
    <w:basedOn w:val="Normal"/>
    <w:link w:val="FootnoteTextChar"/>
    <w:uiPriority w:val="99"/>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A762CD"/>
    <w:pPr>
      <w:tabs>
        <w:tab w:val="right" w:leader="dot" w:pos="8010"/>
      </w:tabs>
      <w:spacing w:line="276" w:lineRule="auto"/>
      <w:ind w:right="-1008" w:hanging="720"/>
      <w:jc w:val="center"/>
    </w:pPr>
  </w:style>
  <w:style w:type="paragraph" w:styleId="TOC2">
    <w:name w:val="toc 2"/>
    <w:basedOn w:val="Normal"/>
    <w:next w:val="Normal"/>
    <w:autoRedefine/>
    <w:uiPriority w:val="39"/>
    <w:qFormat/>
    <w:rsid w:val="00677889"/>
    <w:pPr>
      <w:tabs>
        <w:tab w:val="left" w:pos="0"/>
        <w:tab w:val="right" w:leader="dot" w:pos="8010"/>
      </w:tabs>
      <w:spacing w:line="276" w:lineRule="auto"/>
      <w:ind w:left="1080" w:right="-60" w:hanging="720"/>
    </w:pPr>
    <w:rPr>
      <w:noProof/>
    </w:rPr>
  </w:style>
  <w:style w:type="paragraph" w:styleId="TOC3">
    <w:name w:val="toc 3"/>
    <w:basedOn w:val="TOC2"/>
    <w:next w:val="Normal"/>
    <w:autoRedefine/>
    <w:uiPriority w:val="39"/>
    <w:qFormat/>
    <w:rsid w:val="00BE5E5F"/>
    <w:pPr>
      <w:tabs>
        <w:tab w:val="left" w:leader="dot" w:pos="0"/>
      </w:tabs>
      <w:ind w:right="-45" w:hanging="270"/>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202B09"/>
    <w:rPr>
      <w:rFonts w:eastAsia="SimHe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styleId="UnresolvedMention">
    <w:name w:val="Unresolved Mention"/>
    <w:basedOn w:val="DefaultParagraphFont"/>
    <w:uiPriority w:val="99"/>
    <w:semiHidden/>
    <w:unhideWhenUsed/>
    <w:rsid w:val="0016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pi.org/publication/written-testimony-private-equity-nov-2019/" TargetMode="External"/><Relationship Id="rId13" Type="http://schemas.openxmlformats.org/officeDocument/2006/relationships/hyperlink" Target="https://corpgov.law.harvard.edu/2020/08/05/on-the-purpose-and-objective-of-the-corporation/" TargetMode="External"/><Relationship Id="rId3" Type="http://schemas.openxmlformats.org/officeDocument/2006/relationships/hyperlink" Target="https://fortune.com/longform/business-roundtable-ceos-corporations-purpose/" TargetMode="External"/><Relationship Id="rId7" Type="http://schemas.openxmlformats.org/officeDocument/2006/relationships/hyperlink" Target="https://medium.com/@teamwarren/end-wall-streets-stranglehold-on-our-economy-70cf038bac76" TargetMode="External"/><Relationship Id="rId12" Type="http://schemas.openxmlformats.org/officeDocument/2006/relationships/hyperlink" Target="https://ssrn.com/abstract=3418499" TargetMode="External"/><Relationship Id="rId2" Type="http://schemas.openxmlformats.org/officeDocument/2006/relationships/hyperlink" Target="https://www.businessroundtable.org/business-roundtable-redefines-the-purpose-of-a-corporation-to-promote-an-economy-that-serves-all-americans" TargetMode="External"/><Relationship Id="rId1" Type="http://schemas.openxmlformats.org/officeDocument/2006/relationships/hyperlink" Target="https://opportunity.businessroundtable.org/wp-content/uploads/2019/12/BRT-Statement-onthe-Purpose-of-a-Corporation-with-Signatures.pdf" TargetMode="External"/><Relationship Id="rId6" Type="http://schemas.openxmlformats.org/officeDocument/2006/relationships/hyperlink" Target="https://papers.ssrn.com/sol3/papers.cfm?abstract_id=3465723" TargetMode="External"/><Relationship Id="rId11" Type="http://schemas.openxmlformats.org/officeDocument/2006/relationships/hyperlink" Target="https://papers.ssrn.com/sol3/papers.cfm?abstract_id=3547791" TargetMode="External"/><Relationship Id="rId5" Type="http://schemas.openxmlformats.org/officeDocument/2006/relationships/hyperlink" Target="https://papers.ssrn.com/sol3/papers.cfm?abstract_id=3522269" TargetMode="External"/><Relationship Id="rId10" Type="http://schemas.openxmlformats.org/officeDocument/2006/relationships/hyperlink" Target="https://corpgov.law.harvard.edu/2020/06/05/a-framework-for-management-and-board-of-directors-consideration-of-esg-and-stakeholder-governance/" TargetMode="External"/><Relationship Id="rId4" Type="http://schemas.openxmlformats.org/officeDocument/2006/relationships/hyperlink" Target="https://corpgov.law.harvard.edu/2019/12/10/thoughts-for-boards-of-directors-in-2020/" TargetMode="External"/><Relationship Id="rId9" Type="http://schemas.openxmlformats.org/officeDocument/2006/relationships/hyperlink" Target="https://www.washingtonpost.com/blogs/ezra-klein/post/the-two-faces-of-mitt-romney-and-bain-capital/2012/01/10/gIQArYmRoP_bl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9180-4B41-4E17-9DA3-25CC3237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18101</Words>
  <Characters>99013</Characters>
  <Application>Microsoft Office Word</Application>
  <DocSecurity>0</DocSecurity>
  <Lines>2912</Lines>
  <Paragraphs>1697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2020-08-09T09:13:00Z</dcterms:created>
  <dcterms:modified xsi:type="dcterms:W3CDTF">2020-08-09T14:39:00Z</dcterms:modified>
</cp:coreProperties>
</file>