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D3" w:rsidRDefault="00577FD3" w:rsidP="00127032">
      <w:pPr>
        <w:bidi w:val="0"/>
        <w:spacing w:line="360" w:lineRule="auto"/>
        <w:jc w:val="center"/>
        <w:rPr>
          <w:rtl/>
        </w:rPr>
      </w:pPr>
      <w:r>
        <w:rPr>
          <w:rFonts w:asciiTheme="minorBidi" w:hAnsiTheme="minorBidi" w:cs="David"/>
          <w:bCs/>
          <w:noProof/>
          <w:color w:val="44546A" w:themeColor="text2"/>
          <w:spacing w:val="22"/>
          <w:sz w:val="50"/>
          <w:szCs w:val="50"/>
          <w:rtl/>
        </w:rPr>
        <w:drawing>
          <wp:anchor distT="0" distB="0" distL="114300" distR="114300" simplePos="0" relativeHeight="251659264" behindDoc="1" locked="0" layoutInCell="1" allowOverlap="1" wp14:anchorId="78EA4770" wp14:editId="4EC38BA6">
            <wp:simplePos x="0" y="0"/>
            <wp:positionH relativeFrom="column">
              <wp:posOffset>4657090</wp:posOffset>
            </wp:positionH>
            <wp:positionV relativeFrom="paragraph">
              <wp:posOffset>276225</wp:posOffset>
            </wp:positionV>
            <wp:extent cx="809625" cy="647700"/>
            <wp:effectExtent l="0" t="0" r="9525" b="0"/>
            <wp:wrapThrough wrapText="bothSides">
              <wp:wrapPolygon edited="0">
                <wp:start x="9656" y="1271"/>
                <wp:lineTo x="5082" y="5718"/>
                <wp:lineTo x="5082" y="8894"/>
                <wp:lineTo x="10673" y="12706"/>
                <wp:lineTo x="508" y="13976"/>
                <wp:lineTo x="0" y="16518"/>
                <wp:lineTo x="4066" y="19694"/>
                <wp:lineTo x="17280" y="19694"/>
                <wp:lineTo x="21346" y="16518"/>
                <wp:lineTo x="20838" y="13976"/>
                <wp:lineTo x="14231" y="12071"/>
                <wp:lineTo x="15247" y="6353"/>
                <wp:lineTo x="13722" y="1271"/>
                <wp:lineTo x="9656" y="1271"/>
              </wp:wrapPolygon>
            </wp:wrapThrough>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al new.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625" cy="647700"/>
                    </a:xfrm>
                    <a:prstGeom prst="rect">
                      <a:avLst/>
                    </a:prstGeom>
                  </pic:spPr>
                </pic:pic>
              </a:graphicData>
            </a:graphic>
            <wp14:sizeRelH relativeFrom="margin">
              <wp14:pctWidth>0</wp14:pctWidth>
            </wp14:sizeRelH>
            <wp14:sizeRelV relativeFrom="margin">
              <wp14:pctHeight>0</wp14:pctHeight>
            </wp14:sizeRelV>
          </wp:anchor>
        </w:drawing>
      </w:r>
    </w:p>
    <w:p w:rsidR="00577FD3" w:rsidRDefault="00577FD3" w:rsidP="00127032">
      <w:pPr>
        <w:bidi w:val="0"/>
        <w:spacing w:after="0" w:line="360" w:lineRule="auto"/>
        <w:jc w:val="both"/>
        <w:rPr>
          <w:rFonts w:ascii="Verdana" w:hAnsi="Verdana"/>
          <w:b/>
          <w:bCs/>
        </w:rPr>
      </w:pPr>
    </w:p>
    <w:p w:rsidR="00577FD3" w:rsidRPr="00577FD3" w:rsidRDefault="00577FD3" w:rsidP="00127032">
      <w:pPr>
        <w:bidi w:val="0"/>
        <w:spacing w:after="0" w:line="360" w:lineRule="auto"/>
        <w:jc w:val="both"/>
        <w:rPr>
          <w:rFonts w:ascii="Verdana" w:hAnsi="Verdana"/>
          <w:b/>
          <w:bCs/>
          <w:color w:val="2E74B5" w:themeColor="accent1" w:themeShade="BF"/>
        </w:rPr>
      </w:pPr>
      <w:r w:rsidRPr="00577FD3">
        <w:rPr>
          <w:rFonts w:ascii="Verdana" w:hAnsi="Verdana"/>
          <w:b/>
          <w:bCs/>
          <w:color w:val="2E74B5" w:themeColor="accent1" w:themeShade="BF"/>
        </w:rPr>
        <w:t xml:space="preserve">Research and Development at the Ministry of Economy </w:t>
      </w:r>
    </w:p>
    <w:p w:rsidR="00577FD3" w:rsidRDefault="00577FD3" w:rsidP="00127032">
      <w:pPr>
        <w:bidi w:val="0"/>
        <w:spacing w:after="0" w:line="360" w:lineRule="auto"/>
        <w:jc w:val="both"/>
        <w:rPr>
          <w:rFonts w:ascii="Verdana" w:hAnsi="Verdana"/>
          <w:b/>
          <w:bCs/>
        </w:rPr>
      </w:pPr>
    </w:p>
    <w:p w:rsidR="00577FD3" w:rsidRPr="00771A41" w:rsidRDefault="00771A41" w:rsidP="00127032">
      <w:pPr>
        <w:bidi w:val="0"/>
        <w:spacing w:after="0" w:line="360" w:lineRule="auto"/>
        <w:jc w:val="both"/>
        <w:rPr>
          <w:rFonts w:ascii="David" w:hAnsi="David" w:cs="David" w:hint="cs"/>
          <w:b/>
          <w:bCs/>
          <w:rtl/>
        </w:rPr>
      </w:pPr>
      <w:r w:rsidRPr="00771A41">
        <w:rPr>
          <w:rFonts w:ascii="David" w:hAnsi="David" w:cs="David" w:hint="cs"/>
          <w:b/>
          <w:bCs/>
          <w:highlight w:val="yellow"/>
          <w:rtl/>
        </w:rPr>
        <w:t xml:space="preserve">מועד אחרון להגשה </w:t>
      </w:r>
      <w:r w:rsidRPr="00771A41">
        <w:rPr>
          <w:rFonts w:ascii="David" w:hAnsi="David" w:cs="David"/>
          <w:b/>
          <w:bCs/>
          <w:highlight w:val="yellow"/>
          <w:rtl/>
        </w:rPr>
        <w:t>–</w:t>
      </w:r>
      <w:r w:rsidRPr="00771A41">
        <w:rPr>
          <w:rFonts w:ascii="David" w:hAnsi="David" w:cs="David" w:hint="cs"/>
          <w:b/>
          <w:bCs/>
          <w:highlight w:val="yellow"/>
          <w:rtl/>
        </w:rPr>
        <w:t xml:space="preserve"> 17.11.2016</w:t>
      </w:r>
    </w:p>
    <w:p w:rsidR="00577FD3" w:rsidRDefault="00577FD3" w:rsidP="00127032">
      <w:pPr>
        <w:bidi w:val="0"/>
        <w:spacing w:after="0" w:line="360" w:lineRule="auto"/>
        <w:jc w:val="both"/>
        <w:rPr>
          <w:rFonts w:ascii="Verdana" w:hAnsi="Verdana"/>
          <w:b/>
          <w:bCs/>
        </w:rPr>
      </w:pPr>
    </w:p>
    <w:p w:rsidR="00577FD3" w:rsidRPr="00577FD3" w:rsidRDefault="00577FD3" w:rsidP="00127032">
      <w:pPr>
        <w:bidi w:val="0"/>
        <w:spacing w:after="0" w:line="360" w:lineRule="auto"/>
        <w:jc w:val="both"/>
        <w:rPr>
          <w:rFonts w:ascii="Verdana" w:hAnsi="Verdana"/>
          <w:b/>
          <w:bCs/>
          <w:color w:val="1F4E79" w:themeColor="accent1" w:themeShade="80"/>
          <w:sz w:val="32"/>
          <w:szCs w:val="32"/>
        </w:rPr>
      </w:pPr>
      <w:r w:rsidRPr="00577FD3">
        <w:rPr>
          <w:rFonts w:ascii="Verdana" w:hAnsi="Verdana"/>
          <w:b/>
          <w:bCs/>
          <w:color w:val="1F4E79" w:themeColor="accent1" w:themeShade="80"/>
          <w:sz w:val="32"/>
          <w:szCs w:val="32"/>
        </w:rPr>
        <w:t>Migration Costs Survey</w:t>
      </w:r>
    </w:p>
    <w:p w:rsidR="00577FD3" w:rsidRDefault="00577FD3" w:rsidP="00127032">
      <w:pPr>
        <w:bidi w:val="0"/>
        <w:spacing w:after="0" w:line="360" w:lineRule="auto"/>
        <w:jc w:val="both"/>
        <w:rPr>
          <w:rFonts w:ascii="Verdana" w:hAnsi="Verdana"/>
        </w:rPr>
      </w:pPr>
      <w:r w:rsidRPr="00577FD3">
        <w:rPr>
          <w:rFonts w:ascii="Verdana" w:hAnsi="Verdana"/>
        </w:rPr>
        <w:t>Proposal for the CIMI – Center for International Migration &amp; Integration</w:t>
      </w:r>
    </w:p>
    <w:p w:rsidR="00577FD3" w:rsidRDefault="00577FD3" w:rsidP="00127032">
      <w:pPr>
        <w:bidi w:val="0"/>
        <w:spacing w:after="0" w:line="360" w:lineRule="auto"/>
        <w:jc w:val="both"/>
        <w:rPr>
          <w:rFonts w:ascii="Verdana" w:hAnsi="Verdana"/>
        </w:rPr>
      </w:pPr>
    </w:p>
    <w:p w:rsidR="00577FD3" w:rsidRDefault="00C52EB9" w:rsidP="00127032">
      <w:pPr>
        <w:bidi w:val="0"/>
        <w:spacing w:after="0" w:line="360" w:lineRule="auto"/>
        <w:jc w:val="both"/>
        <w:rPr>
          <w:rFonts w:ascii="Verdana" w:hAnsi="Verdana"/>
          <w:b/>
          <w:bCs/>
          <w:color w:val="1F4E79" w:themeColor="accent1" w:themeShade="80"/>
          <w:sz w:val="28"/>
          <w:szCs w:val="28"/>
        </w:rPr>
      </w:pPr>
      <w:r>
        <w:rPr>
          <w:rFonts w:ascii="Verdana" w:hAnsi="Verdana"/>
          <w:b/>
          <w:bCs/>
          <w:color w:val="1F4E79" w:themeColor="accent1" w:themeShade="80"/>
          <w:sz w:val="28"/>
          <w:szCs w:val="28"/>
        </w:rPr>
        <w:t>Abstract</w:t>
      </w:r>
    </w:p>
    <w:p w:rsidR="00C52EB9" w:rsidRPr="00771A41" w:rsidRDefault="00771A41" w:rsidP="00127032">
      <w:pPr>
        <w:bidi w:val="0"/>
        <w:spacing w:after="0" w:line="360" w:lineRule="auto"/>
        <w:jc w:val="both"/>
        <w:rPr>
          <w:rFonts w:ascii="David" w:hAnsi="David" w:cs="David" w:hint="cs"/>
          <w:b/>
          <w:bCs/>
          <w:color w:val="1F4E79" w:themeColor="accent1" w:themeShade="80"/>
          <w:sz w:val="24"/>
          <w:szCs w:val="24"/>
        </w:rPr>
      </w:pPr>
      <w:r w:rsidRPr="00771A41">
        <w:rPr>
          <w:rFonts w:ascii="David" w:hAnsi="David" w:cs="David"/>
          <w:b/>
          <w:bCs/>
          <w:color w:val="1F4E79" w:themeColor="accent1" w:themeShade="80"/>
          <w:sz w:val="24"/>
          <w:szCs w:val="24"/>
          <w:highlight w:val="yellow"/>
          <w:rtl/>
        </w:rPr>
        <w:t>ייכתב בסוף</w:t>
      </w:r>
    </w:p>
    <w:p w:rsidR="00771A41" w:rsidRPr="00771A41" w:rsidRDefault="00771A41" w:rsidP="00771A41">
      <w:pPr>
        <w:bidi w:val="0"/>
        <w:spacing w:after="0" w:line="360" w:lineRule="auto"/>
        <w:jc w:val="both"/>
        <w:rPr>
          <w:rFonts w:ascii="Verdana" w:hAnsi="Verdana" w:hint="cs"/>
          <w:b/>
          <w:bCs/>
          <w:color w:val="1F4E79" w:themeColor="accent1" w:themeShade="80"/>
          <w:sz w:val="24"/>
          <w:szCs w:val="24"/>
          <w:rtl/>
        </w:rPr>
      </w:pPr>
    </w:p>
    <w:p w:rsidR="00C52EB9" w:rsidRDefault="00C52EB9" w:rsidP="00127032">
      <w:pPr>
        <w:bidi w:val="0"/>
        <w:spacing w:after="0" w:line="360" w:lineRule="auto"/>
        <w:jc w:val="both"/>
        <w:rPr>
          <w:rFonts w:ascii="Verdana" w:hAnsi="Verdana"/>
          <w:b/>
          <w:bCs/>
          <w:color w:val="1F4E79" w:themeColor="accent1" w:themeShade="80"/>
          <w:sz w:val="28"/>
          <w:szCs w:val="28"/>
        </w:rPr>
      </w:pPr>
      <w:r>
        <w:rPr>
          <w:rFonts w:ascii="Verdana" w:hAnsi="Verdana"/>
          <w:b/>
          <w:bCs/>
          <w:color w:val="1F4E79" w:themeColor="accent1" w:themeShade="80"/>
          <w:sz w:val="28"/>
          <w:szCs w:val="28"/>
        </w:rPr>
        <w:t xml:space="preserve">Background </w:t>
      </w:r>
    </w:p>
    <w:p w:rsidR="00A72B88" w:rsidRPr="008152A4" w:rsidRDefault="00A72B88" w:rsidP="00D817B8">
      <w:pPr>
        <w:spacing w:before="100" w:beforeAutospacing="1" w:after="100" w:afterAutospacing="1" w:line="360" w:lineRule="auto"/>
        <w:jc w:val="both"/>
        <w:rPr>
          <w:rFonts w:ascii="David" w:hAnsi="David" w:cs="David" w:hint="cs"/>
          <w:sz w:val="24"/>
          <w:szCs w:val="24"/>
          <w:rtl/>
        </w:rPr>
      </w:pPr>
      <w:r>
        <w:rPr>
          <w:rFonts w:ascii="David" w:hAnsi="David" w:cs="David" w:hint="cs"/>
          <w:sz w:val="24"/>
          <w:szCs w:val="24"/>
          <w:rtl/>
        </w:rPr>
        <w:t>הגירת עובדים הינה חלק מתופעה גלובלית של הגירת עובדים בין לאומית ההולכת ומתרחבת בשנים האחרונות. ההגירה מתנהלת לפי עקרונות של היצע וביקוש, כאשר כיוון הזרימה הוא א-סימטרי. עובדים ממדיניות עניות</w:t>
      </w:r>
      <w:r w:rsidR="001A72CD">
        <w:rPr>
          <w:rFonts w:ascii="David" w:hAnsi="David" w:cs="David" w:hint="cs"/>
          <w:sz w:val="24"/>
          <w:szCs w:val="24"/>
          <w:rtl/>
        </w:rPr>
        <w:t xml:space="preserve">, בהן קיימות הזדמנויות מוגבלות </w:t>
      </w:r>
      <w:r w:rsidR="001A72CD" w:rsidRPr="008152A4">
        <w:rPr>
          <w:rFonts w:ascii="David" w:hAnsi="David" w:cs="David" w:hint="cs"/>
          <w:sz w:val="24"/>
          <w:szCs w:val="24"/>
          <w:rtl/>
        </w:rPr>
        <w:t>לניעות כלכלית ותעסוקתית,</w:t>
      </w:r>
      <w:r w:rsidRPr="008152A4">
        <w:rPr>
          <w:rFonts w:ascii="David" w:hAnsi="David" w:cs="David" w:hint="cs"/>
          <w:sz w:val="24"/>
          <w:szCs w:val="24"/>
          <w:rtl/>
        </w:rPr>
        <w:t xml:space="preserve"> עוברים למדינות מפותחות יותר, על מנת לשפר את מצבם הכלכלי. </w:t>
      </w:r>
      <w:r w:rsidR="001A72CD" w:rsidRPr="008152A4">
        <w:rPr>
          <w:rFonts w:ascii="David" w:hAnsi="David" w:cs="David" w:hint="cs"/>
          <w:sz w:val="24"/>
          <w:szCs w:val="24"/>
          <w:rtl/>
        </w:rPr>
        <w:t>במדינות המתועשות קיים ביקוש ל</w:t>
      </w:r>
      <w:r w:rsidR="001A72CD" w:rsidRPr="008152A4">
        <w:rPr>
          <w:rFonts w:ascii="David" w:hAnsi="David" w:cs="David" w:hint="cs"/>
          <w:sz w:val="24"/>
          <w:szCs w:val="24"/>
          <w:rtl/>
        </w:rPr>
        <w:t>כוח עבודה במשלחי יד בעלי סטטוס נמוך אשר אינם דורשים מיומנות מקצועית גבוהה,</w:t>
      </w:r>
      <w:r w:rsidR="001A72CD" w:rsidRPr="008152A4">
        <w:rPr>
          <w:rFonts w:ascii="David" w:hAnsi="David" w:cs="David" w:hint="cs"/>
          <w:sz w:val="24"/>
          <w:szCs w:val="24"/>
          <w:rtl/>
        </w:rPr>
        <w:t xml:space="preserve"> ומהגרי העבודה נוטים להשתלב בתפקידים שרמת התגמולים בהם בשכר ובסטטוס נמוכים ביותר. רמת ההכנסה של העובדים הזרים נמוך מזה של העובדים המקומיים בעלי הון אנושי דומה. אולם שכרם גבוה יותר בהשוואה לסיכויי ההשתכרות שלהם בארץ המוצא (</w:t>
      </w:r>
      <w:proofErr w:type="spellStart"/>
      <w:r w:rsidR="001A72CD" w:rsidRPr="008152A4">
        <w:rPr>
          <w:rFonts w:ascii="David" w:hAnsi="David" w:cs="David"/>
          <w:sz w:val="24"/>
          <w:szCs w:val="24"/>
        </w:rPr>
        <w:t>Semoyonov</w:t>
      </w:r>
      <w:proofErr w:type="spellEnd"/>
      <w:r w:rsidR="001A72CD" w:rsidRPr="008152A4">
        <w:rPr>
          <w:rFonts w:ascii="David" w:hAnsi="David" w:cs="David"/>
          <w:sz w:val="24"/>
          <w:szCs w:val="24"/>
        </w:rPr>
        <w:t xml:space="preserve"> &amp; </w:t>
      </w:r>
      <w:proofErr w:type="spellStart"/>
      <w:r w:rsidR="001A72CD" w:rsidRPr="008152A4">
        <w:rPr>
          <w:rFonts w:ascii="David" w:hAnsi="David" w:cs="David"/>
          <w:sz w:val="24"/>
          <w:szCs w:val="24"/>
        </w:rPr>
        <w:t>Gorodzeisky</w:t>
      </w:r>
      <w:proofErr w:type="spellEnd"/>
      <w:r w:rsidR="001A72CD" w:rsidRPr="008152A4">
        <w:rPr>
          <w:rFonts w:ascii="David" w:hAnsi="David" w:cs="David"/>
          <w:sz w:val="24"/>
          <w:szCs w:val="24"/>
        </w:rPr>
        <w:t>, 2004</w:t>
      </w:r>
      <w:r w:rsidR="001A72CD" w:rsidRPr="008152A4">
        <w:rPr>
          <w:rFonts w:ascii="David" w:hAnsi="David" w:cs="David" w:hint="cs"/>
          <w:sz w:val="24"/>
          <w:szCs w:val="24"/>
          <w:rtl/>
        </w:rPr>
        <w:t xml:space="preserve">). </w:t>
      </w:r>
      <w:r w:rsidR="000D590B" w:rsidRPr="008152A4">
        <w:rPr>
          <w:rFonts w:ascii="David" w:hAnsi="David" w:cs="David" w:hint="cs"/>
          <w:sz w:val="24"/>
          <w:szCs w:val="24"/>
          <w:rtl/>
        </w:rPr>
        <w:t xml:space="preserve">הענף בו מועסקים מספר העובדים הזרים הרב ביותר בישראל הוא ענף הסיעוד. </w:t>
      </w:r>
      <w:r w:rsidR="007A5C0E" w:rsidRPr="008152A4">
        <w:rPr>
          <w:rFonts w:ascii="David" w:hAnsi="David" w:cs="David" w:hint="cs"/>
          <w:sz w:val="24"/>
          <w:szCs w:val="24"/>
          <w:rtl/>
        </w:rPr>
        <w:t>העסקת העובדים הזרים בענף</w:t>
      </w:r>
      <w:r w:rsidR="000D590B" w:rsidRPr="008152A4">
        <w:rPr>
          <w:rFonts w:ascii="David" w:hAnsi="David" w:cs="David" w:hint="cs"/>
          <w:sz w:val="24"/>
          <w:szCs w:val="24"/>
          <w:rtl/>
        </w:rPr>
        <w:t xml:space="preserve"> זה</w:t>
      </w:r>
      <w:r w:rsidR="003D21E5" w:rsidRPr="008152A4">
        <w:rPr>
          <w:rFonts w:ascii="David" w:hAnsi="David" w:cs="David" w:hint="cs"/>
          <w:sz w:val="24"/>
          <w:szCs w:val="24"/>
          <w:rtl/>
        </w:rPr>
        <w:t xml:space="preserve"> יצרה נישה תעסוקתית חדשה בעלת מאפיינים ייחודיים, הכוללת אפשרות להעסיק עובדים המתגוררים בבתי המעסיקים הסיעודיים (רייכמן, 2009 בתוך רשות ההגירה והאוכלוסין והמרכז הבינלאומי להגירה וקליטה (</w:t>
      </w:r>
      <w:r w:rsidR="003D21E5" w:rsidRPr="008152A4">
        <w:rPr>
          <w:rFonts w:ascii="David" w:hAnsi="David" w:cs="David" w:hint="cs"/>
          <w:sz w:val="24"/>
          <w:szCs w:val="24"/>
        </w:rPr>
        <w:t>CIMI</w:t>
      </w:r>
      <w:r w:rsidR="003D21E5" w:rsidRPr="008152A4">
        <w:rPr>
          <w:rFonts w:ascii="David" w:hAnsi="David" w:cs="David" w:hint="cs"/>
          <w:sz w:val="24"/>
          <w:szCs w:val="24"/>
          <w:rtl/>
        </w:rPr>
        <w:t xml:space="preserve">), 2016). </w:t>
      </w:r>
    </w:p>
    <w:p w:rsidR="00127032" w:rsidRPr="008152A4" w:rsidRDefault="007A5C0E" w:rsidP="00D817B8">
      <w:pPr>
        <w:spacing w:before="100" w:beforeAutospacing="1" w:after="100" w:afterAutospacing="1" w:line="360" w:lineRule="auto"/>
        <w:jc w:val="both"/>
        <w:rPr>
          <w:rFonts w:ascii="David" w:hAnsi="David" w:cs="David" w:hint="cs"/>
          <w:sz w:val="28"/>
          <w:szCs w:val="28"/>
          <w:rtl/>
        </w:rPr>
      </w:pPr>
      <w:r w:rsidRPr="008152A4">
        <w:rPr>
          <w:rFonts w:ascii="David" w:hAnsi="David" w:cs="David" w:hint="cs"/>
          <w:sz w:val="28"/>
          <w:szCs w:val="28"/>
          <w:rtl/>
        </w:rPr>
        <w:t>הצורך הגדל בעובדים זרים בענף</w:t>
      </w:r>
      <w:r w:rsidR="00127032" w:rsidRPr="008152A4">
        <w:rPr>
          <w:rFonts w:ascii="David" w:hAnsi="David" w:cs="David" w:hint="cs"/>
          <w:sz w:val="28"/>
          <w:szCs w:val="28"/>
          <w:rtl/>
        </w:rPr>
        <w:t xml:space="preserve"> הסיעוד</w:t>
      </w:r>
    </w:p>
    <w:p w:rsidR="009A41C2" w:rsidRPr="008152A4" w:rsidRDefault="00D57526" w:rsidP="00D817B8">
      <w:pPr>
        <w:spacing w:before="100" w:beforeAutospacing="1" w:after="100" w:afterAutospacing="1" w:line="360" w:lineRule="auto"/>
        <w:jc w:val="both"/>
        <w:rPr>
          <w:rFonts w:ascii="David" w:hAnsi="David" w:cs="David"/>
          <w:sz w:val="24"/>
          <w:szCs w:val="24"/>
          <w:rtl/>
        </w:rPr>
      </w:pPr>
      <w:r w:rsidRPr="008152A4">
        <w:rPr>
          <w:rFonts w:ascii="David" w:hAnsi="David" w:cs="David" w:hint="cs"/>
          <w:sz w:val="24"/>
          <w:szCs w:val="24"/>
          <w:rtl/>
        </w:rPr>
        <w:t>ה</w:t>
      </w:r>
      <w:r w:rsidR="00CC37D2" w:rsidRPr="008152A4">
        <w:rPr>
          <w:rFonts w:ascii="David" w:hAnsi="David" w:cs="David"/>
          <w:sz w:val="24"/>
          <w:szCs w:val="24"/>
          <w:rtl/>
        </w:rPr>
        <w:t xml:space="preserve">קצב מהיר של הזדקנות של האוכלוסייה במדינת ישראל, </w:t>
      </w:r>
      <w:r w:rsidRPr="008152A4">
        <w:rPr>
          <w:rFonts w:ascii="David" w:hAnsi="David" w:cs="David" w:hint="cs"/>
          <w:sz w:val="24"/>
          <w:szCs w:val="24"/>
          <w:rtl/>
        </w:rPr>
        <w:t>העלייה בתוחלת החיים, העלייה ברמת החיים ו</w:t>
      </w:r>
      <w:r w:rsidR="00CC37D2" w:rsidRPr="008152A4">
        <w:rPr>
          <w:rFonts w:ascii="David" w:hAnsi="David" w:cs="David"/>
          <w:sz w:val="24"/>
          <w:szCs w:val="24"/>
          <w:rtl/>
        </w:rPr>
        <w:t xml:space="preserve">העדפה </w:t>
      </w:r>
      <w:r w:rsidR="00450BB0" w:rsidRPr="008152A4">
        <w:rPr>
          <w:rFonts w:ascii="David" w:hAnsi="David" w:cs="David" w:hint="cs"/>
          <w:sz w:val="24"/>
          <w:szCs w:val="24"/>
          <w:rtl/>
        </w:rPr>
        <w:t xml:space="preserve">של </w:t>
      </w:r>
      <w:r w:rsidRPr="008152A4">
        <w:rPr>
          <w:rFonts w:ascii="David" w:hAnsi="David" w:cs="David" w:hint="cs"/>
          <w:sz w:val="24"/>
          <w:szCs w:val="24"/>
          <w:rtl/>
        </w:rPr>
        <w:t xml:space="preserve">הזקן </w:t>
      </w:r>
      <w:r w:rsidR="00CC37D2" w:rsidRPr="008152A4">
        <w:rPr>
          <w:rFonts w:ascii="David" w:hAnsi="David" w:cs="David"/>
          <w:sz w:val="24"/>
          <w:szCs w:val="24"/>
          <w:rtl/>
        </w:rPr>
        <w:t>להישאר בבית</w:t>
      </w:r>
      <w:r w:rsidRPr="008152A4">
        <w:rPr>
          <w:rFonts w:ascii="David" w:hAnsi="David" w:cs="David" w:hint="cs"/>
          <w:sz w:val="24"/>
          <w:szCs w:val="24"/>
          <w:rtl/>
        </w:rPr>
        <w:t>, הביאו לגידול משמעותי בביקוש ההולך וגובר לשירותי סיעוד לזקנים, לרבות שירות של מטפלי בית לזקנים סי</w:t>
      </w:r>
      <w:r w:rsidR="00450BB0" w:rsidRPr="008152A4">
        <w:rPr>
          <w:rFonts w:ascii="David" w:hAnsi="David" w:cs="David" w:hint="cs"/>
          <w:sz w:val="24"/>
          <w:szCs w:val="24"/>
          <w:rtl/>
        </w:rPr>
        <w:t>עודיים. התפיסות המקצועיות התומכות כיום בהשארת</w:t>
      </w:r>
      <w:r w:rsidRPr="008152A4">
        <w:rPr>
          <w:rFonts w:ascii="David" w:hAnsi="David" w:cs="David" w:hint="cs"/>
          <w:sz w:val="24"/>
          <w:szCs w:val="24"/>
          <w:rtl/>
        </w:rPr>
        <w:t xml:space="preserve"> מקבלי השירות בקהילה</w:t>
      </w:r>
      <w:r w:rsidR="00450BB0" w:rsidRPr="008152A4">
        <w:rPr>
          <w:rFonts w:ascii="David" w:hAnsi="David" w:cs="David" w:hint="cs"/>
          <w:sz w:val="24"/>
          <w:szCs w:val="24"/>
          <w:rtl/>
        </w:rPr>
        <w:t xml:space="preserve"> ובהימנעות ממעבר למסגרות מוסדיות</w:t>
      </w:r>
      <w:r w:rsidRPr="008152A4">
        <w:rPr>
          <w:rFonts w:ascii="David" w:hAnsi="David" w:cs="David" w:hint="cs"/>
          <w:sz w:val="24"/>
          <w:szCs w:val="24"/>
          <w:rtl/>
        </w:rPr>
        <w:t xml:space="preserve">, </w:t>
      </w:r>
      <w:r w:rsidR="00127032" w:rsidRPr="008152A4">
        <w:rPr>
          <w:rFonts w:ascii="David" w:hAnsi="David" w:cs="David" w:hint="cs"/>
          <w:sz w:val="24"/>
          <w:szCs w:val="24"/>
          <w:rtl/>
        </w:rPr>
        <w:t xml:space="preserve">והעדפתם של הזקנים הסיעודיים ובני משפחותיהם להשאיר את הזקן בבית במסגרת טיפול צמוד של 24 שעות ביממה הביאו להרחבת ההזדקקות לעובדים זרים. </w:t>
      </w:r>
      <w:r w:rsidR="00450BB0" w:rsidRPr="008152A4">
        <w:rPr>
          <w:rFonts w:ascii="David" w:hAnsi="David" w:cs="David" w:hint="cs"/>
          <w:sz w:val="24"/>
          <w:szCs w:val="24"/>
          <w:rtl/>
        </w:rPr>
        <w:t xml:space="preserve">(אופיר ואחרים, 2000; </w:t>
      </w:r>
      <w:proofErr w:type="spellStart"/>
      <w:r w:rsidR="00AD557A" w:rsidRPr="008152A4">
        <w:rPr>
          <w:rFonts w:ascii="David" w:hAnsi="David" w:cs="David" w:hint="cs"/>
          <w:sz w:val="24"/>
          <w:szCs w:val="24"/>
          <w:rtl/>
        </w:rPr>
        <w:t>מכטינגר</w:t>
      </w:r>
      <w:proofErr w:type="spellEnd"/>
      <w:r w:rsidR="00AD557A" w:rsidRPr="008152A4">
        <w:rPr>
          <w:rFonts w:ascii="David" w:hAnsi="David" w:cs="David" w:hint="cs"/>
          <w:sz w:val="24"/>
          <w:szCs w:val="24"/>
          <w:rtl/>
        </w:rPr>
        <w:t xml:space="preserve">, 2010; </w:t>
      </w:r>
      <w:r w:rsidR="00450BB0" w:rsidRPr="008152A4">
        <w:rPr>
          <w:rFonts w:ascii="David" w:hAnsi="David" w:cs="David" w:hint="cs"/>
          <w:sz w:val="24"/>
          <w:szCs w:val="24"/>
          <w:rtl/>
        </w:rPr>
        <w:t>שושני, 2014</w:t>
      </w:r>
      <w:r w:rsidR="00127032" w:rsidRPr="008152A4">
        <w:rPr>
          <w:rFonts w:ascii="David" w:hAnsi="David" w:cs="David" w:hint="cs"/>
          <w:sz w:val="24"/>
          <w:szCs w:val="24"/>
          <w:rtl/>
        </w:rPr>
        <w:t xml:space="preserve">). </w:t>
      </w:r>
    </w:p>
    <w:p w:rsidR="00127032" w:rsidRPr="008152A4" w:rsidRDefault="00127032" w:rsidP="00127032">
      <w:pPr>
        <w:spacing w:after="0" w:line="360" w:lineRule="auto"/>
        <w:jc w:val="both"/>
        <w:rPr>
          <w:rFonts w:ascii="David" w:hAnsi="David" w:cs="David"/>
          <w:sz w:val="24"/>
          <w:szCs w:val="24"/>
          <w:rtl/>
        </w:rPr>
      </w:pPr>
      <w:r w:rsidRPr="008152A4">
        <w:rPr>
          <w:rFonts w:ascii="David" w:hAnsi="David" w:cs="David" w:hint="cs"/>
          <w:sz w:val="24"/>
          <w:szCs w:val="24"/>
          <w:rtl/>
        </w:rPr>
        <w:lastRenderedPageBreak/>
        <w:t xml:space="preserve">קבוצת אוכלוסייה נוספת הנהנית משירותם של עובדי הסיעוד הזרים היא הנכים העומדים בקריטריונים הנדרשים, כולל נכים קטינים, נכים בגירים המקבלים קצבת שירותים מיוחדים, נכי צה"ל, נכים מפעולות איבה ונכי עבודה. </w:t>
      </w:r>
      <w:r w:rsidR="009A1C22" w:rsidRPr="008152A4">
        <w:rPr>
          <w:rFonts w:ascii="David" w:hAnsi="David" w:cs="David" w:hint="cs"/>
          <w:sz w:val="24"/>
          <w:szCs w:val="24"/>
          <w:rtl/>
        </w:rPr>
        <w:t xml:space="preserve">שתי האוכלוסיות הקשישים והנכים זקוקות להיתר העסקת עובד זר בענף הסיעוד ולעובד דרושה אשרת עבודה בענף (משה, 2013). </w:t>
      </w:r>
    </w:p>
    <w:p w:rsidR="00127032" w:rsidRPr="008152A4" w:rsidRDefault="00127032" w:rsidP="00127032">
      <w:pPr>
        <w:spacing w:after="0" w:line="360" w:lineRule="auto"/>
        <w:jc w:val="both"/>
        <w:rPr>
          <w:rFonts w:ascii="David" w:hAnsi="David" w:cs="David"/>
          <w:sz w:val="24"/>
          <w:szCs w:val="24"/>
          <w:rtl/>
        </w:rPr>
      </w:pPr>
    </w:p>
    <w:p w:rsidR="00127032" w:rsidRPr="008152A4" w:rsidRDefault="00127032" w:rsidP="00D817B8">
      <w:pPr>
        <w:spacing w:before="100" w:beforeAutospacing="1" w:after="100" w:afterAutospacing="1" w:line="360" w:lineRule="auto"/>
        <w:jc w:val="both"/>
        <w:rPr>
          <w:rFonts w:ascii="David" w:hAnsi="David" w:cs="David"/>
          <w:sz w:val="24"/>
          <w:szCs w:val="24"/>
          <w:rtl/>
        </w:rPr>
      </w:pPr>
      <w:r w:rsidRPr="008152A4">
        <w:rPr>
          <w:rFonts w:ascii="David" w:hAnsi="David" w:cs="David" w:hint="cs"/>
          <w:sz w:val="24"/>
          <w:szCs w:val="24"/>
          <w:rtl/>
        </w:rPr>
        <w:t>פתרון העסקתם עובדים זרים ב</w:t>
      </w:r>
      <w:r w:rsidR="007A5C0E" w:rsidRPr="008152A4">
        <w:rPr>
          <w:rFonts w:ascii="David" w:hAnsi="David" w:cs="David" w:hint="cs"/>
          <w:sz w:val="24"/>
          <w:szCs w:val="24"/>
          <w:rtl/>
        </w:rPr>
        <w:t>ענף</w:t>
      </w:r>
      <w:r w:rsidRPr="008152A4">
        <w:rPr>
          <w:rFonts w:ascii="David" w:hAnsi="David" w:cs="David" w:hint="cs"/>
          <w:sz w:val="24"/>
          <w:szCs w:val="24"/>
          <w:rtl/>
        </w:rPr>
        <w:t xml:space="preserve"> ה</w:t>
      </w:r>
      <w:r w:rsidR="009A41C2" w:rsidRPr="008152A4">
        <w:rPr>
          <w:rFonts w:ascii="David" w:hAnsi="David" w:cs="David" w:hint="cs"/>
          <w:sz w:val="24"/>
          <w:szCs w:val="24"/>
          <w:rtl/>
        </w:rPr>
        <w:t>סיעוד בעל</w:t>
      </w:r>
      <w:r w:rsidRPr="008152A4">
        <w:rPr>
          <w:rFonts w:ascii="David" w:hAnsi="David" w:cs="David" w:hint="cs"/>
          <w:sz w:val="24"/>
          <w:szCs w:val="24"/>
          <w:rtl/>
        </w:rPr>
        <w:t xml:space="preserve"> מספר יתרונות מרכזיים: הפתרון נוח לזקן</w:t>
      </w:r>
      <w:r w:rsidR="009A1C22" w:rsidRPr="008152A4">
        <w:rPr>
          <w:rFonts w:ascii="David" w:hAnsi="David" w:cs="David" w:hint="cs"/>
          <w:sz w:val="24"/>
          <w:szCs w:val="24"/>
          <w:rtl/>
        </w:rPr>
        <w:t xml:space="preserve"> (או לנכה) ולמשפח</w:t>
      </w:r>
      <w:r w:rsidRPr="008152A4">
        <w:rPr>
          <w:rFonts w:ascii="David" w:hAnsi="David" w:cs="David" w:hint="cs"/>
          <w:sz w:val="24"/>
          <w:szCs w:val="24"/>
          <w:rtl/>
        </w:rPr>
        <w:t>ת</w:t>
      </w:r>
      <w:r w:rsidR="009A1C22" w:rsidRPr="008152A4">
        <w:rPr>
          <w:rFonts w:ascii="David" w:hAnsi="David" w:cs="David" w:hint="cs"/>
          <w:sz w:val="24"/>
          <w:szCs w:val="24"/>
          <w:rtl/>
        </w:rPr>
        <w:t>ו,</w:t>
      </w:r>
      <w:r w:rsidRPr="008152A4">
        <w:rPr>
          <w:rFonts w:ascii="David" w:hAnsi="David" w:cs="David" w:hint="cs"/>
          <w:sz w:val="24"/>
          <w:szCs w:val="24"/>
          <w:rtl/>
        </w:rPr>
        <w:t xml:space="preserve"> היות והעובד נגיש לזקן לאורך כל שעות היממה; המדינה משתחררת מאחריות לזקן הסיעודי, מלבד </w:t>
      </w:r>
      <w:proofErr w:type="spellStart"/>
      <w:r w:rsidRPr="008152A4">
        <w:rPr>
          <w:rFonts w:ascii="David" w:hAnsi="David" w:cs="David" w:hint="cs"/>
          <w:sz w:val="24"/>
          <w:szCs w:val="24"/>
          <w:rtl/>
        </w:rPr>
        <w:t>גימלת</w:t>
      </w:r>
      <w:proofErr w:type="spellEnd"/>
      <w:r w:rsidRPr="008152A4">
        <w:rPr>
          <w:rFonts w:ascii="David" w:hAnsi="David" w:cs="David" w:hint="cs"/>
          <w:sz w:val="24"/>
          <w:szCs w:val="24"/>
          <w:rtl/>
        </w:rPr>
        <w:t xml:space="preserve"> הסיעוד</w:t>
      </w:r>
      <w:r w:rsidR="009A41C2" w:rsidRPr="008152A4">
        <w:rPr>
          <w:rFonts w:ascii="David" w:hAnsi="David" w:cs="David" w:hint="cs"/>
          <w:sz w:val="24"/>
          <w:szCs w:val="24"/>
          <w:rtl/>
        </w:rPr>
        <w:t xml:space="preserve"> המוענקת לו;</w:t>
      </w:r>
      <w:r w:rsidRPr="008152A4">
        <w:rPr>
          <w:rFonts w:ascii="David" w:hAnsi="David" w:cs="David" w:hint="cs"/>
          <w:sz w:val="24"/>
          <w:szCs w:val="24"/>
          <w:rtl/>
        </w:rPr>
        <w:t xml:space="preserve"> העובד הזר בעל רמת שכר ה</w:t>
      </w:r>
      <w:r w:rsidR="009A41C2" w:rsidRPr="008152A4">
        <w:rPr>
          <w:rFonts w:ascii="David" w:hAnsi="David" w:cs="David" w:hint="cs"/>
          <w:sz w:val="24"/>
          <w:szCs w:val="24"/>
          <w:rtl/>
        </w:rPr>
        <w:t xml:space="preserve">עולה על זו שהיה יכול לקבל בארצו; </w:t>
      </w:r>
      <w:r w:rsidRPr="008152A4">
        <w:rPr>
          <w:rFonts w:ascii="David" w:hAnsi="David" w:cs="David" w:hint="cs"/>
          <w:sz w:val="24"/>
          <w:szCs w:val="24"/>
          <w:rtl/>
        </w:rPr>
        <w:t xml:space="preserve">וחברות כוח האדם וחברות התיווך בשתי הארצות בעלות רווח נאה מעמלת התיווך. </w:t>
      </w:r>
      <w:r w:rsidR="00D57526" w:rsidRPr="008152A4">
        <w:rPr>
          <w:rFonts w:ascii="David" w:hAnsi="David" w:cs="David" w:hint="cs"/>
          <w:sz w:val="24"/>
          <w:szCs w:val="24"/>
          <w:rtl/>
        </w:rPr>
        <w:t xml:space="preserve">(אופיר ואחרים, 2000). </w:t>
      </w:r>
    </w:p>
    <w:p w:rsidR="001C5BDB" w:rsidRPr="008152A4" w:rsidRDefault="00942B6A" w:rsidP="00D817B8">
      <w:pPr>
        <w:spacing w:before="100" w:beforeAutospacing="1" w:after="100" w:afterAutospacing="1" w:line="360" w:lineRule="auto"/>
        <w:jc w:val="both"/>
        <w:rPr>
          <w:rFonts w:ascii="David" w:hAnsi="David" w:cs="David" w:hint="cs"/>
          <w:sz w:val="28"/>
          <w:szCs w:val="28"/>
          <w:rtl/>
        </w:rPr>
      </w:pPr>
      <w:r w:rsidRPr="008152A4">
        <w:rPr>
          <w:rFonts w:ascii="David" w:hAnsi="David" w:cs="David" w:hint="cs"/>
          <w:sz w:val="28"/>
          <w:szCs w:val="28"/>
          <w:rtl/>
        </w:rPr>
        <w:t xml:space="preserve">קשישים סיעודיים </w:t>
      </w:r>
      <w:r w:rsidR="001C5BDB" w:rsidRPr="008152A4">
        <w:rPr>
          <w:rFonts w:ascii="David" w:hAnsi="David" w:cs="David" w:hint="cs"/>
          <w:sz w:val="28"/>
          <w:szCs w:val="28"/>
          <w:rtl/>
        </w:rPr>
        <w:t xml:space="preserve">בישראל </w:t>
      </w:r>
    </w:p>
    <w:p w:rsidR="00D817B8" w:rsidRPr="008152A4" w:rsidRDefault="00800A92" w:rsidP="00D817B8">
      <w:pPr>
        <w:spacing w:before="100" w:beforeAutospacing="1" w:after="100" w:afterAutospacing="1" w:line="360" w:lineRule="auto"/>
        <w:jc w:val="both"/>
        <w:rPr>
          <w:rFonts w:ascii="David" w:hAnsi="David" w:cs="David"/>
          <w:sz w:val="24"/>
          <w:szCs w:val="24"/>
          <w:rtl/>
        </w:rPr>
      </w:pPr>
      <w:r w:rsidRPr="008152A4">
        <w:rPr>
          <w:rFonts w:ascii="David" w:hAnsi="David" w:cs="David" w:hint="cs"/>
          <w:sz w:val="24"/>
          <w:szCs w:val="24"/>
          <w:rtl/>
        </w:rPr>
        <w:t>בסוף שנת 2014</w:t>
      </w:r>
      <w:r w:rsidR="001C5BDB" w:rsidRPr="008152A4">
        <w:rPr>
          <w:rFonts w:ascii="David" w:hAnsi="David" w:cs="David" w:hint="cs"/>
          <w:sz w:val="24"/>
          <w:szCs w:val="24"/>
          <w:rtl/>
        </w:rPr>
        <w:t xml:space="preserve"> </w:t>
      </w:r>
      <w:r w:rsidRPr="008152A4">
        <w:rPr>
          <w:rFonts w:ascii="David" w:hAnsi="David" w:cs="David" w:hint="cs"/>
          <w:sz w:val="24"/>
          <w:szCs w:val="24"/>
          <w:rtl/>
        </w:rPr>
        <w:t>מנתה</w:t>
      </w:r>
      <w:r w:rsidR="001C5BDB" w:rsidRPr="008152A4">
        <w:rPr>
          <w:rFonts w:ascii="David" w:hAnsi="David" w:cs="David" w:hint="cs"/>
          <w:sz w:val="24"/>
          <w:szCs w:val="24"/>
          <w:rtl/>
        </w:rPr>
        <w:t xml:space="preserve"> האוכלוסייה הזקנה בישראל (בני 65+) 900 אלף נפש </w:t>
      </w:r>
      <w:r w:rsidRPr="008152A4">
        <w:rPr>
          <w:rFonts w:ascii="David" w:hAnsi="David" w:cs="David" w:hint="cs"/>
          <w:sz w:val="24"/>
          <w:szCs w:val="24"/>
          <w:rtl/>
        </w:rPr>
        <w:t>והיוותה כ-11% מאוכלוסיית ישראל</w:t>
      </w:r>
      <w:r w:rsidR="001C5BDB" w:rsidRPr="008152A4">
        <w:rPr>
          <w:rFonts w:ascii="David" w:hAnsi="David" w:cs="David" w:hint="cs"/>
          <w:sz w:val="24"/>
          <w:szCs w:val="24"/>
          <w:rtl/>
        </w:rPr>
        <w:t>. לפי תחזיות הלשכה המרכזית לסטטיסטיקה</w:t>
      </w:r>
      <w:r w:rsidRPr="008152A4">
        <w:rPr>
          <w:rFonts w:ascii="David" w:hAnsi="David" w:cs="David" w:hint="cs"/>
          <w:sz w:val="24"/>
          <w:szCs w:val="24"/>
          <w:rtl/>
        </w:rPr>
        <w:t xml:space="preserve"> קצב הגידול של אוכלוסייה זו מהיר פי 2.3 מזה של האוכלוסייה הכללית וכתוצאה מכך מספר הזקנים צפוי לגדול </w:t>
      </w:r>
      <w:proofErr w:type="spellStart"/>
      <w:r w:rsidRPr="008152A4">
        <w:rPr>
          <w:rFonts w:ascii="David" w:hAnsi="David" w:cs="David" w:hint="cs"/>
          <w:sz w:val="24"/>
          <w:szCs w:val="24"/>
          <w:rtl/>
        </w:rPr>
        <w:t>בכ</w:t>
      </w:r>
      <w:proofErr w:type="spellEnd"/>
      <w:r w:rsidRPr="008152A4">
        <w:rPr>
          <w:rFonts w:ascii="David" w:hAnsi="David" w:cs="David" w:hint="cs"/>
          <w:sz w:val="24"/>
          <w:szCs w:val="24"/>
          <w:rtl/>
        </w:rPr>
        <w:t xml:space="preserve">- 85% בתוך כ-20 שנה </w:t>
      </w:r>
      <w:r w:rsidRPr="008152A4">
        <w:rPr>
          <w:rFonts w:ascii="David" w:hAnsi="David" w:cs="David"/>
          <w:sz w:val="24"/>
          <w:szCs w:val="24"/>
          <w:rtl/>
        </w:rPr>
        <w:t>–</w:t>
      </w:r>
      <w:r w:rsidRPr="008152A4">
        <w:rPr>
          <w:rFonts w:ascii="David" w:hAnsi="David" w:cs="David" w:hint="cs"/>
          <w:sz w:val="24"/>
          <w:szCs w:val="24"/>
          <w:rtl/>
        </w:rPr>
        <w:t xml:space="preserve"> מ-8% ל-14% בשנת 2035</w:t>
      </w:r>
      <w:r w:rsidR="002C158A" w:rsidRPr="008152A4">
        <w:rPr>
          <w:rFonts w:ascii="David" w:hAnsi="David" w:cs="David" w:hint="cs"/>
          <w:sz w:val="24"/>
          <w:szCs w:val="24"/>
          <w:rtl/>
        </w:rPr>
        <w:t xml:space="preserve">. כחמישית (17.4%) מהזקנים זכאים לגמלת סיעוד </w:t>
      </w:r>
      <w:r w:rsidR="002C158A" w:rsidRPr="008152A4">
        <w:rPr>
          <w:rFonts w:ascii="David" w:hAnsi="David" w:cs="David"/>
          <w:sz w:val="24"/>
          <w:szCs w:val="24"/>
          <w:rtl/>
        </w:rPr>
        <w:t>–</w:t>
      </w:r>
      <w:r w:rsidR="002C158A" w:rsidRPr="008152A4">
        <w:rPr>
          <w:rFonts w:ascii="David" w:hAnsi="David" w:cs="David" w:hint="cs"/>
          <w:sz w:val="24"/>
          <w:szCs w:val="24"/>
          <w:rtl/>
        </w:rPr>
        <w:t xml:space="preserve"> נכון לשנת 2014 </w:t>
      </w:r>
      <w:r w:rsidR="002C158A" w:rsidRPr="008152A4">
        <w:rPr>
          <w:rFonts w:ascii="David" w:hAnsi="David" w:cs="David"/>
          <w:sz w:val="24"/>
          <w:szCs w:val="24"/>
          <w:rtl/>
        </w:rPr>
        <w:t>–</w:t>
      </w:r>
      <w:r w:rsidR="002C158A" w:rsidRPr="008152A4">
        <w:rPr>
          <w:rFonts w:ascii="David" w:hAnsi="David" w:cs="David" w:hint="cs"/>
          <w:sz w:val="24"/>
          <w:szCs w:val="24"/>
          <w:rtl/>
        </w:rPr>
        <w:t xml:space="preserve"> כ-159,000 זקנים</w:t>
      </w:r>
      <w:r w:rsidR="009A41C2" w:rsidRPr="008152A4">
        <w:rPr>
          <w:rFonts w:ascii="David" w:hAnsi="David" w:cs="David" w:hint="cs"/>
          <w:sz w:val="24"/>
          <w:szCs w:val="24"/>
          <w:rtl/>
        </w:rPr>
        <w:t>. כתוצאה מתהליכים אלו</w:t>
      </w:r>
      <w:r w:rsidR="002C158A" w:rsidRPr="008152A4">
        <w:rPr>
          <w:rFonts w:ascii="David" w:hAnsi="David" w:cs="David" w:hint="cs"/>
          <w:sz w:val="24"/>
          <w:szCs w:val="24"/>
          <w:rtl/>
        </w:rPr>
        <w:t xml:space="preserve"> הולך וגדל הביקוש לעובדים זרים בענף הסיעוד </w:t>
      </w:r>
      <w:r w:rsidR="002C158A" w:rsidRPr="008152A4">
        <w:rPr>
          <w:rFonts w:ascii="David" w:hAnsi="David" w:cs="David" w:hint="cs"/>
          <w:sz w:val="24"/>
          <w:szCs w:val="24"/>
          <w:rtl/>
        </w:rPr>
        <w:t xml:space="preserve"> (משאב, 2015)</w:t>
      </w:r>
      <w:r w:rsidR="00D817B8" w:rsidRPr="008152A4">
        <w:rPr>
          <w:rFonts w:ascii="David" w:hAnsi="David" w:cs="David" w:hint="cs"/>
          <w:sz w:val="24"/>
          <w:szCs w:val="24"/>
          <w:rtl/>
        </w:rPr>
        <w:t xml:space="preserve">. כמו כן גובה התקציב שמקצה המדינה לחוק הסיעוד העומד כיום על </w:t>
      </w:r>
      <w:r w:rsidR="00D817B8" w:rsidRPr="008152A4">
        <w:rPr>
          <w:rFonts w:ascii="David" w:hAnsi="David" w:cs="David" w:hint="cs"/>
          <w:sz w:val="24"/>
          <w:szCs w:val="24"/>
          <w:rtl/>
        </w:rPr>
        <w:t xml:space="preserve">כ-3.5 מיליארד שקל </w:t>
      </w:r>
      <w:r w:rsidR="00D817B8" w:rsidRPr="008152A4">
        <w:rPr>
          <w:rFonts w:ascii="David" w:hAnsi="David" w:cs="David" w:hint="cs"/>
          <w:sz w:val="24"/>
          <w:szCs w:val="24"/>
          <w:rtl/>
        </w:rPr>
        <w:t>צפוי לגדול באופן משמעותי</w:t>
      </w:r>
      <w:r w:rsidR="00D817B8" w:rsidRPr="008152A4">
        <w:rPr>
          <w:rFonts w:ascii="David" w:hAnsi="David" w:cs="David" w:hint="cs"/>
          <w:sz w:val="24"/>
          <w:szCs w:val="24"/>
          <w:rtl/>
        </w:rPr>
        <w:t xml:space="preserve"> בעקבות התארכות תוחלת החיים של החולים הסיעודיים (</w:t>
      </w:r>
      <w:proofErr w:type="spellStart"/>
      <w:r w:rsidR="00D817B8" w:rsidRPr="008152A4">
        <w:rPr>
          <w:rFonts w:ascii="David" w:hAnsi="David" w:cs="David" w:hint="cs"/>
          <w:sz w:val="24"/>
          <w:szCs w:val="24"/>
          <w:rtl/>
        </w:rPr>
        <w:t>מכטינגר</w:t>
      </w:r>
      <w:proofErr w:type="spellEnd"/>
      <w:r w:rsidR="00D817B8" w:rsidRPr="008152A4">
        <w:rPr>
          <w:rFonts w:ascii="David" w:hAnsi="David" w:cs="David" w:hint="cs"/>
          <w:sz w:val="24"/>
          <w:szCs w:val="24"/>
          <w:rtl/>
        </w:rPr>
        <w:t xml:space="preserve"> 2010). </w:t>
      </w:r>
    </w:p>
    <w:p w:rsidR="00AD557A" w:rsidRPr="008152A4" w:rsidRDefault="00AF55EC" w:rsidP="00D817B8">
      <w:pPr>
        <w:spacing w:before="100" w:beforeAutospacing="1" w:after="100" w:afterAutospacing="1" w:line="360" w:lineRule="auto"/>
        <w:jc w:val="both"/>
        <w:rPr>
          <w:rFonts w:ascii="David" w:hAnsi="David" w:cs="David"/>
          <w:sz w:val="24"/>
          <w:szCs w:val="24"/>
          <w:rtl/>
        </w:rPr>
      </w:pPr>
      <w:r w:rsidRPr="008152A4">
        <w:rPr>
          <w:rFonts w:ascii="David" w:hAnsi="David" w:cs="David" w:hint="cs"/>
          <w:sz w:val="28"/>
          <w:szCs w:val="28"/>
          <w:rtl/>
        </w:rPr>
        <w:t xml:space="preserve">היקף הביקוש וההיצע לעובדים זרים בענף הסיעוד </w:t>
      </w:r>
    </w:p>
    <w:p w:rsidR="00AD557A" w:rsidRPr="008152A4" w:rsidRDefault="00AD557A" w:rsidP="00D817B8">
      <w:pPr>
        <w:spacing w:before="100" w:beforeAutospacing="1" w:after="100" w:afterAutospacing="1" w:line="360" w:lineRule="auto"/>
        <w:jc w:val="both"/>
        <w:rPr>
          <w:rFonts w:ascii="David" w:hAnsi="David" w:cs="David" w:hint="cs"/>
          <w:sz w:val="28"/>
          <w:szCs w:val="28"/>
          <w:rtl/>
        </w:rPr>
      </w:pPr>
      <w:r w:rsidRPr="008152A4">
        <w:rPr>
          <w:rFonts w:ascii="David" w:hAnsi="David" w:cs="David" w:hint="cs"/>
          <w:sz w:val="24"/>
          <w:szCs w:val="24"/>
          <w:rtl/>
        </w:rPr>
        <w:t>נכון לספטמבר 2016 (</w:t>
      </w:r>
      <w:proofErr w:type="spellStart"/>
      <w:r w:rsidRPr="008152A4">
        <w:rPr>
          <w:rFonts w:ascii="David" w:hAnsi="David" w:cs="David" w:hint="cs"/>
          <w:sz w:val="24"/>
          <w:szCs w:val="24"/>
          <w:rtl/>
        </w:rPr>
        <w:t>אברמס</w:t>
      </w:r>
      <w:proofErr w:type="spellEnd"/>
      <w:r w:rsidRPr="008152A4">
        <w:rPr>
          <w:rFonts w:ascii="David" w:hAnsi="David" w:cs="David" w:hint="cs"/>
          <w:sz w:val="24"/>
          <w:szCs w:val="24"/>
          <w:rtl/>
        </w:rPr>
        <w:t xml:space="preserve">, 2016), </w:t>
      </w:r>
      <w:r w:rsidR="00B62356" w:rsidRPr="008152A4">
        <w:rPr>
          <w:rFonts w:ascii="David" w:hAnsi="David" w:cs="David" w:hint="cs"/>
          <w:sz w:val="24"/>
          <w:szCs w:val="24"/>
          <w:rtl/>
        </w:rPr>
        <w:t xml:space="preserve">שהו </w:t>
      </w:r>
      <w:r w:rsidRPr="008152A4">
        <w:rPr>
          <w:rFonts w:ascii="David" w:hAnsi="David" w:cs="David"/>
          <w:sz w:val="24"/>
          <w:szCs w:val="24"/>
          <w:rtl/>
        </w:rPr>
        <w:t xml:space="preserve">במדינת ישראל כ- </w:t>
      </w:r>
      <w:r w:rsidRPr="008152A4">
        <w:rPr>
          <w:rFonts w:ascii="David" w:hAnsi="David" w:cs="David" w:hint="cs"/>
          <w:sz w:val="24"/>
          <w:szCs w:val="24"/>
          <w:rtl/>
        </w:rPr>
        <w:t>81,329 עובדים זרים חוקיים וכ-16,736 עובדים זרים לא חוקיים. מתוכם 47,488 עובדים זרים חוקיים ו-12,221 עובד</w:t>
      </w:r>
      <w:r w:rsidR="007A5C0E" w:rsidRPr="008152A4">
        <w:rPr>
          <w:rFonts w:ascii="David" w:hAnsi="David" w:cs="David" w:hint="cs"/>
          <w:sz w:val="24"/>
          <w:szCs w:val="24"/>
          <w:rtl/>
        </w:rPr>
        <w:t>ים זרים לא חוקיים המועסקים בענף</w:t>
      </w:r>
      <w:r w:rsidRPr="008152A4">
        <w:rPr>
          <w:rFonts w:ascii="David" w:hAnsi="David" w:cs="David" w:hint="cs"/>
          <w:sz w:val="24"/>
          <w:szCs w:val="24"/>
          <w:rtl/>
        </w:rPr>
        <w:t xml:space="preserve"> הסיעוד. העובדים הזרים החוקיים עומדים בהתאם לחוק בשני תנאים: האחד, המעסיק מחזיק בהיתר העסקה תקף, בענף הסיעוד והשני </w:t>
      </w:r>
      <w:r w:rsidRPr="008152A4">
        <w:rPr>
          <w:rFonts w:ascii="David" w:hAnsi="David" w:cs="David"/>
          <w:sz w:val="24"/>
          <w:szCs w:val="24"/>
          <w:rtl/>
        </w:rPr>
        <w:t>–</w:t>
      </w:r>
      <w:r w:rsidRPr="008152A4">
        <w:rPr>
          <w:rFonts w:ascii="David" w:hAnsi="David" w:cs="David" w:hint="cs"/>
          <w:sz w:val="24"/>
          <w:szCs w:val="24"/>
          <w:rtl/>
        </w:rPr>
        <w:t xml:space="preserve"> לזר יש רישיו</w:t>
      </w:r>
      <w:r w:rsidRPr="008152A4">
        <w:rPr>
          <w:rFonts w:ascii="David" w:hAnsi="David" w:cs="David" w:hint="eastAsia"/>
          <w:sz w:val="24"/>
          <w:szCs w:val="24"/>
          <w:rtl/>
        </w:rPr>
        <w:t>ן</w:t>
      </w:r>
      <w:r w:rsidRPr="008152A4">
        <w:rPr>
          <w:rFonts w:ascii="David" w:hAnsi="David" w:cs="David" w:hint="cs"/>
          <w:sz w:val="24"/>
          <w:szCs w:val="24"/>
          <w:rtl/>
        </w:rPr>
        <w:t xml:space="preserve"> עבודה בתוקף לענף הסיעוד והוא רשום אצל אותו מעסיק לו ניתן ההיתר.</w:t>
      </w:r>
    </w:p>
    <w:p w:rsidR="00CC37D2" w:rsidRPr="008152A4" w:rsidRDefault="00AF55EC" w:rsidP="00D817B8">
      <w:pPr>
        <w:spacing w:before="100" w:beforeAutospacing="1" w:after="100" w:afterAutospacing="1" w:line="360" w:lineRule="auto"/>
        <w:jc w:val="both"/>
        <w:rPr>
          <w:rFonts w:ascii="David" w:hAnsi="David" w:cs="David"/>
          <w:sz w:val="24"/>
          <w:szCs w:val="24"/>
          <w:rtl/>
        </w:rPr>
      </w:pPr>
      <w:r w:rsidRPr="008152A4">
        <w:rPr>
          <w:rFonts w:ascii="David" w:hAnsi="David" w:cs="David" w:hint="cs"/>
          <w:sz w:val="24"/>
          <w:szCs w:val="24"/>
          <w:rtl/>
        </w:rPr>
        <w:t>לפי נתוני רשות האוכלוסין ההגירה, בשנים האחרונות אחוז המימוש של</w:t>
      </w:r>
      <w:r w:rsidR="007A5C0E" w:rsidRPr="008152A4">
        <w:rPr>
          <w:rFonts w:ascii="David" w:hAnsi="David" w:cs="David" w:hint="cs"/>
          <w:sz w:val="24"/>
          <w:szCs w:val="24"/>
          <w:rtl/>
        </w:rPr>
        <w:t xml:space="preserve"> היתרים להעסקת עובדים זרים בענף</w:t>
      </w:r>
      <w:r w:rsidRPr="008152A4">
        <w:rPr>
          <w:rFonts w:ascii="David" w:hAnsi="David" w:cs="David" w:hint="cs"/>
          <w:sz w:val="24"/>
          <w:szCs w:val="24"/>
          <w:rtl/>
        </w:rPr>
        <w:t xml:space="preserve"> הסיעוד הינו בגובה של 75-80%. החלק הנותר של בעלי ההיתרים שלא מומשו דיווח כי הם מעסיקים עובד זר שאינו מדווח (ולכן העובד במעמד לא חוקי)</w:t>
      </w:r>
      <w:r w:rsidR="00FA22C6" w:rsidRPr="008152A4">
        <w:rPr>
          <w:rFonts w:ascii="David" w:hAnsi="David" w:cs="David" w:hint="cs"/>
          <w:sz w:val="24"/>
          <w:szCs w:val="24"/>
          <w:rtl/>
        </w:rPr>
        <w:t>, או שהם הוציאו את ההיתר כדי להיערך בשלב מוקדם לקראת ימים קשים יותר</w:t>
      </w:r>
      <w:r w:rsidRPr="008152A4">
        <w:rPr>
          <w:rFonts w:ascii="David" w:hAnsi="David" w:cs="David" w:hint="cs"/>
          <w:sz w:val="24"/>
          <w:szCs w:val="24"/>
          <w:rtl/>
        </w:rPr>
        <w:t xml:space="preserve">. </w:t>
      </w:r>
      <w:r w:rsidR="006F37F9" w:rsidRPr="008152A4">
        <w:rPr>
          <w:rFonts w:ascii="David" w:hAnsi="David" w:cs="David" w:hint="cs"/>
          <w:sz w:val="24"/>
          <w:szCs w:val="24"/>
          <w:rtl/>
        </w:rPr>
        <w:t xml:space="preserve">רוב מקבלי ההיתרים להעסקת עובד זר בני 80 ומעלה. </w:t>
      </w:r>
      <w:r w:rsidRPr="008152A4">
        <w:rPr>
          <w:rFonts w:ascii="David" w:hAnsi="David" w:cs="David" w:hint="cs"/>
          <w:sz w:val="24"/>
          <w:szCs w:val="24"/>
          <w:rtl/>
        </w:rPr>
        <w:t xml:space="preserve">מאז מאי 2013 הוגדלה המכסה להבאת עובדים זרים, אך מספר העובדים הזרים שהגיעו בעקבות זאת היה נמוך מהמכסה שהותרה להבאה. כך בשנת 2014 הגיעו כ-6,000 אלף עובדים </w:t>
      </w:r>
      <w:r w:rsidR="00FA22C6" w:rsidRPr="008152A4">
        <w:rPr>
          <w:rFonts w:ascii="David" w:hAnsi="David" w:cs="David" w:hint="cs"/>
          <w:sz w:val="24"/>
          <w:szCs w:val="24"/>
          <w:rtl/>
        </w:rPr>
        <w:t xml:space="preserve">(שושני, 2014). </w:t>
      </w:r>
    </w:p>
    <w:p w:rsidR="003D21E5" w:rsidRPr="008152A4" w:rsidRDefault="003D21E5" w:rsidP="00D817B8">
      <w:pPr>
        <w:spacing w:before="100" w:beforeAutospacing="1" w:after="100" w:afterAutospacing="1" w:line="360" w:lineRule="auto"/>
        <w:jc w:val="both"/>
        <w:rPr>
          <w:rFonts w:ascii="David" w:hAnsi="David" w:cs="David"/>
          <w:sz w:val="24"/>
          <w:szCs w:val="24"/>
          <w:rtl/>
        </w:rPr>
      </w:pPr>
    </w:p>
    <w:p w:rsidR="00127032" w:rsidRPr="008152A4" w:rsidRDefault="00127032" w:rsidP="00D817B8">
      <w:pPr>
        <w:spacing w:before="100" w:beforeAutospacing="1" w:after="100" w:afterAutospacing="1" w:line="360" w:lineRule="auto"/>
        <w:jc w:val="both"/>
        <w:rPr>
          <w:rFonts w:ascii="David" w:hAnsi="David" w:cs="David" w:hint="cs"/>
          <w:sz w:val="28"/>
          <w:szCs w:val="28"/>
          <w:rtl/>
        </w:rPr>
      </w:pPr>
      <w:r w:rsidRPr="008152A4">
        <w:rPr>
          <w:rFonts w:ascii="David" w:hAnsi="David" w:cs="David" w:hint="cs"/>
          <w:sz w:val="28"/>
          <w:szCs w:val="28"/>
          <w:rtl/>
        </w:rPr>
        <w:lastRenderedPageBreak/>
        <w:t>ההעסקה של עובדים זרים</w:t>
      </w:r>
    </w:p>
    <w:p w:rsidR="009A1C22" w:rsidRPr="008152A4" w:rsidRDefault="00127032" w:rsidP="00D817B8">
      <w:pPr>
        <w:spacing w:before="100" w:beforeAutospacing="1" w:after="100" w:afterAutospacing="1" w:line="360" w:lineRule="auto"/>
        <w:jc w:val="both"/>
        <w:rPr>
          <w:rFonts w:ascii="David" w:hAnsi="David" w:cs="David"/>
          <w:sz w:val="24"/>
          <w:szCs w:val="24"/>
          <w:rtl/>
        </w:rPr>
      </w:pPr>
      <w:r w:rsidRPr="008152A4">
        <w:rPr>
          <w:rFonts w:ascii="David" w:hAnsi="David" w:cs="David" w:hint="cs"/>
          <w:sz w:val="24"/>
          <w:szCs w:val="24"/>
          <w:rtl/>
        </w:rPr>
        <w:t xml:space="preserve">העובד הזר המגיע לישראל </w:t>
      </w:r>
      <w:r w:rsidR="009A1C22" w:rsidRPr="008152A4">
        <w:rPr>
          <w:rFonts w:ascii="David" w:hAnsi="David" w:cs="David" w:hint="cs"/>
          <w:sz w:val="24"/>
          <w:szCs w:val="24"/>
          <w:rtl/>
        </w:rPr>
        <w:t>מקבל אשרה לתקופה של עד 63 חודשים, ומתאפשרת הארכה מעבר לתקופה זו במקרים שבהם עובד סוציאלי, רופא או אח מוסמך ימסור חוות דעת ובה יעיד על תלות של המטופל במטפל הזר ועל הקשר ביניהם</w:t>
      </w:r>
      <w:r w:rsidR="00936AFB" w:rsidRPr="008152A4">
        <w:rPr>
          <w:rFonts w:ascii="David" w:hAnsi="David" w:cs="David" w:hint="cs"/>
          <w:sz w:val="24"/>
          <w:szCs w:val="24"/>
          <w:rtl/>
        </w:rPr>
        <w:t xml:space="preserve"> (רשות ההגירה</w:t>
      </w:r>
      <w:r w:rsidR="009A41C2" w:rsidRPr="008152A4">
        <w:rPr>
          <w:rFonts w:ascii="David" w:hAnsi="David" w:cs="David" w:hint="cs"/>
          <w:sz w:val="24"/>
          <w:szCs w:val="24"/>
          <w:rtl/>
        </w:rPr>
        <w:t xml:space="preserve"> והאוכלוסין, 2016). </w:t>
      </w:r>
      <w:r w:rsidR="009A1C22" w:rsidRPr="008152A4">
        <w:rPr>
          <w:rFonts w:ascii="David" w:hAnsi="David" w:cs="David" w:hint="cs"/>
          <w:sz w:val="24"/>
          <w:szCs w:val="24"/>
          <w:rtl/>
        </w:rPr>
        <w:t>קשישים המקבלים גמלה "בעין" ומעסיקים עובד זר מתקשרים עם חברות הסיעוד, והמוס</w:t>
      </w:r>
      <w:r w:rsidR="009A41C2" w:rsidRPr="008152A4">
        <w:rPr>
          <w:rFonts w:ascii="David" w:hAnsi="David" w:cs="David" w:hint="cs"/>
          <w:sz w:val="24"/>
          <w:szCs w:val="24"/>
          <w:rtl/>
        </w:rPr>
        <w:t>ד</w:t>
      </w:r>
      <w:r w:rsidR="009A1C22" w:rsidRPr="008152A4">
        <w:rPr>
          <w:rFonts w:ascii="David" w:hAnsi="David" w:cs="David" w:hint="cs"/>
          <w:sz w:val="24"/>
          <w:szCs w:val="24"/>
          <w:rtl/>
        </w:rPr>
        <w:t xml:space="preserve"> לביטוח לאומי מעביר לחברת הסיעוד את סכום הקצבה לה זכאי הקשיש. הקשיש ו/או בני משפחתו משלימים את השכר החודשי של העובד ונושאים באחריות, ביחד עם חברות הסיעוד לרכיבים נוספים </w:t>
      </w:r>
      <w:r w:rsidR="009A41C2" w:rsidRPr="008152A4">
        <w:rPr>
          <w:rFonts w:ascii="David" w:hAnsi="David" w:cs="David" w:hint="cs"/>
          <w:sz w:val="24"/>
          <w:szCs w:val="24"/>
          <w:rtl/>
        </w:rPr>
        <w:t xml:space="preserve">של </w:t>
      </w:r>
      <w:r w:rsidR="009A1C22" w:rsidRPr="008152A4">
        <w:rPr>
          <w:rFonts w:ascii="David" w:hAnsi="David" w:cs="David" w:hint="cs"/>
          <w:sz w:val="24"/>
          <w:szCs w:val="24"/>
          <w:rtl/>
        </w:rPr>
        <w:t>שכרו של העובד הזר</w:t>
      </w:r>
      <w:r w:rsidR="00936AFB" w:rsidRPr="008152A4">
        <w:rPr>
          <w:rFonts w:ascii="David" w:hAnsi="David" w:cs="David" w:hint="cs"/>
          <w:sz w:val="24"/>
          <w:szCs w:val="24"/>
          <w:rtl/>
        </w:rPr>
        <w:t xml:space="preserve">. </w:t>
      </w:r>
      <w:r w:rsidR="003D21E5" w:rsidRPr="008152A4">
        <w:rPr>
          <w:rFonts w:ascii="David" w:hAnsi="David" w:cs="David" w:hint="cs"/>
          <w:sz w:val="24"/>
          <w:szCs w:val="24"/>
          <w:rtl/>
        </w:rPr>
        <w:t>בהתאם לדיני העבודה החלים בישראל, המטופלים הסיעודיים הם המעסיקים הישירים</w:t>
      </w:r>
      <w:r w:rsidR="007A5C0E" w:rsidRPr="008152A4">
        <w:rPr>
          <w:rFonts w:ascii="David" w:hAnsi="David" w:cs="David" w:hint="cs"/>
          <w:sz w:val="24"/>
          <w:szCs w:val="24"/>
          <w:rtl/>
        </w:rPr>
        <w:t xml:space="preserve"> של העובד הזר בענף</w:t>
      </w:r>
      <w:r w:rsidR="003D21E5" w:rsidRPr="008152A4">
        <w:rPr>
          <w:rFonts w:ascii="David" w:hAnsi="David" w:cs="David" w:hint="cs"/>
          <w:sz w:val="24"/>
          <w:szCs w:val="24"/>
          <w:rtl/>
        </w:rPr>
        <w:t xml:space="preserve"> הסיעוד (זעירה ומשה, 2015). </w:t>
      </w:r>
      <w:r w:rsidR="00936AFB" w:rsidRPr="008152A4">
        <w:rPr>
          <w:rFonts w:ascii="David" w:hAnsi="David" w:cs="David" w:hint="cs"/>
          <w:sz w:val="24"/>
          <w:szCs w:val="24"/>
          <w:rtl/>
        </w:rPr>
        <w:t xml:space="preserve">בשנים האחרונות ניתן לבחור במסגרת תכנית פיילוט בגמלת סיעוד כספית במקום בקבלת שירותים "בעין". זכאים לכך המדורגים בשתי רמות הגבוהות של גמלת הסיעוד (150% או 168%) וכן המקבלים שירותי סיעוד במשך יותר מ-12 שעות ביום, שישה ימים בשבוע, ממטפל שאינו בן משפחה (ישראלי או עובד זר). במסלול זה קשישים שעמדו בקריטריונים קיבלו את </w:t>
      </w:r>
      <w:proofErr w:type="spellStart"/>
      <w:r w:rsidR="00936AFB" w:rsidRPr="008152A4">
        <w:rPr>
          <w:rFonts w:ascii="David" w:hAnsi="David" w:cs="David" w:hint="cs"/>
          <w:sz w:val="24"/>
          <w:szCs w:val="24"/>
          <w:rtl/>
        </w:rPr>
        <w:t>הגימלה</w:t>
      </w:r>
      <w:proofErr w:type="spellEnd"/>
      <w:r w:rsidR="00936AFB" w:rsidRPr="008152A4">
        <w:rPr>
          <w:rFonts w:ascii="David" w:hAnsi="David" w:cs="David" w:hint="cs"/>
          <w:sz w:val="24"/>
          <w:szCs w:val="24"/>
          <w:rtl/>
        </w:rPr>
        <w:t xml:space="preserve"> הכספית ישירות לידיהם ושילמו לעובד הזר את שכרו כמעסיקיו הישירים. במקרים אלו יש חובה להסדיר את ההעסקה </w:t>
      </w:r>
      <w:r w:rsidR="00942B6A" w:rsidRPr="008152A4">
        <w:rPr>
          <w:rFonts w:ascii="David" w:hAnsi="David" w:cs="David" w:hint="cs"/>
          <w:sz w:val="24"/>
          <w:szCs w:val="24"/>
          <w:rtl/>
        </w:rPr>
        <w:t>באופן מסודר בהתאם לזכויות העובדים הזרים בחוק</w:t>
      </w:r>
      <w:r w:rsidR="00936AFB" w:rsidRPr="008152A4">
        <w:rPr>
          <w:rFonts w:ascii="David" w:hAnsi="David" w:cs="David" w:hint="cs"/>
          <w:sz w:val="24"/>
          <w:szCs w:val="24"/>
          <w:rtl/>
        </w:rPr>
        <w:t xml:space="preserve"> (חוק הביטוח הלאומי, 1995, 1997; המוסד לביטוח לאומי, 2016</w:t>
      </w:r>
      <w:r w:rsidR="0052750F" w:rsidRPr="008152A4">
        <w:rPr>
          <w:rFonts w:ascii="David" w:hAnsi="David" w:cs="David" w:hint="cs"/>
          <w:sz w:val="24"/>
          <w:szCs w:val="24"/>
          <w:rtl/>
        </w:rPr>
        <w:t xml:space="preserve">; </w:t>
      </w:r>
      <w:r w:rsidRPr="008152A4">
        <w:rPr>
          <w:rFonts w:ascii="David" w:hAnsi="David" w:cs="David" w:hint="cs"/>
          <w:sz w:val="24"/>
          <w:szCs w:val="24"/>
          <w:rtl/>
        </w:rPr>
        <w:t xml:space="preserve">משה, </w:t>
      </w:r>
      <w:r w:rsidR="009A1C22" w:rsidRPr="008152A4">
        <w:rPr>
          <w:rFonts w:ascii="David" w:hAnsi="David" w:cs="David" w:hint="cs"/>
          <w:sz w:val="24"/>
          <w:szCs w:val="24"/>
          <w:rtl/>
        </w:rPr>
        <w:t>2013</w:t>
      </w:r>
      <w:r w:rsidR="0052750F" w:rsidRPr="008152A4">
        <w:rPr>
          <w:rFonts w:ascii="David" w:hAnsi="David" w:cs="David" w:hint="cs"/>
          <w:sz w:val="24"/>
          <w:szCs w:val="24"/>
          <w:rtl/>
        </w:rPr>
        <w:t>; שושני, 2014</w:t>
      </w:r>
      <w:r w:rsidR="009A1C22" w:rsidRPr="008152A4">
        <w:rPr>
          <w:rFonts w:ascii="David" w:hAnsi="David" w:cs="David" w:hint="cs"/>
          <w:sz w:val="24"/>
          <w:szCs w:val="24"/>
          <w:rtl/>
        </w:rPr>
        <w:t xml:space="preserve">). </w:t>
      </w:r>
    </w:p>
    <w:p w:rsidR="009A41C2" w:rsidRPr="008152A4" w:rsidRDefault="009A41C2" w:rsidP="00D817B8">
      <w:pPr>
        <w:spacing w:before="100" w:beforeAutospacing="1" w:after="100" w:afterAutospacing="1" w:line="360" w:lineRule="auto"/>
        <w:jc w:val="both"/>
        <w:rPr>
          <w:rFonts w:ascii="David" w:hAnsi="David" w:cs="David" w:hint="cs"/>
          <w:sz w:val="28"/>
          <w:szCs w:val="28"/>
          <w:rtl/>
        </w:rPr>
      </w:pPr>
      <w:r w:rsidRPr="008152A4">
        <w:rPr>
          <w:rFonts w:ascii="David" w:hAnsi="David" w:cs="David" w:hint="cs"/>
          <w:sz w:val="28"/>
          <w:szCs w:val="28"/>
          <w:rtl/>
        </w:rPr>
        <w:t>זכויות המועסקים כעובדים זרים</w:t>
      </w:r>
      <w:r w:rsidR="002347E5" w:rsidRPr="008152A4">
        <w:rPr>
          <w:rFonts w:ascii="David" w:hAnsi="David" w:cs="David" w:hint="cs"/>
          <w:sz w:val="28"/>
          <w:szCs w:val="28"/>
          <w:rtl/>
        </w:rPr>
        <w:t xml:space="preserve"> ועלויות ההעסקה</w:t>
      </w:r>
    </w:p>
    <w:p w:rsidR="002347E5" w:rsidRPr="008152A4" w:rsidRDefault="00942B6A" w:rsidP="00D817B8">
      <w:pPr>
        <w:spacing w:before="100" w:beforeAutospacing="1" w:after="100" w:afterAutospacing="1" w:line="360" w:lineRule="auto"/>
        <w:jc w:val="both"/>
        <w:rPr>
          <w:rFonts w:ascii="David" w:hAnsi="David" w:cs="David"/>
          <w:sz w:val="24"/>
          <w:szCs w:val="24"/>
          <w:rtl/>
        </w:rPr>
      </w:pPr>
      <w:r w:rsidRPr="008152A4">
        <w:rPr>
          <w:rFonts w:ascii="David" w:hAnsi="David" w:cs="David" w:hint="cs"/>
          <w:sz w:val="24"/>
          <w:szCs w:val="24"/>
          <w:rtl/>
        </w:rPr>
        <w:t>רשות האוכלוסין וההגירה מפרסמת באתרה</w:t>
      </w:r>
      <w:r w:rsidR="009A41C2" w:rsidRPr="008152A4">
        <w:rPr>
          <w:rFonts w:ascii="David" w:hAnsi="David" w:cs="David" w:hint="cs"/>
          <w:sz w:val="24"/>
          <w:szCs w:val="24"/>
          <w:rtl/>
        </w:rPr>
        <w:t xml:space="preserve"> את כל המידע הנוגע לזכויות העובדים הזרים (אתר הרשות, 2016</w:t>
      </w:r>
      <w:r w:rsidR="002235C4" w:rsidRPr="008152A4">
        <w:rPr>
          <w:rFonts w:ascii="David" w:hAnsi="David" w:cs="David" w:hint="cs"/>
          <w:sz w:val="24"/>
          <w:szCs w:val="24"/>
          <w:rtl/>
        </w:rPr>
        <w:t xml:space="preserve"> ואתר 'כל זכות'</w:t>
      </w:r>
      <w:r w:rsidR="009A41C2" w:rsidRPr="008152A4">
        <w:rPr>
          <w:rFonts w:ascii="David" w:hAnsi="David" w:cs="David" w:hint="cs"/>
          <w:sz w:val="24"/>
          <w:szCs w:val="24"/>
          <w:rtl/>
        </w:rPr>
        <w:t xml:space="preserve">), הכולל מידע בנוגע להסכמי עבודה, </w:t>
      </w:r>
      <w:r w:rsidRPr="008152A4">
        <w:rPr>
          <w:rFonts w:ascii="David" w:hAnsi="David" w:cs="David" w:hint="cs"/>
          <w:sz w:val="24"/>
          <w:szCs w:val="24"/>
          <w:rtl/>
        </w:rPr>
        <w:t xml:space="preserve">החובה להכנת חוזה כתוב המפרט את תנאי ההעסקה של העובד, </w:t>
      </w:r>
      <w:r w:rsidR="003D21E5" w:rsidRPr="008152A4">
        <w:rPr>
          <w:rFonts w:ascii="David" w:hAnsi="David" w:cs="David" w:hint="cs"/>
          <w:sz w:val="24"/>
          <w:szCs w:val="24"/>
          <w:rtl/>
        </w:rPr>
        <w:t xml:space="preserve">החובה להעסיק את העובד בהיקף של משרה מלאה לפחות, </w:t>
      </w:r>
      <w:r w:rsidRPr="008152A4">
        <w:rPr>
          <w:rFonts w:ascii="David" w:hAnsi="David" w:cs="David" w:hint="cs"/>
          <w:sz w:val="24"/>
          <w:szCs w:val="24"/>
          <w:rtl/>
        </w:rPr>
        <w:t xml:space="preserve">השכר המגיע לעובד, דמי הנסיעה וההבראה, מס ההכנסה, תשלומי הבטוח הלאומי, תנאי המגורים של העובד, זמני מנוחה, חופשות וחגים, דרך סיום יחסי העבודה ועוד. </w:t>
      </w:r>
    </w:p>
    <w:p w:rsidR="00942B6A" w:rsidRPr="008152A4" w:rsidRDefault="00942B6A" w:rsidP="00346213">
      <w:pPr>
        <w:spacing w:after="0" w:line="360" w:lineRule="auto"/>
        <w:jc w:val="both"/>
        <w:rPr>
          <w:rFonts w:ascii="David" w:hAnsi="David" w:cs="David"/>
          <w:sz w:val="24"/>
          <w:szCs w:val="24"/>
          <w:rtl/>
        </w:rPr>
      </w:pPr>
      <w:r w:rsidRPr="008152A4">
        <w:rPr>
          <w:rFonts w:ascii="David" w:hAnsi="David" w:cs="David" w:hint="cs"/>
          <w:sz w:val="24"/>
          <w:szCs w:val="24"/>
          <w:rtl/>
        </w:rPr>
        <w:t xml:space="preserve">מרכיבי העלות </w:t>
      </w:r>
      <w:r w:rsidR="002347E5" w:rsidRPr="008152A4">
        <w:rPr>
          <w:rFonts w:ascii="David" w:hAnsi="David" w:cs="David" w:hint="cs"/>
          <w:sz w:val="24"/>
          <w:szCs w:val="24"/>
          <w:rtl/>
        </w:rPr>
        <w:t xml:space="preserve">הפורמליים </w:t>
      </w:r>
      <w:r w:rsidRPr="008152A4">
        <w:rPr>
          <w:rFonts w:ascii="David" w:hAnsi="David" w:cs="David" w:hint="cs"/>
          <w:sz w:val="24"/>
          <w:szCs w:val="24"/>
          <w:rtl/>
        </w:rPr>
        <w:t>של עובד זר כוללים</w:t>
      </w:r>
      <w:r w:rsidR="00A3192A" w:rsidRPr="008152A4">
        <w:rPr>
          <w:rFonts w:ascii="David" w:hAnsi="David" w:cs="David" w:hint="cs"/>
          <w:sz w:val="24"/>
          <w:szCs w:val="24"/>
          <w:rtl/>
        </w:rPr>
        <w:t>,</w:t>
      </w:r>
      <w:r w:rsidRPr="008152A4">
        <w:rPr>
          <w:rFonts w:ascii="David" w:hAnsi="David" w:cs="David" w:hint="cs"/>
          <w:sz w:val="24"/>
          <w:szCs w:val="24"/>
          <w:rtl/>
        </w:rPr>
        <w:t xml:space="preserve"> </w:t>
      </w:r>
      <w:r w:rsidR="00A3192A" w:rsidRPr="008152A4">
        <w:rPr>
          <w:rFonts w:ascii="David" w:hAnsi="David" w:cs="David" w:hint="cs"/>
          <w:sz w:val="24"/>
          <w:szCs w:val="24"/>
          <w:rtl/>
        </w:rPr>
        <w:t>(</w:t>
      </w:r>
      <w:r w:rsidR="00346213" w:rsidRPr="008152A4">
        <w:rPr>
          <w:rFonts w:ascii="David" w:hAnsi="David" w:cs="David" w:hint="cs"/>
          <w:sz w:val="24"/>
          <w:szCs w:val="24"/>
          <w:rtl/>
        </w:rPr>
        <w:t>מעבר לתשלום דמי ביטוח לאומי</w:t>
      </w:r>
      <w:r w:rsidR="00A3192A" w:rsidRPr="008152A4">
        <w:rPr>
          <w:rFonts w:ascii="David" w:hAnsi="David" w:cs="David" w:hint="cs"/>
          <w:sz w:val="24"/>
          <w:szCs w:val="24"/>
          <w:rtl/>
        </w:rPr>
        <w:t>)</w:t>
      </w:r>
      <w:r w:rsidR="00346213" w:rsidRPr="008152A4">
        <w:rPr>
          <w:rFonts w:ascii="David" w:hAnsi="David" w:cs="David" w:hint="cs"/>
          <w:sz w:val="24"/>
          <w:szCs w:val="24"/>
          <w:rtl/>
        </w:rPr>
        <w:t xml:space="preserve">: </w:t>
      </w:r>
      <w:r w:rsidRPr="008152A4">
        <w:rPr>
          <w:rFonts w:ascii="David" w:hAnsi="David" w:cs="David" w:hint="cs"/>
          <w:sz w:val="24"/>
          <w:szCs w:val="24"/>
          <w:rtl/>
        </w:rPr>
        <w:t xml:space="preserve"> </w:t>
      </w:r>
    </w:p>
    <w:p w:rsidR="00942B6A" w:rsidRPr="008152A4" w:rsidRDefault="00942B6A" w:rsidP="00346213">
      <w:pPr>
        <w:pStyle w:val="a3"/>
        <w:numPr>
          <w:ilvl w:val="0"/>
          <w:numId w:val="3"/>
        </w:numPr>
        <w:spacing w:after="0" w:line="360" w:lineRule="auto"/>
        <w:jc w:val="both"/>
        <w:rPr>
          <w:rFonts w:ascii="David" w:hAnsi="David" w:cs="David"/>
          <w:sz w:val="24"/>
          <w:szCs w:val="24"/>
        </w:rPr>
      </w:pPr>
      <w:r w:rsidRPr="008152A4">
        <w:rPr>
          <w:rFonts w:ascii="David" w:hAnsi="David" w:cs="David" w:hint="cs"/>
          <w:sz w:val="24"/>
          <w:szCs w:val="24"/>
          <w:rtl/>
        </w:rPr>
        <w:t xml:space="preserve">מנוחה שבועית של 36 שעות רצופות לפחות, חופשה שנתית בהתאם למספר שנות הוותק שלו בעבודתו, ולאחר שלושה חודשי עבודה גם חופשה בתשלום בחגים שאינם יהודיים (או בחגים יהודיים, בהתאם לבחירת העובד). עובד המועסק בחג זכאי לשכר בשיעור 150%.  </w:t>
      </w:r>
    </w:p>
    <w:p w:rsidR="00346213" w:rsidRPr="008152A4" w:rsidRDefault="00942B6A" w:rsidP="00346213">
      <w:pPr>
        <w:pStyle w:val="a3"/>
        <w:numPr>
          <w:ilvl w:val="0"/>
          <w:numId w:val="3"/>
        </w:numPr>
        <w:spacing w:after="0" w:line="360" w:lineRule="auto"/>
        <w:jc w:val="both"/>
        <w:rPr>
          <w:rFonts w:ascii="David" w:hAnsi="David" w:cs="David"/>
          <w:sz w:val="24"/>
          <w:szCs w:val="24"/>
        </w:rPr>
      </w:pPr>
      <w:r w:rsidRPr="008152A4">
        <w:rPr>
          <w:rFonts w:ascii="David" w:hAnsi="David" w:cs="David" w:hint="cs"/>
          <w:sz w:val="24"/>
          <w:szCs w:val="24"/>
          <w:rtl/>
        </w:rPr>
        <w:t xml:space="preserve">ימי מחלה שנצברים לפי תקופת עבודתו </w:t>
      </w:r>
      <w:r w:rsidRPr="008152A4">
        <w:rPr>
          <w:rFonts w:ascii="David" w:hAnsi="David" w:cs="David"/>
          <w:sz w:val="24"/>
          <w:szCs w:val="24"/>
          <w:rtl/>
        </w:rPr>
        <w:t>–</w:t>
      </w:r>
      <w:r w:rsidRPr="008152A4">
        <w:rPr>
          <w:rFonts w:ascii="David" w:hAnsi="David" w:cs="David" w:hint="cs"/>
          <w:sz w:val="24"/>
          <w:szCs w:val="24"/>
          <w:rtl/>
        </w:rPr>
        <w:t xml:space="preserve"> יום וחצי בכל חודש עבודה, ותשלום עבור ימי מחלה החל מיום המחלה השני.</w:t>
      </w:r>
    </w:p>
    <w:p w:rsidR="00D817B8" w:rsidRPr="008152A4" w:rsidRDefault="00D817B8" w:rsidP="00346213">
      <w:pPr>
        <w:pStyle w:val="a3"/>
        <w:numPr>
          <w:ilvl w:val="0"/>
          <w:numId w:val="3"/>
        </w:numPr>
        <w:spacing w:after="0" w:line="360" w:lineRule="auto"/>
        <w:jc w:val="both"/>
        <w:rPr>
          <w:rFonts w:ascii="David" w:hAnsi="David" w:cs="David"/>
          <w:sz w:val="24"/>
          <w:szCs w:val="24"/>
        </w:rPr>
      </w:pPr>
      <w:r w:rsidRPr="008152A4">
        <w:rPr>
          <w:rFonts w:ascii="David" w:hAnsi="David" w:cs="David" w:hint="cs"/>
          <w:sz w:val="24"/>
          <w:szCs w:val="24"/>
          <w:rtl/>
        </w:rPr>
        <w:t xml:space="preserve">תשלומי ביטוח שונים: ביטוח בריאות, ביטוח לאומי, וביטוח פנסיוני  </w:t>
      </w:r>
    </w:p>
    <w:p w:rsidR="00942B6A" w:rsidRPr="008152A4" w:rsidRDefault="00D817B8" w:rsidP="00346213">
      <w:pPr>
        <w:spacing w:after="0" w:line="360" w:lineRule="auto"/>
        <w:jc w:val="both"/>
        <w:rPr>
          <w:rFonts w:ascii="David" w:hAnsi="David" w:cs="David" w:hint="cs"/>
          <w:sz w:val="24"/>
          <w:szCs w:val="24"/>
          <w:rtl/>
        </w:rPr>
      </w:pPr>
      <w:r w:rsidRPr="008152A4">
        <w:rPr>
          <w:rFonts w:ascii="David" w:hAnsi="David" w:cs="David" w:hint="cs"/>
          <w:sz w:val="24"/>
          <w:szCs w:val="24"/>
          <w:rtl/>
        </w:rPr>
        <w:t xml:space="preserve">בנוסף </w:t>
      </w:r>
      <w:r w:rsidR="00346213" w:rsidRPr="008152A4">
        <w:rPr>
          <w:rFonts w:ascii="David" w:hAnsi="David" w:cs="David" w:hint="cs"/>
          <w:sz w:val="24"/>
          <w:szCs w:val="24"/>
          <w:rtl/>
        </w:rPr>
        <w:t>הזקן המעוניין להעסיק עובד זר</w:t>
      </w:r>
      <w:r w:rsidR="00A3192A" w:rsidRPr="008152A4">
        <w:rPr>
          <w:rFonts w:ascii="David" w:hAnsi="David" w:cs="David" w:hint="cs"/>
          <w:sz w:val="24"/>
          <w:szCs w:val="24"/>
          <w:rtl/>
        </w:rPr>
        <w:t xml:space="preserve"> משלם ל</w:t>
      </w:r>
      <w:r w:rsidR="00346213" w:rsidRPr="008152A4">
        <w:rPr>
          <w:rFonts w:ascii="David" w:hAnsi="David" w:cs="David" w:hint="cs"/>
          <w:sz w:val="24"/>
          <w:szCs w:val="24"/>
          <w:rtl/>
        </w:rPr>
        <w:t xml:space="preserve">שירותי הלשכה למעסיק עבור ביקורי בית לביצוע מבחן תלות ועבור טופס הבקשה להעסקת עובד זר. </w:t>
      </w:r>
      <w:r w:rsidR="00942B6A" w:rsidRPr="008152A4">
        <w:rPr>
          <w:rFonts w:ascii="David" w:hAnsi="David" w:cs="David" w:hint="cs"/>
          <w:sz w:val="24"/>
          <w:szCs w:val="24"/>
          <w:rtl/>
        </w:rPr>
        <w:t xml:space="preserve"> </w:t>
      </w:r>
    </w:p>
    <w:p w:rsidR="00942B6A" w:rsidRPr="008152A4" w:rsidRDefault="00942B6A" w:rsidP="00127032">
      <w:pPr>
        <w:spacing w:after="0" w:line="360" w:lineRule="auto"/>
        <w:jc w:val="both"/>
        <w:rPr>
          <w:rFonts w:ascii="David" w:hAnsi="David" w:cs="David"/>
          <w:sz w:val="24"/>
          <w:szCs w:val="24"/>
          <w:rtl/>
        </w:rPr>
      </w:pPr>
    </w:p>
    <w:p w:rsidR="00391FA1" w:rsidRPr="008152A4" w:rsidRDefault="00391FA1" w:rsidP="002347E5">
      <w:pPr>
        <w:spacing w:after="0" w:line="360" w:lineRule="auto"/>
        <w:jc w:val="both"/>
        <w:rPr>
          <w:rFonts w:ascii="David" w:hAnsi="David" w:cs="David"/>
          <w:sz w:val="24"/>
          <w:szCs w:val="24"/>
          <w:rtl/>
        </w:rPr>
      </w:pPr>
      <w:r w:rsidRPr="008152A4">
        <w:rPr>
          <w:rFonts w:ascii="David" w:hAnsi="David" w:cs="David" w:hint="cs"/>
          <w:sz w:val="24"/>
          <w:szCs w:val="24"/>
          <w:rtl/>
        </w:rPr>
        <w:t xml:space="preserve">מדוח מרכז המחקר והמידע של הכנסת (נתן, 2010) עולה כי עלות העסקת עובד זר </w:t>
      </w:r>
      <w:r w:rsidR="002347E5" w:rsidRPr="008152A4">
        <w:rPr>
          <w:rFonts w:ascii="David" w:hAnsi="David" w:cs="David" w:hint="cs"/>
          <w:sz w:val="24"/>
          <w:szCs w:val="24"/>
          <w:rtl/>
        </w:rPr>
        <w:t xml:space="preserve">כוללת, בנוסף לתשלומים וההיטלים הנקובים בחוק, מגוון רחב של תשלומים הבאים להשלים את הפער שבין הצרכים של בעלי ההיתר להעסקת העובד לבין שעות העבודה החוקיות של העובדים, כמו עלות העסקת עובד מחליף ביום החופשי השבועי ובחגים, דמי כיס שבועיים, דמי מחייה בבית ותשלום </w:t>
      </w:r>
      <w:r w:rsidR="002347E5" w:rsidRPr="008152A4">
        <w:rPr>
          <w:rFonts w:ascii="David" w:hAnsi="David" w:cs="David" w:hint="cs"/>
          <w:sz w:val="24"/>
          <w:szCs w:val="24"/>
          <w:rtl/>
        </w:rPr>
        <w:lastRenderedPageBreak/>
        <w:t xml:space="preserve">חודשי לחברת הסיעוד הפרטית. בעקבות זאת קיים פער בין ההערכה הפורמלית של עלויות העסקת עובד זה לבין הוצאות המעסיק בפועל, וחוסר בהירות לגבי גובה התשלומים בתחומים אלו. </w:t>
      </w:r>
    </w:p>
    <w:p w:rsidR="002347E5" w:rsidRPr="008152A4" w:rsidRDefault="002347E5" w:rsidP="002347E5">
      <w:pPr>
        <w:spacing w:after="0" w:line="360" w:lineRule="auto"/>
        <w:jc w:val="both"/>
        <w:rPr>
          <w:rFonts w:ascii="David" w:hAnsi="David" w:cs="David"/>
          <w:sz w:val="24"/>
          <w:szCs w:val="24"/>
          <w:rtl/>
        </w:rPr>
      </w:pPr>
    </w:p>
    <w:p w:rsidR="006F37F9" w:rsidRPr="008152A4" w:rsidRDefault="006F37F9" w:rsidP="00127032">
      <w:pPr>
        <w:spacing w:after="0" w:line="360" w:lineRule="auto"/>
        <w:jc w:val="both"/>
        <w:rPr>
          <w:rFonts w:ascii="David" w:hAnsi="David" w:cs="David"/>
          <w:sz w:val="28"/>
          <w:szCs w:val="28"/>
          <w:rtl/>
        </w:rPr>
      </w:pPr>
      <w:r w:rsidRPr="008152A4">
        <w:rPr>
          <w:rFonts w:ascii="David" w:hAnsi="David" w:cs="David" w:hint="cs"/>
          <w:sz w:val="28"/>
          <w:szCs w:val="28"/>
          <w:rtl/>
        </w:rPr>
        <w:t xml:space="preserve">מאפייני העובדים הזרים </w:t>
      </w:r>
    </w:p>
    <w:p w:rsidR="006F37F9" w:rsidRPr="008152A4" w:rsidRDefault="00145A53" w:rsidP="003D21E5">
      <w:pPr>
        <w:spacing w:before="100" w:beforeAutospacing="1" w:after="100" w:afterAutospacing="1" w:line="360" w:lineRule="auto"/>
        <w:jc w:val="both"/>
        <w:rPr>
          <w:rFonts w:ascii="David" w:hAnsi="David" w:cs="David"/>
          <w:sz w:val="24"/>
          <w:szCs w:val="24"/>
          <w:rtl/>
        </w:rPr>
      </w:pPr>
      <w:r w:rsidRPr="008152A4">
        <w:rPr>
          <w:rFonts w:ascii="David" w:hAnsi="David" w:cs="David" w:hint="cs"/>
          <w:sz w:val="24"/>
          <w:szCs w:val="24"/>
          <w:rtl/>
        </w:rPr>
        <w:t>הדוח המשותף של רשות האוכלוסין וההגירה והמרכז הבינלאומי להגירה וקליטה (2016) מציג את מאפייני העובדים הזרי</w:t>
      </w:r>
      <w:r w:rsidR="00D47DD0" w:rsidRPr="008152A4">
        <w:rPr>
          <w:rFonts w:ascii="David" w:hAnsi="David" w:cs="David" w:hint="cs"/>
          <w:sz w:val="24"/>
          <w:szCs w:val="24"/>
          <w:rtl/>
        </w:rPr>
        <w:t>ם המועסקים בענף הסיעוד בישראל. העובדים בענף</w:t>
      </w:r>
      <w:r w:rsidRPr="008152A4">
        <w:rPr>
          <w:rFonts w:ascii="David" w:hAnsi="David" w:cs="David" w:hint="cs"/>
          <w:sz w:val="24"/>
          <w:szCs w:val="24"/>
          <w:rtl/>
        </w:rPr>
        <w:t xml:space="preserve"> הסיעוד מהווים כ-60% מכלל העובדים הזרים החוקיים בישראל ומרבית המועסקים בו </w:t>
      </w:r>
      <w:r w:rsidR="005274E3" w:rsidRPr="008152A4">
        <w:rPr>
          <w:rFonts w:ascii="David" w:hAnsi="David" w:cs="David" w:hint="cs"/>
          <w:sz w:val="24"/>
          <w:szCs w:val="24"/>
          <w:rtl/>
        </w:rPr>
        <w:t xml:space="preserve">(כ- 85%) </w:t>
      </w:r>
      <w:r w:rsidR="005274E3" w:rsidRPr="008152A4">
        <w:rPr>
          <w:rFonts w:ascii="David" w:hAnsi="David" w:cs="David"/>
          <w:sz w:val="24"/>
          <w:szCs w:val="24"/>
          <w:rtl/>
        </w:rPr>
        <w:t>–</w:t>
      </w:r>
      <w:r w:rsidRPr="008152A4">
        <w:rPr>
          <w:rFonts w:ascii="David" w:hAnsi="David" w:cs="David" w:hint="cs"/>
          <w:sz w:val="24"/>
          <w:szCs w:val="24"/>
          <w:rtl/>
        </w:rPr>
        <w:t xml:space="preserve"> נשים. </w:t>
      </w:r>
      <w:r w:rsidR="006F37F9" w:rsidRPr="008152A4">
        <w:rPr>
          <w:rFonts w:ascii="David" w:hAnsi="David" w:cs="David" w:hint="cs"/>
          <w:sz w:val="24"/>
          <w:szCs w:val="24"/>
          <w:rtl/>
        </w:rPr>
        <w:t xml:space="preserve"> </w:t>
      </w:r>
      <w:r w:rsidR="003D21E5" w:rsidRPr="008152A4">
        <w:rPr>
          <w:rFonts w:ascii="David" w:hAnsi="David" w:cs="David" w:hint="cs"/>
          <w:sz w:val="24"/>
          <w:szCs w:val="24"/>
          <w:rtl/>
        </w:rPr>
        <w:t xml:space="preserve">מרבית העובדים הזרים החוקיים מגיעים מהפיליפיניים (15,200 עובדים), וחלק ניכר מהם מגיעים מהודו (9,998 עובדים), מולדובה (7,765) ומסרי לנקה </w:t>
      </w:r>
      <w:r w:rsidR="007A5C0E" w:rsidRPr="008152A4">
        <w:rPr>
          <w:rFonts w:ascii="David" w:hAnsi="David" w:cs="David" w:hint="cs"/>
          <w:sz w:val="24"/>
          <w:szCs w:val="24"/>
          <w:rtl/>
        </w:rPr>
        <w:t>(5,061). מרבית העובדים הלא חוקיים בענף הסיעוד מגיעים מהפיליפיני</w:t>
      </w:r>
      <w:r w:rsidR="007A5C0E" w:rsidRPr="008152A4">
        <w:rPr>
          <w:rFonts w:ascii="David" w:hAnsi="David" w:cs="David" w:hint="eastAsia"/>
          <w:sz w:val="24"/>
          <w:szCs w:val="24"/>
          <w:rtl/>
        </w:rPr>
        <w:t>ם</w:t>
      </w:r>
      <w:r w:rsidR="007A5C0E" w:rsidRPr="008152A4">
        <w:rPr>
          <w:rFonts w:ascii="David" w:hAnsi="David" w:cs="David" w:hint="cs"/>
          <w:sz w:val="24"/>
          <w:szCs w:val="24"/>
          <w:rtl/>
        </w:rPr>
        <w:t xml:space="preserve">, נפאל ורומניה. </w:t>
      </w:r>
      <w:r w:rsidR="005274E3" w:rsidRPr="008152A4">
        <w:rPr>
          <w:rFonts w:ascii="David" w:hAnsi="David" w:cs="David" w:hint="cs"/>
          <w:sz w:val="24"/>
          <w:szCs w:val="24"/>
          <w:rtl/>
        </w:rPr>
        <w:t xml:space="preserve">רוב העובדים הזרים בגילאים שבין 40-31 ומועסקים בארץ בתקופה של 3 שנים. העובדות הזרות מועסקות לרוב לתקופה ממושכת יותר של מעל 6 שנים והן מבוגרות יותר. חלק ניכר מהנשים המועסקות בו נשואות ובן זוגן אינו נמצא איתן בארץ (היות ועל פי תנאי ההעסקה נאסר עליהן להביא עמן את בן הזוג או את ילדיהן שבחו"ל). </w:t>
      </w:r>
    </w:p>
    <w:p w:rsidR="00346213" w:rsidRPr="008152A4" w:rsidRDefault="00D817B8" w:rsidP="003D21E5">
      <w:pPr>
        <w:spacing w:before="100" w:beforeAutospacing="1" w:after="100" w:afterAutospacing="1" w:line="360" w:lineRule="auto"/>
        <w:jc w:val="both"/>
        <w:rPr>
          <w:rFonts w:ascii="David" w:hAnsi="David" w:cs="David" w:hint="cs"/>
          <w:sz w:val="28"/>
          <w:szCs w:val="28"/>
          <w:rtl/>
        </w:rPr>
      </w:pPr>
      <w:r w:rsidRPr="008152A4">
        <w:rPr>
          <w:rFonts w:ascii="David" w:hAnsi="David" w:cs="David" w:hint="cs"/>
          <w:sz w:val="28"/>
          <w:szCs w:val="28"/>
          <w:rtl/>
        </w:rPr>
        <w:t>הליך העסקת עובד זר</w:t>
      </w:r>
    </w:p>
    <w:p w:rsidR="00CC37D2" w:rsidRPr="008152A4" w:rsidRDefault="004F728E" w:rsidP="00127032">
      <w:pPr>
        <w:spacing w:after="0" w:line="360" w:lineRule="auto"/>
        <w:jc w:val="both"/>
        <w:rPr>
          <w:rFonts w:ascii="David" w:hAnsi="David" w:cs="David"/>
          <w:sz w:val="24"/>
          <w:szCs w:val="24"/>
          <w:rtl/>
        </w:rPr>
      </w:pPr>
      <w:r w:rsidRPr="008152A4">
        <w:rPr>
          <w:rFonts w:ascii="David" w:hAnsi="David" w:cs="David" w:hint="cs"/>
          <w:sz w:val="24"/>
          <w:szCs w:val="24"/>
          <w:rtl/>
        </w:rPr>
        <w:t xml:space="preserve">תהליך העסקת עובד זר כרוך בקבלת היתר מטעם שירות התעסוקה ובקבלת אישור לשהייה מטעם משרד הפנים. התהליך כרוך במספר שלבים מרכזיים: הגשת בקשה לקבלת היתר להעסקת עובד זר, קבלת אישור העסקה משירות התעסוקה, התקשרות המשפחה עם חברת כוח אדם והבאת העובד הזר מחו"ל לזקן באופן שמי, קבלת אישור ממשרד הפנים, העסקת העובד על ידי חברת כוח אדם או באופן פרטי. </w:t>
      </w:r>
    </w:p>
    <w:p w:rsidR="00C120B1" w:rsidRPr="008152A4" w:rsidRDefault="00C120B1" w:rsidP="00127032">
      <w:pPr>
        <w:spacing w:after="0" w:line="360" w:lineRule="auto"/>
        <w:jc w:val="both"/>
        <w:rPr>
          <w:rFonts w:ascii="David" w:hAnsi="David" w:cs="David"/>
          <w:sz w:val="24"/>
          <w:szCs w:val="24"/>
          <w:rtl/>
        </w:rPr>
      </w:pPr>
    </w:p>
    <w:p w:rsidR="009A41C2" w:rsidRPr="008152A4" w:rsidRDefault="000D590B" w:rsidP="000D590B">
      <w:pPr>
        <w:spacing w:after="0" w:line="360" w:lineRule="auto"/>
        <w:jc w:val="both"/>
        <w:rPr>
          <w:rFonts w:ascii="David" w:hAnsi="David" w:cs="David"/>
          <w:sz w:val="24"/>
          <w:szCs w:val="24"/>
          <w:rtl/>
        </w:rPr>
      </w:pPr>
      <w:r w:rsidRPr="008152A4">
        <w:rPr>
          <w:rFonts w:ascii="David" w:hAnsi="David" w:cs="David" w:hint="cs"/>
          <w:sz w:val="24"/>
          <w:szCs w:val="24"/>
          <w:rtl/>
        </w:rPr>
        <w:t xml:space="preserve">עם התפתחות התופעה של השתלבות עובדים זרים במשק הישראלי, חלה התקדמות בנושא ההסדרה של תחום זה, מתוך ניסיון לשמור על איזון בין צרכי המדינה, צרכי המעסיקים ושמירה על זכויות העובדים הזרים. מבין מנגנוני ההסדרה הקיימים הבולטים </w:t>
      </w:r>
      <w:r w:rsidRPr="008152A4">
        <w:rPr>
          <w:rFonts w:ascii="David" w:hAnsi="David" w:cs="David"/>
          <w:sz w:val="24"/>
          <w:szCs w:val="24"/>
          <w:rtl/>
        </w:rPr>
        <w:t>–</w:t>
      </w:r>
      <w:r w:rsidRPr="008152A4">
        <w:rPr>
          <w:rFonts w:ascii="David" w:hAnsi="David" w:cs="David" w:hint="cs"/>
          <w:sz w:val="24"/>
          <w:szCs w:val="24"/>
          <w:rtl/>
        </w:rPr>
        <w:t xml:space="preserve"> נחתמו הסכמים בילטרליים בין ישראל ומספר מדינות מקור, שהביאו לצמצום בזכויות העובדים הזרים, בהסדרת גיוסם ובהגברת המודעות של העובדים הזרים לזכויותיהם. בין ההסכמים הבילטרליים שנחתמו עד כה נמנים ההסכם עם תאילנד (בשנת 2010 בענף החקלאות), ההסכם עם בולגריה (ב-2011), מולדובה (ב-2012) ורומניה (ב-2014) בענף הבניין. </w:t>
      </w:r>
      <w:r w:rsidR="008870C2" w:rsidRPr="008152A4">
        <w:rPr>
          <w:rFonts w:ascii="David" w:hAnsi="David" w:cs="David" w:hint="cs"/>
          <w:sz w:val="24"/>
          <w:szCs w:val="24"/>
          <w:rtl/>
        </w:rPr>
        <w:t>בשנת 2015 נחתם לראשונה פיילוט לגיוס ולהעסקת עובדי סי</w:t>
      </w:r>
      <w:r w:rsidR="00987CEB" w:rsidRPr="008152A4">
        <w:rPr>
          <w:rFonts w:ascii="David" w:hAnsi="David" w:cs="David" w:hint="cs"/>
          <w:sz w:val="24"/>
          <w:szCs w:val="24"/>
          <w:rtl/>
        </w:rPr>
        <w:t xml:space="preserve">עוד </w:t>
      </w:r>
      <w:proofErr w:type="spellStart"/>
      <w:r w:rsidR="00987CEB" w:rsidRPr="008152A4">
        <w:rPr>
          <w:rFonts w:ascii="David" w:hAnsi="David" w:cs="David" w:hint="cs"/>
          <w:sz w:val="24"/>
          <w:szCs w:val="24"/>
          <w:rtl/>
        </w:rPr>
        <w:t>מנאפל</w:t>
      </w:r>
      <w:proofErr w:type="spellEnd"/>
      <w:r w:rsidR="00987CEB" w:rsidRPr="008152A4">
        <w:rPr>
          <w:rFonts w:ascii="David" w:hAnsi="David" w:cs="David" w:hint="cs"/>
          <w:sz w:val="24"/>
          <w:szCs w:val="24"/>
          <w:rtl/>
        </w:rPr>
        <w:t xml:space="preserve"> באמצעות הסדר בילטרלי ומתקיימים תהליכים של משא ומתן לחתימה של הסכמים נוספים עם </w:t>
      </w:r>
      <w:proofErr w:type="spellStart"/>
      <w:r w:rsidR="00987CEB" w:rsidRPr="008152A4">
        <w:rPr>
          <w:rFonts w:ascii="David" w:hAnsi="David" w:cs="David" w:hint="cs"/>
          <w:sz w:val="24"/>
          <w:szCs w:val="24"/>
          <w:rtl/>
        </w:rPr>
        <w:t>מולדבה</w:t>
      </w:r>
      <w:proofErr w:type="spellEnd"/>
      <w:r w:rsidR="00987CEB" w:rsidRPr="008152A4">
        <w:rPr>
          <w:rFonts w:ascii="David" w:hAnsi="David" w:cs="David" w:hint="cs"/>
          <w:sz w:val="24"/>
          <w:szCs w:val="24"/>
          <w:rtl/>
        </w:rPr>
        <w:t xml:space="preserve"> </w:t>
      </w:r>
      <w:proofErr w:type="spellStart"/>
      <w:r w:rsidR="00987CEB" w:rsidRPr="008152A4">
        <w:rPr>
          <w:rFonts w:ascii="David" w:hAnsi="David" w:cs="David" w:hint="cs"/>
          <w:sz w:val="24"/>
          <w:szCs w:val="24"/>
          <w:rtl/>
        </w:rPr>
        <w:t>וסרי</w:t>
      </w:r>
      <w:proofErr w:type="spellEnd"/>
      <w:r w:rsidR="00987CEB" w:rsidRPr="008152A4">
        <w:rPr>
          <w:rFonts w:ascii="David" w:hAnsi="David" w:cs="David" w:hint="cs"/>
          <w:sz w:val="24"/>
          <w:szCs w:val="24"/>
          <w:rtl/>
        </w:rPr>
        <w:t xml:space="preserve"> לנקה. </w:t>
      </w:r>
      <w:r w:rsidRPr="008152A4">
        <w:rPr>
          <w:rFonts w:ascii="David" w:hAnsi="David" w:cs="David" w:hint="cs"/>
          <w:sz w:val="24"/>
          <w:szCs w:val="24"/>
          <w:rtl/>
        </w:rPr>
        <w:t>עדיין קיים צורך להרחיב את ההסכמים למדינות נוספות במיוחד בתחום הסיעוד (</w:t>
      </w:r>
      <w:r w:rsidRPr="008152A4">
        <w:rPr>
          <w:rFonts w:ascii="David" w:hAnsi="David" w:cs="David" w:hint="cs"/>
          <w:sz w:val="24"/>
          <w:szCs w:val="24"/>
          <w:rtl/>
        </w:rPr>
        <w:t>רשות ההגירה והאוכלוסין והמרכז הבינלאומי להגירה וקליטה (</w:t>
      </w:r>
      <w:r w:rsidRPr="008152A4">
        <w:rPr>
          <w:rFonts w:ascii="David" w:hAnsi="David" w:cs="David" w:hint="cs"/>
          <w:sz w:val="24"/>
          <w:szCs w:val="24"/>
        </w:rPr>
        <w:t>CIMI</w:t>
      </w:r>
      <w:r w:rsidRPr="008152A4">
        <w:rPr>
          <w:rFonts w:ascii="David" w:hAnsi="David" w:cs="David" w:hint="cs"/>
          <w:sz w:val="24"/>
          <w:szCs w:val="24"/>
          <w:rtl/>
        </w:rPr>
        <w:t xml:space="preserve">), 2016). </w:t>
      </w:r>
    </w:p>
    <w:p w:rsidR="009A41C2" w:rsidRPr="008152A4" w:rsidRDefault="009A41C2" w:rsidP="00127032">
      <w:pPr>
        <w:spacing w:after="0" w:line="360" w:lineRule="auto"/>
        <w:jc w:val="both"/>
        <w:rPr>
          <w:rFonts w:ascii="David" w:hAnsi="David" w:cs="David" w:hint="cs"/>
          <w:sz w:val="24"/>
          <w:szCs w:val="24"/>
          <w:rtl/>
        </w:rPr>
      </w:pPr>
    </w:p>
    <w:p w:rsidR="00CC37D2" w:rsidRPr="008152A4" w:rsidRDefault="00CC37D2" w:rsidP="00127032">
      <w:pPr>
        <w:spacing w:after="0" w:line="360" w:lineRule="auto"/>
        <w:jc w:val="both"/>
        <w:rPr>
          <w:rFonts w:ascii="David" w:hAnsi="David" w:cs="David"/>
          <w:sz w:val="28"/>
          <w:szCs w:val="28"/>
          <w:rtl/>
        </w:rPr>
      </w:pPr>
      <w:r w:rsidRPr="008152A4">
        <w:rPr>
          <w:rFonts w:ascii="David" w:hAnsi="David" w:cs="David"/>
          <w:sz w:val="28"/>
          <w:szCs w:val="28"/>
          <w:rtl/>
        </w:rPr>
        <w:t>סוגיות ואתגרים מרכזיים של המערכות המעסיקות, ושל העובדים</w:t>
      </w:r>
    </w:p>
    <w:p w:rsidR="000D590B" w:rsidRPr="008152A4" w:rsidRDefault="00C120B1" w:rsidP="00EC71AC">
      <w:pPr>
        <w:spacing w:after="0" w:line="360" w:lineRule="auto"/>
        <w:jc w:val="both"/>
        <w:rPr>
          <w:rFonts w:ascii="David" w:hAnsi="David" w:cs="David" w:hint="cs"/>
          <w:sz w:val="24"/>
          <w:szCs w:val="24"/>
          <w:rtl/>
        </w:rPr>
      </w:pPr>
      <w:r w:rsidRPr="008152A4">
        <w:rPr>
          <w:rFonts w:ascii="David" w:hAnsi="David" w:cs="David" w:hint="cs"/>
          <w:sz w:val="24"/>
          <w:szCs w:val="24"/>
          <w:rtl/>
        </w:rPr>
        <w:t>לאורך השנים נושא העסקתם של עובדים זרים ושיטת ההעסקה בענף הסיעוד מלווה בהתלבטויות לגבי אופן ההסדרה המתאים שמאזן בין צרכי המטופלים, זכויות העו</w:t>
      </w:r>
      <w:r w:rsidR="00D47DD0" w:rsidRPr="008152A4">
        <w:rPr>
          <w:rFonts w:ascii="David" w:hAnsi="David" w:cs="David" w:hint="cs"/>
          <w:sz w:val="24"/>
          <w:szCs w:val="24"/>
          <w:rtl/>
        </w:rPr>
        <w:t>בדים הזרים וההשפעה על המשק בענף</w:t>
      </w:r>
      <w:r w:rsidRPr="008152A4">
        <w:rPr>
          <w:rFonts w:ascii="David" w:hAnsi="David" w:cs="David" w:hint="cs"/>
          <w:sz w:val="24"/>
          <w:szCs w:val="24"/>
          <w:rtl/>
        </w:rPr>
        <w:t xml:space="preserve"> התעסוקה ועל החברה הישראלית בכללותה (שושני, 2014</w:t>
      </w:r>
      <w:r w:rsidR="00EC71AC" w:rsidRPr="008152A4">
        <w:rPr>
          <w:rFonts w:ascii="David" w:hAnsi="David" w:cs="David" w:hint="cs"/>
          <w:sz w:val="24"/>
          <w:szCs w:val="24"/>
          <w:rtl/>
        </w:rPr>
        <w:t>; מבקר המדינה, 2015</w:t>
      </w:r>
      <w:r w:rsidRPr="008152A4">
        <w:rPr>
          <w:rFonts w:ascii="David" w:hAnsi="David" w:cs="David" w:hint="cs"/>
          <w:sz w:val="24"/>
          <w:szCs w:val="24"/>
          <w:rtl/>
        </w:rPr>
        <w:t xml:space="preserve">). </w:t>
      </w:r>
    </w:p>
    <w:p w:rsidR="000D590B" w:rsidRPr="008152A4" w:rsidRDefault="000D590B" w:rsidP="00127032">
      <w:pPr>
        <w:spacing w:after="0" w:line="360" w:lineRule="auto"/>
        <w:jc w:val="both"/>
        <w:rPr>
          <w:rFonts w:ascii="David" w:hAnsi="David" w:cs="David" w:hint="cs"/>
          <w:sz w:val="24"/>
          <w:szCs w:val="24"/>
          <w:rtl/>
        </w:rPr>
      </w:pPr>
    </w:p>
    <w:p w:rsidR="006A5F9F" w:rsidRPr="008152A4" w:rsidRDefault="006A5F9F" w:rsidP="00127032">
      <w:pPr>
        <w:bidi w:val="0"/>
        <w:spacing w:after="0" w:line="360" w:lineRule="auto"/>
        <w:jc w:val="both"/>
        <w:rPr>
          <w:rFonts w:ascii="Verdana" w:hAnsi="Verdana"/>
          <w:sz w:val="24"/>
          <w:szCs w:val="24"/>
        </w:rPr>
      </w:pPr>
    </w:p>
    <w:p w:rsidR="00C52EB9" w:rsidRPr="00F55921" w:rsidRDefault="00D57526" w:rsidP="008152A4">
      <w:pPr>
        <w:bidi w:val="0"/>
        <w:spacing w:after="0" w:line="360" w:lineRule="auto"/>
        <w:jc w:val="both"/>
        <w:rPr>
          <w:rFonts w:ascii="Verdana" w:hAnsi="Verdana"/>
          <w:sz w:val="24"/>
          <w:szCs w:val="24"/>
        </w:rPr>
      </w:pPr>
      <w:r w:rsidRPr="008152A4">
        <w:rPr>
          <w:rFonts w:ascii="Verdana" w:hAnsi="Verdana"/>
          <w:sz w:val="24"/>
          <w:szCs w:val="24"/>
        </w:rPr>
        <w:t>The Center for International Migration and Integration (CIMI) initiated a face-to-face survey with 400 caregivers in Israel, as part of a series of national surveys on migration costs supported by the KNOMAD group in the World Bank and the Israeli Population, Migration and Borders Authority (PIBA).</w:t>
      </w:r>
      <w:r w:rsidR="008152A4">
        <w:rPr>
          <w:rFonts w:ascii="Verdana" w:hAnsi="Verdana"/>
          <w:sz w:val="24"/>
          <w:szCs w:val="24"/>
        </w:rPr>
        <w:t xml:space="preserve"> </w:t>
      </w:r>
      <w:r w:rsidR="006A5F9F" w:rsidRPr="008152A4">
        <w:rPr>
          <w:rFonts w:ascii="Verdana" w:hAnsi="Verdana"/>
          <w:sz w:val="24"/>
          <w:szCs w:val="24"/>
        </w:rPr>
        <w:t xml:space="preserve">The project result in an analytical report presenting </w:t>
      </w:r>
      <w:r w:rsidR="005B5E32" w:rsidRPr="008152A4">
        <w:rPr>
          <w:rFonts w:ascii="Verdana" w:hAnsi="Verdana"/>
          <w:sz w:val="24"/>
          <w:szCs w:val="24"/>
        </w:rPr>
        <w:t>findings and policy recommendations.</w:t>
      </w:r>
      <w:r w:rsidR="005B5E32">
        <w:rPr>
          <w:rFonts w:ascii="Verdana" w:hAnsi="Verdana"/>
          <w:sz w:val="24"/>
          <w:szCs w:val="24"/>
        </w:rPr>
        <w:t xml:space="preserve"> </w:t>
      </w:r>
      <w:r w:rsidR="00F55921">
        <w:rPr>
          <w:rFonts w:ascii="Verdana" w:hAnsi="Verdana"/>
          <w:sz w:val="24"/>
          <w:szCs w:val="24"/>
        </w:rPr>
        <w:t xml:space="preserve"> </w:t>
      </w:r>
    </w:p>
    <w:p w:rsidR="00F55921" w:rsidRDefault="00F55921" w:rsidP="00127032">
      <w:pPr>
        <w:bidi w:val="0"/>
        <w:spacing w:after="0" w:line="360" w:lineRule="auto"/>
        <w:jc w:val="both"/>
        <w:rPr>
          <w:rFonts w:ascii="Verdana" w:hAnsi="Verdana"/>
          <w:b/>
          <w:bCs/>
          <w:color w:val="1F4E79" w:themeColor="accent1" w:themeShade="80"/>
          <w:sz w:val="28"/>
          <w:szCs w:val="28"/>
        </w:rPr>
      </w:pPr>
    </w:p>
    <w:p w:rsidR="00C52EB9" w:rsidRDefault="00C52EB9" w:rsidP="00127032">
      <w:pPr>
        <w:bidi w:val="0"/>
        <w:spacing w:after="0" w:line="360" w:lineRule="auto"/>
        <w:jc w:val="both"/>
        <w:rPr>
          <w:rFonts w:ascii="Verdana" w:hAnsi="Verdana"/>
          <w:b/>
          <w:bCs/>
          <w:color w:val="1F4E79" w:themeColor="accent1" w:themeShade="80"/>
          <w:sz w:val="28"/>
          <w:szCs w:val="28"/>
        </w:rPr>
      </w:pPr>
      <w:r>
        <w:rPr>
          <w:rFonts w:ascii="Verdana" w:hAnsi="Verdana"/>
          <w:b/>
          <w:bCs/>
          <w:color w:val="1F4E79" w:themeColor="accent1" w:themeShade="80"/>
          <w:sz w:val="28"/>
          <w:szCs w:val="28"/>
        </w:rPr>
        <w:t>Objectives</w:t>
      </w:r>
    </w:p>
    <w:p w:rsidR="005B5E32" w:rsidRPr="00C36997" w:rsidRDefault="005B5E32" w:rsidP="00127032">
      <w:pPr>
        <w:bidi w:val="0"/>
        <w:spacing w:after="0" w:line="360" w:lineRule="auto"/>
        <w:jc w:val="both"/>
        <w:rPr>
          <w:rFonts w:ascii="Verdana" w:hAnsi="Verdana"/>
          <w:sz w:val="24"/>
          <w:szCs w:val="24"/>
        </w:rPr>
      </w:pPr>
      <w:r w:rsidRPr="00C36997">
        <w:rPr>
          <w:rFonts w:ascii="Verdana" w:hAnsi="Verdana"/>
          <w:sz w:val="24"/>
          <w:szCs w:val="24"/>
        </w:rPr>
        <w:t xml:space="preserve">The survey </w:t>
      </w:r>
      <w:r w:rsidR="00450BB0" w:rsidRPr="00C36997">
        <w:rPr>
          <w:rFonts w:ascii="Verdana" w:hAnsi="Verdana"/>
          <w:sz w:val="24"/>
          <w:szCs w:val="24"/>
        </w:rPr>
        <w:t>foci</w:t>
      </w:r>
      <w:r w:rsidRPr="00C36997">
        <w:rPr>
          <w:rFonts w:ascii="Verdana" w:hAnsi="Verdana"/>
          <w:sz w:val="24"/>
          <w:szCs w:val="24"/>
        </w:rPr>
        <w:t xml:space="preserve"> are:</w:t>
      </w:r>
    </w:p>
    <w:p w:rsidR="00C65E55" w:rsidRPr="00C36997" w:rsidRDefault="005B5E32" w:rsidP="00127032">
      <w:pPr>
        <w:pStyle w:val="a3"/>
        <w:numPr>
          <w:ilvl w:val="0"/>
          <w:numId w:val="1"/>
        </w:numPr>
        <w:bidi w:val="0"/>
        <w:spacing w:after="0" w:line="360" w:lineRule="auto"/>
        <w:jc w:val="both"/>
        <w:rPr>
          <w:rFonts w:ascii="Verdana" w:hAnsi="Verdana"/>
          <w:sz w:val="24"/>
          <w:szCs w:val="24"/>
        </w:rPr>
      </w:pPr>
      <w:r w:rsidRPr="00C36997">
        <w:rPr>
          <w:rFonts w:ascii="Verdana" w:hAnsi="Verdana"/>
          <w:sz w:val="24"/>
          <w:szCs w:val="24"/>
        </w:rPr>
        <w:t xml:space="preserve">Generate evidence base contributing to </w:t>
      </w:r>
      <w:r w:rsidRPr="00CC37D2">
        <w:rPr>
          <w:rFonts w:ascii="Verdana" w:hAnsi="Verdana"/>
          <w:b/>
          <w:bCs/>
          <w:sz w:val="24"/>
          <w:szCs w:val="24"/>
        </w:rPr>
        <w:t>reducing</w:t>
      </w:r>
      <w:r w:rsidR="00C65E55" w:rsidRPr="00CC37D2">
        <w:rPr>
          <w:rFonts w:ascii="Verdana" w:hAnsi="Verdana"/>
          <w:b/>
          <w:bCs/>
          <w:sz w:val="24"/>
          <w:szCs w:val="24"/>
        </w:rPr>
        <w:t xml:space="preserve"> migration costs of low-skilled caregivers</w:t>
      </w:r>
      <w:r w:rsidR="00C65E55" w:rsidRPr="00C36997">
        <w:rPr>
          <w:rFonts w:ascii="Verdana" w:hAnsi="Verdana"/>
          <w:sz w:val="24"/>
          <w:szCs w:val="24"/>
        </w:rPr>
        <w:t xml:space="preserve"> living in Israel.</w:t>
      </w:r>
    </w:p>
    <w:p w:rsidR="00C65E55" w:rsidRPr="00C36997" w:rsidRDefault="00C65E55" w:rsidP="00127032">
      <w:pPr>
        <w:pStyle w:val="a3"/>
        <w:numPr>
          <w:ilvl w:val="0"/>
          <w:numId w:val="1"/>
        </w:numPr>
        <w:bidi w:val="0"/>
        <w:spacing w:after="0" w:line="360" w:lineRule="auto"/>
        <w:jc w:val="both"/>
        <w:rPr>
          <w:rFonts w:ascii="Verdana" w:hAnsi="Verdana"/>
          <w:sz w:val="24"/>
          <w:szCs w:val="24"/>
        </w:rPr>
      </w:pPr>
      <w:r w:rsidRPr="00C36997">
        <w:rPr>
          <w:rFonts w:ascii="Verdana" w:hAnsi="Verdana"/>
          <w:sz w:val="24"/>
          <w:szCs w:val="24"/>
        </w:rPr>
        <w:t xml:space="preserve">Enable better understanding of </w:t>
      </w:r>
      <w:r w:rsidRPr="00CC37D2">
        <w:rPr>
          <w:rFonts w:ascii="Verdana" w:hAnsi="Verdana"/>
          <w:b/>
          <w:bCs/>
          <w:sz w:val="24"/>
          <w:szCs w:val="24"/>
        </w:rPr>
        <w:t>migration corridors in the region</w:t>
      </w:r>
      <w:r w:rsidRPr="00C36997">
        <w:rPr>
          <w:rFonts w:ascii="Verdana" w:hAnsi="Verdana"/>
          <w:sz w:val="24"/>
          <w:szCs w:val="24"/>
        </w:rPr>
        <w:t xml:space="preserve"> by presenting comparable results at the national and international levels.</w:t>
      </w:r>
    </w:p>
    <w:p w:rsidR="005B5E32" w:rsidRDefault="00C65E55" w:rsidP="00127032">
      <w:pPr>
        <w:pStyle w:val="a3"/>
        <w:numPr>
          <w:ilvl w:val="0"/>
          <w:numId w:val="1"/>
        </w:numPr>
        <w:bidi w:val="0"/>
        <w:spacing w:after="0" w:line="360" w:lineRule="auto"/>
        <w:jc w:val="both"/>
        <w:rPr>
          <w:rFonts w:ascii="Verdana" w:hAnsi="Verdana"/>
          <w:sz w:val="24"/>
          <w:szCs w:val="24"/>
        </w:rPr>
      </w:pPr>
      <w:r w:rsidRPr="00C36997">
        <w:rPr>
          <w:rFonts w:ascii="Verdana" w:hAnsi="Verdana"/>
          <w:sz w:val="24"/>
          <w:szCs w:val="24"/>
        </w:rPr>
        <w:t xml:space="preserve">Utilize survey findings to enhance the role of </w:t>
      </w:r>
      <w:r w:rsidRPr="00CC37D2">
        <w:rPr>
          <w:rFonts w:ascii="Verdana" w:hAnsi="Verdana"/>
          <w:b/>
          <w:bCs/>
          <w:sz w:val="24"/>
          <w:szCs w:val="24"/>
        </w:rPr>
        <w:t>bilateral labor agreements</w:t>
      </w:r>
      <w:r w:rsidR="009970F4" w:rsidRPr="00CC37D2">
        <w:rPr>
          <w:rFonts w:ascii="Verdana" w:hAnsi="Verdana"/>
          <w:b/>
          <w:bCs/>
          <w:sz w:val="24"/>
          <w:szCs w:val="24"/>
        </w:rPr>
        <w:t xml:space="preserve"> in reducing, monitoring and regulating migration costs</w:t>
      </w:r>
      <w:r w:rsidR="009970F4" w:rsidRPr="00C36997">
        <w:rPr>
          <w:rFonts w:ascii="Verdana" w:hAnsi="Verdana"/>
          <w:sz w:val="24"/>
          <w:szCs w:val="24"/>
        </w:rPr>
        <w:t xml:space="preserve"> for low skilled workers. </w:t>
      </w:r>
      <w:r w:rsidR="005B5E32" w:rsidRPr="00C36997">
        <w:rPr>
          <w:rFonts w:ascii="Verdana" w:hAnsi="Verdana"/>
          <w:sz w:val="24"/>
          <w:szCs w:val="24"/>
        </w:rPr>
        <w:t xml:space="preserve"> </w:t>
      </w:r>
    </w:p>
    <w:p w:rsidR="008311CC" w:rsidRDefault="008311CC" w:rsidP="00127032">
      <w:pPr>
        <w:spacing w:after="0" w:line="360" w:lineRule="auto"/>
        <w:jc w:val="both"/>
        <w:rPr>
          <w:rFonts w:ascii="Verdana" w:hAnsi="Verdana"/>
          <w:sz w:val="24"/>
          <w:szCs w:val="24"/>
          <w:highlight w:val="yellow"/>
          <w:rtl/>
        </w:rPr>
      </w:pPr>
    </w:p>
    <w:p w:rsidR="009111E9" w:rsidRPr="008311CC" w:rsidRDefault="009111E9" w:rsidP="00127032">
      <w:pPr>
        <w:spacing w:after="0" w:line="360" w:lineRule="auto"/>
        <w:jc w:val="both"/>
        <w:rPr>
          <w:rFonts w:ascii="Verdana" w:hAnsi="Verdana"/>
          <w:sz w:val="24"/>
          <w:szCs w:val="24"/>
          <w:highlight w:val="yellow"/>
          <w:rtl/>
        </w:rPr>
      </w:pPr>
      <w:r w:rsidRPr="008311CC">
        <w:rPr>
          <w:rFonts w:ascii="Verdana" w:hAnsi="Verdana" w:hint="cs"/>
          <w:sz w:val="24"/>
          <w:szCs w:val="24"/>
          <w:highlight w:val="yellow"/>
          <w:rtl/>
        </w:rPr>
        <w:t>מהן הסוגיות הכלכליות בהעסקת עובדים זרים ובתחום הסיעוד בפרט.</w:t>
      </w:r>
    </w:p>
    <w:p w:rsidR="00F35BA9" w:rsidRPr="008311CC" w:rsidRDefault="000E4197" w:rsidP="00127032">
      <w:pPr>
        <w:spacing w:after="0" w:line="360" w:lineRule="auto"/>
        <w:jc w:val="both"/>
        <w:rPr>
          <w:rFonts w:ascii="Verdana" w:hAnsi="Verdana"/>
          <w:sz w:val="24"/>
          <w:szCs w:val="24"/>
          <w:highlight w:val="yellow"/>
          <w:rtl/>
        </w:rPr>
      </w:pPr>
      <w:r w:rsidRPr="008311CC">
        <w:rPr>
          <w:rFonts w:ascii="Verdana" w:hAnsi="Verdana" w:hint="cs"/>
          <w:sz w:val="24"/>
          <w:szCs w:val="24"/>
          <w:highlight w:val="yellow"/>
          <w:rtl/>
        </w:rPr>
        <w:t xml:space="preserve">דרך ההעסקה, </w:t>
      </w:r>
      <w:r w:rsidR="00F35BA9" w:rsidRPr="008311CC">
        <w:rPr>
          <w:rFonts w:ascii="Verdana" w:hAnsi="Verdana" w:hint="cs"/>
          <w:sz w:val="24"/>
          <w:szCs w:val="24"/>
          <w:highlight w:val="yellow"/>
          <w:rtl/>
        </w:rPr>
        <w:t>מעבר להעסקה ישירה על ידי קבלת מלגה כספית</w:t>
      </w:r>
    </w:p>
    <w:p w:rsidR="00F35BA9" w:rsidRPr="009111E9" w:rsidRDefault="00F35BA9" w:rsidP="00127032">
      <w:pPr>
        <w:spacing w:after="0" w:line="360" w:lineRule="auto"/>
        <w:jc w:val="both"/>
        <w:rPr>
          <w:rFonts w:ascii="Verdana" w:hAnsi="Verdana"/>
          <w:sz w:val="24"/>
          <w:szCs w:val="24"/>
          <w:rtl/>
        </w:rPr>
      </w:pPr>
      <w:r w:rsidRPr="008311CC">
        <w:rPr>
          <w:rFonts w:ascii="Verdana" w:hAnsi="Verdana" w:hint="cs"/>
          <w:sz w:val="24"/>
          <w:szCs w:val="24"/>
          <w:highlight w:val="yellow"/>
          <w:rtl/>
        </w:rPr>
        <w:t xml:space="preserve">מרכיבי עלות עובד זר </w:t>
      </w:r>
      <w:r w:rsidR="000E4197" w:rsidRPr="008311CC">
        <w:rPr>
          <w:rFonts w:ascii="Verdana" w:hAnsi="Verdana" w:hint="cs"/>
          <w:sz w:val="24"/>
          <w:szCs w:val="24"/>
          <w:highlight w:val="yellow"/>
          <w:rtl/>
        </w:rPr>
        <w:t xml:space="preserve">(שכר) </w:t>
      </w:r>
      <w:r w:rsidRPr="008311CC">
        <w:rPr>
          <w:rFonts w:ascii="Verdana" w:hAnsi="Verdana" w:hint="cs"/>
          <w:sz w:val="24"/>
          <w:szCs w:val="24"/>
          <w:highlight w:val="yellow"/>
          <w:rtl/>
        </w:rPr>
        <w:t>והאם יש דברים שיכולים להיחסך</w:t>
      </w:r>
    </w:p>
    <w:p w:rsidR="00C52EB9" w:rsidRDefault="00C52EB9" w:rsidP="00127032">
      <w:pPr>
        <w:bidi w:val="0"/>
        <w:spacing w:after="0" w:line="360" w:lineRule="auto"/>
        <w:jc w:val="both"/>
        <w:rPr>
          <w:rFonts w:ascii="Verdana" w:hAnsi="Verdana"/>
          <w:b/>
          <w:bCs/>
          <w:color w:val="1F4E79" w:themeColor="accent1" w:themeShade="80"/>
          <w:sz w:val="28"/>
          <w:szCs w:val="28"/>
        </w:rPr>
      </w:pPr>
    </w:p>
    <w:p w:rsidR="00C52EB9" w:rsidRDefault="00C52EB9" w:rsidP="00127032">
      <w:pPr>
        <w:bidi w:val="0"/>
        <w:spacing w:after="0" w:line="360" w:lineRule="auto"/>
        <w:jc w:val="both"/>
        <w:rPr>
          <w:rFonts w:ascii="Verdana" w:hAnsi="Verdana"/>
          <w:b/>
          <w:bCs/>
          <w:color w:val="1F4E79" w:themeColor="accent1" w:themeShade="80"/>
          <w:sz w:val="28"/>
          <w:szCs w:val="28"/>
        </w:rPr>
      </w:pPr>
      <w:r>
        <w:rPr>
          <w:rFonts w:ascii="Verdana" w:hAnsi="Verdana"/>
          <w:b/>
          <w:bCs/>
          <w:color w:val="1F4E79" w:themeColor="accent1" w:themeShade="80"/>
          <w:sz w:val="28"/>
          <w:szCs w:val="28"/>
        </w:rPr>
        <w:t xml:space="preserve">Methodology and research design </w:t>
      </w:r>
    </w:p>
    <w:p w:rsidR="00567195" w:rsidRDefault="00567195" w:rsidP="008152A4">
      <w:pPr>
        <w:spacing w:after="0" w:line="360" w:lineRule="auto"/>
        <w:jc w:val="both"/>
        <w:rPr>
          <w:rFonts w:ascii="David" w:hAnsi="David" w:cs="David" w:hint="cs"/>
          <w:sz w:val="24"/>
          <w:szCs w:val="24"/>
          <w:rtl/>
        </w:rPr>
      </w:pPr>
      <w:r>
        <w:rPr>
          <w:rFonts w:ascii="David" w:hAnsi="David" w:cs="David" w:hint="cs"/>
          <w:sz w:val="24"/>
          <w:szCs w:val="24"/>
          <w:rtl/>
        </w:rPr>
        <w:t xml:space="preserve">לקראת ביצוע המחקר, החוקר הראשי ישתתף בסדנת הדרכה שתינתן לכלל החוקרים בנושאים של מתודולוגיה, תפעול השאלונים באמצעות המחשב ושימוש בכלי המחקר שפותחו על ידי הבנק העולמי (בהתאם לנכתב בקול הקורא). </w:t>
      </w:r>
      <w:r w:rsidR="00806E6E">
        <w:rPr>
          <w:rFonts w:ascii="David" w:hAnsi="David" w:cs="David" w:hint="cs"/>
          <w:sz w:val="24"/>
          <w:szCs w:val="24"/>
          <w:rtl/>
        </w:rPr>
        <w:t>לאחר ההדרכה יבצעו תהליכים של התאמת השאלונים ותרגומם לשפת הר</w:t>
      </w:r>
      <w:r w:rsidR="00804335">
        <w:rPr>
          <w:rFonts w:ascii="David" w:hAnsi="David" w:cs="David" w:hint="cs"/>
          <w:sz w:val="24"/>
          <w:szCs w:val="24"/>
          <w:rtl/>
        </w:rPr>
        <w:t>י</w:t>
      </w:r>
      <w:r w:rsidR="00806E6E">
        <w:rPr>
          <w:rFonts w:ascii="David" w:hAnsi="David" w:cs="David" w:hint="cs"/>
          <w:sz w:val="24"/>
          <w:szCs w:val="24"/>
          <w:rtl/>
        </w:rPr>
        <w:t xml:space="preserve">איון, </w:t>
      </w:r>
      <w:r w:rsidR="00783C2F">
        <w:rPr>
          <w:rFonts w:ascii="David" w:hAnsi="David" w:cs="David" w:hint="cs"/>
          <w:sz w:val="24"/>
          <w:szCs w:val="24"/>
          <w:rtl/>
        </w:rPr>
        <w:t xml:space="preserve">ביצוע פיילוט של השאלון והכנסת תיקונים סופיים לתוכו בהתאם לממצאי הפיילוט, וגיוס מראיינים בהתאם לקריטריונים שנקבעו. </w:t>
      </w:r>
    </w:p>
    <w:p w:rsidR="00567195" w:rsidRDefault="00567195" w:rsidP="008152A4">
      <w:pPr>
        <w:spacing w:after="0" w:line="360" w:lineRule="auto"/>
        <w:jc w:val="both"/>
        <w:rPr>
          <w:rFonts w:ascii="David" w:hAnsi="David" w:cs="David"/>
          <w:sz w:val="24"/>
          <w:szCs w:val="24"/>
          <w:rtl/>
        </w:rPr>
      </w:pPr>
    </w:p>
    <w:p w:rsidR="008152A4" w:rsidRDefault="00567195" w:rsidP="008152A4">
      <w:pPr>
        <w:spacing w:after="0" w:line="360" w:lineRule="auto"/>
        <w:jc w:val="both"/>
        <w:rPr>
          <w:rFonts w:ascii="David" w:hAnsi="David" w:cs="David"/>
          <w:sz w:val="24"/>
          <w:szCs w:val="24"/>
          <w:rtl/>
        </w:rPr>
      </w:pPr>
      <w:r>
        <w:rPr>
          <w:rFonts w:ascii="David" w:hAnsi="David" w:cs="David" w:hint="cs"/>
          <w:sz w:val="24"/>
          <w:szCs w:val="24"/>
          <w:rtl/>
        </w:rPr>
        <w:t xml:space="preserve">לאחר תהליך הדגימה והנחיית המראיינים, </w:t>
      </w:r>
      <w:r w:rsidR="008152A4">
        <w:rPr>
          <w:rFonts w:ascii="David" w:hAnsi="David" w:cs="David" w:hint="cs"/>
          <w:sz w:val="24"/>
          <w:szCs w:val="24"/>
          <w:rtl/>
        </w:rPr>
        <w:t xml:space="preserve">במהלך החודשים פברואר </w:t>
      </w:r>
      <w:r w:rsidR="008152A4">
        <w:rPr>
          <w:rFonts w:ascii="David" w:hAnsi="David" w:cs="David"/>
          <w:sz w:val="24"/>
          <w:szCs w:val="24"/>
          <w:rtl/>
        </w:rPr>
        <w:t>–</w:t>
      </w:r>
      <w:r w:rsidR="008152A4">
        <w:rPr>
          <w:rFonts w:ascii="David" w:hAnsi="David" w:cs="David" w:hint="cs"/>
          <w:sz w:val="24"/>
          <w:szCs w:val="24"/>
          <w:rtl/>
        </w:rPr>
        <w:t xml:space="preserve"> אפריל 2017 ייערכו 400 ראיונות בקרב מטפלים מהפיליפיניים </w:t>
      </w:r>
      <w:proofErr w:type="spellStart"/>
      <w:r w:rsidR="008152A4">
        <w:rPr>
          <w:rFonts w:ascii="David" w:hAnsi="David" w:cs="David" w:hint="cs"/>
          <w:sz w:val="24"/>
          <w:szCs w:val="24"/>
          <w:rtl/>
        </w:rPr>
        <w:t>וממולדבה</w:t>
      </w:r>
      <w:proofErr w:type="spellEnd"/>
      <w:r w:rsidR="008152A4">
        <w:rPr>
          <w:rFonts w:ascii="David" w:hAnsi="David" w:cs="David" w:hint="cs"/>
          <w:sz w:val="24"/>
          <w:szCs w:val="24"/>
          <w:rtl/>
        </w:rPr>
        <w:t xml:space="preserve">. </w:t>
      </w:r>
    </w:p>
    <w:p w:rsidR="008152A4" w:rsidRDefault="008152A4" w:rsidP="008152A4">
      <w:pPr>
        <w:spacing w:after="0" w:line="360" w:lineRule="auto"/>
        <w:jc w:val="both"/>
        <w:rPr>
          <w:rFonts w:ascii="David" w:hAnsi="David" w:cs="David"/>
          <w:sz w:val="24"/>
          <w:szCs w:val="24"/>
          <w:rtl/>
        </w:rPr>
      </w:pPr>
      <w:r w:rsidRPr="00951402">
        <w:rPr>
          <w:rFonts w:ascii="David" w:hAnsi="David" w:cs="David" w:hint="cs"/>
          <w:b/>
          <w:bCs/>
          <w:sz w:val="24"/>
          <w:szCs w:val="24"/>
          <w:rtl/>
        </w:rPr>
        <w:lastRenderedPageBreak/>
        <w:t xml:space="preserve">אוכלוסיית </w:t>
      </w:r>
      <w:r w:rsidR="00951402">
        <w:rPr>
          <w:rFonts w:ascii="David" w:hAnsi="David" w:cs="David" w:hint="cs"/>
          <w:b/>
          <w:bCs/>
          <w:sz w:val="24"/>
          <w:szCs w:val="24"/>
          <w:rtl/>
        </w:rPr>
        <w:t xml:space="preserve">היעד של </w:t>
      </w:r>
      <w:r w:rsidRPr="00951402">
        <w:rPr>
          <w:rFonts w:ascii="David" w:hAnsi="David" w:cs="David" w:hint="cs"/>
          <w:b/>
          <w:bCs/>
          <w:sz w:val="24"/>
          <w:szCs w:val="24"/>
          <w:rtl/>
        </w:rPr>
        <w:t>המחקר</w:t>
      </w:r>
      <w:r>
        <w:rPr>
          <w:rFonts w:ascii="David" w:hAnsi="David" w:cs="David" w:hint="cs"/>
          <w:sz w:val="24"/>
          <w:szCs w:val="24"/>
          <w:rtl/>
        </w:rPr>
        <w:t xml:space="preserve">: מטפלים מהפיליפינים </w:t>
      </w:r>
      <w:proofErr w:type="spellStart"/>
      <w:r>
        <w:rPr>
          <w:rFonts w:ascii="David" w:hAnsi="David" w:cs="David" w:hint="cs"/>
          <w:sz w:val="24"/>
          <w:szCs w:val="24"/>
          <w:rtl/>
        </w:rPr>
        <w:t>וממולדבה</w:t>
      </w:r>
      <w:proofErr w:type="spellEnd"/>
      <w:r>
        <w:rPr>
          <w:rFonts w:ascii="David" w:hAnsi="David" w:cs="David" w:hint="cs"/>
          <w:sz w:val="24"/>
          <w:szCs w:val="24"/>
          <w:rtl/>
        </w:rPr>
        <w:t xml:space="preserve"> שהגיעו לישראל במהלך השנתיים האחרונות. </w:t>
      </w:r>
    </w:p>
    <w:p w:rsidR="008152A4" w:rsidRPr="008152A4" w:rsidRDefault="008152A4" w:rsidP="008152A4">
      <w:pPr>
        <w:spacing w:after="0" w:line="360" w:lineRule="auto"/>
        <w:jc w:val="both"/>
        <w:rPr>
          <w:rFonts w:ascii="David" w:hAnsi="David" w:cs="David" w:hint="cs"/>
          <w:sz w:val="24"/>
          <w:szCs w:val="24"/>
          <w:rtl/>
        </w:rPr>
      </w:pPr>
      <w:r>
        <w:rPr>
          <w:rFonts w:ascii="David" w:hAnsi="David" w:cs="David" w:hint="cs"/>
          <w:sz w:val="24"/>
          <w:szCs w:val="24"/>
          <w:rtl/>
        </w:rPr>
        <w:t>במסגרת המחקר יבוצעו ....</w:t>
      </w:r>
    </w:p>
    <w:p w:rsidR="009970F4" w:rsidRDefault="009970F4" w:rsidP="008152A4">
      <w:pPr>
        <w:bidi w:val="0"/>
        <w:spacing w:after="0" w:line="360" w:lineRule="auto"/>
        <w:jc w:val="both"/>
        <w:rPr>
          <w:rFonts w:ascii="Verdana" w:hAnsi="Verdana"/>
          <w:sz w:val="24"/>
          <w:szCs w:val="24"/>
        </w:rPr>
      </w:pPr>
      <w:r>
        <w:rPr>
          <w:rFonts w:ascii="Verdana" w:hAnsi="Verdana"/>
          <w:sz w:val="24"/>
          <w:szCs w:val="24"/>
        </w:rPr>
        <w:t xml:space="preserve"> … ,400 face-to-face interviews will be conducted with caregivers of two nationalities (most likely Philippines and </w:t>
      </w:r>
      <w:proofErr w:type="spellStart"/>
      <w:r>
        <w:rPr>
          <w:rFonts w:ascii="Verdana" w:hAnsi="Verdana"/>
          <w:sz w:val="24"/>
          <w:szCs w:val="24"/>
        </w:rPr>
        <w:t>Moldava</w:t>
      </w:r>
      <w:proofErr w:type="spellEnd"/>
      <w:r>
        <w:rPr>
          <w:rFonts w:ascii="Verdana" w:hAnsi="Verdana"/>
          <w:sz w:val="24"/>
          <w:szCs w:val="24"/>
        </w:rPr>
        <w:t>), who entered Israel in the last two years.</w:t>
      </w:r>
    </w:p>
    <w:p w:rsidR="00567195" w:rsidRDefault="00567195" w:rsidP="00951402">
      <w:pPr>
        <w:spacing w:after="0" w:line="360" w:lineRule="auto"/>
        <w:jc w:val="both"/>
        <w:rPr>
          <w:rFonts w:ascii="David" w:hAnsi="David" w:cs="David" w:hint="cs"/>
          <w:sz w:val="24"/>
          <w:szCs w:val="24"/>
          <w:rtl/>
        </w:rPr>
      </w:pPr>
    </w:p>
    <w:p w:rsidR="00C36997" w:rsidRDefault="00567195" w:rsidP="00951402">
      <w:pPr>
        <w:spacing w:after="0" w:line="360" w:lineRule="auto"/>
        <w:jc w:val="both"/>
        <w:rPr>
          <w:rFonts w:ascii="David" w:hAnsi="David" w:cs="David"/>
          <w:sz w:val="24"/>
          <w:szCs w:val="24"/>
          <w:rtl/>
        </w:rPr>
      </w:pPr>
      <w:r>
        <w:rPr>
          <w:rFonts w:ascii="David" w:hAnsi="David" w:cs="David" w:hint="cs"/>
          <w:b/>
          <w:bCs/>
          <w:sz w:val="24"/>
          <w:szCs w:val="24"/>
          <w:rtl/>
        </w:rPr>
        <w:t xml:space="preserve">הדרכה וביצוע הראיונות: </w:t>
      </w:r>
      <w:r w:rsidR="00951402">
        <w:rPr>
          <w:rFonts w:ascii="David" w:hAnsi="David" w:cs="David" w:hint="cs"/>
          <w:sz w:val="24"/>
          <w:szCs w:val="24"/>
          <w:rtl/>
        </w:rPr>
        <w:t>הראיונות פנים אל פנים יבוצעו באמצעות שאלון מובנה, על ידי סטודנטים לתואר שני בעבודה סוציאלית</w:t>
      </w:r>
      <w:r w:rsidR="00806E6E">
        <w:rPr>
          <w:rFonts w:ascii="David" w:hAnsi="David" w:cs="David" w:hint="cs"/>
          <w:sz w:val="24"/>
          <w:szCs w:val="24"/>
          <w:rtl/>
        </w:rPr>
        <w:t xml:space="preserve"> או בסוציולוגיה</w:t>
      </w:r>
      <w:r w:rsidR="00951402">
        <w:rPr>
          <w:rFonts w:ascii="David" w:hAnsi="David" w:cs="David" w:hint="cs"/>
          <w:sz w:val="24"/>
          <w:szCs w:val="24"/>
          <w:rtl/>
        </w:rPr>
        <w:t xml:space="preserve">, אשר יעברו הדרכה אינטנסיבית (במסגרת מפגש של 6 שעות). יום ההדרכה יכלול הדרכה על אוכלוסיית היעד של המחקר, מטרותיו, היכרות עם כלי המחקר והדרך המתאימה ביותר לאיתור אוכלוסיית היעד, לתיאום </w:t>
      </w:r>
      <w:proofErr w:type="spellStart"/>
      <w:r w:rsidR="00951402">
        <w:rPr>
          <w:rFonts w:ascii="David" w:hAnsi="David" w:cs="David" w:hint="cs"/>
          <w:sz w:val="24"/>
          <w:szCs w:val="24"/>
          <w:rtl/>
        </w:rPr>
        <w:t>עימה</w:t>
      </w:r>
      <w:proofErr w:type="spellEnd"/>
      <w:r w:rsidR="00951402">
        <w:rPr>
          <w:rFonts w:ascii="David" w:hAnsi="David" w:cs="David" w:hint="cs"/>
          <w:sz w:val="24"/>
          <w:szCs w:val="24"/>
          <w:rtl/>
        </w:rPr>
        <w:t xml:space="preserve">, המיקום ההולם לביצוע הריאיון ותהליך ביצוע הריאיון. </w:t>
      </w:r>
    </w:p>
    <w:p w:rsidR="00567195" w:rsidRDefault="00567195" w:rsidP="00951402">
      <w:pPr>
        <w:spacing w:after="0" w:line="360" w:lineRule="auto"/>
        <w:jc w:val="both"/>
        <w:rPr>
          <w:rFonts w:ascii="David" w:hAnsi="David" w:cs="David"/>
          <w:sz w:val="24"/>
          <w:szCs w:val="24"/>
          <w:rtl/>
        </w:rPr>
      </w:pPr>
      <w:r>
        <w:rPr>
          <w:rFonts w:ascii="David" w:hAnsi="David" w:cs="David" w:hint="cs"/>
          <w:sz w:val="24"/>
          <w:szCs w:val="24"/>
          <w:rtl/>
        </w:rPr>
        <w:t xml:space="preserve">לקראת ביצוע הראיונות, המראיינים יצפו בראיון שיבוצע על ידי החוקר הראשי / החוקר השני / רכזת ההדרכה ולאחר מכן יראיינו את הריאיון הראשון בליווי של אחד החוקרים או רכזת ההדרכה. </w:t>
      </w:r>
    </w:p>
    <w:p w:rsidR="00567195" w:rsidRDefault="00567195" w:rsidP="00951402">
      <w:pPr>
        <w:spacing w:after="0" w:line="360" w:lineRule="auto"/>
        <w:jc w:val="both"/>
        <w:rPr>
          <w:rFonts w:ascii="David" w:hAnsi="David" w:cs="David" w:hint="cs"/>
          <w:sz w:val="24"/>
          <w:szCs w:val="24"/>
          <w:rtl/>
        </w:rPr>
      </w:pPr>
      <w:r>
        <w:rPr>
          <w:rFonts w:ascii="David" w:hAnsi="David" w:cs="David" w:hint="cs"/>
          <w:sz w:val="24"/>
          <w:szCs w:val="24"/>
          <w:rtl/>
        </w:rPr>
        <w:t xml:space="preserve">למראיינים ייערך ליווי שוטף אחת לשבוע באמצעות מפגשים אישיים (באמצעות הטלפון ופנים אל פנים) עם אחד החוקרים או עם רכזת ההדרכה, להתייעצות ולקבלת משוב שוטף.  </w:t>
      </w:r>
    </w:p>
    <w:p w:rsidR="00951402" w:rsidRPr="00951402" w:rsidRDefault="00951402" w:rsidP="00951402">
      <w:pPr>
        <w:spacing w:after="0" w:line="360" w:lineRule="auto"/>
        <w:jc w:val="both"/>
        <w:rPr>
          <w:rFonts w:ascii="David" w:hAnsi="David" w:cs="David"/>
          <w:sz w:val="24"/>
          <w:szCs w:val="24"/>
          <w:rtl/>
        </w:rPr>
      </w:pPr>
    </w:p>
    <w:p w:rsidR="00C36997" w:rsidRPr="008152A4" w:rsidRDefault="00C36997" w:rsidP="00127032">
      <w:pPr>
        <w:pStyle w:val="HTML"/>
        <w:shd w:val="clear" w:color="auto" w:fill="FFFFFF"/>
        <w:spacing w:line="360" w:lineRule="auto"/>
        <w:rPr>
          <w:rFonts w:ascii="inherit" w:hAnsi="inherit"/>
          <w:color w:val="212121"/>
          <w:sz w:val="24"/>
          <w:szCs w:val="24"/>
        </w:rPr>
      </w:pPr>
      <w:r w:rsidRPr="008152A4">
        <w:rPr>
          <w:rFonts w:ascii="inherit" w:hAnsi="inherit"/>
          <w:color w:val="212121"/>
          <w:sz w:val="24"/>
          <w:szCs w:val="24"/>
          <w:lang w:val="en"/>
        </w:rPr>
        <w:t>Undermine the effectiveness and fairness of the Israeli labor market</w:t>
      </w:r>
      <w:r w:rsidR="008152A4">
        <w:rPr>
          <w:rFonts w:ascii="inherit" w:hAnsi="inherit"/>
          <w:color w:val="212121"/>
          <w:sz w:val="24"/>
          <w:szCs w:val="24"/>
        </w:rPr>
        <w:t xml:space="preserve">. </w:t>
      </w:r>
    </w:p>
    <w:p w:rsidR="009970F4" w:rsidRDefault="009970F4" w:rsidP="00127032">
      <w:pPr>
        <w:bidi w:val="0"/>
        <w:spacing w:after="0" w:line="360" w:lineRule="auto"/>
        <w:jc w:val="both"/>
        <w:rPr>
          <w:rFonts w:ascii="Verdana" w:hAnsi="Verdana"/>
          <w:b/>
          <w:bCs/>
          <w:color w:val="1F4E79" w:themeColor="accent1" w:themeShade="80"/>
          <w:sz w:val="24"/>
          <w:szCs w:val="24"/>
        </w:rPr>
      </w:pPr>
    </w:p>
    <w:p w:rsidR="00C52EB9" w:rsidRDefault="00C52EB9" w:rsidP="00127032">
      <w:pPr>
        <w:bidi w:val="0"/>
        <w:spacing w:after="0" w:line="360" w:lineRule="auto"/>
        <w:jc w:val="both"/>
        <w:rPr>
          <w:rFonts w:ascii="Verdana" w:hAnsi="Verdana"/>
          <w:b/>
          <w:bCs/>
          <w:color w:val="1F4E79" w:themeColor="accent1" w:themeShade="80"/>
          <w:sz w:val="24"/>
          <w:szCs w:val="24"/>
        </w:rPr>
      </w:pPr>
      <w:r>
        <w:rPr>
          <w:rFonts w:ascii="Verdana" w:hAnsi="Verdana"/>
          <w:b/>
          <w:bCs/>
          <w:color w:val="1F4E79" w:themeColor="accent1" w:themeShade="80"/>
          <w:sz w:val="24"/>
          <w:szCs w:val="24"/>
        </w:rPr>
        <w:t xml:space="preserve">Sample strategy </w:t>
      </w:r>
    </w:p>
    <w:p w:rsidR="009970F4" w:rsidRDefault="00783C2F" w:rsidP="00783C2F">
      <w:pPr>
        <w:spacing w:after="0" w:line="360" w:lineRule="auto"/>
        <w:jc w:val="both"/>
        <w:rPr>
          <w:rFonts w:ascii="David" w:hAnsi="David" w:cs="David"/>
          <w:color w:val="595959" w:themeColor="text1" w:themeTint="A6"/>
          <w:sz w:val="24"/>
          <w:szCs w:val="24"/>
          <w:rtl/>
        </w:rPr>
      </w:pPr>
      <w:r>
        <w:rPr>
          <w:rFonts w:ascii="David" w:hAnsi="David" w:cs="David" w:hint="cs"/>
          <w:color w:val="595959" w:themeColor="text1" w:themeTint="A6"/>
          <w:sz w:val="24"/>
          <w:szCs w:val="24"/>
          <w:rtl/>
        </w:rPr>
        <w:t>אסטרטגיית דגימת המשתתפים במחקר תכלול את הצעדים הבאים:</w:t>
      </w:r>
    </w:p>
    <w:p w:rsidR="00783C2F" w:rsidRDefault="00783C2F" w:rsidP="00783C2F">
      <w:pPr>
        <w:pStyle w:val="a3"/>
        <w:numPr>
          <w:ilvl w:val="0"/>
          <w:numId w:val="3"/>
        </w:numPr>
        <w:spacing w:after="0" w:line="360" w:lineRule="auto"/>
        <w:jc w:val="both"/>
        <w:rPr>
          <w:rFonts w:ascii="David" w:hAnsi="David" w:cs="David" w:hint="cs"/>
          <w:color w:val="595959" w:themeColor="text1" w:themeTint="A6"/>
          <w:sz w:val="24"/>
          <w:szCs w:val="24"/>
        </w:rPr>
      </w:pPr>
      <w:r>
        <w:rPr>
          <w:rFonts w:ascii="David" w:hAnsi="David" w:cs="David" w:hint="cs"/>
          <w:color w:val="595959" w:themeColor="text1" w:themeTint="A6"/>
          <w:sz w:val="24"/>
          <w:szCs w:val="24"/>
          <w:rtl/>
        </w:rPr>
        <w:t>ייבחרו עובדים זרים שהגיעו לארץ במהלך השנתיים האחרונות</w:t>
      </w:r>
    </w:p>
    <w:p w:rsidR="00783C2F" w:rsidRDefault="00783C2F" w:rsidP="00783C2F">
      <w:pPr>
        <w:pStyle w:val="a3"/>
        <w:numPr>
          <w:ilvl w:val="0"/>
          <w:numId w:val="3"/>
        </w:numPr>
        <w:spacing w:after="0" w:line="360" w:lineRule="auto"/>
        <w:jc w:val="both"/>
        <w:rPr>
          <w:rFonts w:ascii="David" w:hAnsi="David" w:cs="David"/>
          <w:color w:val="595959" w:themeColor="text1" w:themeTint="A6"/>
          <w:sz w:val="24"/>
          <w:szCs w:val="24"/>
        </w:rPr>
      </w:pPr>
      <w:r>
        <w:rPr>
          <w:rFonts w:ascii="David" w:hAnsi="David" w:cs="David" w:hint="cs"/>
          <w:color w:val="595959" w:themeColor="text1" w:themeTint="A6"/>
          <w:sz w:val="24"/>
          <w:szCs w:val="24"/>
          <w:rtl/>
        </w:rPr>
        <w:t xml:space="preserve">ייערך מדגם אשכולות הכולל </w:t>
      </w:r>
      <w:r w:rsidR="00CC5649">
        <w:rPr>
          <w:rFonts w:ascii="David" w:hAnsi="David" w:cs="David" w:hint="cs"/>
          <w:color w:val="595959" w:themeColor="text1" w:themeTint="A6"/>
          <w:sz w:val="24"/>
          <w:szCs w:val="24"/>
          <w:rtl/>
        </w:rPr>
        <w:t>התייחסות לחמישה</w:t>
      </w:r>
      <w:r>
        <w:rPr>
          <w:rFonts w:ascii="David" w:hAnsi="David" w:cs="David" w:hint="cs"/>
          <w:color w:val="595959" w:themeColor="text1" w:themeTint="A6"/>
          <w:sz w:val="24"/>
          <w:szCs w:val="24"/>
          <w:rtl/>
        </w:rPr>
        <w:t xml:space="preserve"> ממדים מרכזיים:</w:t>
      </w:r>
    </w:p>
    <w:p w:rsidR="00783C2F" w:rsidRDefault="00CC5649" w:rsidP="00783C2F">
      <w:pPr>
        <w:pStyle w:val="a3"/>
        <w:numPr>
          <w:ilvl w:val="1"/>
          <w:numId w:val="3"/>
        </w:numPr>
        <w:spacing w:after="0" w:line="360" w:lineRule="auto"/>
        <w:jc w:val="both"/>
        <w:rPr>
          <w:rFonts w:ascii="David" w:hAnsi="David" w:cs="David"/>
          <w:color w:val="595959" w:themeColor="text1" w:themeTint="A6"/>
          <w:sz w:val="24"/>
          <w:szCs w:val="24"/>
        </w:rPr>
      </w:pPr>
      <w:r>
        <w:rPr>
          <w:rFonts w:ascii="David" w:hAnsi="David" w:cs="David" w:hint="cs"/>
          <w:b/>
          <w:bCs/>
          <w:color w:val="595959" w:themeColor="text1" w:themeTint="A6"/>
          <w:sz w:val="24"/>
          <w:szCs w:val="24"/>
          <w:rtl/>
        </w:rPr>
        <w:t xml:space="preserve">חוקיות השהייה - </w:t>
      </w:r>
      <w:r w:rsidR="00783C2F">
        <w:rPr>
          <w:rFonts w:ascii="David" w:hAnsi="David" w:cs="David" w:hint="cs"/>
          <w:color w:val="595959" w:themeColor="text1" w:themeTint="A6"/>
          <w:sz w:val="24"/>
          <w:szCs w:val="24"/>
          <w:rtl/>
        </w:rPr>
        <w:t>עובדים חוקיים ועובדים לא חוקיים</w:t>
      </w:r>
      <w:r>
        <w:rPr>
          <w:rFonts w:ascii="David" w:hAnsi="David" w:cs="David" w:hint="cs"/>
          <w:color w:val="595959" w:themeColor="text1" w:themeTint="A6"/>
          <w:sz w:val="24"/>
          <w:szCs w:val="24"/>
          <w:rtl/>
        </w:rPr>
        <w:t xml:space="preserve">. </w:t>
      </w:r>
      <w:r w:rsidR="00783C2F">
        <w:rPr>
          <w:rFonts w:ascii="David" w:hAnsi="David" w:cs="David" w:hint="cs"/>
          <w:color w:val="595959" w:themeColor="text1" w:themeTint="A6"/>
          <w:sz w:val="24"/>
          <w:szCs w:val="24"/>
          <w:rtl/>
        </w:rPr>
        <w:t>משקלם המוערך כיום בקרב אוכלוסיית העובדים בענף הסיעוד (80% עובדים חוקיים ו- 20% שאינם חוקיים),</w:t>
      </w:r>
      <w:r>
        <w:rPr>
          <w:rFonts w:ascii="David" w:hAnsi="David" w:cs="David" w:hint="cs"/>
          <w:color w:val="595959" w:themeColor="text1" w:themeTint="A6"/>
          <w:sz w:val="24"/>
          <w:szCs w:val="24"/>
          <w:rtl/>
        </w:rPr>
        <w:t xml:space="preserve"> אך התאים יהיו מעט גדולים יותר כדי לאפשר עיבוד נתונים סטטיסטי מורכב. </w:t>
      </w:r>
      <w:r w:rsidR="00783C2F">
        <w:rPr>
          <w:rFonts w:ascii="David" w:hAnsi="David" w:cs="David" w:hint="cs"/>
          <w:color w:val="595959" w:themeColor="text1" w:themeTint="A6"/>
          <w:sz w:val="24"/>
          <w:szCs w:val="24"/>
          <w:rtl/>
        </w:rPr>
        <w:t xml:space="preserve"> </w:t>
      </w:r>
    </w:p>
    <w:p w:rsidR="00783C2F" w:rsidRDefault="00CC5649" w:rsidP="00783C2F">
      <w:pPr>
        <w:pStyle w:val="a3"/>
        <w:numPr>
          <w:ilvl w:val="1"/>
          <w:numId w:val="3"/>
        </w:numPr>
        <w:spacing w:after="0" w:line="360" w:lineRule="auto"/>
        <w:jc w:val="both"/>
        <w:rPr>
          <w:rFonts w:ascii="David" w:hAnsi="David" w:cs="David" w:hint="cs"/>
          <w:color w:val="595959" w:themeColor="text1" w:themeTint="A6"/>
          <w:sz w:val="24"/>
          <w:szCs w:val="24"/>
        </w:rPr>
      </w:pPr>
      <w:r w:rsidRPr="00CC5649">
        <w:rPr>
          <w:rFonts w:ascii="David" w:hAnsi="David" w:cs="David" w:hint="cs"/>
          <w:b/>
          <w:bCs/>
          <w:color w:val="595959" w:themeColor="text1" w:themeTint="A6"/>
          <w:sz w:val="24"/>
          <w:szCs w:val="24"/>
          <w:rtl/>
        </w:rPr>
        <w:t>מגדר</w:t>
      </w:r>
      <w:r>
        <w:rPr>
          <w:rFonts w:ascii="David" w:hAnsi="David" w:cs="David" w:hint="cs"/>
          <w:color w:val="595959" w:themeColor="text1" w:themeTint="A6"/>
          <w:sz w:val="24"/>
          <w:szCs w:val="24"/>
          <w:rtl/>
        </w:rPr>
        <w:t xml:space="preserve"> - </w:t>
      </w:r>
      <w:r w:rsidR="00783C2F">
        <w:rPr>
          <w:rFonts w:ascii="David" w:hAnsi="David" w:cs="David" w:hint="cs"/>
          <w:color w:val="595959" w:themeColor="text1" w:themeTint="A6"/>
          <w:sz w:val="24"/>
          <w:szCs w:val="24"/>
          <w:rtl/>
        </w:rPr>
        <w:t>נשים וגברים, משקלם המוערך כיום בקרב העובדים בענף הסיעוד (85% נשים ו-15%</w:t>
      </w:r>
      <w:r>
        <w:rPr>
          <w:rFonts w:ascii="David" w:hAnsi="David" w:cs="David" w:hint="cs"/>
          <w:color w:val="595959" w:themeColor="text1" w:themeTint="A6"/>
          <w:sz w:val="24"/>
          <w:szCs w:val="24"/>
          <w:rtl/>
        </w:rPr>
        <w:t xml:space="preserve"> גברים</w:t>
      </w:r>
      <w:r w:rsidR="00783C2F">
        <w:rPr>
          <w:rFonts w:ascii="David" w:hAnsi="David" w:cs="David" w:hint="cs"/>
          <w:color w:val="595959" w:themeColor="text1" w:themeTint="A6"/>
          <w:sz w:val="24"/>
          <w:szCs w:val="24"/>
          <w:rtl/>
        </w:rPr>
        <w:t>)</w:t>
      </w:r>
      <w:r>
        <w:rPr>
          <w:rFonts w:ascii="David" w:hAnsi="David" w:cs="David" w:hint="cs"/>
          <w:color w:val="595959" w:themeColor="text1" w:themeTint="A6"/>
          <w:sz w:val="24"/>
          <w:szCs w:val="24"/>
          <w:rtl/>
        </w:rPr>
        <w:t xml:space="preserve">, אך התאים יהיו מעט גדולים יותר על מנת לאפשר עיבוד נתונים סטטיסטי מורכב. </w:t>
      </w:r>
    </w:p>
    <w:p w:rsidR="00783C2F" w:rsidRDefault="00CC5649" w:rsidP="00783C2F">
      <w:pPr>
        <w:pStyle w:val="a3"/>
        <w:numPr>
          <w:ilvl w:val="1"/>
          <w:numId w:val="3"/>
        </w:numPr>
        <w:spacing w:after="0" w:line="360" w:lineRule="auto"/>
        <w:jc w:val="both"/>
        <w:rPr>
          <w:rFonts w:ascii="David" w:hAnsi="David" w:cs="David"/>
          <w:color w:val="595959" w:themeColor="text1" w:themeTint="A6"/>
          <w:sz w:val="24"/>
          <w:szCs w:val="24"/>
        </w:rPr>
      </w:pPr>
      <w:r w:rsidRPr="00CC5649">
        <w:rPr>
          <w:rFonts w:ascii="David" w:hAnsi="David" w:cs="David" w:hint="cs"/>
          <w:b/>
          <w:bCs/>
          <w:color w:val="595959" w:themeColor="text1" w:themeTint="A6"/>
          <w:sz w:val="24"/>
          <w:szCs w:val="24"/>
          <w:rtl/>
        </w:rPr>
        <w:t>אופן ההעסקה</w:t>
      </w:r>
      <w:r>
        <w:rPr>
          <w:rFonts w:ascii="David" w:hAnsi="David" w:cs="David" w:hint="cs"/>
          <w:color w:val="595959" w:themeColor="text1" w:themeTint="A6"/>
          <w:sz w:val="24"/>
          <w:szCs w:val="24"/>
          <w:rtl/>
        </w:rPr>
        <w:t xml:space="preserve"> - מועסקים על ידי המעסיק ומועסקים באמצעות חברות כוח אדם (כ- 10% מועסקים ישירות על ידי מעסיק ו-90% באמצעות חברות כוח אדם). </w:t>
      </w:r>
    </w:p>
    <w:p w:rsidR="00CC5649" w:rsidRDefault="00CC5649" w:rsidP="00783C2F">
      <w:pPr>
        <w:pStyle w:val="a3"/>
        <w:numPr>
          <w:ilvl w:val="1"/>
          <w:numId w:val="3"/>
        </w:numPr>
        <w:spacing w:after="0" w:line="360" w:lineRule="auto"/>
        <w:jc w:val="both"/>
        <w:rPr>
          <w:rFonts w:ascii="David" w:hAnsi="David" w:cs="David" w:hint="cs"/>
          <w:color w:val="595959" w:themeColor="text1" w:themeTint="A6"/>
          <w:sz w:val="24"/>
          <w:szCs w:val="24"/>
        </w:rPr>
      </w:pPr>
      <w:r>
        <w:rPr>
          <w:rFonts w:ascii="David" w:hAnsi="David" w:cs="David" w:hint="cs"/>
          <w:color w:val="595959" w:themeColor="text1" w:themeTint="A6"/>
          <w:sz w:val="24"/>
          <w:szCs w:val="24"/>
          <w:rtl/>
        </w:rPr>
        <w:t>מצב משפחתי - בעלי משפחה בחו"ל ועובדים ללא משפחה בחו"ל (בן זוג וילדים)</w:t>
      </w:r>
    </w:p>
    <w:p w:rsidR="00CC5649" w:rsidRDefault="00CC5649" w:rsidP="00783C2F">
      <w:pPr>
        <w:pStyle w:val="a3"/>
        <w:numPr>
          <w:ilvl w:val="1"/>
          <w:numId w:val="3"/>
        </w:numPr>
        <w:spacing w:after="0" w:line="360" w:lineRule="auto"/>
        <w:jc w:val="both"/>
        <w:rPr>
          <w:rFonts w:ascii="David" w:hAnsi="David" w:cs="David" w:hint="cs"/>
          <w:color w:val="595959" w:themeColor="text1" w:themeTint="A6"/>
          <w:sz w:val="24"/>
          <w:szCs w:val="24"/>
        </w:rPr>
      </w:pPr>
      <w:r>
        <w:rPr>
          <w:rFonts w:ascii="David" w:hAnsi="David" w:cs="David" w:hint="cs"/>
          <w:color w:val="595959" w:themeColor="text1" w:themeTint="A6"/>
          <w:sz w:val="24"/>
          <w:szCs w:val="24"/>
          <w:rtl/>
        </w:rPr>
        <w:t xml:space="preserve">ותק בארץ - נמצאים בארץ בחצי שנה הראשונה לעומת שוהים ותיקים יותר בארץ. </w:t>
      </w:r>
    </w:p>
    <w:p w:rsidR="00CC5649" w:rsidRDefault="00CC5649" w:rsidP="00CC5649">
      <w:pPr>
        <w:spacing w:after="0" w:line="360" w:lineRule="auto"/>
        <w:jc w:val="both"/>
        <w:rPr>
          <w:rFonts w:ascii="David" w:hAnsi="David" w:cs="David" w:hint="cs"/>
          <w:color w:val="595959" w:themeColor="text1" w:themeTint="A6"/>
          <w:sz w:val="24"/>
          <w:szCs w:val="24"/>
          <w:rtl/>
        </w:rPr>
      </w:pPr>
      <w:r>
        <w:rPr>
          <w:rFonts w:ascii="David" w:hAnsi="David" w:cs="David" w:hint="cs"/>
          <w:color w:val="595959" w:themeColor="text1" w:themeTint="A6"/>
          <w:sz w:val="24"/>
          <w:szCs w:val="24"/>
          <w:rtl/>
        </w:rPr>
        <w:t>ייעשה מאמץ ליצור תאים של כ- 100 מרואיינים בכל אחד מהממדים. במידה והדבר לא יינתן בממד של מצב משפחתי יובטח ליצור תא מינימלי של 50 משיבים לפחות שהם בעלי משפחות.</w:t>
      </w:r>
    </w:p>
    <w:p w:rsidR="00CC5649" w:rsidRDefault="00CC5649" w:rsidP="00CC5649">
      <w:pPr>
        <w:spacing w:after="0" w:line="360" w:lineRule="auto"/>
        <w:ind w:left="720"/>
        <w:jc w:val="both"/>
        <w:rPr>
          <w:rFonts w:ascii="David" w:hAnsi="David" w:cs="David"/>
          <w:color w:val="595959" w:themeColor="text1" w:themeTint="A6"/>
          <w:sz w:val="24"/>
          <w:szCs w:val="24"/>
          <w:rtl/>
        </w:rPr>
      </w:pPr>
    </w:p>
    <w:p w:rsidR="00783C2F" w:rsidRDefault="00783C2F" w:rsidP="00783C2F">
      <w:pPr>
        <w:bidi w:val="0"/>
        <w:spacing w:after="0" w:line="360" w:lineRule="auto"/>
        <w:jc w:val="both"/>
        <w:rPr>
          <w:rFonts w:ascii="Verdana" w:hAnsi="Verdana"/>
          <w:b/>
          <w:bCs/>
          <w:color w:val="1F4E79" w:themeColor="accent1" w:themeShade="80"/>
          <w:sz w:val="24"/>
          <w:szCs w:val="24"/>
        </w:rPr>
      </w:pPr>
    </w:p>
    <w:p w:rsidR="00C52EB9" w:rsidRDefault="00C52EB9" w:rsidP="00127032">
      <w:pPr>
        <w:bidi w:val="0"/>
        <w:spacing w:after="0" w:line="360" w:lineRule="auto"/>
        <w:jc w:val="both"/>
        <w:rPr>
          <w:rFonts w:ascii="Verdana" w:hAnsi="Verdana"/>
          <w:b/>
          <w:bCs/>
          <w:color w:val="1F4E79" w:themeColor="accent1" w:themeShade="80"/>
          <w:sz w:val="24"/>
          <w:szCs w:val="24"/>
        </w:rPr>
      </w:pPr>
      <w:r>
        <w:rPr>
          <w:rFonts w:ascii="Verdana" w:hAnsi="Verdana"/>
          <w:b/>
          <w:bCs/>
          <w:color w:val="1F4E79" w:themeColor="accent1" w:themeShade="80"/>
          <w:sz w:val="24"/>
          <w:szCs w:val="24"/>
        </w:rPr>
        <w:lastRenderedPageBreak/>
        <w:t>Sample bias and other challenges</w:t>
      </w:r>
    </w:p>
    <w:p w:rsidR="00CC5649" w:rsidRDefault="00CC5649" w:rsidP="00CC5649">
      <w:pPr>
        <w:spacing w:after="0" w:line="360" w:lineRule="auto"/>
        <w:jc w:val="both"/>
        <w:rPr>
          <w:rFonts w:ascii="David" w:hAnsi="David" w:cs="David"/>
          <w:color w:val="595959" w:themeColor="text1" w:themeTint="A6"/>
          <w:sz w:val="24"/>
          <w:szCs w:val="24"/>
          <w:rtl/>
        </w:rPr>
      </w:pPr>
      <w:r w:rsidRPr="00CC5649">
        <w:rPr>
          <w:rFonts w:ascii="David" w:hAnsi="David" w:cs="David" w:hint="cs"/>
          <w:color w:val="595959" w:themeColor="text1" w:themeTint="A6"/>
          <w:sz w:val="24"/>
          <w:szCs w:val="24"/>
          <w:rtl/>
        </w:rPr>
        <w:t>מספר אתגרי</w:t>
      </w:r>
      <w:r>
        <w:rPr>
          <w:rFonts w:ascii="David" w:hAnsi="David" w:cs="David" w:hint="cs"/>
          <w:color w:val="595959" w:themeColor="text1" w:themeTint="A6"/>
          <w:sz w:val="24"/>
          <w:szCs w:val="24"/>
          <w:rtl/>
        </w:rPr>
        <w:t>ם יעמדו בפני מבצעי המחקר:</w:t>
      </w:r>
    </w:p>
    <w:p w:rsidR="00CC5649" w:rsidRPr="00CC5649" w:rsidRDefault="00CC5649" w:rsidP="00CC5649">
      <w:pPr>
        <w:pStyle w:val="a3"/>
        <w:numPr>
          <w:ilvl w:val="0"/>
          <w:numId w:val="7"/>
        </w:numPr>
        <w:spacing w:after="0" w:line="360" w:lineRule="auto"/>
        <w:jc w:val="both"/>
        <w:rPr>
          <w:rFonts w:ascii="David" w:hAnsi="David" w:cs="David" w:hint="cs"/>
          <w:color w:val="595959" w:themeColor="text1" w:themeTint="A6"/>
          <w:sz w:val="24"/>
          <w:szCs w:val="24"/>
          <w:rtl/>
        </w:rPr>
      </w:pPr>
      <w:r w:rsidRPr="00CC5649">
        <w:rPr>
          <w:rFonts w:ascii="David" w:hAnsi="David" w:cs="David" w:hint="cs"/>
          <w:color w:val="595959" w:themeColor="text1" w:themeTint="A6"/>
          <w:sz w:val="24"/>
          <w:szCs w:val="24"/>
          <w:rtl/>
        </w:rPr>
        <w:t>בתהליך הדגימה</w:t>
      </w:r>
      <w:r>
        <w:rPr>
          <w:rFonts w:ascii="David" w:hAnsi="David" w:cs="David" w:hint="cs"/>
          <w:color w:val="595959" w:themeColor="text1" w:themeTint="A6"/>
          <w:sz w:val="24"/>
          <w:szCs w:val="24"/>
          <w:rtl/>
        </w:rPr>
        <w:t xml:space="preserve"> </w:t>
      </w:r>
      <w:r>
        <w:rPr>
          <w:rFonts w:ascii="David" w:hAnsi="David" w:cs="David"/>
          <w:color w:val="595959" w:themeColor="text1" w:themeTint="A6"/>
          <w:sz w:val="24"/>
          <w:szCs w:val="24"/>
          <w:rtl/>
        </w:rPr>
        <w:t>–</w:t>
      </w:r>
      <w:r>
        <w:rPr>
          <w:rFonts w:ascii="David" w:hAnsi="David" w:cs="David" w:hint="cs"/>
          <w:color w:val="595959" w:themeColor="text1" w:themeTint="A6"/>
          <w:sz w:val="24"/>
          <w:szCs w:val="24"/>
          <w:rtl/>
        </w:rPr>
        <w:t xml:space="preserve"> הבטחת ההתייחסות לכל אחד מהממדים שהוגדרו כחשובים לניתוח הממצאים, תוך שמירה על גודל תא סביר לניתוח כמותני. </w:t>
      </w:r>
    </w:p>
    <w:p w:rsidR="00CC5649" w:rsidRPr="00CC5649" w:rsidRDefault="00CC5649" w:rsidP="00CC5649">
      <w:pPr>
        <w:pStyle w:val="a3"/>
        <w:numPr>
          <w:ilvl w:val="0"/>
          <w:numId w:val="7"/>
        </w:numPr>
        <w:spacing w:after="0" w:line="360" w:lineRule="auto"/>
        <w:jc w:val="both"/>
        <w:rPr>
          <w:rFonts w:ascii="Verdana" w:hAnsi="Verdana" w:hint="cs"/>
          <w:b/>
          <w:bCs/>
          <w:color w:val="1F4E79" w:themeColor="accent1" w:themeShade="80"/>
          <w:sz w:val="24"/>
          <w:szCs w:val="24"/>
        </w:rPr>
      </w:pPr>
      <w:r>
        <w:rPr>
          <w:rFonts w:ascii="David" w:hAnsi="David" w:cs="David" w:hint="cs"/>
          <w:color w:val="595959" w:themeColor="text1" w:themeTint="A6"/>
          <w:sz w:val="24"/>
          <w:szCs w:val="24"/>
          <w:rtl/>
        </w:rPr>
        <w:t>בתהליך ביצוע הראיונו</w:t>
      </w:r>
      <w:r w:rsidR="00DC43C9">
        <w:rPr>
          <w:rFonts w:ascii="David" w:hAnsi="David" w:cs="David" w:hint="cs"/>
          <w:color w:val="595959" w:themeColor="text1" w:themeTint="A6"/>
          <w:sz w:val="24"/>
          <w:szCs w:val="24"/>
          <w:rtl/>
        </w:rPr>
        <w:t xml:space="preserve">ת - יש לאתר את העובדים הכלולים ברשימת הדגימה, לראיין אותם בתנאים הנוחים להם לראיון ובשפה המתאימה לשפה המקצועית ולמוסכמות התרבותיות שלהם. </w:t>
      </w:r>
    </w:p>
    <w:p w:rsidR="00C52EB9" w:rsidRPr="00DC43C9" w:rsidRDefault="00CC5649" w:rsidP="00DC43C9">
      <w:pPr>
        <w:pStyle w:val="a3"/>
        <w:numPr>
          <w:ilvl w:val="0"/>
          <w:numId w:val="7"/>
        </w:numPr>
        <w:spacing w:after="0" w:line="360" w:lineRule="auto"/>
        <w:jc w:val="both"/>
        <w:rPr>
          <w:rFonts w:ascii="Verdana" w:hAnsi="Verdana"/>
          <w:b/>
          <w:bCs/>
          <w:color w:val="1F4E79" w:themeColor="accent1" w:themeShade="80"/>
          <w:sz w:val="24"/>
          <w:szCs w:val="24"/>
          <w:rtl/>
        </w:rPr>
      </w:pPr>
      <w:r>
        <w:rPr>
          <w:rFonts w:ascii="David" w:hAnsi="David" w:cs="David" w:hint="cs"/>
          <w:color w:val="595959" w:themeColor="text1" w:themeTint="A6"/>
          <w:sz w:val="24"/>
          <w:szCs w:val="24"/>
          <w:rtl/>
        </w:rPr>
        <w:t>בניתוח הממצאים</w:t>
      </w:r>
      <w:r w:rsidR="00DC43C9">
        <w:rPr>
          <w:rFonts w:ascii="David" w:hAnsi="David" w:cs="David" w:hint="cs"/>
          <w:color w:val="595959" w:themeColor="text1" w:themeTint="A6"/>
          <w:sz w:val="24"/>
          <w:szCs w:val="24"/>
          <w:rtl/>
        </w:rPr>
        <w:t xml:space="preserve"> </w:t>
      </w:r>
      <w:r w:rsidR="00DC43C9">
        <w:rPr>
          <w:rFonts w:ascii="David" w:hAnsi="David" w:cs="David"/>
          <w:color w:val="595959" w:themeColor="text1" w:themeTint="A6"/>
          <w:sz w:val="24"/>
          <w:szCs w:val="24"/>
          <w:rtl/>
        </w:rPr>
        <w:t>–</w:t>
      </w:r>
      <w:r w:rsidR="00DC43C9">
        <w:rPr>
          <w:rFonts w:ascii="David" w:hAnsi="David" w:cs="David" w:hint="cs"/>
          <w:color w:val="595959" w:themeColor="text1" w:themeTint="A6"/>
          <w:sz w:val="24"/>
          <w:szCs w:val="24"/>
          <w:rtl/>
        </w:rPr>
        <w:t xml:space="preserve"> קיימת חשיבות לשמור על משקלות המבטאים את המשקלות הקיימים באוכלוסיית העובדים הזרים בפועל. </w:t>
      </w:r>
      <w:r w:rsidRPr="00CC5649">
        <w:rPr>
          <w:rFonts w:ascii="David" w:hAnsi="David" w:cs="David" w:hint="cs"/>
          <w:color w:val="595959" w:themeColor="text1" w:themeTint="A6"/>
          <w:sz w:val="24"/>
          <w:szCs w:val="24"/>
          <w:rtl/>
        </w:rPr>
        <w:t xml:space="preserve"> </w:t>
      </w:r>
    </w:p>
    <w:p w:rsidR="00C36997" w:rsidRDefault="00C36997" w:rsidP="00127032">
      <w:pPr>
        <w:bidi w:val="0"/>
        <w:spacing w:after="0" w:line="360" w:lineRule="auto"/>
        <w:jc w:val="both"/>
        <w:rPr>
          <w:rFonts w:ascii="Verdana" w:hAnsi="Verdana"/>
          <w:b/>
          <w:bCs/>
          <w:color w:val="1F4E79" w:themeColor="accent1" w:themeShade="80"/>
          <w:sz w:val="24"/>
          <w:szCs w:val="24"/>
        </w:rPr>
      </w:pPr>
    </w:p>
    <w:p w:rsidR="00C52EB9" w:rsidRDefault="00C52EB9" w:rsidP="00127032">
      <w:pPr>
        <w:bidi w:val="0"/>
        <w:spacing w:after="0" w:line="360" w:lineRule="auto"/>
        <w:jc w:val="both"/>
        <w:rPr>
          <w:rFonts w:ascii="Verdana" w:hAnsi="Verdana"/>
          <w:b/>
          <w:bCs/>
          <w:color w:val="1F4E79" w:themeColor="accent1" w:themeShade="80"/>
          <w:sz w:val="28"/>
          <w:szCs w:val="28"/>
        </w:rPr>
      </w:pPr>
      <w:r>
        <w:rPr>
          <w:rFonts w:ascii="Verdana" w:hAnsi="Verdana"/>
          <w:b/>
          <w:bCs/>
          <w:color w:val="1F4E79" w:themeColor="accent1" w:themeShade="80"/>
          <w:sz w:val="28"/>
          <w:szCs w:val="28"/>
        </w:rPr>
        <w:t>Risks and mitigation</w:t>
      </w:r>
    </w:p>
    <w:p w:rsidR="00DC43C9" w:rsidRDefault="00DC43C9" w:rsidP="00DC43C9">
      <w:pPr>
        <w:spacing w:after="0" w:line="360" w:lineRule="auto"/>
        <w:jc w:val="both"/>
        <w:rPr>
          <w:rFonts w:ascii="David" w:hAnsi="David" w:cs="David"/>
          <w:color w:val="595959" w:themeColor="text1" w:themeTint="A6"/>
          <w:sz w:val="24"/>
          <w:szCs w:val="24"/>
          <w:rtl/>
        </w:rPr>
      </w:pPr>
      <w:r>
        <w:rPr>
          <w:rFonts w:ascii="David" w:hAnsi="David" w:cs="David" w:hint="cs"/>
          <w:color w:val="595959" w:themeColor="text1" w:themeTint="A6"/>
          <w:sz w:val="24"/>
          <w:szCs w:val="24"/>
          <w:rtl/>
        </w:rPr>
        <w:t>במסגרת ביצוע המחקר קיימים מספר אתגרים שיש להתמודד איתם:</w:t>
      </w:r>
    </w:p>
    <w:p w:rsidR="00DC43C9" w:rsidRDefault="00DC43C9" w:rsidP="00DC43C9">
      <w:pPr>
        <w:pStyle w:val="a3"/>
        <w:numPr>
          <w:ilvl w:val="0"/>
          <w:numId w:val="3"/>
        </w:numPr>
        <w:spacing w:after="0" w:line="360" w:lineRule="auto"/>
        <w:jc w:val="both"/>
        <w:rPr>
          <w:rFonts w:ascii="David" w:hAnsi="David" w:cs="David"/>
          <w:color w:val="595959" w:themeColor="text1" w:themeTint="A6"/>
          <w:sz w:val="24"/>
          <w:szCs w:val="24"/>
        </w:rPr>
      </w:pPr>
      <w:r>
        <w:rPr>
          <w:rFonts w:ascii="David" w:hAnsi="David" w:cs="David" w:hint="cs"/>
          <w:color w:val="595959" w:themeColor="text1" w:themeTint="A6"/>
          <w:sz w:val="24"/>
          <w:szCs w:val="24"/>
          <w:rtl/>
        </w:rPr>
        <w:t xml:space="preserve">במהלך ביצוע הראיונות - </w:t>
      </w:r>
      <w:r w:rsidRPr="00DC43C9">
        <w:rPr>
          <w:rFonts w:ascii="David" w:hAnsi="David" w:cs="David" w:hint="cs"/>
          <w:color w:val="595959" w:themeColor="text1" w:themeTint="A6"/>
          <w:sz w:val="24"/>
          <w:szCs w:val="24"/>
          <w:rtl/>
        </w:rPr>
        <w:t>קיים חשש כי השאלות לא יובנו ותהליך הראיונות ייצור איום על העובד הזר או על הזקן / ו / או משפחתו ויביא למתחים בין העובד לבין הזקן ומשפחתו.</w:t>
      </w:r>
    </w:p>
    <w:p w:rsidR="00DC43C9" w:rsidRDefault="00DC43C9" w:rsidP="00DC43C9">
      <w:pPr>
        <w:pStyle w:val="a3"/>
        <w:numPr>
          <w:ilvl w:val="0"/>
          <w:numId w:val="3"/>
        </w:numPr>
        <w:spacing w:after="0" w:line="360" w:lineRule="auto"/>
        <w:jc w:val="both"/>
        <w:rPr>
          <w:rFonts w:ascii="David" w:hAnsi="David" w:cs="David" w:hint="cs"/>
          <w:color w:val="595959" w:themeColor="text1" w:themeTint="A6"/>
          <w:sz w:val="24"/>
          <w:szCs w:val="24"/>
        </w:rPr>
      </w:pPr>
      <w:r>
        <w:rPr>
          <w:rFonts w:ascii="David" w:hAnsi="David" w:cs="David" w:hint="cs"/>
          <w:color w:val="595959" w:themeColor="text1" w:themeTint="A6"/>
          <w:sz w:val="24"/>
          <w:szCs w:val="24"/>
          <w:rtl/>
        </w:rPr>
        <w:t xml:space="preserve">בתהליך עיבוד הממצאים </w:t>
      </w:r>
      <w:r>
        <w:rPr>
          <w:rFonts w:ascii="David" w:hAnsi="David" w:cs="David"/>
          <w:color w:val="595959" w:themeColor="text1" w:themeTint="A6"/>
          <w:sz w:val="24"/>
          <w:szCs w:val="24"/>
          <w:rtl/>
        </w:rPr>
        <w:t>–</w:t>
      </w:r>
      <w:r>
        <w:rPr>
          <w:rFonts w:ascii="David" w:hAnsi="David" w:cs="David" w:hint="cs"/>
          <w:color w:val="595959" w:themeColor="text1" w:themeTint="A6"/>
          <w:sz w:val="24"/>
          <w:szCs w:val="24"/>
          <w:rtl/>
        </w:rPr>
        <w:t xml:space="preserve"> קיים חשש כי הממצאים לא יפורשו בדרך נכונה היות, בשל הבדלים בשפה ובתרבות בין המרואיינים לבין צוות המחקר.</w:t>
      </w:r>
    </w:p>
    <w:p w:rsidR="00C52EB9" w:rsidRDefault="00DC43C9" w:rsidP="00DC43C9">
      <w:pPr>
        <w:pStyle w:val="a3"/>
        <w:numPr>
          <w:ilvl w:val="0"/>
          <w:numId w:val="3"/>
        </w:numPr>
        <w:spacing w:after="0" w:line="360" w:lineRule="auto"/>
        <w:jc w:val="both"/>
        <w:rPr>
          <w:rFonts w:ascii="David" w:hAnsi="David" w:cs="David"/>
          <w:color w:val="595959" w:themeColor="text1" w:themeTint="A6"/>
          <w:sz w:val="24"/>
          <w:szCs w:val="24"/>
        </w:rPr>
      </w:pPr>
      <w:r>
        <w:rPr>
          <w:rFonts w:ascii="David" w:hAnsi="David" w:cs="David" w:hint="cs"/>
          <w:color w:val="595959" w:themeColor="text1" w:themeTint="A6"/>
          <w:sz w:val="24"/>
          <w:szCs w:val="24"/>
          <w:rtl/>
        </w:rPr>
        <w:t xml:space="preserve">בעת הצגת הממצאים </w:t>
      </w:r>
      <w:r>
        <w:rPr>
          <w:rFonts w:ascii="David" w:hAnsi="David" w:cs="David"/>
          <w:color w:val="595959" w:themeColor="text1" w:themeTint="A6"/>
          <w:sz w:val="24"/>
          <w:szCs w:val="24"/>
          <w:rtl/>
        </w:rPr>
        <w:t>–</w:t>
      </w:r>
      <w:r>
        <w:rPr>
          <w:rFonts w:ascii="David" w:hAnsi="David" w:cs="David" w:hint="cs"/>
          <w:color w:val="595959" w:themeColor="text1" w:themeTint="A6"/>
          <w:sz w:val="24"/>
          <w:szCs w:val="24"/>
          <w:rtl/>
        </w:rPr>
        <w:t xml:space="preserve"> יש להבטיח הבנה מלאה של הממצאים ומשמעותיים על מנת להביא לקידום ולשיפור של תהליכי העסקת עובדים זרים בארץ, באופן המסייע ל</w:t>
      </w:r>
      <w:r w:rsidRPr="008152A4">
        <w:rPr>
          <w:rFonts w:ascii="David" w:hAnsi="David" w:cs="David" w:hint="cs"/>
          <w:sz w:val="24"/>
          <w:szCs w:val="24"/>
          <w:rtl/>
        </w:rPr>
        <w:t xml:space="preserve">מטופלים, </w:t>
      </w:r>
      <w:r>
        <w:rPr>
          <w:rFonts w:ascii="David" w:hAnsi="David" w:cs="David" w:hint="cs"/>
          <w:sz w:val="24"/>
          <w:szCs w:val="24"/>
          <w:rtl/>
        </w:rPr>
        <w:t xml:space="preserve">משפר את </w:t>
      </w:r>
      <w:r w:rsidRPr="008152A4">
        <w:rPr>
          <w:rFonts w:ascii="David" w:hAnsi="David" w:cs="David" w:hint="cs"/>
          <w:sz w:val="24"/>
          <w:szCs w:val="24"/>
          <w:rtl/>
        </w:rPr>
        <w:t>זכויות העובדים הזרים</w:t>
      </w:r>
      <w:r>
        <w:rPr>
          <w:rFonts w:ascii="David" w:hAnsi="David" w:cs="David" w:hint="cs"/>
          <w:sz w:val="24"/>
          <w:szCs w:val="24"/>
          <w:rtl/>
        </w:rPr>
        <w:t xml:space="preserve"> ותנאי העסקתם ומביא להשפעה חיובית על המשק </w:t>
      </w:r>
      <w:r>
        <w:rPr>
          <w:rFonts w:ascii="David" w:hAnsi="David" w:cs="David" w:hint="cs"/>
          <w:color w:val="595959" w:themeColor="text1" w:themeTint="A6"/>
          <w:sz w:val="24"/>
          <w:szCs w:val="24"/>
          <w:rtl/>
        </w:rPr>
        <w:t xml:space="preserve">הישראלי בכללותו. </w:t>
      </w:r>
    </w:p>
    <w:p w:rsidR="00DC43C9" w:rsidRDefault="00DC43C9" w:rsidP="00DC43C9">
      <w:pPr>
        <w:spacing w:after="0" w:line="360" w:lineRule="auto"/>
        <w:jc w:val="both"/>
        <w:rPr>
          <w:rFonts w:ascii="David" w:hAnsi="David" w:cs="David"/>
          <w:color w:val="595959" w:themeColor="text1" w:themeTint="A6"/>
          <w:sz w:val="24"/>
          <w:szCs w:val="24"/>
          <w:rtl/>
        </w:rPr>
      </w:pPr>
    </w:p>
    <w:p w:rsidR="00DC43C9" w:rsidRPr="00DC43C9" w:rsidRDefault="00DC43C9" w:rsidP="00DC43C9">
      <w:pPr>
        <w:spacing w:after="0" w:line="360" w:lineRule="auto"/>
        <w:jc w:val="both"/>
        <w:rPr>
          <w:rFonts w:ascii="David" w:hAnsi="David" w:cs="David" w:hint="cs"/>
          <w:color w:val="595959" w:themeColor="text1" w:themeTint="A6"/>
          <w:sz w:val="24"/>
          <w:szCs w:val="24"/>
          <w:rtl/>
        </w:rPr>
      </w:pPr>
      <w:r>
        <w:rPr>
          <w:rFonts w:ascii="David" w:hAnsi="David" w:cs="David" w:hint="cs"/>
          <w:color w:val="595959" w:themeColor="text1" w:themeTint="A6"/>
          <w:sz w:val="24"/>
          <w:szCs w:val="24"/>
          <w:rtl/>
        </w:rPr>
        <w:t>יתכן כי ייווצ</w:t>
      </w:r>
      <w:r>
        <w:rPr>
          <w:rFonts w:ascii="David" w:hAnsi="David" w:cs="David" w:hint="eastAsia"/>
          <w:color w:val="595959" w:themeColor="text1" w:themeTint="A6"/>
          <w:sz w:val="24"/>
          <w:szCs w:val="24"/>
          <w:rtl/>
        </w:rPr>
        <w:t>ר</w:t>
      </w:r>
      <w:r>
        <w:rPr>
          <w:rFonts w:ascii="David" w:hAnsi="David" w:cs="David" w:hint="cs"/>
          <w:color w:val="595959" w:themeColor="text1" w:themeTint="A6"/>
          <w:sz w:val="24"/>
          <w:szCs w:val="24"/>
          <w:rtl/>
        </w:rPr>
        <w:t xml:space="preserve">ו ניגודי עניינים בין קהלי היעד המרכזיים המעורבים בתחום המחקר </w:t>
      </w:r>
      <w:r>
        <w:rPr>
          <w:rFonts w:ascii="David" w:hAnsi="David" w:cs="David"/>
          <w:color w:val="595959" w:themeColor="text1" w:themeTint="A6"/>
          <w:sz w:val="24"/>
          <w:szCs w:val="24"/>
          <w:rtl/>
        </w:rPr>
        <w:t>–</w:t>
      </w:r>
      <w:r>
        <w:rPr>
          <w:rFonts w:ascii="David" w:hAnsi="David" w:cs="David" w:hint="cs"/>
          <w:color w:val="595959" w:themeColor="text1" w:themeTint="A6"/>
          <w:sz w:val="24"/>
          <w:szCs w:val="24"/>
          <w:rtl/>
        </w:rPr>
        <w:t xml:space="preserve"> המטופלים, העובדים הזרים, חברות כוח האדם המעסיקות את העובדים, ארגוני </w:t>
      </w:r>
      <w:proofErr w:type="spellStart"/>
      <w:r>
        <w:rPr>
          <w:rFonts w:ascii="David" w:hAnsi="David" w:cs="David" w:hint="cs"/>
          <w:color w:val="595959" w:themeColor="text1" w:themeTint="A6"/>
          <w:sz w:val="24"/>
          <w:szCs w:val="24"/>
          <w:rtl/>
        </w:rPr>
        <w:t>סינגור</w:t>
      </w:r>
      <w:proofErr w:type="spellEnd"/>
      <w:r>
        <w:rPr>
          <w:rFonts w:ascii="David" w:hAnsi="David" w:cs="David" w:hint="cs"/>
          <w:color w:val="595959" w:themeColor="text1" w:themeTint="A6"/>
          <w:sz w:val="24"/>
          <w:szCs w:val="24"/>
          <w:rtl/>
        </w:rPr>
        <w:t xml:space="preserve"> של העובדים ונציגי ממשלה. </w:t>
      </w:r>
    </w:p>
    <w:p w:rsidR="00C36997" w:rsidRDefault="00C36997" w:rsidP="00127032">
      <w:pPr>
        <w:bidi w:val="0"/>
        <w:spacing w:after="0" w:line="360" w:lineRule="auto"/>
        <w:jc w:val="both"/>
        <w:rPr>
          <w:rFonts w:ascii="Verdana" w:hAnsi="Verdana"/>
          <w:b/>
          <w:bCs/>
          <w:color w:val="1F4E79" w:themeColor="accent1" w:themeShade="80"/>
          <w:sz w:val="28"/>
          <w:szCs w:val="28"/>
        </w:rPr>
      </w:pPr>
    </w:p>
    <w:p w:rsidR="007A12A2" w:rsidRDefault="007A12A2">
      <w:pPr>
        <w:bidi w:val="0"/>
        <w:rPr>
          <w:rFonts w:ascii="Verdana" w:hAnsi="Verdana"/>
          <w:b/>
          <w:bCs/>
          <w:color w:val="1F4E79" w:themeColor="accent1" w:themeShade="80"/>
          <w:sz w:val="28"/>
          <w:szCs w:val="28"/>
        </w:rPr>
      </w:pPr>
      <w:r>
        <w:rPr>
          <w:rFonts w:ascii="Verdana" w:hAnsi="Verdana"/>
          <w:b/>
          <w:bCs/>
          <w:color w:val="1F4E79" w:themeColor="accent1" w:themeShade="80"/>
          <w:sz w:val="28"/>
          <w:szCs w:val="28"/>
        </w:rPr>
        <w:br w:type="page"/>
      </w:r>
    </w:p>
    <w:p w:rsidR="00C52EB9" w:rsidRDefault="00C52EB9" w:rsidP="00127032">
      <w:pPr>
        <w:bidi w:val="0"/>
        <w:spacing w:after="0" w:line="360" w:lineRule="auto"/>
        <w:jc w:val="both"/>
        <w:rPr>
          <w:rFonts w:ascii="Verdana" w:hAnsi="Verdana"/>
          <w:b/>
          <w:bCs/>
          <w:color w:val="1F4E79" w:themeColor="accent1" w:themeShade="80"/>
          <w:sz w:val="28"/>
          <w:szCs w:val="28"/>
        </w:rPr>
      </w:pPr>
      <w:r>
        <w:rPr>
          <w:rFonts w:ascii="Verdana" w:hAnsi="Verdana"/>
          <w:b/>
          <w:bCs/>
          <w:color w:val="1F4E79" w:themeColor="accent1" w:themeShade="80"/>
          <w:sz w:val="28"/>
          <w:szCs w:val="28"/>
        </w:rPr>
        <w:lastRenderedPageBreak/>
        <w:t>Budget</w:t>
      </w:r>
    </w:p>
    <w:p w:rsidR="007A12A2" w:rsidRPr="007A12A2" w:rsidRDefault="007A12A2" w:rsidP="007A12A2">
      <w:pPr>
        <w:spacing w:after="0" w:line="360" w:lineRule="auto"/>
        <w:jc w:val="both"/>
        <w:rPr>
          <w:rFonts w:ascii="David" w:hAnsi="David" w:cs="David" w:hint="cs"/>
          <w:color w:val="595959" w:themeColor="text1" w:themeTint="A6"/>
          <w:sz w:val="24"/>
          <w:szCs w:val="24"/>
          <w:rtl/>
        </w:rPr>
      </w:pPr>
      <w:r>
        <w:rPr>
          <w:rFonts w:ascii="David" w:hAnsi="David" w:cs="David" w:hint="cs"/>
          <w:color w:val="595959" w:themeColor="text1" w:themeTint="A6"/>
          <w:sz w:val="24"/>
          <w:szCs w:val="24"/>
          <w:rtl/>
        </w:rPr>
        <w:t>צוות המחקר יכלול</w:t>
      </w:r>
      <w:r w:rsidRPr="007A12A2">
        <w:rPr>
          <w:rFonts w:ascii="David" w:hAnsi="David" w:cs="David" w:hint="cs"/>
          <w:color w:val="595959" w:themeColor="text1" w:themeTint="A6"/>
          <w:sz w:val="24"/>
          <w:szCs w:val="24"/>
          <w:rtl/>
        </w:rPr>
        <w:t xml:space="preserve"> חוקר ראשי, האחראי ומוביל את המחקר, חוקר מומחה שני, שני יועצים בתחום הכלכלה והסטטיסטיקה, רכז עבודת שדה ומראיינים. </w:t>
      </w:r>
      <w:r>
        <w:rPr>
          <w:rFonts w:ascii="David" w:hAnsi="David" w:cs="David" w:hint="cs"/>
          <w:color w:val="595959" w:themeColor="text1" w:themeTint="A6"/>
          <w:sz w:val="24"/>
          <w:szCs w:val="24"/>
          <w:rtl/>
        </w:rPr>
        <w:t>עלות המחקר תהיה לפי הפירוט בטבלה שלהלן:</w:t>
      </w:r>
      <w:r w:rsidRPr="007A12A2">
        <w:rPr>
          <w:rFonts w:ascii="David" w:hAnsi="David" w:cs="David" w:hint="cs"/>
          <w:color w:val="595959" w:themeColor="text1" w:themeTint="A6"/>
          <w:sz w:val="24"/>
          <w:szCs w:val="24"/>
          <w:rtl/>
        </w:rPr>
        <w:t xml:space="preserve"> </w:t>
      </w:r>
    </w:p>
    <w:p w:rsidR="007A12A2" w:rsidRPr="007A12A2" w:rsidRDefault="007A12A2" w:rsidP="007A12A2">
      <w:pPr>
        <w:spacing w:after="0" w:line="360" w:lineRule="auto"/>
        <w:jc w:val="both"/>
        <w:rPr>
          <w:rFonts w:ascii="David" w:hAnsi="David" w:cs="David"/>
          <w:color w:val="595959" w:themeColor="text1" w:themeTint="A6"/>
          <w:sz w:val="24"/>
          <w:szCs w:val="24"/>
          <w:rtl/>
        </w:rPr>
      </w:pPr>
    </w:p>
    <w:tbl>
      <w:tblPr>
        <w:tblStyle w:val="a4"/>
        <w:tblW w:w="0" w:type="auto"/>
        <w:tblLook w:val="04A0" w:firstRow="1" w:lastRow="0" w:firstColumn="1" w:lastColumn="0" w:noHBand="0" w:noVBand="1"/>
      </w:tblPr>
      <w:tblGrid>
        <w:gridCol w:w="2107"/>
        <w:gridCol w:w="3917"/>
        <w:gridCol w:w="1136"/>
        <w:gridCol w:w="1136"/>
      </w:tblGrid>
      <w:tr w:rsidR="00DC43C9" w:rsidRPr="00DC43C9" w:rsidTr="00302841">
        <w:tc>
          <w:tcPr>
            <w:tcW w:w="0" w:type="auto"/>
          </w:tcPr>
          <w:p w:rsidR="00DC43C9" w:rsidRPr="00DC43C9" w:rsidRDefault="00982773" w:rsidP="007A12A2">
            <w:pPr>
              <w:bidi w:val="0"/>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כוח האדם</w:t>
            </w:r>
          </w:p>
        </w:tc>
        <w:tc>
          <w:tcPr>
            <w:tcW w:w="0" w:type="auto"/>
          </w:tcPr>
          <w:p w:rsidR="00DC43C9" w:rsidRPr="00DC43C9" w:rsidRDefault="00982773" w:rsidP="007A12A2">
            <w:pPr>
              <w:bidi w:val="0"/>
              <w:jc w:val="both"/>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 xml:space="preserve">המשימות המרכזיות </w:t>
            </w:r>
          </w:p>
        </w:tc>
        <w:tc>
          <w:tcPr>
            <w:tcW w:w="0" w:type="auto"/>
          </w:tcPr>
          <w:p w:rsidR="00DC43C9" w:rsidRPr="00DC43C9" w:rsidRDefault="00302841" w:rsidP="00302841">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ISH</w:t>
            </w:r>
          </w:p>
        </w:tc>
        <w:tc>
          <w:tcPr>
            <w:tcW w:w="0" w:type="auto"/>
          </w:tcPr>
          <w:p w:rsidR="00DC43C9" w:rsidRPr="00DC43C9" w:rsidRDefault="00302841" w:rsidP="00302841">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w:t>
            </w:r>
          </w:p>
        </w:tc>
      </w:tr>
      <w:tr w:rsidR="00DC43C9" w:rsidRPr="00DC43C9" w:rsidTr="00302841">
        <w:tc>
          <w:tcPr>
            <w:tcW w:w="0" w:type="auto"/>
          </w:tcPr>
          <w:p w:rsidR="00DC43C9" w:rsidRPr="00DC43C9" w:rsidRDefault="007A12A2" w:rsidP="007A12A2">
            <w:pPr>
              <w:bidi w:val="0"/>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Senior researcher</w:t>
            </w:r>
          </w:p>
        </w:tc>
        <w:tc>
          <w:tcPr>
            <w:tcW w:w="0" w:type="auto"/>
          </w:tcPr>
          <w:p w:rsidR="00302841" w:rsidRPr="00DC43C9" w:rsidRDefault="00302841" w:rsidP="00302841">
            <w:pPr>
              <w:bidi w:val="0"/>
              <w:jc w:val="center"/>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ליווי המחקר בכל שלביו, גיבוש כלי המחקר, עבודת שדה, עיבוד הנתונים וכתיבת הדוח</w:t>
            </w:r>
          </w:p>
        </w:tc>
        <w:tc>
          <w:tcPr>
            <w:tcW w:w="0" w:type="auto"/>
          </w:tcPr>
          <w:p w:rsidR="00DC43C9"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75</w:t>
            </w:r>
            <w:r w:rsidR="00AC1F6A">
              <w:rPr>
                <w:rFonts w:asciiTheme="majorHAnsi" w:hAnsiTheme="majorHAnsi" w:cstheme="majorHAnsi"/>
                <w:color w:val="1F4E79" w:themeColor="accent1" w:themeShade="80"/>
                <w:sz w:val="28"/>
                <w:szCs w:val="28"/>
              </w:rPr>
              <w:t xml:space="preserve">,000 </w:t>
            </w:r>
          </w:p>
        </w:tc>
        <w:tc>
          <w:tcPr>
            <w:tcW w:w="0" w:type="auto"/>
          </w:tcPr>
          <w:p w:rsidR="00DC43C9"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19,531</w:t>
            </w:r>
          </w:p>
        </w:tc>
      </w:tr>
      <w:tr w:rsidR="00DC43C9" w:rsidRPr="00DC43C9" w:rsidTr="00302841">
        <w:tc>
          <w:tcPr>
            <w:tcW w:w="0" w:type="auto"/>
          </w:tcPr>
          <w:p w:rsidR="00DC43C9" w:rsidRPr="00DC43C9" w:rsidRDefault="007A12A2" w:rsidP="007A12A2">
            <w:pPr>
              <w:bidi w:val="0"/>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 xml:space="preserve">Researcher </w:t>
            </w:r>
          </w:p>
        </w:tc>
        <w:tc>
          <w:tcPr>
            <w:tcW w:w="0" w:type="auto"/>
          </w:tcPr>
          <w:p w:rsidR="00DC43C9" w:rsidRPr="00DC43C9" w:rsidRDefault="00302841"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hint="cs"/>
                <w:color w:val="1F4E79" w:themeColor="accent1" w:themeShade="80"/>
                <w:sz w:val="28"/>
                <w:szCs w:val="28"/>
                <w:rtl/>
              </w:rPr>
              <w:t>ליווי המחקר בכל שלביו, גיבוש כלי המחקר, עבודת שדה, עיבוד הנתונים וכתיבת הדוח</w:t>
            </w:r>
          </w:p>
        </w:tc>
        <w:tc>
          <w:tcPr>
            <w:tcW w:w="0" w:type="auto"/>
          </w:tcPr>
          <w:p w:rsidR="00DC43C9"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50</w:t>
            </w:r>
            <w:r w:rsidR="00AC1F6A">
              <w:rPr>
                <w:rFonts w:asciiTheme="majorHAnsi" w:hAnsiTheme="majorHAnsi" w:cstheme="majorHAnsi"/>
                <w:color w:val="1F4E79" w:themeColor="accent1" w:themeShade="80"/>
                <w:sz w:val="28"/>
                <w:szCs w:val="28"/>
              </w:rPr>
              <w:t xml:space="preserve">,000 </w:t>
            </w:r>
          </w:p>
        </w:tc>
        <w:tc>
          <w:tcPr>
            <w:tcW w:w="0" w:type="auto"/>
          </w:tcPr>
          <w:p w:rsidR="00DC43C9"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13,021</w:t>
            </w:r>
          </w:p>
        </w:tc>
      </w:tr>
      <w:tr w:rsidR="007A12A2" w:rsidRPr="00DC43C9" w:rsidTr="00302841">
        <w:tc>
          <w:tcPr>
            <w:tcW w:w="0" w:type="auto"/>
          </w:tcPr>
          <w:p w:rsidR="007A12A2" w:rsidRDefault="007A12A2" w:rsidP="007A12A2">
            <w:pPr>
              <w:bidi w:val="0"/>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יועץ סטטיסטי</w:t>
            </w:r>
          </w:p>
          <w:p w:rsidR="007A12A2" w:rsidRDefault="007A12A2" w:rsidP="007A12A2">
            <w:pPr>
              <w:bidi w:val="0"/>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ומומחה בתחום הדגימה</w:t>
            </w:r>
          </w:p>
        </w:tc>
        <w:tc>
          <w:tcPr>
            <w:tcW w:w="0" w:type="auto"/>
          </w:tcPr>
          <w:p w:rsidR="007A12A2" w:rsidRPr="00DC43C9" w:rsidRDefault="00302841" w:rsidP="007A12A2">
            <w:pPr>
              <w:bidi w:val="0"/>
              <w:jc w:val="center"/>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ייעוץ בתהליך הדגימה ועיבוד הנתונים</w:t>
            </w:r>
          </w:p>
        </w:tc>
        <w:tc>
          <w:tcPr>
            <w:tcW w:w="0" w:type="auto"/>
          </w:tcPr>
          <w:p w:rsidR="007A12A2"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17,500</w:t>
            </w:r>
            <w:r w:rsidR="00AC1F6A">
              <w:rPr>
                <w:rFonts w:asciiTheme="majorHAnsi" w:hAnsiTheme="majorHAnsi" w:cstheme="majorHAnsi"/>
                <w:color w:val="1F4E79" w:themeColor="accent1" w:themeShade="80"/>
                <w:sz w:val="28"/>
                <w:szCs w:val="28"/>
              </w:rPr>
              <w:t xml:space="preserve"> </w:t>
            </w:r>
          </w:p>
        </w:tc>
        <w:tc>
          <w:tcPr>
            <w:tcW w:w="0" w:type="auto"/>
          </w:tcPr>
          <w:p w:rsidR="007A12A2"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4,557</w:t>
            </w:r>
          </w:p>
        </w:tc>
      </w:tr>
      <w:tr w:rsidR="007A12A2" w:rsidRPr="00DC43C9" w:rsidTr="00302841">
        <w:tc>
          <w:tcPr>
            <w:tcW w:w="0" w:type="auto"/>
          </w:tcPr>
          <w:p w:rsidR="007A12A2" w:rsidRDefault="007A12A2" w:rsidP="007A12A2">
            <w:pPr>
              <w:bidi w:val="0"/>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מומחה בתחום הניתוח הכלכלי</w:t>
            </w:r>
          </w:p>
        </w:tc>
        <w:tc>
          <w:tcPr>
            <w:tcW w:w="0" w:type="auto"/>
          </w:tcPr>
          <w:p w:rsidR="007A12A2" w:rsidRPr="00DC43C9" w:rsidRDefault="00302841" w:rsidP="007A12A2">
            <w:pPr>
              <w:bidi w:val="0"/>
              <w:jc w:val="center"/>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ייעוץ בתהליך עיבוד הנתונים</w:t>
            </w:r>
          </w:p>
        </w:tc>
        <w:tc>
          <w:tcPr>
            <w:tcW w:w="0" w:type="auto"/>
          </w:tcPr>
          <w:p w:rsidR="007A12A2" w:rsidRPr="00DC43C9" w:rsidRDefault="00AC1F6A"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1</w:t>
            </w:r>
            <w:r>
              <w:rPr>
                <w:rFonts w:asciiTheme="majorHAnsi" w:hAnsiTheme="majorHAnsi" w:cstheme="majorHAnsi"/>
                <w:color w:val="1F4E79" w:themeColor="accent1" w:themeShade="80"/>
                <w:sz w:val="28"/>
                <w:szCs w:val="28"/>
              </w:rPr>
              <w:t xml:space="preserve">4,000 </w:t>
            </w:r>
          </w:p>
        </w:tc>
        <w:tc>
          <w:tcPr>
            <w:tcW w:w="0" w:type="auto"/>
          </w:tcPr>
          <w:p w:rsidR="007A12A2" w:rsidRPr="00DC43C9" w:rsidRDefault="00302841"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3,645</w:t>
            </w:r>
          </w:p>
        </w:tc>
      </w:tr>
      <w:tr w:rsidR="007A12A2" w:rsidRPr="00DC43C9" w:rsidTr="00302841">
        <w:tc>
          <w:tcPr>
            <w:tcW w:w="0" w:type="auto"/>
          </w:tcPr>
          <w:p w:rsidR="007A12A2" w:rsidRDefault="007A12A2" w:rsidP="007A12A2">
            <w:pPr>
              <w:bidi w:val="0"/>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רכז עבודת שדה</w:t>
            </w:r>
          </w:p>
        </w:tc>
        <w:tc>
          <w:tcPr>
            <w:tcW w:w="0" w:type="auto"/>
          </w:tcPr>
          <w:p w:rsidR="007A12A2" w:rsidRPr="00DC43C9" w:rsidRDefault="00302841" w:rsidP="007A12A2">
            <w:pPr>
              <w:bidi w:val="0"/>
              <w:jc w:val="center"/>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ליווי תהליך עבודת השדה, הכשרת המראיינים ובקרה על ביצוע איסוף הנתונים בשדה</w:t>
            </w:r>
          </w:p>
        </w:tc>
        <w:tc>
          <w:tcPr>
            <w:tcW w:w="0" w:type="auto"/>
          </w:tcPr>
          <w:p w:rsidR="007A12A2"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5</w:t>
            </w:r>
            <w:r w:rsidR="00302841">
              <w:rPr>
                <w:rFonts w:asciiTheme="majorHAnsi" w:hAnsiTheme="majorHAnsi" w:cstheme="majorHAnsi"/>
                <w:color w:val="1F4E79" w:themeColor="accent1" w:themeShade="80"/>
                <w:sz w:val="28"/>
                <w:szCs w:val="28"/>
              </w:rPr>
              <w:t xml:space="preserve">0,000 </w:t>
            </w:r>
          </w:p>
        </w:tc>
        <w:tc>
          <w:tcPr>
            <w:tcW w:w="0" w:type="auto"/>
          </w:tcPr>
          <w:p w:rsidR="007A12A2"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13,021</w:t>
            </w:r>
          </w:p>
        </w:tc>
      </w:tr>
      <w:tr w:rsidR="007A12A2" w:rsidRPr="00DC43C9" w:rsidTr="00302841">
        <w:tc>
          <w:tcPr>
            <w:tcW w:w="0" w:type="auto"/>
          </w:tcPr>
          <w:p w:rsidR="007A12A2" w:rsidRDefault="007A12A2" w:rsidP="007A12A2">
            <w:pPr>
              <w:bidi w:val="0"/>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איתור העובדים</w:t>
            </w:r>
          </w:p>
        </w:tc>
        <w:tc>
          <w:tcPr>
            <w:tcW w:w="0" w:type="auto"/>
          </w:tcPr>
          <w:p w:rsidR="007A12A2" w:rsidRPr="00DC43C9" w:rsidRDefault="007A12A2"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400 X 50 ISH</w:t>
            </w:r>
          </w:p>
        </w:tc>
        <w:tc>
          <w:tcPr>
            <w:tcW w:w="0" w:type="auto"/>
          </w:tcPr>
          <w:p w:rsidR="007A12A2"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25,000</w:t>
            </w:r>
            <w:r w:rsidR="007A12A2">
              <w:rPr>
                <w:rFonts w:asciiTheme="majorHAnsi" w:hAnsiTheme="majorHAnsi" w:cstheme="majorHAnsi"/>
                <w:color w:val="1F4E79" w:themeColor="accent1" w:themeShade="80"/>
                <w:sz w:val="28"/>
                <w:szCs w:val="28"/>
              </w:rPr>
              <w:t xml:space="preserve"> </w:t>
            </w:r>
          </w:p>
        </w:tc>
        <w:tc>
          <w:tcPr>
            <w:tcW w:w="0" w:type="auto"/>
          </w:tcPr>
          <w:p w:rsidR="007A12A2"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6,510</w:t>
            </w:r>
          </w:p>
        </w:tc>
      </w:tr>
      <w:tr w:rsidR="007A12A2" w:rsidRPr="00DC43C9" w:rsidTr="00302841">
        <w:tc>
          <w:tcPr>
            <w:tcW w:w="0" w:type="auto"/>
          </w:tcPr>
          <w:p w:rsidR="007A12A2" w:rsidRDefault="007A12A2" w:rsidP="007A12A2">
            <w:pPr>
              <w:bidi w:val="0"/>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מראיינים</w:t>
            </w:r>
          </w:p>
        </w:tc>
        <w:tc>
          <w:tcPr>
            <w:tcW w:w="0" w:type="auto"/>
          </w:tcPr>
          <w:p w:rsidR="007A12A2" w:rsidRPr="00DC43C9" w:rsidRDefault="007A12A2"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 xml:space="preserve">400 X </w:t>
            </w:r>
            <w:proofErr w:type="gramStart"/>
            <w:r>
              <w:rPr>
                <w:rFonts w:asciiTheme="majorHAnsi" w:hAnsiTheme="majorHAnsi" w:cstheme="majorHAnsi"/>
                <w:color w:val="1F4E79" w:themeColor="accent1" w:themeShade="80"/>
                <w:sz w:val="28"/>
                <w:szCs w:val="28"/>
              </w:rPr>
              <w:t>200  ISH</w:t>
            </w:r>
            <w:proofErr w:type="gramEnd"/>
          </w:p>
        </w:tc>
        <w:tc>
          <w:tcPr>
            <w:tcW w:w="0" w:type="auto"/>
          </w:tcPr>
          <w:p w:rsidR="007A12A2" w:rsidRPr="00DC43C9" w:rsidRDefault="00724AFF"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100,000</w:t>
            </w:r>
            <w:r w:rsidR="007A12A2">
              <w:rPr>
                <w:rFonts w:asciiTheme="majorHAnsi" w:hAnsiTheme="majorHAnsi" w:cstheme="majorHAnsi"/>
                <w:color w:val="1F4E79" w:themeColor="accent1" w:themeShade="80"/>
                <w:sz w:val="28"/>
                <w:szCs w:val="28"/>
              </w:rPr>
              <w:t xml:space="preserve"> </w:t>
            </w:r>
          </w:p>
        </w:tc>
        <w:tc>
          <w:tcPr>
            <w:tcW w:w="0" w:type="auto"/>
          </w:tcPr>
          <w:p w:rsidR="007A12A2" w:rsidRPr="00DC43C9" w:rsidRDefault="00724AFF" w:rsidP="007A12A2">
            <w:pPr>
              <w:bidi w:val="0"/>
              <w:jc w:val="center"/>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26,042</w:t>
            </w:r>
          </w:p>
        </w:tc>
      </w:tr>
      <w:tr w:rsidR="007A12A2" w:rsidRPr="00DC43C9" w:rsidTr="00302841">
        <w:tc>
          <w:tcPr>
            <w:tcW w:w="0" w:type="auto"/>
          </w:tcPr>
          <w:p w:rsidR="00302841" w:rsidRDefault="00302841" w:rsidP="00302841">
            <w:pPr>
              <w:bidi w:val="0"/>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עוזר מחקר</w:t>
            </w:r>
          </w:p>
        </w:tc>
        <w:tc>
          <w:tcPr>
            <w:tcW w:w="0" w:type="auto"/>
          </w:tcPr>
          <w:p w:rsidR="007A12A2" w:rsidRDefault="00302841" w:rsidP="007A12A2">
            <w:pPr>
              <w:bidi w:val="0"/>
              <w:jc w:val="center"/>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עיבוד נתונים סטטיסטיים</w:t>
            </w:r>
          </w:p>
        </w:tc>
        <w:tc>
          <w:tcPr>
            <w:tcW w:w="0" w:type="auto"/>
          </w:tcPr>
          <w:p w:rsidR="007A12A2" w:rsidRDefault="00772E18" w:rsidP="007A12A2">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30</w:t>
            </w:r>
            <w:r w:rsidR="00AC1F6A">
              <w:rPr>
                <w:rFonts w:asciiTheme="majorHAnsi" w:hAnsiTheme="majorHAnsi" w:cstheme="majorHAnsi"/>
                <w:color w:val="1F4E79" w:themeColor="accent1" w:themeShade="80"/>
                <w:sz w:val="28"/>
                <w:szCs w:val="28"/>
              </w:rPr>
              <w:t xml:space="preserve">,000 </w:t>
            </w:r>
          </w:p>
        </w:tc>
        <w:tc>
          <w:tcPr>
            <w:tcW w:w="0" w:type="auto"/>
          </w:tcPr>
          <w:p w:rsidR="007A12A2" w:rsidRDefault="00772E18" w:rsidP="007A12A2">
            <w:pPr>
              <w:bidi w:val="0"/>
              <w:jc w:val="center"/>
              <w:rPr>
                <w:rFonts w:asciiTheme="majorHAnsi" w:hAnsiTheme="majorHAnsi" w:cstheme="majorHAnsi" w:hint="cs"/>
                <w:color w:val="1F4E79" w:themeColor="accent1" w:themeShade="80"/>
                <w:sz w:val="28"/>
                <w:szCs w:val="28"/>
                <w:rtl/>
              </w:rPr>
            </w:pPr>
            <w:r>
              <w:rPr>
                <w:rFonts w:asciiTheme="majorHAnsi" w:hAnsiTheme="majorHAnsi" w:cstheme="majorHAnsi"/>
                <w:color w:val="1F4E79" w:themeColor="accent1" w:themeShade="80"/>
                <w:sz w:val="28"/>
                <w:szCs w:val="28"/>
              </w:rPr>
              <w:t>7,813</w:t>
            </w:r>
          </w:p>
        </w:tc>
      </w:tr>
      <w:tr w:rsidR="00302841" w:rsidRPr="00DC43C9" w:rsidTr="00302841">
        <w:tc>
          <w:tcPr>
            <w:tcW w:w="0" w:type="auto"/>
          </w:tcPr>
          <w:p w:rsidR="00302841" w:rsidRDefault="00302841" w:rsidP="00302841">
            <w:pPr>
              <w:bidi w:val="0"/>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עוזר מחקר</w:t>
            </w:r>
          </w:p>
        </w:tc>
        <w:tc>
          <w:tcPr>
            <w:tcW w:w="0" w:type="auto"/>
          </w:tcPr>
          <w:p w:rsidR="00302841" w:rsidRDefault="00302841" w:rsidP="00302841">
            <w:pPr>
              <w:bidi w:val="0"/>
              <w:jc w:val="center"/>
              <w:rPr>
                <w:rFonts w:asciiTheme="majorHAnsi" w:hAnsiTheme="majorHAnsi" w:cstheme="majorHAnsi" w:hint="cs"/>
                <w:color w:val="1F4E79" w:themeColor="accent1" w:themeShade="80"/>
                <w:sz w:val="28"/>
                <w:szCs w:val="28"/>
                <w:rtl/>
              </w:rPr>
            </w:pPr>
            <w:r>
              <w:rPr>
                <w:rFonts w:asciiTheme="majorHAnsi" w:hAnsiTheme="majorHAnsi" w:cstheme="majorHAnsi" w:hint="cs"/>
                <w:color w:val="1F4E79" w:themeColor="accent1" w:themeShade="80"/>
                <w:sz w:val="28"/>
                <w:szCs w:val="28"/>
                <w:rtl/>
              </w:rPr>
              <w:t>הכנת לוחות נבחרים לקראת הצגת ממצאים ראשוניים ולשילוב בדוח המסכם</w:t>
            </w:r>
          </w:p>
        </w:tc>
        <w:tc>
          <w:tcPr>
            <w:tcW w:w="0" w:type="auto"/>
          </w:tcPr>
          <w:p w:rsidR="00302841" w:rsidRDefault="00772E18" w:rsidP="00302841">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30</w:t>
            </w:r>
            <w:r w:rsidR="00302841">
              <w:rPr>
                <w:rFonts w:asciiTheme="majorHAnsi" w:hAnsiTheme="majorHAnsi" w:cstheme="majorHAnsi"/>
                <w:color w:val="1F4E79" w:themeColor="accent1" w:themeShade="80"/>
                <w:sz w:val="28"/>
                <w:szCs w:val="28"/>
              </w:rPr>
              <w:t xml:space="preserve">,000 </w:t>
            </w:r>
          </w:p>
        </w:tc>
        <w:tc>
          <w:tcPr>
            <w:tcW w:w="0" w:type="auto"/>
          </w:tcPr>
          <w:p w:rsidR="00302841" w:rsidRDefault="00772E18" w:rsidP="00302841">
            <w:pPr>
              <w:bidi w:val="0"/>
              <w:jc w:val="center"/>
              <w:rPr>
                <w:rFonts w:asciiTheme="majorHAnsi" w:hAnsiTheme="majorHAnsi" w:cstheme="majorHAnsi" w:hint="cs"/>
                <w:color w:val="1F4E79" w:themeColor="accent1" w:themeShade="80"/>
                <w:sz w:val="28"/>
                <w:szCs w:val="28"/>
                <w:rtl/>
              </w:rPr>
            </w:pPr>
            <w:r>
              <w:rPr>
                <w:rFonts w:asciiTheme="majorHAnsi" w:hAnsiTheme="majorHAnsi" w:cstheme="majorHAnsi"/>
                <w:color w:val="1F4E79" w:themeColor="accent1" w:themeShade="80"/>
                <w:sz w:val="28"/>
                <w:szCs w:val="28"/>
              </w:rPr>
              <w:t>7,813</w:t>
            </w:r>
          </w:p>
        </w:tc>
      </w:tr>
      <w:tr w:rsidR="00772E18" w:rsidRPr="00DC43C9" w:rsidTr="00302841">
        <w:tc>
          <w:tcPr>
            <w:tcW w:w="0" w:type="auto"/>
          </w:tcPr>
          <w:p w:rsidR="00772E18" w:rsidRDefault="00772E18" w:rsidP="00302841">
            <w:pPr>
              <w:bidi w:val="0"/>
              <w:rPr>
                <w:rFonts w:asciiTheme="majorHAnsi" w:hAnsiTheme="majorHAnsi" w:cstheme="majorHAnsi" w:hint="cs"/>
                <w:color w:val="1F4E79" w:themeColor="accent1" w:themeShade="80"/>
                <w:sz w:val="28"/>
                <w:szCs w:val="28"/>
                <w:rtl/>
              </w:rPr>
            </w:pPr>
          </w:p>
        </w:tc>
        <w:tc>
          <w:tcPr>
            <w:tcW w:w="0" w:type="auto"/>
          </w:tcPr>
          <w:p w:rsidR="00772E18" w:rsidRDefault="00772E18" w:rsidP="00302841">
            <w:pPr>
              <w:bidi w:val="0"/>
              <w:jc w:val="center"/>
              <w:rPr>
                <w:rFonts w:asciiTheme="majorHAnsi" w:hAnsiTheme="majorHAnsi" w:cstheme="majorHAnsi" w:hint="cs"/>
                <w:color w:val="1F4E79" w:themeColor="accent1" w:themeShade="80"/>
                <w:sz w:val="28"/>
                <w:szCs w:val="28"/>
                <w:rtl/>
              </w:rPr>
            </w:pPr>
          </w:p>
        </w:tc>
        <w:tc>
          <w:tcPr>
            <w:tcW w:w="0" w:type="auto"/>
          </w:tcPr>
          <w:p w:rsidR="00772E18" w:rsidRDefault="00772E18" w:rsidP="00302841">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395,000</w:t>
            </w:r>
          </w:p>
        </w:tc>
        <w:tc>
          <w:tcPr>
            <w:tcW w:w="0" w:type="auto"/>
          </w:tcPr>
          <w:p w:rsidR="00772E18" w:rsidRDefault="00772E18" w:rsidP="00302841">
            <w:pPr>
              <w:bidi w:val="0"/>
              <w:jc w:val="center"/>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102,865</w:t>
            </w:r>
          </w:p>
        </w:tc>
      </w:tr>
    </w:tbl>
    <w:p w:rsidR="00C52EB9" w:rsidRPr="007A12A2" w:rsidRDefault="007A12A2" w:rsidP="007A12A2">
      <w:pPr>
        <w:bidi w:val="0"/>
        <w:spacing w:after="0" w:line="360" w:lineRule="auto"/>
        <w:jc w:val="right"/>
        <w:rPr>
          <w:rFonts w:ascii="David" w:hAnsi="David" w:cs="David" w:hint="cs"/>
          <w:color w:val="1F4E79" w:themeColor="accent1" w:themeShade="80"/>
          <w:sz w:val="24"/>
          <w:szCs w:val="24"/>
          <w:rtl/>
        </w:rPr>
      </w:pPr>
      <w:r>
        <w:rPr>
          <w:rFonts w:ascii="David" w:hAnsi="David" w:cs="David" w:hint="cs"/>
          <w:color w:val="1F4E79" w:themeColor="accent1" w:themeShade="80"/>
          <w:sz w:val="24"/>
          <w:szCs w:val="24"/>
          <w:rtl/>
        </w:rPr>
        <w:t xml:space="preserve">ערך הדולר חושב בגובה של 3.84 ₪ לדולר. </w:t>
      </w:r>
    </w:p>
    <w:p w:rsidR="00C36997" w:rsidRDefault="006932DB" w:rsidP="006932DB">
      <w:pPr>
        <w:spacing w:after="0" w:line="360" w:lineRule="auto"/>
        <w:jc w:val="both"/>
        <w:rPr>
          <w:rFonts w:ascii="David" w:hAnsi="David" w:cs="David" w:hint="cs"/>
          <w:color w:val="1F4E79" w:themeColor="accent1" w:themeShade="80"/>
          <w:sz w:val="24"/>
          <w:szCs w:val="24"/>
          <w:rtl/>
        </w:rPr>
      </w:pPr>
      <w:proofErr w:type="spellStart"/>
      <w:r>
        <w:rPr>
          <w:rFonts w:ascii="David" w:hAnsi="David" w:cs="David" w:hint="cs"/>
          <w:color w:val="1F4E79" w:themeColor="accent1" w:themeShade="80"/>
          <w:sz w:val="24"/>
          <w:szCs w:val="24"/>
          <w:rtl/>
        </w:rPr>
        <w:t>המינהל</w:t>
      </w:r>
      <w:proofErr w:type="spellEnd"/>
      <w:r>
        <w:rPr>
          <w:rFonts w:ascii="David" w:hAnsi="David" w:cs="David" w:hint="cs"/>
          <w:color w:val="1F4E79" w:themeColor="accent1" w:themeShade="80"/>
          <w:sz w:val="24"/>
          <w:szCs w:val="24"/>
          <w:rtl/>
        </w:rPr>
        <w:t xml:space="preserve"> מקבל על עצמו לממן 15% מעלות המחקר.</w:t>
      </w:r>
    </w:p>
    <w:p w:rsidR="006932DB" w:rsidRPr="006932DB" w:rsidRDefault="006932DB" w:rsidP="006932DB">
      <w:pPr>
        <w:spacing w:after="0" w:line="360" w:lineRule="auto"/>
        <w:jc w:val="both"/>
        <w:rPr>
          <w:rFonts w:ascii="David" w:hAnsi="David" w:cs="David"/>
          <w:color w:val="1F4E79" w:themeColor="accent1" w:themeShade="80"/>
          <w:sz w:val="24"/>
          <w:szCs w:val="24"/>
        </w:rPr>
      </w:pPr>
      <w:bookmarkStart w:id="0" w:name="_GoBack"/>
      <w:bookmarkEnd w:id="0"/>
    </w:p>
    <w:p w:rsidR="00C52EB9" w:rsidRDefault="00C52EB9" w:rsidP="00127032">
      <w:pPr>
        <w:bidi w:val="0"/>
        <w:spacing w:after="0" w:line="360" w:lineRule="auto"/>
        <w:jc w:val="both"/>
        <w:rPr>
          <w:rFonts w:ascii="Verdana" w:hAnsi="Verdana"/>
          <w:b/>
          <w:bCs/>
          <w:color w:val="1F4E79" w:themeColor="accent1" w:themeShade="80"/>
          <w:sz w:val="28"/>
          <w:szCs w:val="28"/>
        </w:rPr>
      </w:pPr>
      <w:r>
        <w:rPr>
          <w:rFonts w:ascii="Verdana" w:hAnsi="Verdana"/>
          <w:b/>
          <w:bCs/>
          <w:color w:val="1F4E79" w:themeColor="accent1" w:themeShade="80"/>
          <w:sz w:val="28"/>
          <w:szCs w:val="28"/>
        </w:rPr>
        <w:t>Timetable including a Gantt chart</w:t>
      </w:r>
    </w:p>
    <w:p w:rsidR="009970F4" w:rsidRDefault="009970F4" w:rsidP="00127032">
      <w:pPr>
        <w:bidi w:val="0"/>
        <w:spacing w:after="0" w:line="360" w:lineRule="auto"/>
        <w:jc w:val="both"/>
        <w:rPr>
          <w:rFonts w:ascii="Verdana" w:hAnsi="Verdana"/>
          <w:color w:val="1F4E79" w:themeColor="accent1" w:themeShade="80"/>
          <w:sz w:val="28"/>
          <w:szCs w:val="28"/>
        </w:rPr>
      </w:pPr>
    </w:p>
    <w:p w:rsidR="009970F4" w:rsidRPr="009970F4" w:rsidRDefault="009970F4" w:rsidP="00127032">
      <w:pPr>
        <w:bidi w:val="0"/>
        <w:spacing w:after="0" w:line="360" w:lineRule="auto"/>
        <w:jc w:val="both"/>
        <w:rPr>
          <w:rFonts w:ascii="Verdana" w:hAnsi="Verdana"/>
          <w:color w:val="1F4E79" w:themeColor="accent1" w:themeShade="80"/>
          <w:sz w:val="28"/>
          <w:szCs w:val="28"/>
        </w:rPr>
      </w:pPr>
    </w:p>
    <w:p w:rsidR="00C52EB9" w:rsidRDefault="00045298" w:rsidP="00127032">
      <w:pPr>
        <w:bidi w:val="0"/>
        <w:spacing w:after="0" w:line="360" w:lineRule="auto"/>
        <w:jc w:val="both"/>
        <w:rPr>
          <w:rFonts w:ascii="Verdana" w:hAnsi="Verdana"/>
          <w:b/>
          <w:bCs/>
          <w:color w:val="1F4E79" w:themeColor="accent1" w:themeShade="80"/>
          <w:sz w:val="28"/>
          <w:szCs w:val="28"/>
        </w:rPr>
      </w:pPr>
      <w:r>
        <w:rPr>
          <w:rFonts w:ascii="Verdana" w:hAnsi="Verdana"/>
          <w:b/>
          <w:bCs/>
          <w:color w:val="1F4E79" w:themeColor="accent1" w:themeShade="80"/>
          <w:sz w:val="28"/>
          <w:szCs w:val="28"/>
        </w:rPr>
        <w:t>The operation organization</w:t>
      </w:r>
    </w:p>
    <w:p w:rsidR="00045298" w:rsidRDefault="00045298" w:rsidP="00D5775B">
      <w:pPr>
        <w:pStyle w:val="HTML"/>
        <w:shd w:val="clear" w:color="auto" w:fill="FFFFFF"/>
        <w:spacing w:line="360" w:lineRule="auto"/>
        <w:rPr>
          <w:rFonts w:ascii="Verdana" w:hAnsi="Verdana"/>
          <w:sz w:val="24"/>
          <w:szCs w:val="24"/>
        </w:rPr>
      </w:pPr>
      <w:r w:rsidRPr="00D5775B">
        <w:rPr>
          <w:rFonts w:ascii="Verdana" w:hAnsi="Verdana"/>
          <w:sz w:val="24"/>
          <w:szCs w:val="24"/>
        </w:rPr>
        <w:t xml:space="preserve">The Research and Development Unit at the Ministry of Economy works to promote research and development in Israel and to </w:t>
      </w:r>
      <w:r w:rsidRPr="00D5775B">
        <w:rPr>
          <w:rFonts w:ascii="Verdana" w:hAnsi="Verdana"/>
          <w:sz w:val="24"/>
          <w:szCs w:val="24"/>
        </w:rPr>
        <w:lastRenderedPageBreak/>
        <w:t xml:space="preserve">achieve economic objectives, efficiency and </w:t>
      </w:r>
      <w:r w:rsidRPr="00D5775B">
        <w:rPr>
          <w:rFonts w:ascii="Verdana" w:hAnsi="Verdana"/>
          <w:color w:val="212121"/>
          <w:sz w:val="24"/>
          <w:szCs w:val="24"/>
          <w:lang w:val="en"/>
        </w:rPr>
        <w:t>Efficiency and fairness of the Israeli labor market</w:t>
      </w:r>
      <w:r w:rsidR="00D5775B">
        <w:rPr>
          <w:rFonts w:ascii="Verdana" w:hAnsi="Verdana"/>
          <w:color w:val="212121"/>
          <w:sz w:val="24"/>
          <w:szCs w:val="24"/>
          <w:lang w:val="en"/>
        </w:rPr>
        <w:t xml:space="preserve">. </w:t>
      </w:r>
    </w:p>
    <w:p w:rsidR="00D5775B" w:rsidRPr="00D5775B" w:rsidRDefault="00D5775B" w:rsidP="00D5775B">
      <w:pPr>
        <w:pStyle w:val="HTML"/>
        <w:shd w:val="clear" w:color="auto" w:fill="FFFFFF"/>
        <w:bidi/>
        <w:spacing w:line="360" w:lineRule="auto"/>
        <w:rPr>
          <w:rFonts w:ascii="David" w:hAnsi="David" w:cs="David"/>
          <w:rtl/>
        </w:rPr>
      </w:pPr>
      <w:r>
        <w:rPr>
          <w:rFonts w:ascii="David" w:hAnsi="David" w:cs="David" w:hint="cs"/>
          <w:sz w:val="24"/>
          <w:szCs w:val="24"/>
          <w:rtl/>
        </w:rPr>
        <w:t xml:space="preserve">היחידה עוסקת במגוון רחב של סוגיות המעסיקות את המשק הישראלי, </w:t>
      </w:r>
      <w:r w:rsidRPr="00B7300F">
        <w:rPr>
          <w:rFonts w:ascii="David" w:hAnsi="David" w:cs="David" w:hint="cs"/>
          <w:sz w:val="24"/>
          <w:szCs w:val="24"/>
          <w:highlight w:val="yellow"/>
          <w:rtl/>
        </w:rPr>
        <w:t>כמו ...</w:t>
      </w:r>
    </w:p>
    <w:p w:rsidR="00045298" w:rsidRDefault="00045298" w:rsidP="00127032">
      <w:pPr>
        <w:bidi w:val="0"/>
        <w:spacing w:after="0" w:line="360" w:lineRule="auto"/>
        <w:jc w:val="both"/>
        <w:rPr>
          <w:rFonts w:ascii="Verdana" w:hAnsi="Verdana"/>
          <w:b/>
          <w:bCs/>
          <w:color w:val="1F4E79" w:themeColor="accent1" w:themeShade="80"/>
          <w:sz w:val="28"/>
          <w:szCs w:val="28"/>
        </w:rPr>
      </w:pPr>
    </w:p>
    <w:p w:rsidR="00045298" w:rsidRDefault="00045298" w:rsidP="00127032">
      <w:pPr>
        <w:bidi w:val="0"/>
        <w:spacing w:after="0" w:line="360" w:lineRule="auto"/>
        <w:jc w:val="both"/>
        <w:rPr>
          <w:rFonts w:ascii="Verdana" w:hAnsi="Verdana"/>
          <w:b/>
          <w:bCs/>
          <w:color w:val="1F4E79" w:themeColor="accent1" w:themeShade="80"/>
          <w:sz w:val="28"/>
          <w:szCs w:val="28"/>
        </w:rPr>
      </w:pPr>
    </w:p>
    <w:p w:rsidR="00C52EB9" w:rsidRDefault="00C52EB9" w:rsidP="00127032">
      <w:pPr>
        <w:bidi w:val="0"/>
        <w:spacing w:after="0" w:line="360" w:lineRule="auto"/>
        <w:jc w:val="both"/>
        <w:rPr>
          <w:rFonts w:ascii="Verdana" w:hAnsi="Verdana"/>
          <w:color w:val="1F4E79" w:themeColor="accent1" w:themeShade="80"/>
          <w:sz w:val="28"/>
          <w:szCs w:val="28"/>
        </w:rPr>
      </w:pPr>
      <w:r>
        <w:rPr>
          <w:rFonts w:ascii="Verdana" w:hAnsi="Verdana"/>
          <w:b/>
          <w:bCs/>
          <w:color w:val="1F4E79" w:themeColor="accent1" w:themeShade="80"/>
          <w:sz w:val="28"/>
          <w:szCs w:val="28"/>
        </w:rPr>
        <w:t xml:space="preserve">Researchers' CVs, </w:t>
      </w:r>
      <w:r>
        <w:rPr>
          <w:rFonts w:ascii="Verdana" w:hAnsi="Verdana"/>
          <w:color w:val="1F4E79" w:themeColor="accent1" w:themeShade="80"/>
          <w:sz w:val="28"/>
          <w:szCs w:val="28"/>
        </w:rPr>
        <w:t>selected publications and other relevant information (about the Research &amp; Development Unit)</w:t>
      </w:r>
    </w:p>
    <w:p w:rsidR="00C52EB9" w:rsidRDefault="00C52EB9" w:rsidP="00127032">
      <w:pPr>
        <w:bidi w:val="0"/>
        <w:spacing w:after="0" w:line="360" w:lineRule="auto"/>
        <w:jc w:val="both"/>
        <w:rPr>
          <w:rFonts w:ascii="Verdana" w:hAnsi="Verdana"/>
          <w:color w:val="1F4E79" w:themeColor="accent1" w:themeShade="80"/>
          <w:sz w:val="28"/>
          <w:szCs w:val="28"/>
        </w:rPr>
      </w:pPr>
    </w:p>
    <w:p w:rsidR="00577FD3" w:rsidRPr="009A4D37" w:rsidRDefault="009A4D37" w:rsidP="009A4D37">
      <w:pPr>
        <w:bidi w:val="0"/>
        <w:spacing w:after="0" w:line="360" w:lineRule="auto"/>
        <w:jc w:val="both"/>
        <w:rPr>
          <w:rFonts w:ascii="Verdana" w:hAnsi="Verdana" w:hint="cs"/>
          <w:b/>
          <w:bCs/>
          <w:color w:val="1F4E79" w:themeColor="accent1" w:themeShade="80"/>
          <w:sz w:val="28"/>
          <w:szCs w:val="28"/>
          <w:rtl/>
        </w:rPr>
      </w:pPr>
      <w:r w:rsidRPr="009A4D37">
        <w:rPr>
          <w:rFonts w:ascii="Verdana" w:hAnsi="Verdana"/>
          <w:b/>
          <w:bCs/>
          <w:color w:val="1F4E79" w:themeColor="accent1" w:themeShade="80"/>
          <w:sz w:val="28"/>
          <w:szCs w:val="28"/>
        </w:rPr>
        <w:t>Bibliography</w:t>
      </w:r>
    </w:p>
    <w:p w:rsidR="00FA22C6" w:rsidRDefault="00FA22C6" w:rsidP="00D95D59">
      <w:pPr>
        <w:spacing w:after="0" w:line="360" w:lineRule="auto"/>
        <w:ind w:firstLine="720"/>
        <w:jc w:val="both"/>
        <w:rPr>
          <w:rFonts w:ascii="David" w:hAnsi="David" w:cs="David"/>
          <w:sz w:val="24"/>
          <w:szCs w:val="24"/>
          <w:rtl/>
        </w:rPr>
      </w:pPr>
      <w:proofErr w:type="spellStart"/>
      <w:r>
        <w:rPr>
          <w:rFonts w:ascii="David" w:hAnsi="David" w:cs="David" w:hint="cs"/>
          <w:sz w:val="24"/>
          <w:szCs w:val="24"/>
          <w:rtl/>
        </w:rPr>
        <w:t>אברמס</w:t>
      </w:r>
      <w:proofErr w:type="spellEnd"/>
      <w:r>
        <w:rPr>
          <w:rFonts w:ascii="David" w:hAnsi="David" w:cs="David" w:hint="cs"/>
          <w:sz w:val="24"/>
          <w:szCs w:val="24"/>
          <w:rtl/>
        </w:rPr>
        <w:t xml:space="preserve">, מ' (2016). </w:t>
      </w:r>
      <w:r w:rsidRPr="00FA22C6">
        <w:rPr>
          <w:rFonts w:ascii="David" w:hAnsi="David" w:cs="David" w:hint="cs"/>
          <w:b/>
          <w:bCs/>
          <w:sz w:val="24"/>
          <w:szCs w:val="24"/>
          <w:rtl/>
        </w:rPr>
        <w:t>נתוני זרים בישראל, אוקטובר 2016</w:t>
      </w:r>
      <w:r>
        <w:rPr>
          <w:rFonts w:ascii="David" w:hAnsi="David" w:cs="David" w:hint="cs"/>
          <w:sz w:val="24"/>
          <w:szCs w:val="24"/>
          <w:rtl/>
        </w:rPr>
        <w:t xml:space="preserve">. ירושלים. האגף לתכנון מדיניות של רשות האוכלוסין וההגירה. </w:t>
      </w:r>
    </w:p>
    <w:p w:rsidR="00D95D59" w:rsidRDefault="00D57526" w:rsidP="00D95D59">
      <w:pPr>
        <w:spacing w:after="0" w:line="360" w:lineRule="auto"/>
        <w:ind w:firstLine="720"/>
        <w:jc w:val="both"/>
        <w:rPr>
          <w:rFonts w:ascii="David" w:hAnsi="David" w:cs="David"/>
          <w:sz w:val="24"/>
          <w:szCs w:val="24"/>
          <w:rtl/>
        </w:rPr>
      </w:pPr>
      <w:r>
        <w:rPr>
          <w:rFonts w:ascii="David" w:hAnsi="David" w:cs="David" w:hint="cs"/>
          <w:sz w:val="24"/>
          <w:szCs w:val="24"/>
          <w:rtl/>
        </w:rPr>
        <w:t xml:space="preserve">אפיר, י', </w:t>
      </w:r>
      <w:proofErr w:type="spellStart"/>
      <w:r>
        <w:rPr>
          <w:rFonts w:ascii="David" w:hAnsi="David" w:cs="David" w:hint="cs"/>
          <w:sz w:val="24"/>
          <w:szCs w:val="24"/>
          <w:rtl/>
        </w:rPr>
        <w:t>דסקל</w:t>
      </w:r>
      <w:proofErr w:type="spellEnd"/>
      <w:r>
        <w:rPr>
          <w:rFonts w:ascii="David" w:hAnsi="David" w:cs="David" w:hint="cs"/>
          <w:sz w:val="24"/>
          <w:szCs w:val="24"/>
          <w:rtl/>
        </w:rPr>
        <w:t xml:space="preserve">, ח', דרור, נ', </w:t>
      </w:r>
      <w:proofErr w:type="spellStart"/>
      <w:r>
        <w:rPr>
          <w:rFonts w:ascii="David" w:hAnsi="David" w:cs="David" w:hint="cs"/>
          <w:sz w:val="24"/>
          <w:szCs w:val="24"/>
          <w:rtl/>
        </w:rPr>
        <w:t>הולצמן</w:t>
      </w:r>
      <w:proofErr w:type="spellEnd"/>
      <w:r>
        <w:rPr>
          <w:rFonts w:ascii="David" w:hAnsi="David" w:cs="David" w:hint="cs"/>
          <w:sz w:val="24"/>
          <w:szCs w:val="24"/>
          <w:rtl/>
        </w:rPr>
        <w:t xml:space="preserve">, ב', </w:t>
      </w:r>
      <w:proofErr w:type="spellStart"/>
      <w:r>
        <w:rPr>
          <w:rFonts w:ascii="David" w:hAnsi="David" w:cs="David" w:hint="cs"/>
          <w:sz w:val="24"/>
          <w:szCs w:val="24"/>
          <w:rtl/>
        </w:rPr>
        <w:t>הירשפלד</w:t>
      </w:r>
      <w:proofErr w:type="spellEnd"/>
      <w:r>
        <w:rPr>
          <w:rFonts w:ascii="David" w:hAnsi="David" w:cs="David" w:hint="cs"/>
          <w:sz w:val="24"/>
          <w:szCs w:val="24"/>
          <w:rtl/>
        </w:rPr>
        <w:t xml:space="preserve">, א' וסולומון, ח' (2000). </w:t>
      </w:r>
      <w:r>
        <w:rPr>
          <w:rFonts w:ascii="David" w:hAnsi="David" w:cs="David" w:hint="cs"/>
          <w:b/>
          <w:bCs/>
          <w:sz w:val="24"/>
          <w:szCs w:val="24"/>
          <w:rtl/>
        </w:rPr>
        <w:t xml:space="preserve">עובדים זרים בתחום הסיעוד, נייר מטה. </w:t>
      </w:r>
      <w:r>
        <w:rPr>
          <w:rFonts w:ascii="David" w:hAnsi="David" w:cs="David" w:hint="cs"/>
          <w:sz w:val="24"/>
          <w:szCs w:val="24"/>
          <w:rtl/>
        </w:rPr>
        <w:t xml:space="preserve">משרד הרווחה: האגף למחקר תכנון והכשרה ומכון מנדל למנהיגות. </w:t>
      </w:r>
    </w:p>
    <w:p w:rsidR="00D95D59" w:rsidRDefault="00D95D59" w:rsidP="00936AFB">
      <w:pPr>
        <w:spacing w:after="0" w:line="360" w:lineRule="auto"/>
        <w:ind w:firstLine="720"/>
        <w:jc w:val="both"/>
        <w:rPr>
          <w:rFonts w:ascii="David" w:hAnsi="David" w:cs="David"/>
          <w:sz w:val="24"/>
          <w:szCs w:val="24"/>
          <w:rtl/>
        </w:rPr>
      </w:pPr>
      <w:r>
        <w:rPr>
          <w:rFonts w:ascii="David" w:hAnsi="David" w:cs="David" w:hint="cs"/>
          <w:sz w:val="24"/>
          <w:szCs w:val="24"/>
          <w:rtl/>
        </w:rPr>
        <w:t xml:space="preserve">חוק הביטוח הלאומי (נוסח משולב, תיקון מס' 92), 1995, 2007. </w:t>
      </w:r>
    </w:p>
    <w:p w:rsidR="00D95D59" w:rsidRPr="00D95D59" w:rsidRDefault="00D95D59" w:rsidP="00936AFB">
      <w:pPr>
        <w:spacing w:after="0" w:line="360" w:lineRule="auto"/>
        <w:ind w:firstLine="720"/>
        <w:jc w:val="both"/>
        <w:rPr>
          <w:rFonts w:ascii="David" w:hAnsi="David" w:cs="David"/>
          <w:sz w:val="24"/>
          <w:szCs w:val="24"/>
          <w:rtl/>
        </w:rPr>
      </w:pPr>
      <w:r>
        <w:rPr>
          <w:rFonts w:ascii="David" w:hAnsi="David" w:cs="David" w:hint="cs"/>
          <w:sz w:val="24"/>
          <w:szCs w:val="24"/>
          <w:rtl/>
        </w:rPr>
        <w:t xml:space="preserve">המוסד לביטוח לאומי, </w:t>
      </w:r>
      <w:r>
        <w:rPr>
          <w:rFonts w:ascii="David" w:hAnsi="David" w:cs="David" w:hint="cs"/>
          <w:b/>
          <w:bCs/>
          <w:sz w:val="24"/>
          <w:szCs w:val="24"/>
          <w:rtl/>
        </w:rPr>
        <w:t xml:space="preserve">גמלת סיעוד בכסף במקום שירותים למי שמעסיק מטפל צמוד </w:t>
      </w:r>
      <w:r>
        <w:rPr>
          <w:rFonts w:ascii="David" w:hAnsi="David" w:cs="David"/>
          <w:b/>
          <w:bCs/>
          <w:sz w:val="24"/>
          <w:szCs w:val="24"/>
          <w:rtl/>
        </w:rPr>
        <w:t>–</w:t>
      </w:r>
      <w:r>
        <w:rPr>
          <w:rFonts w:ascii="David" w:hAnsi="David" w:cs="David" w:hint="cs"/>
          <w:b/>
          <w:bCs/>
          <w:sz w:val="24"/>
          <w:szCs w:val="24"/>
          <w:rtl/>
        </w:rPr>
        <w:t xml:space="preserve"> תנאי הזכאות לקבלת גמלה בכסף. </w:t>
      </w:r>
      <w:r>
        <w:rPr>
          <w:rFonts w:ascii="David" w:hAnsi="David" w:cs="David" w:hint="cs"/>
          <w:sz w:val="24"/>
          <w:szCs w:val="24"/>
          <w:rtl/>
        </w:rPr>
        <w:t xml:space="preserve">נדלה בנובמבר 2016. </w:t>
      </w:r>
    </w:p>
    <w:p w:rsidR="00EC71AC" w:rsidRPr="00EC71AC" w:rsidRDefault="00EC71AC" w:rsidP="00936AFB">
      <w:pPr>
        <w:spacing w:after="0" w:line="360" w:lineRule="auto"/>
        <w:ind w:firstLine="720"/>
        <w:jc w:val="both"/>
        <w:rPr>
          <w:rFonts w:ascii="David" w:hAnsi="David" w:cs="David"/>
          <w:b/>
          <w:bCs/>
          <w:sz w:val="24"/>
          <w:szCs w:val="24"/>
          <w:rtl/>
        </w:rPr>
      </w:pPr>
      <w:proofErr w:type="spellStart"/>
      <w:r>
        <w:rPr>
          <w:rFonts w:ascii="David" w:hAnsi="David" w:cs="David" w:hint="cs"/>
          <w:sz w:val="24"/>
          <w:szCs w:val="24"/>
          <w:rtl/>
        </w:rPr>
        <w:t>זעירא</w:t>
      </w:r>
      <w:proofErr w:type="spellEnd"/>
      <w:r>
        <w:rPr>
          <w:rFonts w:ascii="David" w:hAnsi="David" w:cs="David" w:hint="cs"/>
          <w:sz w:val="24"/>
          <w:szCs w:val="24"/>
          <w:rtl/>
        </w:rPr>
        <w:t xml:space="preserve">, ג' ומשה, נ' (2015). </w:t>
      </w:r>
      <w:r>
        <w:rPr>
          <w:rFonts w:ascii="David" w:hAnsi="David" w:cs="David" w:hint="cs"/>
          <w:b/>
          <w:bCs/>
          <w:sz w:val="24"/>
          <w:szCs w:val="24"/>
          <w:rtl/>
        </w:rPr>
        <w:t xml:space="preserve">סוגיות בהעסקה של זרים בישראל. </w:t>
      </w:r>
      <w:r w:rsidRPr="00EC71AC">
        <w:rPr>
          <w:rFonts w:ascii="David" w:hAnsi="David" w:cs="David" w:hint="cs"/>
          <w:sz w:val="24"/>
          <w:szCs w:val="24"/>
          <w:rtl/>
        </w:rPr>
        <w:t xml:space="preserve">ירושלים: מרכז המחקר והמידע של הכנסת. </w:t>
      </w:r>
    </w:p>
    <w:p w:rsidR="002235C4" w:rsidRDefault="002235C4" w:rsidP="00936AFB">
      <w:pPr>
        <w:spacing w:after="0" w:line="360" w:lineRule="auto"/>
        <w:ind w:firstLine="720"/>
        <w:jc w:val="both"/>
        <w:rPr>
          <w:rFonts w:ascii="David" w:hAnsi="David" w:cs="David" w:hint="cs"/>
          <w:sz w:val="24"/>
          <w:szCs w:val="24"/>
          <w:rtl/>
        </w:rPr>
      </w:pPr>
      <w:r>
        <w:rPr>
          <w:rFonts w:ascii="David" w:hAnsi="David" w:cs="David" w:hint="cs"/>
          <w:sz w:val="24"/>
          <w:szCs w:val="24"/>
          <w:rtl/>
        </w:rPr>
        <w:t xml:space="preserve">כל זכות (2016). </w:t>
      </w:r>
      <w:r>
        <w:rPr>
          <w:rFonts w:ascii="David" w:hAnsi="David" w:cs="David" w:hint="cs"/>
          <w:b/>
          <w:bCs/>
          <w:sz w:val="24"/>
          <w:szCs w:val="24"/>
          <w:rtl/>
        </w:rPr>
        <w:t xml:space="preserve">העסקת עובד זר בסיעוד. </w:t>
      </w:r>
      <w:r>
        <w:rPr>
          <w:rFonts w:ascii="David" w:hAnsi="David" w:cs="David" w:hint="cs"/>
          <w:sz w:val="24"/>
          <w:szCs w:val="24"/>
          <w:rtl/>
        </w:rPr>
        <w:t>אתר 'כל זכות' (נובמבר 2016).</w:t>
      </w:r>
    </w:p>
    <w:p w:rsidR="002235C4" w:rsidRDefault="002235C4" w:rsidP="002235C4">
      <w:pPr>
        <w:spacing w:after="0" w:line="360" w:lineRule="auto"/>
        <w:ind w:firstLine="720"/>
        <w:jc w:val="both"/>
        <w:rPr>
          <w:rFonts w:ascii="David" w:hAnsi="David" w:cs="David"/>
          <w:sz w:val="24"/>
          <w:szCs w:val="24"/>
          <w:rtl/>
        </w:rPr>
      </w:pPr>
      <w:hyperlink r:id="rId6" w:history="1">
        <w:r w:rsidRPr="003B6953">
          <w:rPr>
            <w:rStyle w:val="Hyperlink"/>
            <w:rFonts w:ascii="David" w:hAnsi="David" w:cs="David"/>
            <w:sz w:val="24"/>
            <w:szCs w:val="24"/>
          </w:rPr>
          <w:t>http://www.kolzchut.org.il</w:t>
        </w:r>
      </w:hyperlink>
    </w:p>
    <w:p w:rsidR="009A4D37" w:rsidRPr="009A4D37" w:rsidRDefault="009A4D37" w:rsidP="002235C4">
      <w:pPr>
        <w:spacing w:after="0" w:line="360" w:lineRule="auto"/>
        <w:ind w:firstLine="720"/>
        <w:jc w:val="both"/>
        <w:rPr>
          <w:rFonts w:ascii="David" w:hAnsi="David" w:cs="David"/>
          <w:sz w:val="24"/>
          <w:szCs w:val="24"/>
          <w:rtl/>
        </w:rPr>
      </w:pPr>
      <w:r>
        <w:rPr>
          <w:rFonts w:ascii="David" w:hAnsi="David" w:cs="David" w:hint="cs"/>
          <w:sz w:val="24"/>
          <w:szCs w:val="24"/>
          <w:rtl/>
        </w:rPr>
        <w:t xml:space="preserve">מבקר המדינה, (2015). </w:t>
      </w:r>
      <w:r>
        <w:rPr>
          <w:rFonts w:ascii="David" w:hAnsi="David" w:cs="David" w:hint="cs"/>
          <w:b/>
          <w:bCs/>
          <w:sz w:val="24"/>
          <w:szCs w:val="24"/>
          <w:rtl/>
        </w:rPr>
        <w:t xml:space="preserve">דוח  שנתי 65ג' לשנת 2014 ולחשבונות שנת הכספים 2013. </w:t>
      </w:r>
      <w:r>
        <w:rPr>
          <w:rFonts w:ascii="David" w:hAnsi="David" w:cs="David" w:hint="cs"/>
          <w:sz w:val="24"/>
          <w:szCs w:val="24"/>
          <w:rtl/>
        </w:rPr>
        <w:t xml:space="preserve">ירושלים: משרד מבקר המדינה. </w:t>
      </w:r>
    </w:p>
    <w:p w:rsidR="00AD557A" w:rsidRPr="00AD557A" w:rsidRDefault="00AD557A" w:rsidP="002235C4">
      <w:pPr>
        <w:spacing w:after="0" w:line="360" w:lineRule="auto"/>
        <w:ind w:firstLine="720"/>
        <w:jc w:val="both"/>
        <w:rPr>
          <w:rFonts w:ascii="David" w:hAnsi="David" w:cs="David"/>
          <w:sz w:val="24"/>
          <w:szCs w:val="24"/>
          <w:rtl/>
        </w:rPr>
      </w:pPr>
      <w:proofErr w:type="spellStart"/>
      <w:r>
        <w:rPr>
          <w:rFonts w:ascii="David" w:hAnsi="David" w:cs="David" w:hint="cs"/>
          <w:sz w:val="24"/>
          <w:szCs w:val="24"/>
          <w:rtl/>
        </w:rPr>
        <w:t>מכטינגר</w:t>
      </w:r>
      <w:proofErr w:type="spellEnd"/>
      <w:r>
        <w:rPr>
          <w:rFonts w:ascii="David" w:hAnsi="David" w:cs="David" w:hint="cs"/>
          <w:sz w:val="24"/>
          <w:szCs w:val="24"/>
          <w:rtl/>
        </w:rPr>
        <w:t xml:space="preserve">, ר' (2010). </w:t>
      </w:r>
      <w:r>
        <w:rPr>
          <w:rFonts w:ascii="David" w:hAnsi="David" w:cs="David" w:hint="cs"/>
          <w:b/>
          <w:bCs/>
          <w:sz w:val="24"/>
          <w:szCs w:val="24"/>
          <w:rtl/>
        </w:rPr>
        <w:t xml:space="preserve">האוכלוסייה הקשישה בישראל: תמונת מצב, דילמות חברתיות ואתגרים במדיניות. </w:t>
      </w:r>
      <w:r>
        <w:rPr>
          <w:rFonts w:ascii="David" w:hAnsi="David" w:cs="David" w:hint="cs"/>
          <w:sz w:val="24"/>
          <w:szCs w:val="24"/>
          <w:rtl/>
        </w:rPr>
        <w:t xml:space="preserve">המרכז הבינתחומי, הרצליה: כנס הרצליה השנתי העשירי. </w:t>
      </w:r>
    </w:p>
    <w:p w:rsidR="001C5BDB" w:rsidRPr="001C5BDB" w:rsidRDefault="001C5BDB" w:rsidP="00936AFB">
      <w:pPr>
        <w:spacing w:after="0" w:line="360" w:lineRule="auto"/>
        <w:ind w:firstLine="720"/>
        <w:jc w:val="both"/>
        <w:rPr>
          <w:rFonts w:ascii="David" w:hAnsi="David" w:cs="David"/>
          <w:sz w:val="24"/>
          <w:szCs w:val="24"/>
          <w:rtl/>
        </w:rPr>
      </w:pPr>
      <w:r>
        <w:rPr>
          <w:rFonts w:ascii="David" w:hAnsi="David" w:cs="David" w:hint="cs"/>
          <w:sz w:val="24"/>
          <w:szCs w:val="24"/>
          <w:rtl/>
        </w:rPr>
        <w:t xml:space="preserve">משאב (2015). </w:t>
      </w:r>
      <w:r>
        <w:rPr>
          <w:rFonts w:ascii="David" w:hAnsi="David" w:cs="David" w:hint="cs"/>
          <w:b/>
          <w:bCs/>
          <w:sz w:val="24"/>
          <w:szCs w:val="24"/>
          <w:rtl/>
        </w:rPr>
        <w:t xml:space="preserve">הזקנים בישראל. עובדות ומספרים 2015. </w:t>
      </w:r>
      <w:r>
        <w:rPr>
          <w:rFonts w:ascii="David" w:hAnsi="David" w:cs="David" w:hint="cs"/>
          <w:sz w:val="24"/>
          <w:szCs w:val="24"/>
          <w:rtl/>
        </w:rPr>
        <w:t xml:space="preserve">ירושלים: ג'וינט ישראל, משאב </w:t>
      </w:r>
      <w:proofErr w:type="spellStart"/>
      <w:r>
        <w:rPr>
          <w:rFonts w:ascii="David" w:hAnsi="David" w:cs="David" w:hint="cs"/>
          <w:sz w:val="24"/>
          <w:szCs w:val="24"/>
          <w:rtl/>
        </w:rPr>
        <w:t>ומאיירס</w:t>
      </w:r>
      <w:proofErr w:type="spellEnd"/>
      <w:r>
        <w:rPr>
          <w:rFonts w:ascii="David" w:hAnsi="David" w:cs="David" w:hint="cs"/>
          <w:sz w:val="24"/>
          <w:szCs w:val="24"/>
          <w:rtl/>
        </w:rPr>
        <w:t xml:space="preserve">-ג'וינט מכון </w:t>
      </w:r>
      <w:proofErr w:type="spellStart"/>
      <w:r>
        <w:rPr>
          <w:rFonts w:ascii="David" w:hAnsi="David" w:cs="David" w:hint="cs"/>
          <w:sz w:val="24"/>
          <w:szCs w:val="24"/>
          <w:rtl/>
        </w:rPr>
        <w:t>ברוקדייל</w:t>
      </w:r>
      <w:proofErr w:type="spellEnd"/>
      <w:r>
        <w:rPr>
          <w:rFonts w:ascii="David" w:hAnsi="David" w:cs="David" w:hint="cs"/>
          <w:sz w:val="24"/>
          <w:szCs w:val="24"/>
          <w:rtl/>
        </w:rPr>
        <w:t xml:space="preserve">. </w:t>
      </w:r>
    </w:p>
    <w:p w:rsidR="009A1C22" w:rsidRDefault="009A1C22" w:rsidP="00936AFB">
      <w:pPr>
        <w:spacing w:after="0" w:line="360" w:lineRule="auto"/>
        <w:ind w:firstLine="720"/>
        <w:jc w:val="both"/>
        <w:rPr>
          <w:rFonts w:ascii="David" w:hAnsi="David" w:cs="David"/>
          <w:sz w:val="24"/>
          <w:szCs w:val="24"/>
          <w:rtl/>
        </w:rPr>
      </w:pPr>
      <w:r>
        <w:rPr>
          <w:rFonts w:ascii="David" w:hAnsi="David" w:cs="David" w:hint="cs"/>
          <w:sz w:val="24"/>
          <w:szCs w:val="24"/>
          <w:rtl/>
        </w:rPr>
        <w:t xml:space="preserve">משה, נ' (2013). </w:t>
      </w:r>
      <w:r w:rsidRPr="009A1C22">
        <w:rPr>
          <w:rFonts w:ascii="David" w:hAnsi="David" w:cs="David" w:hint="cs"/>
          <w:b/>
          <w:bCs/>
          <w:sz w:val="24"/>
          <w:szCs w:val="24"/>
          <w:rtl/>
        </w:rPr>
        <w:t xml:space="preserve">נתונים על עובדים זרים בסיעוד וממצאי התכנית הניסיונית למתן גמלאות סיעוד בכסף. </w:t>
      </w:r>
      <w:r>
        <w:rPr>
          <w:rFonts w:ascii="David" w:hAnsi="David" w:cs="David" w:hint="cs"/>
          <w:sz w:val="24"/>
          <w:szCs w:val="24"/>
          <w:rtl/>
        </w:rPr>
        <w:t xml:space="preserve">ירושלים: מרכז המחקר והמידע של הכנסת. </w:t>
      </w:r>
    </w:p>
    <w:p w:rsidR="00391FA1" w:rsidRPr="00391FA1" w:rsidRDefault="00391FA1" w:rsidP="00936AFB">
      <w:pPr>
        <w:spacing w:after="0" w:line="360" w:lineRule="auto"/>
        <w:ind w:firstLine="720"/>
        <w:jc w:val="both"/>
        <w:rPr>
          <w:rFonts w:ascii="David" w:hAnsi="David" w:cs="David"/>
          <w:sz w:val="24"/>
          <w:szCs w:val="24"/>
          <w:rtl/>
        </w:rPr>
      </w:pPr>
      <w:r>
        <w:rPr>
          <w:rFonts w:ascii="David" w:hAnsi="David" w:cs="David" w:hint="cs"/>
          <w:sz w:val="24"/>
          <w:szCs w:val="24"/>
          <w:rtl/>
        </w:rPr>
        <w:t xml:space="preserve">נתן, ג' (2010). </w:t>
      </w:r>
      <w:r>
        <w:rPr>
          <w:rFonts w:ascii="David" w:hAnsi="David" w:cs="David" w:hint="cs"/>
          <w:b/>
          <w:bCs/>
          <w:sz w:val="24"/>
          <w:szCs w:val="24"/>
          <w:rtl/>
        </w:rPr>
        <w:t xml:space="preserve">עלות העסקת עובד זר. </w:t>
      </w:r>
      <w:r>
        <w:rPr>
          <w:rFonts w:ascii="David" w:hAnsi="David" w:cs="David" w:hint="cs"/>
          <w:sz w:val="24"/>
          <w:szCs w:val="24"/>
          <w:rtl/>
        </w:rPr>
        <w:t xml:space="preserve">ירושלים: מרכז המחקר והמידע של הכנסת. </w:t>
      </w:r>
    </w:p>
    <w:p w:rsidR="006A5DAC" w:rsidRPr="006A5DAC" w:rsidRDefault="006A5DAC" w:rsidP="00936AFB">
      <w:pPr>
        <w:spacing w:after="0" w:line="360" w:lineRule="auto"/>
        <w:ind w:firstLine="720"/>
        <w:jc w:val="both"/>
        <w:rPr>
          <w:rFonts w:ascii="David" w:hAnsi="David" w:cs="David" w:hint="cs"/>
          <w:sz w:val="24"/>
          <w:szCs w:val="24"/>
          <w:rtl/>
        </w:rPr>
      </w:pPr>
      <w:proofErr w:type="spellStart"/>
      <w:r>
        <w:rPr>
          <w:rFonts w:ascii="David" w:hAnsi="David" w:cs="David" w:hint="cs"/>
          <w:sz w:val="24"/>
          <w:szCs w:val="24"/>
          <w:rtl/>
        </w:rPr>
        <w:t>סמיונוב</w:t>
      </w:r>
      <w:proofErr w:type="spellEnd"/>
      <w:r>
        <w:rPr>
          <w:rFonts w:ascii="David" w:hAnsi="David" w:cs="David" w:hint="cs"/>
          <w:sz w:val="24"/>
          <w:szCs w:val="24"/>
          <w:rtl/>
        </w:rPr>
        <w:t xml:space="preserve">, מ' </w:t>
      </w:r>
      <w:proofErr w:type="spellStart"/>
      <w:r>
        <w:rPr>
          <w:rFonts w:ascii="David" w:hAnsi="David" w:cs="David" w:hint="cs"/>
          <w:sz w:val="24"/>
          <w:szCs w:val="24"/>
          <w:rtl/>
        </w:rPr>
        <w:t>ולרנטל</w:t>
      </w:r>
      <w:proofErr w:type="spellEnd"/>
      <w:r>
        <w:rPr>
          <w:rFonts w:ascii="David" w:hAnsi="David" w:cs="David" w:hint="cs"/>
          <w:sz w:val="24"/>
          <w:szCs w:val="24"/>
          <w:rtl/>
        </w:rPr>
        <w:t xml:space="preserve">, ת' (2005). </w:t>
      </w:r>
      <w:r w:rsidRPr="006A5DAC">
        <w:rPr>
          <w:rFonts w:ascii="David" w:hAnsi="David" w:cs="David" w:hint="cs"/>
          <w:sz w:val="24"/>
          <w:szCs w:val="24"/>
          <w:rtl/>
        </w:rPr>
        <w:t>הגירת עובדים לישראל: מקורות ותוצאות. בתוך:</w:t>
      </w:r>
      <w:r>
        <w:rPr>
          <w:rFonts w:ascii="David" w:hAnsi="David" w:cs="David" w:hint="cs"/>
          <w:b/>
          <w:bCs/>
          <w:sz w:val="24"/>
          <w:szCs w:val="24"/>
          <w:rtl/>
        </w:rPr>
        <w:t xml:space="preserve"> </w:t>
      </w:r>
      <w:r w:rsidRPr="006A5DAC">
        <w:rPr>
          <w:rFonts w:ascii="David" w:hAnsi="David" w:cs="David"/>
          <w:sz w:val="24"/>
          <w:szCs w:val="24"/>
          <w:rtl/>
        </w:rPr>
        <w:t>א</w:t>
      </w:r>
      <w:r>
        <w:rPr>
          <w:rFonts w:ascii="David" w:hAnsi="David" w:cs="David" w:hint="cs"/>
          <w:sz w:val="24"/>
          <w:szCs w:val="24"/>
          <w:rtl/>
        </w:rPr>
        <w:t xml:space="preserve">' </w:t>
      </w:r>
      <w:r w:rsidRPr="006A5DAC">
        <w:rPr>
          <w:rFonts w:ascii="David" w:hAnsi="David" w:cs="David"/>
          <w:sz w:val="24"/>
          <w:szCs w:val="24"/>
          <w:rtl/>
        </w:rPr>
        <w:t>בראלי, ד</w:t>
      </w:r>
      <w:r>
        <w:rPr>
          <w:rFonts w:ascii="David" w:hAnsi="David" w:cs="David" w:hint="cs"/>
          <w:sz w:val="24"/>
          <w:szCs w:val="24"/>
          <w:rtl/>
        </w:rPr>
        <w:t>'</w:t>
      </w:r>
      <w:r w:rsidRPr="006A5DAC">
        <w:rPr>
          <w:rFonts w:ascii="David" w:hAnsi="David" w:cs="David"/>
          <w:sz w:val="24"/>
          <w:szCs w:val="24"/>
          <w:rtl/>
        </w:rPr>
        <w:t xml:space="preserve"> </w:t>
      </w:r>
      <w:proofErr w:type="spellStart"/>
      <w:r w:rsidRPr="006A5DAC">
        <w:rPr>
          <w:rFonts w:ascii="David" w:hAnsi="David" w:cs="David"/>
          <w:sz w:val="24"/>
          <w:szCs w:val="24"/>
          <w:rtl/>
        </w:rPr>
        <w:t>גוטוויין</w:t>
      </w:r>
      <w:proofErr w:type="spellEnd"/>
      <w:r w:rsidRPr="006A5DAC">
        <w:rPr>
          <w:rFonts w:ascii="David" w:hAnsi="David" w:cs="David"/>
          <w:sz w:val="24"/>
          <w:szCs w:val="24"/>
          <w:rtl/>
        </w:rPr>
        <w:t xml:space="preserve">, </w:t>
      </w:r>
      <w:r>
        <w:rPr>
          <w:rFonts w:ascii="David" w:hAnsi="David" w:cs="David" w:hint="cs"/>
          <w:sz w:val="24"/>
          <w:szCs w:val="24"/>
          <w:rtl/>
        </w:rPr>
        <w:t>ו</w:t>
      </w:r>
      <w:r w:rsidRPr="006A5DAC">
        <w:rPr>
          <w:rFonts w:ascii="David" w:hAnsi="David" w:cs="David"/>
          <w:sz w:val="24"/>
          <w:szCs w:val="24"/>
          <w:rtl/>
        </w:rPr>
        <w:t>ט</w:t>
      </w:r>
      <w:r>
        <w:rPr>
          <w:rFonts w:ascii="David" w:hAnsi="David" w:cs="David" w:hint="cs"/>
          <w:sz w:val="24"/>
          <w:szCs w:val="24"/>
          <w:rtl/>
        </w:rPr>
        <w:t xml:space="preserve">' </w:t>
      </w:r>
      <w:proofErr w:type="spellStart"/>
      <w:r w:rsidRPr="006A5DAC">
        <w:rPr>
          <w:rFonts w:ascii="David" w:hAnsi="David" w:cs="David"/>
          <w:sz w:val="24"/>
          <w:szCs w:val="24"/>
          <w:rtl/>
        </w:rPr>
        <w:t>פרילינג</w:t>
      </w:r>
      <w:proofErr w:type="spellEnd"/>
      <w:r>
        <w:rPr>
          <w:rFonts w:ascii="David" w:hAnsi="David" w:cs="David" w:hint="cs"/>
          <w:sz w:val="24"/>
          <w:szCs w:val="24"/>
          <w:rtl/>
        </w:rPr>
        <w:t xml:space="preserve"> (עורכים)</w:t>
      </w:r>
      <w:r w:rsidRPr="006A5DAC">
        <w:rPr>
          <w:rFonts w:ascii="David" w:hAnsi="David" w:cs="David"/>
          <w:sz w:val="24"/>
          <w:szCs w:val="24"/>
          <w:rtl/>
        </w:rPr>
        <w:t>.</w:t>
      </w:r>
      <w:r>
        <w:rPr>
          <w:rFonts w:ascii="David" w:hAnsi="David" w:cs="David" w:hint="cs"/>
          <w:sz w:val="24"/>
          <w:szCs w:val="24"/>
          <w:rtl/>
        </w:rPr>
        <w:t xml:space="preserve"> </w:t>
      </w:r>
      <w:r w:rsidRPr="006A5DAC">
        <w:rPr>
          <w:rFonts w:ascii="David" w:hAnsi="David" w:cs="David"/>
          <w:b/>
          <w:bCs/>
          <w:sz w:val="24"/>
          <w:szCs w:val="24"/>
          <w:rtl/>
        </w:rPr>
        <w:t>חברה וכלכלה בישראל; מבט היסטורי ועכשווי</w:t>
      </w:r>
      <w:r w:rsidRPr="006A5DAC">
        <w:rPr>
          <w:rFonts w:ascii="David" w:hAnsi="David" w:cs="David"/>
          <w:sz w:val="24"/>
          <w:szCs w:val="24"/>
          <w:rtl/>
        </w:rPr>
        <w:t xml:space="preserve">. </w:t>
      </w:r>
      <w:r>
        <w:rPr>
          <w:rFonts w:ascii="David" w:hAnsi="David" w:cs="David" w:hint="cs"/>
          <w:sz w:val="24"/>
          <w:szCs w:val="24"/>
          <w:rtl/>
        </w:rPr>
        <w:t>א' (עמ' 231-217)</w:t>
      </w:r>
      <w:r w:rsidRPr="006A5DAC">
        <w:rPr>
          <w:rFonts w:ascii="David" w:hAnsi="David" w:cs="David"/>
          <w:sz w:val="24"/>
          <w:szCs w:val="24"/>
          <w:rtl/>
        </w:rPr>
        <w:t>.  ירושלים: יד יצחק בן-צבי; שדה בוקר:</w:t>
      </w:r>
      <w:r>
        <w:rPr>
          <w:rFonts w:ascii="David" w:hAnsi="David" w:cs="David"/>
          <w:sz w:val="24"/>
          <w:szCs w:val="24"/>
          <w:rtl/>
        </w:rPr>
        <w:t xml:space="preserve"> מכון בן-גוריון לחקר ישראל</w:t>
      </w:r>
      <w:r>
        <w:rPr>
          <w:rFonts w:ascii="David" w:hAnsi="David" w:cs="David" w:hint="cs"/>
          <w:sz w:val="24"/>
          <w:szCs w:val="24"/>
          <w:rtl/>
        </w:rPr>
        <w:t xml:space="preserve">. </w:t>
      </w:r>
    </w:p>
    <w:p w:rsidR="00EC71AC" w:rsidRPr="00EC71AC" w:rsidRDefault="00EC71AC" w:rsidP="00936AFB">
      <w:pPr>
        <w:spacing w:after="0" w:line="360" w:lineRule="auto"/>
        <w:ind w:firstLine="720"/>
        <w:jc w:val="both"/>
        <w:rPr>
          <w:rFonts w:ascii="David" w:hAnsi="David" w:cs="David"/>
          <w:sz w:val="24"/>
          <w:szCs w:val="24"/>
          <w:rtl/>
        </w:rPr>
      </w:pPr>
      <w:r>
        <w:rPr>
          <w:rFonts w:ascii="David" w:hAnsi="David" w:cs="David" w:hint="cs"/>
          <w:sz w:val="24"/>
          <w:szCs w:val="24"/>
          <w:rtl/>
        </w:rPr>
        <w:t xml:space="preserve">רייכמן, ר' (2009). הגירה לישראל: מיפוי מגמות ומחקרים אמפיריים 1990 </w:t>
      </w:r>
      <w:r>
        <w:rPr>
          <w:rFonts w:ascii="David" w:hAnsi="David" w:cs="David"/>
          <w:sz w:val="24"/>
          <w:szCs w:val="24"/>
          <w:rtl/>
        </w:rPr>
        <w:t>–</w:t>
      </w:r>
      <w:r>
        <w:rPr>
          <w:rFonts w:ascii="David" w:hAnsi="David" w:cs="David" w:hint="cs"/>
          <w:sz w:val="24"/>
          <w:szCs w:val="24"/>
          <w:rtl/>
        </w:rPr>
        <w:t xml:space="preserve"> 2006. </w:t>
      </w:r>
      <w:r>
        <w:rPr>
          <w:rFonts w:ascii="David" w:hAnsi="David" w:cs="David" w:hint="cs"/>
          <w:b/>
          <w:bCs/>
          <w:sz w:val="24"/>
          <w:szCs w:val="24"/>
          <w:rtl/>
        </w:rPr>
        <w:t xml:space="preserve">סוציולוגיה ישראלית, </w:t>
      </w:r>
      <w:r>
        <w:rPr>
          <w:rFonts w:ascii="David" w:hAnsi="David" w:cs="David" w:hint="cs"/>
          <w:sz w:val="24"/>
          <w:szCs w:val="24"/>
          <w:rtl/>
        </w:rPr>
        <w:t xml:space="preserve">י' (2), 379-339. </w:t>
      </w:r>
    </w:p>
    <w:p w:rsidR="002235C4" w:rsidRDefault="002235C4" w:rsidP="00936AFB">
      <w:pPr>
        <w:spacing w:after="0" w:line="360" w:lineRule="auto"/>
        <w:ind w:firstLine="720"/>
        <w:jc w:val="both"/>
        <w:rPr>
          <w:rFonts w:ascii="David" w:hAnsi="David" w:cs="David" w:hint="cs"/>
          <w:sz w:val="24"/>
          <w:szCs w:val="24"/>
          <w:rtl/>
        </w:rPr>
      </w:pPr>
      <w:r>
        <w:rPr>
          <w:rFonts w:ascii="David" w:hAnsi="David" w:cs="David" w:hint="cs"/>
          <w:sz w:val="24"/>
          <w:szCs w:val="24"/>
          <w:rtl/>
        </w:rPr>
        <w:lastRenderedPageBreak/>
        <w:t xml:space="preserve">רשות האוכלוסין וההגירה, (2016). </w:t>
      </w:r>
      <w:r>
        <w:rPr>
          <w:rFonts w:ascii="David" w:hAnsi="David" w:cs="David" w:hint="cs"/>
          <w:b/>
          <w:bCs/>
          <w:sz w:val="24"/>
          <w:szCs w:val="24"/>
          <w:rtl/>
        </w:rPr>
        <w:t xml:space="preserve">מדריך להעסקת עובדים זרים, ענף הסיעוד. </w:t>
      </w:r>
      <w:r>
        <w:rPr>
          <w:rFonts w:ascii="David" w:hAnsi="David" w:cs="David" w:hint="cs"/>
          <w:sz w:val="24"/>
          <w:szCs w:val="24"/>
          <w:rtl/>
        </w:rPr>
        <w:t xml:space="preserve">אתר הרשות (נובמבר 2016) </w:t>
      </w:r>
    </w:p>
    <w:p w:rsidR="002235C4" w:rsidRDefault="002235C4" w:rsidP="002235C4">
      <w:pPr>
        <w:bidi w:val="0"/>
        <w:spacing w:after="0" w:line="360" w:lineRule="auto"/>
        <w:jc w:val="both"/>
        <w:rPr>
          <w:rFonts w:ascii="David" w:hAnsi="David" w:cs="David"/>
          <w:sz w:val="24"/>
          <w:szCs w:val="24"/>
        </w:rPr>
      </w:pPr>
      <w:hyperlink r:id="rId7" w:history="1">
        <w:r w:rsidRPr="003B6953">
          <w:rPr>
            <w:rStyle w:val="Hyperlink"/>
            <w:rFonts w:ascii="David" w:hAnsi="David" w:cs="David"/>
            <w:sz w:val="24"/>
            <w:szCs w:val="24"/>
          </w:rPr>
          <w:t>http://oldgov.gov.il/FirstGov/TopNav/Situations/SPopulationsGuides/SHiringForeignWorkers/SFWDifferentJobs/</w:t>
        </w:r>
      </w:hyperlink>
    </w:p>
    <w:p w:rsidR="002235C4" w:rsidRDefault="00936AFB" w:rsidP="002235C4">
      <w:pPr>
        <w:spacing w:after="0" w:line="360" w:lineRule="auto"/>
        <w:ind w:firstLine="720"/>
        <w:jc w:val="both"/>
        <w:rPr>
          <w:rFonts w:ascii="David" w:hAnsi="David" w:cs="David"/>
          <w:sz w:val="24"/>
          <w:szCs w:val="24"/>
          <w:rtl/>
        </w:rPr>
      </w:pPr>
      <w:r>
        <w:rPr>
          <w:rFonts w:ascii="David" w:hAnsi="David" w:cs="David" w:hint="cs"/>
          <w:sz w:val="24"/>
          <w:szCs w:val="24"/>
          <w:rtl/>
        </w:rPr>
        <w:t xml:space="preserve">רשות האוכלוסין וההגירה, </w:t>
      </w:r>
      <w:r>
        <w:rPr>
          <w:rFonts w:ascii="David" w:hAnsi="David" w:cs="David" w:hint="cs"/>
          <w:b/>
          <w:bCs/>
          <w:sz w:val="24"/>
          <w:szCs w:val="24"/>
          <w:rtl/>
        </w:rPr>
        <w:t xml:space="preserve">נוהל הזמנת עובד זר בתחום הסיעוד, </w:t>
      </w:r>
      <w:r>
        <w:rPr>
          <w:rFonts w:ascii="David" w:hAnsi="David" w:cs="David" w:hint="cs"/>
          <w:sz w:val="24"/>
          <w:szCs w:val="24"/>
          <w:rtl/>
        </w:rPr>
        <w:t xml:space="preserve">עודכן באוקטובר 2010. </w:t>
      </w:r>
    </w:p>
    <w:p w:rsidR="00145A53" w:rsidRPr="00145A53" w:rsidRDefault="00145A53" w:rsidP="002235C4">
      <w:pPr>
        <w:spacing w:after="0" w:line="360" w:lineRule="auto"/>
        <w:ind w:firstLine="720"/>
        <w:jc w:val="both"/>
        <w:rPr>
          <w:rFonts w:ascii="David" w:hAnsi="David" w:cs="David" w:hint="cs"/>
          <w:sz w:val="24"/>
          <w:szCs w:val="24"/>
          <w:rtl/>
        </w:rPr>
      </w:pPr>
      <w:r>
        <w:rPr>
          <w:rFonts w:ascii="David" w:hAnsi="David" w:cs="David" w:hint="cs"/>
          <w:sz w:val="24"/>
          <w:szCs w:val="24"/>
          <w:rtl/>
        </w:rPr>
        <w:t>רשות האוכלוסין וההגירה והמרכז הבינלאומי להגירה וקליטה (</w:t>
      </w:r>
      <w:r>
        <w:rPr>
          <w:rFonts w:ascii="David" w:hAnsi="David" w:cs="David"/>
          <w:sz w:val="24"/>
          <w:szCs w:val="24"/>
        </w:rPr>
        <w:t>(CIMI</w:t>
      </w:r>
      <w:r>
        <w:rPr>
          <w:rFonts w:ascii="David" w:hAnsi="David" w:cs="David" w:hint="cs"/>
          <w:sz w:val="24"/>
          <w:szCs w:val="24"/>
          <w:rtl/>
        </w:rPr>
        <w:t xml:space="preserve">. (2016). </w:t>
      </w:r>
      <w:r>
        <w:rPr>
          <w:rFonts w:ascii="David" w:hAnsi="David" w:cs="David" w:hint="cs"/>
          <w:b/>
          <w:bCs/>
          <w:sz w:val="24"/>
          <w:szCs w:val="24"/>
          <w:rtl/>
        </w:rPr>
        <w:t xml:space="preserve">עובדים זרים בישראל. </w:t>
      </w:r>
      <w:r>
        <w:rPr>
          <w:rFonts w:ascii="David" w:hAnsi="David" w:cs="David" w:hint="cs"/>
          <w:sz w:val="24"/>
          <w:szCs w:val="24"/>
          <w:rtl/>
        </w:rPr>
        <w:t xml:space="preserve">פרויקט בשיתוף האיחוד האירופי. </w:t>
      </w:r>
    </w:p>
    <w:p w:rsidR="002235C4" w:rsidRDefault="002235C4" w:rsidP="002235C4">
      <w:pPr>
        <w:spacing w:after="0" w:line="360" w:lineRule="auto"/>
        <w:ind w:firstLine="720"/>
        <w:jc w:val="both"/>
        <w:rPr>
          <w:rFonts w:ascii="David" w:hAnsi="David" w:cs="David"/>
          <w:sz w:val="24"/>
          <w:szCs w:val="24"/>
          <w:rtl/>
        </w:rPr>
      </w:pPr>
      <w:r>
        <w:rPr>
          <w:rFonts w:ascii="David" w:hAnsi="David" w:cs="David" w:hint="cs"/>
          <w:sz w:val="24"/>
          <w:szCs w:val="24"/>
          <w:rtl/>
        </w:rPr>
        <w:t xml:space="preserve">רשות האוכלוסין וההגירה, </w:t>
      </w:r>
      <w:r>
        <w:rPr>
          <w:rFonts w:ascii="David" w:hAnsi="David" w:cs="David" w:hint="cs"/>
          <w:b/>
          <w:bCs/>
          <w:sz w:val="24"/>
          <w:szCs w:val="24"/>
          <w:rtl/>
        </w:rPr>
        <w:t xml:space="preserve">קריטריונים למתן היתר להעסקת עובד זר בענף הסיעוד. </w:t>
      </w:r>
      <w:r>
        <w:rPr>
          <w:rFonts w:ascii="David" w:hAnsi="David" w:cs="David" w:hint="cs"/>
          <w:sz w:val="24"/>
          <w:szCs w:val="24"/>
          <w:rtl/>
        </w:rPr>
        <w:t xml:space="preserve">נדלה בנובמבר 2016. </w:t>
      </w:r>
    </w:p>
    <w:p w:rsidR="002235C4" w:rsidRDefault="00C71EF0" w:rsidP="00C71EF0">
      <w:pPr>
        <w:bidi w:val="0"/>
        <w:spacing w:after="0" w:line="360" w:lineRule="auto"/>
        <w:jc w:val="both"/>
        <w:rPr>
          <w:rFonts w:ascii="David" w:hAnsi="David" w:cs="David"/>
          <w:sz w:val="24"/>
          <w:szCs w:val="24"/>
        </w:rPr>
      </w:pPr>
      <w:hyperlink r:id="rId8" w:history="1">
        <w:r w:rsidRPr="003B6953">
          <w:rPr>
            <w:rStyle w:val="Hyperlink"/>
            <w:rFonts w:ascii="David" w:hAnsi="David" w:cs="David"/>
            <w:sz w:val="24"/>
            <w:szCs w:val="24"/>
          </w:rPr>
          <w:t>https://www.gov.il/he/Subjects/labor_and_employment/foreign_workers_in_nursing</w:t>
        </w:r>
      </w:hyperlink>
    </w:p>
    <w:p w:rsidR="00C120B1" w:rsidRDefault="00C120B1" w:rsidP="00936AFB">
      <w:pPr>
        <w:spacing w:after="0" w:line="360" w:lineRule="auto"/>
        <w:ind w:firstLine="720"/>
        <w:jc w:val="both"/>
        <w:rPr>
          <w:rFonts w:ascii="David" w:hAnsi="David" w:cs="David" w:hint="cs"/>
          <w:sz w:val="24"/>
          <w:szCs w:val="24"/>
          <w:rtl/>
        </w:rPr>
      </w:pPr>
      <w:r>
        <w:rPr>
          <w:rFonts w:ascii="David" w:hAnsi="David" w:cs="David" w:hint="cs"/>
          <w:sz w:val="24"/>
          <w:szCs w:val="24"/>
          <w:rtl/>
        </w:rPr>
        <w:t xml:space="preserve">שושני, ש' (2014). </w:t>
      </w:r>
      <w:r>
        <w:rPr>
          <w:rFonts w:ascii="David" w:hAnsi="David" w:cs="David" w:hint="cs"/>
          <w:b/>
          <w:bCs/>
          <w:sz w:val="24"/>
          <w:szCs w:val="24"/>
          <w:rtl/>
        </w:rPr>
        <w:t xml:space="preserve">ועדה לבחינת סוגיית העובדים הזרים בענף הסיעוד: הבאה, תיווך וטיפול. </w:t>
      </w:r>
      <w:r>
        <w:rPr>
          <w:rFonts w:ascii="David" w:hAnsi="David" w:cs="David" w:hint="cs"/>
          <w:sz w:val="24"/>
          <w:szCs w:val="24"/>
          <w:rtl/>
        </w:rPr>
        <w:t xml:space="preserve">ירושלים: </w:t>
      </w:r>
      <w:proofErr w:type="spellStart"/>
      <w:r w:rsidR="0017483D">
        <w:rPr>
          <w:rFonts w:ascii="David" w:hAnsi="David" w:cs="David" w:hint="cs"/>
          <w:sz w:val="24"/>
          <w:szCs w:val="24"/>
          <w:rtl/>
        </w:rPr>
        <w:t>מאיירס</w:t>
      </w:r>
      <w:proofErr w:type="spellEnd"/>
      <w:r w:rsidR="0017483D">
        <w:rPr>
          <w:rFonts w:ascii="David" w:hAnsi="David" w:cs="David" w:hint="cs"/>
          <w:sz w:val="24"/>
          <w:szCs w:val="24"/>
          <w:rtl/>
        </w:rPr>
        <w:t xml:space="preserve">-ג'וינט מכון </w:t>
      </w:r>
      <w:proofErr w:type="spellStart"/>
      <w:r w:rsidR="0017483D">
        <w:rPr>
          <w:rFonts w:ascii="David" w:hAnsi="David" w:cs="David" w:hint="cs"/>
          <w:sz w:val="24"/>
          <w:szCs w:val="24"/>
          <w:rtl/>
        </w:rPr>
        <w:t>ברוקדייל</w:t>
      </w:r>
      <w:proofErr w:type="spellEnd"/>
      <w:r w:rsidR="0017483D">
        <w:rPr>
          <w:rFonts w:ascii="David" w:hAnsi="David" w:cs="David" w:hint="cs"/>
          <w:sz w:val="24"/>
          <w:szCs w:val="24"/>
          <w:rtl/>
        </w:rPr>
        <w:t xml:space="preserve">. </w:t>
      </w:r>
    </w:p>
    <w:p w:rsidR="0017483D" w:rsidRDefault="0017483D" w:rsidP="00936AFB">
      <w:pPr>
        <w:spacing w:after="0" w:line="360" w:lineRule="auto"/>
        <w:ind w:firstLine="720"/>
        <w:jc w:val="both"/>
        <w:rPr>
          <w:rFonts w:ascii="David" w:hAnsi="David" w:cs="David"/>
          <w:sz w:val="24"/>
          <w:szCs w:val="24"/>
          <w:rtl/>
        </w:rPr>
      </w:pPr>
    </w:p>
    <w:p w:rsidR="00D95D59" w:rsidRPr="0017483D" w:rsidRDefault="0017483D" w:rsidP="0017483D">
      <w:pPr>
        <w:bidi w:val="0"/>
        <w:spacing w:after="0" w:line="360" w:lineRule="auto"/>
        <w:ind w:firstLine="720"/>
        <w:jc w:val="both"/>
        <w:rPr>
          <w:rFonts w:asciiTheme="majorBidi" w:hAnsiTheme="majorBidi" w:cstheme="majorBidi"/>
          <w:sz w:val="28"/>
          <w:szCs w:val="28"/>
        </w:rPr>
      </w:pPr>
      <w:r w:rsidRPr="0017483D">
        <w:rPr>
          <w:rFonts w:asciiTheme="majorBidi" w:hAnsiTheme="majorBidi" w:cstheme="majorBidi"/>
          <w:color w:val="222222"/>
          <w:shd w:val="clear" w:color="auto" w:fill="FFFFFF"/>
        </w:rPr>
        <w:t xml:space="preserve">Semyonov, M., &amp; </w:t>
      </w:r>
      <w:proofErr w:type="spellStart"/>
      <w:r w:rsidRPr="0017483D">
        <w:rPr>
          <w:rFonts w:asciiTheme="majorBidi" w:hAnsiTheme="majorBidi" w:cstheme="majorBidi"/>
          <w:color w:val="222222"/>
          <w:shd w:val="clear" w:color="auto" w:fill="FFFFFF"/>
        </w:rPr>
        <w:t>Gorodzeisky</w:t>
      </w:r>
      <w:proofErr w:type="spellEnd"/>
      <w:r w:rsidRPr="0017483D">
        <w:rPr>
          <w:rFonts w:asciiTheme="majorBidi" w:hAnsiTheme="majorBidi" w:cstheme="majorBidi"/>
          <w:color w:val="222222"/>
          <w:shd w:val="clear" w:color="auto" w:fill="FFFFFF"/>
        </w:rPr>
        <w:t>, A. (2004). Occupational Destinations and Economic Mobility of Filipino Overseas Workers1.</w:t>
      </w:r>
      <w:r w:rsidRPr="0017483D">
        <w:rPr>
          <w:rStyle w:val="apple-converted-space"/>
          <w:rFonts w:asciiTheme="majorBidi" w:hAnsiTheme="majorBidi" w:cstheme="majorBidi"/>
          <w:color w:val="222222"/>
          <w:shd w:val="clear" w:color="auto" w:fill="FFFFFF"/>
        </w:rPr>
        <w:t> </w:t>
      </w:r>
      <w:r w:rsidRPr="0017483D">
        <w:rPr>
          <w:rFonts w:asciiTheme="majorBidi" w:hAnsiTheme="majorBidi" w:cstheme="majorBidi"/>
          <w:i/>
          <w:iCs/>
          <w:color w:val="222222"/>
          <w:shd w:val="clear" w:color="auto" w:fill="FFFFFF"/>
        </w:rPr>
        <w:t>International Migration Review</w:t>
      </w:r>
      <w:r w:rsidRPr="0017483D">
        <w:rPr>
          <w:rFonts w:asciiTheme="majorBidi" w:hAnsiTheme="majorBidi" w:cstheme="majorBidi"/>
          <w:color w:val="222222"/>
          <w:shd w:val="clear" w:color="auto" w:fill="FFFFFF"/>
        </w:rPr>
        <w:t>,</w:t>
      </w:r>
      <w:r w:rsidRPr="0017483D">
        <w:rPr>
          <w:rStyle w:val="apple-converted-space"/>
          <w:rFonts w:asciiTheme="majorBidi" w:hAnsiTheme="majorBidi" w:cstheme="majorBidi"/>
          <w:color w:val="222222"/>
          <w:shd w:val="clear" w:color="auto" w:fill="FFFFFF"/>
        </w:rPr>
        <w:t> </w:t>
      </w:r>
      <w:r w:rsidRPr="0017483D">
        <w:rPr>
          <w:rFonts w:asciiTheme="majorBidi" w:hAnsiTheme="majorBidi" w:cstheme="majorBidi"/>
          <w:i/>
          <w:iCs/>
          <w:color w:val="222222"/>
          <w:shd w:val="clear" w:color="auto" w:fill="FFFFFF"/>
        </w:rPr>
        <w:t>38</w:t>
      </w:r>
      <w:r w:rsidRPr="0017483D">
        <w:rPr>
          <w:rFonts w:asciiTheme="majorBidi" w:hAnsiTheme="majorBidi" w:cstheme="majorBidi"/>
          <w:color w:val="222222"/>
          <w:shd w:val="clear" w:color="auto" w:fill="FFFFFF"/>
        </w:rPr>
        <w:t>(1), 5-25.</w:t>
      </w:r>
    </w:p>
    <w:p w:rsidR="00D57526" w:rsidRPr="00D57526" w:rsidRDefault="00D57526" w:rsidP="00127032">
      <w:pPr>
        <w:spacing w:after="0" w:line="360" w:lineRule="auto"/>
        <w:jc w:val="both"/>
        <w:rPr>
          <w:rFonts w:ascii="David" w:hAnsi="David" w:cs="David" w:hint="cs"/>
          <w:sz w:val="24"/>
          <w:szCs w:val="24"/>
          <w:rtl/>
        </w:rPr>
      </w:pPr>
    </w:p>
    <w:p w:rsidR="00D57526" w:rsidRDefault="00D57526" w:rsidP="00127032">
      <w:pPr>
        <w:spacing w:after="0" w:line="360" w:lineRule="auto"/>
        <w:jc w:val="both"/>
        <w:rPr>
          <w:rFonts w:ascii="David" w:hAnsi="David" w:cs="David"/>
          <w:b/>
          <w:bCs/>
          <w:sz w:val="28"/>
          <w:szCs w:val="28"/>
          <w:rtl/>
        </w:rPr>
      </w:pPr>
    </w:p>
    <w:p w:rsidR="00D57526" w:rsidRDefault="00D57526" w:rsidP="00127032">
      <w:pPr>
        <w:spacing w:after="0" w:line="360" w:lineRule="auto"/>
        <w:jc w:val="both"/>
        <w:rPr>
          <w:rFonts w:ascii="David" w:hAnsi="David" w:cs="David"/>
          <w:b/>
          <w:bCs/>
          <w:sz w:val="28"/>
          <w:szCs w:val="28"/>
          <w:rtl/>
        </w:rPr>
      </w:pPr>
    </w:p>
    <w:p w:rsidR="00D57526" w:rsidRPr="00D57526" w:rsidRDefault="00D57526" w:rsidP="00127032">
      <w:pPr>
        <w:spacing w:after="0" w:line="360" w:lineRule="auto"/>
        <w:jc w:val="both"/>
        <w:rPr>
          <w:rFonts w:ascii="David" w:hAnsi="David" w:cs="David"/>
          <w:b/>
          <w:bCs/>
          <w:sz w:val="28"/>
          <w:szCs w:val="28"/>
        </w:rPr>
      </w:pPr>
    </w:p>
    <w:sectPr w:rsidR="00D57526" w:rsidRPr="00D57526" w:rsidSect="00F73D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A17"/>
    <w:multiLevelType w:val="hybridMultilevel"/>
    <w:tmpl w:val="E7983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67A9D"/>
    <w:multiLevelType w:val="hybridMultilevel"/>
    <w:tmpl w:val="38E2C42A"/>
    <w:lvl w:ilvl="0" w:tplc="07CE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B69F3"/>
    <w:multiLevelType w:val="hybridMultilevel"/>
    <w:tmpl w:val="164CD0B6"/>
    <w:lvl w:ilvl="0" w:tplc="ED8CC6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053E5"/>
    <w:multiLevelType w:val="hybridMultilevel"/>
    <w:tmpl w:val="5F6E6C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6A16A7"/>
    <w:multiLevelType w:val="hybridMultilevel"/>
    <w:tmpl w:val="5330CF32"/>
    <w:lvl w:ilvl="0" w:tplc="07CE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12BE4"/>
    <w:multiLevelType w:val="hybridMultilevel"/>
    <w:tmpl w:val="242ABC7E"/>
    <w:lvl w:ilvl="0" w:tplc="07CE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647D8"/>
    <w:multiLevelType w:val="hybridMultilevel"/>
    <w:tmpl w:val="F0A47A84"/>
    <w:lvl w:ilvl="0" w:tplc="8A2E8F92">
      <w:start w:val="2"/>
      <w:numFmt w:val="bullet"/>
      <w:lvlText w:val="-"/>
      <w:lvlJc w:val="left"/>
      <w:pPr>
        <w:ind w:left="360" w:hanging="360"/>
      </w:pPr>
      <w:rPr>
        <w:rFonts w:ascii="David" w:eastAsiaTheme="minorHAnsi" w:hAnsi="David" w:cs="David"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E80870"/>
    <w:multiLevelType w:val="hybridMultilevel"/>
    <w:tmpl w:val="C21AD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D3"/>
    <w:rsid w:val="00045298"/>
    <w:rsid w:val="000D590B"/>
    <w:rsid w:val="000E4197"/>
    <w:rsid w:val="00127032"/>
    <w:rsid w:val="00145A53"/>
    <w:rsid w:val="0017483D"/>
    <w:rsid w:val="001A72CD"/>
    <w:rsid w:val="001C5BDB"/>
    <w:rsid w:val="002235C4"/>
    <w:rsid w:val="002347E5"/>
    <w:rsid w:val="002C158A"/>
    <w:rsid w:val="00301ABD"/>
    <w:rsid w:val="00302841"/>
    <w:rsid w:val="00346213"/>
    <w:rsid w:val="00391FA1"/>
    <w:rsid w:val="003D21E5"/>
    <w:rsid w:val="00450BB0"/>
    <w:rsid w:val="004F728E"/>
    <w:rsid w:val="005274E3"/>
    <w:rsid w:val="0052750F"/>
    <w:rsid w:val="00566C60"/>
    <w:rsid w:val="00567195"/>
    <w:rsid w:val="00577FD3"/>
    <w:rsid w:val="005B5E32"/>
    <w:rsid w:val="006932DB"/>
    <w:rsid w:val="006A5DAC"/>
    <w:rsid w:val="006A5F9F"/>
    <w:rsid w:val="006F37F9"/>
    <w:rsid w:val="00724AFF"/>
    <w:rsid w:val="00771A41"/>
    <w:rsid w:val="00772E18"/>
    <w:rsid w:val="00783C2F"/>
    <w:rsid w:val="007A12A2"/>
    <w:rsid w:val="007A5C0E"/>
    <w:rsid w:val="00800A92"/>
    <w:rsid w:val="00804335"/>
    <w:rsid w:val="00806E6E"/>
    <w:rsid w:val="008152A4"/>
    <w:rsid w:val="008311CC"/>
    <w:rsid w:val="008870C2"/>
    <w:rsid w:val="009111E9"/>
    <w:rsid w:val="00936AFB"/>
    <w:rsid w:val="00942B6A"/>
    <w:rsid w:val="00951402"/>
    <w:rsid w:val="00982773"/>
    <w:rsid w:val="00987CEB"/>
    <w:rsid w:val="009970F4"/>
    <w:rsid w:val="009A1C22"/>
    <w:rsid w:val="009A41C2"/>
    <w:rsid w:val="009A4D37"/>
    <w:rsid w:val="00A3192A"/>
    <w:rsid w:val="00A72B88"/>
    <w:rsid w:val="00AC1F6A"/>
    <w:rsid w:val="00AD557A"/>
    <w:rsid w:val="00AF55EC"/>
    <w:rsid w:val="00B62356"/>
    <w:rsid w:val="00B7300F"/>
    <w:rsid w:val="00C120B1"/>
    <w:rsid w:val="00C36997"/>
    <w:rsid w:val="00C52EB9"/>
    <w:rsid w:val="00C65E55"/>
    <w:rsid w:val="00C71EF0"/>
    <w:rsid w:val="00CC37D2"/>
    <w:rsid w:val="00CC5649"/>
    <w:rsid w:val="00D47DD0"/>
    <w:rsid w:val="00D57526"/>
    <w:rsid w:val="00D5775B"/>
    <w:rsid w:val="00D817B8"/>
    <w:rsid w:val="00D95D59"/>
    <w:rsid w:val="00DC43C9"/>
    <w:rsid w:val="00EC71AC"/>
    <w:rsid w:val="00F35BA9"/>
    <w:rsid w:val="00F55921"/>
    <w:rsid w:val="00F73DF7"/>
    <w:rsid w:val="00FA22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6382"/>
  <w15:chartTrackingRefBased/>
  <w15:docId w15:val="{939FFE4E-6990-4036-8025-C606AACC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E32"/>
    <w:pPr>
      <w:ind w:left="720"/>
      <w:contextualSpacing/>
    </w:pPr>
  </w:style>
  <w:style w:type="paragraph" w:styleId="HTML">
    <w:name w:val="HTML Preformatted"/>
    <w:basedOn w:val="a"/>
    <w:link w:val="HTML0"/>
    <w:uiPriority w:val="99"/>
    <w:unhideWhenUsed/>
    <w:rsid w:val="0004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045298"/>
    <w:rPr>
      <w:rFonts w:ascii="Courier New" w:eastAsia="Times New Roman" w:hAnsi="Courier New" w:cs="Courier New"/>
      <w:sz w:val="20"/>
      <w:szCs w:val="20"/>
    </w:rPr>
  </w:style>
  <w:style w:type="character" w:customStyle="1" w:styleId="apple-converted-space">
    <w:name w:val="apple-converted-space"/>
    <w:basedOn w:val="a0"/>
    <w:rsid w:val="006A5DAC"/>
  </w:style>
  <w:style w:type="character" w:styleId="Hyperlink">
    <w:name w:val="Hyperlink"/>
    <w:basedOn w:val="a0"/>
    <w:uiPriority w:val="99"/>
    <w:unhideWhenUsed/>
    <w:rsid w:val="002235C4"/>
    <w:rPr>
      <w:color w:val="0563C1" w:themeColor="hyperlink"/>
      <w:u w:val="single"/>
    </w:rPr>
  </w:style>
  <w:style w:type="table" w:styleId="a4">
    <w:name w:val="Table Grid"/>
    <w:basedOn w:val="a1"/>
    <w:uiPriority w:val="39"/>
    <w:rsid w:val="0078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1544">
      <w:bodyDiv w:val="1"/>
      <w:marLeft w:val="0"/>
      <w:marRight w:val="0"/>
      <w:marTop w:val="0"/>
      <w:marBottom w:val="0"/>
      <w:divBdr>
        <w:top w:val="none" w:sz="0" w:space="0" w:color="auto"/>
        <w:left w:val="none" w:sz="0" w:space="0" w:color="auto"/>
        <w:bottom w:val="none" w:sz="0" w:space="0" w:color="auto"/>
        <w:right w:val="none" w:sz="0" w:space="0" w:color="auto"/>
      </w:divBdr>
    </w:div>
    <w:div w:id="20885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he/Subjects/labor_and_employment/foreign_workers_in_nursing" TargetMode="External"/><Relationship Id="rId3" Type="http://schemas.openxmlformats.org/officeDocument/2006/relationships/settings" Target="settings.xml"/><Relationship Id="rId7" Type="http://schemas.openxmlformats.org/officeDocument/2006/relationships/hyperlink" Target="http://oldgov.gov.il/FirstGov/TopNav/Situations/SPopulationsGuides/SHiringForeignWorkers/SFWDifferent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lzchut.org.il"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10</Pages>
  <Words>2978</Words>
  <Characters>14890</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c:creator>
  <cp:keywords/>
  <dc:description/>
  <cp:lastModifiedBy>hen</cp:lastModifiedBy>
  <cp:revision>38</cp:revision>
  <dcterms:created xsi:type="dcterms:W3CDTF">2016-11-07T12:04:00Z</dcterms:created>
  <dcterms:modified xsi:type="dcterms:W3CDTF">2016-11-12T21:41:00Z</dcterms:modified>
</cp:coreProperties>
</file>