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4503B" w14:textId="77777777" w:rsidR="00DE0197" w:rsidRPr="00DE0197" w:rsidRDefault="00DE0197" w:rsidP="00DE0197">
      <w:pPr>
        <w:pStyle w:val="Heading1"/>
        <w:spacing w:before="0"/>
        <w:jc w:val="both"/>
        <w:rPr>
          <w:rFonts w:eastAsia="Times New Roman" w:cs="Times New Roman"/>
          <w:color w:val="000000"/>
          <w:kern w:val="36"/>
          <w:sz w:val="48"/>
          <w:szCs w:val="48"/>
          <w:lang w:val="en-US" w:eastAsia="de-DE" w:bidi="ar-SA"/>
        </w:rPr>
      </w:pPr>
      <w:bookmarkStart w:id="0" w:name="_Toc10729629"/>
      <w:r w:rsidRPr="00DE0197">
        <w:rPr>
          <w:rFonts w:ascii="Calibri Light" w:hAnsi="Calibri Light" w:cs="Calibri Light"/>
          <w:b/>
          <w:bCs/>
          <w:color w:val="2F5496"/>
          <w:szCs w:val="32"/>
          <w:lang w:val="en-US"/>
        </w:rPr>
        <w:t xml:space="preserve">Chapter 3: The Apostolic and Prophetic Church according to </w:t>
      </w:r>
      <w:proofErr w:type="spellStart"/>
      <w:r w:rsidRPr="00DE0197">
        <w:rPr>
          <w:rFonts w:ascii="Calibri Light" w:hAnsi="Calibri Light" w:cs="Calibri Light"/>
          <w:b/>
          <w:bCs/>
          <w:color w:val="2F5496"/>
          <w:szCs w:val="32"/>
          <w:lang w:val="en-US"/>
        </w:rPr>
        <w:t>Iulius</w:t>
      </w:r>
      <w:proofErr w:type="spellEnd"/>
      <w:r w:rsidRPr="00DE0197">
        <w:rPr>
          <w:rFonts w:ascii="Calibri Light" w:hAnsi="Calibri Light" w:cs="Calibri Light"/>
          <w:b/>
          <w:bCs/>
          <w:color w:val="2F5496"/>
          <w:szCs w:val="32"/>
          <w:lang w:val="en-US"/>
        </w:rPr>
        <w:t xml:space="preserve"> Africanus, Origen and Tertullian</w:t>
      </w:r>
    </w:p>
    <w:p w14:paraId="6376B4D5" w14:textId="77777777" w:rsidR="00DE0197" w:rsidRDefault="00DE0197" w:rsidP="00DE0197">
      <w:pPr>
        <w:pStyle w:val="NormalWeb"/>
        <w:spacing w:before="0" w:beforeAutospacing="0" w:after="0" w:afterAutospacing="0"/>
        <w:jc w:val="both"/>
        <w:rPr>
          <w:color w:val="000000"/>
          <w:sz w:val="27"/>
          <w:szCs w:val="27"/>
        </w:rPr>
      </w:pPr>
      <w:r>
        <w:rPr>
          <w:color w:val="000000"/>
        </w:rPr>
        <w:t> </w:t>
      </w:r>
    </w:p>
    <w:p w14:paraId="01D9997C" w14:textId="77777777" w:rsidR="00DE0197" w:rsidRDefault="00DE0197" w:rsidP="00DE0197">
      <w:pPr>
        <w:pStyle w:val="NormalWeb"/>
        <w:shd w:val="clear" w:color="auto" w:fill="FFFFFF"/>
        <w:spacing w:before="0" w:beforeAutospacing="0" w:after="0" w:afterAutospacing="0"/>
        <w:ind w:firstLine="720"/>
        <w:jc w:val="both"/>
        <w:rPr>
          <w:color w:val="000000"/>
          <w:sz w:val="27"/>
          <w:szCs w:val="27"/>
        </w:rPr>
      </w:pPr>
      <w:r>
        <w:rPr>
          <w:color w:val="000000"/>
        </w:rPr>
        <w:t> </w:t>
      </w:r>
    </w:p>
    <w:p w14:paraId="13E1D67B" w14:textId="77777777" w:rsidR="00DE0197" w:rsidRPr="00DE0197" w:rsidRDefault="00DE0197" w:rsidP="00DE0197">
      <w:pPr>
        <w:pStyle w:val="Heading2"/>
        <w:rPr>
          <w:color w:val="000000"/>
          <w:sz w:val="36"/>
          <w:szCs w:val="36"/>
          <w:lang w:val="en-US"/>
        </w:rPr>
      </w:pPr>
      <w:r w:rsidRPr="00DE0197">
        <w:rPr>
          <w:rFonts w:ascii="Calibri Light" w:hAnsi="Calibri Light" w:cs="Calibri Light"/>
          <w:b/>
          <w:bCs/>
          <w:color w:val="2F5496"/>
          <w:szCs w:val="26"/>
          <w:lang w:val="en-US"/>
        </w:rPr>
        <w:t>Origen, Scripture Doctrine and Sermon</w:t>
      </w:r>
    </w:p>
    <w:p w14:paraId="59EDFB82" w14:textId="77777777" w:rsidR="00DE0197" w:rsidRDefault="00DE0197" w:rsidP="00DE0197">
      <w:pPr>
        <w:pStyle w:val="NormalWeb"/>
        <w:spacing w:before="0" w:beforeAutospacing="0" w:after="0" w:afterAutospacing="0"/>
        <w:rPr>
          <w:color w:val="000000"/>
          <w:sz w:val="27"/>
          <w:szCs w:val="27"/>
        </w:rPr>
      </w:pPr>
      <w:r>
        <w:rPr>
          <w:color w:val="000000"/>
        </w:rPr>
        <w:t> </w:t>
      </w:r>
    </w:p>
    <w:p w14:paraId="19D69E5E" w14:textId="0E431121" w:rsidR="00DE0197" w:rsidRDefault="00DE0197" w:rsidP="00DE0197">
      <w:pPr>
        <w:pStyle w:val="NormalWeb"/>
        <w:spacing w:before="0" w:beforeAutospacing="0" w:after="0" w:afterAutospacing="0"/>
        <w:jc w:val="both"/>
        <w:rPr>
          <w:color w:val="000000"/>
          <w:sz w:val="27"/>
          <w:szCs w:val="27"/>
        </w:rPr>
      </w:pPr>
      <w:r>
        <w:rPr>
          <w:color w:val="000000"/>
        </w:rPr>
        <w:t xml:space="preserve">With Origen (approx. 185/186 - approx. 253/254), like with his contemporary </w:t>
      </w:r>
      <w:proofErr w:type="spellStart"/>
      <w:r>
        <w:rPr>
          <w:color w:val="000000"/>
        </w:rPr>
        <w:t>Iulius</w:t>
      </w:r>
      <w:proofErr w:type="spellEnd"/>
      <w:r>
        <w:rPr>
          <w:color w:val="000000"/>
        </w:rPr>
        <w:t xml:space="preserve">, we take a further step into the past beyond Eusebius. Although the great scholar of Alexandria and later of Caesarea in Palestine wrote neither a chronicle nor a history of the beginnings of Christianity, he cannot be ignored in our study because he not only had an implicit idea of ​​the beginnings of Christianity, which later became trend-setting, but also had </w:t>
      </w:r>
      <w:r w:rsidR="00290BAB">
        <w:rPr>
          <w:color w:val="000000"/>
        </w:rPr>
        <w:t>reflected</w:t>
      </w:r>
      <w:r>
        <w:rPr>
          <w:color w:val="000000"/>
        </w:rPr>
        <w:t xml:space="preserve"> </w:t>
      </w:r>
      <w:r w:rsidR="00290BAB">
        <w:rPr>
          <w:color w:val="000000"/>
        </w:rPr>
        <w:t xml:space="preserve">upon </w:t>
      </w:r>
      <w:r>
        <w:rPr>
          <w:color w:val="000000"/>
        </w:rPr>
        <w:t>the chronology of Christianity</w:t>
      </w:r>
      <w:r w:rsidR="008A13B2">
        <w:rPr>
          <w:color w:val="000000"/>
        </w:rPr>
        <w:t>,</w:t>
      </w:r>
      <w:r>
        <w:rPr>
          <w:color w:val="000000"/>
        </w:rPr>
        <w:t> </w:t>
      </w:r>
      <w:r w:rsidR="008A13B2">
        <w:rPr>
          <w:color w:val="000000"/>
        </w:rPr>
        <w:t>b</w:t>
      </w:r>
      <w:r>
        <w:rPr>
          <w:color w:val="000000"/>
        </w:rPr>
        <w:t xml:space="preserve">ecause he had to go against the Chronicler's charge that the Jews (let alone </w:t>
      </w:r>
      <w:r w:rsidR="00290BAB">
        <w:rPr>
          <w:color w:val="000000"/>
        </w:rPr>
        <w:t>Christianity that appeared much later</w:t>
      </w:r>
      <w:r>
        <w:rPr>
          <w:color w:val="000000"/>
        </w:rPr>
        <w:t xml:space="preserve">) is not among the counted venerable old traditions. In his work " Against </w:t>
      </w:r>
      <w:proofErr w:type="spellStart"/>
      <w:r>
        <w:rPr>
          <w:color w:val="000000"/>
        </w:rPr>
        <w:t>Celsus</w:t>
      </w:r>
      <w:proofErr w:type="spellEnd"/>
      <w:r>
        <w:rPr>
          <w:color w:val="000000"/>
        </w:rPr>
        <w:t> " Origen reports of his opponent:</w:t>
      </w:r>
    </w:p>
    <w:p w14:paraId="59864474" w14:textId="17FD668A" w:rsidR="00DE0197" w:rsidRDefault="008A13B2" w:rsidP="00DE0197">
      <w:pPr>
        <w:pStyle w:val="NormalWeb"/>
        <w:spacing w:before="120" w:beforeAutospacing="0" w:after="120" w:afterAutospacing="0"/>
        <w:ind w:left="567"/>
        <w:jc w:val="both"/>
        <w:rPr>
          <w:color w:val="000000"/>
          <w:sz w:val="27"/>
          <w:szCs w:val="27"/>
        </w:rPr>
      </w:pPr>
      <w:r>
        <w:rPr>
          <w:color w:val="000000"/>
          <w:sz w:val="20"/>
          <w:szCs w:val="20"/>
        </w:rPr>
        <w:t>‘</w:t>
      </w:r>
      <w:r w:rsidR="002C1726">
        <w:rPr>
          <w:color w:val="000000"/>
          <w:sz w:val="20"/>
          <w:szCs w:val="20"/>
        </w:rPr>
        <w:t xml:space="preserve">Thinking that </w:t>
      </w:r>
      <w:r w:rsidR="002C1726">
        <w:rPr>
          <w:i/>
          <w:color w:val="000000"/>
          <w:sz w:val="20"/>
          <w:szCs w:val="20"/>
        </w:rPr>
        <w:t>between many of the nations there is an affinity</w:t>
      </w:r>
      <w:r w:rsidR="002C1726">
        <w:rPr>
          <w:color w:val="000000"/>
          <w:sz w:val="20"/>
          <w:szCs w:val="20"/>
        </w:rPr>
        <w:t xml:space="preserve"> in that </w:t>
      </w:r>
      <w:r w:rsidR="002C1726">
        <w:rPr>
          <w:i/>
          <w:color w:val="000000"/>
          <w:sz w:val="20"/>
          <w:szCs w:val="20"/>
        </w:rPr>
        <w:t>they hold the same doctrine</w:t>
      </w:r>
      <w:r w:rsidR="008B52D0">
        <w:rPr>
          <w:color w:val="000000"/>
          <w:sz w:val="20"/>
          <w:szCs w:val="20"/>
        </w:rPr>
        <w:t xml:space="preserve">, </w:t>
      </w:r>
      <w:proofErr w:type="spellStart"/>
      <w:r w:rsidR="008B52D0">
        <w:rPr>
          <w:color w:val="000000"/>
          <w:sz w:val="20"/>
          <w:szCs w:val="20"/>
        </w:rPr>
        <w:t>Celsus</w:t>
      </w:r>
      <w:proofErr w:type="spellEnd"/>
      <w:r w:rsidR="008B52D0">
        <w:rPr>
          <w:color w:val="000000"/>
          <w:sz w:val="20"/>
          <w:szCs w:val="20"/>
        </w:rPr>
        <w:t xml:space="preserve"> names all the nations which he supposes to have held this doctrine originally. But for some unknown reason he misrepresents the Jews alone, and does not include their race in the list with the others; nor does he say of them</w:t>
      </w:r>
      <w:r w:rsidR="00EC2F05">
        <w:rPr>
          <w:color w:val="000000"/>
          <w:sz w:val="20"/>
          <w:szCs w:val="20"/>
        </w:rPr>
        <w:t xml:space="preserve"> either that they </w:t>
      </w:r>
      <w:r w:rsidR="00EC2F05">
        <w:rPr>
          <w:i/>
          <w:color w:val="000000"/>
          <w:sz w:val="20"/>
          <w:szCs w:val="20"/>
        </w:rPr>
        <w:t>took part in labours</w:t>
      </w:r>
      <w:r w:rsidR="00EC2F05">
        <w:rPr>
          <w:color w:val="000000"/>
          <w:sz w:val="20"/>
          <w:szCs w:val="20"/>
        </w:rPr>
        <w:t xml:space="preserve"> equal to theirs and </w:t>
      </w:r>
      <w:r w:rsidR="00EC2F05">
        <w:rPr>
          <w:i/>
          <w:color w:val="000000"/>
          <w:sz w:val="20"/>
          <w:szCs w:val="20"/>
        </w:rPr>
        <w:t>had the same notions</w:t>
      </w:r>
      <w:r w:rsidR="00EC2F05">
        <w:rPr>
          <w:color w:val="000000"/>
          <w:sz w:val="20"/>
          <w:szCs w:val="20"/>
        </w:rPr>
        <w:t xml:space="preserve"> or that they </w:t>
      </w:r>
      <w:r w:rsidR="00EC2F05">
        <w:rPr>
          <w:i/>
          <w:color w:val="000000"/>
          <w:sz w:val="20"/>
          <w:szCs w:val="20"/>
        </w:rPr>
        <w:t>held similar doctrines in many respects</w:t>
      </w:r>
      <w:r w:rsidR="003D1E90">
        <w:rPr>
          <w:color w:val="000000"/>
          <w:sz w:val="20"/>
          <w:szCs w:val="20"/>
        </w:rPr>
        <w:t xml:space="preserve">. </w:t>
      </w:r>
      <w:r w:rsidR="00C00340">
        <w:rPr>
          <w:color w:val="000000"/>
          <w:sz w:val="20"/>
          <w:szCs w:val="20"/>
        </w:rPr>
        <w:t>It is therefore worth while asking him why ever he believed in barbarian and Greek stories about the antiquity of the people whom he mentioned, while it is only this nation whose histories he regards as untrue</w:t>
      </w:r>
      <w:r w:rsidR="00DE0197">
        <w:rPr>
          <w:color w:val="000000"/>
          <w:sz w:val="20"/>
          <w:szCs w:val="20"/>
        </w:rPr>
        <w:t>.</w:t>
      </w:r>
      <w:bookmarkStart w:id="1" w:name="_ftnref22"/>
      <w:bookmarkEnd w:id="1"/>
      <w:r>
        <w:rPr>
          <w:color w:val="000000"/>
          <w:sz w:val="20"/>
          <w:szCs w:val="20"/>
        </w:rPr>
        <w:t>’</w:t>
      </w:r>
      <w:r>
        <w:rPr>
          <w:rStyle w:val="FootnoteReference"/>
          <w:color w:val="000000"/>
          <w:sz w:val="20"/>
          <w:szCs w:val="20"/>
        </w:rPr>
        <w:footnoteReference w:id="1"/>
      </w:r>
    </w:p>
    <w:p w14:paraId="0EFCFAD9" w14:textId="23F39726" w:rsidR="00DE0197" w:rsidRDefault="00DE0197" w:rsidP="00DE0197">
      <w:pPr>
        <w:pStyle w:val="NormalWeb"/>
        <w:spacing w:before="0" w:beforeAutospacing="0" w:after="0" w:afterAutospacing="0"/>
        <w:jc w:val="both"/>
        <w:rPr>
          <w:color w:val="000000"/>
          <w:sz w:val="27"/>
          <w:szCs w:val="27"/>
        </w:rPr>
      </w:pPr>
      <w:r>
        <w:rPr>
          <w:color w:val="000000"/>
        </w:rPr>
        <w:t>With some effort Origen tries to use various sources, including</w:t>
      </w:r>
      <w:r w:rsidR="002D1448">
        <w:rPr>
          <w:color w:val="000000"/>
        </w:rPr>
        <w:t xml:space="preserve"> different authors, also of</w:t>
      </w:r>
      <w:r>
        <w:rPr>
          <w:color w:val="000000"/>
        </w:rPr>
        <w:t xml:space="preserve"> non-Jewish origins, </w:t>
      </w:r>
      <w:r w:rsidR="00BA4BD7">
        <w:rPr>
          <w:color w:val="000000"/>
        </w:rPr>
        <w:t xml:space="preserve">but </w:t>
      </w:r>
      <w:r>
        <w:rPr>
          <w:color w:val="000000"/>
        </w:rPr>
        <w:t xml:space="preserve">primarily </w:t>
      </w:r>
      <w:r w:rsidR="00BA4BD7">
        <w:rPr>
          <w:color w:val="000000"/>
        </w:rPr>
        <w:t xml:space="preserve">refers to </w:t>
      </w:r>
      <w:r>
        <w:rPr>
          <w:color w:val="000000"/>
        </w:rPr>
        <w:t xml:space="preserve">Josephus Flavius, </w:t>
      </w:r>
      <w:proofErr w:type="gramStart"/>
      <w:r>
        <w:rPr>
          <w:color w:val="000000"/>
        </w:rPr>
        <w:t>in order to</w:t>
      </w:r>
      <w:proofErr w:type="gramEnd"/>
      <w:r>
        <w:rPr>
          <w:color w:val="000000"/>
        </w:rPr>
        <w:t xml:space="preserve"> ascribe ancient </w:t>
      </w:r>
      <w:r w:rsidR="00BA4BD7">
        <w:rPr>
          <w:color w:val="000000"/>
        </w:rPr>
        <w:t>‘</w:t>
      </w:r>
      <w:r>
        <w:rPr>
          <w:color w:val="000000"/>
        </w:rPr>
        <w:t>wisdom</w:t>
      </w:r>
      <w:r w:rsidR="00BA4BD7">
        <w:rPr>
          <w:color w:val="000000"/>
        </w:rPr>
        <w:t>’</w:t>
      </w:r>
      <w:r>
        <w:rPr>
          <w:color w:val="000000"/>
        </w:rPr>
        <w:t xml:space="preserve"> to the Jewish people,</w:t>
      </w:r>
      <w:bookmarkStart w:id="2" w:name="_ftnref23"/>
      <w:bookmarkEnd w:id="2"/>
      <w:r w:rsidR="00BA4BD7">
        <w:rPr>
          <w:rStyle w:val="FootnoteReference"/>
          <w:color w:val="000000"/>
        </w:rPr>
        <w:footnoteReference w:id="2"/>
      </w:r>
      <w:r w:rsidR="00BA4BD7">
        <w:rPr>
          <w:color w:val="000000"/>
        </w:rPr>
        <w:t xml:space="preserve"> </w:t>
      </w:r>
      <w:r>
        <w:rPr>
          <w:color w:val="000000"/>
        </w:rPr>
        <w:t xml:space="preserve">for </w:t>
      </w:r>
      <w:proofErr w:type="spellStart"/>
      <w:r>
        <w:rPr>
          <w:color w:val="000000"/>
        </w:rPr>
        <w:t>Celsus</w:t>
      </w:r>
      <w:proofErr w:type="spellEnd"/>
      <w:r>
        <w:rPr>
          <w:color w:val="000000"/>
        </w:rPr>
        <w:t xml:space="preserve"> </w:t>
      </w:r>
      <w:r w:rsidR="00052209">
        <w:rPr>
          <w:color w:val="000000"/>
        </w:rPr>
        <w:t>‘</w:t>
      </w:r>
      <w:r>
        <w:rPr>
          <w:color w:val="000000"/>
        </w:rPr>
        <w:t>had set himself the goal of attacking the origin of Christianity, which derives from the Jews</w:t>
      </w:r>
      <w:r w:rsidR="00052209">
        <w:rPr>
          <w:color w:val="000000"/>
        </w:rPr>
        <w:t>’</w:t>
      </w:r>
      <w:r>
        <w:rPr>
          <w:color w:val="000000"/>
        </w:rPr>
        <w:t>.</w:t>
      </w:r>
      <w:bookmarkStart w:id="3" w:name="_ftnref24"/>
      <w:bookmarkEnd w:id="3"/>
      <w:r w:rsidR="00052209">
        <w:rPr>
          <w:rStyle w:val="FootnoteReference"/>
          <w:color w:val="000000"/>
        </w:rPr>
        <w:footnoteReference w:id="3"/>
      </w:r>
      <w:r w:rsidR="00052209">
        <w:rPr>
          <w:color w:val="000000"/>
        </w:rPr>
        <w:t xml:space="preserve"> </w:t>
      </w:r>
      <w:proofErr w:type="spellStart"/>
      <w:r w:rsidR="00182153">
        <w:rPr>
          <w:color w:val="000000"/>
        </w:rPr>
        <w:t>Celsus</w:t>
      </w:r>
      <w:proofErr w:type="spellEnd"/>
      <w:r w:rsidR="008F4E8A">
        <w:rPr>
          <w:color w:val="000000"/>
        </w:rPr>
        <w:t xml:space="preserve"> attributes authority and tradition n</w:t>
      </w:r>
      <w:r>
        <w:rPr>
          <w:color w:val="000000"/>
        </w:rPr>
        <w:t xml:space="preserve">ot </w:t>
      </w:r>
      <w:r w:rsidR="008F4E8A">
        <w:rPr>
          <w:color w:val="000000"/>
        </w:rPr>
        <w:t xml:space="preserve">to </w:t>
      </w:r>
      <w:r>
        <w:rPr>
          <w:color w:val="000000"/>
        </w:rPr>
        <w:t>Jews, but only</w:t>
      </w:r>
      <w:r w:rsidR="008F4E8A">
        <w:rPr>
          <w:color w:val="000000"/>
        </w:rPr>
        <w:t xml:space="preserve"> to</w:t>
      </w:r>
      <w:r>
        <w:rPr>
          <w:color w:val="000000"/>
        </w:rPr>
        <w:t xml:space="preserve"> Greeks and Persians:</w:t>
      </w:r>
    </w:p>
    <w:p w14:paraId="1A300F1B" w14:textId="40B571D4" w:rsidR="00DE0197" w:rsidRDefault="008F4E8A" w:rsidP="00DE0197">
      <w:pPr>
        <w:pStyle w:val="NormalWeb"/>
        <w:spacing w:before="120" w:beforeAutospacing="0" w:after="120" w:afterAutospacing="0"/>
        <w:ind w:left="567"/>
        <w:jc w:val="both"/>
        <w:rPr>
          <w:color w:val="000000"/>
          <w:sz w:val="27"/>
          <w:szCs w:val="27"/>
        </w:rPr>
      </w:pPr>
      <w:r>
        <w:rPr>
          <w:color w:val="000000"/>
          <w:sz w:val="20"/>
          <w:szCs w:val="20"/>
        </w:rPr>
        <w:t>‘</w:t>
      </w:r>
      <w:r w:rsidR="00DE0197" w:rsidRPr="00E86F87">
        <w:rPr>
          <w:i/>
          <w:color w:val="000000"/>
          <w:sz w:val="20"/>
          <w:szCs w:val="20"/>
        </w:rPr>
        <w:t xml:space="preserve">Linos, </w:t>
      </w:r>
      <w:proofErr w:type="spellStart"/>
      <w:r w:rsidR="00DE0197" w:rsidRPr="00E86F87">
        <w:rPr>
          <w:i/>
          <w:color w:val="000000"/>
          <w:sz w:val="20"/>
          <w:szCs w:val="20"/>
        </w:rPr>
        <w:t>Musa</w:t>
      </w:r>
      <w:r w:rsidR="00E86F87" w:rsidRPr="00E86F87">
        <w:rPr>
          <w:i/>
          <w:color w:val="000000"/>
          <w:sz w:val="20"/>
          <w:szCs w:val="20"/>
        </w:rPr>
        <w:t>eu</w:t>
      </w:r>
      <w:r w:rsidR="00DE0197" w:rsidRPr="00E86F87">
        <w:rPr>
          <w:i/>
          <w:color w:val="000000"/>
          <w:sz w:val="20"/>
          <w:szCs w:val="20"/>
        </w:rPr>
        <w:t>s</w:t>
      </w:r>
      <w:proofErr w:type="spellEnd"/>
      <w:r w:rsidR="00DE0197" w:rsidRPr="00E86F87">
        <w:rPr>
          <w:i/>
          <w:color w:val="000000"/>
          <w:sz w:val="20"/>
          <w:szCs w:val="20"/>
        </w:rPr>
        <w:t xml:space="preserve">, Orpheus, </w:t>
      </w:r>
      <w:proofErr w:type="spellStart"/>
      <w:r w:rsidR="00DE0197" w:rsidRPr="00E86F87">
        <w:rPr>
          <w:i/>
          <w:color w:val="000000"/>
          <w:sz w:val="20"/>
          <w:szCs w:val="20"/>
        </w:rPr>
        <w:t>Pherecydes</w:t>
      </w:r>
      <w:proofErr w:type="spellEnd"/>
      <w:r w:rsidR="00DE0197" w:rsidRPr="00E86F87">
        <w:rPr>
          <w:i/>
          <w:color w:val="000000"/>
          <w:sz w:val="20"/>
          <w:szCs w:val="20"/>
        </w:rPr>
        <w:t xml:space="preserve">, </w:t>
      </w:r>
      <w:r w:rsidR="00E86F87" w:rsidRPr="00E86F87">
        <w:rPr>
          <w:i/>
          <w:color w:val="000000"/>
          <w:sz w:val="20"/>
          <w:szCs w:val="20"/>
        </w:rPr>
        <w:t xml:space="preserve">Zoroaster </w:t>
      </w:r>
      <w:r w:rsidR="00DE0197" w:rsidRPr="00E86F87">
        <w:rPr>
          <w:i/>
          <w:color w:val="000000"/>
          <w:sz w:val="20"/>
          <w:szCs w:val="20"/>
        </w:rPr>
        <w:t>the Persian</w:t>
      </w:r>
      <w:r w:rsidR="00E86F87" w:rsidRPr="00E86F87">
        <w:rPr>
          <w:i/>
          <w:color w:val="000000"/>
          <w:sz w:val="20"/>
          <w:szCs w:val="20"/>
        </w:rPr>
        <w:t>,</w:t>
      </w:r>
      <w:r w:rsidR="00DE0197" w:rsidRPr="00E86F87">
        <w:rPr>
          <w:i/>
          <w:color w:val="000000"/>
          <w:sz w:val="20"/>
          <w:szCs w:val="20"/>
        </w:rPr>
        <w:t xml:space="preserve"> and Pythagoras </w:t>
      </w:r>
      <w:r w:rsidR="00E86F87" w:rsidRPr="00E86F87">
        <w:rPr>
          <w:i/>
          <w:color w:val="000000"/>
          <w:sz w:val="20"/>
          <w:szCs w:val="20"/>
        </w:rPr>
        <w:t>understood these doctrines, and their opinions were put down in books and are preserved to this day</w:t>
      </w:r>
      <w:r w:rsidR="00DE0197" w:rsidRPr="00FE5A82">
        <w:rPr>
          <w:color w:val="000000"/>
          <w:sz w:val="20"/>
          <w:szCs w:val="20"/>
        </w:rPr>
        <w:t>.</w:t>
      </w:r>
      <w:bookmarkStart w:id="4" w:name="_ftnref25"/>
      <w:bookmarkEnd w:id="4"/>
      <w:r>
        <w:rPr>
          <w:color w:val="000000"/>
          <w:sz w:val="20"/>
          <w:szCs w:val="20"/>
        </w:rPr>
        <w:t>’</w:t>
      </w:r>
      <w:r>
        <w:rPr>
          <w:rStyle w:val="FootnoteReference"/>
          <w:color w:val="000000"/>
          <w:sz w:val="20"/>
          <w:szCs w:val="20"/>
        </w:rPr>
        <w:footnoteReference w:id="4"/>
      </w:r>
      <w:r>
        <w:rPr>
          <w:color w:val="000000"/>
          <w:sz w:val="27"/>
          <w:szCs w:val="27"/>
        </w:rPr>
        <w:t xml:space="preserve"> </w:t>
      </w:r>
    </w:p>
    <w:p w14:paraId="40C04218" w14:textId="72F1E252" w:rsidR="00DE0197" w:rsidRDefault="00DE0197" w:rsidP="00DE0197">
      <w:pPr>
        <w:pStyle w:val="NormalWeb"/>
        <w:spacing w:before="0" w:beforeAutospacing="0" w:after="0" w:afterAutospacing="0"/>
        <w:jc w:val="both"/>
        <w:rPr>
          <w:color w:val="000000"/>
          <w:sz w:val="27"/>
          <w:szCs w:val="27"/>
        </w:rPr>
      </w:pPr>
      <w:r>
        <w:rPr>
          <w:color w:val="000000"/>
        </w:rPr>
        <w:t>Origen holds against </w:t>
      </w:r>
      <w:proofErr w:type="spellStart"/>
      <w:r>
        <w:rPr>
          <w:color w:val="000000"/>
        </w:rPr>
        <w:t>Celsus</w:t>
      </w:r>
      <w:proofErr w:type="spellEnd"/>
      <w:r>
        <w:rPr>
          <w:color w:val="000000"/>
        </w:rPr>
        <w:t> a Judeo-Christian universalism, which I will go into further below, according to which God expressed a claim to rule over all people through the laws handed down to Moses</w:t>
      </w:r>
      <w:r w:rsidR="00AC48B1">
        <w:rPr>
          <w:color w:val="000000"/>
        </w:rPr>
        <w:t>.</w:t>
      </w:r>
      <w:r>
        <w:rPr>
          <w:color w:val="000000"/>
        </w:rPr>
        <w:t xml:space="preserve"> </w:t>
      </w:r>
      <w:r w:rsidR="00AC48B1">
        <w:rPr>
          <w:color w:val="000000"/>
        </w:rPr>
        <w:t>I</w:t>
      </w:r>
      <w:r>
        <w:rPr>
          <w:color w:val="000000"/>
        </w:rPr>
        <w:t xml:space="preserve">n Moses </w:t>
      </w:r>
      <w:r w:rsidR="00AC48B1">
        <w:rPr>
          <w:color w:val="000000"/>
        </w:rPr>
        <w:t xml:space="preserve">he </w:t>
      </w:r>
      <w:r>
        <w:rPr>
          <w:color w:val="000000"/>
        </w:rPr>
        <w:t xml:space="preserve">had chosen a wise man who surpassed all poets and philosophers of other peoples, even if </w:t>
      </w:r>
      <w:r w:rsidR="00376E31">
        <w:rPr>
          <w:color w:val="000000"/>
        </w:rPr>
        <w:t>he</w:t>
      </w:r>
      <w:r>
        <w:rPr>
          <w:color w:val="000000"/>
        </w:rPr>
        <w:t xml:space="preserve"> </w:t>
      </w:r>
      <w:r w:rsidR="00376E31">
        <w:rPr>
          <w:color w:val="000000"/>
        </w:rPr>
        <w:t xml:space="preserve">had to </w:t>
      </w:r>
      <w:proofErr w:type="gramStart"/>
      <w:r w:rsidR="00376E31">
        <w:rPr>
          <w:color w:val="000000"/>
        </w:rPr>
        <w:t>be seen as</w:t>
      </w:r>
      <w:proofErr w:type="gramEnd"/>
      <w:r w:rsidR="00376E31">
        <w:rPr>
          <w:color w:val="000000"/>
        </w:rPr>
        <w:t xml:space="preserve"> ‘</w:t>
      </w:r>
      <w:r>
        <w:rPr>
          <w:color w:val="000000"/>
        </w:rPr>
        <w:t>still far inferior to the Lord</w:t>
      </w:r>
      <w:r w:rsidR="00376E31">
        <w:rPr>
          <w:color w:val="000000"/>
        </w:rPr>
        <w:t>’, Jesus Christ</w:t>
      </w:r>
      <w:r>
        <w:rPr>
          <w:color w:val="000000"/>
        </w:rPr>
        <w:t>:</w:t>
      </w:r>
    </w:p>
    <w:p w14:paraId="2AB470E8" w14:textId="6C928AAB" w:rsidR="00DE0197" w:rsidRDefault="00376E31" w:rsidP="00DE0197">
      <w:pPr>
        <w:pStyle w:val="NormalWeb"/>
        <w:spacing w:before="120" w:beforeAutospacing="0" w:after="120" w:afterAutospacing="0"/>
        <w:ind w:left="567"/>
        <w:jc w:val="both"/>
        <w:rPr>
          <w:color w:val="000000"/>
          <w:sz w:val="27"/>
          <w:szCs w:val="27"/>
        </w:rPr>
      </w:pPr>
      <w:r>
        <w:rPr>
          <w:color w:val="000000"/>
          <w:sz w:val="20"/>
          <w:szCs w:val="20"/>
        </w:rPr>
        <w:t>‘</w:t>
      </w:r>
      <w:bookmarkStart w:id="5" w:name="_ftnref26"/>
      <w:bookmarkEnd w:id="5"/>
      <w:r w:rsidR="005B4E92">
        <w:rPr>
          <w:color w:val="000000"/>
          <w:sz w:val="20"/>
          <w:szCs w:val="20"/>
        </w:rPr>
        <w:t xml:space="preserve">The writings of Moses have moved many even of </w:t>
      </w:r>
      <w:proofErr w:type="gramStart"/>
      <w:r w:rsidR="005B4E92">
        <w:rPr>
          <w:color w:val="000000"/>
          <w:sz w:val="20"/>
          <w:szCs w:val="20"/>
        </w:rPr>
        <w:t>those alien</w:t>
      </w:r>
      <w:proofErr w:type="gramEnd"/>
      <w:r w:rsidR="005B4E92">
        <w:rPr>
          <w:color w:val="000000"/>
          <w:sz w:val="20"/>
          <w:szCs w:val="20"/>
        </w:rPr>
        <w:t xml:space="preserve"> to Jewish culture to believe, as the </w:t>
      </w:r>
      <w:r w:rsidR="007B38F7">
        <w:rPr>
          <w:color w:val="000000"/>
          <w:sz w:val="20"/>
          <w:szCs w:val="20"/>
        </w:rPr>
        <w:t xml:space="preserve">Scriptures claim, that the God who first made these laws and gave them to Moses was the Creator of the world. For it was </w:t>
      </w:r>
      <w:r w:rsidR="00FE3CAE">
        <w:rPr>
          <w:color w:val="000000"/>
          <w:sz w:val="20"/>
          <w:szCs w:val="20"/>
        </w:rPr>
        <w:t xml:space="preserve">fitting that the Creator of the whole world who appointed laws for the whole world should have given a power to the words that was able to overcome men everywhere. I am saying this without raising </w:t>
      </w:r>
      <w:proofErr w:type="gramStart"/>
      <w:r w:rsidR="00FE3CAE">
        <w:rPr>
          <w:color w:val="000000"/>
          <w:sz w:val="20"/>
          <w:szCs w:val="20"/>
        </w:rPr>
        <w:t>as yet</w:t>
      </w:r>
      <w:proofErr w:type="gramEnd"/>
      <w:r w:rsidR="00FE3CAE">
        <w:rPr>
          <w:color w:val="000000"/>
          <w:sz w:val="20"/>
          <w:szCs w:val="20"/>
        </w:rPr>
        <w:t xml:space="preserve"> any question about Jesus, but still treating of Moses who was far inferior to the Lord, to show that, as my argument will prove, he was far superior to your wise poets and philosophers</w:t>
      </w:r>
      <w:r w:rsidR="008A1F96">
        <w:rPr>
          <w:color w:val="000000"/>
          <w:sz w:val="20"/>
          <w:szCs w:val="20"/>
        </w:rPr>
        <w:t>.</w:t>
      </w:r>
      <w:r>
        <w:rPr>
          <w:color w:val="000000"/>
          <w:sz w:val="20"/>
          <w:szCs w:val="20"/>
        </w:rPr>
        <w:t>’</w:t>
      </w:r>
      <w:r>
        <w:rPr>
          <w:rStyle w:val="FootnoteReference"/>
          <w:color w:val="000000"/>
          <w:sz w:val="20"/>
          <w:szCs w:val="20"/>
        </w:rPr>
        <w:footnoteReference w:id="5"/>
      </w:r>
      <w:r>
        <w:rPr>
          <w:color w:val="000000"/>
          <w:sz w:val="27"/>
          <w:szCs w:val="27"/>
        </w:rPr>
        <w:t xml:space="preserve"> </w:t>
      </w:r>
    </w:p>
    <w:p w14:paraId="675C341E" w14:textId="6FACB4C6" w:rsidR="00DE0197" w:rsidRDefault="00DE0197" w:rsidP="00DE0197">
      <w:pPr>
        <w:pStyle w:val="NormalWeb"/>
        <w:spacing w:before="0" w:beforeAutospacing="0" w:after="0" w:afterAutospacing="0"/>
        <w:jc w:val="both"/>
        <w:rPr>
          <w:color w:val="000000"/>
          <w:sz w:val="27"/>
          <w:szCs w:val="27"/>
        </w:rPr>
      </w:pPr>
      <w:r>
        <w:rPr>
          <w:color w:val="000000"/>
        </w:rPr>
        <w:t xml:space="preserve">More than any other writer of early Christianity </w:t>
      </w:r>
      <w:r w:rsidR="003C14A0">
        <w:rPr>
          <w:color w:val="000000"/>
        </w:rPr>
        <w:t xml:space="preserve">of </w:t>
      </w:r>
      <w:r>
        <w:rPr>
          <w:color w:val="000000"/>
        </w:rPr>
        <w:t>Greek tongue Origen</w:t>
      </w:r>
      <w:r w:rsidR="003C14A0">
        <w:rPr>
          <w:color w:val="000000"/>
        </w:rPr>
        <w:t xml:space="preserve"> became</w:t>
      </w:r>
      <w:r>
        <w:rPr>
          <w:color w:val="000000"/>
        </w:rPr>
        <w:t xml:space="preserve"> formative for the East and in certain </w:t>
      </w:r>
      <w:r w:rsidR="003C14A0">
        <w:rPr>
          <w:color w:val="000000"/>
        </w:rPr>
        <w:t>e</w:t>
      </w:r>
      <w:r>
        <w:rPr>
          <w:color w:val="000000"/>
        </w:rPr>
        <w:t xml:space="preserve">xtent </w:t>
      </w:r>
      <w:r w:rsidR="003C14A0">
        <w:rPr>
          <w:color w:val="000000"/>
        </w:rPr>
        <w:t xml:space="preserve">also in the West through </w:t>
      </w:r>
      <w:r>
        <w:rPr>
          <w:color w:val="000000"/>
        </w:rPr>
        <w:t xml:space="preserve">the translations of his works by </w:t>
      </w:r>
      <w:proofErr w:type="spellStart"/>
      <w:r>
        <w:rPr>
          <w:color w:val="000000"/>
        </w:rPr>
        <w:t>Rufin</w:t>
      </w:r>
      <w:r w:rsidR="003C14A0">
        <w:rPr>
          <w:color w:val="000000"/>
        </w:rPr>
        <w:t>us</w:t>
      </w:r>
      <w:proofErr w:type="spellEnd"/>
      <w:r w:rsidR="003C14A0">
        <w:rPr>
          <w:color w:val="000000"/>
        </w:rPr>
        <w:t xml:space="preserve"> of Aquila</w:t>
      </w:r>
      <w:r>
        <w:rPr>
          <w:color w:val="000000"/>
        </w:rPr>
        <w:t xml:space="preserve"> in the fifth century.</w:t>
      </w:r>
      <w:bookmarkStart w:id="6" w:name="_ftnref27"/>
      <w:bookmarkEnd w:id="6"/>
      <w:r w:rsidR="003C14A0">
        <w:rPr>
          <w:rStyle w:val="FootnoteReference"/>
          <w:color w:val="000000"/>
        </w:rPr>
        <w:footnoteReference w:id="6"/>
      </w:r>
    </w:p>
    <w:p w14:paraId="574859CF" w14:textId="79BCBA95" w:rsidR="00DE0197" w:rsidRDefault="00DE0197" w:rsidP="00DE0197">
      <w:pPr>
        <w:pStyle w:val="NormalWeb"/>
        <w:spacing w:before="0" w:beforeAutospacing="0" w:after="0" w:afterAutospacing="0"/>
        <w:ind w:firstLine="720"/>
        <w:jc w:val="both"/>
        <w:rPr>
          <w:color w:val="000000"/>
          <w:sz w:val="27"/>
          <w:szCs w:val="27"/>
        </w:rPr>
      </w:pPr>
      <w:r>
        <w:rPr>
          <w:color w:val="000000"/>
        </w:rPr>
        <w:lastRenderedPageBreak/>
        <w:t xml:space="preserve">Origen gave the most important impetus for the description of the beginnings of Christianity - in addition to many philosophical and theological ideas that ultimately led to the controversy of </w:t>
      </w:r>
      <w:r w:rsidR="000160C8">
        <w:rPr>
          <w:color w:val="000000"/>
        </w:rPr>
        <w:t>‘</w:t>
      </w:r>
      <w:r>
        <w:rPr>
          <w:color w:val="000000"/>
        </w:rPr>
        <w:t>Origenism</w:t>
      </w:r>
      <w:r w:rsidR="000160C8">
        <w:rPr>
          <w:color w:val="000000"/>
        </w:rPr>
        <w:t>’</w:t>
      </w:r>
      <w:r>
        <w:rPr>
          <w:color w:val="000000"/>
        </w:rPr>
        <w:t> from the 4th century onwards - through his advocacy and use of the concepts introduced by Irenaeus of Lyon (approx. 177)</w:t>
      </w:r>
      <w:r w:rsidR="00A03A48">
        <w:rPr>
          <w:color w:val="000000"/>
        </w:rPr>
        <w:t>, present in</w:t>
      </w:r>
      <w:r>
        <w:rPr>
          <w:color w:val="000000"/>
        </w:rPr>
        <w:t xml:space="preserve"> the New Testament </w:t>
      </w:r>
      <w:r w:rsidR="00104355">
        <w:rPr>
          <w:color w:val="000000"/>
        </w:rPr>
        <w:t xml:space="preserve">together with </w:t>
      </w:r>
      <w:r>
        <w:rPr>
          <w:color w:val="000000"/>
        </w:rPr>
        <w:t xml:space="preserve">those of the Old Testament. Even if </w:t>
      </w:r>
      <w:r w:rsidR="00104355">
        <w:rPr>
          <w:color w:val="000000"/>
        </w:rPr>
        <w:t>Origen</w:t>
      </w:r>
      <w:r>
        <w:rPr>
          <w:color w:val="000000"/>
        </w:rPr>
        <w:t xml:space="preserve"> was not the first Christian writer to present interpretations of </w:t>
      </w:r>
      <w:r w:rsidR="00104355">
        <w:rPr>
          <w:color w:val="000000"/>
        </w:rPr>
        <w:t>the biblical books, including those</w:t>
      </w:r>
      <w:r w:rsidR="00CA2166">
        <w:rPr>
          <w:color w:val="000000"/>
        </w:rPr>
        <w:t xml:space="preserve"> being now present in the New Testament</w:t>
      </w:r>
      <w:r>
        <w:rPr>
          <w:color w:val="000000"/>
        </w:rPr>
        <w:t xml:space="preserve">, the </w:t>
      </w:r>
      <w:r w:rsidR="00CA2166">
        <w:rPr>
          <w:color w:val="000000"/>
        </w:rPr>
        <w:t>‘</w:t>
      </w:r>
      <w:r>
        <w:rPr>
          <w:color w:val="000000"/>
        </w:rPr>
        <w:t>scope of Origen's work</w:t>
      </w:r>
      <w:r w:rsidR="00CA2166">
        <w:rPr>
          <w:color w:val="000000"/>
        </w:rPr>
        <w:t>’</w:t>
      </w:r>
      <w:r>
        <w:rPr>
          <w:color w:val="000000"/>
        </w:rPr>
        <w:t xml:space="preserve"> was </w:t>
      </w:r>
      <w:r w:rsidR="00CA2166">
        <w:rPr>
          <w:color w:val="000000"/>
        </w:rPr>
        <w:t>‘</w:t>
      </w:r>
      <w:r>
        <w:rPr>
          <w:color w:val="000000"/>
        </w:rPr>
        <w:t>legendary</w:t>
      </w:r>
      <w:r w:rsidR="00CA2166">
        <w:rPr>
          <w:color w:val="000000"/>
        </w:rPr>
        <w:t>’</w:t>
      </w:r>
      <w:r>
        <w:rPr>
          <w:color w:val="000000"/>
        </w:rPr>
        <w:t xml:space="preserve"> in antiquity, and</w:t>
      </w:r>
      <w:r w:rsidR="00CA2166">
        <w:rPr>
          <w:color w:val="000000"/>
        </w:rPr>
        <w:t>, indeed,</w:t>
      </w:r>
      <w:r>
        <w:rPr>
          <w:color w:val="000000"/>
        </w:rPr>
        <w:t xml:space="preserve"> </w:t>
      </w:r>
      <w:r w:rsidR="00CA2166">
        <w:rPr>
          <w:color w:val="000000"/>
        </w:rPr>
        <w:t>‘</w:t>
      </w:r>
      <w:proofErr w:type="gramStart"/>
      <w:r>
        <w:rPr>
          <w:color w:val="000000"/>
        </w:rPr>
        <w:t>the vast majority of</w:t>
      </w:r>
      <w:proofErr w:type="gramEnd"/>
      <w:r>
        <w:rPr>
          <w:color w:val="000000"/>
        </w:rPr>
        <w:t xml:space="preserve"> his work were exegetical writings</w:t>
      </w:r>
      <w:r w:rsidR="00CA2166">
        <w:rPr>
          <w:color w:val="000000"/>
        </w:rPr>
        <w:t>’</w:t>
      </w:r>
      <w:r>
        <w:rPr>
          <w:color w:val="000000"/>
        </w:rPr>
        <w:t xml:space="preserve">, of which unfortunately </w:t>
      </w:r>
      <w:r w:rsidR="00CA2166">
        <w:rPr>
          <w:color w:val="000000"/>
        </w:rPr>
        <w:t>‘</w:t>
      </w:r>
      <w:r>
        <w:rPr>
          <w:color w:val="000000"/>
        </w:rPr>
        <w:t>the greater part has been lost</w:t>
      </w:r>
      <w:r w:rsidR="00CA2166">
        <w:rPr>
          <w:color w:val="000000"/>
        </w:rPr>
        <w:t>’</w:t>
      </w:r>
      <w:r>
        <w:rPr>
          <w:color w:val="000000"/>
        </w:rPr>
        <w:t>.</w:t>
      </w:r>
      <w:bookmarkStart w:id="7" w:name="_ftnref28"/>
      <w:bookmarkEnd w:id="7"/>
      <w:r w:rsidR="00CA2166">
        <w:rPr>
          <w:rStyle w:val="FootnoteReference"/>
          <w:color w:val="000000"/>
        </w:rPr>
        <w:footnoteReference w:id="7"/>
      </w:r>
      <w:r w:rsidR="00CA2166">
        <w:rPr>
          <w:color w:val="000000"/>
          <w:sz w:val="27"/>
          <w:szCs w:val="27"/>
        </w:rPr>
        <w:t xml:space="preserve"> </w:t>
      </w:r>
    </w:p>
    <w:p w14:paraId="0DAA3E28" w14:textId="33D9009F" w:rsidR="00DE0197" w:rsidRDefault="00CB6363" w:rsidP="00DE0197">
      <w:pPr>
        <w:pStyle w:val="NormalWeb"/>
        <w:spacing w:before="0" w:beforeAutospacing="0" w:after="0" w:afterAutospacing="0"/>
        <w:ind w:firstLine="720"/>
        <w:jc w:val="both"/>
        <w:rPr>
          <w:color w:val="000000"/>
          <w:sz w:val="27"/>
          <w:szCs w:val="27"/>
        </w:rPr>
      </w:pPr>
      <w:r>
        <w:rPr>
          <w:color w:val="000000"/>
        </w:rPr>
        <w:t xml:space="preserve">Looking at his exegetical output, it is </w:t>
      </w:r>
      <w:proofErr w:type="gramStart"/>
      <w:r w:rsidR="00C728A9">
        <w:rPr>
          <w:color w:val="000000"/>
        </w:rPr>
        <w:t>highly important</w:t>
      </w:r>
      <w:proofErr w:type="gramEnd"/>
      <w:r w:rsidR="00C728A9">
        <w:rPr>
          <w:color w:val="000000"/>
        </w:rPr>
        <w:t xml:space="preserve"> for his understanding of the beginnings of Christianity that he not only commented on books of the Old Testament, but equally on the New Testament, reckoning these writings to be on par </w:t>
      </w:r>
      <w:r w:rsidR="00387C3D">
        <w:rPr>
          <w:color w:val="000000"/>
        </w:rPr>
        <w:t>with those of the Old Testament forming an extended Christian Bible</w:t>
      </w:r>
      <w:r w:rsidR="00DE0197">
        <w:rPr>
          <w:color w:val="000000"/>
        </w:rPr>
        <w:t>. </w:t>
      </w:r>
      <w:r w:rsidR="00387C3D">
        <w:rPr>
          <w:color w:val="000000"/>
        </w:rPr>
        <w:t>‘</w:t>
      </w:r>
      <w:r w:rsidR="00DE0197">
        <w:rPr>
          <w:color w:val="000000"/>
        </w:rPr>
        <w:t>Convinced that the Holy Scriptures were written directly under God's direction</w:t>
      </w:r>
      <w:r w:rsidR="008779AD">
        <w:rPr>
          <w:color w:val="000000"/>
        </w:rPr>
        <w:t>’</w:t>
      </w:r>
      <w:r w:rsidR="00DE0197">
        <w:rPr>
          <w:color w:val="000000"/>
        </w:rPr>
        <w:t xml:space="preserve">, that is, both the Jewish and the Christian scriptures, he saw himself </w:t>
      </w:r>
      <w:r w:rsidR="008779AD">
        <w:rPr>
          <w:color w:val="000000"/>
        </w:rPr>
        <w:t>‘</w:t>
      </w:r>
      <w:r w:rsidR="00DE0197">
        <w:rPr>
          <w:color w:val="000000"/>
        </w:rPr>
        <w:t>not obliged to believe in the inerrancy of their literal meaning</w:t>
      </w:r>
      <w:r w:rsidR="008779AD">
        <w:rPr>
          <w:color w:val="000000"/>
        </w:rPr>
        <w:t>’</w:t>
      </w:r>
      <w:r w:rsidR="00DE0197">
        <w:rPr>
          <w:color w:val="000000"/>
        </w:rPr>
        <w:t>.</w:t>
      </w:r>
      <w:bookmarkStart w:id="8" w:name="_ftnref29"/>
      <w:bookmarkEnd w:id="8"/>
      <w:r w:rsidR="008779AD">
        <w:rPr>
          <w:rStyle w:val="FootnoteReference"/>
          <w:color w:val="000000"/>
        </w:rPr>
        <w:footnoteReference w:id="8"/>
      </w:r>
      <w:r w:rsidR="008779AD">
        <w:rPr>
          <w:color w:val="000000"/>
        </w:rPr>
        <w:t xml:space="preserve"> </w:t>
      </w:r>
      <w:r w:rsidR="00DE0197">
        <w:rPr>
          <w:color w:val="000000"/>
        </w:rPr>
        <w:t xml:space="preserve">Despite this restriction, which </w:t>
      </w:r>
      <w:r w:rsidR="008779AD">
        <w:rPr>
          <w:color w:val="000000"/>
        </w:rPr>
        <w:t>‘</w:t>
      </w:r>
      <w:r w:rsidR="00DE0197">
        <w:rPr>
          <w:color w:val="000000"/>
        </w:rPr>
        <w:t>aroused the contradiction of those who saw the authority of Scripture endangered by the admission that the Bible does not always report historical facts</w:t>
      </w:r>
      <w:r w:rsidR="001C1D90">
        <w:rPr>
          <w:color w:val="000000"/>
        </w:rPr>
        <w:t>’</w:t>
      </w:r>
      <w:r w:rsidR="00DE0197">
        <w:rPr>
          <w:color w:val="000000"/>
        </w:rPr>
        <w:t>,</w:t>
      </w:r>
      <w:bookmarkStart w:id="9" w:name="_ftnref30"/>
      <w:bookmarkEnd w:id="9"/>
      <w:r w:rsidR="001C1D90">
        <w:rPr>
          <w:rStyle w:val="FootnoteReference"/>
          <w:color w:val="000000"/>
        </w:rPr>
        <w:footnoteReference w:id="9"/>
      </w:r>
      <w:r w:rsidR="001C1D90">
        <w:rPr>
          <w:color w:val="000000"/>
        </w:rPr>
        <w:t xml:space="preserve"> f</w:t>
      </w:r>
      <w:r w:rsidR="00DE0197">
        <w:rPr>
          <w:color w:val="000000"/>
        </w:rPr>
        <w:t>or Origen the Bible formed the immovable foundation on which his own view of the world, history, philosophy and theology was based. He opens his systematic work of the four books </w:t>
      </w:r>
      <w:r w:rsidR="001C1D90">
        <w:rPr>
          <w:color w:val="000000"/>
        </w:rPr>
        <w:t>‘</w:t>
      </w:r>
      <w:r w:rsidR="00DE0197">
        <w:rPr>
          <w:color w:val="000000"/>
        </w:rPr>
        <w:t>On the principles</w:t>
      </w:r>
      <w:r w:rsidR="001C1D90">
        <w:rPr>
          <w:color w:val="000000"/>
        </w:rPr>
        <w:t>’</w:t>
      </w:r>
      <w:r w:rsidR="00DE0197">
        <w:rPr>
          <w:color w:val="000000"/>
        </w:rPr>
        <w:t xml:space="preserve"> </w:t>
      </w:r>
      <w:r w:rsidR="00833E3D">
        <w:rPr>
          <w:color w:val="000000"/>
        </w:rPr>
        <w:t>with reference to Scriptures</w:t>
      </w:r>
      <w:r w:rsidR="00DE0197">
        <w:rPr>
          <w:color w:val="000000"/>
        </w:rPr>
        <w:t>:</w:t>
      </w:r>
    </w:p>
    <w:p w14:paraId="571F43D8" w14:textId="169560E5" w:rsidR="00DE0197" w:rsidRDefault="00833E3D" w:rsidP="00F81B97">
      <w:pPr>
        <w:pStyle w:val="NormalWeb"/>
        <w:spacing w:before="120" w:beforeAutospacing="0" w:after="120" w:afterAutospacing="0"/>
        <w:ind w:left="567"/>
        <w:jc w:val="both"/>
        <w:rPr>
          <w:color w:val="000000"/>
          <w:sz w:val="27"/>
          <w:szCs w:val="27"/>
        </w:rPr>
      </w:pPr>
      <w:r>
        <w:rPr>
          <w:color w:val="000000"/>
          <w:sz w:val="20"/>
          <w:szCs w:val="20"/>
        </w:rPr>
        <w:t>‘</w:t>
      </w:r>
      <w:r w:rsidR="000D6D02" w:rsidRPr="000D6D02">
        <w:rPr>
          <w:color w:val="000000"/>
          <w:sz w:val="20"/>
          <w:szCs w:val="20"/>
        </w:rPr>
        <w:t xml:space="preserve">All who believe and are assured that grace and truth were obtained through Jesus Christ, and who know Christ to be the truth, agreeably to His own declaration, </w:t>
      </w:r>
      <w:r w:rsidR="000D6D02" w:rsidRPr="000D6D02">
        <w:rPr>
          <w:i/>
          <w:color w:val="000000"/>
          <w:sz w:val="20"/>
          <w:szCs w:val="20"/>
        </w:rPr>
        <w:t>I am the truth</w:t>
      </w:r>
      <w:r w:rsidR="000D6D02" w:rsidRPr="000D6D02">
        <w:rPr>
          <w:color w:val="000000"/>
          <w:sz w:val="20"/>
          <w:szCs w:val="20"/>
        </w:rPr>
        <w:t xml:space="preserve">, derive the knowledge which incites men to a good and happy life from no other source than from the very words and teaching of Christ. And by the words of </w:t>
      </w:r>
      <w:proofErr w:type="gramStart"/>
      <w:r w:rsidR="000D6D02" w:rsidRPr="000D6D02">
        <w:rPr>
          <w:color w:val="000000"/>
          <w:sz w:val="20"/>
          <w:szCs w:val="20"/>
        </w:rPr>
        <w:t>Christ</w:t>
      </w:r>
      <w:proofErr w:type="gramEnd"/>
      <w:r w:rsidR="000D6D02" w:rsidRPr="000D6D02">
        <w:rPr>
          <w:color w:val="000000"/>
          <w:sz w:val="20"/>
          <w:szCs w:val="20"/>
        </w:rPr>
        <w:t xml:space="preserve"> we do not mean those only which He spoke when He became man and tabernacled in the flesh; for before that time, Christ, the Word of God, was in Moses and the prophets</w:t>
      </w:r>
      <w:r w:rsidR="00DE0197">
        <w:rPr>
          <w:color w:val="000000"/>
          <w:sz w:val="20"/>
          <w:szCs w:val="20"/>
        </w:rPr>
        <w:t>.</w:t>
      </w:r>
      <w:bookmarkStart w:id="10" w:name="_ftnref31"/>
      <w:bookmarkEnd w:id="10"/>
      <w:r>
        <w:rPr>
          <w:color w:val="000000"/>
          <w:sz w:val="20"/>
          <w:szCs w:val="20"/>
        </w:rPr>
        <w:t>’</w:t>
      </w:r>
      <w:r>
        <w:rPr>
          <w:rStyle w:val="FootnoteReference"/>
          <w:color w:val="000000"/>
          <w:sz w:val="20"/>
          <w:szCs w:val="20"/>
        </w:rPr>
        <w:footnoteReference w:id="10"/>
      </w:r>
      <w:r>
        <w:rPr>
          <w:color w:val="000000"/>
          <w:sz w:val="27"/>
          <w:szCs w:val="27"/>
        </w:rPr>
        <w:t xml:space="preserve"> </w:t>
      </w:r>
    </w:p>
    <w:p w14:paraId="657AA1F7" w14:textId="04ED5DBF" w:rsidR="00DE0197" w:rsidRDefault="00DE0197" w:rsidP="00DE0197">
      <w:pPr>
        <w:pStyle w:val="NormalWeb"/>
        <w:spacing w:before="0" w:beforeAutospacing="0" w:after="0" w:afterAutospacing="0"/>
        <w:jc w:val="both"/>
        <w:rPr>
          <w:color w:val="000000"/>
          <w:sz w:val="27"/>
          <w:szCs w:val="27"/>
        </w:rPr>
      </w:pPr>
      <w:r>
        <w:rPr>
          <w:color w:val="000000"/>
        </w:rPr>
        <w:t>What we are more familiar with today, that Christians read the Holy Scriptures of the Old and New Testaments in their worship and in their personal spiritual reading and understand them as their Bible, does not seem to have been common knowledge according to this foreword by Origen. </w:t>
      </w:r>
      <w:r w:rsidR="00323185">
        <w:rPr>
          <w:color w:val="000000"/>
        </w:rPr>
        <w:t>Hence,</w:t>
      </w:r>
      <w:r>
        <w:rPr>
          <w:color w:val="000000"/>
        </w:rPr>
        <w:t xml:space="preserve"> he must first emphasize that as a Christian he not only wants to orient himself to the words and teaching of Christ, which originate from him </w:t>
      </w:r>
      <w:r w:rsidR="005714F8">
        <w:rPr>
          <w:color w:val="000000"/>
        </w:rPr>
        <w:t>‘</w:t>
      </w:r>
      <w:r>
        <w:rPr>
          <w:color w:val="000000"/>
        </w:rPr>
        <w:t>after his incarnation</w:t>
      </w:r>
      <w:r w:rsidR="005714F8">
        <w:rPr>
          <w:color w:val="000000"/>
        </w:rPr>
        <w:t>’</w:t>
      </w:r>
      <w:r>
        <w:rPr>
          <w:color w:val="000000"/>
        </w:rPr>
        <w:t xml:space="preserve">, but that even at the time of Moses and the prophets </w:t>
      </w:r>
      <w:r w:rsidR="005714F8">
        <w:rPr>
          <w:color w:val="000000"/>
        </w:rPr>
        <w:t>‘</w:t>
      </w:r>
      <w:r>
        <w:rPr>
          <w:color w:val="000000"/>
        </w:rPr>
        <w:t>Christ as the word of God</w:t>
      </w:r>
      <w:r w:rsidR="005714F8">
        <w:rPr>
          <w:color w:val="000000"/>
        </w:rPr>
        <w:t>’</w:t>
      </w:r>
      <w:r>
        <w:rPr>
          <w:color w:val="000000"/>
        </w:rPr>
        <w:t xml:space="preserve"> was present in these, so these scriptures also have validity for Christians. Origen initiated this consideration from a </w:t>
      </w:r>
      <w:r w:rsidR="005714F8">
        <w:rPr>
          <w:color w:val="000000"/>
        </w:rPr>
        <w:t>remark</w:t>
      </w:r>
      <w:r>
        <w:rPr>
          <w:color w:val="000000"/>
        </w:rPr>
        <w:t xml:space="preserve"> in Paul from, where </w:t>
      </w:r>
      <w:r w:rsidR="005714F8">
        <w:rPr>
          <w:color w:val="000000"/>
        </w:rPr>
        <w:t>Paul</w:t>
      </w:r>
      <w:r>
        <w:rPr>
          <w:color w:val="000000"/>
        </w:rPr>
        <w:t xml:space="preserve"> says: </w:t>
      </w:r>
      <w:r w:rsidR="005714F8">
        <w:rPr>
          <w:color w:val="000000"/>
        </w:rPr>
        <w:t>‘</w:t>
      </w:r>
      <w:r w:rsidR="00C46FD7">
        <w:rPr>
          <w:color w:val="000000"/>
        </w:rPr>
        <w:t>Observe</w:t>
      </w:r>
      <w:r>
        <w:rPr>
          <w:color w:val="000000"/>
        </w:rPr>
        <w:t xml:space="preserve"> Israel after the flesh</w:t>
      </w:r>
      <w:r w:rsidR="005714F8">
        <w:rPr>
          <w:color w:val="000000"/>
        </w:rPr>
        <w:t>’</w:t>
      </w:r>
      <w:r>
        <w:rPr>
          <w:color w:val="000000"/>
        </w:rPr>
        <w:t> (1</w:t>
      </w:r>
      <w:r w:rsidRPr="005714F8">
        <w:rPr>
          <w:i/>
          <w:color w:val="000000"/>
        </w:rPr>
        <w:t>Cor</w:t>
      </w:r>
      <w:r>
        <w:rPr>
          <w:color w:val="000000"/>
        </w:rPr>
        <w:t xml:space="preserve"> 10:18), </w:t>
      </w:r>
      <w:r w:rsidR="00D4100E">
        <w:rPr>
          <w:color w:val="000000"/>
        </w:rPr>
        <w:t xml:space="preserve">from which Origen reads </w:t>
      </w:r>
      <w:r>
        <w:rPr>
          <w:color w:val="000000"/>
        </w:rPr>
        <w:t xml:space="preserve">that </w:t>
      </w:r>
      <w:r w:rsidR="00D4100E">
        <w:rPr>
          <w:color w:val="000000"/>
        </w:rPr>
        <w:t>there</w:t>
      </w:r>
      <w:r>
        <w:rPr>
          <w:color w:val="000000"/>
        </w:rPr>
        <w:t xml:space="preserve"> is </w:t>
      </w:r>
      <w:r w:rsidR="00D4100E">
        <w:rPr>
          <w:color w:val="000000"/>
        </w:rPr>
        <w:t>‘</w:t>
      </w:r>
      <w:r>
        <w:rPr>
          <w:color w:val="000000"/>
        </w:rPr>
        <w:t xml:space="preserve">obviously an Israel </w:t>
      </w:r>
      <w:r w:rsidR="00D4100E">
        <w:rPr>
          <w:color w:val="000000"/>
        </w:rPr>
        <w:t xml:space="preserve">which is according to </w:t>
      </w:r>
      <w:r>
        <w:rPr>
          <w:color w:val="000000"/>
        </w:rPr>
        <w:t>the spirit</w:t>
      </w:r>
      <w:r w:rsidR="00D4100E">
        <w:rPr>
          <w:color w:val="000000"/>
        </w:rPr>
        <w:t>’, which he equated with the Church.</w:t>
      </w:r>
      <w:bookmarkStart w:id="11" w:name="_ftnref32"/>
      <w:bookmarkEnd w:id="11"/>
      <w:r w:rsidR="00D4100E">
        <w:rPr>
          <w:rStyle w:val="FootnoteReference"/>
          <w:color w:val="000000"/>
        </w:rPr>
        <w:footnoteReference w:id="11"/>
      </w:r>
      <w:r w:rsidR="00D4100E">
        <w:rPr>
          <w:color w:val="000000"/>
        </w:rPr>
        <w:t xml:space="preserve"> </w:t>
      </w:r>
      <w:r>
        <w:rPr>
          <w:color w:val="000000"/>
        </w:rPr>
        <w:t xml:space="preserve">From this he concluded not only to </w:t>
      </w:r>
      <w:r w:rsidR="00D4100E">
        <w:rPr>
          <w:color w:val="000000"/>
        </w:rPr>
        <w:t>‘</w:t>
      </w:r>
      <w:r>
        <w:rPr>
          <w:color w:val="000000"/>
        </w:rPr>
        <w:t>read the history of Israel as the history</w:t>
      </w:r>
      <w:r w:rsidR="00D4100E">
        <w:rPr>
          <w:color w:val="000000"/>
        </w:rPr>
        <w:t>’</w:t>
      </w:r>
      <w:r>
        <w:rPr>
          <w:color w:val="000000"/>
        </w:rPr>
        <w:t xml:space="preserve"> of the Christian </w:t>
      </w:r>
      <w:r w:rsidR="00D4100E">
        <w:rPr>
          <w:color w:val="000000"/>
        </w:rPr>
        <w:t>‘</w:t>
      </w:r>
      <w:r>
        <w:rPr>
          <w:color w:val="000000"/>
        </w:rPr>
        <w:t>spiritual life</w:t>
      </w:r>
      <w:r w:rsidR="00D4100E">
        <w:rPr>
          <w:color w:val="000000"/>
        </w:rPr>
        <w:t>’</w:t>
      </w:r>
      <w:r>
        <w:rPr>
          <w:color w:val="000000"/>
        </w:rPr>
        <w:t>,</w:t>
      </w:r>
      <w:bookmarkStart w:id="12" w:name="_ftnref33"/>
      <w:bookmarkEnd w:id="12"/>
      <w:r w:rsidR="00D4100E">
        <w:rPr>
          <w:rStyle w:val="FootnoteReference"/>
          <w:color w:val="000000"/>
        </w:rPr>
        <w:footnoteReference w:id="12"/>
      </w:r>
      <w:r w:rsidR="00D4100E">
        <w:rPr>
          <w:color w:val="000000"/>
        </w:rPr>
        <w:t xml:space="preserve"> </w:t>
      </w:r>
      <w:r>
        <w:rPr>
          <w:color w:val="000000"/>
        </w:rPr>
        <w:t>but he also formulated with </w:t>
      </w:r>
      <w:r w:rsidRPr="00D4100E">
        <w:rPr>
          <w:i/>
          <w:color w:val="000000"/>
        </w:rPr>
        <w:t>Rom</w:t>
      </w:r>
      <w:r>
        <w:rPr>
          <w:color w:val="000000"/>
        </w:rPr>
        <w:t> 9</w:t>
      </w:r>
      <w:r w:rsidR="00D4100E">
        <w:rPr>
          <w:color w:val="000000"/>
        </w:rPr>
        <w:t>:</w:t>
      </w:r>
      <w:r>
        <w:rPr>
          <w:color w:val="000000"/>
        </w:rPr>
        <w:t xml:space="preserve">8 that </w:t>
      </w:r>
      <w:r w:rsidR="00D4100E">
        <w:rPr>
          <w:color w:val="000000"/>
        </w:rPr>
        <w:t>‘</w:t>
      </w:r>
      <w:r>
        <w:rPr>
          <w:color w:val="000000"/>
        </w:rPr>
        <w:t>the carnal children are not children of God</w:t>
      </w:r>
      <w:r w:rsidR="00D4100E">
        <w:rPr>
          <w:color w:val="000000"/>
        </w:rPr>
        <w:t>’</w:t>
      </w:r>
      <w:r>
        <w:rPr>
          <w:color w:val="000000"/>
        </w:rPr>
        <w:t>, and with </w:t>
      </w:r>
      <w:r w:rsidRPr="00D4100E">
        <w:rPr>
          <w:i/>
          <w:color w:val="000000"/>
        </w:rPr>
        <w:t>Rom</w:t>
      </w:r>
      <w:r>
        <w:rPr>
          <w:color w:val="000000"/>
        </w:rPr>
        <w:t> 9</w:t>
      </w:r>
      <w:r w:rsidR="00D4100E">
        <w:rPr>
          <w:color w:val="000000"/>
        </w:rPr>
        <w:t>:</w:t>
      </w:r>
      <w:r>
        <w:rPr>
          <w:color w:val="000000"/>
        </w:rPr>
        <w:t xml:space="preserve">6 </w:t>
      </w:r>
      <w:r w:rsidR="00D4100E">
        <w:rPr>
          <w:color w:val="000000"/>
        </w:rPr>
        <w:t>that ‘</w:t>
      </w:r>
      <w:r>
        <w:rPr>
          <w:color w:val="000000"/>
        </w:rPr>
        <w:t xml:space="preserve">not all Israelites </w:t>
      </w:r>
      <w:r w:rsidR="00D4100E">
        <w:rPr>
          <w:color w:val="000000"/>
        </w:rPr>
        <w:t xml:space="preserve">are from </w:t>
      </w:r>
      <w:r>
        <w:rPr>
          <w:color w:val="000000"/>
        </w:rPr>
        <w:t>Israel</w:t>
      </w:r>
      <w:r w:rsidR="00D4100E">
        <w:rPr>
          <w:color w:val="000000"/>
        </w:rPr>
        <w:t>’</w:t>
      </w:r>
      <w:r>
        <w:rPr>
          <w:color w:val="000000"/>
        </w:rPr>
        <w:t xml:space="preserve">, but that the real Israelite is the </w:t>
      </w:r>
      <w:r w:rsidR="00D4100E">
        <w:rPr>
          <w:color w:val="000000"/>
        </w:rPr>
        <w:t>‘</w:t>
      </w:r>
      <w:r>
        <w:rPr>
          <w:color w:val="000000"/>
        </w:rPr>
        <w:t>Jew in secret</w:t>
      </w:r>
      <w:r w:rsidR="00D4100E">
        <w:rPr>
          <w:color w:val="000000"/>
        </w:rPr>
        <w:t>’,</w:t>
      </w:r>
      <w:r>
        <w:rPr>
          <w:color w:val="000000"/>
        </w:rPr>
        <w:t xml:space="preserve"> the </w:t>
      </w:r>
      <w:r w:rsidR="00D4100E">
        <w:rPr>
          <w:color w:val="000000"/>
        </w:rPr>
        <w:t>‘</w:t>
      </w:r>
      <w:r>
        <w:rPr>
          <w:color w:val="000000"/>
        </w:rPr>
        <w:t>inner man</w:t>
      </w:r>
      <w:r w:rsidR="00D4100E">
        <w:rPr>
          <w:color w:val="000000"/>
        </w:rPr>
        <w:t>’</w:t>
      </w:r>
      <w:r>
        <w:rPr>
          <w:color w:val="000000"/>
        </w:rPr>
        <w:t xml:space="preserve">, </w:t>
      </w:r>
      <w:r w:rsidR="00D4100E">
        <w:rPr>
          <w:color w:val="000000"/>
        </w:rPr>
        <w:t xml:space="preserve">namely </w:t>
      </w:r>
      <w:r>
        <w:rPr>
          <w:color w:val="000000"/>
        </w:rPr>
        <w:t>the Christian.</w:t>
      </w:r>
      <w:bookmarkStart w:id="13" w:name="_ftnref34"/>
      <w:bookmarkEnd w:id="13"/>
      <w:r w:rsidR="00D4100E">
        <w:rPr>
          <w:rStyle w:val="FootnoteReference"/>
          <w:color w:val="000000"/>
        </w:rPr>
        <w:footnoteReference w:id="13"/>
      </w:r>
      <w:r w:rsidR="00D4100E">
        <w:rPr>
          <w:color w:val="000000"/>
          <w:sz w:val="27"/>
          <w:szCs w:val="27"/>
        </w:rPr>
        <w:t xml:space="preserve"> </w:t>
      </w:r>
    </w:p>
    <w:p w14:paraId="2CA45B2C" w14:textId="6543ACEE"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This connection between Christian and Jewish heritage leads Origen at the same time to a theory of disinheritance for Israel according to the flesh: </w:t>
      </w:r>
      <w:r w:rsidR="00FA6E9A">
        <w:rPr>
          <w:color w:val="000000"/>
        </w:rPr>
        <w:t>‘</w:t>
      </w:r>
      <w:r>
        <w:rPr>
          <w:color w:val="000000"/>
        </w:rPr>
        <w:t>But if the promises made in sensual representations are spiritual, then the intended recipients are not physical either.</w:t>
      </w:r>
      <w:bookmarkStart w:id="14" w:name="_ftnref35"/>
      <w:bookmarkEnd w:id="14"/>
      <w:r w:rsidR="00FA6E9A">
        <w:rPr>
          <w:color w:val="000000"/>
        </w:rPr>
        <w:t>’</w:t>
      </w:r>
      <w:r w:rsidR="00FA6E9A">
        <w:rPr>
          <w:rStyle w:val="FootnoteReference"/>
          <w:color w:val="000000"/>
        </w:rPr>
        <w:footnoteReference w:id="14"/>
      </w:r>
      <w:r w:rsidR="00FA6E9A">
        <w:rPr>
          <w:color w:val="000000"/>
        </w:rPr>
        <w:t xml:space="preserve"> </w:t>
      </w:r>
      <w:r>
        <w:rPr>
          <w:color w:val="000000"/>
        </w:rPr>
        <w:t xml:space="preserve">Bodily, circumcised Jews, who are genealogically traced back to the tribes of Israel, are no </w:t>
      </w:r>
      <w:r>
        <w:rPr>
          <w:color w:val="000000"/>
        </w:rPr>
        <w:lastRenderedPageBreak/>
        <w:t xml:space="preserve">longer seen by Origen as recipients of the divine promises, but instead the hidden Jew and inner Christian of the </w:t>
      </w:r>
      <w:r w:rsidR="00945288">
        <w:rPr>
          <w:color w:val="000000"/>
        </w:rPr>
        <w:t>C</w:t>
      </w:r>
      <w:r>
        <w:rPr>
          <w:color w:val="000000"/>
        </w:rPr>
        <w:t>hurch has taken </w:t>
      </w:r>
      <w:r w:rsidR="00945288">
        <w:rPr>
          <w:color w:val="000000"/>
        </w:rPr>
        <w:t>the</w:t>
      </w:r>
      <w:r>
        <w:rPr>
          <w:color w:val="000000"/>
        </w:rPr>
        <w:t xml:space="preserve"> place </w:t>
      </w:r>
      <w:r w:rsidR="00945288">
        <w:rPr>
          <w:color w:val="000000"/>
        </w:rPr>
        <w:t>of the fleshly Jews</w:t>
      </w:r>
      <w:r>
        <w:rPr>
          <w:color w:val="000000"/>
        </w:rPr>
        <w:t xml:space="preserve">. Judaism is disowned and the legacy </w:t>
      </w:r>
      <w:r w:rsidR="00945288">
        <w:rPr>
          <w:color w:val="000000"/>
        </w:rPr>
        <w:t xml:space="preserve">has been </w:t>
      </w:r>
      <w:r>
        <w:rPr>
          <w:color w:val="000000"/>
        </w:rPr>
        <w:t xml:space="preserve">overwritten </w:t>
      </w:r>
      <w:r w:rsidR="00945288">
        <w:rPr>
          <w:color w:val="000000"/>
        </w:rPr>
        <w:t xml:space="preserve">to </w:t>
      </w:r>
      <w:r>
        <w:rPr>
          <w:color w:val="000000"/>
        </w:rPr>
        <w:t xml:space="preserve">Christianity, a doctrine that shortly after the Second Jewish War </w:t>
      </w:r>
      <w:r w:rsidR="001D377A">
        <w:rPr>
          <w:color w:val="000000"/>
        </w:rPr>
        <w:t xml:space="preserve">were developed </w:t>
      </w:r>
      <w:r>
        <w:rPr>
          <w:color w:val="000000"/>
        </w:rPr>
        <w:t xml:space="preserve">by several authors: Aristides, the Athenian philosopher who </w:t>
      </w:r>
      <w:r w:rsidR="001D377A">
        <w:rPr>
          <w:color w:val="000000"/>
        </w:rPr>
        <w:t xml:space="preserve">in his </w:t>
      </w:r>
      <w:r w:rsidR="001D377A">
        <w:rPr>
          <w:i/>
          <w:color w:val="000000"/>
        </w:rPr>
        <w:t xml:space="preserve">Apology </w:t>
      </w:r>
      <w:r>
        <w:rPr>
          <w:color w:val="000000"/>
        </w:rPr>
        <w:t xml:space="preserve">in the mid-second century </w:t>
      </w:r>
      <w:r w:rsidR="001D377A">
        <w:rPr>
          <w:color w:val="000000"/>
        </w:rPr>
        <w:t xml:space="preserve">distinguished three, </w:t>
      </w:r>
      <w:r>
        <w:rPr>
          <w:color w:val="000000"/>
        </w:rPr>
        <w:t>or, according to the Armenian version</w:t>
      </w:r>
      <w:r w:rsidR="001D377A">
        <w:rPr>
          <w:color w:val="000000"/>
        </w:rPr>
        <w:t xml:space="preserve"> of this work</w:t>
      </w:r>
      <w:r>
        <w:rPr>
          <w:color w:val="000000"/>
        </w:rPr>
        <w:t>, four</w:t>
      </w:r>
      <w:r w:rsidR="001D377A">
        <w:rPr>
          <w:color w:val="000000"/>
        </w:rPr>
        <w:t xml:space="preserve"> different</w:t>
      </w:r>
      <w:r>
        <w:rPr>
          <w:color w:val="000000"/>
        </w:rPr>
        <w:t xml:space="preserve"> peoples of this world</w:t>
      </w:r>
      <w:r w:rsidR="00107D74">
        <w:rPr>
          <w:color w:val="000000"/>
        </w:rPr>
        <w:t>, gave the Christians a distinct identity.</w:t>
      </w:r>
      <w:r>
        <w:rPr>
          <w:color w:val="000000"/>
        </w:rPr>
        <w:t xml:space="preserve"> Christians trace</w:t>
      </w:r>
      <w:r w:rsidR="00107D74">
        <w:rPr>
          <w:color w:val="000000"/>
        </w:rPr>
        <w:t>d</w:t>
      </w:r>
      <w:r>
        <w:rPr>
          <w:color w:val="000000"/>
        </w:rPr>
        <w:t xml:space="preserve"> the</w:t>
      </w:r>
      <w:r w:rsidR="00107D74">
        <w:rPr>
          <w:color w:val="000000"/>
        </w:rPr>
        <w:t>ir</w:t>
      </w:r>
      <w:r>
        <w:rPr>
          <w:color w:val="000000"/>
        </w:rPr>
        <w:t xml:space="preserve"> way of life </w:t>
      </w:r>
      <w:r w:rsidR="00D6648D">
        <w:rPr>
          <w:color w:val="000000"/>
        </w:rPr>
        <w:t xml:space="preserve">back to Jesus Christ, no longer to </w:t>
      </w:r>
      <w:proofErr w:type="spellStart"/>
      <w:r w:rsidR="00D6648D">
        <w:rPr>
          <w:color w:val="000000"/>
        </w:rPr>
        <w:t>Mose</w:t>
      </w:r>
      <w:proofErr w:type="spellEnd"/>
      <w:r w:rsidR="00D6648D">
        <w:rPr>
          <w:color w:val="000000"/>
        </w:rPr>
        <w:t xml:space="preserve"> or the Patriarchs, whereas Jews are referred to these</w:t>
      </w:r>
      <w:r w:rsidR="00FF6E56">
        <w:rPr>
          <w:color w:val="000000"/>
        </w:rPr>
        <w:t xml:space="preserve">. The </w:t>
      </w:r>
      <w:r>
        <w:rPr>
          <w:color w:val="000000"/>
        </w:rPr>
        <w:t xml:space="preserve">barbarians </w:t>
      </w:r>
      <w:r w:rsidR="00FF6E56">
        <w:rPr>
          <w:color w:val="000000"/>
        </w:rPr>
        <w:t xml:space="preserve">related to their </w:t>
      </w:r>
      <w:r>
        <w:rPr>
          <w:color w:val="000000"/>
        </w:rPr>
        <w:t xml:space="preserve">gods </w:t>
      </w:r>
      <w:proofErr w:type="spellStart"/>
      <w:r>
        <w:rPr>
          <w:color w:val="000000"/>
        </w:rPr>
        <w:t>Beel</w:t>
      </w:r>
      <w:proofErr w:type="spellEnd"/>
      <w:r>
        <w:rPr>
          <w:color w:val="000000"/>
        </w:rPr>
        <w:t xml:space="preserve">, Kronos, </w:t>
      </w:r>
      <w:proofErr w:type="spellStart"/>
      <w:r>
        <w:rPr>
          <w:color w:val="000000"/>
        </w:rPr>
        <w:t>Eerra</w:t>
      </w:r>
      <w:proofErr w:type="spellEnd"/>
      <w:r>
        <w:rPr>
          <w:color w:val="000000"/>
        </w:rPr>
        <w:t xml:space="preserve"> and countless other</w:t>
      </w:r>
      <w:r w:rsidR="00FF6E56">
        <w:rPr>
          <w:color w:val="000000"/>
        </w:rPr>
        <w:t>s</w:t>
      </w:r>
      <w:r>
        <w:rPr>
          <w:color w:val="000000"/>
        </w:rPr>
        <w:t>; </w:t>
      </w:r>
      <w:r w:rsidR="00FF6E56">
        <w:rPr>
          <w:color w:val="000000"/>
        </w:rPr>
        <w:t xml:space="preserve">and </w:t>
      </w:r>
      <w:r>
        <w:rPr>
          <w:color w:val="000000"/>
        </w:rPr>
        <w:t xml:space="preserve">the Greeks derive from Zeus, who </w:t>
      </w:r>
      <w:r w:rsidR="00FF6E56">
        <w:rPr>
          <w:color w:val="000000"/>
        </w:rPr>
        <w:t xml:space="preserve">they also </w:t>
      </w:r>
      <w:r>
        <w:rPr>
          <w:color w:val="000000"/>
        </w:rPr>
        <w:t xml:space="preserve">called Dios, and </w:t>
      </w:r>
      <w:r w:rsidR="00FF6E56">
        <w:rPr>
          <w:color w:val="000000"/>
        </w:rPr>
        <w:t xml:space="preserve">from </w:t>
      </w:r>
      <w:r>
        <w:rPr>
          <w:color w:val="000000"/>
        </w:rPr>
        <w:t>Helena. </w:t>
      </w:r>
      <w:r w:rsidR="001A082B">
        <w:rPr>
          <w:color w:val="000000"/>
        </w:rPr>
        <w:t xml:space="preserve">The Jews </w:t>
      </w:r>
      <w:r>
        <w:rPr>
          <w:color w:val="000000"/>
        </w:rPr>
        <w:t xml:space="preserve">were called Hebrews by their lawgiver Moses and later </w:t>
      </w:r>
      <w:r w:rsidR="00A9444C">
        <w:rPr>
          <w:color w:val="000000"/>
        </w:rPr>
        <w:t>they had arrived</w:t>
      </w:r>
      <w:r>
        <w:rPr>
          <w:color w:val="000000"/>
        </w:rPr>
        <w:t xml:space="preserve"> in the promised land</w:t>
      </w:r>
      <w:r w:rsidR="00F255A4">
        <w:rPr>
          <w:color w:val="000000"/>
        </w:rPr>
        <w:t>.</w:t>
      </w:r>
      <w:r>
        <w:rPr>
          <w:color w:val="000000"/>
        </w:rPr>
        <w:t> </w:t>
      </w:r>
      <w:r w:rsidR="00F255A4">
        <w:rPr>
          <w:color w:val="000000"/>
        </w:rPr>
        <w:t xml:space="preserve">According to </w:t>
      </w:r>
      <w:r>
        <w:rPr>
          <w:color w:val="000000"/>
        </w:rPr>
        <w:t>Aristides</w:t>
      </w:r>
      <w:r w:rsidR="00F255A4">
        <w:rPr>
          <w:color w:val="000000"/>
        </w:rPr>
        <w:t>,</w:t>
      </w:r>
      <w:r>
        <w:rPr>
          <w:color w:val="000000"/>
        </w:rPr>
        <w:t> </w:t>
      </w:r>
      <w:r w:rsidR="00F255A4">
        <w:rPr>
          <w:color w:val="000000"/>
        </w:rPr>
        <w:t>therefore</w:t>
      </w:r>
      <w:r>
        <w:rPr>
          <w:color w:val="000000"/>
        </w:rPr>
        <w:t xml:space="preserve">, </w:t>
      </w:r>
      <w:r w:rsidR="00F255A4">
        <w:rPr>
          <w:color w:val="000000"/>
        </w:rPr>
        <w:t xml:space="preserve">Christian </w:t>
      </w:r>
      <w:r>
        <w:rPr>
          <w:color w:val="000000"/>
        </w:rPr>
        <w:t xml:space="preserve">trace their origins </w:t>
      </w:r>
      <w:r w:rsidR="00F255A4">
        <w:rPr>
          <w:color w:val="000000"/>
        </w:rPr>
        <w:t xml:space="preserve">neither to </w:t>
      </w:r>
      <w:r>
        <w:rPr>
          <w:color w:val="000000"/>
        </w:rPr>
        <w:t>any of the pagan gods </w:t>
      </w:r>
      <w:r w:rsidR="00F255A4">
        <w:rPr>
          <w:color w:val="000000"/>
        </w:rPr>
        <w:t>or traditions</w:t>
      </w:r>
      <w:r>
        <w:rPr>
          <w:color w:val="000000"/>
        </w:rPr>
        <w:t xml:space="preserve">, </w:t>
      </w:r>
      <w:r w:rsidR="00F255A4">
        <w:rPr>
          <w:color w:val="000000"/>
        </w:rPr>
        <w:t>neither do they have any relation to the Jewish past</w:t>
      </w:r>
      <w:r>
        <w:rPr>
          <w:color w:val="000000"/>
        </w:rPr>
        <w:t xml:space="preserve">, but </w:t>
      </w:r>
      <w:r w:rsidR="00F255A4">
        <w:rPr>
          <w:color w:val="000000"/>
        </w:rPr>
        <w:t>are solely defined by ‘</w:t>
      </w:r>
      <w:r>
        <w:rPr>
          <w:color w:val="000000"/>
        </w:rPr>
        <w:t>Lord Jesus Christ</w:t>
      </w:r>
      <w:r w:rsidR="00F255A4">
        <w:rPr>
          <w:color w:val="000000"/>
        </w:rPr>
        <w:t>’</w:t>
      </w:r>
      <w:r>
        <w:rPr>
          <w:color w:val="000000"/>
        </w:rPr>
        <w:t xml:space="preserve">, </w:t>
      </w:r>
      <w:r w:rsidR="00F255A4">
        <w:rPr>
          <w:color w:val="000000"/>
        </w:rPr>
        <w:t>‘</w:t>
      </w:r>
      <w:r>
        <w:rPr>
          <w:color w:val="000000"/>
        </w:rPr>
        <w:t xml:space="preserve">the Son of the </w:t>
      </w:r>
      <w:proofErr w:type="gramStart"/>
      <w:r>
        <w:rPr>
          <w:color w:val="000000"/>
        </w:rPr>
        <w:t>Most High</w:t>
      </w:r>
      <w:proofErr w:type="gramEnd"/>
      <w:r>
        <w:rPr>
          <w:color w:val="000000"/>
        </w:rPr>
        <w:t xml:space="preserve"> God</w:t>
      </w:r>
      <w:r w:rsidR="00F255A4">
        <w:rPr>
          <w:color w:val="000000"/>
        </w:rPr>
        <w:t>’</w:t>
      </w:r>
      <w:r>
        <w:rPr>
          <w:color w:val="000000"/>
        </w:rPr>
        <w:t>.</w:t>
      </w:r>
      <w:r w:rsidR="00F255A4">
        <w:rPr>
          <w:rStyle w:val="FootnoteReference"/>
          <w:color w:val="000000"/>
        </w:rPr>
        <w:footnoteReference w:id="15"/>
      </w:r>
      <w:r>
        <w:rPr>
          <w:color w:val="000000"/>
        </w:rPr>
        <w:t> </w:t>
      </w:r>
      <w:bookmarkStart w:id="15" w:name="_ftnref36"/>
      <w:bookmarkEnd w:id="15"/>
      <w:r w:rsidR="00F255A4">
        <w:rPr>
          <w:color w:val="000000"/>
        </w:rPr>
        <w:t xml:space="preserve"> </w:t>
      </w:r>
      <w:r>
        <w:rPr>
          <w:color w:val="000000"/>
        </w:rPr>
        <w:t xml:space="preserve">This not only gives the Christians their own theological </w:t>
      </w:r>
      <w:proofErr w:type="spellStart"/>
      <w:r>
        <w:rPr>
          <w:color w:val="000000"/>
        </w:rPr>
        <w:t>etiology</w:t>
      </w:r>
      <w:proofErr w:type="spellEnd"/>
      <w:r>
        <w:rPr>
          <w:color w:val="000000"/>
        </w:rPr>
        <w:t xml:space="preserve">, they are also clearly differentiated from the Jews. The only connection </w:t>
      </w:r>
      <w:r w:rsidR="007F4A1D">
        <w:rPr>
          <w:color w:val="000000"/>
        </w:rPr>
        <w:t xml:space="preserve">of Christians to Jews </w:t>
      </w:r>
      <w:r>
        <w:rPr>
          <w:color w:val="000000"/>
        </w:rPr>
        <w:t xml:space="preserve">that Aristide still admits, is the one that can also be read in Paul: that Jesus was born of a Jewish woman who  Aristides </w:t>
      </w:r>
      <w:r w:rsidR="00D76320">
        <w:rPr>
          <w:color w:val="000000"/>
        </w:rPr>
        <w:t xml:space="preserve">called </w:t>
      </w:r>
      <w:r>
        <w:rPr>
          <w:color w:val="000000"/>
        </w:rPr>
        <w:t>a virgin.</w:t>
      </w:r>
      <w:bookmarkStart w:id="16" w:name="_ftnref37"/>
      <w:bookmarkEnd w:id="16"/>
      <w:r w:rsidR="00D76320">
        <w:rPr>
          <w:rStyle w:val="FootnoteReference"/>
          <w:color w:val="000000"/>
        </w:rPr>
        <w:footnoteReference w:id="16"/>
      </w:r>
      <w:r w:rsidR="00D76320">
        <w:rPr>
          <w:color w:val="000000"/>
        </w:rPr>
        <w:t xml:space="preserve"> </w:t>
      </w:r>
      <w:r>
        <w:rPr>
          <w:color w:val="000000"/>
        </w:rPr>
        <w:t>Probably at the same time as Aristides</w:t>
      </w:r>
      <w:r w:rsidR="0042512F">
        <w:rPr>
          <w:color w:val="000000"/>
        </w:rPr>
        <w:t>,</w:t>
      </w:r>
      <w:r>
        <w:rPr>
          <w:color w:val="000000"/>
        </w:rPr>
        <w:t xml:space="preserve"> </w:t>
      </w:r>
      <w:r w:rsidR="0042512F">
        <w:rPr>
          <w:color w:val="000000"/>
        </w:rPr>
        <w:t xml:space="preserve">another reader of </w:t>
      </w:r>
      <w:r>
        <w:rPr>
          <w:color w:val="000000"/>
        </w:rPr>
        <w:t>Paul</w:t>
      </w:r>
      <w:r w:rsidR="0042512F">
        <w:rPr>
          <w:color w:val="000000"/>
        </w:rPr>
        <w:t>,</w:t>
      </w:r>
      <w:r>
        <w:rPr>
          <w:color w:val="000000"/>
        </w:rPr>
        <w:t xml:space="preserve"> </w:t>
      </w:r>
      <w:proofErr w:type="spellStart"/>
      <w:r>
        <w:rPr>
          <w:color w:val="000000"/>
        </w:rPr>
        <w:t>Mar</w:t>
      </w:r>
      <w:r w:rsidR="0042512F">
        <w:rPr>
          <w:color w:val="000000"/>
        </w:rPr>
        <w:t>c</w:t>
      </w:r>
      <w:r>
        <w:rPr>
          <w:color w:val="000000"/>
        </w:rPr>
        <w:t>ion</w:t>
      </w:r>
      <w:proofErr w:type="spellEnd"/>
      <w:r>
        <w:rPr>
          <w:color w:val="000000"/>
        </w:rPr>
        <w:t xml:space="preserve"> </w:t>
      </w:r>
      <w:r w:rsidR="0042512F">
        <w:rPr>
          <w:color w:val="000000"/>
        </w:rPr>
        <w:t xml:space="preserve">of </w:t>
      </w:r>
      <w:r>
        <w:rPr>
          <w:color w:val="000000"/>
        </w:rPr>
        <w:t>Sinope (</w:t>
      </w:r>
      <w:r w:rsidR="0042512F">
        <w:rPr>
          <w:color w:val="000000"/>
        </w:rPr>
        <w:t xml:space="preserve">he </w:t>
      </w:r>
      <w:r>
        <w:rPr>
          <w:color w:val="000000"/>
        </w:rPr>
        <w:t xml:space="preserve">dies around 160 </w:t>
      </w:r>
      <w:r w:rsidR="0042512F">
        <w:rPr>
          <w:color w:val="000000"/>
        </w:rPr>
        <w:t>CE</w:t>
      </w:r>
      <w:r>
        <w:rPr>
          <w:color w:val="000000"/>
        </w:rPr>
        <w:t>) </w:t>
      </w:r>
      <w:r w:rsidR="00002B40">
        <w:rPr>
          <w:color w:val="000000"/>
        </w:rPr>
        <w:t xml:space="preserve">sees the links between Jews and Christians severed and rejects with the Jewish past also their writings, their law and the divine creator who gave these laws in order to </w:t>
      </w:r>
      <w:r w:rsidR="00537DB6">
        <w:rPr>
          <w:color w:val="000000"/>
        </w:rPr>
        <w:t xml:space="preserve">orient Christians exclusively to Jesus Christ and his </w:t>
      </w:r>
      <w:r>
        <w:rPr>
          <w:color w:val="000000"/>
        </w:rPr>
        <w:t>new edict</w:t>
      </w:r>
      <w:r w:rsidR="00537DB6">
        <w:rPr>
          <w:color w:val="000000"/>
        </w:rPr>
        <w:t>.</w:t>
      </w:r>
      <w:r>
        <w:rPr>
          <w:color w:val="000000"/>
        </w:rPr>
        <w:t xml:space="preserve"> </w:t>
      </w:r>
      <w:r w:rsidR="00537DB6">
        <w:rPr>
          <w:color w:val="000000"/>
        </w:rPr>
        <w:t>C</w:t>
      </w:r>
      <w:r>
        <w:rPr>
          <w:color w:val="000000"/>
        </w:rPr>
        <w:t>onsequently</w:t>
      </w:r>
      <w:r w:rsidR="00537DB6">
        <w:rPr>
          <w:color w:val="000000"/>
        </w:rPr>
        <w:t xml:space="preserve">, he thinks of Christians and Jews as a fundamental antithesis, </w:t>
      </w:r>
      <w:r w:rsidR="00A73811">
        <w:rPr>
          <w:color w:val="000000"/>
        </w:rPr>
        <w:t xml:space="preserve">the result of which is that the </w:t>
      </w:r>
      <w:r>
        <w:rPr>
          <w:color w:val="000000"/>
        </w:rPr>
        <w:t xml:space="preserve">Jews </w:t>
      </w:r>
      <w:r w:rsidR="00A73811">
        <w:rPr>
          <w:color w:val="000000"/>
        </w:rPr>
        <w:t xml:space="preserve">follow </w:t>
      </w:r>
      <w:r>
        <w:rPr>
          <w:color w:val="000000"/>
        </w:rPr>
        <w:t xml:space="preserve">their own </w:t>
      </w:r>
      <w:r w:rsidR="00A73811">
        <w:rPr>
          <w:color w:val="000000"/>
        </w:rPr>
        <w:t>t</w:t>
      </w:r>
      <w:r>
        <w:rPr>
          <w:color w:val="000000"/>
        </w:rPr>
        <w:t>radition</w:t>
      </w:r>
      <w:r w:rsidR="00A73811">
        <w:rPr>
          <w:color w:val="000000"/>
        </w:rPr>
        <w:t xml:space="preserve">, whereas Christians refer to </w:t>
      </w:r>
      <w:r w:rsidR="005838D9">
        <w:rPr>
          <w:color w:val="000000"/>
        </w:rPr>
        <w:t>a New Testament with a fundamentally different ethical frame.</w:t>
      </w:r>
      <w:r>
        <w:rPr>
          <w:color w:val="000000"/>
        </w:rPr>
        <w:t xml:space="preserve"> </w:t>
      </w:r>
    </w:p>
    <w:p w14:paraId="384A63AD" w14:textId="44408CEB" w:rsidR="00DE0197" w:rsidRDefault="00DE0197" w:rsidP="00DE0197">
      <w:pPr>
        <w:pStyle w:val="NormalWeb"/>
        <w:spacing w:before="0" w:beforeAutospacing="0" w:after="0" w:afterAutospacing="0"/>
        <w:jc w:val="both"/>
        <w:rPr>
          <w:color w:val="000000"/>
          <w:sz w:val="27"/>
          <w:szCs w:val="27"/>
        </w:rPr>
      </w:pPr>
      <w:r>
        <w:rPr>
          <w:color w:val="000000"/>
        </w:rPr>
        <w:t>             </w:t>
      </w:r>
      <w:r w:rsidR="00C53B5A">
        <w:rPr>
          <w:color w:val="000000"/>
        </w:rPr>
        <w:t xml:space="preserve">And yet, such apologetic </w:t>
      </w:r>
      <w:r w:rsidR="00863FB2">
        <w:rPr>
          <w:color w:val="000000"/>
        </w:rPr>
        <w:t xml:space="preserve">statements </w:t>
      </w:r>
      <w:proofErr w:type="gramStart"/>
      <w:r w:rsidR="00863FB2">
        <w:rPr>
          <w:color w:val="000000"/>
        </w:rPr>
        <w:t>by</w:t>
      </w:r>
      <w:r>
        <w:rPr>
          <w:color w:val="000000"/>
        </w:rPr>
        <w:t xml:space="preserve">  </w:t>
      </w:r>
      <w:proofErr w:type="spellStart"/>
      <w:r>
        <w:rPr>
          <w:color w:val="000000"/>
        </w:rPr>
        <w:t>Marcion</w:t>
      </w:r>
      <w:proofErr w:type="spellEnd"/>
      <w:proofErr w:type="gramEnd"/>
      <w:r>
        <w:rPr>
          <w:color w:val="000000"/>
        </w:rPr>
        <w:t xml:space="preserve"> </w:t>
      </w:r>
      <w:r w:rsidR="00863FB2">
        <w:rPr>
          <w:color w:val="000000"/>
        </w:rPr>
        <w:t>or Origen cloud the fact</w:t>
      </w:r>
      <w:r>
        <w:rPr>
          <w:color w:val="000000"/>
        </w:rPr>
        <w:t xml:space="preserve">, which will not be immediately </w:t>
      </w:r>
      <w:r w:rsidR="00B579C3">
        <w:rPr>
          <w:color w:val="000000"/>
        </w:rPr>
        <w:t xml:space="preserve">understood by </w:t>
      </w:r>
      <w:r>
        <w:rPr>
          <w:color w:val="000000"/>
        </w:rPr>
        <w:t>today</w:t>
      </w:r>
      <w:r w:rsidR="00B579C3">
        <w:rPr>
          <w:color w:val="000000"/>
        </w:rPr>
        <w:t>’</w:t>
      </w:r>
      <w:r>
        <w:rPr>
          <w:color w:val="000000"/>
        </w:rPr>
        <w:t>s readership</w:t>
      </w:r>
      <w:r w:rsidR="00B579C3">
        <w:rPr>
          <w:color w:val="000000"/>
        </w:rPr>
        <w:t xml:space="preserve"> which is so used to the canonical writings of the New Testament being at the heart of Christianity</w:t>
      </w:r>
      <w:r>
        <w:rPr>
          <w:color w:val="000000"/>
        </w:rPr>
        <w:t xml:space="preserve">, </w:t>
      </w:r>
      <w:r w:rsidR="00B579C3">
        <w:rPr>
          <w:color w:val="000000"/>
        </w:rPr>
        <w:t xml:space="preserve">that both </w:t>
      </w:r>
      <w:r>
        <w:rPr>
          <w:color w:val="000000"/>
        </w:rPr>
        <w:t xml:space="preserve">the words and the </w:t>
      </w:r>
      <w:r w:rsidR="00B579C3">
        <w:rPr>
          <w:color w:val="000000"/>
        </w:rPr>
        <w:t xml:space="preserve">deeds </w:t>
      </w:r>
      <w:r>
        <w:rPr>
          <w:color w:val="000000"/>
        </w:rPr>
        <w:t>of Christ</w:t>
      </w:r>
      <w:r w:rsidR="00B579C3">
        <w:rPr>
          <w:color w:val="000000"/>
        </w:rPr>
        <w:t xml:space="preserve"> were far from being the sources or the foundation</w:t>
      </w:r>
      <w:r w:rsidR="003C7A60">
        <w:rPr>
          <w:color w:val="000000"/>
        </w:rPr>
        <w:t xml:space="preserve"> that brought people together as Christians.</w:t>
      </w:r>
      <w:r>
        <w:rPr>
          <w:color w:val="000000"/>
        </w:rPr>
        <w:t xml:space="preserve"> </w:t>
      </w:r>
      <w:r w:rsidR="003C7A60">
        <w:rPr>
          <w:color w:val="000000"/>
        </w:rPr>
        <w:t>A</w:t>
      </w:r>
      <w:r>
        <w:rPr>
          <w:color w:val="000000"/>
        </w:rPr>
        <w:t xml:space="preserve">t least as far as we shall see, </w:t>
      </w:r>
      <w:r w:rsidR="007B0206">
        <w:rPr>
          <w:color w:val="000000"/>
        </w:rPr>
        <w:t xml:space="preserve">the people were not pulled by the </w:t>
      </w:r>
      <w:r>
        <w:rPr>
          <w:color w:val="000000"/>
        </w:rPr>
        <w:t xml:space="preserve">words and teachings that Aristides, </w:t>
      </w:r>
      <w:proofErr w:type="spellStart"/>
      <w:r>
        <w:rPr>
          <w:color w:val="000000"/>
        </w:rPr>
        <w:t>Marcion</w:t>
      </w:r>
      <w:proofErr w:type="spellEnd"/>
      <w:r>
        <w:rPr>
          <w:color w:val="000000"/>
        </w:rPr>
        <w:t xml:space="preserve"> and Origen had in mind</w:t>
      </w:r>
      <w:r w:rsidR="007B0206">
        <w:rPr>
          <w:color w:val="000000"/>
        </w:rPr>
        <w:t xml:space="preserve"> and set on papyrus or leather</w:t>
      </w:r>
      <w:r>
        <w:rPr>
          <w:color w:val="000000"/>
        </w:rPr>
        <w:t>. </w:t>
      </w:r>
      <w:r w:rsidR="00A91551">
        <w:rPr>
          <w:color w:val="000000"/>
        </w:rPr>
        <w:t>As</w:t>
      </w:r>
      <w:r>
        <w:rPr>
          <w:color w:val="000000"/>
        </w:rPr>
        <w:t xml:space="preserve"> Origen comes to speak of Christ</w:t>
      </w:r>
      <w:r w:rsidR="007B0206">
        <w:rPr>
          <w:color w:val="000000"/>
        </w:rPr>
        <w:t>’</w:t>
      </w:r>
      <w:r>
        <w:rPr>
          <w:color w:val="000000"/>
        </w:rPr>
        <w:t xml:space="preserve">s words and teachings </w:t>
      </w:r>
      <w:r w:rsidR="00A91551">
        <w:rPr>
          <w:color w:val="000000"/>
        </w:rPr>
        <w:t xml:space="preserve">and </w:t>
      </w:r>
      <w:r w:rsidR="00367024">
        <w:rPr>
          <w:color w:val="000000"/>
        </w:rPr>
        <w:t xml:space="preserve">wants to relate them </w:t>
      </w:r>
      <w:r>
        <w:rPr>
          <w:color w:val="000000"/>
        </w:rPr>
        <w:t>to the time</w:t>
      </w:r>
      <w:r w:rsidR="00A91551">
        <w:rPr>
          <w:color w:val="000000"/>
        </w:rPr>
        <w:t>s</w:t>
      </w:r>
      <w:r>
        <w:rPr>
          <w:color w:val="000000"/>
        </w:rPr>
        <w:t xml:space="preserve"> of </w:t>
      </w:r>
      <w:r w:rsidR="00A91551">
        <w:rPr>
          <w:color w:val="000000"/>
        </w:rPr>
        <w:t>the Jewish past</w:t>
      </w:r>
      <w:r>
        <w:rPr>
          <w:color w:val="000000"/>
        </w:rPr>
        <w:t>, </w:t>
      </w:r>
      <w:r w:rsidR="00367024">
        <w:rPr>
          <w:color w:val="000000"/>
        </w:rPr>
        <w:t xml:space="preserve">he </w:t>
      </w:r>
      <w:r w:rsidR="003B5562">
        <w:rPr>
          <w:color w:val="000000"/>
        </w:rPr>
        <w:t xml:space="preserve">refers already to </w:t>
      </w:r>
      <w:r>
        <w:rPr>
          <w:color w:val="000000"/>
        </w:rPr>
        <w:t>written tradition</w:t>
      </w:r>
      <w:r w:rsidR="003B5562">
        <w:rPr>
          <w:color w:val="000000"/>
        </w:rPr>
        <w:t>s</w:t>
      </w:r>
      <w:r>
        <w:rPr>
          <w:color w:val="000000"/>
        </w:rPr>
        <w:t> </w:t>
      </w:r>
      <w:r w:rsidR="003B5562">
        <w:rPr>
          <w:color w:val="000000"/>
        </w:rPr>
        <w:t xml:space="preserve">which, however, were only produced </w:t>
      </w:r>
      <w:r>
        <w:rPr>
          <w:color w:val="000000"/>
        </w:rPr>
        <w:t xml:space="preserve">a few generations </w:t>
      </w:r>
      <w:r w:rsidR="003B5562">
        <w:rPr>
          <w:color w:val="000000"/>
        </w:rPr>
        <w:t xml:space="preserve">before Origen. Just like Irenaeus </w:t>
      </w:r>
      <w:r w:rsidR="001A1508">
        <w:rPr>
          <w:color w:val="000000"/>
        </w:rPr>
        <w:t xml:space="preserve">who became the first propagator of the four Gospels and the further collection of Christian writings, </w:t>
      </w:r>
      <w:r>
        <w:rPr>
          <w:color w:val="000000"/>
        </w:rPr>
        <w:t xml:space="preserve">Origen </w:t>
      </w:r>
      <w:r w:rsidR="001A1508">
        <w:rPr>
          <w:color w:val="000000"/>
        </w:rPr>
        <w:t xml:space="preserve">pushes the authority of these writings by producing </w:t>
      </w:r>
      <w:r>
        <w:rPr>
          <w:color w:val="000000"/>
        </w:rPr>
        <w:t xml:space="preserve">commentaries, sermons, </w:t>
      </w:r>
      <w:r w:rsidR="00EA09DE">
        <w:rPr>
          <w:color w:val="000000"/>
        </w:rPr>
        <w:t xml:space="preserve">putting together </w:t>
      </w:r>
      <w:r>
        <w:rPr>
          <w:color w:val="000000"/>
        </w:rPr>
        <w:t xml:space="preserve">his Hexapla and </w:t>
      </w:r>
      <w:r w:rsidR="00EA09DE">
        <w:rPr>
          <w:color w:val="000000"/>
        </w:rPr>
        <w:t xml:space="preserve">referring to them in </w:t>
      </w:r>
      <w:r>
        <w:rPr>
          <w:color w:val="000000"/>
        </w:rPr>
        <w:t>his systematic works.</w:t>
      </w:r>
      <w:bookmarkStart w:id="17" w:name="_ftnref38"/>
      <w:bookmarkEnd w:id="17"/>
      <w:r w:rsidR="00EA09DE">
        <w:rPr>
          <w:rStyle w:val="FootnoteReference"/>
          <w:color w:val="000000"/>
        </w:rPr>
        <w:footnoteReference w:id="17"/>
      </w:r>
      <w:r w:rsidR="00EA09DE">
        <w:rPr>
          <w:color w:val="000000"/>
          <w:sz w:val="27"/>
          <w:szCs w:val="27"/>
        </w:rPr>
        <w:t xml:space="preserve"> </w:t>
      </w:r>
    </w:p>
    <w:p w14:paraId="18DEC2A2" w14:textId="67F3230C" w:rsidR="00DE0197" w:rsidRDefault="00DE0197" w:rsidP="00DE0197">
      <w:pPr>
        <w:pStyle w:val="NormalWeb"/>
        <w:spacing w:before="0" w:beforeAutospacing="0" w:after="0" w:afterAutospacing="0"/>
        <w:ind w:firstLine="720"/>
        <w:jc w:val="both"/>
        <w:rPr>
          <w:color w:val="000000"/>
          <w:sz w:val="27"/>
          <w:szCs w:val="27"/>
        </w:rPr>
      </w:pPr>
      <w:r>
        <w:rPr>
          <w:color w:val="000000"/>
        </w:rPr>
        <w:t>Origen certainly had a few predecessors. Ptolemy, for example, had commented on the prologue of </w:t>
      </w:r>
      <w:r w:rsidRPr="00917A5D">
        <w:rPr>
          <w:i/>
          <w:color w:val="000000"/>
        </w:rPr>
        <w:t>John's Gospel</w:t>
      </w:r>
      <w:r>
        <w:rPr>
          <w:color w:val="000000"/>
        </w:rPr>
        <w:t xml:space="preserve"> in Rome after the middle of the 2nd century, and </w:t>
      </w:r>
      <w:proofErr w:type="spellStart"/>
      <w:r>
        <w:rPr>
          <w:color w:val="000000"/>
        </w:rPr>
        <w:t>Hera</w:t>
      </w:r>
      <w:r w:rsidR="00917A5D">
        <w:rPr>
          <w:color w:val="000000"/>
        </w:rPr>
        <w:t>c</w:t>
      </w:r>
      <w:r>
        <w:rPr>
          <w:color w:val="000000"/>
        </w:rPr>
        <w:t>leon</w:t>
      </w:r>
      <w:proofErr w:type="spellEnd"/>
      <w:r>
        <w:rPr>
          <w:color w:val="000000"/>
        </w:rPr>
        <w:t xml:space="preserve"> soon afterwards commented on the entire </w:t>
      </w:r>
      <w:r w:rsidRPr="00917A5D">
        <w:rPr>
          <w:i/>
          <w:color w:val="000000"/>
        </w:rPr>
        <w:t>Gospel of John</w:t>
      </w:r>
      <w:r>
        <w:rPr>
          <w:color w:val="000000"/>
        </w:rPr>
        <w:t> and probably also on the </w:t>
      </w:r>
      <w:r w:rsidRPr="00917A5D">
        <w:rPr>
          <w:i/>
          <w:color w:val="000000"/>
        </w:rPr>
        <w:t>Gospel of Luke</w:t>
      </w:r>
      <w:r>
        <w:rPr>
          <w:color w:val="000000"/>
        </w:rPr>
        <w:t> (although in a pre-canonical form). </w:t>
      </w:r>
      <w:r w:rsidR="00472689">
        <w:rPr>
          <w:color w:val="000000"/>
        </w:rPr>
        <w:t>Yet, we find hardly a</w:t>
      </w:r>
      <w:r w:rsidR="00B60795">
        <w:rPr>
          <w:color w:val="000000"/>
        </w:rPr>
        <w:t>ny</w:t>
      </w:r>
      <w:r w:rsidR="00472689">
        <w:rPr>
          <w:color w:val="000000"/>
        </w:rPr>
        <w:t xml:space="preserve"> voice</w:t>
      </w:r>
      <w:r>
        <w:rPr>
          <w:color w:val="000000"/>
        </w:rPr>
        <w:t xml:space="preserve"> before Irenaeus of Lyon, who around the year 177 </w:t>
      </w:r>
      <w:r w:rsidR="000953EF">
        <w:rPr>
          <w:color w:val="000000"/>
        </w:rPr>
        <w:t xml:space="preserve">defends </w:t>
      </w:r>
      <w:r>
        <w:rPr>
          <w:color w:val="000000"/>
        </w:rPr>
        <w:t xml:space="preserve">the previously criticized </w:t>
      </w:r>
      <w:r w:rsidRPr="000953EF">
        <w:rPr>
          <w:i/>
          <w:color w:val="000000"/>
        </w:rPr>
        <w:t>Gospels of Mark</w:t>
      </w:r>
      <w:r>
        <w:rPr>
          <w:color w:val="000000"/>
        </w:rPr>
        <w:t xml:space="preserve">, </w:t>
      </w:r>
      <w:r w:rsidRPr="000953EF">
        <w:rPr>
          <w:i/>
          <w:color w:val="000000"/>
        </w:rPr>
        <w:t>Matthew</w:t>
      </w:r>
      <w:r w:rsidR="000953EF">
        <w:rPr>
          <w:color w:val="000000"/>
        </w:rPr>
        <w:t>,</w:t>
      </w:r>
      <w:r>
        <w:rPr>
          <w:color w:val="000000"/>
        </w:rPr>
        <w:t xml:space="preserve"> </w:t>
      </w:r>
      <w:proofErr w:type="gramStart"/>
      <w:r w:rsidRPr="000953EF">
        <w:rPr>
          <w:i/>
          <w:color w:val="000000"/>
        </w:rPr>
        <w:t>Luke</w:t>
      </w:r>
      <w:proofErr w:type="gramEnd"/>
      <w:r w:rsidR="000953EF">
        <w:rPr>
          <w:color w:val="000000"/>
        </w:rPr>
        <w:t xml:space="preserve"> and </w:t>
      </w:r>
      <w:r w:rsidR="000953EF">
        <w:rPr>
          <w:i/>
          <w:color w:val="000000"/>
        </w:rPr>
        <w:t>John</w:t>
      </w:r>
      <w:r>
        <w:rPr>
          <w:color w:val="000000"/>
        </w:rPr>
        <w:t xml:space="preserve">, </w:t>
      </w:r>
      <w:r w:rsidR="005617F6">
        <w:rPr>
          <w:color w:val="000000"/>
        </w:rPr>
        <w:t xml:space="preserve">as </w:t>
      </w:r>
      <w:r w:rsidR="004E6985">
        <w:rPr>
          <w:color w:val="000000"/>
        </w:rPr>
        <w:t xml:space="preserve">we do not find </w:t>
      </w:r>
      <w:r>
        <w:rPr>
          <w:color w:val="000000"/>
        </w:rPr>
        <w:t xml:space="preserve">- apart from the exceptions mentioned </w:t>
      </w:r>
      <w:r w:rsidR="004E6985">
        <w:rPr>
          <w:color w:val="000000"/>
        </w:rPr>
        <w:t>–</w:t>
      </w:r>
      <w:r>
        <w:rPr>
          <w:color w:val="000000"/>
        </w:rPr>
        <w:t xml:space="preserve"> </w:t>
      </w:r>
      <w:r w:rsidR="004E6985">
        <w:rPr>
          <w:color w:val="000000"/>
        </w:rPr>
        <w:t>people citing</w:t>
      </w:r>
      <w:r w:rsidR="0036165A">
        <w:rPr>
          <w:color w:val="000000"/>
        </w:rPr>
        <w:t xml:space="preserve"> narratives from </w:t>
      </w:r>
      <w:r>
        <w:rPr>
          <w:color w:val="000000"/>
        </w:rPr>
        <w:t xml:space="preserve">these writings and hardly any reference to </w:t>
      </w:r>
      <w:r w:rsidR="005617F6">
        <w:rPr>
          <w:color w:val="000000"/>
        </w:rPr>
        <w:t>them</w:t>
      </w:r>
      <w:r>
        <w:rPr>
          <w:color w:val="000000"/>
        </w:rPr>
        <w:t>.</w:t>
      </w:r>
    </w:p>
    <w:p w14:paraId="34DD9213" w14:textId="20EA12C6" w:rsidR="00DE0197" w:rsidRDefault="00DE0197" w:rsidP="00DE0197">
      <w:pPr>
        <w:pStyle w:val="NormalWeb"/>
        <w:spacing w:before="0" w:beforeAutospacing="0" w:after="0" w:afterAutospacing="0"/>
        <w:jc w:val="both"/>
        <w:rPr>
          <w:color w:val="000000"/>
          <w:sz w:val="27"/>
          <w:szCs w:val="27"/>
        </w:rPr>
      </w:pPr>
      <w:r>
        <w:rPr>
          <w:color w:val="000000"/>
        </w:rPr>
        <w:t>              </w:t>
      </w:r>
      <w:r w:rsidR="005B5921">
        <w:rPr>
          <w:color w:val="000000"/>
        </w:rPr>
        <w:t xml:space="preserve">With </w:t>
      </w:r>
      <w:r>
        <w:rPr>
          <w:color w:val="000000"/>
        </w:rPr>
        <w:t>Irenaeus</w:t>
      </w:r>
      <w:r w:rsidR="005B5921">
        <w:rPr>
          <w:color w:val="000000"/>
        </w:rPr>
        <w:t>’</w:t>
      </w:r>
      <w:r>
        <w:rPr>
          <w:color w:val="000000"/>
        </w:rPr>
        <w:t xml:space="preserve"> commitment to these gospels and the </w:t>
      </w:r>
      <w:r w:rsidR="00D62BE7">
        <w:rPr>
          <w:color w:val="000000"/>
        </w:rPr>
        <w:t xml:space="preserve">wider </w:t>
      </w:r>
      <w:r w:rsidR="005B5921">
        <w:rPr>
          <w:color w:val="000000"/>
        </w:rPr>
        <w:t>collection</w:t>
      </w:r>
      <w:r w:rsidR="00D62BE7">
        <w:rPr>
          <w:color w:val="000000"/>
        </w:rPr>
        <w:t xml:space="preserve"> of Christian writings, the situation obviously changed</w:t>
      </w:r>
      <w:r w:rsidR="00A53427">
        <w:rPr>
          <w:color w:val="000000"/>
        </w:rPr>
        <w:t xml:space="preserve"> or, at least, Irenaeus paved the way on which</w:t>
      </w:r>
      <w:r w:rsidR="005B5921">
        <w:rPr>
          <w:color w:val="000000"/>
        </w:rPr>
        <w:t xml:space="preserve"> </w:t>
      </w:r>
      <w:r w:rsidR="00A53427">
        <w:rPr>
          <w:color w:val="000000"/>
        </w:rPr>
        <w:t xml:space="preserve">Origen </w:t>
      </w:r>
      <w:r>
        <w:rPr>
          <w:color w:val="000000"/>
        </w:rPr>
        <w:t>systematically</w:t>
      </w:r>
      <w:r w:rsidR="00A53427">
        <w:rPr>
          <w:color w:val="000000"/>
        </w:rPr>
        <w:t xml:space="preserve"> built</w:t>
      </w:r>
      <w:r>
        <w:rPr>
          <w:color w:val="000000"/>
        </w:rPr>
        <w:t xml:space="preserve"> with his sermons and commentaries </w:t>
      </w:r>
      <w:r w:rsidR="00A53427">
        <w:rPr>
          <w:color w:val="000000"/>
        </w:rPr>
        <w:t xml:space="preserve">so that </w:t>
      </w:r>
      <w:r w:rsidR="0036165A">
        <w:rPr>
          <w:color w:val="000000"/>
        </w:rPr>
        <w:t xml:space="preserve">he created </w:t>
      </w:r>
      <w:r w:rsidR="00A53427">
        <w:rPr>
          <w:color w:val="000000"/>
        </w:rPr>
        <w:t xml:space="preserve">a solid </w:t>
      </w:r>
      <w:r>
        <w:rPr>
          <w:color w:val="000000"/>
        </w:rPr>
        <w:t>bridge</w:t>
      </w:r>
      <w:r w:rsidR="00A53427">
        <w:rPr>
          <w:color w:val="000000"/>
        </w:rPr>
        <w:t xml:space="preserve"> </w:t>
      </w:r>
      <w:r>
        <w:rPr>
          <w:color w:val="000000"/>
        </w:rPr>
        <w:t>between the Jewish scriptures and the writings of Paul and other works written and read by Christians</w:t>
      </w:r>
      <w:r w:rsidR="00C41890">
        <w:rPr>
          <w:color w:val="000000"/>
        </w:rPr>
        <w:t>.</w:t>
      </w:r>
      <w:r>
        <w:rPr>
          <w:color w:val="000000"/>
        </w:rPr>
        <w:t> </w:t>
      </w:r>
      <w:r w:rsidR="00C41890">
        <w:rPr>
          <w:color w:val="000000"/>
        </w:rPr>
        <w:t xml:space="preserve">And it seems that Origen had a large share that </w:t>
      </w:r>
      <w:r w:rsidR="0015320B">
        <w:rPr>
          <w:color w:val="000000"/>
        </w:rPr>
        <w:t xml:space="preserve">these Christian writings became </w:t>
      </w:r>
      <w:r w:rsidR="0015320B">
        <w:rPr>
          <w:color w:val="000000"/>
        </w:rPr>
        <w:lastRenderedPageBreak/>
        <w:t>seen as divinely inspired just like Jewish writings were</w:t>
      </w:r>
      <w:r w:rsidR="004E6823">
        <w:rPr>
          <w:color w:val="000000"/>
        </w:rPr>
        <w:t xml:space="preserve"> believed to be</w:t>
      </w:r>
      <w:r>
        <w:rPr>
          <w:color w:val="000000"/>
        </w:rPr>
        <w:t>. </w:t>
      </w:r>
      <w:proofErr w:type="gramStart"/>
      <w:r w:rsidR="004E6823">
        <w:rPr>
          <w:color w:val="000000"/>
        </w:rPr>
        <w:t>In order to</w:t>
      </w:r>
      <w:proofErr w:type="gramEnd"/>
      <w:r w:rsidR="004E6823">
        <w:rPr>
          <w:color w:val="000000"/>
        </w:rPr>
        <w:t xml:space="preserve"> justify the divine inspiration for these late writings, Origen </w:t>
      </w:r>
      <w:r w:rsidR="00F81322">
        <w:rPr>
          <w:color w:val="000000"/>
        </w:rPr>
        <w:t xml:space="preserve">made use of the Stoic idea of the </w:t>
      </w:r>
      <w:r w:rsidR="00F81322">
        <w:rPr>
          <w:i/>
          <w:iCs/>
          <w:color w:val="000000"/>
        </w:rPr>
        <w:t xml:space="preserve">logos </w:t>
      </w:r>
      <w:proofErr w:type="spellStart"/>
      <w:r w:rsidR="00F81322">
        <w:rPr>
          <w:i/>
          <w:iCs/>
          <w:color w:val="000000"/>
        </w:rPr>
        <w:t>spermatikos</w:t>
      </w:r>
      <w:proofErr w:type="spellEnd"/>
      <w:r w:rsidR="00F81322">
        <w:rPr>
          <w:iCs/>
          <w:color w:val="000000"/>
        </w:rPr>
        <w:t>,</w:t>
      </w:r>
      <w:r w:rsidR="00F81322">
        <w:rPr>
          <w:color w:val="000000"/>
        </w:rPr>
        <w:t xml:space="preserve"> ventured before </w:t>
      </w:r>
      <w:r w:rsidR="004E6823">
        <w:rPr>
          <w:color w:val="000000"/>
        </w:rPr>
        <w:t xml:space="preserve">already </w:t>
      </w:r>
      <w:r w:rsidR="00F81322">
        <w:rPr>
          <w:color w:val="000000"/>
        </w:rPr>
        <w:t>by Justin</w:t>
      </w:r>
      <w:r w:rsidR="004E6823">
        <w:rPr>
          <w:color w:val="000000"/>
        </w:rPr>
        <w:t>,</w:t>
      </w:r>
      <w:r>
        <w:rPr>
          <w:color w:val="000000"/>
        </w:rPr>
        <w:t xml:space="preserve"> that the divine seed or spark </w:t>
      </w:r>
      <w:r w:rsidR="009E4253">
        <w:rPr>
          <w:color w:val="000000"/>
        </w:rPr>
        <w:t xml:space="preserve">has </w:t>
      </w:r>
      <w:r>
        <w:rPr>
          <w:color w:val="000000"/>
        </w:rPr>
        <w:t xml:space="preserve">always </w:t>
      </w:r>
      <w:r w:rsidR="00750DFC">
        <w:rPr>
          <w:color w:val="000000"/>
        </w:rPr>
        <w:t xml:space="preserve">been </w:t>
      </w:r>
      <w:r>
        <w:rPr>
          <w:color w:val="000000"/>
        </w:rPr>
        <w:t xml:space="preserve">present in the world, </w:t>
      </w:r>
      <w:r w:rsidR="00F12B24">
        <w:rPr>
          <w:color w:val="000000"/>
        </w:rPr>
        <w:t>and that this divine spark</w:t>
      </w:r>
      <w:r>
        <w:rPr>
          <w:color w:val="000000"/>
        </w:rPr>
        <w:t xml:space="preserve"> </w:t>
      </w:r>
      <w:r w:rsidR="00750DFC">
        <w:rPr>
          <w:color w:val="000000"/>
        </w:rPr>
        <w:t xml:space="preserve">can be concentrated </w:t>
      </w:r>
      <w:r>
        <w:rPr>
          <w:color w:val="000000"/>
        </w:rPr>
        <w:t xml:space="preserve">in </w:t>
      </w:r>
      <w:r w:rsidR="00F12B24">
        <w:rPr>
          <w:color w:val="000000"/>
        </w:rPr>
        <w:t xml:space="preserve">particular </w:t>
      </w:r>
      <w:r>
        <w:rPr>
          <w:color w:val="000000"/>
        </w:rPr>
        <w:t xml:space="preserve">people and at certain times. Origen, </w:t>
      </w:r>
      <w:r w:rsidR="00C57EB9">
        <w:rPr>
          <w:color w:val="000000"/>
        </w:rPr>
        <w:t xml:space="preserve">then </w:t>
      </w:r>
      <w:r>
        <w:rPr>
          <w:color w:val="000000"/>
        </w:rPr>
        <w:t>assert</w:t>
      </w:r>
      <w:r w:rsidR="00750DFC">
        <w:rPr>
          <w:color w:val="000000"/>
        </w:rPr>
        <w:t>s</w:t>
      </w:r>
      <w:r>
        <w:rPr>
          <w:color w:val="000000"/>
        </w:rPr>
        <w:t xml:space="preserve"> that this Logos exists in its fullness only in God and Christ, even if it </w:t>
      </w:r>
      <w:r w:rsidR="00C57EB9">
        <w:rPr>
          <w:color w:val="000000"/>
        </w:rPr>
        <w:t xml:space="preserve">were </w:t>
      </w:r>
      <w:r>
        <w:rPr>
          <w:color w:val="000000"/>
        </w:rPr>
        <w:t>already present in preforms and models</w:t>
      </w:r>
      <w:r w:rsidR="00C57EB9">
        <w:rPr>
          <w:color w:val="000000"/>
        </w:rPr>
        <w:t xml:space="preserve"> as</w:t>
      </w:r>
      <w:r>
        <w:rPr>
          <w:color w:val="000000"/>
        </w:rPr>
        <w:t>, for example</w:t>
      </w:r>
      <w:r w:rsidR="00C57EB9">
        <w:rPr>
          <w:color w:val="000000"/>
        </w:rPr>
        <w:t>,</w:t>
      </w:r>
      <w:r>
        <w:rPr>
          <w:color w:val="000000"/>
        </w:rPr>
        <w:t xml:space="preserve"> in </w:t>
      </w:r>
      <w:proofErr w:type="spellStart"/>
      <w:r w:rsidR="00C57EB9">
        <w:rPr>
          <w:color w:val="000000"/>
        </w:rPr>
        <w:t>Mose</w:t>
      </w:r>
      <w:proofErr w:type="spellEnd"/>
      <w:r w:rsidR="00C57EB9">
        <w:rPr>
          <w:color w:val="000000"/>
        </w:rPr>
        <w:t>, God’s</w:t>
      </w:r>
      <w:r>
        <w:rPr>
          <w:color w:val="000000"/>
        </w:rPr>
        <w:t xml:space="preserve"> great law</w:t>
      </w:r>
      <w:r w:rsidR="00C57EB9">
        <w:rPr>
          <w:color w:val="000000"/>
        </w:rPr>
        <w:t>giver</w:t>
      </w:r>
      <w:r>
        <w:rPr>
          <w:color w:val="000000"/>
        </w:rPr>
        <w:t xml:space="preserve"> and minister, </w:t>
      </w:r>
      <w:r w:rsidR="0034541D">
        <w:rPr>
          <w:color w:val="000000"/>
        </w:rPr>
        <w:t xml:space="preserve">and </w:t>
      </w:r>
      <w:r>
        <w:rPr>
          <w:color w:val="000000"/>
        </w:rPr>
        <w:t xml:space="preserve">in </w:t>
      </w:r>
      <w:r w:rsidR="0034541D">
        <w:rPr>
          <w:color w:val="000000"/>
        </w:rPr>
        <w:t xml:space="preserve">his </w:t>
      </w:r>
      <w:r>
        <w:rPr>
          <w:color w:val="000000"/>
        </w:rPr>
        <w:t xml:space="preserve">prophets of </w:t>
      </w:r>
      <w:r w:rsidR="0034541D">
        <w:rPr>
          <w:color w:val="000000"/>
        </w:rPr>
        <w:t>old</w:t>
      </w:r>
      <w:r>
        <w:rPr>
          <w:color w:val="000000"/>
        </w:rPr>
        <w:t xml:space="preserve">. Origen deduces from </w:t>
      </w:r>
      <w:r w:rsidR="0034541D">
        <w:rPr>
          <w:color w:val="000000"/>
        </w:rPr>
        <w:t>Paul’s ‘</w:t>
      </w:r>
      <w:r>
        <w:rPr>
          <w:color w:val="000000"/>
        </w:rPr>
        <w:t>testimony in his letter to the Hebrews</w:t>
      </w:r>
      <w:r w:rsidR="0034541D">
        <w:rPr>
          <w:color w:val="000000"/>
        </w:rPr>
        <w:t>’</w:t>
      </w:r>
      <w:r>
        <w:rPr>
          <w:color w:val="000000"/>
        </w:rPr>
        <w:t xml:space="preserve"> that </w:t>
      </w:r>
      <w:r w:rsidR="0034541D">
        <w:rPr>
          <w:color w:val="000000"/>
        </w:rPr>
        <w:t>‘</w:t>
      </w:r>
      <w:r>
        <w:rPr>
          <w:color w:val="000000"/>
        </w:rPr>
        <w:t>Moses and the prophets spoke filled with the Spirit of Christ and accomplished all their deeds</w:t>
      </w:r>
      <w:r w:rsidR="0034541D">
        <w:rPr>
          <w:color w:val="000000"/>
        </w:rPr>
        <w:t>’</w:t>
      </w:r>
      <w:r>
        <w:rPr>
          <w:color w:val="000000"/>
        </w:rPr>
        <w:t>, </w:t>
      </w:r>
      <w:proofErr w:type="gramStart"/>
      <w:r>
        <w:rPr>
          <w:color w:val="000000"/>
        </w:rPr>
        <w:t>i.e.</w:t>
      </w:r>
      <w:proofErr w:type="gramEnd"/>
      <w:r>
        <w:rPr>
          <w:color w:val="000000"/>
        </w:rPr>
        <w:t> </w:t>
      </w:r>
      <w:r w:rsidR="0034541D">
        <w:rPr>
          <w:color w:val="000000"/>
        </w:rPr>
        <w:t xml:space="preserve">that </w:t>
      </w:r>
      <w:r w:rsidR="000425C2">
        <w:rPr>
          <w:color w:val="000000"/>
        </w:rPr>
        <w:t xml:space="preserve">even they had received God’s message through the voice of </w:t>
      </w:r>
      <w:r>
        <w:rPr>
          <w:color w:val="000000"/>
        </w:rPr>
        <w:t xml:space="preserve">Christ, </w:t>
      </w:r>
      <w:r w:rsidR="000425C2">
        <w:rPr>
          <w:color w:val="000000"/>
        </w:rPr>
        <w:t xml:space="preserve">who </w:t>
      </w:r>
      <w:r>
        <w:rPr>
          <w:color w:val="000000"/>
        </w:rPr>
        <w:t>spoke to them, for it says in the </w:t>
      </w:r>
      <w:r w:rsidR="00864F73" w:rsidRPr="00864F73">
        <w:rPr>
          <w:i/>
          <w:color w:val="000000"/>
        </w:rPr>
        <w:t>L</w:t>
      </w:r>
      <w:r w:rsidRPr="00864F73">
        <w:rPr>
          <w:i/>
          <w:color w:val="000000"/>
        </w:rPr>
        <w:t>etter to the Hebrews</w:t>
      </w:r>
      <w:r>
        <w:rPr>
          <w:color w:val="000000"/>
        </w:rPr>
        <w:t>:</w:t>
      </w:r>
    </w:p>
    <w:p w14:paraId="3339B8D9" w14:textId="7BADCF5B" w:rsidR="00DE0197" w:rsidRPr="00154F76" w:rsidRDefault="00864F73" w:rsidP="00154F76">
      <w:pPr>
        <w:pStyle w:val="NormalWeb"/>
        <w:spacing w:before="120" w:beforeAutospacing="0" w:after="120" w:afterAutospacing="0"/>
        <w:ind w:left="567"/>
        <w:jc w:val="both"/>
        <w:rPr>
          <w:color w:val="000000"/>
          <w:sz w:val="20"/>
          <w:szCs w:val="20"/>
          <w:lang w:val="en-US"/>
        </w:rPr>
      </w:pPr>
      <w:r>
        <w:rPr>
          <w:color w:val="000000"/>
          <w:sz w:val="20"/>
          <w:szCs w:val="20"/>
        </w:rPr>
        <w:t>‘</w:t>
      </w:r>
      <w:r w:rsidR="00D931BC" w:rsidRPr="00D931BC">
        <w:rPr>
          <w:color w:val="000000"/>
          <w:sz w:val="20"/>
          <w:szCs w:val="20"/>
        </w:rPr>
        <w:t>24 By faith Moses, when he had grown up, refused to be known as the son of Pharaoh’s daughter. 25 He chose to be mistreated along with the people of God rather than to enjoy the fleeting pleasures of sin. 26 He regarded disgrace for the sake of Christ as of greater value than the treasures of Egypt, because he was looking ahead to his reward</w:t>
      </w:r>
      <w:r w:rsidR="00DE0197">
        <w:rPr>
          <w:color w:val="000000"/>
          <w:sz w:val="20"/>
          <w:szCs w:val="20"/>
        </w:rPr>
        <w:t>.</w:t>
      </w:r>
      <w:r>
        <w:rPr>
          <w:color w:val="000000"/>
          <w:sz w:val="20"/>
          <w:szCs w:val="20"/>
        </w:rPr>
        <w:t>’</w:t>
      </w:r>
      <w:r w:rsidR="00DE0197">
        <w:rPr>
          <w:color w:val="000000"/>
          <w:sz w:val="20"/>
          <w:szCs w:val="20"/>
        </w:rPr>
        <w:t> (</w:t>
      </w:r>
      <w:r w:rsidR="00DE0197" w:rsidRPr="00864F73">
        <w:rPr>
          <w:i/>
          <w:color w:val="000000"/>
          <w:sz w:val="20"/>
          <w:szCs w:val="20"/>
        </w:rPr>
        <w:t>Heb</w:t>
      </w:r>
      <w:r>
        <w:rPr>
          <w:i/>
          <w:color w:val="000000"/>
          <w:sz w:val="20"/>
          <w:szCs w:val="20"/>
        </w:rPr>
        <w:t>.</w:t>
      </w:r>
      <w:r w:rsidR="00DE0197">
        <w:rPr>
          <w:color w:val="000000"/>
          <w:sz w:val="20"/>
          <w:szCs w:val="20"/>
        </w:rPr>
        <w:t xml:space="preserve"> 11: 24-26)</w:t>
      </w:r>
    </w:p>
    <w:p w14:paraId="48751D6C" w14:textId="632F5BD3" w:rsidR="00DE0197" w:rsidRDefault="00DD508F" w:rsidP="00DE0197">
      <w:pPr>
        <w:pStyle w:val="NormalWeb"/>
        <w:spacing w:before="0" w:beforeAutospacing="0" w:after="0" w:afterAutospacing="0"/>
        <w:jc w:val="both"/>
        <w:rPr>
          <w:color w:val="000000"/>
          <w:sz w:val="27"/>
          <w:szCs w:val="27"/>
        </w:rPr>
      </w:pPr>
      <w:r>
        <w:rPr>
          <w:color w:val="000000"/>
        </w:rPr>
        <w:t>It astonishes that Origen</w:t>
      </w:r>
      <w:r w:rsidR="00820325">
        <w:rPr>
          <w:color w:val="000000"/>
        </w:rPr>
        <w:t xml:space="preserve"> introduces Christian writings as authoritative, while at the same time being critical of them. In this he shows himself a text-critical scholar</w:t>
      </w:r>
      <w:r w:rsidR="008F4510">
        <w:rPr>
          <w:color w:val="000000"/>
        </w:rPr>
        <w:t xml:space="preserve"> who is </w:t>
      </w:r>
      <w:r w:rsidR="00DE0197">
        <w:rPr>
          <w:color w:val="000000"/>
        </w:rPr>
        <w:t>nuanced about the literary characteristic</w:t>
      </w:r>
      <w:r w:rsidR="008F4510">
        <w:rPr>
          <w:color w:val="000000"/>
        </w:rPr>
        <w:t xml:space="preserve"> of these writings</w:t>
      </w:r>
      <w:r w:rsidR="008D75A0">
        <w:rPr>
          <w:color w:val="000000"/>
        </w:rPr>
        <w:t xml:space="preserve">, as one can see from his comments about </w:t>
      </w:r>
      <w:r w:rsidR="008D75A0">
        <w:rPr>
          <w:i/>
          <w:color w:val="000000"/>
        </w:rPr>
        <w:t>Hebrews</w:t>
      </w:r>
      <w:r w:rsidR="00DE0197">
        <w:rPr>
          <w:color w:val="000000"/>
        </w:rPr>
        <w:t>.</w:t>
      </w:r>
      <w:r w:rsidR="00891CD8">
        <w:rPr>
          <w:color w:val="000000"/>
        </w:rPr>
        <w:t xml:space="preserve"> Eusebius transmits t</w:t>
      </w:r>
      <w:r w:rsidR="00FC0B97">
        <w:rPr>
          <w:color w:val="000000"/>
        </w:rPr>
        <w:t>h</w:t>
      </w:r>
      <w:r w:rsidR="00DE0197">
        <w:rPr>
          <w:color w:val="000000"/>
        </w:rPr>
        <w:t>e following passage from Origen</w:t>
      </w:r>
      <w:r w:rsidR="00891CD8">
        <w:rPr>
          <w:color w:val="000000"/>
        </w:rPr>
        <w:t>’</w:t>
      </w:r>
      <w:r w:rsidR="00DE0197">
        <w:rPr>
          <w:color w:val="000000"/>
        </w:rPr>
        <w:t>s </w:t>
      </w:r>
      <w:r w:rsidR="00891CD8" w:rsidRPr="00891CD8">
        <w:rPr>
          <w:i/>
          <w:color w:val="000000"/>
        </w:rPr>
        <w:t>H</w:t>
      </w:r>
      <w:r w:rsidR="00DE0197" w:rsidRPr="00891CD8">
        <w:rPr>
          <w:i/>
          <w:color w:val="000000"/>
        </w:rPr>
        <w:t>omilies to the Epistle to the Hebrews</w:t>
      </w:r>
      <w:r w:rsidR="00DE0197">
        <w:rPr>
          <w:color w:val="000000"/>
        </w:rPr>
        <w:t>:</w:t>
      </w:r>
    </w:p>
    <w:p w14:paraId="3DEC7634" w14:textId="1D0F3552" w:rsidR="008B41BD" w:rsidRPr="008B41BD" w:rsidRDefault="00FC0B97" w:rsidP="0020621F">
      <w:pPr>
        <w:pStyle w:val="NormalWeb"/>
        <w:spacing w:before="120" w:after="120"/>
        <w:ind w:left="567"/>
        <w:jc w:val="both"/>
        <w:rPr>
          <w:color w:val="000000"/>
          <w:sz w:val="20"/>
          <w:szCs w:val="20"/>
        </w:rPr>
      </w:pPr>
      <w:r>
        <w:rPr>
          <w:color w:val="000000"/>
          <w:sz w:val="20"/>
          <w:szCs w:val="20"/>
        </w:rPr>
        <w:t>‘</w:t>
      </w:r>
      <w:r w:rsidR="0020621F">
        <w:rPr>
          <w:color w:val="000000"/>
          <w:sz w:val="20"/>
          <w:szCs w:val="20"/>
        </w:rPr>
        <w:t xml:space="preserve">11. </w:t>
      </w:r>
      <w:r w:rsidR="008B41BD" w:rsidRPr="008B41BD">
        <w:rPr>
          <w:color w:val="000000"/>
          <w:sz w:val="20"/>
          <w:szCs w:val="20"/>
        </w:rPr>
        <w:t xml:space="preserve">That the verbal style of the epistle entitled </w:t>
      </w:r>
      <w:r w:rsidR="008B41BD" w:rsidRPr="004941CA">
        <w:rPr>
          <w:i/>
          <w:color w:val="000000"/>
          <w:sz w:val="20"/>
          <w:szCs w:val="20"/>
        </w:rPr>
        <w:t>To the Hebrews</w:t>
      </w:r>
      <w:r w:rsidR="008B41BD" w:rsidRPr="008B41BD">
        <w:rPr>
          <w:color w:val="000000"/>
          <w:sz w:val="20"/>
          <w:szCs w:val="20"/>
        </w:rPr>
        <w:t>, is not rude like</w:t>
      </w:r>
      <w:r w:rsidR="004941CA">
        <w:rPr>
          <w:color w:val="000000"/>
          <w:sz w:val="20"/>
          <w:szCs w:val="20"/>
        </w:rPr>
        <w:t xml:space="preserve"> </w:t>
      </w:r>
      <w:r w:rsidR="008B41BD" w:rsidRPr="008B41BD">
        <w:rPr>
          <w:color w:val="000000"/>
          <w:sz w:val="20"/>
          <w:szCs w:val="20"/>
        </w:rPr>
        <w:t>the language of the apostle, who acknowledged himself ‘rude in speech’</w:t>
      </w:r>
      <w:r w:rsidR="0020621F">
        <w:rPr>
          <w:color w:val="000000"/>
          <w:sz w:val="20"/>
          <w:szCs w:val="20"/>
        </w:rPr>
        <w:t xml:space="preserve"> </w:t>
      </w:r>
      <w:r w:rsidR="008B41BD" w:rsidRPr="008B41BD">
        <w:rPr>
          <w:color w:val="000000"/>
          <w:sz w:val="20"/>
          <w:szCs w:val="20"/>
        </w:rPr>
        <w:t>that is, in expression;</w:t>
      </w:r>
      <w:r w:rsidR="0020621F">
        <w:rPr>
          <w:color w:val="000000"/>
          <w:sz w:val="20"/>
          <w:szCs w:val="20"/>
        </w:rPr>
        <w:t xml:space="preserve"> </w:t>
      </w:r>
      <w:r w:rsidR="008B41BD" w:rsidRPr="008B41BD">
        <w:rPr>
          <w:color w:val="000000"/>
          <w:sz w:val="20"/>
          <w:szCs w:val="20"/>
        </w:rPr>
        <w:t xml:space="preserve">but that its diction is purer Greek, </w:t>
      </w:r>
      <w:proofErr w:type="gramStart"/>
      <w:r w:rsidR="008B41BD" w:rsidRPr="008B41BD">
        <w:rPr>
          <w:color w:val="000000"/>
          <w:sz w:val="20"/>
          <w:szCs w:val="20"/>
        </w:rPr>
        <w:t>any one</w:t>
      </w:r>
      <w:proofErr w:type="gramEnd"/>
      <w:r w:rsidR="008B41BD" w:rsidRPr="008B41BD">
        <w:rPr>
          <w:color w:val="000000"/>
          <w:sz w:val="20"/>
          <w:szCs w:val="20"/>
        </w:rPr>
        <w:t xml:space="preserve"> who has the power to discern differences of phraseology</w:t>
      </w:r>
      <w:r w:rsidR="0020621F">
        <w:rPr>
          <w:color w:val="000000"/>
          <w:sz w:val="20"/>
          <w:szCs w:val="20"/>
        </w:rPr>
        <w:t xml:space="preserve"> </w:t>
      </w:r>
      <w:r w:rsidR="008B41BD" w:rsidRPr="008B41BD">
        <w:rPr>
          <w:color w:val="000000"/>
          <w:sz w:val="20"/>
          <w:szCs w:val="20"/>
        </w:rPr>
        <w:t>will acknowledge.</w:t>
      </w:r>
      <w:r w:rsidR="0020621F">
        <w:rPr>
          <w:color w:val="000000"/>
          <w:sz w:val="20"/>
          <w:szCs w:val="20"/>
        </w:rPr>
        <w:t xml:space="preserve"> </w:t>
      </w:r>
      <w:r w:rsidR="008B41BD" w:rsidRPr="008B41BD">
        <w:rPr>
          <w:color w:val="000000"/>
          <w:sz w:val="20"/>
          <w:szCs w:val="20"/>
        </w:rPr>
        <w:t>12. Moreover, that the thoughts of the epistle are admirable, and not inferior to the acknowledged</w:t>
      </w:r>
      <w:r w:rsidR="0020621F">
        <w:rPr>
          <w:color w:val="000000"/>
          <w:sz w:val="20"/>
          <w:szCs w:val="20"/>
        </w:rPr>
        <w:t xml:space="preserve"> </w:t>
      </w:r>
      <w:r w:rsidR="008B41BD" w:rsidRPr="008B41BD">
        <w:rPr>
          <w:color w:val="000000"/>
          <w:sz w:val="20"/>
          <w:szCs w:val="20"/>
        </w:rPr>
        <w:t xml:space="preserve">apostolic writings, </w:t>
      </w:r>
      <w:proofErr w:type="gramStart"/>
      <w:r w:rsidR="008B41BD" w:rsidRPr="008B41BD">
        <w:rPr>
          <w:color w:val="000000"/>
          <w:sz w:val="20"/>
          <w:szCs w:val="20"/>
        </w:rPr>
        <w:t>any one</w:t>
      </w:r>
      <w:proofErr w:type="gramEnd"/>
      <w:r w:rsidR="008B41BD" w:rsidRPr="008B41BD">
        <w:rPr>
          <w:color w:val="000000"/>
          <w:sz w:val="20"/>
          <w:szCs w:val="20"/>
        </w:rPr>
        <w:t xml:space="preserve"> who carefully examines the apostolic text will admit.’</w:t>
      </w:r>
      <w:r>
        <w:rPr>
          <w:rStyle w:val="FootnoteReference"/>
          <w:color w:val="000000"/>
          <w:sz w:val="20"/>
          <w:szCs w:val="20"/>
        </w:rPr>
        <w:footnoteReference w:id="18"/>
      </w:r>
    </w:p>
    <w:p w14:paraId="3EDC10C5" w14:textId="662431F1" w:rsidR="00DE0197" w:rsidRDefault="00DE0197" w:rsidP="00DE0197">
      <w:pPr>
        <w:pStyle w:val="NormalWeb"/>
        <w:spacing w:before="0" w:beforeAutospacing="0" w:after="0" w:afterAutospacing="0"/>
        <w:jc w:val="both"/>
        <w:rPr>
          <w:color w:val="000000"/>
          <w:sz w:val="27"/>
          <w:szCs w:val="27"/>
        </w:rPr>
      </w:pPr>
      <w:r>
        <w:rPr>
          <w:color w:val="000000"/>
        </w:rPr>
        <w:t xml:space="preserve">Eusebius adds that Origen </w:t>
      </w:r>
      <w:r w:rsidR="000D1E73">
        <w:rPr>
          <w:color w:val="000000"/>
        </w:rPr>
        <w:t xml:space="preserve">‘later </w:t>
      </w:r>
      <w:r>
        <w:rPr>
          <w:color w:val="000000"/>
        </w:rPr>
        <w:t>remarks</w:t>
      </w:r>
      <w:r w:rsidR="000D1E73">
        <w:rPr>
          <w:color w:val="000000"/>
        </w:rPr>
        <w:t>’</w:t>
      </w:r>
      <w:r>
        <w:rPr>
          <w:color w:val="000000"/>
        </w:rPr>
        <w:t>:</w:t>
      </w:r>
    </w:p>
    <w:p w14:paraId="1B83C194" w14:textId="09147271" w:rsidR="000D1E73" w:rsidRPr="00004EF5" w:rsidRDefault="00AF2AF2" w:rsidP="00004EF5">
      <w:pPr>
        <w:pStyle w:val="NormalWeb"/>
        <w:spacing w:before="120" w:after="120"/>
        <w:ind w:left="567"/>
        <w:jc w:val="both"/>
        <w:rPr>
          <w:color w:val="000000"/>
          <w:sz w:val="20"/>
          <w:szCs w:val="20"/>
        </w:rPr>
      </w:pPr>
      <w:r>
        <w:rPr>
          <w:color w:val="000000"/>
          <w:sz w:val="20"/>
          <w:szCs w:val="20"/>
        </w:rPr>
        <w:t xml:space="preserve">’13. </w:t>
      </w:r>
      <w:r w:rsidR="000D1E73" w:rsidRPr="008B41BD">
        <w:rPr>
          <w:color w:val="000000"/>
          <w:sz w:val="20"/>
          <w:szCs w:val="20"/>
        </w:rPr>
        <w:t>If I gave my opinion, I should say that the thoughts are those of the</w:t>
      </w:r>
      <w:r w:rsidR="000D1E73">
        <w:rPr>
          <w:color w:val="000000"/>
          <w:sz w:val="20"/>
          <w:szCs w:val="20"/>
        </w:rPr>
        <w:t xml:space="preserve"> </w:t>
      </w:r>
      <w:r w:rsidR="000D1E73" w:rsidRPr="008B41BD">
        <w:rPr>
          <w:color w:val="000000"/>
          <w:sz w:val="20"/>
          <w:szCs w:val="20"/>
        </w:rPr>
        <w:t>apostle, but the diction and phraseology are those of some one who remembered the apostolic</w:t>
      </w:r>
      <w:r w:rsidR="000D1E73">
        <w:rPr>
          <w:color w:val="000000"/>
          <w:sz w:val="20"/>
          <w:szCs w:val="20"/>
        </w:rPr>
        <w:t xml:space="preserve"> </w:t>
      </w:r>
      <w:proofErr w:type="gramStart"/>
      <w:r w:rsidR="000D1E73" w:rsidRPr="008B41BD">
        <w:rPr>
          <w:color w:val="000000"/>
          <w:sz w:val="20"/>
          <w:szCs w:val="20"/>
        </w:rPr>
        <w:t>teachings, and</w:t>
      </w:r>
      <w:proofErr w:type="gramEnd"/>
      <w:r w:rsidR="000D1E73" w:rsidRPr="008B41BD">
        <w:rPr>
          <w:color w:val="000000"/>
          <w:sz w:val="20"/>
          <w:szCs w:val="20"/>
        </w:rPr>
        <w:t xml:space="preserve"> wrote down at his leisure what had been said by his teacher. </w:t>
      </w:r>
      <w:proofErr w:type="gramStart"/>
      <w:r w:rsidR="000D1E73" w:rsidRPr="008B41BD">
        <w:rPr>
          <w:color w:val="000000"/>
          <w:sz w:val="20"/>
          <w:szCs w:val="20"/>
        </w:rPr>
        <w:t>Therefore</w:t>
      </w:r>
      <w:proofErr w:type="gramEnd"/>
      <w:r w:rsidR="000D1E73" w:rsidRPr="008B41BD">
        <w:rPr>
          <w:color w:val="000000"/>
          <w:sz w:val="20"/>
          <w:szCs w:val="20"/>
        </w:rPr>
        <w:t xml:space="preserve"> if any church</w:t>
      </w:r>
      <w:r w:rsidR="000D1E73">
        <w:rPr>
          <w:color w:val="000000"/>
          <w:sz w:val="20"/>
          <w:szCs w:val="20"/>
        </w:rPr>
        <w:t xml:space="preserve"> </w:t>
      </w:r>
      <w:r w:rsidR="000D1E73" w:rsidRPr="008B41BD">
        <w:rPr>
          <w:color w:val="000000"/>
          <w:sz w:val="20"/>
          <w:szCs w:val="20"/>
        </w:rPr>
        <w:t>holds that this epistle is by Paul, let it be commended for this. For not without reason have the</w:t>
      </w:r>
      <w:r w:rsidR="000D1E73">
        <w:rPr>
          <w:color w:val="000000"/>
          <w:sz w:val="20"/>
          <w:szCs w:val="20"/>
        </w:rPr>
        <w:t xml:space="preserve"> </w:t>
      </w:r>
      <w:r w:rsidR="000D1E73" w:rsidRPr="008B41BD">
        <w:rPr>
          <w:color w:val="000000"/>
          <w:sz w:val="20"/>
          <w:szCs w:val="20"/>
        </w:rPr>
        <w:t>ancients handed it down as Paul’s.</w:t>
      </w:r>
      <w:r w:rsidR="00004EF5">
        <w:rPr>
          <w:color w:val="000000"/>
          <w:sz w:val="20"/>
          <w:szCs w:val="20"/>
        </w:rPr>
        <w:t xml:space="preserve"> </w:t>
      </w:r>
      <w:r w:rsidR="000D1E73" w:rsidRPr="008B41BD">
        <w:rPr>
          <w:color w:val="000000"/>
          <w:sz w:val="20"/>
          <w:szCs w:val="20"/>
        </w:rPr>
        <w:t>14. But who wrote the epistle, in truth, God knows. The statement of some who have gone</w:t>
      </w:r>
      <w:r w:rsidR="00004EF5">
        <w:rPr>
          <w:color w:val="000000"/>
          <w:sz w:val="20"/>
          <w:szCs w:val="20"/>
        </w:rPr>
        <w:t xml:space="preserve"> </w:t>
      </w:r>
      <w:r w:rsidR="000D1E73" w:rsidRPr="008B41BD">
        <w:rPr>
          <w:color w:val="000000"/>
          <w:sz w:val="20"/>
          <w:szCs w:val="20"/>
        </w:rPr>
        <w:t>before us is that Clement, bishop of the Romans, wrote the epistle, and of others that Luke, the</w:t>
      </w:r>
      <w:r w:rsidR="00004EF5">
        <w:rPr>
          <w:color w:val="000000"/>
          <w:sz w:val="20"/>
          <w:szCs w:val="20"/>
        </w:rPr>
        <w:t xml:space="preserve"> </w:t>
      </w:r>
      <w:r w:rsidR="000D1E73" w:rsidRPr="008B41BD">
        <w:rPr>
          <w:color w:val="000000"/>
          <w:sz w:val="20"/>
          <w:szCs w:val="20"/>
        </w:rPr>
        <w:t>author of the Gospel and the Acts, wrote it</w:t>
      </w:r>
      <w:r w:rsidR="000D1E73">
        <w:rPr>
          <w:color w:val="000000"/>
          <w:sz w:val="20"/>
          <w:szCs w:val="20"/>
        </w:rPr>
        <w:t>.’</w:t>
      </w:r>
      <w:r w:rsidR="000D1E73">
        <w:rPr>
          <w:rStyle w:val="FootnoteReference"/>
          <w:color w:val="000000"/>
          <w:sz w:val="20"/>
          <w:szCs w:val="20"/>
        </w:rPr>
        <w:footnoteReference w:id="19"/>
      </w:r>
    </w:p>
    <w:p w14:paraId="02C9A1C6" w14:textId="0B4A8E9F" w:rsidR="00DE0197" w:rsidRDefault="00DE0197" w:rsidP="00DE0197">
      <w:pPr>
        <w:pStyle w:val="NormalWeb"/>
        <w:spacing w:before="0" w:beforeAutospacing="0" w:after="0" w:afterAutospacing="0"/>
        <w:jc w:val="both"/>
        <w:rPr>
          <w:color w:val="000000"/>
          <w:sz w:val="27"/>
          <w:szCs w:val="27"/>
        </w:rPr>
      </w:pPr>
      <w:r>
        <w:rPr>
          <w:color w:val="000000"/>
        </w:rPr>
        <w:t>Origen therefore joins a church tradition that considered the </w:t>
      </w:r>
      <w:r w:rsidRPr="00361B7D">
        <w:rPr>
          <w:i/>
          <w:color w:val="000000"/>
        </w:rPr>
        <w:t>Letter to the Hebrews</w:t>
      </w:r>
      <w:r>
        <w:rPr>
          <w:color w:val="000000"/>
        </w:rPr>
        <w:t xml:space="preserve"> to be Pauline, even if he knew with this tradition that it was </w:t>
      </w:r>
      <w:proofErr w:type="gramStart"/>
      <w:r>
        <w:rPr>
          <w:color w:val="000000"/>
        </w:rPr>
        <w:t xml:space="preserve">definitely </w:t>
      </w:r>
      <w:r w:rsidR="00361B7D">
        <w:rPr>
          <w:color w:val="000000"/>
        </w:rPr>
        <w:t>not</w:t>
      </w:r>
      <w:proofErr w:type="gramEnd"/>
      <w:r w:rsidR="00361B7D">
        <w:rPr>
          <w:color w:val="000000"/>
        </w:rPr>
        <w:t xml:space="preserve"> </w:t>
      </w:r>
      <w:r>
        <w:rPr>
          <w:color w:val="000000"/>
        </w:rPr>
        <w:t xml:space="preserve">written by Paul. His search for the true author also shows, however, that he was not satisfied with the pseudonymity of this writing and that he researched whether it could not be ascribed to one of the well-known greats of the literary Christian world. Of interest </w:t>
      </w:r>
      <w:r w:rsidR="005109E0">
        <w:rPr>
          <w:color w:val="000000"/>
        </w:rPr>
        <w:t>is that Origen</w:t>
      </w:r>
      <w:r>
        <w:rPr>
          <w:color w:val="000000"/>
        </w:rPr>
        <w:t xml:space="preserve"> mention</w:t>
      </w:r>
      <w:r w:rsidR="005109E0">
        <w:rPr>
          <w:color w:val="000000"/>
        </w:rPr>
        <w:t>s</w:t>
      </w:r>
      <w:r>
        <w:rPr>
          <w:color w:val="000000"/>
        </w:rPr>
        <w:t xml:space="preserve"> potential authors </w:t>
      </w:r>
      <w:r w:rsidR="005109E0">
        <w:rPr>
          <w:color w:val="000000"/>
        </w:rPr>
        <w:t xml:space="preserve">who </w:t>
      </w:r>
      <w:r w:rsidR="00F66628">
        <w:rPr>
          <w:color w:val="000000"/>
        </w:rPr>
        <w:t xml:space="preserve">have knowledge of </w:t>
      </w:r>
      <w:r>
        <w:rPr>
          <w:color w:val="000000"/>
        </w:rPr>
        <w:t xml:space="preserve">Paul, </w:t>
      </w:r>
      <w:r w:rsidR="00F66628">
        <w:rPr>
          <w:color w:val="000000"/>
        </w:rPr>
        <w:t xml:space="preserve">for the </w:t>
      </w:r>
      <w:r w:rsidR="00F66628">
        <w:rPr>
          <w:i/>
          <w:color w:val="000000"/>
        </w:rPr>
        <w:t>First Letter of Clement to the Corinthians</w:t>
      </w:r>
      <w:r w:rsidR="00F66628">
        <w:rPr>
          <w:color w:val="000000"/>
        </w:rPr>
        <w:t xml:space="preserve"> twice </w:t>
      </w:r>
      <w:r w:rsidR="00535740">
        <w:rPr>
          <w:color w:val="000000"/>
        </w:rPr>
        <w:t xml:space="preserve">refers to Paul, and </w:t>
      </w:r>
      <w:r>
        <w:rPr>
          <w:color w:val="000000"/>
        </w:rPr>
        <w:t xml:space="preserve">Paul </w:t>
      </w:r>
      <w:r w:rsidR="00535740">
        <w:rPr>
          <w:color w:val="000000"/>
        </w:rPr>
        <w:t xml:space="preserve">is one of the major </w:t>
      </w:r>
      <w:r>
        <w:rPr>
          <w:color w:val="000000"/>
        </w:rPr>
        <w:t>protagonist</w:t>
      </w:r>
      <w:r w:rsidR="00535740">
        <w:rPr>
          <w:color w:val="000000"/>
        </w:rPr>
        <w:t>s</w:t>
      </w:r>
      <w:r>
        <w:rPr>
          <w:color w:val="000000"/>
        </w:rPr>
        <w:t xml:space="preserve"> of the </w:t>
      </w:r>
      <w:r w:rsidRPr="00535740">
        <w:rPr>
          <w:i/>
          <w:color w:val="000000"/>
        </w:rPr>
        <w:t>Acts</w:t>
      </w:r>
      <w:r>
        <w:rPr>
          <w:color w:val="000000"/>
        </w:rPr>
        <w:t xml:space="preserve"> which </w:t>
      </w:r>
      <w:r w:rsidR="00535740">
        <w:rPr>
          <w:color w:val="000000"/>
        </w:rPr>
        <w:t>Origen attributes to the Gospel</w:t>
      </w:r>
      <w:r w:rsidR="008133C3">
        <w:rPr>
          <w:color w:val="000000"/>
        </w:rPr>
        <w:t>-</w:t>
      </w:r>
      <w:r w:rsidR="00535740">
        <w:rPr>
          <w:color w:val="000000"/>
        </w:rPr>
        <w:t>writer Luke</w:t>
      </w:r>
      <w:r>
        <w:rPr>
          <w:color w:val="000000"/>
        </w:rPr>
        <w:t>.</w:t>
      </w:r>
    </w:p>
    <w:p w14:paraId="0C4FCEC6" w14:textId="5CCA5C84"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The very fact that Origen wants to assure himself of the trustworthiness of such </w:t>
      </w:r>
      <w:r w:rsidR="00A74203">
        <w:rPr>
          <w:color w:val="000000"/>
        </w:rPr>
        <w:t>a</w:t>
      </w:r>
      <w:r w:rsidR="00A72EA3">
        <w:rPr>
          <w:color w:val="000000"/>
        </w:rPr>
        <w:t xml:space="preserve"> work like </w:t>
      </w:r>
      <w:r w:rsidR="00A72EA3">
        <w:rPr>
          <w:i/>
          <w:color w:val="000000"/>
        </w:rPr>
        <w:t xml:space="preserve">Hebrews </w:t>
      </w:r>
      <w:r>
        <w:rPr>
          <w:color w:val="000000"/>
        </w:rPr>
        <w:t>shows the high value that he attaches to the</w:t>
      </w:r>
      <w:r w:rsidR="00A72EA3">
        <w:rPr>
          <w:color w:val="000000"/>
        </w:rPr>
        <w:t>se written</w:t>
      </w:r>
      <w:r>
        <w:rPr>
          <w:color w:val="000000"/>
        </w:rPr>
        <w:t xml:space="preserve"> testimonies in his argumentation</w:t>
      </w:r>
      <w:r w:rsidR="0046635C">
        <w:rPr>
          <w:color w:val="000000"/>
        </w:rPr>
        <w:t xml:space="preserve"> and </w:t>
      </w:r>
      <w:r w:rsidR="00A72EA3">
        <w:rPr>
          <w:color w:val="000000"/>
        </w:rPr>
        <w:t xml:space="preserve">it </w:t>
      </w:r>
      <w:r w:rsidR="0046635C">
        <w:rPr>
          <w:color w:val="000000"/>
        </w:rPr>
        <w:t>also reflects that he is dealing with a collection</w:t>
      </w:r>
      <w:r w:rsidR="00CC310A">
        <w:rPr>
          <w:color w:val="000000"/>
        </w:rPr>
        <w:t>, the</w:t>
      </w:r>
      <w:r w:rsidR="0046635C">
        <w:rPr>
          <w:color w:val="000000"/>
        </w:rPr>
        <w:t xml:space="preserve"> boundaries</w:t>
      </w:r>
      <w:r w:rsidR="00CC310A">
        <w:rPr>
          <w:color w:val="000000"/>
        </w:rPr>
        <w:t xml:space="preserve"> of which</w:t>
      </w:r>
      <w:r w:rsidR="00904665">
        <w:rPr>
          <w:color w:val="000000"/>
        </w:rPr>
        <w:t xml:space="preserve"> are clear despite a few writings still being under dispute</w:t>
      </w:r>
      <w:r>
        <w:rPr>
          <w:color w:val="000000"/>
        </w:rPr>
        <w:t xml:space="preserve">. It is precisely in this context of the </w:t>
      </w:r>
      <w:r w:rsidR="006A43C6">
        <w:rPr>
          <w:color w:val="000000"/>
        </w:rPr>
        <w:t xml:space="preserve">canonical </w:t>
      </w:r>
      <w:r w:rsidR="000516F6">
        <w:rPr>
          <w:color w:val="000000"/>
        </w:rPr>
        <w:t xml:space="preserve">range of the collection and the </w:t>
      </w:r>
      <w:r w:rsidR="006A43C6">
        <w:rPr>
          <w:color w:val="000000"/>
        </w:rPr>
        <w:t xml:space="preserve">importance of </w:t>
      </w:r>
      <w:r>
        <w:rPr>
          <w:color w:val="000000"/>
        </w:rPr>
        <w:t>the writings</w:t>
      </w:r>
      <w:r w:rsidR="000516F6">
        <w:rPr>
          <w:color w:val="000000"/>
        </w:rPr>
        <w:t xml:space="preserve"> contained in</w:t>
      </w:r>
      <w:r>
        <w:rPr>
          <w:color w:val="000000"/>
        </w:rPr>
        <w:t xml:space="preserve"> the Old and New Testaments, that Origen comes to speak </w:t>
      </w:r>
      <w:r w:rsidR="00246369">
        <w:rPr>
          <w:color w:val="000000"/>
        </w:rPr>
        <w:t xml:space="preserve">about </w:t>
      </w:r>
      <w:r>
        <w:rPr>
          <w:color w:val="000000"/>
        </w:rPr>
        <w:t>history</w:t>
      </w:r>
      <w:r w:rsidR="00246369">
        <w:rPr>
          <w:color w:val="000000"/>
        </w:rPr>
        <w:t>.</w:t>
      </w:r>
      <w:r>
        <w:rPr>
          <w:color w:val="000000"/>
        </w:rPr>
        <w:t xml:space="preserve"> </w:t>
      </w:r>
      <w:r w:rsidR="00246369">
        <w:rPr>
          <w:color w:val="000000"/>
        </w:rPr>
        <w:t xml:space="preserve">Within it he develops </w:t>
      </w:r>
      <w:r>
        <w:rPr>
          <w:color w:val="000000"/>
        </w:rPr>
        <w:t xml:space="preserve">his idea </w:t>
      </w:r>
      <w:r>
        <w:rPr>
          <w:color w:val="000000"/>
        </w:rPr>
        <w:lastRenderedPageBreak/>
        <w:t xml:space="preserve">of ​​the beginnings of Scripture and, </w:t>
      </w:r>
      <w:r w:rsidR="00246369">
        <w:rPr>
          <w:color w:val="000000"/>
        </w:rPr>
        <w:t>as part of these</w:t>
      </w:r>
      <w:r>
        <w:rPr>
          <w:color w:val="000000"/>
        </w:rPr>
        <w:t xml:space="preserve">, of the beginnings of Christianity. Even if the beginnings of Scripture are viewed more critically today </w:t>
      </w:r>
      <w:r w:rsidR="003270EC">
        <w:rPr>
          <w:color w:val="000000"/>
        </w:rPr>
        <w:t xml:space="preserve">and their divinely inspired </w:t>
      </w:r>
      <w:proofErr w:type="spellStart"/>
      <w:r w:rsidR="003270EC">
        <w:rPr>
          <w:color w:val="000000"/>
        </w:rPr>
        <w:t>origine</w:t>
      </w:r>
      <w:proofErr w:type="spellEnd"/>
      <w:r w:rsidR="003270EC">
        <w:rPr>
          <w:color w:val="000000"/>
        </w:rPr>
        <w:t xml:space="preserve"> seen as </w:t>
      </w:r>
      <w:r>
        <w:rPr>
          <w:color w:val="000000"/>
        </w:rPr>
        <w:t>a theological-apologetic position, the resulting conclusion for the origin and normative power of the Bible, especially of the New Testament Scriptures, has left a deep mark to this day.</w:t>
      </w:r>
    </w:p>
    <w:p w14:paraId="6CBC2AFE" w14:textId="762A419D" w:rsidR="00DE0197" w:rsidRDefault="00DE0197" w:rsidP="00DE0197">
      <w:pPr>
        <w:pStyle w:val="NormalWeb"/>
        <w:spacing w:before="0" w:beforeAutospacing="0" w:after="0" w:afterAutospacing="0"/>
        <w:ind w:firstLine="720"/>
        <w:jc w:val="both"/>
        <w:rPr>
          <w:color w:val="000000"/>
          <w:sz w:val="27"/>
          <w:szCs w:val="27"/>
        </w:rPr>
      </w:pPr>
      <w:r>
        <w:rPr>
          <w:color w:val="000000"/>
        </w:rPr>
        <w:t>Origen opens the fourth book of </w:t>
      </w:r>
      <w:proofErr w:type="gramStart"/>
      <w:r w:rsidR="004278D8">
        <w:rPr>
          <w:i/>
          <w:color w:val="000000"/>
        </w:rPr>
        <w:t>On</w:t>
      </w:r>
      <w:proofErr w:type="gramEnd"/>
      <w:r w:rsidR="004278D8">
        <w:rPr>
          <w:i/>
          <w:color w:val="000000"/>
        </w:rPr>
        <w:t xml:space="preserve"> the principles </w:t>
      </w:r>
      <w:r>
        <w:rPr>
          <w:color w:val="000000"/>
        </w:rPr>
        <w:t xml:space="preserve">again with </w:t>
      </w:r>
      <w:r w:rsidR="004278D8">
        <w:rPr>
          <w:color w:val="000000"/>
        </w:rPr>
        <w:t>a</w:t>
      </w:r>
      <w:r>
        <w:rPr>
          <w:color w:val="000000"/>
        </w:rPr>
        <w:t xml:space="preserve"> reference to the Scriptures as the basis of his argumentation, even if he only now wants to provide the proof in this book why he considers these scriptures to be </w:t>
      </w:r>
      <w:r w:rsidR="006D3B03">
        <w:rPr>
          <w:color w:val="000000"/>
        </w:rPr>
        <w:t>‘</w:t>
      </w:r>
      <w:r>
        <w:rPr>
          <w:color w:val="000000"/>
        </w:rPr>
        <w:t>divine</w:t>
      </w:r>
      <w:r w:rsidR="006D3B03">
        <w:rPr>
          <w:color w:val="000000"/>
        </w:rPr>
        <w:t>’</w:t>
      </w:r>
      <w:r>
        <w:rPr>
          <w:color w:val="000000"/>
        </w:rPr>
        <w:t>. However, because he knows about the circularity of this argument, he tries </w:t>
      </w:r>
      <w:r w:rsidR="006D3B03">
        <w:rPr>
          <w:color w:val="000000"/>
        </w:rPr>
        <w:t xml:space="preserve">to </w:t>
      </w:r>
      <w:r w:rsidR="00967E68">
        <w:rPr>
          <w:color w:val="000000"/>
        </w:rPr>
        <w:t>provide a rational reason for it</w:t>
      </w:r>
      <w:r>
        <w:rPr>
          <w:color w:val="000000"/>
        </w:rPr>
        <w:t>, </w:t>
      </w:r>
      <w:r w:rsidR="00967E68">
        <w:rPr>
          <w:color w:val="000000"/>
        </w:rPr>
        <w:t>drawing on history, as we will see</w:t>
      </w:r>
      <w:r>
        <w:rPr>
          <w:color w:val="000000"/>
        </w:rPr>
        <w:t>. </w:t>
      </w:r>
      <w:r w:rsidR="00033F46">
        <w:rPr>
          <w:color w:val="000000"/>
        </w:rPr>
        <w:t>He starts his historical reflection about Scriptures</w:t>
      </w:r>
      <w:r>
        <w:rPr>
          <w:color w:val="000000"/>
        </w:rPr>
        <w:t>:</w:t>
      </w:r>
    </w:p>
    <w:p w14:paraId="32553141" w14:textId="40C6D3FF" w:rsidR="004D0DFA" w:rsidRDefault="00033F46" w:rsidP="00DE0197">
      <w:pPr>
        <w:pStyle w:val="NormalWeb"/>
        <w:spacing w:before="120" w:beforeAutospacing="0" w:after="120" w:afterAutospacing="0"/>
        <w:ind w:left="567"/>
        <w:jc w:val="both"/>
        <w:rPr>
          <w:color w:val="000000"/>
          <w:sz w:val="20"/>
          <w:szCs w:val="20"/>
        </w:rPr>
      </w:pPr>
      <w:r>
        <w:rPr>
          <w:color w:val="000000"/>
          <w:sz w:val="20"/>
          <w:szCs w:val="20"/>
        </w:rPr>
        <w:t>‘</w:t>
      </w:r>
      <w:r w:rsidR="004D0DFA" w:rsidRPr="004D0DFA">
        <w:rPr>
          <w:color w:val="000000"/>
          <w:sz w:val="20"/>
          <w:szCs w:val="20"/>
        </w:rPr>
        <w:t>1. Since, in our investigation of matters of such importance, not satisfied with the common opinions, and with the clear evidence of visible things, we take in addition, for the proof of our statements, testimonies from what are believed by us to be divine writings, viz., from that which is called the Old Testament, and that which is styled the New, and endeavour by reason to confirm our faith; and as we have not yet spoken of the Scriptures as divine, come and let us, as if by way of an epitome, treat of a few points respecting them, laying down those reasons which lead us to regard them as divine writings.</w:t>
      </w:r>
      <w:r w:rsidR="00EB54A2">
        <w:rPr>
          <w:color w:val="000000"/>
          <w:sz w:val="20"/>
          <w:szCs w:val="20"/>
        </w:rPr>
        <w:t>’</w:t>
      </w:r>
      <w:r w:rsidR="00EB54A2">
        <w:rPr>
          <w:rStyle w:val="FootnoteReference"/>
          <w:color w:val="000000"/>
          <w:sz w:val="20"/>
          <w:szCs w:val="20"/>
        </w:rPr>
        <w:footnoteReference w:id="20"/>
      </w:r>
    </w:p>
    <w:p w14:paraId="2CD6E12A" w14:textId="77777777" w:rsidR="00DE0197" w:rsidRDefault="00DE0197" w:rsidP="00DE0197">
      <w:pPr>
        <w:pStyle w:val="NormalWeb"/>
        <w:spacing w:before="0" w:beforeAutospacing="0" w:after="0" w:afterAutospacing="0"/>
        <w:jc w:val="both"/>
        <w:rPr>
          <w:color w:val="000000"/>
          <w:sz w:val="27"/>
          <w:szCs w:val="27"/>
        </w:rPr>
      </w:pPr>
      <w:r>
        <w:rPr>
          <w:color w:val="000000"/>
        </w:rPr>
        <w:t>According to Origen, the empirical knowledge of universal history is required to support Scripture:</w:t>
      </w:r>
    </w:p>
    <w:p w14:paraId="4A88D56F" w14:textId="7B2F2E1E" w:rsidR="00DE0197" w:rsidRDefault="00DE0197" w:rsidP="00DE0197">
      <w:pPr>
        <w:pStyle w:val="NormalWeb"/>
        <w:spacing w:before="120" w:beforeAutospacing="0" w:after="120" w:afterAutospacing="0"/>
        <w:ind w:left="567"/>
        <w:jc w:val="both"/>
        <w:rPr>
          <w:color w:val="000000"/>
          <w:sz w:val="27"/>
          <w:szCs w:val="27"/>
        </w:rPr>
      </w:pPr>
      <w:r>
        <w:rPr>
          <w:color w:val="000000"/>
          <w:sz w:val="20"/>
          <w:szCs w:val="20"/>
        </w:rPr>
        <w:t xml:space="preserve">“The lawgivers and wisdom teachers - mainly those of the Greeks, of course - have not been able ... to call people of other languages ​​and nations to observe their laws and to adopt their teachings; yes, they didn't even try to do this because they rightly considered it impossible from the outset ... ... </w:t>
      </w:r>
      <w:proofErr w:type="gramStart"/>
      <w:r>
        <w:rPr>
          <w:color w:val="000000"/>
          <w:sz w:val="20"/>
          <w:szCs w:val="20"/>
        </w:rPr>
        <w:t>So</w:t>
      </w:r>
      <w:proofErr w:type="gramEnd"/>
      <w:r>
        <w:rPr>
          <w:color w:val="000000"/>
          <w:sz w:val="20"/>
          <w:szCs w:val="20"/>
        </w:rPr>
        <w:t xml:space="preserve"> what the (earlier) philosophers and pagan lawgivers considered impossible, that Moses and Christ accomplished, namely </w:t>
      </w:r>
      <w:r w:rsidR="00775FBC">
        <w:rPr>
          <w:color w:val="000000"/>
          <w:sz w:val="20"/>
          <w:szCs w:val="20"/>
        </w:rPr>
        <w:t xml:space="preserve">they </w:t>
      </w:r>
      <w:r>
        <w:rPr>
          <w:color w:val="000000"/>
          <w:sz w:val="20"/>
          <w:szCs w:val="20"/>
        </w:rPr>
        <w:t xml:space="preserve">found countless followers among Greeks and barbarians, although </w:t>
      </w:r>
      <w:r w:rsidR="00EE136E">
        <w:rPr>
          <w:color w:val="000000"/>
          <w:sz w:val="20"/>
          <w:szCs w:val="20"/>
        </w:rPr>
        <w:t>these</w:t>
      </w:r>
      <w:r>
        <w:rPr>
          <w:color w:val="000000"/>
          <w:sz w:val="20"/>
          <w:szCs w:val="20"/>
        </w:rPr>
        <w:t xml:space="preserve"> not only had to leave their traditions, but now as Jews </w:t>
      </w:r>
      <w:r w:rsidR="00EE136E">
        <w:rPr>
          <w:color w:val="000000"/>
          <w:sz w:val="20"/>
          <w:szCs w:val="20"/>
        </w:rPr>
        <w:t xml:space="preserve">they were exposed to </w:t>
      </w:r>
      <w:r>
        <w:rPr>
          <w:color w:val="000000"/>
          <w:sz w:val="20"/>
          <w:szCs w:val="20"/>
        </w:rPr>
        <w:t>hatred</w:t>
      </w:r>
      <w:r w:rsidR="00EE136E">
        <w:rPr>
          <w:color w:val="000000"/>
          <w:sz w:val="20"/>
          <w:szCs w:val="20"/>
        </w:rPr>
        <w:t>, and as</w:t>
      </w:r>
      <w:r>
        <w:rPr>
          <w:color w:val="000000"/>
          <w:sz w:val="20"/>
          <w:szCs w:val="20"/>
        </w:rPr>
        <w:t xml:space="preserve"> Christians also exposed to danger</w:t>
      </w:r>
      <w:r w:rsidR="00577DF2">
        <w:rPr>
          <w:color w:val="000000"/>
          <w:sz w:val="20"/>
          <w:szCs w:val="20"/>
        </w:rPr>
        <w:t>s</w:t>
      </w:r>
      <w:r>
        <w:rPr>
          <w:color w:val="000000"/>
          <w:sz w:val="20"/>
          <w:szCs w:val="20"/>
        </w:rPr>
        <w:t xml:space="preserve"> and dea</w:t>
      </w:r>
      <w:r w:rsidRPr="00AF2AF2">
        <w:rPr>
          <w:color w:val="000000"/>
          <w:sz w:val="20"/>
          <w:szCs w:val="20"/>
        </w:rPr>
        <w:t>th</w:t>
      </w:r>
      <w:bookmarkStart w:id="18" w:name="_ftnref41"/>
      <w:bookmarkEnd w:id="18"/>
      <w:r w:rsidR="00577DF2" w:rsidRPr="00AF2AF2">
        <w:rPr>
          <w:color w:val="000000"/>
          <w:sz w:val="20"/>
          <w:szCs w:val="20"/>
        </w:rPr>
        <w:t>’.</w:t>
      </w:r>
      <w:r w:rsidR="00577DF2" w:rsidRPr="00AF2AF2">
        <w:rPr>
          <w:rStyle w:val="FootnoteReference"/>
          <w:color w:val="000000"/>
          <w:sz w:val="20"/>
          <w:szCs w:val="20"/>
        </w:rPr>
        <w:footnoteReference w:id="21"/>
      </w:r>
    </w:p>
    <w:p w14:paraId="7E70E09B" w14:textId="7352F99A" w:rsidR="00DE0197" w:rsidRDefault="00DE0197" w:rsidP="00DE0197">
      <w:pPr>
        <w:pStyle w:val="NormalWeb"/>
        <w:spacing w:before="0" w:beforeAutospacing="0" w:after="0" w:afterAutospacing="0"/>
        <w:jc w:val="both"/>
        <w:rPr>
          <w:color w:val="000000"/>
          <w:sz w:val="27"/>
          <w:szCs w:val="27"/>
        </w:rPr>
      </w:pPr>
      <w:r>
        <w:rPr>
          <w:color w:val="000000"/>
        </w:rPr>
        <w:t xml:space="preserve">Origen begins his deliberations with the </w:t>
      </w:r>
      <w:r w:rsidR="00577DF2">
        <w:rPr>
          <w:color w:val="000000"/>
        </w:rPr>
        <w:t xml:space="preserve">idea of </w:t>
      </w:r>
      <w:r>
        <w:rPr>
          <w:color w:val="000000"/>
        </w:rPr>
        <w:t xml:space="preserve">colonial expansion, according to which people of other languages ​​and nations should be brought to observe laws and even to adopt </w:t>
      </w:r>
      <w:r w:rsidR="00690660">
        <w:rPr>
          <w:color w:val="000000"/>
        </w:rPr>
        <w:t>views</w:t>
      </w:r>
      <w:r w:rsidR="002E7CEA">
        <w:rPr>
          <w:color w:val="000000"/>
        </w:rPr>
        <w:t xml:space="preserve"> different from their own</w:t>
      </w:r>
      <w:r>
        <w:rPr>
          <w:color w:val="000000"/>
        </w:rPr>
        <w:t xml:space="preserve">. For his accusation that the previous philosophers and pagan </w:t>
      </w:r>
      <w:r w:rsidR="002E7CEA">
        <w:rPr>
          <w:color w:val="000000"/>
        </w:rPr>
        <w:t>lawgivers</w:t>
      </w:r>
      <w:r>
        <w:rPr>
          <w:color w:val="000000"/>
        </w:rPr>
        <w:t xml:space="preserve"> had not been able to </w:t>
      </w:r>
      <w:r w:rsidR="002E7CEA">
        <w:rPr>
          <w:color w:val="000000"/>
        </w:rPr>
        <w:t xml:space="preserve">convince </w:t>
      </w:r>
      <w:r>
        <w:rPr>
          <w:color w:val="000000"/>
        </w:rPr>
        <w:t xml:space="preserve">people to </w:t>
      </w:r>
      <w:r w:rsidR="002E7CEA">
        <w:rPr>
          <w:color w:val="000000"/>
        </w:rPr>
        <w:t xml:space="preserve">make these moves and to </w:t>
      </w:r>
      <w:r w:rsidR="00B33478">
        <w:rPr>
          <w:color w:val="000000"/>
        </w:rPr>
        <w:t xml:space="preserve">turn away from </w:t>
      </w:r>
      <w:r>
        <w:rPr>
          <w:color w:val="000000"/>
        </w:rPr>
        <w:t xml:space="preserve">their own traditions and to </w:t>
      </w:r>
      <w:r w:rsidR="00B33478">
        <w:rPr>
          <w:color w:val="000000"/>
        </w:rPr>
        <w:t xml:space="preserve">accept </w:t>
      </w:r>
      <w:r>
        <w:rPr>
          <w:color w:val="000000"/>
        </w:rPr>
        <w:t xml:space="preserve">foreign </w:t>
      </w:r>
      <w:r w:rsidR="00B33478">
        <w:rPr>
          <w:color w:val="000000"/>
        </w:rPr>
        <w:t>way of living and thinking</w:t>
      </w:r>
      <w:r>
        <w:rPr>
          <w:color w:val="000000"/>
        </w:rPr>
        <w:t>, implicitly assume</w:t>
      </w:r>
      <w:r w:rsidR="00B33478">
        <w:rPr>
          <w:color w:val="000000"/>
        </w:rPr>
        <w:t>s</w:t>
      </w:r>
      <w:r>
        <w:rPr>
          <w:color w:val="000000"/>
        </w:rPr>
        <w:t xml:space="preserve"> </w:t>
      </w:r>
      <w:r w:rsidR="006F0702">
        <w:rPr>
          <w:color w:val="000000"/>
        </w:rPr>
        <w:t xml:space="preserve">that </w:t>
      </w:r>
      <w:r w:rsidR="00D64347">
        <w:rPr>
          <w:color w:val="000000"/>
        </w:rPr>
        <w:t>his religious endeavour aimed at</w:t>
      </w:r>
      <w:r w:rsidR="00107BC3">
        <w:rPr>
          <w:color w:val="000000"/>
        </w:rPr>
        <w:t xml:space="preserve"> converting people, </w:t>
      </w:r>
      <w:r w:rsidR="00362954">
        <w:rPr>
          <w:color w:val="000000"/>
        </w:rPr>
        <w:t>turning them towards his own legal and cult practice</w:t>
      </w:r>
      <w:r>
        <w:rPr>
          <w:color w:val="000000"/>
        </w:rPr>
        <w:t xml:space="preserve">. What was stated above about </w:t>
      </w:r>
      <w:proofErr w:type="spellStart"/>
      <w:r>
        <w:rPr>
          <w:color w:val="000000"/>
        </w:rPr>
        <w:t>Orosius</w:t>
      </w:r>
      <w:proofErr w:type="spellEnd"/>
      <w:r>
        <w:rPr>
          <w:color w:val="000000"/>
        </w:rPr>
        <w:t xml:space="preserve"> is therefore also true in the case of Origen - we are dealing with </w:t>
      </w:r>
      <w:r w:rsidR="00C01A07">
        <w:rPr>
          <w:color w:val="000000"/>
        </w:rPr>
        <w:t xml:space="preserve">a form of </w:t>
      </w:r>
      <w:r>
        <w:rPr>
          <w:color w:val="000000"/>
        </w:rPr>
        <w:t>​​universalis</w:t>
      </w:r>
      <w:r w:rsidR="00C01A07">
        <w:rPr>
          <w:color w:val="000000"/>
        </w:rPr>
        <w:t>t requirements</w:t>
      </w:r>
      <w:r>
        <w:rPr>
          <w:color w:val="000000"/>
        </w:rPr>
        <w:t xml:space="preserve"> that </w:t>
      </w:r>
      <w:r w:rsidR="00C01A07">
        <w:rPr>
          <w:color w:val="000000"/>
        </w:rPr>
        <w:t xml:space="preserve">seem, however, </w:t>
      </w:r>
      <w:r>
        <w:rPr>
          <w:color w:val="000000"/>
        </w:rPr>
        <w:t xml:space="preserve">more rhetorical than </w:t>
      </w:r>
      <w:proofErr w:type="gramStart"/>
      <w:r>
        <w:rPr>
          <w:color w:val="000000"/>
        </w:rPr>
        <w:t>really practical</w:t>
      </w:r>
      <w:proofErr w:type="gramEnd"/>
      <w:r>
        <w:rPr>
          <w:color w:val="000000"/>
        </w:rPr>
        <w:t>.</w:t>
      </w:r>
    </w:p>
    <w:p w14:paraId="4B659FFB" w14:textId="63913880" w:rsidR="00DE0197" w:rsidRDefault="00DE0197" w:rsidP="00DE0197">
      <w:pPr>
        <w:pStyle w:val="NormalWeb"/>
        <w:spacing w:before="0" w:beforeAutospacing="0" w:after="0" w:afterAutospacing="0"/>
        <w:ind w:firstLine="720"/>
        <w:jc w:val="both"/>
        <w:rPr>
          <w:color w:val="000000"/>
          <w:sz w:val="27"/>
          <w:szCs w:val="27"/>
        </w:rPr>
      </w:pPr>
      <w:r>
        <w:rPr>
          <w:color w:val="000000"/>
        </w:rPr>
        <w:t>Origen</w:t>
      </w:r>
      <w:r w:rsidR="00B53A20">
        <w:rPr>
          <w:color w:val="000000"/>
        </w:rPr>
        <w:t xml:space="preserve"> himself admits that neither philosophers nor </w:t>
      </w:r>
      <w:r w:rsidR="009126F1">
        <w:rPr>
          <w:color w:val="000000"/>
        </w:rPr>
        <w:t xml:space="preserve">pagan lawgivers were able to move people to adopt different </w:t>
      </w:r>
      <w:r w:rsidR="000C1E0F">
        <w:rPr>
          <w:color w:val="000000"/>
        </w:rPr>
        <w:t>laws and teachings. Yet, he believes that Jews in this respect were more successful</w:t>
      </w:r>
      <w:r w:rsidR="00114A62">
        <w:rPr>
          <w:color w:val="000000"/>
        </w:rPr>
        <w:t xml:space="preserve"> and even more so Christians</w:t>
      </w:r>
      <w:r>
        <w:rPr>
          <w:color w:val="000000"/>
        </w:rPr>
        <w:t xml:space="preserve">. In </w:t>
      </w:r>
      <w:r w:rsidR="00114A62">
        <w:rPr>
          <w:color w:val="000000"/>
        </w:rPr>
        <w:t xml:space="preserve">making this claim, </w:t>
      </w:r>
      <w:r>
        <w:rPr>
          <w:color w:val="000000"/>
        </w:rPr>
        <w:t xml:space="preserve">he </w:t>
      </w:r>
      <w:r w:rsidR="00114A62">
        <w:rPr>
          <w:color w:val="000000"/>
        </w:rPr>
        <w:t xml:space="preserve">broadens the </w:t>
      </w:r>
      <w:r>
        <w:rPr>
          <w:color w:val="000000"/>
        </w:rPr>
        <w:t xml:space="preserve">foundation </w:t>
      </w:r>
      <w:r w:rsidR="00114A62">
        <w:rPr>
          <w:color w:val="000000"/>
        </w:rPr>
        <w:t xml:space="preserve">on which </w:t>
      </w:r>
      <w:r>
        <w:rPr>
          <w:color w:val="000000"/>
        </w:rPr>
        <w:t>the fundamental division of universal history</w:t>
      </w:r>
      <w:r w:rsidR="00114A62">
        <w:rPr>
          <w:color w:val="000000"/>
        </w:rPr>
        <w:t xml:space="preserve"> </w:t>
      </w:r>
      <w:r w:rsidR="002472B2">
        <w:rPr>
          <w:color w:val="000000"/>
        </w:rPr>
        <w:t>could be built between</w:t>
      </w:r>
      <w:r>
        <w:rPr>
          <w:color w:val="000000"/>
        </w:rPr>
        <w:t xml:space="preserve"> </w:t>
      </w:r>
      <w:r w:rsidR="002472B2">
        <w:rPr>
          <w:color w:val="000000"/>
        </w:rPr>
        <w:t xml:space="preserve">a history of </w:t>
      </w:r>
      <w:r>
        <w:rPr>
          <w:color w:val="000000"/>
        </w:rPr>
        <w:t>Gentiles</w:t>
      </w:r>
      <w:r w:rsidR="002472B2">
        <w:rPr>
          <w:color w:val="000000"/>
        </w:rPr>
        <w:t xml:space="preserve"> and, separated from these,</w:t>
      </w:r>
      <w:r>
        <w:rPr>
          <w:color w:val="000000"/>
        </w:rPr>
        <w:t xml:space="preserve"> that of Jews and Christians</w:t>
      </w:r>
      <w:r w:rsidR="002472B2">
        <w:rPr>
          <w:color w:val="000000"/>
        </w:rPr>
        <w:t>.</w:t>
      </w:r>
      <w:r>
        <w:rPr>
          <w:color w:val="000000"/>
        </w:rPr>
        <w:t xml:space="preserve"> </w:t>
      </w:r>
      <w:r w:rsidR="0092709F">
        <w:rPr>
          <w:color w:val="000000"/>
        </w:rPr>
        <w:t xml:space="preserve">In </w:t>
      </w:r>
      <w:proofErr w:type="spellStart"/>
      <w:r>
        <w:rPr>
          <w:color w:val="000000"/>
        </w:rPr>
        <w:t>Orosius</w:t>
      </w:r>
      <w:proofErr w:type="spellEnd"/>
      <w:r>
        <w:rPr>
          <w:color w:val="000000"/>
        </w:rPr>
        <w:t xml:space="preserve"> </w:t>
      </w:r>
      <w:r w:rsidR="0092709F">
        <w:rPr>
          <w:color w:val="000000"/>
        </w:rPr>
        <w:t xml:space="preserve">we have seen how these early ideas that we find in Origen were picked up and developed into the divide between </w:t>
      </w:r>
      <w:r>
        <w:rPr>
          <w:color w:val="000000"/>
        </w:rPr>
        <w:t>a time before and after Christ</w:t>
      </w:r>
      <w:r w:rsidR="0092709F">
        <w:rPr>
          <w:color w:val="000000"/>
        </w:rPr>
        <w:t xml:space="preserve"> (BCE/CE)</w:t>
      </w:r>
      <w:r>
        <w:rPr>
          <w:color w:val="000000"/>
        </w:rPr>
        <w:t xml:space="preserve">. Beyond that, however, </w:t>
      </w:r>
      <w:r w:rsidR="0092709F">
        <w:rPr>
          <w:color w:val="000000"/>
        </w:rPr>
        <w:t>Origen’s</w:t>
      </w:r>
      <w:r>
        <w:rPr>
          <w:color w:val="000000"/>
        </w:rPr>
        <w:t xml:space="preserve"> narrowed view, </w:t>
      </w:r>
      <w:r w:rsidR="00BF52C2">
        <w:rPr>
          <w:color w:val="000000"/>
        </w:rPr>
        <w:t xml:space="preserve">focussing on </w:t>
      </w:r>
      <w:r>
        <w:rPr>
          <w:color w:val="000000"/>
        </w:rPr>
        <w:t>the writings of the Christians, leads him</w:t>
      </w:r>
      <w:r w:rsidR="00BF52C2">
        <w:rPr>
          <w:color w:val="000000"/>
        </w:rPr>
        <w:t>, however,</w:t>
      </w:r>
      <w:r>
        <w:rPr>
          <w:color w:val="000000"/>
        </w:rPr>
        <w:t xml:space="preserve"> to </w:t>
      </w:r>
      <w:r w:rsidR="00BF52C2">
        <w:rPr>
          <w:color w:val="000000"/>
        </w:rPr>
        <w:t xml:space="preserve">see </w:t>
      </w:r>
      <w:r>
        <w:rPr>
          <w:color w:val="000000"/>
        </w:rPr>
        <w:t xml:space="preserve">history </w:t>
      </w:r>
      <w:r w:rsidR="00CB4067">
        <w:rPr>
          <w:color w:val="000000"/>
        </w:rPr>
        <w:t xml:space="preserve">not </w:t>
      </w:r>
      <w:r>
        <w:rPr>
          <w:color w:val="000000"/>
        </w:rPr>
        <w:t xml:space="preserve">beginning </w:t>
      </w:r>
      <w:r w:rsidR="00CB4067">
        <w:rPr>
          <w:color w:val="000000"/>
        </w:rPr>
        <w:t>with the creation of</w:t>
      </w:r>
      <w:r>
        <w:rPr>
          <w:color w:val="000000"/>
        </w:rPr>
        <w:t xml:space="preserve"> the world nor with Adam or </w:t>
      </w:r>
      <w:r w:rsidR="00CB4067">
        <w:rPr>
          <w:color w:val="000000"/>
        </w:rPr>
        <w:t xml:space="preserve">even </w:t>
      </w:r>
      <w:r>
        <w:rPr>
          <w:color w:val="000000"/>
        </w:rPr>
        <w:t xml:space="preserve">Abraham, but </w:t>
      </w:r>
      <w:r w:rsidR="0054317E">
        <w:rPr>
          <w:color w:val="000000"/>
        </w:rPr>
        <w:t xml:space="preserve">projected from </w:t>
      </w:r>
      <w:r>
        <w:rPr>
          <w:color w:val="000000"/>
        </w:rPr>
        <w:t>Christ</w:t>
      </w:r>
      <w:r w:rsidR="0054317E">
        <w:rPr>
          <w:color w:val="000000"/>
        </w:rPr>
        <w:t>’</w:t>
      </w:r>
      <w:r>
        <w:rPr>
          <w:color w:val="000000"/>
        </w:rPr>
        <w:t>s words. </w:t>
      </w:r>
      <w:r w:rsidR="0054317E">
        <w:rPr>
          <w:color w:val="000000"/>
        </w:rPr>
        <w:t xml:space="preserve">The earlier Jewish and pagan past </w:t>
      </w:r>
      <w:proofErr w:type="gramStart"/>
      <w:r w:rsidR="0054317E">
        <w:rPr>
          <w:color w:val="000000"/>
        </w:rPr>
        <w:t>is</w:t>
      </w:r>
      <w:proofErr w:type="gramEnd"/>
      <w:r w:rsidR="0054317E">
        <w:rPr>
          <w:color w:val="000000"/>
        </w:rPr>
        <w:t xml:space="preserve"> exclusively looked at from </w:t>
      </w:r>
      <w:r w:rsidR="00F86B9A">
        <w:rPr>
          <w:color w:val="000000"/>
        </w:rPr>
        <w:t>his Christian</w:t>
      </w:r>
      <w:r w:rsidR="0054317E">
        <w:rPr>
          <w:color w:val="000000"/>
        </w:rPr>
        <w:t xml:space="preserve"> perspective</w:t>
      </w:r>
      <w:r w:rsidR="00F86B9A">
        <w:rPr>
          <w:color w:val="000000"/>
        </w:rPr>
        <w:t>.</w:t>
      </w:r>
      <w:r w:rsidR="0054317E">
        <w:rPr>
          <w:color w:val="000000"/>
        </w:rPr>
        <w:t xml:space="preserve"> </w:t>
      </w:r>
      <w:r>
        <w:rPr>
          <w:color w:val="000000"/>
        </w:rPr>
        <w:t>Without going into the detailed chronological argumentation and counter-argumentation as developed by Origen in </w:t>
      </w:r>
      <w:proofErr w:type="gramStart"/>
      <w:r w:rsidR="00F86B9A">
        <w:rPr>
          <w:i/>
          <w:color w:val="000000"/>
        </w:rPr>
        <w:t>On</w:t>
      </w:r>
      <w:proofErr w:type="gramEnd"/>
      <w:r w:rsidR="00F86B9A">
        <w:rPr>
          <w:i/>
          <w:color w:val="000000"/>
        </w:rPr>
        <w:t xml:space="preserve"> the principles </w:t>
      </w:r>
      <w:r>
        <w:rPr>
          <w:color w:val="000000"/>
        </w:rPr>
        <w:t>and </w:t>
      </w:r>
      <w:r w:rsidR="00F86B9A">
        <w:rPr>
          <w:i/>
          <w:color w:val="000000"/>
        </w:rPr>
        <w:t xml:space="preserve">Against </w:t>
      </w:r>
      <w:proofErr w:type="spellStart"/>
      <w:r w:rsidR="00F86B9A">
        <w:rPr>
          <w:i/>
          <w:color w:val="000000"/>
        </w:rPr>
        <w:t>Celsus</w:t>
      </w:r>
      <w:proofErr w:type="spellEnd"/>
      <w:r>
        <w:rPr>
          <w:color w:val="000000"/>
        </w:rPr>
        <w:t xml:space="preserve">, </w:t>
      </w:r>
      <w:r w:rsidR="000E6FB4">
        <w:rPr>
          <w:color w:val="000000"/>
        </w:rPr>
        <w:t xml:space="preserve">I would like to </w:t>
      </w:r>
      <w:r>
        <w:rPr>
          <w:color w:val="000000"/>
        </w:rPr>
        <w:t>take a look at some of his fundamental considerations that directly concern the beginnings of Christianity.</w:t>
      </w:r>
    </w:p>
    <w:p w14:paraId="14B73BD3" w14:textId="0925453A" w:rsidR="00DE0197" w:rsidRDefault="00DE0197" w:rsidP="00DE0197">
      <w:pPr>
        <w:pStyle w:val="NormalWeb"/>
        <w:spacing w:before="0" w:beforeAutospacing="0" w:after="0" w:afterAutospacing="0"/>
        <w:ind w:firstLine="720"/>
        <w:jc w:val="both"/>
        <w:rPr>
          <w:color w:val="000000"/>
          <w:sz w:val="27"/>
          <w:szCs w:val="27"/>
        </w:rPr>
      </w:pPr>
      <w:proofErr w:type="gramStart"/>
      <w:r>
        <w:rPr>
          <w:color w:val="000000"/>
        </w:rPr>
        <w:lastRenderedPageBreak/>
        <w:t>Obviously</w:t>
      </w:r>
      <w:proofErr w:type="gramEnd"/>
      <w:r>
        <w:rPr>
          <w:color w:val="000000"/>
        </w:rPr>
        <w:t xml:space="preserve"> Origen had to deal with representatives of the position who, like </w:t>
      </w:r>
      <w:proofErr w:type="spellStart"/>
      <w:r>
        <w:rPr>
          <w:color w:val="000000"/>
        </w:rPr>
        <w:t>Celsus</w:t>
      </w:r>
      <w:proofErr w:type="spellEnd"/>
      <w:r>
        <w:rPr>
          <w:color w:val="000000"/>
        </w:rPr>
        <w:t xml:space="preserve">, used the proof of age to criticize Christianity, according to which Jesus Christ only </w:t>
      </w:r>
      <w:r w:rsidR="00494851">
        <w:rPr>
          <w:color w:val="000000"/>
        </w:rPr>
        <w:t>‘</w:t>
      </w:r>
      <w:r>
        <w:rPr>
          <w:color w:val="000000"/>
        </w:rPr>
        <w:t xml:space="preserve">a few years ago </w:t>
      </w:r>
      <w:r w:rsidR="00A70985">
        <w:rPr>
          <w:color w:val="000000"/>
        </w:rPr>
        <w:t>he taught this doctrine and was considered by the Christians to be son of God</w:t>
      </w:r>
      <w:r w:rsidR="00F947B2">
        <w:rPr>
          <w:color w:val="000000"/>
        </w:rPr>
        <w:t>’</w:t>
      </w:r>
      <w:r>
        <w:rPr>
          <w:color w:val="000000"/>
        </w:rPr>
        <w:t>.</w:t>
      </w:r>
      <w:bookmarkStart w:id="19" w:name="_ftnref42"/>
      <w:bookmarkEnd w:id="19"/>
      <w:r w:rsidR="00014D35">
        <w:rPr>
          <w:rStyle w:val="FootnoteReference"/>
          <w:color w:val="000000"/>
        </w:rPr>
        <w:footnoteReference w:id="22"/>
      </w:r>
      <w:r w:rsidR="00014D35">
        <w:rPr>
          <w:color w:val="000000"/>
          <w:sz w:val="27"/>
          <w:szCs w:val="27"/>
        </w:rPr>
        <w:t xml:space="preserve"> </w:t>
      </w:r>
    </w:p>
    <w:p w14:paraId="547EC6BF" w14:textId="49486F45"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Strikingly, Origen does not deny the claim that the teaching of Jesus is still </w:t>
      </w:r>
      <w:r w:rsidR="00D61363">
        <w:rPr>
          <w:color w:val="000000"/>
        </w:rPr>
        <w:t>a recent one</w:t>
      </w:r>
      <w:r>
        <w:rPr>
          <w:color w:val="000000"/>
        </w:rPr>
        <w:t xml:space="preserve"> and that Christians have not been around for </w:t>
      </w:r>
      <w:proofErr w:type="gramStart"/>
      <w:r>
        <w:rPr>
          <w:color w:val="000000"/>
        </w:rPr>
        <w:t>very long</w:t>
      </w:r>
      <w:proofErr w:type="gramEnd"/>
      <w:r>
        <w:rPr>
          <w:color w:val="000000"/>
        </w:rPr>
        <w:t xml:space="preserve">. But he turns the tables and </w:t>
      </w:r>
      <w:r w:rsidR="00D61363">
        <w:rPr>
          <w:color w:val="000000"/>
        </w:rPr>
        <w:t>directs</w:t>
      </w:r>
      <w:r>
        <w:rPr>
          <w:color w:val="000000"/>
        </w:rPr>
        <w:t xml:space="preserve"> the criticism </w:t>
      </w:r>
      <w:r w:rsidR="00D61363">
        <w:rPr>
          <w:color w:val="000000"/>
        </w:rPr>
        <w:t xml:space="preserve">of age </w:t>
      </w:r>
      <w:r>
        <w:rPr>
          <w:color w:val="000000"/>
        </w:rPr>
        <w:t>into a piercing argument for the divine power of Christianity:</w:t>
      </w:r>
    </w:p>
    <w:p w14:paraId="1E9B76F7" w14:textId="6F3E35C2" w:rsidR="00DE0197" w:rsidRDefault="004C7BEA" w:rsidP="00DE0197">
      <w:pPr>
        <w:pStyle w:val="NormalWeb"/>
        <w:spacing w:before="120" w:beforeAutospacing="0" w:after="120" w:afterAutospacing="0"/>
        <w:ind w:left="567"/>
        <w:jc w:val="both"/>
        <w:rPr>
          <w:color w:val="000000"/>
          <w:sz w:val="27"/>
          <w:szCs w:val="27"/>
        </w:rPr>
      </w:pPr>
      <w:r>
        <w:rPr>
          <w:color w:val="000000"/>
          <w:sz w:val="20"/>
          <w:szCs w:val="20"/>
        </w:rPr>
        <w:t>‘</w:t>
      </w:r>
      <w:r w:rsidR="00DE0197">
        <w:rPr>
          <w:color w:val="000000"/>
          <w:sz w:val="20"/>
          <w:szCs w:val="20"/>
        </w:rPr>
        <w:t>Could it</w:t>
      </w:r>
      <w:bookmarkStart w:id="20" w:name="_ftnref43"/>
      <w:bookmarkEnd w:id="20"/>
      <w:r w:rsidR="004F24D2">
        <w:rPr>
          <w:color w:val="000000"/>
          <w:sz w:val="20"/>
          <w:szCs w:val="20"/>
        </w:rPr>
        <w:t xml:space="preserve"> have happened apart from God’s providence that in so few years Jesus, desiring to spread his teaching and message, has been able to do so much that in many parts of the contemporary world a large number of Greeks and barbarians, wise and stupid, have been so disposed towards his doctrine that they fight for Christianity to the point of death to avoid abjuring him, which no one is related to have done for any other doctrine?</w:t>
      </w:r>
      <w:r>
        <w:rPr>
          <w:color w:val="000000"/>
          <w:sz w:val="20"/>
          <w:szCs w:val="20"/>
        </w:rPr>
        <w:t>’</w:t>
      </w:r>
      <w:r>
        <w:rPr>
          <w:rStyle w:val="FootnoteReference"/>
          <w:color w:val="000000"/>
          <w:sz w:val="20"/>
          <w:szCs w:val="20"/>
        </w:rPr>
        <w:footnoteReference w:id="23"/>
      </w:r>
      <w:r>
        <w:rPr>
          <w:color w:val="000000"/>
          <w:sz w:val="27"/>
          <w:szCs w:val="27"/>
        </w:rPr>
        <w:t xml:space="preserve"> </w:t>
      </w:r>
    </w:p>
    <w:p w14:paraId="4D2F9295" w14:textId="561C31C1" w:rsidR="00DE0197" w:rsidRDefault="00F2201D" w:rsidP="00DE0197">
      <w:pPr>
        <w:pStyle w:val="NormalWeb"/>
        <w:spacing w:before="0" w:beforeAutospacing="0" w:after="0" w:afterAutospacing="0"/>
        <w:jc w:val="both"/>
        <w:rPr>
          <w:color w:val="000000"/>
          <w:sz w:val="27"/>
          <w:szCs w:val="27"/>
        </w:rPr>
      </w:pPr>
      <w:r>
        <w:rPr>
          <w:color w:val="000000"/>
        </w:rPr>
        <w:t>For Origen it is a sign of divine</w:t>
      </w:r>
      <w:r w:rsidR="007F7CB8">
        <w:rPr>
          <w:color w:val="000000"/>
        </w:rPr>
        <w:t xml:space="preserve"> support that Jesus was able to spread his message so quickly</w:t>
      </w:r>
      <w:r w:rsidR="007D0C9B">
        <w:rPr>
          <w:color w:val="000000"/>
        </w:rPr>
        <w:t xml:space="preserve"> and made converts who were even prepared to die as martyrs for </w:t>
      </w:r>
      <w:r w:rsidR="00552F49">
        <w:rPr>
          <w:color w:val="000000"/>
        </w:rPr>
        <w:t>what Origen terms ‘Christianity’</w:t>
      </w:r>
      <w:r w:rsidR="007F7CB8">
        <w:rPr>
          <w:color w:val="000000"/>
        </w:rPr>
        <w:t xml:space="preserve">. </w:t>
      </w:r>
      <w:r w:rsidR="00552F49">
        <w:rPr>
          <w:color w:val="000000"/>
        </w:rPr>
        <w:t xml:space="preserve">Not very differently he </w:t>
      </w:r>
      <w:r w:rsidR="00352B7D">
        <w:rPr>
          <w:color w:val="000000"/>
        </w:rPr>
        <w:t>turns the criticism against Jesus’ modest or even insignificant familial background into a</w:t>
      </w:r>
      <w:r w:rsidR="00B3675C">
        <w:rPr>
          <w:color w:val="000000"/>
        </w:rPr>
        <w:t xml:space="preserve"> powerful proof of divine support. </w:t>
      </w:r>
      <w:proofErr w:type="spellStart"/>
      <w:r w:rsidR="001C0567">
        <w:rPr>
          <w:color w:val="000000"/>
        </w:rPr>
        <w:t>Celsus</w:t>
      </w:r>
      <w:proofErr w:type="spellEnd"/>
      <w:r w:rsidR="001C0567">
        <w:rPr>
          <w:color w:val="000000"/>
        </w:rPr>
        <w:t xml:space="preserve"> criticized</w:t>
      </w:r>
      <w:r w:rsidR="00DE0197">
        <w:rPr>
          <w:color w:val="000000"/>
        </w:rPr>
        <w:t xml:space="preserve"> Jesus</w:t>
      </w:r>
      <w:r w:rsidR="00E52A25">
        <w:rPr>
          <w:color w:val="000000"/>
        </w:rPr>
        <w:t>’</w:t>
      </w:r>
      <w:r w:rsidR="00DE0197">
        <w:rPr>
          <w:color w:val="000000"/>
        </w:rPr>
        <w:t xml:space="preserve"> descent because he was </w:t>
      </w:r>
      <w:r w:rsidR="00D63B5F">
        <w:rPr>
          <w:color w:val="000000"/>
        </w:rPr>
        <w:t xml:space="preserve">said </w:t>
      </w:r>
      <w:r w:rsidR="00B3675C">
        <w:rPr>
          <w:color w:val="000000"/>
        </w:rPr>
        <w:t xml:space="preserve">to be born </w:t>
      </w:r>
      <w:r w:rsidR="00DE0197">
        <w:rPr>
          <w:color w:val="000000"/>
        </w:rPr>
        <w:t xml:space="preserve">by </w:t>
      </w:r>
      <w:r w:rsidR="00B3675C">
        <w:rPr>
          <w:color w:val="000000"/>
        </w:rPr>
        <w:t>‘</w:t>
      </w:r>
      <w:r w:rsidR="009A4698">
        <w:rPr>
          <w:color w:val="000000"/>
        </w:rPr>
        <w:t xml:space="preserve">a </w:t>
      </w:r>
      <w:r w:rsidR="00DE0197">
        <w:rPr>
          <w:color w:val="000000"/>
        </w:rPr>
        <w:t>virgin ...</w:t>
      </w:r>
      <w:r w:rsidR="00FF527D">
        <w:rPr>
          <w:color w:val="000000"/>
        </w:rPr>
        <w:t>,</w:t>
      </w:r>
      <w:r w:rsidR="00DE0197">
        <w:rPr>
          <w:color w:val="000000"/>
        </w:rPr>
        <w:t xml:space="preserve"> </w:t>
      </w:r>
      <w:r w:rsidR="00FF527D">
        <w:rPr>
          <w:color w:val="000000"/>
        </w:rPr>
        <w:t xml:space="preserve">came </w:t>
      </w:r>
      <w:r w:rsidR="00DE0197">
        <w:rPr>
          <w:color w:val="000000"/>
        </w:rPr>
        <w:t xml:space="preserve">from a Jewish village </w:t>
      </w:r>
      <w:r w:rsidR="00FF527D">
        <w:rPr>
          <w:color w:val="000000"/>
        </w:rPr>
        <w:t xml:space="preserve">and from a poor </w:t>
      </w:r>
      <w:r w:rsidR="00DE0197">
        <w:rPr>
          <w:color w:val="000000"/>
        </w:rPr>
        <w:t>country woman</w:t>
      </w:r>
      <w:r w:rsidR="009F0A66">
        <w:rPr>
          <w:color w:val="000000"/>
        </w:rPr>
        <w:t xml:space="preserve"> who earned her living by</w:t>
      </w:r>
      <w:r w:rsidR="00DE0197">
        <w:rPr>
          <w:color w:val="000000"/>
        </w:rPr>
        <w:t xml:space="preserve"> spinning, ... driven out by her husband</w:t>
      </w:r>
      <w:r w:rsidR="00B233FD">
        <w:rPr>
          <w:color w:val="000000"/>
        </w:rPr>
        <w:t>, who was a carpenter by trade,</w:t>
      </w:r>
      <w:r w:rsidR="00DE0197">
        <w:rPr>
          <w:color w:val="000000"/>
        </w:rPr>
        <w:t xml:space="preserve"> </w:t>
      </w:r>
      <w:r w:rsidR="00B233FD">
        <w:rPr>
          <w:color w:val="000000"/>
        </w:rPr>
        <w:t>as she was convicted of adultery</w:t>
      </w:r>
      <w:r w:rsidR="00A45969">
        <w:rPr>
          <w:color w:val="000000"/>
        </w:rPr>
        <w:t>’</w:t>
      </w:r>
      <w:r w:rsidR="00DE0197">
        <w:rPr>
          <w:color w:val="000000"/>
        </w:rPr>
        <w:t>,</w:t>
      </w:r>
      <w:r w:rsidR="00DB4C51">
        <w:rPr>
          <w:color w:val="000000"/>
        </w:rPr>
        <w:t xml:space="preserve"> so that ‘she was wandering about in a disgraceful way’ and ‘secretly gave birth to Jesus’</w:t>
      </w:r>
      <w:r w:rsidR="00BC34E2">
        <w:rPr>
          <w:color w:val="000000"/>
        </w:rPr>
        <w:t>; and ‘because he was poor he hired himself out as a workman in Egypt, and there tried his hand at certain magical powers on which the Egyptians pride themselves; he returned full of conceit because of these powers</w:t>
      </w:r>
      <w:r w:rsidR="001C0567">
        <w:rPr>
          <w:color w:val="000000"/>
        </w:rPr>
        <w:t>, and on account of them gave himself the title of God’</w:t>
      </w:r>
      <w:bookmarkStart w:id="21" w:name="_ftnref44"/>
      <w:bookmarkEnd w:id="21"/>
      <w:r w:rsidR="001C0567">
        <w:rPr>
          <w:color w:val="000000"/>
        </w:rPr>
        <w:t>.</w:t>
      </w:r>
      <w:r w:rsidR="00A45969">
        <w:rPr>
          <w:rStyle w:val="FootnoteReference"/>
          <w:color w:val="000000"/>
        </w:rPr>
        <w:footnoteReference w:id="24"/>
      </w:r>
      <w:r w:rsidR="00A45969">
        <w:rPr>
          <w:color w:val="000000"/>
        </w:rPr>
        <w:t xml:space="preserve"> </w:t>
      </w:r>
      <w:r w:rsidR="00D63B5F">
        <w:rPr>
          <w:color w:val="000000"/>
        </w:rPr>
        <w:t xml:space="preserve">Yet, </w:t>
      </w:r>
      <w:r w:rsidR="00E2487A">
        <w:rPr>
          <w:color w:val="000000"/>
        </w:rPr>
        <w:t>Orig</w:t>
      </w:r>
      <w:r w:rsidR="000E4A50">
        <w:rPr>
          <w:color w:val="000000"/>
        </w:rPr>
        <w:t>e</w:t>
      </w:r>
      <w:r w:rsidR="00E2487A">
        <w:rPr>
          <w:color w:val="000000"/>
        </w:rPr>
        <w:t xml:space="preserve">n answers </w:t>
      </w:r>
      <w:proofErr w:type="spellStart"/>
      <w:r w:rsidR="00D63B5F">
        <w:rPr>
          <w:color w:val="000000"/>
        </w:rPr>
        <w:t>Celsus</w:t>
      </w:r>
      <w:proofErr w:type="spellEnd"/>
      <w:r w:rsidR="00D63B5F">
        <w:rPr>
          <w:color w:val="000000"/>
        </w:rPr>
        <w:t xml:space="preserve"> </w:t>
      </w:r>
      <w:r w:rsidR="000E4A50">
        <w:rPr>
          <w:color w:val="000000"/>
        </w:rPr>
        <w:t xml:space="preserve">by </w:t>
      </w:r>
      <w:r w:rsidR="00D63B5F">
        <w:rPr>
          <w:color w:val="000000"/>
        </w:rPr>
        <w:t xml:space="preserve">pointing out </w:t>
      </w:r>
      <w:r w:rsidR="00E2487A">
        <w:rPr>
          <w:color w:val="000000"/>
        </w:rPr>
        <w:t>that th</w:t>
      </w:r>
      <w:r w:rsidR="008476BC">
        <w:rPr>
          <w:color w:val="000000"/>
        </w:rPr>
        <w:t>ese</w:t>
      </w:r>
      <w:r w:rsidR="00E2487A">
        <w:rPr>
          <w:color w:val="000000"/>
        </w:rPr>
        <w:t xml:space="preserve"> humble origin</w:t>
      </w:r>
      <w:r w:rsidR="008476BC">
        <w:rPr>
          <w:color w:val="000000"/>
        </w:rPr>
        <w:t>s</w:t>
      </w:r>
      <w:r w:rsidR="00E2487A">
        <w:rPr>
          <w:color w:val="000000"/>
        </w:rPr>
        <w:t xml:space="preserve"> </w:t>
      </w:r>
      <w:r w:rsidR="00D63B5F">
        <w:rPr>
          <w:color w:val="000000"/>
        </w:rPr>
        <w:t xml:space="preserve">of Jesus </w:t>
      </w:r>
      <w:r w:rsidR="008476BC">
        <w:rPr>
          <w:color w:val="000000"/>
        </w:rPr>
        <w:t xml:space="preserve">speak in favour of </w:t>
      </w:r>
      <w:r w:rsidR="00D63B5F">
        <w:rPr>
          <w:color w:val="000000"/>
        </w:rPr>
        <w:t>him</w:t>
      </w:r>
      <w:r w:rsidR="008476BC">
        <w:rPr>
          <w:color w:val="000000"/>
        </w:rPr>
        <w:t xml:space="preserve">, as he rose </w:t>
      </w:r>
      <w:r w:rsidR="00DE0197">
        <w:rPr>
          <w:color w:val="000000"/>
        </w:rPr>
        <w:t>from poor circumstances, without having received in the least a general education, without rhetoric and philosophical teachings</w:t>
      </w:r>
      <w:r w:rsidR="008476BC">
        <w:rPr>
          <w:color w:val="000000"/>
        </w:rPr>
        <w:t xml:space="preserve"> to</w:t>
      </w:r>
      <w:r w:rsidR="00DE0197">
        <w:rPr>
          <w:color w:val="000000"/>
        </w:rPr>
        <w:t xml:space="preserve"> </w:t>
      </w:r>
      <w:r w:rsidR="008476BC">
        <w:rPr>
          <w:color w:val="000000"/>
        </w:rPr>
        <w:t xml:space="preserve">being able </w:t>
      </w:r>
      <w:r w:rsidR="00DE0197">
        <w:rPr>
          <w:color w:val="000000"/>
        </w:rPr>
        <w:t>to overcome all obstacles</w:t>
      </w:r>
      <w:r w:rsidR="001309FB">
        <w:rPr>
          <w:color w:val="000000"/>
        </w:rPr>
        <w:t xml:space="preserve"> ‘could devote himself to teaching new doctrines and introduce to mankind a doctrine which did away with the customs of the Jews while reverencing their prophets, and which abolished the laws of the Greeks particularly in respect of the worship of God?</w:t>
      </w:r>
      <w:r w:rsidR="00E70A87">
        <w:rPr>
          <w:color w:val="000000"/>
        </w:rPr>
        <w:t>’</w:t>
      </w:r>
      <w:bookmarkStart w:id="22" w:name="_ftnref45"/>
      <w:bookmarkEnd w:id="22"/>
      <w:r w:rsidR="00E70A87">
        <w:rPr>
          <w:rStyle w:val="FootnoteReference"/>
          <w:color w:val="000000"/>
        </w:rPr>
        <w:footnoteReference w:id="25"/>
      </w:r>
      <w:r w:rsidR="00E70A87">
        <w:rPr>
          <w:color w:val="000000"/>
          <w:sz w:val="27"/>
          <w:szCs w:val="27"/>
        </w:rPr>
        <w:t xml:space="preserve"> </w:t>
      </w:r>
    </w:p>
    <w:p w14:paraId="35174874" w14:textId="07990E90" w:rsidR="00DE0197" w:rsidRDefault="00AB2BF3" w:rsidP="00DE0197">
      <w:pPr>
        <w:pStyle w:val="NormalWeb"/>
        <w:spacing w:before="0" w:beforeAutospacing="0" w:after="0" w:afterAutospacing="0"/>
        <w:ind w:firstLine="720"/>
        <w:jc w:val="both"/>
        <w:rPr>
          <w:color w:val="000000"/>
          <w:sz w:val="27"/>
          <w:szCs w:val="27"/>
        </w:rPr>
      </w:pPr>
      <w:r>
        <w:rPr>
          <w:color w:val="000000"/>
        </w:rPr>
        <w:t>Hence, t</w:t>
      </w:r>
      <w:r w:rsidR="00DE0197">
        <w:rPr>
          <w:color w:val="000000"/>
        </w:rPr>
        <w:t xml:space="preserve">he beginnings of </w:t>
      </w:r>
      <w:r>
        <w:rPr>
          <w:color w:val="000000"/>
        </w:rPr>
        <w:t xml:space="preserve">the </w:t>
      </w:r>
      <w:r w:rsidR="00DE0197">
        <w:rPr>
          <w:color w:val="000000"/>
        </w:rPr>
        <w:t>Christ movement after Jesus</w:t>
      </w:r>
      <w:r>
        <w:rPr>
          <w:color w:val="000000"/>
        </w:rPr>
        <w:t xml:space="preserve">’ </w:t>
      </w:r>
      <w:r w:rsidR="00DE0197">
        <w:rPr>
          <w:color w:val="000000"/>
        </w:rPr>
        <w:t xml:space="preserve">death </w:t>
      </w:r>
      <w:proofErr w:type="gramStart"/>
      <w:r>
        <w:rPr>
          <w:color w:val="000000"/>
        </w:rPr>
        <w:t>is</w:t>
      </w:r>
      <w:proofErr w:type="gramEnd"/>
      <w:r>
        <w:rPr>
          <w:color w:val="000000"/>
        </w:rPr>
        <w:t xml:space="preserve"> strong evidence </w:t>
      </w:r>
      <w:r w:rsidR="00DE0197">
        <w:rPr>
          <w:color w:val="000000"/>
        </w:rPr>
        <w:t xml:space="preserve">for divine support, </w:t>
      </w:r>
      <w:r w:rsidR="00C916C8">
        <w:rPr>
          <w:color w:val="000000"/>
        </w:rPr>
        <w:t>as otherwise one would wonder</w:t>
      </w:r>
      <w:r w:rsidR="00DE0197">
        <w:rPr>
          <w:color w:val="000000"/>
        </w:rPr>
        <w:t>,</w:t>
      </w:r>
      <w:r w:rsidR="00FC7A8C">
        <w:rPr>
          <w:color w:val="000000"/>
        </w:rPr>
        <w:t xml:space="preserve"> how</w:t>
      </w:r>
    </w:p>
    <w:p w14:paraId="59435A50" w14:textId="260A60F1" w:rsidR="00DE0197" w:rsidRDefault="00C916C8" w:rsidP="00DE0197">
      <w:pPr>
        <w:pStyle w:val="NormalWeb"/>
        <w:spacing w:before="120" w:beforeAutospacing="0" w:after="120" w:afterAutospacing="0"/>
        <w:ind w:left="567"/>
        <w:jc w:val="both"/>
        <w:rPr>
          <w:color w:val="000000"/>
          <w:sz w:val="27"/>
          <w:szCs w:val="27"/>
        </w:rPr>
      </w:pPr>
      <w:r>
        <w:rPr>
          <w:color w:val="000000"/>
          <w:sz w:val="20"/>
          <w:szCs w:val="20"/>
        </w:rPr>
        <w:t>‘</w:t>
      </w:r>
      <w:r w:rsidR="00FC7A8C">
        <w:rPr>
          <w:color w:val="000000"/>
          <w:sz w:val="20"/>
          <w:szCs w:val="20"/>
        </w:rPr>
        <w:t xml:space="preserve">his disciples did not see him after he rose from the dead and were not convinced that there was something divine about him ... </w:t>
      </w:r>
      <w:r w:rsidR="00B96AB5">
        <w:rPr>
          <w:color w:val="000000"/>
          <w:sz w:val="20"/>
          <w:szCs w:val="20"/>
        </w:rPr>
        <w:t>that they were not afraid to suffer the same fate as their master and met danger boldly, and that they left their homes to obey Jesus’ will by teaching the doctrines which he gave to them</w:t>
      </w:r>
      <w:r w:rsidR="001F77E4">
        <w:rPr>
          <w:color w:val="000000"/>
          <w:sz w:val="20"/>
          <w:szCs w:val="20"/>
        </w:rPr>
        <w:t>.</w:t>
      </w:r>
      <w:r>
        <w:rPr>
          <w:color w:val="000000"/>
          <w:sz w:val="20"/>
          <w:szCs w:val="20"/>
        </w:rPr>
        <w:t>’</w:t>
      </w:r>
      <w:bookmarkStart w:id="23" w:name="_ftnref46"/>
      <w:bookmarkEnd w:id="23"/>
      <w:r>
        <w:rPr>
          <w:rStyle w:val="FootnoteReference"/>
          <w:color w:val="000000"/>
          <w:sz w:val="20"/>
          <w:szCs w:val="20"/>
        </w:rPr>
        <w:footnoteReference w:id="26"/>
      </w:r>
    </w:p>
    <w:p w14:paraId="07EC968B" w14:textId="305ADA89" w:rsidR="00DE0197" w:rsidRDefault="00DE0197" w:rsidP="00DE0197">
      <w:pPr>
        <w:pStyle w:val="NormalWeb"/>
        <w:spacing w:before="0" w:beforeAutospacing="0" w:after="0" w:afterAutospacing="0"/>
        <w:jc w:val="both"/>
        <w:rPr>
          <w:color w:val="000000"/>
          <w:sz w:val="27"/>
          <w:szCs w:val="27"/>
        </w:rPr>
      </w:pPr>
      <w:r>
        <w:rPr>
          <w:color w:val="000000"/>
        </w:rPr>
        <w:t xml:space="preserve">Conversely, </w:t>
      </w:r>
      <w:r w:rsidR="008A35DE">
        <w:rPr>
          <w:color w:val="000000"/>
        </w:rPr>
        <w:t xml:space="preserve">according to Origen it was </w:t>
      </w:r>
      <w:r>
        <w:rPr>
          <w:color w:val="000000"/>
        </w:rPr>
        <w:t>the</w:t>
      </w:r>
      <w:r w:rsidR="009174F2">
        <w:rPr>
          <w:color w:val="000000"/>
        </w:rPr>
        <w:t xml:space="preserve"> disciples’</w:t>
      </w:r>
      <w:r>
        <w:rPr>
          <w:color w:val="000000"/>
        </w:rPr>
        <w:t xml:space="preserve"> encounter and </w:t>
      </w:r>
      <w:r w:rsidR="008A35DE">
        <w:rPr>
          <w:color w:val="000000"/>
        </w:rPr>
        <w:t xml:space="preserve">experience </w:t>
      </w:r>
      <w:r>
        <w:rPr>
          <w:color w:val="000000"/>
        </w:rPr>
        <w:t>of the risen</w:t>
      </w:r>
      <w:r w:rsidR="009174F2">
        <w:rPr>
          <w:color w:val="000000"/>
        </w:rPr>
        <w:t xml:space="preserve"> Christ</w:t>
      </w:r>
      <w:r>
        <w:rPr>
          <w:color w:val="000000"/>
        </w:rPr>
        <w:t xml:space="preserve"> from the dead and the conviction of his divine nature that helped the</w:t>
      </w:r>
      <w:r w:rsidR="009174F2">
        <w:rPr>
          <w:color w:val="000000"/>
        </w:rPr>
        <w:t>m</w:t>
      </w:r>
      <w:r>
        <w:rPr>
          <w:color w:val="000000"/>
        </w:rPr>
        <w:t xml:space="preserve"> to overcome their fear, to follow in the footsteps of Jesus and to preach about him.</w:t>
      </w:r>
      <w:bookmarkStart w:id="24" w:name="_ftnref47"/>
      <w:bookmarkEnd w:id="24"/>
      <w:r w:rsidR="009174F2">
        <w:rPr>
          <w:rStyle w:val="FootnoteReference"/>
          <w:color w:val="000000"/>
        </w:rPr>
        <w:footnoteReference w:id="27"/>
      </w:r>
      <w:r w:rsidR="009174F2">
        <w:rPr>
          <w:color w:val="000000"/>
          <w:sz w:val="27"/>
          <w:szCs w:val="27"/>
        </w:rPr>
        <w:t xml:space="preserve"> </w:t>
      </w:r>
    </w:p>
    <w:p w14:paraId="1A58000E" w14:textId="7311184E"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For Origen, </w:t>
      </w:r>
      <w:r w:rsidR="00712B46">
        <w:rPr>
          <w:color w:val="000000"/>
        </w:rPr>
        <w:t>the power of the Gospel is core</w:t>
      </w:r>
      <w:r>
        <w:rPr>
          <w:color w:val="000000"/>
        </w:rPr>
        <w:t xml:space="preserve">, </w:t>
      </w:r>
      <w:r w:rsidR="00712B46">
        <w:rPr>
          <w:color w:val="000000"/>
        </w:rPr>
        <w:t xml:space="preserve">namely </w:t>
      </w:r>
      <w:r>
        <w:rPr>
          <w:color w:val="000000"/>
        </w:rPr>
        <w:t>a Gospel which, according to Jesus</w:t>
      </w:r>
      <w:r w:rsidR="00712B46">
        <w:rPr>
          <w:color w:val="000000"/>
        </w:rPr>
        <w:t>’</w:t>
      </w:r>
      <w:r>
        <w:rPr>
          <w:color w:val="000000"/>
        </w:rPr>
        <w:t xml:space="preserve"> own prophecy, </w:t>
      </w:r>
      <w:r w:rsidR="00712B46">
        <w:rPr>
          <w:color w:val="000000"/>
        </w:rPr>
        <w:t>‘</w:t>
      </w:r>
      <w:r>
        <w:rPr>
          <w:color w:val="000000"/>
        </w:rPr>
        <w:t>is preached in all the earth</w:t>
      </w:r>
      <w:r w:rsidR="00712B46">
        <w:rPr>
          <w:color w:val="000000"/>
        </w:rPr>
        <w:t>’</w:t>
      </w:r>
      <w:r>
        <w:rPr>
          <w:color w:val="000000"/>
        </w:rPr>
        <w:t xml:space="preserve">.  Christian universalism, </w:t>
      </w:r>
      <w:r w:rsidR="009D3C41">
        <w:rPr>
          <w:color w:val="000000"/>
        </w:rPr>
        <w:t xml:space="preserve">therefore, goes back to Jesus’ own </w:t>
      </w:r>
      <w:r w:rsidR="00BE03C4">
        <w:rPr>
          <w:color w:val="000000"/>
        </w:rPr>
        <w:t xml:space="preserve">words and deeds, has been started and became already </w:t>
      </w:r>
      <w:r>
        <w:rPr>
          <w:color w:val="000000"/>
        </w:rPr>
        <w:t xml:space="preserve">implemented </w:t>
      </w:r>
      <w:r w:rsidR="00BE03C4">
        <w:rPr>
          <w:color w:val="000000"/>
        </w:rPr>
        <w:t xml:space="preserve">during his life </w:t>
      </w:r>
      <w:r>
        <w:rPr>
          <w:color w:val="000000"/>
        </w:rPr>
        <w:t xml:space="preserve">and </w:t>
      </w:r>
      <w:r w:rsidR="00BE03C4">
        <w:rPr>
          <w:color w:val="000000"/>
        </w:rPr>
        <w:t xml:space="preserve">was his explicit will </w:t>
      </w:r>
      <w:r w:rsidR="000F145B">
        <w:rPr>
          <w:color w:val="000000"/>
        </w:rPr>
        <w:t xml:space="preserve">to be continued after his death and resurrection. For Origen, this </w:t>
      </w:r>
      <w:r w:rsidR="000F145B">
        <w:rPr>
          <w:color w:val="000000"/>
        </w:rPr>
        <w:lastRenderedPageBreak/>
        <w:t>universalism itself is ‘</w:t>
      </w:r>
      <w:r>
        <w:rPr>
          <w:color w:val="000000"/>
        </w:rPr>
        <w:t>clear evidence</w:t>
      </w:r>
      <w:r w:rsidR="000F145B">
        <w:rPr>
          <w:color w:val="000000"/>
        </w:rPr>
        <w:t>’</w:t>
      </w:r>
      <w:r>
        <w:rPr>
          <w:color w:val="000000"/>
        </w:rPr>
        <w:t xml:space="preserve"> that </w:t>
      </w:r>
      <w:r w:rsidR="000F145B">
        <w:rPr>
          <w:color w:val="000000"/>
        </w:rPr>
        <w:t>‘</w:t>
      </w:r>
      <w:r>
        <w:rPr>
          <w:color w:val="000000"/>
        </w:rPr>
        <w:t xml:space="preserve">God really became man and brought salutary teachings to </w:t>
      </w:r>
      <w:r w:rsidR="000F145B">
        <w:rPr>
          <w:color w:val="000000"/>
        </w:rPr>
        <w:t xml:space="preserve">the </w:t>
      </w:r>
      <w:r>
        <w:rPr>
          <w:color w:val="000000"/>
        </w:rPr>
        <w:t>people</w:t>
      </w:r>
      <w:r w:rsidR="000F145B">
        <w:rPr>
          <w:color w:val="000000"/>
        </w:rPr>
        <w:t>’</w:t>
      </w:r>
      <w:r>
        <w:rPr>
          <w:color w:val="000000"/>
        </w:rPr>
        <w:t>.</w:t>
      </w:r>
      <w:bookmarkStart w:id="25" w:name="_ftnref48"/>
      <w:bookmarkEnd w:id="25"/>
      <w:r w:rsidR="000F145B">
        <w:rPr>
          <w:rStyle w:val="FootnoteReference"/>
          <w:color w:val="000000"/>
        </w:rPr>
        <w:footnoteReference w:id="28"/>
      </w:r>
      <w:r w:rsidR="000F145B">
        <w:rPr>
          <w:color w:val="000000"/>
        </w:rPr>
        <w:t xml:space="preserve"> </w:t>
      </w:r>
      <w:r w:rsidR="00267D18">
        <w:rPr>
          <w:color w:val="000000"/>
        </w:rPr>
        <w:t xml:space="preserve">It is less the divine </w:t>
      </w:r>
      <w:r>
        <w:rPr>
          <w:color w:val="000000"/>
        </w:rPr>
        <w:t>incarnation</w:t>
      </w:r>
      <w:r w:rsidR="00267D18">
        <w:rPr>
          <w:color w:val="000000"/>
        </w:rPr>
        <w:t xml:space="preserve"> of the Logos</w:t>
      </w:r>
      <w:r>
        <w:rPr>
          <w:color w:val="000000"/>
        </w:rPr>
        <w:t xml:space="preserve"> that provides </w:t>
      </w:r>
      <w:r w:rsidR="00292B08">
        <w:rPr>
          <w:color w:val="000000"/>
        </w:rPr>
        <w:t xml:space="preserve">an explanation or even </w:t>
      </w:r>
      <w:r>
        <w:rPr>
          <w:color w:val="000000"/>
        </w:rPr>
        <w:t xml:space="preserve">justification for the divinity of </w:t>
      </w:r>
      <w:r w:rsidR="00292B08">
        <w:rPr>
          <w:color w:val="000000"/>
        </w:rPr>
        <w:t>S</w:t>
      </w:r>
      <w:r>
        <w:rPr>
          <w:color w:val="000000"/>
        </w:rPr>
        <w:t xml:space="preserve">cripture </w:t>
      </w:r>
      <w:r w:rsidR="008076EB">
        <w:rPr>
          <w:color w:val="000000"/>
        </w:rPr>
        <w:t>and</w:t>
      </w:r>
      <w:r>
        <w:rPr>
          <w:color w:val="000000"/>
        </w:rPr>
        <w:t xml:space="preserve"> </w:t>
      </w:r>
      <w:r w:rsidR="008076EB">
        <w:rPr>
          <w:color w:val="000000"/>
        </w:rPr>
        <w:t xml:space="preserve">demonstrates </w:t>
      </w:r>
      <w:r w:rsidR="003A295A">
        <w:rPr>
          <w:color w:val="000000"/>
        </w:rPr>
        <w:t xml:space="preserve">why </w:t>
      </w:r>
      <w:r w:rsidR="00292B08">
        <w:rPr>
          <w:color w:val="000000"/>
        </w:rPr>
        <w:t xml:space="preserve">Jesus’ </w:t>
      </w:r>
      <w:r>
        <w:rPr>
          <w:color w:val="000000"/>
        </w:rPr>
        <w:t xml:space="preserve">message </w:t>
      </w:r>
      <w:r w:rsidR="003A295A">
        <w:rPr>
          <w:color w:val="000000"/>
        </w:rPr>
        <w:t xml:space="preserve">was able </w:t>
      </w:r>
      <w:r w:rsidR="00292B08">
        <w:rPr>
          <w:color w:val="000000"/>
        </w:rPr>
        <w:t xml:space="preserve">to </w:t>
      </w:r>
      <w:r>
        <w:rPr>
          <w:color w:val="000000"/>
        </w:rPr>
        <w:t>penetrate broad strata of society. </w:t>
      </w:r>
      <w:r w:rsidR="00EF255F">
        <w:rPr>
          <w:color w:val="000000"/>
        </w:rPr>
        <w:t xml:space="preserve">Based on his claims of a universal presence of Jesus’ </w:t>
      </w:r>
      <w:r w:rsidR="00A70A69">
        <w:rPr>
          <w:color w:val="000000"/>
        </w:rPr>
        <w:t xml:space="preserve">message, and by reading the written Christian, divinely inspired Scriptures, he develops his </w:t>
      </w:r>
      <w:r>
        <w:rPr>
          <w:color w:val="000000"/>
        </w:rPr>
        <w:t xml:space="preserve">retrospective </w:t>
      </w:r>
      <w:r w:rsidR="00A70A69">
        <w:rPr>
          <w:color w:val="000000"/>
        </w:rPr>
        <w:t xml:space="preserve">views and concepts of the early history of the Church and prospectively his eschatological </w:t>
      </w:r>
      <w:r>
        <w:rPr>
          <w:color w:val="000000"/>
        </w:rPr>
        <w:t>outlook, from which he then critically reflect</w:t>
      </w:r>
      <w:r w:rsidR="003A295A">
        <w:rPr>
          <w:color w:val="000000"/>
        </w:rPr>
        <w:t>s</w:t>
      </w:r>
      <w:r>
        <w:rPr>
          <w:color w:val="000000"/>
        </w:rPr>
        <w:t xml:space="preserve"> on his own ecclesiastical </w:t>
      </w:r>
      <w:r w:rsidR="00440222">
        <w:rPr>
          <w:color w:val="000000"/>
        </w:rPr>
        <w:t>experience</w:t>
      </w:r>
      <w:r>
        <w:rPr>
          <w:color w:val="000000"/>
        </w:rPr>
        <w:t>.</w:t>
      </w:r>
    </w:p>
    <w:p w14:paraId="3D06DD59" w14:textId="0EF09879" w:rsidR="00DE0197" w:rsidRDefault="00440222" w:rsidP="00DE0197">
      <w:pPr>
        <w:pStyle w:val="NormalWeb"/>
        <w:spacing w:before="0" w:beforeAutospacing="0" w:after="0" w:afterAutospacing="0"/>
        <w:ind w:firstLine="720"/>
        <w:jc w:val="both"/>
        <w:rPr>
          <w:color w:val="000000"/>
          <w:sz w:val="27"/>
          <w:szCs w:val="27"/>
        </w:rPr>
      </w:pPr>
      <w:r>
        <w:rPr>
          <w:color w:val="000000"/>
        </w:rPr>
        <w:t xml:space="preserve">Looking back </w:t>
      </w:r>
      <w:r w:rsidR="005E6C87">
        <w:rPr>
          <w:color w:val="000000"/>
        </w:rPr>
        <w:t xml:space="preserve">into the Jewish Scriptures </w:t>
      </w:r>
      <w:r>
        <w:rPr>
          <w:color w:val="000000"/>
        </w:rPr>
        <w:t xml:space="preserve">he </w:t>
      </w:r>
      <w:r w:rsidR="00DE0197">
        <w:rPr>
          <w:color w:val="000000"/>
        </w:rPr>
        <w:t>reads the</w:t>
      </w:r>
      <w:r w:rsidR="005E6C87">
        <w:rPr>
          <w:color w:val="000000"/>
        </w:rPr>
        <w:t>m</w:t>
      </w:r>
      <w:r w:rsidR="00DE0197">
        <w:rPr>
          <w:color w:val="000000"/>
        </w:rPr>
        <w:t xml:space="preserve">, especially the prophetic prophecies, as promises and announcements of Jesus, </w:t>
      </w:r>
      <w:r w:rsidR="005E6C87">
        <w:rPr>
          <w:color w:val="000000"/>
        </w:rPr>
        <w:t xml:space="preserve">the </w:t>
      </w:r>
      <w:r w:rsidR="00DE0197">
        <w:rPr>
          <w:color w:val="000000"/>
        </w:rPr>
        <w:t>Christ, for example </w:t>
      </w:r>
      <w:r w:rsidR="00DE0197" w:rsidRPr="00D21D5D">
        <w:rPr>
          <w:i/>
          <w:color w:val="000000"/>
        </w:rPr>
        <w:t>Hos</w:t>
      </w:r>
      <w:r w:rsidR="00D21D5D" w:rsidRPr="00D21D5D">
        <w:rPr>
          <w:i/>
          <w:color w:val="000000"/>
        </w:rPr>
        <w:t>.</w:t>
      </w:r>
      <w:r w:rsidR="00DE0197">
        <w:rPr>
          <w:color w:val="000000"/>
        </w:rPr>
        <w:t xml:space="preserve"> 3:4: </w:t>
      </w:r>
      <w:r w:rsidR="00D21D5D">
        <w:rPr>
          <w:color w:val="000000"/>
        </w:rPr>
        <w:t>‘</w:t>
      </w:r>
      <w:r w:rsidR="000A29FC" w:rsidRPr="000A29FC">
        <w:rPr>
          <w:color w:val="000000"/>
        </w:rPr>
        <w:t>The children of Israel shall sit many days, there being no king, nor ruler, nor sacrifice, nor altar, nor priesthood, nor responses</w:t>
      </w:r>
      <w:r w:rsidR="009E21FD" w:rsidRPr="009E21FD">
        <w:rPr>
          <w:color w:val="000000"/>
        </w:rPr>
        <w:t>.</w:t>
      </w:r>
      <w:r w:rsidR="009E21FD">
        <w:rPr>
          <w:color w:val="000000"/>
        </w:rPr>
        <w:t>’</w:t>
      </w:r>
      <w:r w:rsidR="009E21FD">
        <w:rPr>
          <w:rStyle w:val="FootnoteReference"/>
          <w:color w:val="000000"/>
        </w:rPr>
        <w:footnoteReference w:id="29"/>
      </w:r>
      <w:r w:rsidR="00DE0197">
        <w:rPr>
          <w:color w:val="000000"/>
        </w:rPr>
        <w:t xml:space="preserve"> </w:t>
      </w:r>
      <w:bookmarkStart w:id="26" w:name="_ftnref49"/>
      <w:bookmarkEnd w:id="26"/>
      <w:r w:rsidR="00DE0197">
        <w:rPr>
          <w:color w:val="000000"/>
        </w:rPr>
        <w:t>Origen introduces this quote:</w:t>
      </w:r>
    </w:p>
    <w:p w14:paraId="4B666504" w14:textId="1DC5E158" w:rsidR="00DE0197" w:rsidRDefault="00E968A9" w:rsidP="00DE0197">
      <w:pPr>
        <w:pStyle w:val="NormalWeb"/>
        <w:spacing w:before="120" w:beforeAutospacing="0" w:after="120" w:afterAutospacing="0"/>
        <w:ind w:left="567"/>
        <w:jc w:val="both"/>
        <w:rPr>
          <w:color w:val="000000"/>
          <w:sz w:val="27"/>
          <w:szCs w:val="27"/>
        </w:rPr>
      </w:pPr>
      <w:bookmarkStart w:id="27" w:name="_ftnref50"/>
      <w:bookmarkEnd w:id="27"/>
      <w:r>
        <w:rPr>
          <w:color w:val="000000"/>
          <w:sz w:val="20"/>
          <w:szCs w:val="20"/>
        </w:rPr>
        <w:t>‘</w:t>
      </w:r>
      <w:r w:rsidRPr="00E968A9">
        <w:rPr>
          <w:color w:val="000000"/>
          <w:sz w:val="20"/>
          <w:szCs w:val="20"/>
        </w:rPr>
        <w:t>For it is clearly manifest from the history, and from what is seen at the present day, that from the times of Jesus there were no longer any who were called kings of the Jews; all those Jewish institutions on which they prided themselves</w:t>
      </w:r>
      <w:r w:rsidR="00400A33">
        <w:rPr>
          <w:color w:val="000000"/>
          <w:sz w:val="20"/>
          <w:szCs w:val="20"/>
        </w:rPr>
        <w:t xml:space="preserve"> –</w:t>
      </w:r>
      <w:r w:rsidRPr="00E968A9">
        <w:rPr>
          <w:color w:val="000000"/>
          <w:sz w:val="20"/>
          <w:szCs w:val="20"/>
        </w:rPr>
        <w:t xml:space="preserve"> I mean those arrangements relating to the temple and the altar, and the offering of the service, and the robes of the high priest having been destroyed</w:t>
      </w:r>
      <w:r w:rsidR="00400A33">
        <w:rPr>
          <w:color w:val="000000"/>
          <w:sz w:val="20"/>
          <w:szCs w:val="20"/>
        </w:rPr>
        <w:t>.</w:t>
      </w:r>
      <w:r>
        <w:rPr>
          <w:color w:val="000000"/>
          <w:sz w:val="20"/>
          <w:szCs w:val="20"/>
        </w:rPr>
        <w:t>’</w:t>
      </w:r>
      <w:r w:rsidR="00400A33">
        <w:rPr>
          <w:rStyle w:val="FootnoteReference"/>
          <w:color w:val="000000"/>
          <w:sz w:val="20"/>
          <w:szCs w:val="20"/>
        </w:rPr>
        <w:footnoteReference w:id="30"/>
      </w:r>
    </w:p>
    <w:p w14:paraId="323E2172" w14:textId="7CAADB33" w:rsidR="00DE0197" w:rsidRDefault="00DE0197" w:rsidP="00DE0197">
      <w:pPr>
        <w:pStyle w:val="NormalWeb"/>
        <w:spacing w:before="0" w:beforeAutospacing="0" w:after="0" w:afterAutospacing="0"/>
        <w:jc w:val="both"/>
        <w:rPr>
          <w:color w:val="000000"/>
          <w:sz w:val="27"/>
          <w:szCs w:val="27"/>
        </w:rPr>
      </w:pPr>
      <w:r>
        <w:rPr>
          <w:color w:val="000000"/>
        </w:rPr>
        <w:t xml:space="preserve">Origen speaks not only of </w:t>
      </w:r>
      <w:r w:rsidR="009E25D2">
        <w:rPr>
          <w:color w:val="000000"/>
        </w:rPr>
        <w:t xml:space="preserve"> ‘history’ </w:t>
      </w:r>
      <w:r>
        <w:rPr>
          <w:color w:val="000000"/>
        </w:rPr>
        <w:t>which could well mean the more distant</w:t>
      </w:r>
      <w:r w:rsidR="009E25D2">
        <w:rPr>
          <w:color w:val="000000"/>
        </w:rPr>
        <w:t xml:space="preserve"> events</w:t>
      </w:r>
      <w:r>
        <w:rPr>
          <w:color w:val="000000"/>
        </w:rPr>
        <w:t xml:space="preserve"> of the year 70 with the destruction of the temple, but </w:t>
      </w:r>
      <w:r w:rsidR="0029091C">
        <w:rPr>
          <w:color w:val="000000"/>
        </w:rPr>
        <w:t xml:space="preserve">rather </w:t>
      </w:r>
      <w:r>
        <w:rPr>
          <w:color w:val="000000"/>
        </w:rPr>
        <w:t>of th</w:t>
      </w:r>
      <w:r w:rsidR="0029091C">
        <w:rPr>
          <w:color w:val="000000"/>
        </w:rPr>
        <w:t>ose</w:t>
      </w:r>
      <w:r>
        <w:rPr>
          <w:color w:val="000000"/>
        </w:rPr>
        <w:t xml:space="preserve"> much closer to him of the second Jewish war of the years 132-135, in which</w:t>
      </w:r>
      <w:r w:rsidR="0029091C">
        <w:rPr>
          <w:color w:val="000000"/>
        </w:rPr>
        <w:t>, indeed,</w:t>
      </w:r>
      <w:r>
        <w:rPr>
          <w:color w:val="000000"/>
        </w:rPr>
        <w:t xml:space="preserve"> with the altar </w:t>
      </w:r>
      <w:r w:rsidR="00CC5997">
        <w:rPr>
          <w:color w:val="000000"/>
        </w:rPr>
        <w:t xml:space="preserve">of </w:t>
      </w:r>
      <w:r>
        <w:rPr>
          <w:color w:val="000000"/>
        </w:rPr>
        <w:t>the </w:t>
      </w:r>
      <w:r w:rsidR="00CC5997">
        <w:rPr>
          <w:color w:val="000000"/>
        </w:rPr>
        <w:t>T</w:t>
      </w:r>
      <w:r>
        <w:rPr>
          <w:color w:val="000000"/>
        </w:rPr>
        <w:t>emple</w:t>
      </w:r>
      <w:r w:rsidR="00CC5997">
        <w:rPr>
          <w:color w:val="000000"/>
        </w:rPr>
        <w:t xml:space="preserve"> of Jerusalem also</w:t>
      </w:r>
      <w:r>
        <w:rPr>
          <w:color w:val="000000"/>
        </w:rPr>
        <w:t xml:space="preserve"> </w:t>
      </w:r>
      <w:r w:rsidR="00CC5997">
        <w:rPr>
          <w:color w:val="000000"/>
        </w:rPr>
        <w:t xml:space="preserve">other ‘Jewish institutions’ were abolished or disappeared, </w:t>
      </w:r>
      <w:r>
        <w:rPr>
          <w:color w:val="000000"/>
        </w:rPr>
        <w:t>the priest</w:t>
      </w:r>
      <w:r w:rsidR="00CC5997">
        <w:rPr>
          <w:color w:val="000000"/>
        </w:rPr>
        <w:t>’</w:t>
      </w:r>
      <w:r>
        <w:rPr>
          <w:color w:val="000000"/>
        </w:rPr>
        <w:t xml:space="preserve">s office, </w:t>
      </w:r>
      <w:r w:rsidR="004C7914">
        <w:rPr>
          <w:color w:val="000000"/>
        </w:rPr>
        <w:t xml:space="preserve">that </w:t>
      </w:r>
      <w:r>
        <w:rPr>
          <w:color w:val="000000"/>
        </w:rPr>
        <w:t>of </w:t>
      </w:r>
      <w:r w:rsidR="004C7914">
        <w:rPr>
          <w:color w:val="000000"/>
        </w:rPr>
        <w:t xml:space="preserve">the </w:t>
      </w:r>
      <w:r>
        <w:rPr>
          <w:color w:val="000000"/>
        </w:rPr>
        <w:t>High </w:t>
      </w:r>
      <w:r w:rsidR="004C7914">
        <w:rPr>
          <w:color w:val="000000"/>
        </w:rPr>
        <w:t>P</w:t>
      </w:r>
      <w:r>
        <w:rPr>
          <w:color w:val="000000"/>
        </w:rPr>
        <w:t>riest</w:t>
      </w:r>
      <w:r w:rsidR="00A91688">
        <w:rPr>
          <w:color w:val="000000"/>
        </w:rPr>
        <w:t xml:space="preserve"> and the sacred city was turned into a </w:t>
      </w:r>
      <w:r>
        <w:rPr>
          <w:color w:val="000000"/>
        </w:rPr>
        <w:t>Roman city and its functionaries. In fact, Origen</w:t>
      </w:r>
      <w:r w:rsidR="0041005E">
        <w:rPr>
          <w:color w:val="000000"/>
        </w:rPr>
        <w:t xml:space="preserve"> reflects just like the canonical Gospels</w:t>
      </w:r>
      <w:r>
        <w:rPr>
          <w:color w:val="000000"/>
        </w:rPr>
        <w:t xml:space="preserve"> </w:t>
      </w:r>
      <w:r w:rsidR="0041005E">
        <w:rPr>
          <w:color w:val="000000"/>
        </w:rPr>
        <w:t xml:space="preserve">this loss of an entire Jewish infrastructure in </w:t>
      </w:r>
      <w:r>
        <w:rPr>
          <w:color w:val="000000"/>
        </w:rPr>
        <w:t>Jerusalem. </w:t>
      </w:r>
      <w:r w:rsidR="007641B0">
        <w:rPr>
          <w:color w:val="000000"/>
        </w:rPr>
        <w:t xml:space="preserve">Against the response to him </w:t>
      </w:r>
      <w:r>
        <w:rPr>
          <w:color w:val="000000"/>
        </w:rPr>
        <w:t>that</w:t>
      </w:r>
      <w:r w:rsidR="007641B0">
        <w:rPr>
          <w:color w:val="000000"/>
        </w:rPr>
        <w:t xml:space="preserve"> </w:t>
      </w:r>
      <w:r w:rsidR="00AD48B8">
        <w:rPr>
          <w:color w:val="000000"/>
        </w:rPr>
        <w:t xml:space="preserve">the prophecy of </w:t>
      </w:r>
      <w:r w:rsidR="00AD48B8" w:rsidRPr="00AD48B8">
        <w:rPr>
          <w:i/>
          <w:color w:val="000000"/>
        </w:rPr>
        <w:t>Hosea</w:t>
      </w:r>
      <w:r w:rsidR="00AD48B8">
        <w:rPr>
          <w:color w:val="000000"/>
        </w:rPr>
        <w:t xml:space="preserve"> pointed to the one (or perhaps even two) patriarch</w:t>
      </w:r>
      <w:r>
        <w:rPr>
          <w:color w:val="000000"/>
        </w:rPr>
        <w:t xml:space="preserve"> of the Jews </w:t>
      </w:r>
      <w:r w:rsidR="00AD48B8">
        <w:rPr>
          <w:color w:val="000000"/>
        </w:rPr>
        <w:t>in the times of</w:t>
      </w:r>
      <w:r>
        <w:rPr>
          <w:color w:val="000000"/>
        </w:rPr>
        <w:t xml:space="preserve"> Origen</w:t>
      </w:r>
      <w:r w:rsidR="00B306B0">
        <w:rPr>
          <w:color w:val="000000"/>
        </w:rPr>
        <w:t>,</w:t>
      </w:r>
      <w:r>
        <w:rPr>
          <w:color w:val="000000"/>
        </w:rPr>
        <w:t xml:space="preserve"> he replies</w:t>
      </w:r>
      <w:r w:rsidR="00B306B0">
        <w:rPr>
          <w:color w:val="000000"/>
        </w:rPr>
        <w:t xml:space="preserve"> and points out</w:t>
      </w:r>
      <w:r>
        <w:rPr>
          <w:color w:val="000000"/>
        </w:rPr>
        <w:t xml:space="preserve"> that since the destruction of the temple </w:t>
      </w:r>
      <w:r w:rsidR="00B306B0">
        <w:rPr>
          <w:color w:val="000000"/>
        </w:rPr>
        <w:t xml:space="preserve">no longer any </w:t>
      </w:r>
      <w:r>
        <w:rPr>
          <w:color w:val="000000"/>
        </w:rPr>
        <w:t>sacrifice</w:t>
      </w:r>
      <w:r w:rsidR="00B306B0">
        <w:rPr>
          <w:color w:val="000000"/>
        </w:rPr>
        <w:t xml:space="preserve"> existed, and </w:t>
      </w:r>
      <w:proofErr w:type="spellStart"/>
      <w:r>
        <w:rPr>
          <w:color w:val="000000"/>
        </w:rPr>
        <w:t>and</w:t>
      </w:r>
      <w:proofErr w:type="spellEnd"/>
      <w:r>
        <w:rPr>
          <w:color w:val="000000"/>
        </w:rPr>
        <w:t xml:space="preserve"> thus the patriarchy </w:t>
      </w:r>
      <w:r w:rsidR="00B306B0">
        <w:rPr>
          <w:color w:val="000000"/>
        </w:rPr>
        <w:t>had gone</w:t>
      </w:r>
      <w:r>
        <w:rPr>
          <w:color w:val="000000"/>
        </w:rPr>
        <w:t>.</w:t>
      </w:r>
      <w:bookmarkStart w:id="28" w:name="_ftnref51"/>
      <w:bookmarkEnd w:id="28"/>
      <w:r w:rsidR="00B306B0">
        <w:rPr>
          <w:rStyle w:val="FootnoteReference"/>
          <w:color w:val="000000"/>
        </w:rPr>
        <w:footnoteReference w:id="31"/>
      </w:r>
      <w:r w:rsidR="00B306B0">
        <w:rPr>
          <w:color w:val="000000"/>
          <w:sz w:val="27"/>
          <w:szCs w:val="27"/>
        </w:rPr>
        <w:t xml:space="preserve"> </w:t>
      </w:r>
    </w:p>
    <w:p w14:paraId="1495E7D6" w14:textId="433C0C22"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Origen turns from the Jewish past to the </w:t>
      </w:r>
      <w:r w:rsidR="001F1002">
        <w:rPr>
          <w:color w:val="000000"/>
        </w:rPr>
        <w:t>‘</w:t>
      </w:r>
      <w:r>
        <w:rPr>
          <w:color w:val="000000"/>
        </w:rPr>
        <w:t>Gentiles</w:t>
      </w:r>
      <w:r w:rsidR="001F1002">
        <w:rPr>
          <w:color w:val="000000"/>
        </w:rPr>
        <w:t>’</w:t>
      </w:r>
      <w:r>
        <w:rPr>
          <w:color w:val="000000"/>
        </w:rPr>
        <w:t xml:space="preserve"> who </w:t>
      </w:r>
      <w:r w:rsidR="001F1002">
        <w:rPr>
          <w:color w:val="000000"/>
        </w:rPr>
        <w:t>‘</w:t>
      </w:r>
      <w:r>
        <w:rPr>
          <w:color w:val="000000"/>
        </w:rPr>
        <w:t>believed in God through Christ</w:t>
      </w:r>
      <w:r w:rsidR="001F1002">
        <w:rPr>
          <w:color w:val="000000"/>
        </w:rPr>
        <w:t>’</w:t>
      </w:r>
      <w:r>
        <w:rPr>
          <w:color w:val="000000"/>
        </w:rPr>
        <w:t xml:space="preserve">, an </w:t>
      </w:r>
      <w:r w:rsidR="001F1002">
        <w:rPr>
          <w:color w:val="000000"/>
        </w:rPr>
        <w:t>‘</w:t>
      </w:r>
      <w:r>
        <w:rPr>
          <w:color w:val="000000"/>
        </w:rPr>
        <w:t>election</w:t>
      </w:r>
      <w:r w:rsidR="001F1002">
        <w:rPr>
          <w:color w:val="000000"/>
        </w:rPr>
        <w:t>’</w:t>
      </w:r>
      <w:r>
        <w:rPr>
          <w:color w:val="000000"/>
        </w:rPr>
        <w:t xml:space="preserve"> that he sees announced in the Jewish</w:t>
      </w:r>
      <w:r w:rsidR="00F26DE5">
        <w:rPr>
          <w:color w:val="000000"/>
        </w:rPr>
        <w:t xml:space="preserve"> S</w:t>
      </w:r>
      <w:r>
        <w:rPr>
          <w:color w:val="000000"/>
        </w:rPr>
        <w:t>criptures, here in the book of </w:t>
      </w:r>
      <w:r w:rsidRPr="00CF0564">
        <w:rPr>
          <w:i/>
          <w:color w:val="000000"/>
        </w:rPr>
        <w:t>Deuteronomy</w:t>
      </w:r>
      <w:r>
        <w:rPr>
          <w:color w:val="000000"/>
        </w:rPr>
        <w:t> (</w:t>
      </w:r>
      <w:r w:rsidRPr="00CF0564">
        <w:rPr>
          <w:i/>
          <w:color w:val="000000"/>
        </w:rPr>
        <w:t>Deut</w:t>
      </w:r>
      <w:r w:rsidR="00CF0564">
        <w:rPr>
          <w:i/>
          <w:color w:val="000000"/>
        </w:rPr>
        <w:t>.</w:t>
      </w:r>
      <w:r>
        <w:rPr>
          <w:color w:val="000000"/>
        </w:rPr>
        <w:t xml:space="preserve"> 32:21): </w:t>
      </w:r>
      <w:r w:rsidR="001F1002">
        <w:rPr>
          <w:color w:val="000000"/>
        </w:rPr>
        <w:t>‘</w:t>
      </w:r>
      <w:r w:rsidR="005B27EC" w:rsidRPr="005B27EC">
        <w:rPr>
          <w:color w:val="000000"/>
        </w:rPr>
        <w:t>For they, He says, moved Me to jealousy with that which is not God, they have provoked Me to anger with their idols; and I will move them to jealousy with those which are not a people, and will provoke them to anger with a foolish nation</w:t>
      </w:r>
      <w:r w:rsidR="00AC6749">
        <w:rPr>
          <w:color w:val="000000"/>
        </w:rPr>
        <w:t>’</w:t>
      </w:r>
      <w:r>
        <w:rPr>
          <w:color w:val="000000"/>
        </w:rPr>
        <w:t>. Origen identifies the foolish non-people with the church of the Gentiles who w</w:t>
      </w:r>
      <w:r w:rsidR="00D34F65">
        <w:rPr>
          <w:color w:val="000000"/>
        </w:rPr>
        <w:t>ere</w:t>
      </w:r>
      <w:r>
        <w:rPr>
          <w:color w:val="000000"/>
        </w:rPr>
        <w:t xml:space="preserve"> converted to God</w:t>
      </w:r>
      <w:r w:rsidR="00D34F65">
        <w:rPr>
          <w:color w:val="000000"/>
        </w:rPr>
        <w:t xml:space="preserve"> and</w:t>
      </w:r>
      <w:r>
        <w:rPr>
          <w:color w:val="000000"/>
        </w:rPr>
        <w:t xml:space="preserve"> chosen by God through the appearance of Jesus Christ and his disciples. As for Paul (1 </w:t>
      </w:r>
      <w:r w:rsidRPr="00D34F65">
        <w:rPr>
          <w:i/>
          <w:color w:val="000000"/>
        </w:rPr>
        <w:t>Cor</w:t>
      </w:r>
      <w:r w:rsidR="00D17203">
        <w:rPr>
          <w:i/>
          <w:color w:val="000000"/>
        </w:rPr>
        <w:t>.</w:t>
      </w:r>
      <w:r>
        <w:rPr>
          <w:color w:val="000000"/>
        </w:rPr>
        <w:t> 1</w:t>
      </w:r>
      <w:r w:rsidR="00D17203">
        <w:rPr>
          <w:color w:val="000000"/>
        </w:rPr>
        <w:t>:</w:t>
      </w:r>
      <w:r>
        <w:rPr>
          <w:color w:val="000000"/>
        </w:rPr>
        <w:t xml:space="preserve">26), </w:t>
      </w:r>
      <w:r w:rsidR="00D17203">
        <w:rPr>
          <w:color w:val="000000"/>
        </w:rPr>
        <w:t xml:space="preserve">not what is wise, but </w:t>
      </w:r>
      <w:r>
        <w:rPr>
          <w:color w:val="000000"/>
        </w:rPr>
        <w:t xml:space="preserve">what </w:t>
      </w:r>
      <w:r w:rsidR="00D17203">
        <w:rPr>
          <w:color w:val="000000"/>
        </w:rPr>
        <w:t xml:space="preserve">is </w:t>
      </w:r>
      <w:r>
        <w:rPr>
          <w:color w:val="000000"/>
        </w:rPr>
        <w:t xml:space="preserve">foolish will called by God, </w:t>
      </w:r>
      <w:r w:rsidR="00D17203">
        <w:rPr>
          <w:color w:val="000000"/>
        </w:rPr>
        <w:t xml:space="preserve">so that </w:t>
      </w:r>
      <w:r>
        <w:rPr>
          <w:color w:val="000000"/>
        </w:rPr>
        <w:t>the foolish shame the wise and</w:t>
      </w:r>
      <w:r w:rsidR="00762D27">
        <w:rPr>
          <w:color w:val="000000"/>
        </w:rPr>
        <w:t xml:space="preserve"> the one who previously had </w:t>
      </w:r>
      <w:proofErr w:type="gramStart"/>
      <w:r w:rsidR="00762D27">
        <w:rPr>
          <w:color w:val="000000"/>
        </w:rPr>
        <w:t>importance, but</w:t>
      </w:r>
      <w:proofErr w:type="gramEnd"/>
      <w:r w:rsidR="00762D27">
        <w:rPr>
          <w:color w:val="000000"/>
        </w:rPr>
        <w:t xml:space="preserve"> is now reduced to be no more than a fleshly Israel</w:t>
      </w:r>
      <w:r>
        <w:rPr>
          <w:color w:val="000000"/>
        </w:rPr>
        <w:t>.</w:t>
      </w:r>
      <w:bookmarkStart w:id="29" w:name="_ftnref52"/>
      <w:bookmarkEnd w:id="29"/>
      <w:r w:rsidR="00762D27">
        <w:rPr>
          <w:rStyle w:val="FootnoteReference"/>
          <w:color w:val="000000"/>
        </w:rPr>
        <w:footnoteReference w:id="32"/>
      </w:r>
      <w:r w:rsidR="00762D27">
        <w:rPr>
          <w:color w:val="000000"/>
          <w:sz w:val="27"/>
          <w:szCs w:val="27"/>
        </w:rPr>
        <w:t xml:space="preserve"> </w:t>
      </w:r>
    </w:p>
    <w:p w14:paraId="55EBB2EA" w14:textId="1E0C266C"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Origen has harsh words for the once chosen people, whose place a non-people </w:t>
      </w:r>
      <w:r w:rsidR="00CE4689">
        <w:rPr>
          <w:color w:val="000000"/>
        </w:rPr>
        <w:t>have taken</w:t>
      </w:r>
      <w:r>
        <w:rPr>
          <w:color w:val="000000"/>
        </w:rPr>
        <w:t>. He reads the new beginning</w:t>
      </w:r>
      <w:r w:rsidR="005C7714">
        <w:rPr>
          <w:color w:val="000000"/>
        </w:rPr>
        <w:t xml:space="preserve"> </w:t>
      </w:r>
      <w:r>
        <w:rPr>
          <w:color w:val="000000"/>
        </w:rPr>
        <w:t xml:space="preserve">already </w:t>
      </w:r>
      <w:r w:rsidR="007228F8">
        <w:rPr>
          <w:color w:val="000000"/>
        </w:rPr>
        <w:t xml:space="preserve">in </w:t>
      </w:r>
      <w:r w:rsidRPr="005C7714">
        <w:rPr>
          <w:i/>
          <w:color w:val="000000"/>
        </w:rPr>
        <w:t>Ps</w:t>
      </w:r>
      <w:r w:rsidR="005C7714">
        <w:rPr>
          <w:color w:val="000000"/>
        </w:rPr>
        <w:t>.</w:t>
      </w:r>
      <w:r>
        <w:rPr>
          <w:color w:val="000000"/>
        </w:rPr>
        <w:t> 45 (44)</w:t>
      </w:r>
      <w:r w:rsidR="007228F8">
        <w:rPr>
          <w:color w:val="000000"/>
        </w:rPr>
        <w:t xml:space="preserve"> as an announcement of Christ</w:t>
      </w:r>
      <w:r>
        <w:rPr>
          <w:color w:val="000000"/>
        </w:rPr>
        <w:t xml:space="preserve">, even </w:t>
      </w:r>
      <w:r w:rsidR="007228F8">
        <w:rPr>
          <w:color w:val="000000"/>
        </w:rPr>
        <w:t xml:space="preserve">though, </w:t>
      </w:r>
      <w:r>
        <w:rPr>
          <w:color w:val="000000"/>
        </w:rPr>
        <w:t xml:space="preserve">he </w:t>
      </w:r>
      <w:r w:rsidR="00866FFE">
        <w:rPr>
          <w:color w:val="000000"/>
        </w:rPr>
        <w:t>‘</w:t>
      </w:r>
      <w:r>
        <w:rPr>
          <w:color w:val="000000"/>
        </w:rPr>
        <w:t xml:space="preserve">held his teaching office </w:t>
      </w:r>
      <w:r w:rsidR="00866FFE">
        <w:rPr>
          <w:color w:val="000000"/>
        </w:rPr>
        <w:t>only for a short period of time’</w:t>
      </w:r>
      <w:r>
        <w:rPr>
          <w:color w:val="000000"/>
        </w:rPr>
        <w:t xml:space="preserve"> </w:t>
      </w:r>
      <w:r w:rsidR="00866FFE">
        <w:rPr>
          <w:color w:val="000000"/>
        </w:rPr>
        <w:t xml:space="preserve">‘teaching for </w:t>
      </w:r>
      <w:r>
        <w:rPr>
          <w:color w:val="000000"/>
        </w:rPr>
        <w:t>about a year and several months</w:t>
      </w:r>
      <w:r w:rsidR="00866FFE">
        <w:rPr>
          <w:color w:val="000000"/>
        </w:rPr>
        <w:t>’</w:t>
      </w:r>
      <w:r>
        <w:rPr>
          <w:color w:val="000000"/>
        </w:rPr>
        <w:t xml:space="preserve">, </w:t>
      </w:r>
      <w:proofErr w:type="gramStart"/>
      <w:r w:rsidR="003D50EC">
        <w:rPr>
          <w:color w:val="000000"/>
        </w:rPr>
        <w:t>yet,</w:t>
      </w:r>
      <w:proofErr w:type="gramEnd"/>
      <w:r w:rsidR="003D50EC">
        <w:rPr>
          <w:color w:val="000000"/>
        </w:rPr>
        <w:t xml:space="preserve"> he underlines, that ‘</w:t>
      </w:r>
      <w:r>
        <w:rPr>
          <w:color w:val="000000"/>
        </w:rPr>
        <w:t xml:space="preserve">his teaching and his belief in God </w:t>
      </w:r>
      <w:r w:rsidR="003D50EC">
        <w:rPr>
          <w:color w:val="000000"/>
        </w:rPr>
        <w:t>had filled the entire world’</w:t>
      </w:r>
      <w:r>
        <w:rPr>
          <w:color w:val="000000"/>
        </w:rPr>
        <w:t>.</w:t>
      </w:r>
      <w:bookmarkStart w:id="30" w:name="_ftnref53"/>
      <w:bookmarkEnd w:id="30"/>
      <w:r w:rsidR="003D50EC">
        <w:rPr>
          <w:rStyle w:val="FootnoteReference"/>
          <w:color w:val="000000"/>
        </w:rPr>
        <w:footnoteReference w:id="33"/>
      </w:r>
      <w:r w:rsidR="003D50EC">
        <w:rPr>
          <w:color w:val="000000"/>
          <w:sz w:val="27"/>
          <w:szCs w:val="27"/>
        </w:rPr>
        <w:t xml:space="preserve"> </w:t>
      </w:r>
    </w:p>
    <w:p w14:paraId="4E3BA15C" w14:textId="12A05C33" w:rsidR="00DE0197" w:rsidRPr="00AD74F5" w:rsidRDefault="00DE0197" w:rsidP="00AD74F5">
      <w:pPr>
        <w:pStyle w:val="NormalWeb"/>
        <w:spacing w:before="0" w:beforeAutospacing="0" w:after="0" w:afterAutospacing="0"/>
        <w:ind w:firstLine="720"/>
        <w:jc w:val="both"/>
        <w:rPr>
          <w:color w:val="000000"/>
        </w:rPr>
      </w:pPr>
      <w:r>
        <w:rPr>
          <w:color w:val="000000"/>
        </w:rPr>
        <w:t xml:space="preserve">From these first sections of </w:t>
      </w:r>
      <w:r w:rsidR="003D50EC">
        <w:rPr>
          <w:color w:val="000000"/>
        </w:rPr>
        <w:t>his</w:t>
      </w:r>
      <w:r>
        <w:rPr>
          <w:color w:val="000000"/>
        </w:rPr>
        <w:t xml:space="preserve"> fourth book of </w:t>
      </w:r>
      <w:r>
        <w:rPr>
          <w:i/>
          <w:iCs/>
          <w:color w:val="000000"/>
        </w:rPr>
        <w:t xml:space="preserve">De </w:t>
      </w:r>
      <w:proofErr w:type="spellStart"/>
      <w:r>
        <w:rPr>
          <w:i/>
          <w:iCs/>
          <w:color w:val="000000"/>
        </w:rPr>
        <w:t>principiis</w:t>
      </w:r>
      <w:proofErr w:type="spellEnd"/>
      <w:r>
        <w:rPr>
          <w:i/>
          <w:iCs/>
          <w:color w:val="000000"/>
        </w:rPr>
        <w:t> </w:t>
      </w:r>
      <w:r>
        <w:rPr>
          <w:color w:val="000000"/>
        </w:rPr>
        <w:t xml:space="preserve">it </w:t>
      </w:r>
      <w:r w:rsidR="00F95321">
        <w:rPr>
          <w:color w:val="000000"/>
        </w:rPr>
        <w:t>becomes</w:t>
      </w:r>
      <w:r>
        <w:rPr>
          <w:color w:val="000000"/>
        </w:rPr>
        <w:t xml:space="preserve"> sufficiently clear how Origen describes the beginnings of Christianity. It is the preaching and teaching of </w:t>
      </w:r>
      <w:r>
        <w:rPr>
          <w:color w:val="000000"/>
        </w:rPr>
        <w:lastRenderedPageBreak/>
        <w:t>Christ that have brought a few Jews and the mass of Gentiles to the forgiveness of sins and turn</w:t>
      </w:r>
      <w:r w:rsidR="00F95321">
        <w:rPr>
          <w:color w:val="000000"/>
        </w:rPr>
        <w:t>ed them</w:t>
      </w:r>
      <w:r>
        <w:rPr>
          <w:color w:val="000000"/>
        </w:rPr>
        <w:t xml:space="preserve"> to God. </w:t>
      </w:r>
      <w:r w:rsidR="00F95321">
        <w:rPr>
          <w:color w:val="000000"/>
        </w:rPr>
        <w:t xml:space="preserve">Christ’s </w:t>
      </w:r>
      <w:r>
        <w:rPr>
          <w:color w:val="000000"/>
        </w:rPr>
        <w:t xml:space="preserve">Epiphany, his teaching, his birth in Bethlehem, even </w:t>
      </w:r>
      <w:r w:rsidR="00BA7B17">
        <w:rPr>
          <w:color w:val="000000"/>
        </w:rPr>
        <w:t>‘</w:t>
      </w:r>
      <w:r>
        <w:rPr>
          <w:color w:val="000000"/>
        </w:rPr>
        <w:t xml:space="preserve">the appearance of the apostles who were sent by Jesus to all ends </w:t>
      </w:r>
      <w:r w:rsidR="00BA7B17">
        <w:rPr>
          <w:color w:val="000000"/>
        </w:rPr>
        <w:t xml:space="preserve">of the world </w:t>
      </w:r>
      <w:r>
        <w:rPr>
          <w:color w:val="000000"/>
        </w:rPr>
        <w:t>to proclaiming the Gospel</w:t>
      </w:r>
      <w:r w:rsidR="00BA7B17">
        <w:rPr>
          <w:color w:val="000000"/>
        </w:rPr>
        <w:t>’</w:t>
      </w:r>
      <w:r>
        <w:rPr>
          <w:color w:val="000000"/>
        </w:rPr>
        <w:t>, </w:t>
      </w:r>
      <w:r w:rsidR="00BA7B17">
        <w:rPr>
          <w:color w:val="000000"/>
        </w:rPr>
        <w:t xml:space="preserve">Origen finds </w:t>
      </w:r>
      <w:r>
        <w:rPr>
          <w:color w:val="000000"/>
        </w:rPr>
        <w:t>announced in the Jewish Scriptures,</w:t>
      </w:r>
      <w:r w:rsidR="00F26DE5">
        <w:rPr>
          <w:color w:val="000000"/>
        </w:rPr>
        <w:t xml:space="preserve"> for </w:t>
      </w:r>
      <w:r>
        <w:rPr>
          <w:color w:val="000000"/>
        </w:rPr>
        <w:t>Origen</w:t>
      </w:r>
      <w:r w:rsidR="00AD74F5">
        <w:rPr>
          <w:color w:val="000000"/>
        </w:rPr>
        <w:t xml:space="preserve"> supported</w:t>
      </w:r>
      <w:r>
        <w:rPr>
          <w:color w:val="000000"/>
        </w:rPr>
        <w:t xml:space="preserve"> by the </w:t>
      </w:r>
      <w:r w:rsidR="009C075E" w:rsidRPr="009C075E">
        <w:rPr>
          <w:i/>
          <w:color w:val="000000"/>
        </w:rPr>
        <w:t xml:space="preserve">Book of </w:t>
      </w:r>
      <w:r w:rsidRPr="009C075E">
        <w:rPr>
          <w:i/>
          <w:color w:val="000000"/>
        </w:rPr>
        <w:t>Acts</w:t>
      </w:r>
      <w:r>
        <w:rPr>
          <w:color w:val="000000"/>
        </w:rPr>
        <w:t xml:space="preserve">, </w:t>
      </w:r>
      <w:r w:rsidR="009C075E">
        <w:rPr>
          <w:color w:val="000000"/>
        </w:rPr>
        <w:t xml:space="preserve">when he reads in </w:t>
      </w:r>
      <w:r w:rsidRPr="009C075E">
        <w:rPr>
          <w:i/>
          <w:color w:val="000000"/>
        </w:rPr>
        <w:t>Acts</w:t>
      </w:r>
      <w:r>
        <w:rPr>
          <w:color w:val="000000"/>
        </w:rPr>
        <w:t> 5</w:t>
      </w:r>
      <w:r w:rsidR="009C075E">
        <w:rPr>
          <w:color w:val="000000"/>
        </w:rPr>
        <w:t>:</w:t>
      </w:r>
      <w:r>
        <w:rPr>
          <w:color w:val="000000"/>
        </w:rPr>
        <w:t>12</w:t>
      </w:r>
      <w:r w:rsidR="009C075E">
        <w:rPr>
          <w:color w:val="000000"/>
        </w:rPr>
        <w:t>:</w:t>
      </w:r>
      <w:r>
        <w:rPr>
          <w:color w:val="000000"/>
        </w:rPr>
        <w:t xml:space="preserve"> </w:t>
      </w:r>
      <w:r w:rsidR="000C51FF">
        <w:rPr>
          <w:color w:val="000000"/>
        </w:rPr>
        <w:t>‘</w:t>
      </w:r>
      <w:r w:rsidR="000C51FF" w:rsidRPr="000C51FF">
        <w:rPr>
          <w:color w:val="000000"/>
        </w:rPr>
        <w:t>The apostles performed many signs and wonders among the people.</w:t>
      </w:r>
      <w:r w:rsidR="000C51FF">
        <w:rPr>
          <w:color w:val="000000"/>
        </w:rPr>
        <w:t xml:space="preserve"> </w:t>
      </w:r>
      <w:r w:rsidR="00DE7D24" w:rsidRPr="00DE7D24">
        <w:rPr>
          <w:color w:val="000000"/>
        </w:rPr>
        <w:t xml:space="preserve">And all the believers used to </w:t>
      </w:r>
      <w:proofErr w:type="gramStart"/>
      <w:r w:rsidR="00DE7D24" w:rsidRPr="00DE7D24">
        <w:rPr>
          <w:color w:val="000000"/>
        </w:rPr>
        <w:t>meet together</w:t>
      </w:r>
      <w:proofErr w:type="gramEnd"/>
      <w:r w:rsidR="00DE7D24" w:rsidRPr="00DE7D24">
        <w:rPr>
          <w:color w:val="000000"/>
        </w:rPr>
        <w:t xml:space="preserve"> in Solomon’s Colonnade</w:t>
      </w:r>
      <w:r w:rsidR="00DE7D24">
        <w:rPr>
          <w:color w:val="000000"/>
        </w:rPr>
        <w:t>’.</w:t>
      </w:r>
      <w:r w:rsidR="00AD74F5">
        <w:rPr>
          <w:color w:val="000000"/>
        </w:rPr>
        <w:t xml:space="preserve"> What reads today like a circular argument, is prove enough for </w:t>
      </w:r>
      <w:r>
        <w:rPr>
          <w:color w:val="000000"/>
        </w:rPr>
        <w:t>Origen</w:t>
      </w:r>
      <w:r w:rsidR="00AD46E2">
        <w:rPr>
          <w:color w:val="000000"/>
        </w:rPr>
        <w:t xml:space="preserve">, namely these </w:t>
      </w:r>
      <w:r w:rsidR="000C6237">
        <w:rPr>
          <w:color w:val="000000"/>
        </w:rPr>
        <w:t xml:space="preserve">promises </w:t>
      </w:r>
      <w:r w:rsidR="00AD46E2">
        <w:rPr>
          <w:color w:val="000000"/>
        </w:rPr>
        <w:t>of prophecy for</w:t>
      </w:r>
      <w:r w:rsidR="00AD74F5">
        <w:rPr>
          <w:color w:val="000000"/>
        </w:rPr>
        <w:t xml:space="preserve"> ‘</w:t>
      </w:r>
      <w:r>
        <w:rPr>
          <w:color w:val="000000"/>
        </w:rPr>
        <w:t>the divinity of Jesus</w:t>
      </w:r>
      <w:r w:rsidR="00AD46E2">
        <w:rPr>
          <w:color w:val="000000"/>
        </w:rPr>
        <w:t>’</w:t>
      </w:r>
      <w:r>
        <w:rPr>
          <w:color w:val="000000"/>
        </w:rPr>
        <w:t>, </w:t>
      </w:r>
      <w:r w:rsidR="000C6237">
        <w:rPr>
          <w:color w:val="000000"/>
        </w:rPr>
        <w:t xml:space="preserve">while simultaneously </w:t>
      </w:r>
      <w:r>
        <w:rPr>
          <w:color w:val="000000"/>
        </w:rPr>
        <w:t xml:space="preserve">he shows </w:t>
      </w:r>
      <w:r w:rsidR="000C6237">
        <w:rPr>
          <w:color w:val="000000"/>
        </w:rPr>
        <w:t>‘</w:t>
      </w:r>
      <w:r w:rsidR="007C775A" w:rsidRPr="007C775A">
        <w:rPr>
          <w:color w:val="000000"/>
        </w:rPr>
        <w:t>the writings which prophesied of Him were divinely inspired; and that those documents which announced His coming and His doctrine were given forth with all power and authority, and that on this account they obtained the election from the Gentiles</w:t>
      </w:r>
      <w:r w:rsidR="007C775A">
        <w:rPr>
          <w:color w:val="000000"/>
        </w:rPr>
        <w:t>’</w:t>
      </w:r>
      <w:r w:rsidR="006C001D">
        <w:rPr>
          <w:color w:val="000000"/>
          <w:sz w:val="27"/>
          <w:szCs w:val="27"/>
        </w:rPr>
        <w:t>.</w:t>
      </w:r>
      <w:r w:rsidR="006C001D">
        <w:rPr>
          <w:rStyle w:val="FootnoteReference"/>
          <w:color w:val="000000"/>
          <w:sz w:val="27"/>
          <w:szCs w:val="27"/>
        </w:rPr>
        <w:footnoteReference w:id="34"/>
      </w:r>
    </w:p>
    <w:p w14:paraId="0344B049" w14:textId="11EC54AC" w:rsidR="001E7653" w:rsidRDefault="00DE0197" w:rsidP="00DE0197">
      <w:pPr>
        <w:pStyle w:val="NormalWeb"/>
        <w:spacing w:before="0" w:beforeAutospacing="0" w:after="0" w:afterAutospacing="0"/>
        <w:ind w:firstLine="720"/>
        <w:jc w:val="both"/>
        <w:rPr>
          <w:color w:val="000000"/>
        </w:rPr>
      </w:pPr>
      <w:r>
        <w:rPr>
          <w:color w:val="000000"/>
        </w:rPr>
        <w:t xml:space="preserve">Origen explains why one cannot go beyond this circular conclusion by pointing out that only with the </w:t>
      </w:r>
      <w:r w:rsidR="008F1A27">
        <w:rPr>
          <w:color w:val="000000"/>
        </w:rPr>
        <w:t>advent</w:t>
      </w:r>
      <w:r>
        <w:rPr>
          <w:color w:val="000000"/>
        </w:rPr>
        <w:t xml:space="preserve"> of </w:t>
      </w:r>
      <w:r w:rsidR="00366F69">
        <w:rPr>
          <w:color w:val="000000"/>
        </w:rPr>
        <w:t xml:space="preserve">Christ </w:t>
      </w:r>
      <w:r w:rsidR="008F1A27">
        <w:rPr>
          <w:color w:val="000000"/>
        </w:rPr>
        <w:t>did</w:t>
      </w:r>
      <w:r>
        <w:rPr>
          <w:color w:val="000000"/>
        </w:rPr>
        <w:t xml:space="preserve"> </w:t>
      </w:r>
    </w:p>
    <w:p w14:paraId="2B7F7F32" w14:textId="23AF6C5E" w:rsidR="001E7653" w:rsidRPr="00AF7DB2" w:rsidRDefault="006C001D" w:rsidP="00AF7DB2">
      <w:pPr>
        <w:pStyle w:val="NormalWeb"/>
        <w:spacing w:before="0" w:beforeAutospacing="0" w:after="0" w:afterAutospacing="0"/>
        <w:ind w:left="708" w:firstLine="12"/>
        <w:jc w:val="both"/>
        <w:rPr>
          <w:color w:val="000000"/>
          <w:sz w:val="20"/>
          <w:szCs w:val="20"/>
        </w:rPr>
      </w:pPr>
      <w:r w:rsidRPr="00AF7DB2">
        <w:rPr>
          <w:color w:val="000000"/>
          <w:sz w:val="20"/>
          <w:szCs w:val="20"/>
        </w:rPr>
        <w:t>‘</w:t>
      </w:r>
      <w:r w:rsidR="00AF7DB2" w:rsidRPr="00AF7DB2">
        <w:rPr>
          <w:sz w:val="20"/>
          <w:szCs w:val="20"/>
        </w:rPr>
        <w:t>the divinity of the prophetic declarations, and the spiritual nature of the law of Moses, sh</w:t>
      </w:r>
      <w:r w:rsidR="008F1A27">
        <w:rPr>
          <w:sz w:val="20"/>
          <w:szCs w:val="20"/>
        </w:rPr>
        <w:t>i</w:t>
      </w:r>
      <w:r w:rsidR="00AF7DB2" w:rsidRPr="00AF7DB2">
        <w:rPr>
          <w:sz w:val="20"/>
          <w:szCs w:val="20"/>
        </w:rPr>
        <w:t>ne forth. For before the advent of Christ it was not altogether possible to exhibit manifest proofs of the divine inspiration of the ancient Scripture; whereas His coming led those who might suspect the law and the prophets not to be divine, to the clear conviction that they were composed by (the aid of) heavenly grace. And he who reads the words of the prophets with care and attention, feeling by the very perusal the traces of the divinity that is in them, will be led by his own emotions to believe that those words which have been deemed to be the words of God are not the compositions of men.</w:t>
      </w:r>
      <w:r w:rsidR="001E7653" w:rsidRPr="00AF7DB2">
        <w:rPr>
          <w:color w:val="000000"/>
          <w:sz w:val="20"/>
          <w:szCs w:val="20"/>
        </w:rPr>
        <w:t>’</w:t>
      </w:r>
      <w:r w:rsidR="001D500F">
        <w:rPr>
          <w:rStyle w:val="FootnoteReference"/>
          <w:color w:val="000000"/>
          <w:sz w:val="20"/>
          <w:szCs w:val="20"/>
        </w:rPr>
        <w:footnoteReference w:id="35"/>
      </w:r>
    </w:p>
    <w:p w14:paraId="60AA24E8" w14:textId="0887D659" w:rsidR="00DE0197" w:rsidRDefault="00385D5D" w:rsidP="001D500F">
      <w:pPr>
        <w:pStyle w:val="NormalWeb"/>
        <w:spacing w:before="0" w:beforeAutospacing="0" w:after="0" w:afterAutospacing="0"/>
        <w:jc w:val="both"/>
        <w:rPr>
          <w:color w:val="000000"/>
          <w:sz w:val="27"/>
          <w:szCs w:val="27"/>
        </w:rPr>
      </w:pPr>
      <w:r>
        <w:rPr>
          <w:color w:val="000000"/>
        </w:rPr>
        <w:t>This statement reveals that Origen had a non-Jewish audience in mind, people who were sceptical of the nature of the Jewish Scriptures</w:t>
      </w:r>
      <w:r w:rsidR="007D1138">
        <w:rPr>
          <w:color w:val="000000"/>
        </w:rPr>
        <w:t xml:space="preserve"> which, according to Origen only turned out to be of divine character since Christ proofed the prophetic announcements to be correct.</w:t>
      </w:r>
      <w:r>
        <w:rPr>
          <w:color w:val="000000"/>
        </w:rPr>
        <w:t xml:space="preserve"> </w:t>
      </w:r>
      <w:r w:rsidR="00DE0197">
        <w:rPr>
          <w:color w:val="000000"/>
        </w:rPr>
        <w:t>Only Christian</w:t>
      </w:r>
      <w:r w:rsidR="00B6323E">
        <w:rPr>
          <w:color w:val="000000"/>
        </w:rPr>
        <w:t>s</w:t>
      </w:r>
      <w:r w:rsidR="00DE0197">
        <w:rPr>
          <w:color w:val="000000"/>
        </w:rPr>
        <w:t xml:space="preserve"> </w:t>
      </w:r>
      <w:r w:rsidR="00B6323E">
        <w:rPr>
          <w:color w:val="000000"/>
        </w:rPr>
        <w:t xml:space="preserve">are, therefore, </w:t>
      </w:r>
      <w:r w:rsidR="00DE0197">
        <w:rPr>
          <w:color w:val="000000"/>
        </w:rPr>
        <w:t>retrospective</w:t>
      </w:r>
      <w:r w:rsidR="00B6323E">
        <w:rPr>
          <w:color w:val="000000"/>
        </w:rPr>
        <w:t>ly</w:t>
      </w:r>
      <w:r w:rsidR="00DE0197">
        <w:rPr>
          <w:color w:val="000000"/>
        </w:rPr>
        <w:t xml:space="preserve"> </w:t>
      </w:r>
      <w:r w:rsidR="00B6323E">
        <w:rPr>
          <w:color w:val="000000"/>
        </w:rPr>
        <w:t xml:space="preserve">capable of </w:t>
      </w:r>
      <w:r w:rsidR="00DE0197">
        <w:rPr>
          <w:color w:val="000000"/>
        </w:rPr>
        <w:t>reveal</w:t>
      </w:r>
      <w:r w:rsidR="00B6323E">
        <w:rPr>
          <w:color w:val="000000"/>
        </w:rPr>
        <w:t>ing the real content</w:t>
      </w:r>
      <w:r w:rsidR="00B64076">
        <w:rPr>
          <w:color w:val="000000"/>
        </w:rPr>
        <w:t xml:space="preserve"> of</w:t>
      </w:r>
      <w:r w:rsidR="00DE0197">
        <w:rPr>
          <w:color w:val="000000"/>
        </w:rPr>
        <w:t xml:space="preserve"> what was previously veiled. This concealment</w:t>
      </w:r>
      <w:r w:rsidR="00B64076">
        <w:rPr>
          <w:color w:val="000000"/>
        </w:rPr>
        <w:t>, Origen thinks,</w:t>
      </w:r>
      <w:r w:rsidR="00DE0197">
        <w:rPr>
          <w:color w:val="000000"/>
        </w:rPr>
        <w:t xml:space="preserve"> is the reason why the Jews at that time and most Jews also at </w:t>
      </w:r>
      <w:r w:rsidR="00B64076">
        <w:rPr>
          <w:color w:val="000000"/>
        </w:rPr>
        <w:t xml:space="preserve">his own </w:t>
      </w:r>
      <w:r w:rsidR="00DE0197">
        <w:rPr>
          <w:color w:val="000000"/>
        </w:rPr>
        <w:t xml:space="preserve">time could not understand their own </w:t>
      </w:r>
      <w:r w:rsidR="00424E59">
        <w:rPr>
          <w:color w:val="000000"/>
        </w:rPr>
        <w:t>S</w:t>
      </w:r>
      <w:r w:rsidR="00DE0197">
        <w:rPr>
          <w:color w:val="000000"/>
        </w:rPr>
        <w:t xml:space="preserve">criptures, whose </w:t>
      </w:r>
      <w:r w:rsidR="00424E59">
        <w:rPr>
          <w:color w:val="000000"/>
        </w:rPr>
        <w:t>‘</w:t>
      </w:r>
      <w:r w:rsidR="00DE0197">
        <w:rPr>
          <w:color w:val="000000"/>
        </w:rPr>
        <w:t xml:space="preserve">letters contain the </w:t>
      </w:r>
      <w:r w:rsidR="00424E59">
        <w:rPr>
          <w:color w:val="000000"/>
        </w:rPr>
        <w:t>shadow’</w:t>
      </w:r>
      <w:r w:rsidR="00DE0197">
        <w:rPr>
          <w:color w:val="000000"/>
        </w:rPr>
        <w:t xml:space="preserve"> which was and will only be removed by the radiance of Christ.</w:t>
      </w:r>
      <w:bookmarkStart w:id="31" w:name="_ftnref56"/>
      <w:bookmarkEnd w:id="31"/>
      <w:r w:rsidR="00424E59">
        <w:rPr>
          <w:rStyle w:val="FootnoteReference"/>
          <w:color w:val="000000"/>
        </w:rPr>
        <w:footnoteReference w:id="36"/>
      </w:r>
      <w:r w:rsidR="00424E59">
        <w:rPr>
          <w:color w:val="000000"/>
        </w:rPr>
        <w:t xml:space="preserve"> </w:t>
      </w:r>
      <w:r w:rsidR="00721002">
        <w:rPr>
          <w:color w:val="000000"/>
        </w:rPr>
        <w:t>Conce</w:t>
      </w:r>
      <w:r w:rsidR="007916BB">
        <w:rPr>
          <w:color w:val="000000"/>
        </w:rPr>
        <w:t>a</w:t>
      </w:r>
      <w:r w:rsidR="00721002">
        <w:rPr>
          <w:color w:val="000000"/>
        </w:rPr>
        <w:t>lment and mantlin</w:t>
      </w:r>
      <w:r w:rsidR="007916BB">
        <w:rPr>
          <w:color w:val="000000"/>
        </w:rPr>
        <w:t>g</w:t>
      </w:r>
      <w:r w:rsidR="00721002">
        <w:rPr>
          <w:color w:val="000000"/>
        </w:rPr>
        <w:t xml:space="preserve"> do </w:t>
      </w:r>
      <w:r w:rsidR="00DE0197">
        <w:rPr>
          <w:color w:val="000000"/>
        </w:rPr>
        <w:t xml:space="preserve">not only apply to </w:t>
      </w:r>
      <w:r w:rsidR="00721002">
        <w:rPr>
          <w:color w:val="000000"/>
        </w:rPr>
        <w:t>the Jewish S</w:t>
      </w:r>
      <w:r w:rsidR="00DE0197">
        <w:rPr>
          <w:color w:val="000000"/>
        </w:rPr>
        <w:t>cripture</w:t>
      </w:r>
      <w:r w:rsidR="00721002">
        <w:rPr>
          <w:color w:val="000000"/>
        </w:rPr>
        <w:t>s</w:t>
      </w:r>
      <w:r w:rsidR="00DE0197">
        <w:rPr>
          <w:color w:val="000000"/>
        </w:rPr>
        <w:t xml:space="preserve">, but also to the cosmos, the systematic arrangement of which by God </w:t>
      </w:r>
      <w:r w:rsidR="006264B5">
        <w:rPr>
          <w:color w:val="000000"/>
        </w:rPr>
        <w:t xml:space="preserve">is </w:t>
      </w:r>
      <w:r w:rsidR="00DD56F3">
        <w:rPr>
          <w:color w:val="000000"/>
        </w:rPr>
        <w:t>neither</w:t>
      </w:r>
      <w:r w:rsidR="00DE0197">
        <w:rPr>
          <w:color w:val="000000"/>
        </w:rPr>
        <w:t xml:space="preserve"> simply </w:t>
      </w:r>
      <w:r w:rsidR="006264B5">
        <w:rPr>
          <w:color w:val="000000"/>
        </w:rPr>
        <w:t xml:space="preserve">caught by </w:t>
      </w:r>
      <w:r w:rsidR="00DE0197">
        <w:rPr>
          <w:color w:val="000000"/>
        </w:rPr>
        <w:t xml:space="preserve">earthly eyes </w:t>
      </w:r>
      <w:r w:rsidR="00DD56F3">
        <w:rPr>
          <w:color w:val="000000"/>
        </w:rPr>
        <w:t xml:space="preserve">nor detectable from the order of </w:t>
      </w:r>
      <w:r w:rsidR="00DE0197">
        <w:rPr>
          <w:color w:val="000000"/>
        </w:rPr>
        <w:t xml:space="preserve">sun, moon and stars, </w:t>
      </w:r>
      <w:r w:rsidR="00DD56F3">
        <w:rPr>
          <w:color w:val="000000"/>
        </w:rPr>
        <w:t xml:space="preserve">nor </w:t>
      </w:r>
      <w:r w:rsidR="00DE0197">
        <w:rPr>
          <w:color w:val="000000"/>
        </w:rPr>
        <w:t xml:space="preserve">easily from </w:t>
      </w:r>
      <w:r w:rsidR="00DD56F3">
        <w:rPr>
          <w:color w:val="000000"/>
        </w:rPr>
        <w:t xml:space="preserve">the </w:t>
      </w:r>
      <w:r w:rsidR="00DE0197">
        <w:rPr>
          <w:color w:val="000000"/>
        </w:rPr>
        <w:t xml:space="preserve">fate of human beings, </w:t>
      </w:r>
      <w:r w:rsidR="00127888">
        <w:rPr>
          <w:color w:val="000000"/>
        </w:rPr>
        <w:t>even if</w:t>
      </w:r>
      <w:r w:rsidR="00DA70CF">
        <w:rPr>
          <w:color w:val="000000"/>
        </w:rPr>
        <w:t xml:space="preserve"> </w:t>
      </w:r>
      <w:r w:rsidR="001753AF">
        <w:rPr>
          <w:color w:val="000000"/>
        </w:rPr>
        <w:t xml:space="preserve">a scientific study of this nature is being undertaken and </w:t>
      </w:r>
      <w:r w:rsidR="00DA70CF">
        <w:rPr>
          <w:color w:val="000000"/>
        </w:rPr>
        <w:t>‘</w:t>
      </w:r>
      <w:r w:rsidR="00DA70CF" w:rsidRPr="00BA680C">
        <w:t>the object and reason of the impulses, and phantasies and natures of animals, and the structure of their bodies, being carefully ascertained by those who attend to these things</w:t>
      </w:r>
      <w:r w:rsidR="00DA70CF">
        <w:rPr>
          <w:color w:val="000000"/>
        </w:rPr>
        <w:t>’</w:t>
      </w:r>
      <w:r w:rsidR="00DE0197">
        <w:rPr>
          <w:color w:val="000000"/>
        </w:rPr>
        <w:t xml:space="preserve">. Consequently, man, whether a Jew or a pagan, is confronted in his </w:t>
      </w:r>
      <w:r w:rsidR="00464989">
        <w:rPr>
          <w:color w:val="000000"/>
        </w:rPr>
        <w:t xml:space="preserve">human </w:t>
      </w:r>
      <w:r w:rsidR="00DE0197">
        <w:rPr>
          <w:color w:val="000000"/>
        </w:rPr>
        <w:t xml:space="preserve">weakness with a </w:t>
      </w:r>
      <w:r w:rsidR="00464989">
        <w:rPr>
          <w:color w:val="000000"/>
        </w:rPr>
        <w:t>‘</w:t>
      </w:r>
      <w:r w:rsidR="00DE0197">
        <w:rPr>
          <w:color w:val="000000"/>
        </w:rPr>
        <w:t>hidden glory of teachings</w:t>
      </w:r>
      <w:r w:rsidR="00464989">
        <w:rPr>
          <w:color w:val="000000"/>
        </w:rPr>
        <w:t>’</w:t>
      </w:r>
      <w:r w:rsidR="00DE0197">
        <w:rPr>
          <w:color w:val="000000"/>
        </w:rPr>
        <w:t xml:space="preserve"> which </w:t>
      </w:r>
      <w:r w:rsidR="009D0903">
        <w:rPr>
          <w:color w:val="000000"/>
        </w:rPr>
        <w:t xml:space="preserve">human beings </w:t>
      </w:r>
      <w:r w:rsidR="00DE0197">
        <w:rPr>
          <w:color w:val="000000"/>
        </w:rPr>
        <w:t xml:space="preserve">cannot reveal even </w:t>
      </w:r>
      <w:r w:rsidR="00B8473B">
        <w:rPr>
          <w:color w:val="000000"/>
        </w:rPr>
        <w:t xml:space="preserve">applying </w:t>
      </w:r>
      <w:r w:rsidR="00DE0197">
        <w:rPr>
          <w:color w:val="000000"/>
        </w:rPr>
        <w:t>the best scientific methods.</w:t>
      </w:r>
      <w:bookmarkStart w:id="32" w:name="_ftnref57"/>
      <w:bookmarkEnd w:id="32"/>
      <w:r w:rsidR="00B8473B">
        <w:rPr>
          <w:rStyle w:val="FootnoteReference"/>
          <w:color w:val="000000"/>
        </w:rPr>
        <w:footnoteReference w:id="37"/>
      </w:r>
      <w:r w:rsidR="00B8473B">
        <w:rPr>
          <w:color w:val="000000"/>
          <w:sz w:val="27"/>
          <w:szCs w:val="27"/>
        </w:rPr>
        <w:t xml:space="preserve"> </w:t>
      </w:r>
    </w:p>
    <w:p w14:paraId="7A56B3FE" w14:textId="3493C9D0" w:rsidR="00DE0197" w:rsidRDefault="00DE0197" w:rsidP="00DE0197">
      <w:pPr>
        <w:pStyle w:val="NormalWeb"/>
        <w:spacing w:before="0" w:beforeAutospacing="0" w:after="0" w:afterAutospacing="0"/>
        <w:ind w:firstLine="720"/>
        <w:jc w:val="both"/>
        <w:rPr>
          <w:color w:val="000000"/>
          <w:sz w:val="27"/>
          <w:szCs w:val="27"/>
        </w:rPr>
      </w:pPr>
      <w:r>
        <w:rPr>
          <w:color w:val="000000"/>
        </w:rPr>
        <w:t>Origen</w:t>
      </w:r>
      <w:r w:rsidR="00B8473B">
        <w:rPr>
          <w:color w:val="000000"/>
        </w:rPr>
        <w:t>’</w:t>
      </w:r>
      <w:r>
        <w:rPr>
          <w:color w:val="000000"/>
        </w:rPr>
        <w:t>s first look at the beginnings of Christianity falls on Christ</w:t>
      </w:r>
      <w:r w:rsidR="00CE035C">
        <w:rPr>
          <w:color w:val="000000"/>
        </w:rPr>
        <w:t xml:space="preserve"> as a teacher</w:t>
      </w:r>
      <w:r>
        <w:rPr>
          <w:color w:val="000000"/>
        </w:rPr>
        <w:t xml:space="preserve"> and is focused on his apostles</w:t>
      </w:r>
      <w:r w:rsidR="00C90C5E">
        <w:rPr>
          <w:color w:val="000000"/>
        </w:rPr>
        <w:t xml:space="preserve"> as teachers</w:t>
      </w:r>
      <w:r>
        <w:rPr>
          <w:color w:val="000000"/>
        </w:rPr>
        <w:t xml:space="preserve">. From there, </w:t>
      </w:r>
      <w:r w:rsidR="00C90C5E">
        <w:rPr>
          <w:color w:val="000000"/>
        </w:rPr>
        <w:t>his focus</w:t>
      </w:r>
      <w:r>
        <w:rPr>
          <w:color w:val="000000"/>
        </w:rPr>
        <w:t xml:space="preserve"> </w:t>
      </w:r>
      <w:r w:rsidR="00C90C5E">
        <w:rPr>
          <w:color w:val="000000"/>
        </w:rPr>
        <w:t xml:space="preserve">turns to </w:t>
      </w:r>
      <w:r>
        <w:rPr>
          <w:color w:val="000000"/>
        </w:rPr>
        <w:t xml:space="preserve">the past, to the beginning of creation, then </w:t>
      </w:r>
      <w:r w:rsidR="00E162F7">
        <w:rPr>
          <w:color w:val="000000"/>
        </w:rPr>
        <w:t>to</w:t>
      </w:r>
      <w:r>
        <w:rPr>
          <w:color w:val="000000"/>
        </w:rPr>
        <w:t xml:space="preserve"> Jewish</w:t>
      </w:r>
      <w:r w:rsidR="00E162F7">
        <w:rPr>
          <w:color w:val="000000"/>
        </w:rPr>
        <w:t xml:space="preserve"> </w:t>
      </w:r>
      <w:proofErr w:type="gramStart"/>
      <w:r w:rsidR="00E162F7">
        <w:rPr>
          <w:color w:val="000000"/>
        </w:rPr>
        <w:t>and</w:t>
      </w:r>
      <w:r>
        <w:rPr>
          <w:color w:val="000000"/>
        </w:rPr>
        <w:t xml:space="preserve"> </w:t>
      </w:r>
      <w:r w:rsidR="00E162F7">
        <w:rPr>
          <w:color w:val="000000"/>
        </w:rPr>
        <w:t>also</w:t>
      </w:r>
      <w:proofErr w:type="gramEnd"/>
      <w:r w:rsidR="00E162F7">
        <w:rPr>
          <w:color w:val="000000"/>
        </w:rPr>
        <w:t xml:space="preserve"> </w:t>
      </w:r>
      <w:r>
        <w:rPr>
          <w:color w:val="000000"/>
        </w:rPr>
        <w:t>pagan history</w:t>
      </w:r>
      <w:r w:rsidR="00E162F7">
        <w:rPr>
          <w:color w:val="000000"/>
        </w:rPr>
        <w:t>,</w:t>
      </w:r>
      <w:r>
        <w:rPr>
          <w:color w:val="000000"/>
        </w:rPr>
        <w:t xml:space="preserve"> before </w:t>
      </w:r>
      <w:r w:rsidR="00560FA7">
        <w:rPr>
          <w:color w:val="000000"/>
        </w:rPr>
        <w:t>moving to his present time where Origen sees himself not less confronted with the problem of the hiddenness of God</w:t>
      </w:r>
      <w:r>
        <w:rPr>
          <w:color w:val="000000"/>
        </w:rPr>
        <w:t>. </w:t>
      </w:r>
      <w:r w:rsidR="00FE4B33">
        <w:rPr>
          <w:color w:val="000000"/>
        </w:rPr>
        <w:t xml:space="preserve">Yet, one must not only approach the concealed God with caution, </w:t>
      </w:r>
      <w:proofErr w:type="gramStart"/>
      <w:r>
        <w:rPr>
          <w:color w:val="000000"/>
        </w:rPr>
        <w:t>one</w:t>
      </w:r>
      <w:proofErr w:type="gramEnd"/>
      <w:r>
        <w:rPr>
          <w:color w:val="000000"/>
        </w:rPr>
        <w:t xml:space="preserve"> must also become aware of </w:t>
      </w:r>
      <w:r w:rsidR="00077663">
        <w:rPr>
          <w:color w:val="000000"/>
        </w:rPr>
        <w:t xml:space="preserve">the scattered fictions and obscurities, annoyances, impulses and contradictions that </w:t>
      </w:r>
      <w:r>
        <w:rPr>
          <w:color w:val="000000"/>
        </w:rPr>
        <w:t xml:space="preserve">God </w:t>
      </w:r>
      <w:r w:rsidR="00ED7BD3">
        <w:rPr>
          <w:color w:val="000000"/>
        </w:rPr>
        <w:t xml:space="preserve">one stumbles upon in </w:t>
      </w:r>
      <w:r w:rsidR="007916BB">
        <w:rPr>
          <w:color w:val="000000"/>
        </w:rPr>
        <w:t xml:space="preserve">in creation and in the law and in history, i.e. in </w:t>
      </w:r>
      <w:r w:rsidR="00ED7BD3">
        <w:rPr>
          <w:color w:val="000000"/>
        </w:rPr>
        <w:t>the Old and New Testament</w:t>
      </w:r>
      <w:r>
        <w:rPr>
          <w:color w:val="000000"/>
        </w:rPr>
        <w:t>.</w:t>
      </w:r>
      <w:bookmarkStart w:id="33" w:name="_ftnref58"/>
      <w:bookmarkEnd w:id="33"/>
      <w:r w:rsidR="007916BB">
        <w:rPr>
          <w:rStyle w:val="FootnoteReference"/>
          <w:color w:val="000000"/>
        </w:rPr>
        <w:footnoteReference w:id="38"/>
      </w:r>
      <w:r w:rsidR="007916BB">
        <w:rPr>
          <w:color w:val="000000"/>
        </w:rPr>
        <w:t xml:space="preserve"> </w:t>
      </w:r>
      <w:r>
        <w:rPr>
          <w:color w:val="000000"/>
        </w:rPr>
        <w:t>The</w:t>
      </w:r>
      <w:r w:rsidR="007916BB">
        <w:rPr>
          <w:color w:val="000000"/>
        </w:rPr>
        <w:t xml:space="preserve"> dark</w:t>
      </w:r>
      <w:r w:rsidR="00AD0C2D">
        <w:rPr>
          <w:color w:val="000000"/>
        </w:rPr>
        <w:t xml:space="preserve"> passages</w:t>
      </w:r>
      <w:r>
        <w:rPr>
          <w:color w:val="000000"/>
        </w:rPr>
        <w:t xml:space="preserve"> serve to ensure that </w:t>
      </w:r>
      <w:r w:rsidR="00AD0C2D">
        <w:rPr>
          <w:color w:val="000000"/>
        </w:rPr>
        <w:t xml:space="preserve">one does </w:t>
      </w:r>
      <w:r>
        <w:rPr>
          <w:color w:val="000000"/>
        </w:rPr>
        <w:t>n</w:t>
      </w:r>
      <w:r w:rsidR="007916BB">
        <w:rPr>
          <w:color w:val="000000"/>
        </w:rPr>
        <w:t>o</w:t>
      </w:r>
      <w:r>
        <w:rPr>
          <w:color w:val="000000"/>
        </w:rPr>
        <w:t xml:space="preserve">t take everything </w:t>
      </w:r>
      <w:r w:rsidR="00AD0C2D">
        <w:rPr>
          <w:color w:val="000000"/>
        </w:rPr>
        <w:t xml:space="preserve">one </w:t>
      </w:r>
      <w:r>
        <w:rPr>
          <w:color w:val="000000"/>
        </w:rPr>
        <w:t>see</w:t>
      </w:r>
      <w:r w:rsidR="00AD0C2D">
        <w:rPr>
          <w:color w:val="000000"/>
        </w:rPr>
        <w:t>s</w:t>
      </w:r>
      <w:r>
        <w:rPr>
          <w:color w:val="000000"/>
        </w:rPr>
        <w:t xml:space="preserve"> at face value, but aim</w:t>
      </w:r>
      <w:r w:rsidR="00AD0C2D">
        <w:rPr>
          <w:color w:val="000000"/>
        </w:rPr>
        <w:t>s</w:t>
      </w:r>
      <w:r>
        <w:rPr>
          <w:color w:val="000000"/>
        </w:rPr>
        <w:t xml:space="preserve"> at </w:t>
      </w:r>
      <w:r w:rsidR="00AD0C2D">
        <w:rPr>
          <w:color w:val="000000"/>
        </w:rPr>
        <w:t xml:space="preserve">a </w:t>
      </w:r>
      <w:r>
        <w:rPr>
          <w:color w:val="000000"/>
        </w:rPr>
        <w:t>deeper</w:t>
      </w:r>
      <w:r w:rsidR="00AD0C2D">
        <w:rPr>
          <w:color w:val="000000"/>
        </w:rPr>
        <w:t xml:space="preserve"> meaning</w:t>
      </w:r>
      <w:r>
        <w:rPr>
          <w:color w:val="000000"/>
        </w:rPr>
        <w:t xml:space="preserve"> beyond the letter. </w:t>
      </w:r>
      <w:r w:rsidR="00A26198">
        <w:rPr>
          <w:color w:val="000000"/>
        </w:rPr>
        <w:t xml:space="preserve">For, </w:t>
      </w:r>
      <w:r>
        <w:rPr>
          <w:color w:val="000000"/>
        </w:rPr>
        <w:t>according to Origen</w:t>
      </w:r>
      <w:r w:rsidR="00A26198">
        <w:rPr>
          <w:color w:val="000000"/>
        </w:rPr>
        <w:t>,</w:t>
      </w:r>
      <w:r>
        <w:rPr>
          <w:color w:val="000000"/>
        </w:rPr>
        <w:t xml:space="preserve"> there are people who can only perceive the surface, others who penetrate deeper, </w:t>
      </w:r>
      <w:proofErr w:type="gramStart"/>
      <w:r w:rsidR="00A26198">
        <w:rPr>
          <w:color w:val="000000"/>
        </w:rPr>
        <w:t>yet,</w:t>
      </w:r>
      <w:proofErr w:type="gramEnd"/>
      <w:r w:rsidR="00A26198">
        <w:rPr>
          <w:color w:val="000000"/>
        </w:rPr>
        <w:t xml:space="preserve"> </w:t>
      </w:r>
      <w:r>
        <w:rPr>
          <w:color w:val="000000"/>
        </w:rPr>
        <w:t xml:space="preserve">only </w:t>
      </w:r>
      <w:r w:rsidR="00A26198">
        <w:rPr>
          <w:color w:val="000000"/>
        </w:rPr>
        <w:t xml:space="preserve">the </w:t>
      </w:r>
      <w:r>
        <w:rPr>
          <w:color w:val="000000"/>
        </w:rPr>
        <w:t>selected</w:t>
      </w:r>
      <w:r w:rsidR="00A26198">
        <w:rPr>
          <w:color w:val="000000"/>
        </w:rPr>
        <w:t xml:space="preserve"> and</w:t>
      </w:r>
      <w:r>
        <w:rPr>
          <w:color w:val="000000"/>
        </w:rPr>
        <w:t xml:space="preserve"> spiritually oriented </w:t>
      </w:r>
      <w:r>
        <w:rPr>
          <w:color w:val="000000"/>
        </w:rPr>
        <w:lastRenderedPageBreak/>
        <w:t xml:space="preserve">people can perceive the spiritual context of the things that have </w:t>
      </w:r>
      <w:r w:rsidR="00040FA5">
        <w:rPr>
          <w:color w:val="000000"/>
        </w:rPr>
        <w:t xml:space="preserve">happened </w:t>
      </w:r>
      <w:r>
        <w:rPr>
          <w:color w:val="000000"/>
        </w:rPr>
        <w:t xml:space="preserve">and are supposed to happen, so that </w:t>
      </w:r>
      <w:r w:rsidR="00040FA5">
        <w:rPr>
          <w:color w:val="000000"/>
        </w:rPr>
        <w:t>what is real is ‘hidden to the crowd’</w:t>
      </w:r>
      <w:r>
        <w:rPr>
          <w:color w:val="000000"/>
        </w:rPr>
        <w:t>.</w:t>
      </w:r>
      <w:bookmarkStart w:id="34" w:name="_ftnref59"/>
      <w:bookmarkEnd w:id="34"/>
      <w:r w:rsidR="00040FA5">
        <w:rPr>
          <w:rStyle w:val="FootnoteReference"/>
          <w:color w:val="000000"/>
        </w:rPr>
        <w:footnoteReference w:id="39"/>
      </w:r>
      <w:r w:rsidR="00040FA5">
        <w:rPr>
          <w:color w:val="000000"/>
          <w:sz w:val="27"/>
          <w:szCs w:val="27"/>
        </w:rPr>
        <w:t xml:space="preserve"> </w:t>
      </w:r>
    </w:p>
    <w:p w14:paraId="4B51EB16" w14:textId="1D4CA8DD" w:rsidR="00DE64E7" w:rsidRDefault="005A5281" w:rsidP="00DE0197">
      <w:pPr>
        <w:pStyle w:val="NormalWeb"/>
        <w:spacing w:before="0" w:beforeAutospacing="0" w:after="0" w:afterAutospacing="0"/>
        <w:ind w:firstLine="720"/>
        <w:jc w:val="both"/>
        <w:rPr>
          <w:color w:val="000000"/>
        </w:rPr>
      </w:pPr>
      <w:r>
        <w:rPr>
          <w:color w:val="000000"/>
        </w:rPr>
        <w:t xml:space="preserve">Origen admits that </w:t>
      </w:r>
      <w:r w:rsidR="00DE0197">
        <w:rPr>
          <w:color w:val="000000"/>
        </w:rPr>
        <w:t>there are fictional things in Scripture, things that could not possibly have happened, or things that might have existed but did not actually happen, and there are such things in the law of Moses that can only be found out through deeper reflection</w:t>
      </w:r>
      <w:r w:rsidR="00013AAF">
        <w:rPr>
          <w:color w:val="000000"/>
        </w:rPr>
        <w:t xml:space="preserve">, even though these </w:t>
      </w:r>
      <w:r w:rsidR="001A7ACF">
        <w:rPr>
          <w:color w:val="000000"/>
        </w:rPr>
        <w:t xml:space="preserve">explain the rationale </w:t>
      </w:r>
      <w:r w:rsidR="00013AAF">
        <w:rPr>
          <w:color w:val="000000"/>
        </w:rPr>
        <w:t xml:space="preserve">for </w:t>
      </w:r>
      <w:r w:rsidR="001A7ACF">
        <w:rPr>
          <w:color w:val="000000"/>
        </w:rPr>
        <w:t>some laws to exist at all</w:t>
      </w:r>
      <w:r w:rsidR="00DE0197">
        <w:rPr>
          <w:color w:val="000000"/>
        </w:rPr>
        <w:t>.</w:t>
      </w:r>
      <w:bookmarkStart w:id="35" w:name="_ftnref60"/>
      <w:bookmarkEnd w:id="35"/>
      <w:r w:rsidR="001A7ACF">
        <w:rPr>
          <w:rStyle w:val="FootnoteReference"/>
          <w:color w:val="000000"/>
        </w:rPr>
        <w:footnoteReference w:id="40"/>
      </w:r>
      <w:r w:rsidR="001A7ACF">
        <w:rPr>
          <w:color w:val="000000"/>
        </w:rPr>
        <w:t xml:space="preserve"> </w:t>
      </w:r>
      <w:r w:rsidR="00DE0197">
        <w:rPr>
          <w:color w:val="000000"/>
        </w:rPr>
        <w:t xml:space="preserve">Origen adds that similar things can also be assumed </w:t>
      </w:r>
      <w:r w:rsidR="00AD5940">
        <w:rPr>
          <w:color w:val="000000"/>
        </w:rPr>
        <w:t>for</w:t>
      </w:r>
      <w:r w:rsidR="00DE0197">
        <w:rPr>
          <w:color w:val="000000"/>
        </w:rPr>
        <w:t xml:space="preserve"> the Gospels and the writings of the apostles. Here, too, the fictional</w:t>
      </w:r>
      <w:r w:rsidR="00AD5940">
        <w:rPr>
          <w:color w:val="000000"/>
        </w:rPr>
        <w:t xml:space="preserve"> elements</w:t>
      </w:r>
      <w:r w:rsidR="00DE0197">
        <w:rPr>
          <w:color w:val="000000"/>
        </w:rPr>
        <w:t xml:space="preserve"> </w:t>
      </w:r>
      <w:r w:rsidR="00AD5940">
        <w:rPr>
          <w:color w:val="000000"/>
        </w:rPr>
        <w:t xml:space="preserve">have </w:t>
      </w:r>
      <w:r w:rsidR="00DE0197">
        <w:rPr>
          <w:color w:val="000000"/>
        </w:rPr>
        <w:t>been mixed with the real</w:t>
      </w:r>
      <w:r w:rsidR="00AD5940">
        <w:rPr>
          <w:color w:val="000000"/>
        </w:rPr>
        <w:t xml:space="preserve"> ones</w:t>
      </w:r>
      <w:r w:rsidR="00DE0197">
        <w:rPr>
          <w:color w:val="000000"/>
        </w:rPr>
        <w:t xml:space="preserve">, </w:t>
      </w:r>
      <w:r w:rsidR="00DE64E7">
        <w:rPr>
          <w:color w:val="000000"/>
        </w:rPr>
        <w:t>for example, when</w:t>
      </w:r>
      <w:r w:rsidR="00E41756">
        <w:rPr>
          <w:color w:val="000000"/>
        </w:rPr>
        <w:t xml:space="preserve"> one reads in the Old Testament</w:t>
      </w:r>
    </w:p>
    <w:p w14:paraId="20F6F2DD" w14:textId="217847FE" w:rsidR="00E41756" w:rsidRPr="00E41756" w:rsidRDefault="00E41756" w:rsidP="0006057C">
      <w:pPr>
        <w:pStyle w:val="NormalWeb"/>
        <w:spacing w:before="0" w:beforeAutospacing="0" w:after="0" w:afterAutospacing="0"/>
        <w:ind w:left="708" w:firstLine="12"/>
        <w:jc w:val="both"/>
        <w:rPr>
          <w:color w:val="000000"/>
          <w:sz w:val="20"/>
          <w:szCs w:val="20"/>
        </w:rPr>
      </w:pPr>
      <w:r w:rsidRPr="00E41756">
        <w:rPr>
          <w:color w:val="000000"/>
          <w:sz w:val="20"/>
          <w:szCs w:val="20"/>
        </w:rPr>
        <w:t>‘</w:t>
      </w:r>
      <w:r w:rsidR="0006057C" w:rsidRPr="0006057C">
        <w:rPr>
          <w:color w:val="000000"/>
          <w:sz w:val="20"/>
          <w:szCs w:val="20"/>
        </w:rPr>
        <w:t>about the intercourse of Lot with his daughters, and about the two wives of Abraham, and the two sisters married to Jacob, and the two handmaids who bore him children</w:t>
      </w:r>
      <w:r w:rsidRPr="00E41756">
        <w:rPr>
          <w:color w:val="000000"/>
          <w:sz w:val="20"/>
          <w:szCs w:val="20"/>
        </w:rPr>
        <w:t>’</w:t>
      </w:r>
      <w:r w:rsidR="0006057C">
        <w:rPr>
          <w:rStyle w:val="FootnoteReference"/>
          <w:color w:val="000000"/>
          <w:sz w:val="20"/>
          <w:szCs w:val="20"/>
        </w:rPr>
        <w:footnoteReference w:id="41"/>
      </w:r>
    </w:p>
    <w:p w14:paraId="48922E77" w14:textId="77777777" w:rsidR="00DE64E7" w:rsidRDefault="00DE64E7" w:rsidP="00DE0197">
      <w:pPr>
        <w:pStyle w:val="NormalWeb"/>
        <w:spacing w:before="0" w:beforeAutospacing="0" w:after="0" w:afterAutospacing="0"/>
        <w:ind w:firstLine="720"/>
        <w:jc w:val="both"/>
        <w:rPr>
          <w:color w:val="000000"/>
        </w:rPr>
      </w:pPr>
    </w:p>
    <w:p w14:paraId="6B43FDB3" w14:textId="5836BB13" w:rsidR="00DE0197" w:rsidRDefault="00DE0197" w:rsidP="00DE0197">
      <w:pPr>
        <w:pStyle w:val="NormalWeb"/>
        <w:spacing w:before="0" w:beforeAutospacing="0" w:after="0" w:afterAutospacing="0"/>
        <w:ind w:firstLine="720"/>
        <w:jc w:val="both"/>
        <w:rPr>
          <w:color w:val="000000"/>
          <w:sz w:val="27"/>
          <w:szCs w:val="27"/>
        </w:rPr>
      </w:pPr>
      <w:r>
        <w:rPr>
          <w:color w:val="000000"/>
        </w:rPr>
        <w:t>or</w:t>
      </w:r>
      <w:r w:rsidR="00103A3F">
        <w:rPr>
          <w:color w:val="000000"/>
        </w:rPr>
        <w:t>, Origen adds,</w:t>
      </w:r>
      <w:r>
        <w:rPr>
          <w:color w:val="000000"/>
        </w:rPr>
        <w:t xml:space="preserve"> who</w:t>
      </w:r>
      <w:r w:rsidR="00AD5940">
        <w:rPr>
          <w:color w:val="000000"/>
        </w:rPr>
        <w:t xml:space="preserve"> </w:t>
      </w:r>
      <w:r>
        <w:rPr>
          <w:color w:val="000000"/>
        </w:rPr>
        <w:t xml:space="preserve">will accept it as a true </w:t>
      </w:r>
      <w:r w:rsidR="005D1CAE">
        <w:rPr>
          <w:color w:val="000000"/>
        </w:rPr>
        <w:t xml:space="preserve">story </w:t>
      </w:r>
      <w:r>
        <w:rPr>
          <w:color w:val="000000"/>
        </w:rPr>
        <w:t xml:space="preserve">when the Gospel </w:t>
      </w:r>
      <w:r w:rsidR="005D1CAE">
        <w:rPr>
          <w:color w:val="000000"/>
        </w:rPr>
        <w:t xml:space="preserve">says </w:t>
      </w:r>
      <w:r>
        <w:rPr>
          <w:color w:val="000000"/>
        </w:rPr>
        <w:t>that</w:t>
      </w:r>
    </w:p>
    <w:p w14:paraId="2A68A18F" w14:textId="5112FDA7" w:rsidR="00DE0197" w:rsidRDefault="001C0E30" w:rsidP="00DE0197">
      <w:pPr>
        <w:pStyle w:val="NormalWeb"/>
        <w:spacing w:before="120" w:beforeAutospacing="0" w:after="120" w:afterAutospacing="0"/>
        <w:ind w:left="567"/>
        <w:jc w:val="both"/>
        <w:rPr>
          <w:color w:val="000000"/>
          <w:sz w:val="27"/>
          <w:szCs w:val="27"/>
        </w:rPr>
      </w:pPr>
      <w:r>
        <w:rPr>
          <w:color w:val="000000"/>
          <w:sz w:val="20"/>
          <w:szCs w:val="20"/>
        </w:rPr>
        <w:t>‘</w:t>
      </w:r>
      <w:r w:rsidRPr="001C0E30">
        <w:rPr>
          <w:color w:val="000000"/>
          <w:sz w:val="20"/>
          <w:szCs w:val="20"/>
        </w:rPr>
        <w:t xml:space="preserve">the devil leading Jesus up into a high mountain, </w:t>
      </w:r>
      <w:proofErr w:type="gramStart"/>
      <w:r w:rsidRPr="001C0E30">
        <w:rPr>
          <w:color w:val="000000"/>
          <w:sz w:val="20"/>
          <w:szCs w:val="20"/>
        </w:rPr>
        <w:t>in order to</w:t>
      </w:r>
      <w:proofErr w:type="gramEnd"/>
      <w:r w:rsidRPr="001C0E30">
        <w:rPr>
          <w:color w:val="000000"/>
          <w:sz w:val="20"/>
          <w:szCs w:val="20"/>
        </w:rPr>
        <w:t xml:space="preserve"> show him from thence the kingdoms of the whole world, and the glory of them. For </w:t>
      </w:r>
      <w:proofErr w:type="gramStart"/>
      <w:r w:rsidRPr="001C0E30">
        <w:rPr>
          <w:color w:val="000000"/>
          <w:sz w:val="20"/>
          <w:szCs w:val="20"/>
        </w:rPr>
        <w:t>who</w:t>
      </w:r>
      <w:proofErr w:type="gramEnd"/>
      <w:r w:rsidRPr="001C0E30">
        <w:rPr>
          <w:color w:val="000000"/>
          <w:sz w:val="20"/>
          <w:szCs w:val="20"/>
        </w:rPr>
        <w:t xml:space="preserve"> is there among those who do not read such accounts carelessly, that would not condemn those who think that with the eye of the body</w:t>
      </w:r>
      <w:r w:rsidR="00AC655A">
        <w:rPr>
          <w:color w:val="000000"/>
          <w:sz w:val="20"/>
          <w:szCs w:val="20"/>
        </w:rPr>
        <w:t xml:space="preserve"> –</w:t>
      </w:r>
      <w:r w:rsidRPr="001C0E30">
        <w:rPr>
          <w:color w:val="000000"/>
          <w:sz w:val="20"/>
          <w:szCs w:val="20"/>
        </w:rPr>
        <w:t xml:space="preserve"> which requires a lofty height in order that the parts lying (immediately) under and adjacent may be seen</w:t>
      </w:r>
      <w:r w:rsidR="00AC655A">
        <w:rPr>
          <w:color w:val="000000"/>
          <w:sz w:val="20"/>
          <w:szCs w:val="20"/>
        </w:rPr>
        <w:t xml:space="preserve"> –</w:t>
      </w:r>
      <w:r w:rsidRPr="001C0E30">
        <w:rPr>
          <w:color w:val="000000"/>
          <w:sz w:val="20"/>
          <w:szCs w:val="20"/>
        </w:rPr>
        <w:t xml:space="preserve"> the kingdoms of the Persians, and Scythians, and Indians, and Parthians, were beheld, and the manner in which their princes are glorified among men? And the attentive reader may notice in the Gospels innumerable other passages like these, so that he will be convinced that in the histories that are literally recorded, circumstances that did not occur are inserted.</w:t>
      </w:r>
      <w:r>
        <w:rPr>
          <w:color w:val="000000"/>
          <w:sz w:val="20"/>
          <w:szCs w:val="20"/>
        </w:rPr>
        <w:t>’</w:t>
      </w:r>
      <w:bookmarkStart w:id="36" w:name="_ftnref61"/>
      <w:bookmarkEnd w:id="36"/>
      <w:r w:rsidR="00AC655A">
        <w:rPr>
          <w:rStyle w:val="FootnoteReference"/>
          <w:color w:val="000000"/>
          <w:sz w:val="20"/>
          <w:szCs w:val="20"/>
        </w:rPr>
        <w:footnoteReference w:id="42"/>
      </w:r>
      <w:r w:rsidR="00AC655A">
        <w:rPr>
          <w:color w:val="000000"/>
          <w:sz w:val="27"/>
          <w:szCs w:val="27"/>
        </w:rPr>
        <w:t xml:space="preserve"> </w:t>
      </w:r>
    </w:p>
    <w:p w14:paraId="7B9DC6FF" w14:textId="2674E256" w:rsidR="00162E13" w:rsidRDefault="00DE0197" w:rsidP="00DE0197">
      <w:pPr>
        <w:pStyle w:val="NormalWeb"/>
        <w:spacing w:before="0" w:beforeAutospacing="0" w:after="0" w:afterAutospacing="0"/>
        <w:jc w:val="both"/>
        <w:rPr>
          <w:color w:val="000000"/>
        </w:rPr>
      </w:pPr>
      <w:r>
        <w:rPr>
          <w:color w:val="000000"/>
        </w:rPr>
        <w:t xml:space="preserve">Origen does not want to deny every biblical and historical truth, but the basic task of man is to </w:t>
      </w:r>
      <w:r w:rsidR="00206394">
        <w:rPr>
          <w:color w:val="000000"/>
        </w:rPr>
        <w:t>‘</w:t>
      </w:r>
      <w:r>
        <w:rPr>
          <w:color w:val="000000"/>
        </w:rPr>
        <w:t>carefully examine what is true in terms of the letter and what is impossible</w:t>
      </w:r>
      <w:r w:rsidR="00206394">
        <w:rPr>
          <w:color w:val="000000"/>
        </w:rPr>
        <w:t>’</w:t>
      </w:r>
      <w:r>
        <w:rPr>
          <w:color w:val="000000"/>
        </w:rPr>
        <w:t>.</w:t>
      </w:r>
      <w:bookmarkStart w:id="37" w:name="_ftnref62"/>
      <w:bookmarkEnd w:id="37"/>
      <w:r w:rsidR="00206394">
        <w:rPr>
          <w:rStyle w:val="FootnoteReference"/>
          <w:color w:val="000000"/>
        </w:rPr>
        <w:footnoteReference w:id="43"/>
      </w:r>
      <w:r w:rsidR="00206394">
        <w:rPr>
          <w:color w:val="000000"/>
        </w:rPr>
        <w:t xml:space="preserve"> H</w:t>
      </w:r>
      <w:r>
        <w:rPr>
          <w:color w:val="000000"/>
        </w:rPr>
        <w:t xml:space="preserve">e is very personally in a sermon </w:t>
      </w:r>
      <w:r w:rsidR="003164F3">
        <w:rPr>
          <w:color w:val="000000"/>
        </w:rPr>
        <w:t xml:space="preserve">admitting </w:t>
      </w:r>
      <w:r>
        <w:rPr>
          <w:color w:val="000000"/>
        </w:rPr>
        <w:t xml:space="preserve">that </w:t>
      </w:r>
    </w:p>
    <w:p w14:paraId="6D1BBE5B" w14:textId="77777777" w:rsidR="00162E13" w:rsidRDefault="00162E13" w:rsidP="00DE0197">
      <w:pPr>
        <w:pStyle w:val="NormalWeb"/>
        <w:spacing w:before="0" w:beforeAutospacing="0" w:after="0" w:afterAutospacing="0"/>
        <w:jc w:val="both"/>
        <w:rPr>
          <w:color w:val="000000"/>
        </w:rPr>
      </w:pPr>
    </w:p>
    <w:p w14:paraId="0B0AA339" w14:textId="28050B51" w:rsidR="00DE0197" w:rsidRDefault="003164F3" w:rsidP="00162E13">
      <w:pPr>
        <w:pStyle w:val="NormalWeb"/>
        <w:spacing w:before="0" w:beforeAutospacing="0" w:after="0" w:afterAutospacing="0"/>
        <w:ind w:left="708"/>
        <w:jc w:val="both"/>
        <w:rPr>
          <w:color w:val="000000"/>
          <w:sz w:val="27"/>
          <w:szCs w:val="27"/>
        </w:rPr>
      </w:pPr>
      <w:r w:rsidRPr="00162E13">
        <w:rPr>
          <w:color w:val="000000"/>
          <w:sz w:val="20"/>
          <w:szCs w:val="20"/>
        </w:rPr>
        <w:t>‘</w:t>
      </w:r>
      <w:r w:rsidR="00DE0197" w:rsidRPr="00162E13">
        <w:rPr>
          <w:color w:val="000000"/>
          <w:sz w:val="20"/>
          <w:szCs w:val="20"/>
        </w:rPr>
        <w:t xml:space="preserve">sometimes when you read the </w:t>
      </w:r>
      <w:r w:rsidRPr="00162E13">
        <w:rPr>
          <w:color w:val="000000"/>
          <w:sz w:val="20"/>
          <w:szCs w:val="20"/>
        </w:rPr>
        <w:t>S</w:t>
      </w:r>
      <w:r w:rsidR="00DE0197" w:rsidRPr="00162E13">
        <w:rPr>
          <w:color w:val="000000"/>
          <w:sz w:val="20"/>
          <w:szCs w:val="20"/>
        </w:rPr>
        <w:t>cript</w:t>
      </w:r>
      <w:r w:rsidRPr="00162E13">
        <w:rPr>
          <w:color w:val="000000"/>
          <w:sz w:val="20"/>
          <w:szCs w:val="20"/>
        </w:rPr>
        <w:t>ure</w:t>
      </w:r>
      <w:r w:rsidR="00DE0197" w:rsidRPr="00162E13">
        <w:rPr>
          <w:color w:val="000000"/>
          <w:sz w:val="20"/>
          <w:szCs w:val="20"/>
        </w:rPr>
        <w:t xml:space="preserve"> and </w:t>
      </w:r>
      <w:r w:rsidR="00797D98" w:rsidRPr="00162E13">
        <w:rPr>
          <w:color w:val="000000"/>
          <w:sz w:val="20"/>
          <w:szCs w:val="20"/>
        </w:rPr>
        <w:t xml:space="preserve">search in it for </w:t>
      </w:r>
      <w:r w:rsidR="004C0581" w:rsidRPr="00162E13">
        <w:rPr>
          <w:color w:val="000000"/>
          <w:sz w:val="20"/>
          <w:szCs w:val="20"/>
        </w:rPr>
        <w:t>what a passage means</w:t>
      </w:r>
      <w:r w:rsidR="00DE0197" w:rsidRPr="00162E13">
        <w:rPr>
          <w:color w:val="000000"/>
          <w:sz w:val="20"/>
          <w:szCs w:val="20"/>
        </w:rPr>
        <w:t>, one </w:t>
      </w:r>
      <w:r w:rsidR="004C0581" w:rsidRPr="00162E13">
        <w:rPr>
          <w:color w:val="000000"/>
          <w:sz w:val="20"/>
          <w:szCs w:val="20"/>
        </w:rPr>
        <w:t xml:space="preserve">is overcome by </w:t>
      </w:r>
      <w:r w:rsidR="00DE0197" w:rsidRPr="00162E13">
        <w:rPr>
          <w:color w:val="000000"/>
          <w:sz w:val="20"/>
          <w:szCs w:val="20"/>
        </w:rPr>
        <w:t xml:space="preserve">a certain sadness, even </w:t>
      </w:r>
      <w:r w:rsidR="004C0581" w:rsidRPr="00162E13">
        <w:rPr>
          <w:color w:val="000000"/>
          <w:sz w:val="20"/>
          <w:szCs w:val="20"/>
        </w:rPr>
        <w:t xml:space="preserve">a </w:t>
      </w:r>
      <w:r w:rsidR="00DE0197" w:rsidRPr="00162E13">
        <w:rPr>
          <w:color w:val="000000"/>
          <w:sz w:val="20"/>
          <w:szCs w:val="20"/>
        </w:rPr>
        <w:t xml:space="preserve">pain, not because you think, </w:t>
      </w:r>
      <w:r w:rsidR="001A6F60" w:rsidRPr="00162E13">
        <w:rPr>
          <w:color w:val="000000"/>
          <w:sz w:val="20"/>
          <w:szCs w:val="20"/>
        </w:rPr>
        <w:t xml:space="preserve">the Scripture is </w:t>
      </w:r>
      <w:r w:rsidR="00DE0197" w:rsidRPr="00162E13">
        <w:rPr>
          <w:color w:val="000000"/>
          <w:sz w:val="20"/>
          <w:szCs w:val="20"/>
        </w:rPr>
        <w:t xml:space="preserve">mistaken or </w:t>
      </w:r>
      <w:r w:rsidR="001A6F60" w:rsidRPr="00162E13">
        <w:rPr>
          <w:color w:val="000000"/>
          <w:sz w:val="20"/>
          <w:szCs w:val="20"/>
        </w:rPr>
        <w:t xml:space="preserve">it </w:t>
      </w:r>
      <w:r w:rsidR="00DE0197" w:rsidRPr="00162E13">
        <w:rPr>
          <w:color w:val="000000"/>
          <w:sz w:val="20"/>
          <w:szCs w:val="20"/>
        </w:rPr>
        <w:t>contain</w:t>
      </w:r>
      <w:r w:rsidR="001A6F60" w:rsidRPr="00162E13">
        <w:rPr>
          <w:color w:val="000000"/>
          <w:sz w:val="20"/>
          <w:szCs w:val="20"/>
        </w:rPr>
        <w:t>s</w:t>
      </w:r>
      <w:r w:rsidR="00DE0197" w:rsidRPr="00162E13">
        <w:rPr>
          <w:color w:val="000000"/>
          <w:sz w:val="20"/>
          <w:szCs w:val="20"/>
        </w:rPr>
        <w:t xml:space="preserve"> something wrong, but because it contains an expression and an account of the truth in which one cannot see what is supposed to be true</w:t>
      </w:r>
      <w:r w:rsidR="00162E13" w:rsidRPr="00162E13">
        <w:rPr>
          <w:color w:val="000000"/>
          <w:sz w:val="20"/>
          <w:szCs w:val="20"/>
        </w:rPr>
        <w:t>’</w:t>
      </w:r>
      <w:r w:rsidR="00DE0197" w:rsidRPr="00162E13">
        <w:rPr>
          <w:color w:val="000000"/>
          <w:sz w:val="20"/>
          <w:szCs w:val="20"/>
        </w:rPr>
        <w:t>.</w:t>
      </w:r>
      <w:bookmarkStart w:id="38" w:name="_ftnref63"/>
      <w:bookmarkEnd w:id="38"/>
      <w:r w:rsidR="00162E13">
        <w:rPr>
          <w:rStyle w:val="FootnoteReference"/>
          <w:color w:val="000000"/>
          <w:sz w:val="20"/>
          <w:szCs w:val="20"/>
        </w:rPr>
        <w:footnoteReference w:id="44"/>
      </w:r>
      <w:r w:rsidR="00162E13">
        <w:rPr>
          <w:color w:val="000000"/>
          <w:sz w:val="27"/>
          <w:szCs w:val="27"/>
        </w:rPr>
        <w:t xml:space="preserve"> </w:t>
      </w:r>
    </w:p>
    <w:p w14:paraId="034FC63E" w14:textId="77777777" w:rsidR="00162E13" w:rsidRDefault="00162E13" w:rsidP="00162E13">
      <w:pPr>
        <w:pStyle w:val="NormalWeb"/>
        <w:spacing w:before="0" w:beforeAutospacing="0" w:after="0" w:afterAutospacing="0"/>
        <w:jc w:val="both"/>
        <w:rPr>
          <w:color w:val="000000"/>
        </w:rPr>
      </w:pPr>
    </w:p>
    <w:p w14:paraId="322484FE" w14:textId="211716D3" w:rsidR="00DE0197" w:rsidRDefault="007C76BB" w:rsidP="00162E13">
      <w:pPr>
        <w:pStyle w:val="NormalWeb"/>
        <w:spacing w:before="0" w:beforeAutospacing="0" w:after="0" w:afterAutospacing="0"/>
        <w:jc w:val="both"/>
        <w:rPr>
          <w:color w:val="000000"/>
          <w:sz w:val="27"/>
          <w:szCs w:val="27"/>
        </w:rPr>
      </w:pPr>
      <w:r>
        <w:rPr>
          <w:color w:val="000000"/>
        </w:rPr>
        <w:t xml:space="preserve">For our purpose it is </w:t>
      </w:r>
      <w:r w:rsidR="00DE0197">
        <w:rPr>
          <w:color w:val="000000"/>
        </w:rPr>
        <w:t xml:space="preserve">significant </w:t>
      </w:r>
      <w:r>
        <w:rPr>
          <w:color w:val="000000"/>
        </w:rPr>
        <w:t xml:space="preserve">to note </w:t>
      </w:r>
      <w:r w:rsidR="00DE0197">
        <w:rPr>
          <w:color w:val="000000"/>
        </w:rPr>
        <w:t xml:space="preserve">that </w:t>
      </w:r>
      <w:r>
        <w:rPr>
          <w:color w:val="000000"/>
        </w:rPr>
        <w:t xml:space="preserve">given the breadth of </w:t>
      </w:r>
      <w:r w:rsidR="00AD4AD8">
        <w:rPr>
          <w:color w:val="000000"/>
        </w:rPr>
        <w:t xml:space="preserve">topics that Origen is interested in and covers in his works, it is astonishing that he </w:t>
      </w:r>
      <w:r w:rsidR="00B203A8">
        <w:rPr>
          <w:color w:val="000000"/>
        </w:rPr>
        <w:t xml:space="preserve">almost entirely </w:t>
      </w:r>
      <w:r w:rsidR="00DE0197">
        <w:rPr>
          <w:color w:val="000000"/>
        </w:rPr>
        <w:t>spare</w:t>
      </w:r>
      <w:r w:rsidR="00B203A8">
        <w:rPr>
          <w:color w:val="000000"/>
        </w:rPr>
        <w:t>s</w:t>
      </w:r>
      <w:r w:rsidR="00DE0197">
        <w:rPr>
          <w:color w:val="000000"/>
        </w:rPr>
        <w:t xml:space="preserve"> the history of the origins of Christianity and </w:t>
      </w:r>
      <w:r w:rsidR="00B203A8">
        <w:rPr>
          <w:color w:val="000000"/>
        </w:rPr>
        <w:t xml:space="preserve">seems rather disinterested in </w:t>
      </w:r>
      <w:r w:rsidR="00DE0197">
        <w:rPr>
          <w:color w:val="000000"/>
        </w:rPr>
        <w:t>the further development of the church.</w:t>
      </w:r>
      <w:bookmarkStart w:id="39" w:name="_ftnref64"/>
      <w:bookmarkEnd w:id="39"/>
      <w:r w:rsidR="00B203A8">
        <w:rPr>
          <w:rStyle w:val="FootnoteReference"/>
          <w:color w:val="000000"/>
        </w:rPr>
        <w:footnoteReference w:id="45"/>
      </w:r>
      <w:r w:rsidR="00B203A8">
        <w:rPr>
          <w:color w:val="000000"/>
        </w:rPr>
        <w:t xml:space="preserve"> </w:t>
      </w:r>
      <w:r w:rsidR="008F2A31">
        <w:rPr>
          <w:color w:val="000000"/>
        </w:rPr>
        <w:t>T</w:t>
      </w:r>
      <w:r w:rsidR="00DE0197">
        <w:rPr>
          <w:color w:val="000000"/>
        </w:rPr>
        <w:t>he widespread dissemination of the preaching of the gospel</w:t>
      </w:r>
      <w:r w:rsidR="008F2A31">
        <w:rPr>
          <w:color w:val="000000"/>
        </w:rPr>
        <w:t xml:space="preserve"> seems to have been </w:t>
      </w:r>
      <w:r w:rsidR="008F2A31">
        <w:rPr>
          <w:color w:val="000000"/>
        </w:rPr>
        <w:lastRenderedPageBreak/>
        <w:t>proof enough for him</w:t>
      </w:r>
      <w:r w:rsidR="00DE0197">
        <w:rPr>
          <w:color w:val="000000"/>
        </w:rPr>
        <w:t xml:space="preserve"> </w:t>
      </w:r>
      <w:r w:rsidR="00F51279">
        <w:rPr>
          <w:color w:val="000000"/>
        </w:rPr>
        <w:t xml:space="preserve">for </w:t>
      </w:r>
      <w:r w:rsidR="00DE0197">
        <w:rPr>
          <w:color w:val="000000"/>
        </w:rPr>
        <w:t xml:space="preserve">the divinity of both Scripture and of </w:t>
      </w:r>
      <w:r w:rsidR="00F51279">
        <w:rPr>
          <w:color w:val="000000"/>
        </w:rPr>
        <w:t>whom Scriptures testifies</w:t>
      </w:r>
      <w:r w:rsidR="00DE0197">
        <w:rPr>
          <w:color w:val="000000"/>
        </w:rPr>
        <w:t xml:space="preserve">. All further historiography seems to fall under the same verdict of Origen that he </w:t>
      </w:r>
      <w:r w:rsidR="00F51279">
        <w:rPr>
          <w:color w:val="000000"/>
        </w:rPr>
        <w:t xml:space="preserve">cast </w:t>
      </w:r>
      <w:r w:rsidR="00DE0197">
        <w:rPr>
          <w:color w:val="000000"/>
        </w:rPr>
        <w:t xml:space="preserve">on the contents of </w:t>
      </w:r>
      <w:r w:rsidR="00F51279">
        <w:rPr>
          <w:color w:val="000000"/>
        </w:rPr>
        <w:t>S</w:t>
      </w:r>
      <w:r w:rsidR="00DE0197">
        <w:rPr>
          <w:color w:val="000000"/>
        </w:rPr>
        <w:t xml:space="preserve">criptures: </w:t>
      </w:r>
      <w:r w:rsidR="00F51279">
        <w:rPr>
          <w:color w:val="000000"/>
        </w:rPr>
        <w:t>‘</w:t>
      </w:r>
      <w:r w:rsidR="00DE0197">
        <w:rPr>
          <w:color w:val="000000"/>
        </w:rPr>
        <w:t xml:space="preserve">The explanation of all that is said in the </w:t>
      </w:r>
      <w:r w:rsidR="00F84F37">
        <w:rPr>
          <w:color w:val="000000"/>
        </w:rPr>
        <w:t>S</w:t>
      </w:r>
      <w:r w:rsidR="00DE0197">
        <w:rPr>
          <w:color w:val="000000"/>
        </w:rPr>
        <w:t xml:space="preserve">cripture, and </w:t>
      </w:r>
      <w:r w:rsidR="00F84F37">
        <w:rPr>
          <w:color w:val="000000"/>
        </w:rPr>
        <w:t>w</w:t>
      </w:r>
      <w:r w:rsidR="00DE0197">
        <w:rPr>
          <w:color w:val="000000"/>
        </w:rPr>
        <w:t xml:space="preserve">hat </w:t>
      </w:r>
      <w:r w:rsidR="00F84F37">
        <w:rPr>
          <w:color w:val="000000"/>
        </w:rPr>
        <w:t xml:space="preserve">is being mentioned of </w:t>
      </w:r>
      <w:r w:rsidR="00DE0197">
        <w:rPr>
          <w:color w:val="000000"/>
        </w:rPr>
        <w:t xml:space="preserve">the deeds </w:t>
      </w:r>
      <w:r w:rsidR="00F84F37">
        <w:rPr>
          <w:color w:val="000000"/>
        </w:rPr>
        <w:t>in these</w:t>
      </w:r>
      <w:r w:rsidR="00DE0197">
        <w:rPr>
          <w:color w:val="000000"/>
        </w:rPr>
        <w:t xml:space="preserve">, is to </w:t>
      </w:r>
      <w:r w:rsidR="007102A4">
        <w:rPr>
          <w:color w:val="000000"/>
        </w:rPr>
        <w:t xml:space="preserve">serve </w:t>
      </w:r>
      <w:r w:rsidR="00DE0197">
        <w:rPr>
          <w:color w:val="000000"/>
        </w:rPr>
        <w:t>the Holy Spirit and t</w:t>
      </w:r>
      <w:r w:rsidR="007102A4">
        <w:rPr>
          <w:color w:val="000000"/>
        </w:rPr>
        <w:t>he</w:t>
      </w:r>
      <w:r w:rsidR="00DE0197">
        <w:rPr>
          <w:color w:val="000000"/>
        </w:rPr>
        <w:t xml:space="preserve"> faith </w:t>
      </w:r>
      <w:r w:rsidR="007102A4">
        <w:rPr>
          <w:color w:val="000000"/>
        </w:rPr>
        <w:t xml:space="preserve">in </w:t>
      </w:r>
      <w:r w:rsidR="00DE0197">
        <w:rPr>
          <w:color w:val="000000"/>
        </w:rPr>
        <w:t>Christ, to which we believers are called</w:t>
      </w:r>
      <w:r w:rsidR="007102A4">
        <w:rPr>
          <w:color w:val="000000"/>
        </w:rPr>
        <w:t>’</w:t>
      </w:r>
      <w:r w:rsidR="00DE0197">
        <w:rPr>
          <w:color w:val="000000"/>
        </w:rPr>
        <w:t>.</w:t>
      </w:r>
      <w:bookmarkStart w:id="40" w:name="_ftnref65"/>
      <w:bookmarkEnd w:id="40"/>
      <w:r w:rsidR="007102A4">
        <w:rPr>
          <w:rStyle w:val="FootnoteReference"/>
          <w:color w:val="000000"/>
        </w:rPr>
        <w:footnoteReference w:id="46"/>
      </w:r>
      <w:r w:rsidR="007102A4">
        <w:rPr>
          <w:color w:val="000000"/>
        </w:rPr>
        <w:t xml:space="preserve"> </w:t>
      </w:r>
      <w:r w:rsidR="00DE0197">
        <w:rPr>
          <w:color w:val="000000"/>
        </w:rPr>
        <w:t xml:space="preserve">Accordingly, he </w:t>
      </w:r>
      <w:r w:rsidR="006C6444">
        <w:rPr>
          <w:color w:val="000000"/>
        </w:rPr>
        <w:t xml:space="preserve">critically questions </w:t>
      </w:r>
      <w:r w:rsidR="00DE0197">
        <w:rPr>
          <w:color w:val="000000"/>
        </w:rPr>
        <w:t>Luke</w:t>
      </w:r>
      <w:r w:rsidR="006C6444">
        <w:rPr>
          <w:color w:val="000000"/>
        </w:rPr>
        <w:t xml:space="preserve"> about the information that he gives in </w:t>
      </w:r>
      <w:r w:rsidR="006C6444">
        <w:rPr>
          <w:i/>
          <w:color w:val="000000"/>
        </w:rPr>
        <w:t xml:space="preserve">Lk. </w:t>
      </w:r>
      <w:r w:rsidR="006C6444">
        <w:rPr>
          <w:color w:val="000000"/>
        </w:rPr>
        <w:t>2:4:</w:t>
      </w:r>
      <w:r w:rsidR="00DE0197">
        <w:rPr>
          <w:color w:val="000000"/>
        </w:rPr>
        <w:t xml:space="preserve"> </w:t>
      </w:r>
      <w:r w:rsidR="006C6444">
        <w:rPr>
          <w:color w:val="000000"/>
        </w:rPr>
        <w:t>‘I</w:t>
      </w:r>
      <w:r w:rsidR="00DE0197">
        <w:rPr>
          <w:color w:val="000000"/>
        </w:rPr>
        <w:t>t happened in those days when an edict was issued by Emperor Augustus to register the whole world</w:t>
      </w:r>
      <w:r w:rsidR="00B2399C">
        <w:rPr>
          <w:color w:val="000000"/>
        </w:rPr>
        <w:t>’ stating:</w:t>
      </w:r>
      <w:r w:rsidR="00DE0197">
        <w:rPr>
          <w:color w:val="000000"/>
        </w:rPr>
        <w:t xml:space="preserve"> </w:t>
      </w:r>
      <w:r w:rsidR="00B2399C">
        <w:rPr>
          <w:color w:val="000000"/>
        </w:rPr>
        <w:t>‘</w:t>
      </w:r>
      <w:r w:rsidR="00DE0197">
        <w:rPr>
          <w:color w:val="000000"/>
        </w:rPr>
        <w:t xml:space="preserve">Evangelist, what help is this report supposed to </w:t>
      </w:r>
      <w:r w:rsidR="00B2399C">
        <w:rPr>
          <w:color w:val="000000"/>
        </w:rPr>
        <w:t xml:space="preserve">offer </w:t>
      </w:r>
      <w:r w:rsidR="00DE0197">
        <w:rPr>
          <w:color w:val="000000"/>
        </w:rPr>
        <w:t>me?</w:t>
      </w:r>
      <w:bookmarkStart w:id="41" w:name="_ftnref66"/>
      <w:bookmarkEnd w:id="41"/>
      <w:r w:rsidR="00B2399C">
        <w:rPr>
          <w:color w:val="000000"/>
        </w:rPr>
        <w:t>’</w:t>
      </w:r>
      <w:r w:rsidR="00B2399C">
        <w:rPr>
          <w:rStyle w:val="FootnoteReference"/>
          <w:color w:val="000000"/>
        </w:rPr>
        <w:footnoteReference w:id="47"/>
      </w:r>
      <w:r w:rsidR="00B2399C">
        <w:rPr>
          <w:color w:val="000000"/>
          <w:sz w:val="27"/>
          <w:szCs w:val="27"/>
        </w:rPr>
        <w:t xml:space="preserve"> </w:t>
      </w:r>
    </w:p>
    <w:p w14:paraId="3E0EE275" w14:textId="1F3BCE19" w:rsidR="00DE0197" w:rsidRDefault="000666AC" w:rsidP="00DE0197">
      <w:pPr>
        <w:pStyle w:val="NormalWeb"/>
        <w:spacing w:before="0" w:beforeAutospacing="0" w:after="0" w:afterAutospacing="0"/>
        <w:ind w:firstLine="720"/>
        <w:jc w:val="both"/>
        <w:rPr>
          <w:color w:val="000000"/>
          <w:sz w:val="27"/>
          <w:szCs w:val="27"/>
        </w:rPr>
      </w:pPr>
      <w:r>
        <w:rPr>
          <w:color w:val="000000"/>
        </w:rPr>
        <w:t xml:space="preserve">With regards his criticism of reading the </w:t>
      </w:r>
      <w:r w:rsidR="003D52E3">
        <w:rPr>
          <w:color w:val="000000"/>
        </w:rPr>
        <w:t xml:space="preserve">Scriptures as historiographical writings, </w:t>
      </w:r>
      <w:r w:rsidR="00DE0197">
        <w:rPr>
          <w:color w:val="000000"/>
        </w:rPr>
        <w:t xml:space="preserve">Origen </w:t>
      </w:r>
      <w:r w:rsidR="003D52E3">
        <w:rPr>
          <w:color w:val="000000"/>
        </w:rPr>
        <w:t xml:space="preserve">seems to be a </w:t>
      </w:r>
      <w:r w:rsidR="00DE0197">
        <w:rPr>
          <w:color w:val="000000"/>
        </w:rPr>
        <w:t>prime example, but he is representative of many early Christians who</w:t>
      </w:r>
    </w:p>
    <w:p w14:paraId="5C1288B4" w14:textId="1C972F2B" w:rsidR="00DE0197" w:rsidRDefault="00C603F6" w:rsidP="00DE0197">
      <w:pPr>
        <w:pStyle w:val="NormalWeb"/>
        <w:spacing w:before="120" w:beforeAutospacing="0" w:after="120" w:afterAutospacing="0"/>
        <w:ind w:left="567"/>
        <w:jc w:val="both"/>
        <w:rPr>
          <w:color w:val="000000"/>
          <w:sz w:val="27"/>
          <w:szCs w:val="27"/>
        </w:rPr>
      </w:pPr>
      <w:r>
        <w:rPr>
          <w:color w:val="000000"/>
          <w:sz w:val="20"/>
          <w:szCs w:val="20"/>
        </w:rPr>
        <w:t>‘</w:t>
      </w:r>
      <w:r w:rsidRPr="00C603F6">
        <w:rPr>
          <w:color w:val="000000"/>
          <w:sz w:val="20"/>
          <w:szCs w:val="20"/>
        </w:rPr>
        <w:t>were not interested in objectively reconstructing the life and thought of earlier communities of Christians (and Jews). Their sole concern was to make Scripture immediately relevant to the lives of their congregations, and they did so by collapsing the distinction between text and interpretive community that is so sacrosanct in modern biblical scholarship</w:t>
      </w:r>
      <w:r>
        <w:rPr>
          <w:color w:val="000000"/>
          <w:sz w:val="20"/>
          <w:szCs w:val="20"/>
        </w:rPr>
        <w:t>’</w:t>
      </w:r>
      <w:r w:rsidR="00DE0197">
        <w:rPr>
          <w:color w:val="000000"/>
          <w:sz w:val="20"/>
          <w:szCs w:val="20"/>
        </w:rPr>
        <w:t>.</w:t>
      </w:r>
      <w:bookmarkStart w:id="42" w:name="_ftnref67"/>
      <w:bookmarkEnd w:id="42"/>
      <w:r>
        <w:rPr>
          <w:rStyle w:val="FootnoteReference"/>
          <w:color w:val="000000"/>
          <w:sz w:val="20"/>
          <w:szCs w:val="20"/>
        </w:rPr>
        <w:footnoteReference w:id="48"/>
      </w:r>
      <w:r>
        <w:rPr>
          <w:color w:val="000000"/>
          <w:sz w:val="27"/>
          <w:szCs w:val="27"/>
        </w:rPr>
        <w:t xml:space="preserve"> </w:t>
      </w:r>
    </w:p>
    <w:p w14:paraId="4E13584D" w14:textId="4FCC0A04" w:rsidR="00DE0197" w:rsidRDefault="00DE0197" w:rsidP="00DE0197">
      <w:pPr>
        <w:pStyle w:val="NormalWeb"/>
        <w:spacing w:before="0" w:beforeAutospacing="0" w:after="0" w:afterAutospacing="0"/>
        <w:jc w:val="both"/>
        <w:rPr>
          <w:color w:val="000000"/>
          <w:sz w:val="27"/>
          <w:szCs w:val="27"/>
        </w:rPr>
      </w:pPr>
      <w:r>
        <w:rPr>
          <w:color w:val="000000"/>
        </w:rPr>
        <w:t xml:space="preserve">It would therefore not be surprising if </w:t>
      </w:r>
      <w:r w:rsidR="00307258">
        <w:rPr>
          <w:color w:val="000000"/>
        </w:rPr>
        <w:t>Origen</w:t>
      </w:r>
      <w:r>
        <w:rPr>
          <w:color w:val="000000"/>
        </w:rPr>
        <w:t xml:space="preserve"> had also interpreted this </w:t>
      </w:r>
      <w:r w:rsidR="00307258">
        <w:rPr>
          <w:color w:val="000000"/>
        </w:rPr>
        <w:t>S</w:t>
      </w:r>
      <w:r>
        <w:rPr>
          <w:color w:val="000000"/>
        </w:rPr>
        <w:t xml:space="preserve">cripture spiritually in his </w:t>
      </w:r>
      <w:r w:rsidR="00307258" w:rsidRPr="00307258">
        <w:rPr>
          <w:i/>
          <w:color w:val="000000"/>
        </w:rPr>
        <w:t>H</w:t>
      </w:r>
      <w:r w:rsidRPr="00307258">
        <w:rPr>
          <w:i/>
          <w:color w:val="000000"/>
        </w:rPr>
        <w:t>omilies to the Acts of the Apostles</w:t>
      </w:r>
      <w:r>
        <w:rPr>
          <w:color w:val="000000"/>
        </w:rPr>
        <w:t>, as indicated by the only fragment that has survived from this work.</w:t>
      </w:r>
      <w:bookmarkStart w:id="43" w:name="_ftnref68"/>
      <w:bookmarkEnd w:id="43"/>
      <w:r w:rsidR="00307258">
        <w:rPr>
          <w:rStyle w:val="FootnoteReference"/>
          <w:color w:val="000000"/>
        </w:rPr>
        <w:footnoteReference w:id="49"/>
      </w:r>
      <w:r w:rsidR="00307258">
        <w:rPr>
          <w:color w:val="000000"/>
        </w:rPr>
        <w:t xml:space="preserve"> </w:t>
      </w:r>
      <w:r>
        <w:rPr>
          <w:color w:val="000000"/>
        </w:rPr>
        <w:t>Further interpretations of the </w:t>
      </w:r>
      <w:r w:rsidRPr="00307258">
        <w:rPr>
          <w:i/>
          <w:color w:val="000000"/>
        </w:rPr>
        <w:t>Acts of the Apostles</w:t>
      </w:r>
      <w:r>
        <w:rPr>
          <w:color w:val="000000"/>
        </w:rPr>
        <w:t> can only be found in the late </w:t>
      </w:r>
      <w:r w:rsidR="000521F8">
        <w:rPr>
          <w:color w:val="000000"/>
        </w:rPr>
        <w:t xml:space="preserve">third </w:t>
      </w:r>
      <w:r>
        <w:rPr>
          <w:color w:val="000000"/>
        </w:rPr>
        <w:t>and finally in the </w:t>
      </w:r>
      <w:r w:rsidR="000521F8">
        <w:rPr>
          <w:color w:val="000000"/>
        </w:rPr>
        <w:t xml:space="preserve">fourth </w:t>
      </w:r>
      <w:r>
        <w:rPr>
          <w:color w:val="000000"/>
        </w:rPr>
        <w:t>century, written by Euseb</w:t>
      </w:r>
      <w:r w:rsidR="000521F8">
        <w:rPr>
          <w:color w:val="000000"/>
        </w:rPr>
        <w:t>ius’</w:t>
      </w:r>
      <w:r>
        <w:rPr>
          <w:color w:val="000000"/>
        </w:rPr>
        <w:t xml:space="preserve">s teacher </w:t>
      </w:r>
      <w:proofErr w:type="spellStart"/>
      <w:r>
        <w:rPr>
          <w:color w:val="000000"/>
        </w:rPr>
        <w:t>Pamphilus</w:t>
      </w:r>
      <w:proofErr w:type="spellEnd"/>
      <w:r>
        <w:rPr>
          <w:color w:val="000000"/>
        </w:rPr>
        <w:t xml:space="preserve"> of Caesarea,</w:t>
      </w:r>
      <w:r w:rsidR="000521F8">
        <w:rPr>
          <w:rStyle w:val="FootnoteReference"/>
          <w:color w:val="000000"/>
        </w:rPr>
        <w:footnoteReference w:id="50"/>
      </w:r>
      <w:r>
        <w:rPr>
          <w:i/>
          <w:iCs/>
          <w:color w:val="000000"/>
        </w:rPr>
        <w:t> </w:t>
      </w:r>
      <w:bookmarkStart w:id="44" w:name="_ftnref69"/>
      <w:bookmarkEnd w:id="44"/>
      <w:r w:rsidR="000521F8">
        <w:rPr>
          <w:color w:val="000000"/>
        </w:rPr>
        <w:t xml:space="preserve"> </w:t>
      </w:r>
      <w:r>
        <w:rPr>
          <w:color w:val="000000"/>
        </w:rPr>
        <w:t xml:space="preserve">Eusebius of </w:t>
      </w:r>
      <w:proofErr w:type="spellStart"/>
      <w:r>
        <w:rPr>
          <w:color w:val="000000"/>
        </w:rPr>
        <w:t>Emesa</w:t>
      </w:r>
      <w:proofErr w:type="spellEnd"/>
      <w:r>
        <w:rPr>
          <w:color w:val="000000"/>
        </w:rPr>
        <w:t>,</w:t>
      </w:r>
      <w:bookmarkStart w:id="45" w:name="_ftnref70"/>
      <w:bookmarkEnd w:id="45"/>
      <w:r w:rsidR="00054028">
        <w:rPr>
          <w:rStyle w:val="FootnoteReference"/>
          <w:color w:val="000000"/>
        </w:rPr>
        <w:footnoteReference w:id="51"/>
      </w:r>
      <w:r w:rsidR="00054028">
        <w:rPr>
          <w:color w:val="000000"/>
        </w:rPr>
        <w:t xml:space="preserve"> </w:t>
      </w:r>
      <w:r>
        <w:rPr>
          <w:color w:val="000000"/>
        </w:rPr>
        <w:t>Ephrem the Syrian</w:t>
      </w:r>
      <w:bookmarkStart w:id="46" w:name="_ftnref71"/>
      <w:bookmarkEnd w:id="46"/>
      <w:r w:rsidR="00054028">
        <w:rPr>
          <w:rStyle w:val="FootnoteReference"/>
          <w:color w:val="000000"/>
        </w:rPr>
        <w:footnoteReference w:id="52"/>
      </w:r>
      <w:r w:rsidR="00054028">
        <w:rPr>
          <w:color w:val="000000"/>
          <w:sz w:val="27"/>
          <w:szCs w:val="27"/>
        </w:rPr>
        <w:t xml:space="preserve"> </w:t>
      </w:r>
      <w:r>
        <w:rPr>
          <w:color w:val="000000"/>
        </w:rPr>
        <w:t>and John Chrysostom.</w:t>
      </w:r>
      <w:bookmarkStart w:id="47" w:name="_ftnref72"/>
      <w:bookmarkEnd w:id="47"/>
      <w:r w:rsidR="009C3DC9">
        <w:rPr>
          <w:rStyle w:val="FootnoteReference"/>
          <w:color w:val="000000"/>
        </w:rPr>
        <w:footnoteReference w:id="53"/>
      </w:r>
      <w:r w:rsidR="001438BF">
        <w:rPr>
          <w:color w:val="000000"/>
        </w:rPr>
        <w:t xml:space="preserve"> </w:t>
      </w:r>
      <w:r>
        <w:rPr>
          <w:color w:val="000000"/>
        </w:rPr>
        <w:t>While Ephrem</w:t>
      </w:r>
      <w:r w:rsidR="00245C6E">
        <w:rPr>
          <w:color w:val="000000"/>
        </w:rPr>
        <w:t>’</w:t>
      </w:r>
      <w:r>
        <w:rPr>
          <w:color w:val="000000"/>
        </w:rPr>
        <w:t xml:space="preserve">s text, which has only been preserved in Armenian translation, contains a number of </w:t>
      </w:r>
      <w:r>
        <w:rPr>
          <w:color w:val="000000"/>
        </w:rPr>
        <w:lastRenderedPageBreak/>
        <w:t xml:space="preserve">his own views on the early history of Christianity, which are discussed below on certain topics, Chrysostom complains at the opening of his sermon on this work that his audience does </w:t>
      </w:r>
      <w:r w:rsidR="004B2FA1">
        <w:rPr>
          <w:color w:val="000000"/>
        </w:rPr>
        <w:t xml:space="preserve">not </w:t>
      </w:r>
      <w:r>
        <w:rPr>
          <w:color w:val="000000"/>
        </w:rPr>
        <w:t xml:space="preserve">even know </w:t>
      </w:r>
      <w:r w:rsidR="004B2FA1">
        <w:rPr>
          <w:color w:val="000000"/>
        </w:rPr>
        <w:t>this book of the New Testament</w:t>
      </w:r>
      <w:r>
        <w:rPr>
          <w:color w:val="000000"/>
        </w:rPr>
        <w:t xml:space="preserve">, let alone </w:t>
      </w:r>
      <w:r w:rsidR="004B2FA1">
        <w:rPr>
          <w:color w:val="000000"/>
        </w:rPr>
        <w:t>that it is familiar with its</w:t>
      </w:r>
      <w:r>
        <w:rPr>
          <w:color w:val="000000"/>
        </w:rPr>
        <w:t xml:space="preserve"> content or</w:t>
      </w:r>
      <w:r w:rsidR="004B2FA1">
        <w:rPr>
          <w:color w:val="000000"/>
        </w:rPr>
        <w:t xml:space="preserve"> its author</w:t>
      </w:r>
      <w:r>
        <w:rPr>
          <w:color w:val="000000"/>
        </w:rPr>
        <w:t>,</w:t>
      </w:r>
      <w:bookmarkStart w:id="48" w:name="_ftnref73"/>
      <w:bookmarkEnd w:id="48"/>
      <w:r w:rsidR="004B2FA1">
        <w:rPr>
          <w:rStyle w:val="FootnoteReference"/>
          <w:color w:val="000000"/>
        </w:rPr>
        <w:footnoteReference w:id="54"/>
      </w:r>
      <w:r w:rsidR="004B2FA1">
        <w:rPr>
          <w:color w:val="000000"/>
        </w:rPr>
        <w:t xml:space="preserve"> </w:t>
      </w:r>
      <w:r w:rsidR="0046051B">
        <w:rPr>
          <w:color w:val="000000"/>
        </w:rPr>
        <w:t xml:space="preserve">and </w:t>
      </w:r>
      <w:r>
        <w:rPr>
          <w:color w:val="000000"/>
        </w:rPr>
        <w:t>precisely for th</w:t>
      </w:r>
      <w:r w:rsidR="0046051B">
        <w:rPr>
          <w:color w:val="000000"/>
        </w:rPr>
        <w:t>ese</w:t>
      </w:r>
      <w:r>
        <w:rPr>
          <w:color w:val="000000"/>
        </w:rPr>
        <w:t xml:space="preserve"> reason</w:t>
      </w:r>
      <w:r w:rsidR="0046051B">
        <w:rPr>
          <w:color w:val="000000"/>
        </w:rPr>
        <w:t>s,</w:t>
      </w:r>
      <w:r>
        <w:rPr>
          <w:color w:val="000000"/>
        </w:rPr>
        <w:t xml:space="preserve"> he </w:t>
      </w:r>
      <w:r w:rsidR="0046051B">
        <w:rPr>
          <w:color w:val="000000"/>
        </w:rPr>
        <w:t xml:space="preserve">has decided </w:t>
      </w:r>
      <w:r>
        <w:rPr>
          <w:color w:val="000000"/>
        </w:rPr>
        <w:t xml:space="preserve">to present </w:t>
      </w:r>
      <w:r w:rsidR="0046051B">
        <w:rPr>
          <w:color w:val="000000"/>
        </w:rPr>
        <w:t xml:space="preserve">the </w:t>
      </w:r>
      <w:r w:rsidR="0046051B">
        <w:rPr>
          <w:i/>
          <w:color w:val="000000"/>
        </w:rPr>
        <w:t>Book of Acts</w:t>
      </w:r>
      <w:r>
        <w:rPr>
          <w:color w:val="000000"/>
        </w:rPr>
        <w:t xml:space="preserve"> in detail and - following Origen </w:t>
      </w:r>
      <w:r w:rsidR="0046051B">
        <w:rPr>
          <w:color w:val="000000"/>
        </w:rPr>
        <w:t>–</w:t>
      </w:r>
      <w:r>
        <w:rPr>
          <w:color w:val="000000"/>
        </w:rPr>
        <w:t xml:space="preserve"> </w:t>
      </w:r>
      <w:r w:rsidR="0046051B">
        <w:rPr>
          <w:color w:val="000000"/>
        </w:rPr>
        <w:t xml:space="preserve">to </w:t>
      </w:r>
      <w:r>
        <w:rPr>
          <w:color w:val="000000"/>
        </w:rPr>
        <w:t xml:space="preserve">show </w:t>
      </w:r>
      <w:r w:rsidR="00EE7C9C">
        <w:rPr>
          <w:color w:val="000000"/>
        </w:rPr>
        <w:t xml:space="preserve">that all that </w:t>
      </w:r>
      <w:r>
        <w:rPr>
          <w:color w:val="000000"/>
        </w:rPr>
        <w:t xml:space="preserve">Christ had foretold in the </w:t>
      </w:r>
      <w:r w:rsidR="00EE7C9C">
        <w:rPr>
          <w:color w:val="000000"/>
        </w:rPr>
        <w:t>G</w:t>
      </w:r>
      <w:r>
        <w:rPr>
          <w:color w:val="000000"/>
        </w:rPr>
        <w:t xml:space="preserve">ospel was realized in the history of the early church, both the promised persecutions and the success of the sermon </w:t>
      </w:r>
      <w:r w:rsidR="00EE7C9C">
        <w:rPr>
          <w:color w:val="000000"/>
        </w:rPr>
        <w:t>‘</w:t>
      </w:r>
      <w:r>
        <w:rPr>
          <w:color w:val="000000"/>
        </w:rPr>
        <w:t xml:space="preserve">in the </w:t>
      </w:r>
      <w:r w:rsidR="00EE7C9C">
        <w:rPr>
          <w:color w:val="000000"/>
        </w:rPr>
        <w:t xml:space="preserve">entire </w:t>
      </w:r>
      <w:r>
        <w:rPr>
          <w:color w:val="000000"/>
        </w:rPr>
        <w:t>world</w:t>
      </w:r>
      <w:r w:rsidR="00EE7C9C">
        <w:rPr>
          <w:color w:val="000000"/>
        </w:rPr>
        <w:t>’</w:t>
      </w:r>
      <w:r>
        <w:rPr>
          <w:color w:val="000000"/>
        </w:rPr>
        <w:t>.</w:t>
      </w:r>
      <w:bookmarkStart w:id="49" w:name="_ftnref74"/>
      <w:bookmarkEnd w:id="49"/>
      <w:r w:rsidR="00EE7C9C">
        <w:rPr>
          <w:rStyle w:val="FootnoteReference"/>
          <w:color w:val="000000"/>
        </w:rPr>
        <w:footnoteReference w:id="55"/>
      </w:r>
      <w:r w:rsidR="00EE7C9C">
        <w:rPr>
          <w:color w:val="000000"/>
          <w:sz w:val="27"/>
          <w:szCs w:val="27"/>
        </w:rPr>
        <w:t xml:space="preserve"> </w:t>
      </w:r>
    </w:p>
    <w:p w14:paraId="4B717DAC" w14:textId="77777777" w:rsidR="001C566A" w:rsidRDefault="00DE0197" w:rsidP="00DE0197">
      <w:pPr>
        <w:pStyle w:val="NormalWeb"/>
        <w:spacing w:before="0" w:beforeAutospacing="0" w:after="0" w:afterAutospacing="0"/>
        <w:ind w:firstLine="720"/>
        <w:jc w:val="both"/>
        <w:rPr>
          <w:color w:val="000000"/>
        </w:rPr>
      </w:pPr>
      <w:r>
        <w:rPr>
          <w:color w:val="000000"/>
        </w:rPr>
        <w:t>Indeed, </w:t>
      </w:r>
      <w:r w:rsidR="00661F93">
        <w:rPr>
          <w:color w:val="000000"/>
        </w:rPr>
        <w:t xml:space="preserve">the </w:t>
      </w:r>
      <w:r w:rsidRPr="00661F93">
        <w:rPr>
          <w:i/>
          <w:color w:val="000000"/>
        </w:rPr>
        <w:t>Acts of the Apostles</w:t>
      </w:r>
      <w:r>
        <w:rPr>
          <w:color w:val="000000"/>
        </w:rPr>
        <w:t xml:space="preserve"> appear to have been a </w:t>
      </w:r>
      <w:r w:rsidR="00661F93">
        <w:rPr>
          <w:color w:val="000000"/>
        </w:rPr>
        <w:t>rarely</w:t>
      </w:r>
      <w:r>
        <w:rPr>
          <w:color w:val="000000"/>
        </w:rPr>
        <w:t xml:space="preserve"> read work in the early days of Christianity.</w:t>
      </w:r>
      <w:bookmarkStart w:id="50" w:name="_ftnref75"/>
      <w:bookmarkEnd w:id="50"/>
      <w:r w:rsidR="009319CB">
        <w:rPr>
          <w:rStyle w:val="FootnoteReference"/>
          <w:color w:val="000000"/>
        </w:rPr>
        <w:footnoteReference w:id="56"/>
      </w:r>
      <w:r w:rsidR="009319CB">
        <w:rPr>
          <w:color w:val="000000"/>
        </w:rPr>
        <w:t xml:space="preserve"> </w:t>
      </w:r>
      <w:r>
        <w:rPr>
          <w:color w:val="000000"/>
        </w:rPr>
        <w:t xml:space="preserve">Up until the time just before Irenaeus, </w:t>
      </w:r>
      <w:proofErr w:type="gramStart"/>
      <w:r w:rsidR="00D16027">
        <w:rPr>
          <w:color w:val="000000"/>
        </w:rPr>
        <w:t>i.e.</w:t>
      </w:r>
      <w:proofErr w:type="gramEnd"/>
      <w:r w:rsidR="00D16027">
        <w:rPr>
          <w:color w:val="000000"/>
        </w:rPr>
        <w:t xml:space="preserve"> </w:t>
      </w:r>
      <w:r>
        <w:rPr>
          <w:color w:val="000000"/>
        </w:rPr>
        <w:t xml:space="preserve">around the year 177, we know of no one who </w:t>
      </w:r>
      <w:r w:rsidR="00D16027">
        <w:rPr>
          <w:color w:val="000000"/>
        </w:rPr>
        <w:t xml:space="preserve">has </w:t>
      </w:r>
      <w:r w:rsidR="009522EC">
        <w:rPr>
          <w:color w:val="000000"/>
        </w:rPr>
        <w:t xml:space="preserve">ever </w:t>
      </w:r>
      <w:r>
        <w:rPr>
          <w:color w:val="000000"/>
        </w:rPr>
        <w:t xml:space="preserve">quoted </w:t>
      </w:r>
      <w:r w:rsidR="00D16027">
        <w:rPr>
          <w:color w:val="000000"/>
        </w:rPr>
        <w:t>this book</w:t>
      </w:r>
      <w:r>
        <w:rPr>
          <w:color w:val="000000"/>
        </w:rPr>
        <w:t xml:space="preserve">, </w:t>
      </w:r>
      <w:r w:rsidR="009522EC">
        <w:rPr>
          <w:color w:val="000000"/>
        </w:rPr>
        <w:t xml:space="preserve">there are </w:t>
      </w:r>
      <w:r w:rsidR="00287472">
        <w:rPr>
          <w:color w:val="000000"/>
        </w:rPr>
        <w:t xml:space="preserve">at best remote parallels (which could also point to elements being incorporated into </w:t>
      </w:r>
      <w:r w:rsidR="00287472">
        <w:rPr>
          <w:i/>
          <w:color w:val="000000"/>
        </w:rPr>
        <w:t>Acts</w:t>
      </w:r>
      <w:r w:rsidR="00287472">
        <w:rPr>
          <w:color w:val="000000"/>
        </w:rPr>
        <w:t>), so</w:t>
      </w:r>
      <w:r w:rsidR="00287472">
        <w:rPr>
          <w:i/>
          <w:color w:val="000000"/>
        </w:rPr>
        <w:t xml:space="preserve"> </w:t>
      </w:r>
      <w:r>
        <w:rPr>
          <w:color w:val="000000"/>
        </w:rPr>
        <w:t xml:space="preserve">maybe </w:t>
      </w:r>
      <w:r w:rsidR="00287472">
        <w:rPr>
          <w:color w:val="000000"/>
        </w:rPr>
        <w:t>the book</w:t>
      </w:r>
      <w:r w:rsidR="00EA3408">
        <w:rPr>
          <w:color w:val="000000"/>
        </w:rPr>
        <w:t xml:space="preserve"> </w:t>
      </w:r>
      <w:r>
        <w:rPr>
          <w:color w:val="000000"/>
        </w:rPr>
        <w:t xml:space="preserve">was not </w:t>
      </w:r>
      <w:r w:rsidR="00287472">
        <w:rPr>
          <w:color w:val="000000"/>
        </w:rPr>
        <w:t>yet</w:t>
      </w:r>
      <w:r>
        <w:rPr>
          <w:color w:val="000000"/>
        </w:rPr>
        <w:t xml:space="preserve"> known or not</w:t>
      </w:r>
      <w:r w:rsidR="00EA3408">
        <w:rPr>
          <w:color w:val="000000"/>
        </w:rPr>
        <w:t xml:space="preserve"> </w:t>
      </w:r>
      <w:r w:rsidR="0076525F">
        <w:rPr>
          <w:color w:val="000000"/>
        </w:rPr>
        <w:t>even produced</w:t>
      </w:r>
      <w:r w:rsidR="00682C6F">
        <w:rPr>
          <w:color w:val="000000"/>
        </w:rPr>
        <w:t xml:space="preserve"> before Irenaeus</w:t>
      </w:r>
      <w:bookmarkStart w:id="51" w:name="_ftnref76"/>
      <w:bookmarkEnd w:id="51"/>
      <w:r w:rsidR="001C566A">
        <w:rPr>
          <w:color w:val="000000"/>
        </w:rPr>
        <w:t>:</w:t>
      </w:r>
    </w:p>
    <w:p w14:paraId="3B4F5CCB" w14:textId="77777777" w:rsidR="001C566A" w:rsidRDefault="001C566A" w:rsidP="001C566A">
      <w:pPr>
        <w:pStyle w:val="NormalWeb"/>
        <w:spacing w:before="0" w:beforeAutospacing="0" w:after="0" w:afterAutospacing="0"/>
        <w:ind w:left="708" w:firstLine="12"/>
        <w:jc w:val="both"/>
        <w:rPr>
          <w:color w:val="000000"/>
          <w:sz w:val="20"/>
          <w:szCs w:val="20"/>
        </w:rPr>
      </w:pPr>
    </w:p>
    <w:p w14:paraId="3553B843" w14:textId="4482A6A5" w:rsidR="001C566A" w:rsidRDefault="00C83381" w:rsidP="001C566A">
      <w:pPr>
        <w:pStyle w:val="NormalWeb"/>
        <w:spacing w:before="0" w:beforeAutospacing="0" w:after="0" w:afterAutospacing="0"/>
        <w:ind w:left="708" w:firstLine="12"/>
        <w:jc w:val="both"/>
        <w:rPr>
          <w:color w:val="000000"/>
        </w:rPr>
      </w:pPr>
      <w:r>
        <w:rPr>
          <w:color w:val="000000"/>
          <w:sz w:val="20"/>
          <w:szCs w:val="20"/>
        </w:rPr>
        <w:t xml:space="preserve">Any </w:t>
      </w:r>
      <w:r w:rsidR="001C566A" w:rsidRPr="001C566A">
        <w:rPr>
          <w:color w:val="000000"/>
          <w:sz w:val="20"/>
          <w:szCs w:val="20"/>
        </w:rPr>
        <w:t>‘</w:t>
      </w:r>
      <w:r>
        <w:rPr>
          <w:sz w:val="20"/>
          <w:szCs w:val="20"/>
          <w:lang w:val="en-US"/>
        </w:rPr>
        <w:t>c</w:t>
      </w:r>
      <w:r w:rsidR="001C566A" w:rsidRPr="001C566A">
        <w:rPr>
          <w:sz w:val="20"/>
          <w:szCs w:val="20"/>
          <w:lang w:val="en-US"/>
        </w:rPr>
        <w:t xml:space="preserve">ertain attestation for </w:t>
      </w:r>
      <w:r w:rsidR="001C566A" w:rsidRPr="001C566A">
        <w:rPr>
          <w:i/>
          <w:sz w:val="20"/>
          <w:szCs w:val="20"/>
          <w:lang w:val="en-US"/>
        </w:rPr>
        <w:t>Acts</w:t>
      </w:r>
      <w:r w:rsidR="001C566A" w:rsidRPr="001C566A">
        <w:rPr>
          <w:sz w:val="20"/>
          <w:szCs w:val="20"/>
          <w:lang w:val="en-US"/>
        </w:rPr>
        <w:t xml:space="preserve"> is later [than c140], but it may be dated securely to probably not much later than the middle of the second century if it was written – as seems all but certain – by the same author as </w:t>
      </w:r>
      <w:r w:rsidR="001C566A" w:rsidRPr="001C566A">
        <w:rPr>
          <w:i/>
          <w:sz w:val="20"/>
          <w:szCs w:val="20"/>
          <w:lang w:val="en-US"/>
        </w:rPr>
        <w:t>Luke</w:t>
      </w:r>
      <w:r w:rsidR="001C566A" w:rsidRPr="001C566A">
        <w:rPr>
          <w:sz w:val="20"/>
          <w:szCs w:val="20"/>
          <w:lang w:val="en-US"/>
        </w:rPr>
        <w:t xml:space="preserve">, and this coheres with </w:t>
      </w:r>
      <w:r w:rsidR="001C566A" w:rsidRPr="001C566A">
        <w:rPr>
          <w:i/>
          <w:sz w:val="20"/>
          <w:szCs w:val="20"/>
          <w:lang w:val="en-US"/>
        </w:rPr>
        <w:t>Acts</w:t>
      </w:r>
      <w:r w:rsidR="001C566A" w:rsidRPr="001C566A">
        <w:rPr>
          <w:sz w:val="20"/>
          <w:szCs w:val="20"/>
          <w:lang w:val="en-US"/>
        </w:rPr>
        <w:t xml:space="preserve"> being known and used by the time of Irenaeus.</w:t>
      </w:r>
      <w:r w:rsidR="001C566A" w:rsidRPr="001C566A">
        <w:rPr>
          <w:color w:val="000000"/>
          <w:sz w:val="20"/>
          <w:szCs w:val="20"/>
        </w:rPr>
        <w:t>’</w:t>
      </w:r>
      <w:r w:rsidR="00682C6F">
        <w:rPr>
          <w:rStyle w:val="FootnoteReference"/>
          <w:color w:val="000000"/>
        </w:rPr>
        <w:footnoteReference w:id="57"/>
      </w:r>
      <w:r w:rsidR="00682C6F">
        <w:rPr>
          <w:color w:val="000000"/>
        </w:rPr>
        <w:t xml:space="preserve"> </w:t>
      </w:r>
    </w:p>
    <w:p w14:paraId="572F65ED" w14:textId="193EEA20" w:rsidR="00DE0197" w:rsidRDefault="00DE0197" w:rsidP="007D40AC">
      <w:pPr>
        <w:pStyle w:val="NormalWeb"/>
        <w:spacing w:before="0" w:beforeAutospacing="0" w:after="0" w:afterAutospacing="0"/>
        <w:jc w:val="both"/>
        <w:rPr>
          <w:color w:val="000000"/>
          <w:sz w:val="27"/>
          <w:szCs w:val="27"/>
        </w:rPr>
      </w:pPr>
      <w:r>
        <w:rPr>
          <w:color w:val="000000"/>
        </w:rPr>
        <w:t xml:space="preserve">We shall have to come back to </w:t>
      </w:r>
      <w:r w:rsidR="00C83381">
        <w:rPr>
          <w:i/>
          <w:color w:val="000000"/>
        </w:rPr>
        <w:t>Acts</w:t>
      </w:r>
      <w:r>
        <w:rPr>
          <w:color w:val="000000"/>
        </w:rPr>
        <w:t xml:space="preserve"> below.</w:t>
      </w:r>
    </w:p>
    <w:p w14:paraId="50661AC6" w14:textId="0CCCF518" w:rsidR="00DE0197" w:rsidRDefault="00DE0197" w:rsidP="00DE0197">
      <w:pPr>
        <w:pStyle w:val="NormalWeb"/>
        <w:spacing w:before="0" w:beforeAutospacing="0" w:after="0" w:afterAutospacing="0"/>
        <w:ind w:firstLine="720"/>
        <w:jc w:val="both"/>
        <w:rPr>
          <w:color w:val="000000"/>
          <w:sz w:val="27"/>
          <w:szCs w:val="27"/>
        </w:rPr>
      </w:pPr>
      <w:proofErr w:type="gramStart"/>
      <w:r>
        <w:rPr>
          <w:color w:val="000000"/>
        </w:rPr>
        <w:t>So</w:t>
      </w:r>
      <w:proofErr w:type="gramEnd"/>
      <w:r>
        <w:rPr>
          <w:color w:val="000000"/>
        </w:rPr>
        <w:t xml:space="preserve"> if </w:t>
      </w:r>
      <w:r w:rsidR="007D40AC">
        <w:rPr>
          <w:i/>
          <w:color w:val="000000"/>
        </w:rPr>
        <w:t xml:space="preserve">Acts </w:t>
      </w:r>
      <w:r w:rsidR="007D40AC">
        <w:rPr>
          <w:color w:val="000000"/>
        </w:rPr>
        <w:t xml:space="preserve">is of little help for </w:t>
      </w:r>
      <w:r>
        <w:rPr>
          <w:color w:val="000000"/>
        </w:rPr>
        <w:t>Origen</w:t>
      </w:r>
      <w:r w:rsidR="007D40AC">
        <w:rPr>
          <w:color w:val="000000"/>
        </w:rPr>
        <w:t xml:space="preserve"> to </w:t>
      </w:r>
      <w:r w:rsidR="00B213F8">
        <w:rPr>
          <w:color w:val="000000"/>
        </w:rPr>
        <w:t xml:space="preserve">think about the beginnings of Christianity, while he is focussing instead </w:t>
      </w:r>
      <w:r>
        <w:rPr>
          <w:color w:val="000000"/>
        </w:rPr>
        <w:t xml:space="preserve">on the incarnation of the Word of God and the preaching of the Gospel, how does he </w:t>
      </w:r>
      <w:r w:rsidR="00BB6C9A">
        <w:rPr>
          <w:color w:val="000000"/>
        </w:rPr>
        <w:t xml:space="preserve">view the origin of </w:t>
      </w:r>
      <w:r w:rsidR="007D6798">
        <w:rPr>
          <w:color w:val="000000"/>
        </w:rPr>
        <w:t>the Church</w:t>
      </w:r>
      <w:r>
        <w:rPr>
          <w:color w:val="000000"/>
        </w:rPr>
        <w:t>?</w:t>
      </w:r>
    </w:p>
    <w:p w14:paraId="781E0A6C" w14:textId="6BFB1E1B" w:rsidR="00DE0197" w:rsidRDefault="00DE0197" w:rsidP="00DE0197">
      <w:pPr>
        <w:pStyle w:val="NormalWeb"/>
        <w:spacing w:before="0" w:beforeAutospacing="0" w:after="0" w:afterAutospacing="0"/>
        <w:ind w:firstLine="720"/>
        <w:jc w:val="both"/>
        <w:rPr>
          <w:color w:val="000000"/>
          <w:sz w:val="27"/>
          <w:szCs w:val="27"/>
        </w:rPr>
      </w:pPr>
      <w:r>
        <w:rPr>
          <w:color w:val="000000"/>
        </w:rPr>
        <w:t>On the one hand, his statements read astonishingly ahistorical, on the other hand they had and still have the effect of a historicizing reading</w:t>
      </w:r>
      <w:r w:rsidR="00295BF9">
        <w:rPr>
          <w:color w:val="000000"/>
        </w:rPr>
        <w:t xml:space="preserve"> of them</w:t>
      </w:r>
      <w:r w:rsidR="005050B2">
        <w:rPr>
          <w:color w:val="000000"/>
        </w:rPr>
        <w:t>, especially</w:t>
      </w:r>
      <w:r>
        <w:rPr>
          <w:color w:val="000000"/>
        </w:rPr>
        <w:t xml:space="preserve"> of the New Testament </w:t>
      </w:r>
      <w:r w:rsidR="00295BF9">
        <w:rPr>
          <w:color w:val="000000"/>
        </w:rPr>
        <w:t>writings</w:t>
      </w:r>
      <w:r>
        <w:rPr>
          <w:color w:val="000000"/>
        </w:rPr>
        <w:t xml:space="preserve">, </w:t>
      </w:r>
      <w:r w:rsidR="008C06E5">
        <w:rPr>
          <w:color w:val="000000"/>
        </w:rPr>
        <w:t xml:space="preserve">an effect </w:t>
      </w:r>
      <w:r>
        <w:rPr>
          <w:color w:val="000000"/>
        </w:rPr>
        <w:t>which should not be underestimated. </w:t>
      </w:r>
      <w:r w:rsidR="008C06E5">
        <w:rPr>
          <w:color w:val="000000"/>
        </w:rPr>
        <w:t>And i</w:t>
      </w:r>
      <w:r w:rsidR="00657737">
        <w:rPr>
          <w:color w:val="000000"/>
        </w:rPr>
        <w:t xml:space="preserve">nterestingly, </w:t>
      </w:r>
      <w:r>
        <w:rPr>
          <w:color w:val="000000"/>
        </w:rPr>
        <w:t>Origen</w:t>
      </w:r>
      <w:r w:rsidR="00657737">
        <w:rPr>
          <w:color w:val="000000"/>
        </w:rPr>
        <w:t>’</w:t>
      </w:r>
      <w:r>
        <w:rPr>
          <w:color w:val="000000"/>
        </w:rPr>
        <w:t>s remarks</w:t>
      </w:r>
      <w:r w:rsidR="00657737">
        <w:rPr>
          <w:color w:val="000000"/>
        </w:rPr>
        <w:t xml:space="preserve"> have this historicizing effect until today,</w:t>
      </w:r>
      <w:r>
        <w:rPr>
          <w:color w:val="000000"/>
        </w:rPr>
        <w:t> </w:t>
      </w:r>
      <w:r w:rsidR="008C06E5">
        <w:rPr>
          <w:color w:val="000000"/>
        </w:rPr>
        <w:t xml:space="preserve">not despite, but </w:t>
      </w:r>
      <w:r>
        <w:rPr>
          <w:color w:val="000000"/>
        </w:rPr>
        <w:t xml:space="preserve">because he wanted to </w:t>
      </w:r>
      <w:r w:rsidR="00E33779">
        <w:rPr>
          <w:color w:val="000000"/>
        </w:rPr>
        <w:t xml:space="preserve">read these texts theologically, </w:t>
      </w:r>
      <w:r w:rsidR="008E69ED">
        <w:rPr>
          <w:color w:val="000000"/>
        </w:rPr>
        <w:t xml:space="preserve">and </w:t>
      </w:r>
      <w:r w:rsidR="00E33779">
        <w:rPr>
          <w:color w:val="000000"/>
        </w:rPr>
        <w:t>not historically</w:t>
      </w:r>
      <w:r>
        <w:rPr>
          <w:color w:val="000000"/>
        </w:rPr>
        <w:t>. </w:t>
      </w:r>
      <w:r w:rsidR="008E69ED">
        <w:rPr>
          <w:color w:val="000000"/>
        </w:rPr>
        <w:t xml:space="preserve">He praised </w:t>
      </w:r>
      <w:r>
        <w:rPr>
          <w:color w:val="000000"/>
        </w:rPr>
        <w:t>the biblical writings so highly</w:t>
      </w:r>
      <w:r w:rsidR="008E69ED">
        <w:rPr>
          <w:color w:val="000000"/>
        </w:rPr>
        <w:t>, as divinely</w:t>
      </w:r>
      <w:r w:rsidR="00330E32">
        <w:rPr>
          <w:color w:val="000000"/>
        </w:rPr>
        <w:t>,</w:t>
      </w:r>
      <w:r>
        <w:rPr>
          <w:color w:val="000000"/>
        </w:rPr>
        <w:t xml:space="preserve"> and made</w:t>
      </w:r>
      <w:r w:rsidR="00330E32">
        <w:rPr>
          <w:color w:val="000000"/>
        </w:rPr>
        <w:t xml:space="preserve"> them</w:t>
      </w:r>
      <w:r>
        <w:rPr>
          <w:color w:val="000000"/>
        </w:rPr>
        <w:t xml:space="preserve"> the cent</w:t>
      </w:r>
      <w:r w:rsidR="00E33779">
        <w:rPr>
          <w:color w:val="000000"/>
        </w:rPr>
        <w:t>re</w:t>
      </w:r>
      <w:r>
        <w:rPr>
          <w:color w:val="000000"/>
        </w:rPr>
        <w:t xml:space="preserve"> of </w:t>
      </w:r>
      <w:r w:rsidR="00E33779">
        <w:rPr>
          <w:color w:val="000000"/>
        </w:rPr>
        <w:t>his reasoning</w:t>
      </w:r>
      <w:r>
        <w:rPr>
          <w:color w:val="000000"/>
        </w:rPr>
        <w:t xml:space="preserve">, </w:t>
      </w:r>
      <w:r w:rsidR="00330E32">
        <w:rPr>
          <w:color w:val="000000"/>
        </w:rPr>
        <w:t xml:space="preserve">so that they </w:t>
      </w:r>
      <w:r>
        <w:rPr>
          <w:color w:val="000000"/>
        </w:rPr>
        <w:t xml:space="preserve">were soon read </w:t>
      </w:r>
      <w:r w:rsidR="00330E32">
        <w:rPr>
          <w:color w:val="000000"/>
        </w:rPr>
        <w:t>as God’s message not only about sp</w:t>
      </w:r>
      <w:r w:rsidR="00B72673">
        <w:rPr>
          <w:color w:val="000000"/>
        </w:rPr>
        <w:t xml:space="preserve">iritual </w:t>
      </w:r>
      <w:proofErr w:type="gramStart"/>
      <w:r w:rsidR="00B72673">
        <w:rPr>
          <w:color w:val="000000"/>
        </w:rPr>
        <w:t>things, but</w:t>
      </w:r>
      <w:proofErr w:type="gramEnd"/>
      <w:r w:rsidR="00B72673">
        <w:rPr>
          <w:color w:val="000000"/>
        </w:rPr>
        <w:t xml:space="preserve"> </w:t>
      </w:r>
      <w:r>
        <w:rPr>
          <w:color w:val="000000"/>
        </w:rPr>
        <w:t xml:space="preserve">misunderstood </w:t>
      </w:r>
      <w:r w:rsidR="00B72673">
        <w:rPr>
          <w:color w:val="000000"/>
        </w:rPr>
        <w:t>also as divine oracles about</w:t>
      </w:r>
      <w:r>
        <w:rPr>
          <w:color w:val="000000"/>
        </w:rPr>
        <w:t xml:space="preserve"> the course of history.</w:t>
      </w:r>
    </w:p>
    <w:p w14:paraId="3382D20A" w14:textId="652598FD"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Based on his scriptural orientation, Origen sees with Paul the beginning of Christianity in </w:t>
      </w:r>
      <w:r w:rsidR="00C934BE">
        <w:rPr>
          <w:color w:val="000000"/>
        </w:rPr>
        <w:t>Christ as its</w:t>
      </w:r>
      <w:r>
        <w:rPr>
          <w:color w:val="000000"/>
        </w:rPr>
        <w:t xml:space="preserve"> foundation.</w:t>
      </w:r>
      <w:bookmarkStart w:id="52" w:name="_ftnref77"/>
      <w:bookmarkEnd w:id="52"/>
      <w:r w:rsidR="00C934BE">
        <w:rPr>
          <w:rStyle w:val="FootnoteReference"/>
          <w:color w:val="000000"/>
        </w:rPr>
        <w:footnoteReference w:id="58"/>
      </w:r>
      <w:r w:rsidR="00C934BE">
        <w:rPr>
          <w:color w:val="000000"/>
        </w:rPr>
        <w:t xml:space="preserve"> </w:t>
      </w:r>
      <w:r>
        <w:rPr>
          <w:color w:val="000000"/>
        </w:rPr>
        <w:t>Origen read from Paul in 1</w:t>
      </w:r>
      <w:r w:rsidRPr="00A51E2C">
        <w:rPr>
          <w:i/>
          <w:color w:val="000000"/>
        </w:rPr>
        <w:t>Cor</w:t>
      </w:r>
      <w:r w:rsidR="00A51E2C">
        <w:rPr>
          <w:i/>
          <w:color w:val="000000"/>
        </w:rPr>
        <w:t>.</w:t>
      </w:r>
      <w:r>
        <w:rPr>
          <w:color w:val="000000"/>
        </w:rPr>
        <w:t> 3</w:t>
      </w:r>
      <w:r w:rsidR="00A51E2C">
        <w:rPr>
          <w:color w:val="000000"/>
        </w:rPr>
        <w:t>:</w:t>
      </w:r>
      <w:r>
        <w:rPr>
          <w:color w:val="000000"/>
        </w:rPr>
        <w:t>9-15:</w:t>
      </w:r>
    </w:p>
    <w:p w14:paraId="3CC08666" w14:textId="58485761" w:rsidR="00DE0197" w:rsidRPr="00A51E2C" w:rsidRDefault="00A51E2C" w:rsidP="00A51E2C">
      <w:pPr>
        <w:pStyle w:val="NormalWeb"/>
        <w:spacing w:before="120" w:after="120"/>
        <w:ind w:left="567"/>
        <w:jc w:val="both"/>
        <w:rPr>
          <w:color w:val="000000"/>
          <w:sz w:val="20"/>
          <w:szCs w:val="20"/>
        </w:rPr>
      </w:pPr>
      <w:r>
        <w:rPr>
          <w:color w:val="000000"/>
          <w:sz w:val="20"/>
          <w:szCs w:val="20"/>
        </w:rPr>
        <w:t>‘</w:t>
      </w:r>
      <w:r w:rsidRPr="00A51E2C">
        <w:rPr>
          <w:color w:val="000000"/>
          <w:sz w:val="20"/>
          <w:szCs w:val="20"/>
        </w:rPr>
        <w:t>9 For we are co-workers in God’s service; you are God’s field, God’s building.</w:t>
      </w:r>
      <w:r>
        <w:rPr>
          <w:color w:val="000000"/>
          <w:sz w:val="20"/>
          <w:szCs w:val="20"/>
        </w:rPr>
        <w:t xml:space="preserve"> </w:t>
      </w:r>
      <w:r w:rsidRPr="00A51E2C">
        <w:rPr>
          <w:color w:val="000000"/>
          <w:sz w:val="20"/>
          <w:szCs w:val="20"/>
        </w:rPr>
        <w:t xml:space="preserve">10 By the grace God has given me, I laid a foundation as a wise builder, and someone else is building on it. But each one should build with care. 11 For no one can lay any foundation other than the one already laid, which is Jesus Christ. 12 If anyone builds on this foundation using gold, silver, costly stones, wood, </w:t>
      </w:r>
      <w:proofErr w:type="gramStart"/>
      <w:r w:rsidRPr="00A51E2C">
        <w:rPr>
          <w:color w:val="000000"/>
          <w:sz w:val="20"/>
          <w:szCs w:val="20"/>
        </w:rPr>
        <w:t>hay</w:t>
      </w:r>
      <w:proofErr w:type="gramEnd"/>
      <w:r w:rsidRPr="00A51E2C">
        <w:rPr>
          <w:color w:val="000000"/>
          <w:sz w:val="20"/>
          <w:szCs w:val="20"/>
        </w:rPr>
        <w:t xml:space="preserve"> or straw, 13 their work will be shown for what it is, because the Day will bring it to light. It will be revealed with fire, and the fire will test the quality of each person’s work. 14 If what has been built survives, the builder will receive a reward. 15 If it is burned up, the builder will suffer loss </w:t>
      </w:r>
      <w:proofErr w:type="gramStart"/>
      <w:r w:rsidRPr="00A51E2C">
        <w:rPr>
          <w:color w:val="000000"/>
          <w:sz w:val="20"/>
          <w:szCs w:val="20"/>
        </w:rPr>
        <w:t>but yet</w:t>
      </w:r>
      <w:proofErr w:type="gramEnd"/>
      <w:r w:rsidRPr="00A51E2C">
        <w:rPr>
          <w:color w:val="000000"/>
          <w:sz w:val="20"/>
          <w:szCs w:val="20"/>
        </w:rPr>
        <w:t xml:space="preserve"> will be saved—even though only as one escaping through the flames.</w:t>
      </w:r>
      <w:r>
        <w:rPr>
          <w:color w:val="000000"/>
          <w:sz w:val="20"/>
          <w:szCs w:val="20"/>
        </w:rPr>
        <w:t>’</w:t>
      </w:r>
      <w:r w:rsidR="00DE0197">
        <w:rPr>
          <w:color w:val="000000"/>
          <w:sz w:val="20"/>
          <w:szCs w:val="20"/>
        </w:rPr>
        <w:t>      </w:t>
      </w:r>
    </w:p>
    <w:p w14:paraId="40F0DCCF" w14:textId="7363D0F6" w:rsidR="00DE0197" w:rsidRDefault="00DE0197" w:rsidP="00DE0197">
      <w:pPr>
        <w:pStyle w:val="NormalWeb"/>
        <w:spacing w:before="0" w:beforeAutospacing="0" w:after="0" w:afterAutospacing="0"/>
        <w:jc w:val="both"/>
        <w:rPr>
          <w:color w:val="000000"/>
          <w:sz w:val="27"/>
          <w:szCs w:val="27"/>
        </w:rPr>
      </w:pPr>
      <w:r>
        <w:rPr>
          <w:color w:val="000000"/>
        </w:rPr>
        <w:t xml:space="preserve">At this point Origen explains that </w:t>
      </w:r>
      <w:r w:rsidR="00676A42">
        <w:rPr>
          <w:color w:val="000000"/>
        </w:rPr>
        <w:t>‘</w:t>
      </w:r>
      <w:r>
        <w:rPr>
          <w:color w:val="000000"/>
        </w:rPr>
        <w:t>we are not only God</w:t>
      </w:r>
      <w:r w:rsidR="00676A42">
        <w:rPr>
          <w:color w:val="000000"/>
        </w:rPr>
        <w:t>’</w:t>
      </w:r>
      <w:r>
        <w:rPr>
          <w:color w:val="000000"/>
        </w:rPr>
        <w:t>s fields, but even God</w:t>
      </w:r>
      <w:r w:rsidR="00676A42">
        <w:rPr>
          <w:color w:val="000000"/>
        </w:rPr>
        <w:t>’</w:t>
      </w:r>
      <w:r>
        <w:rPr>
          <w:color w:val="000000"/>
        </w:rPr>
        <w:t>s building</w:t>
      </w:r>
      <w:r w:rsidR="00676A42">
        <w:rPr>
          <w:color w:val="000000"/>
        </w:rPr>
        <w:t>’</w:t>
      </w:r>
      <w:r>
        <w:rPr>
          <w:color w:val="000000"/>
        </w:rPr>
        <w:t>, which is why he asks about the architect of the whole.</w:t>
      </w:r>
      <w:bookmarkStart w:id="53" w:name="_ftnref78"/>
      <w:bookmarkEnd w:id="53"/>
      <w:r w:rsidR="00BD480B">
        <w:rPr>
          <w:rStyle w:val="FootnoteReference"/>
          <w:color w:val="000000"/>
        </w:rPr>
        <w:footnoteReference w:id="59"/>
      </w:r>
      <w:r w:rsidR="00BD480B">
        <w:rPr>
          <w:color w:val="000000"/>
        </w:rPr>
        <w:t xml:space="preserve"> </w:t>
      </w:r>
      <w:r>
        <w:rPr>
          <w:color w:val="000000"/>
        </w:rPr>
        <w:t xml:space="preserve">According to Origen, because of the grace given to him, Paul is the wise architect who built the building on the foundation of Christ, </w:t>
      </w:r>
      <w:r>
        <w:rPr>
          <w:color w:val="000000"/>
        </w:rPr>
        <w:lastRenderedPageBreak/>
        <w:t xml:space="preserve">as </w:t>
      </w:r>
      <w:r w:rsidR="00BD480B">
        <w:rPr>
          <w:color w:val="000000"/>
        </w:rPr>
        <w:t>‘</w:t>
      </w:r>
      <w:r>
        <w:rPr>
          <w:color w:val="000000"/>
        </w:rPr>
        <w:t>the church in Corinth did not exist before Paul</w:t>
      </w:r>
      <w:r w:rsidR="00BD480B">
        <w:rPr>
          <w:color w:val="000000"/>
        </w:rPr>
        <w:t>’</w:t>
      </w:r>
      <w:r>
        <w:rPr>
          <w:color w:val="000000"/>
        </w:rPr>
        <w:t>.</w:t>
      </w:r>
      <w:bookmarkStart w:id="54" w:name="_ftnref79"/>
      <w:bookmarkEnd w:id="54"/>
      <w:r w:rsidR="00980895">
        <w:rPr>
          <w:rStyle w:val="FootnoteReference"/>
          <w:color w:val="000000"/>
        </w:rPr>
        <w:footnoteReference w:id="60"/>
      </w:r>
      <w:r w:rsidR="00BD480B">
        <w:rPr>
          <w:color w:val="000000"/>
        </w:rPr>
        <w:t xml:space="preserve"> </w:t>
      </w:r>
      <w:r>
        <w:rPr>
          <w:color w:val="000000"/>
        </w:rPr>
        <w:t>Paul</w:t>
      </w:r>
      <w:r w:rsidR="00980895">
        <w:rPr>
          <w:color w:val="000000"/>
        </w:rPr>
        <w:t>, however,</w:t>
      </w:r>
      <w:r>
        <w:rPr>
          <w:color w:val="000000"/>
        </w:rPr>
        <w:t xml:space="preserve"> is not only the architect of the church </w:t>
      </w:r>
      <w:r w:rsidR="009849F5">
        <w:rPr>
          <w:color w:val="000000"/>
        </w:rPr>
        <w:t xml:space="preserve">for Corinth </w:t>
      </w:r>
      <w:r>
        <w:rPr>
          <w:color w:val="000000"/>
        </w:rPr>
        <w:t>on Christ</w:t>
      </w:r>
      <w:r w:rsidR="00980895">
        <w:rPr>
          <w:color w:val="000000"/>
        </w:rPr>
        <w:t>’</w:t>
      </w:r>
      <w:r>
        <w:rPr>
          <w:color w:val="000000"/>
        </w:rPr>
        <w:t>s foundation, but, as he himself explains in </w:t>
      </w:r>
      <w:r w:rsidRPr="009849F5">
        <w:rPr>
          <w:i/>
          <w:color w:val="000000"/>
        </w:rPr>
        <w:t>Rom</w:t>
      </w:r>
      <w:r>
        <w:rPr>
          <w:color w:val="000000"/>
        </w:rPr>
        <w:t xml:space="preserve">. 15:19-20, he </w:t>
      </w:r>
      <w:r w:rsidR="009849F5">
        <w:rPr>
          <w:color w:val="000000"/>
        </w:rPr>
        <w:t>‘</w:t>
      </w:r>
      <w:r>
        <w:rPr>
          <w:color w:val="000000"/>
        </w:rPr>
        <w:t xml:space="preserve">fulfilled the </w:t>
      </w:r>
      <w:r w:rsidR="00DD41D5">
        <w:rPr>
          <w:color w:val="000000"/>
        </w:rPr>
        <w:t xml:space="preserve">preaching of the </w:t>
      </w:r>
      <w:r>
        <w:rPr>
          <w:color w:val="000000"/>
        </w:rPr>
        <w:t>gospel of God from Jerusalem to Illyria</w:t>
      </w:r>
      <w:r w:rsidR="00DD41D5">
        <w:rPr>
          <w:color w:val="000000"/>
        </w:rPr>
        <w:t>’</w:t>
      </w:r>
      <w:r>
        <w:rPr>
          <w:color w:val="000000"/>
        </w:rPr>
        <w:t xml:space="preserve">, whereby he </w:t>
      </w:r>
      <w:r w:rsidR="00DD41D5">
        <w:rPr>
          <w:color w:val="000000"/>
        </w:rPr>
        <w:t xml:space="preserve">‘took on him </w:t>
      </w:r>
      <w:r>
        <w:rPr>
          <w:color w:val="000000"/>
        </w:rPr>
        <w:t>to preach the gospel where Christ was not yet known by name</w:t>
      </w:r>
      <w:r w:rsidR="008A6F42">
        <w:rPr>
          <w:color w:val="000000"/>
        </w:rPr>
        <w:t>’,</w:t>
      </w:r>
      <w:r>
        <w:rPr>
          <w:color w:val="000000"/>
        </w:rPr>
        <w:t xml:space="preserve"> so that he would not build on </w:t>
      </w:r>
      <w:r w:rsidR="008A6F42">
        <w:rPr>
          <w:color w:val="000000"/>
        </w:rPr>
        <w:t>somebody else’s</w:t>
      </w:r>
      <w:r>
        <w:rPr>
          <w:color w:val="000000"/>
        </w:rPr>
        <w:t xml:space="preserve"> foundation</w:t>
      </w:r>
      <w:r w:rsidR="008A6F42">
        <w:rPr>
          <w:color w:val="000000"/>
        </w:rPr>
        <w:t>’</w:t>
      </w:r>
      <w:r>
        <w:rPr>
          <w:color w:val="000000"/>
        </w:rPr>
        <w:t>.</w:t>
      </w:r>
      <w:bookmarkStart w:id="55" w:name="_ftnref80"/>
      <w:bookmarkEnd w:id="55"/>
      <w:r w:rsidR="00B52C48">
        <w:rPr>
          <w:rStyle w:val="FootnoteReference"/>
          <w:color w:val="000000"/>
        </w:rPr>
        <w:footnoteReference w:id="61"/>
      </w:r>
      <w:r w:rsidR="008A6F42">
        <w:rPr>
          <w:color w:val="000000"/>
        </w:rPr>
        <w:t xml:space="preserve"> </w:t>
      </w:r>
      <w:r w:rsidR="00B52C48">
        <w:rPr>
          <w:color w:val="000000"/>
        </w:rPr>
        <w:t xml:space="preserve">For Origen, Paul ‘writing </w:t>
      </w:r>
      <w:r>
        <w:rPr>
          <w:color w:val="000000"/>
        </w:rPr>
        <w:t>books</w:t>
      </w:r>
      <w:r w:rsidR="00F51C9E">
        <w:rPr>
          <w:color w:val="000000"/>
        </w:rPr>
        <w:t>’</w:t>
      </w:r>
      <w:r>
        <w:rPr>
          <w:color w:val="000000"/>
        </w:rPr>
        <w:t xml:space="preserve"> counts </w:t>
      </w:r>
      <w:r w:rsidR="00F51C9E">
        <w:rPr>
          <w:color w:val="000000"/>
        </w:rPr>
        <w:t xml:space="preserve">equally </w:t>
      </w:r>
      <w:r>
        <w:rPr>
          <w:color w:val="000000"/>
        </w:rPr>
        <w:t xml:space="preserve">as </w:t>
      </w:r>
      <w:r w:rsidR="00F51C9E">
        <w:rPr>
          <w:color w:val="000000"/>
        </w:rPr>
        <w:t>‘</w:t>
      </w:r>
      <w:r>
        <w:rPr>
          <w:color w:val="000000"/>
        </w:rPr>
        <w:t>building</w:t>
      </w:r>
      <w:r w:rsidR="00F51C9E">
        <w:rPr>
          <w:color w:val="000000"/>
        </w:rPr>
        <w:t xml:space="preserve"> houses’</w:t>
      </w:r>
      <w:r>
        <w:rPr>
          <w:color w:val="000000"/>
        </w:rPr>
        <w:t>, an image that can be found </w:t>
      </w:r>
      <w:r w:rsidR="00F51C9E">
        <w:rPr>
          <w:color w:val="000000"/>
        </w:rPr>
        <w:t xml:space="preserve">again </w:t>
      </w:r>
      <w:r>
        <w:rPr>
          <w:color w:val="000000"/>
        </w:rPr>
        <w:t>in </w:t>
      </w:r>
      <w:r w:rsidRPr="00F51C9E">
        <w:rPr>
          <w:i/>
          <w:color w:val="000000"/>
        </w:rPr>
        <w:t>Lk</w:t>
      </w:r>
      <w:r w:rsidR="00F51C9E">
        <w:rPr>
          <w:i/>
          <w:color w:val="000000"/>
        </w:rPr>
        <w:t>.</w:t>
      </w:r>
      <w:r>
        <w:rPr>
          <w:color w:val="000000"/>
        </w:rPr>
        <w:t> 6</w:t>
      </w:r>
      <w:r w:rsidR="00F51C9E">
        <w:rPr>
          <w:color w:val="000000"/>
        </w:rPr>
        <w:t>:</w:t>
      </w:r>
      <w:r>
        <w:rPr>
          <w:color w:val="000000"/>
        </w:rPr>
        <w:t xml:space="preserve">48, because in </w:t>
      </w:r>
      <w:r w:rsidR="001E1B28">
        <w:rPr>
          <w:color w:val="000000"/>
        </w:rPr>
        <w:t xml:space="preserve">these books </w:t>
      </w:r>
      <w:r>
        <w:rPr>
          <w:color w:val="000000"/>
        </w:rPr>
        <w:t xml:space="preserve">he </w:t>
      </w:r>
      <w:r w:rsidR="001E1B28">
        <w:rPr>
          <w:color w:val="000000"/>
        </w:rPr>
        <w:t>indicates how</w:t>
      </w:r>
      <w:r>
        <w:rPr>
          <w:color w:val="000000"/>
        </w:rPr>
        <w:t xml:space="preserve"> bishop</w:t>
      </w:r>
      <w:r w:rsidR="001E1B28">
        <w:rPr>
          <w:color w:val="000000"/>
        </w:rPr>
        <w:t>s</w:t>
      </w:r>
      <w:r>
        <w:rPr>
          <w:color w:val="000000"/>
        </w:rPr>
        <w:t>, presbyters</w:t>
      </w:r>
      <w:r w:rsidR="001E1B28">
        <w:rPr>
          <w:color w:val="000000"/>
        </w:rPr>
        <w:t>,</w:t>
      </w:r>
      <w:r>
        <w:rPr>
          <w:color w:val="000000"/>
        </w:rPr>
        <w:t xml:space="preserve"> </w:t>
      </w:r>
      <w:proofErr w:type="gramStart"/>
      <w:r>
        <w:rPr>
          <w:color w:val="000000"/>
        </w:rPr>
        <w:t>deacons</w:t>
      </w:r>
      <w:proofErr w:type="gramEnd"/>
      <w:r>
        <w:rPr>
          <w:color w:val="000000"/>
        </w:rPr>
        <w:t xml:space="preserve"> and the rest of the community should be</w:t>
      </w:r>
      <w:r w:rsidR="001E1B28">
        <w:rPr>
          <w:color w:val="000000"/>
        </w:rPr>
        <w:t>have</w:t>
      </w:r>
      <w:r>
        <w:rPr>
          <w:color w:val="000000"/>
        </w:rPr>
        <w:t xml:space="preserve"> </w:t>
      </w:r>
      <w:r w:rsidR="00475C4D">
        <w:rPr>
          <w:color w:val="000000"/>
        </w:rPr>
        <w:t xml:space="preserve">in </w:t>
      </w:r>
      <w:r>
        <w:rPr>
          <w:color w:val="000000"/>
        </w:rPr>
        <w:t>the Church.</w:t>
      </w:r>
      <w:bookmarkStart w:id="56" w:name="_ftnref81"/>
      <w:bookmarkEnd w:id="56"/>
      <w:r w:rsidR="00475C4D">
        <w:rPr>
          <w:rStyle w:val="FootnoteReference"/>
          <w:color w:val="000000"/>
        </w:rPr>
        <w:footnoteReference w:id="62"/>
      </w:r>
      <w:r w:rsidR="00475C4D">
        <w:rPr>
          <w:color w:val="000000"/>
          <w:sz w:val="27"/>
          <w:szCs w:val="27"/>
        </w:rPr>
        <w:t xml:space="preserve"> </w:t>
      </w:r>
    </w:p>
    <w:p w14:paraId="7353BE4C" w14:textId="1F764A82"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Interestingly, </w:t>
      </w:r>
      <w:r w:rsidR="00475C4D">
        <w:rPr>
          <w:color w:val="000000"/>
        </w:rPr>
        <w:t xml:space="preserve">none </w:t>
      </w:r>
      <w:r>
        <w:rPr>
          <w:color w:val="000000"/>
        </w:rPr>
        <w:t>of the ministers mentioned here</w:t>
      </w:r>
      <w:r w:rsidR="00A82E69">
        <w:rPr>
          <w:color w:val="000000"/>
        </w:rPr>
        <w:t>,</w:t>
      </w:r>
      <w:r>
        <w:rPr>
          <w:color w:val="000000"/>
        </w:rPr>
        <w:t xml:space="preserve"> </w:t>
      </w:r>
      <w:r w:rsidR="00A82E69">
        <w:rPr>
          <w:color w:val="000000"/>
        </w:rPr>
        <w:t xml:space="preserve">including </w:t>
      </w:r>
      <w:r>
        <w:rPr>
          <w:color w:val="000000"/>
        </w:rPr>
        <w:t>the whole of the church</w:t>
      </w:r>
      <w:r w:rsidR="00A82E69">
        <w:rPr>
          <w:color w:val="000000"/>
        </w:rPr>
        <w:t>,</w:t>
      </w:r>
      <w:r>
        <w:rPr>
          <w:color w:val="000000"/>
        </w:rPr>
        <w:t xml:space="preserve"> </w:t>
      </w:r>
      <w:r w:rsidR="00A82E69">
        <w:rPr>
          <w:color w:val="000000"/>
        </w:rPr>
        <w:t xml:space="preserve">is an </w:t>
      </w:r>
      <w:r>
        <w:rPr>
          <w:color w:val="000000"/>
        </w:rPr>
        <w:t xml:space="preserve">architect, but </w:t>
      </w:r>
      <w:r w:rsidR="00A82E69">
        <w:rPr>
          <w:color w:val="000000"/>
        </w:rPr>
        <w:t xml:space="preserve">they are all </w:t>
      </w:r>
      <w:r>
        <w:rPr>
          <w:color w:val="000000"/>
        </w:rPr>
        <w:t>masons who continue to build on the foundation according to the apostle</w:t>
      </w:r>
      <w:r w:rsidR="00A82E69">
        <w:rPr>
          <w:color w:val="000000"/>
        </w:rPr>
        <w:t>’</w:t>
      </w:r>
      <w:r>
        <w:rPr>
          <w:color w:val="000000"/>
        </w:rPr>
        <w:t xml:space="preserve">s instructions, </w:t>
      </w:r>
      <w:r w:rsidR="00017A90">
        <w:rPr>
          <w:color w:val="000000"/>
        </w:rPr>
        <w:t xml:space="preserve">they are </w:t>
      </w:r>
      <w:r>
        <w:rPr>
          <w:color w:val="000000"/>
        </w:rPr>
        <w:t>builders, among whom Origen includes himself</w:t>
      </w:r>
      <w:r w:rsidR="00017A90">
        <w:rPr>
          <w:color w:val="000000"/>
        </w:rPr>
        <w:t>,</w:t>
      </w:r>
      <w:r>
        <w:rPr>
          <w:color w:val="000000"/>
        </w:rPr>
        <w:t xml:space="preserve"> when he</w:t>
      </w:r>
    </w:p>
    <w:p w14:paraId="6EB8664A" w14:textId="50224E6F" w:rsidR="00DE0197" w:rsidRDefault="00DE0197" w:rsidP="00DE0197">
      <w:pPr>
        <w:pStyle w:val="NormalWeb"/>
        <w:spacing w:before="120" w:beforeAutospacing="0" w:after="120" w:afterAutospacing="0"/>
        <w:ind w:left="567"/>
        <w:jc w:val="both"/>
        <w:rPr>
          <w:color w:val="000000"/>
          <w:sz w:val="27"/>
          <w:szCs w:val="27"/>
        </w:rPr>
      </w:pPr>
      <w:r>
        <w:rPr>
          <w:color w:val="000000"/>
          <w:sz w:val="20"/>
          <w:szCs w:val="20"/>
        </w:rPr>
        <w:t>“</w:t>
      </w:r>
      <w:r w:rsidR="00017A90">
        <w:rPr>
          <w:color w:val="000000"/>
          <w:sz w:val="20"/>
          <w:szCs w:val="20"/>
        </w:rPr>
        <w:t>refers t</w:t>
      </w:r>
      <w:r>
        <w:rPr>
          <w:color w:val="000000"/>
          <w:sz w:val="20"/>
          <w:szCs w:val="20"/>
        </w:rPr>
        <w:t xml:space="preserve">he words of the apostle immediately to himself, </w:t>
      </w:r>
      <w:r w:rsidR="003E4A78">
        <w:rPr>
          <w:color w:val="000000"/>
          <w:sz w:val="20"/>
          <w:szCs w:val="20"/>
        </w:rPr>
        <w:t xml:space="preserve">in order </w:t>
      </w:r>
      <w:r>
        <w:rPr>
          <w:color w:val="000000"/>
          <w:sz w:val="20"/>
          <w:szCs w:val="20"/>
        </w:rPr>
        <w:t xml:space="preserve">not </w:t>
      </w:r>
      <w:r w:rsidR="000C37BD">
        <w:rPr>
          <w:color w:val="000000"/>
          <w:sz w:val="20"/>
          <w:szCs w:val="20"/>
        </w:rPr>
        <w:t xml:space="preserve">to </w:t>
      </w:r>
      <w:r w:rsidR="00F47B07">
        <w:rPr>
          <w:color w:val="000000"/>
          <w:sz w:val="20"/>
          <w:szCs w:val="20"/>
        </w:rPr>
        <w:t>lead</w:t>
      </w:r>
      <w:r w:rsidR="000C37BD">
        <w:rPr>
          <w:color w:val="000000"/>
          <w:sz w:val="20"/>
          <w:szCs w:val="20"/>
        </w:rPr>
        <w:t xml:space="preserve"> </w:t>
      </w:r>
      <w:r w:rsidR="003E4A78">
        <w:rPr>
          <w:color w:val="000000"/>
          <w:sz w:val="20"/>
          <w:szCs w:val="20"/>
        </w:rPr>
        <w:t xml:space="preserve">anybody </w:t>
      </w:r>
      <w:r>
        <w:rPr>
          <w:color w:val="000000"/>
          <w:sz w:val="20"/>
          <w:szCs w:val="20"/>
        </w:rPr>
        <w:t>to the church.</w:t>
      </w:r>
      <w:r w:rsidR="00F47B07">
        <w:rPr>
          <w:color w:val="000000"/>
          <w:sz w:val="20"/>
          <w:szCs w:val="20"/>
        </w:rPr>
        <w:t xml:space="preserve"> If he</w:t>
      </w:r>
      <w:r>
        <w:rPr>
          <w:color w:val="000000"/>
          <w:sz w:val="20"/>
          <w:szCs w:val="20"/>
        </w:rPr>
        <w:t> </w:t>
      </w:r>
      <w:r w:rsidR="00F47B07">
        <w:rPr>
          <w:color w:val="000000"/>
          <w:sz w:val="20"/>
          <w:szCs w:val="20"/>
        </w:rPr>
        <w:t xml:space="preserve">brings </w:t>
      </w:r>
      <w:r>
        <w:rPr>
          <w:color w:val="000000"/>
          <w:sz w:val="20"/>
          <w:szCs w:val="20"/>
        </w:rPr>
        <w:t xml:space="preserve">bad souls to her, </w:t>
      </w:r>
      <w:r w:rsidR="009E04BF">
        <w:rPr>
          <w:color w:val="000000"/>
          <w:sz w:val="20"/>
          <w:szCs w:val="20"/>
        </w:rPr>
        <w:t xml:space="preserve">he </w:t>
      </w:r>
      <w:r>
        <w:rPr>
          <w:color w:val="000000"/>
          <w:sz w:val="20"/>
          <w:szCs w:val="20"/>
        </w:rPr>
        <w:t>buil</w:t>
      </w:r>
      <w:r w:rsidR="009E04BF">
        <w:rPr>
          <w:color w:val="000000"/>
          <w:sz w:val="20"/>
          <w:szCs w:val="20"/>
        </w:rPr>
        <w:t xml:space="preserve">ds </w:t>
      </w:r>
      <w:r w:rsidR="000C37BD">
        <w:rPr>
          <w:color w:val="000000"/>
          <w:sz w:val="20"/>
          <w:szCs w:val="20"/>
        </w:rPr>
        <w:t xml:space="preserve">on the foundation using </w:t>
      </w:r>
      <w:r>
        <w:rPr>
          <w:color w:val="000000"/>
          <w:sz w:val="20"/>
          <w:szCs w:val="20"/>
        </w:rPr>
        <w:t xml:space="preserve">wood, straw and hay; but if </w:t>
      </w:r>
      <w:r w:rsidR="00F47B07">
        <w:rPr>
          <w:color w:val="000000"/>
          <w:sz w:val="20"/>
          <w:szCs w:val="20"/>
        </w:rPr>
        <w:t xml:space="preserve">he </w:t>
      </w:r>
      <w:r w:rsidR="005114A3">
        <w:rPr>
          <w:color w:val="000000"/>
          <w:sz w:val="20"/>
          <w:szCs w:val="20"/>
        </w:rPr>
        <w:t xml:space="preserve">gets </w:t>
      </w:r>
      <w:r>
        <w:rPr>
          <w:color w:val="000000"/>
          <w:sz w:val="20"/>
          <w:szCs w:val="20"/>
        </w:rPr>
        <w:t xml:space="preserve">some </w:t>
      </w:r>
      <w:r w:rsidR="005114A3">
        <w:rPr>
          <w:color w:val="000000"/>
          <w:sz w:val="20"/>
          <w:szCs w:val="20"/>
        </w:rPr>
        <w:t xml:space="preserve">of those to join </w:t>
      </w:r>
      <w:r>
        <w:rPr>
          <w:color w:val="000000"/>
          <w:sz w:val="20"/>
          <w:szCs w:val="20"/>
        </w:rPr>
        <w:t>... who excelled in the church, then he buil</w:t>
      </w:r>
      <w:r w:rsidR="005114A3">
        <w:rPr>
          <w:color w:val="000000"/>
          <w:sz w:val="20"/>
          <w:szCs w:val="20"/>
        </w:rPr>
        <w:t>ds</w:t>
      </w:r>
      <w:r>
        <w:rPr>
          <w:color w:val="000000"/>
          <w:sz w:val="20"/>
          <w:szCs w:val="20"/>
        </w:rPr>
        <w:t xml:space="preserve"> </w:t>
      </w:r>
      <w:r w:rsidR="005114A3">
        <w:rPr>
          <w:color w:val="000000"/>
          <w:sz w:val="20"/>
          <w:szCs w:val="20"/>
        </w:rPr>
        <w:t xml:space="preserve">using </w:t>
      </w:r>
      <w:r>
        <w:rPr>
          <w:color w:val="000000"/>
          <w:sz w:val="20"/>
          <w:szCs w:val="20"/>
        </w:rPr>
        <w:t xml:space="preserve">precious </w:t>
      </w:r>
      <w:proofErr w:type="gramStart"/>
      <w:r>
        <w:rPr>
          <w:color w:val="000000"/>
          <w:sz w:val="20"/>
          <w:szCs w:val="20"/>
        </w:rPr>
        <w:t>stones</w:t>
      </w:r>
      <w:r w:rsidR="005114A3">
        <w:rPr>
          <w:color w:val="000000"/>
          <w:sz w:val="20"/>
          <w:szCs w:val="20"/>
        </w:rPr>
        <w:t>’</w:t>
      </w:r>
      <w:proofErr w:type="gramEnd"/>
      <w:r>
        <w:rPr>
          <w:color w:val="000000"/>
          <w:sz w:val="20"/>
          <w:szCs w:val="20"/>
        </w:rPr>
        <w:t>.</w:t>
      </w:r>
      <w:bookmarkStart w:id="57" w:name="_ftnref82"/>
      <w:bookmarkEnd w:id="57"/>
      <w:r w:rsidR="005114A3">
        <w:rPr>
          <w:rStyle w:val="FootnoteReference"/>
          <w:color w:val="000000"/>
          <w:sz w:val="20"/>
          <w:szCs w:val="20"/>
        </w:rPr>
        <w:footnoteReference w:id="63"/>
      </w:r>
      <w:r w:rsidR="005114A3">
        <w:rPr>
          <w:color w:val="000000"/>
          <w:sz w:val="27"/>
          <w:szCs w:val="27"/>
        </w:rPr>
        <w:t xml:space="preserve"> </w:t>
      </w:r>
    </w:p>
    <w:p w14:paraId="33390850" w14:textId="0DD94511" w:rsidR="00DE0197" w:rsidRDefault="00DE0197" w:rsidP="00DE0197">
      <w:pPr>
        <w:pStyle w:val="NormalWeb"/>
        <w:spacing w:before="0" w:beforeAutospacing="0" w:after="0" w:afterAutospacing="0"/>
        <w:ind w:firstLine="720"/>
        <w:jc w:val="both"/>
        <w:rPr>
          <w:color w:val="000000"/>
          <w:sz w:val="27"/>
          <w:szCs w:val="27"/>
        </w:rPr>
      </w:pPr>
      <w:r>
        <w:rPr>
          <w:color w:val="000000"/>
        </w:rPr>
        <w:t xml:space="preserve">According to Origen, it was teachers like himself who continued to wall up the building of the church, who preached the gospel and brought </w:t>
      </w:r>
      <w:r w:rsidR="00D11E7D">
        <w:rPr>
          <w:color w:val="000000"/>
        </w:rPr>
        <w:t xml:space="preserve">selected, </w:t>
      </w:r>
      <w:r>
        <w:rPr>
          <w:color w:val="000000"/>
        </w:rPr>
        <w:t xml:space="preserve">new members to the church. Certainly, it was </w:t>
      </w:r>
      <w:r w:rsidR="00D11E7D">
        <w:rPr>
          <w:color w:val="000000"/>
        </w:rPr>
        <w:t>‘</w:t>
      </w:r>
      <w:r>
        <w:rPr>
          <w:color w:val="000000"/>
        </w:rPr>
        <w:t>the apostles who laid this foundation of Jesus Christ in Judea, while the apostle (Paul) and his collaborator Barnabas established it among the Gentiles</w:t>
      </w:r>
      <w:r w:rsidR="00D11E7D">
        <w:rPr>
          <w:color w:val="000000"/>
        </w:rPr>
        <w:t>’</w:t>
      </w:r>
      <w:r>
        <w:rPr>
          <w:color w:val="000000"/>
        </w:rPr>
        <w:t>, as stated in </w:t>
      </w:r>
      <w:r w:rsidRPr="00D11E7D">
        <w:rPr>
          <w:i/>
          <w:color w:val="000000"/>
        </w:rPr>
        <w:t>Rom</w:t>
      </w:r>
      <w:r>
        <w:rPr>
          <w:color w:val="000000"/>
        </w:rPr>
        <w:t> 11:13 (</w:t>
      </w:r>
      <w:r w:rsidR="00D11E7D">
        <w:rPr>
          <w:color w:val="000000"/>
        </w:rPr>
        <w:t>‘a</w:t>
      </w:r>
      <w:r>
        <w:rPr>
          <w:color w:val="000000"/>
        </w:rPr>
        <w:t>postle of the Gentiles</w:t>
      </w:r>
      <w:r w:rsidR="00D11E7D">
        <w:rPr>
          <w:color w:val="000000"/>
        </w:rPr>
        <w:t>’</w:t>
      </w:r>
      <w:r>
        <w:rPr>
          <w:color w:val="000000"/>
        </w:rPr>
        <w:t>) and </w:t>
      </w:r>
      <w:r w:rsidRPr="00D11E7D">
        <w:rPr>
          <w:i/>
          <w:color w:val="000000"/>
        </w:rPr>
        <w:t>Gal</w:t>
      </w:r>
      <w:r w:rsidR="00D11E7D">
        <w:rPr>
          <w:i/>
          <w:color w:val="000000"/>
        </w:rPr>
        <w:t>.</w:t>
      </w:r>
      <w:r>
        <w:rPr>
          <w:color w:val="000000"/>
        </w:rPr>
        <w:t> 2:9 (</w:t>
      </w:r>
      <w:r w:rsidR="00D11E7D">
        <w:rPr>
          <w:color w:val="000000"/>
        </w:rPr>
        <w:t>‘F</w:t>
      </w:r>
      <w:r>
        <w:rPr>
          <w:color w:val="000000"/>
        </w:rPr>
        <w:t xml:space="preserve">or they shook hands with me and Barnabas as a sign of communion, that we should be </w:t>
      </w:r>
      <w:r w:rsidR="00D11E7D">
        <w:rPr>
          <w:color w:val="000000"/>
        </w:rPr>
        <w:t xml:space="preserve">preach </w:t>
      </w:r>
      <w:r>
        <w:rPr>
          <w:color w:val="000000"/>
        </w:rPr>
        <w:t>among Gentiles, but they should [preach] </w:t>
      </w:r>
      <w:r w:rsidR="00D11E7D">
        <w:rPr>
          <w:color w:val="000000"/>
        </w:rPr>
        <w:t>amongst the</w:t>
      </w:r>
      <w:r>
        <w:rPr>
          <w:color w:val="000000"/>
        </w:rPr>
        <w:t xml:space="preserve"> circumcision</w:t>
      </w:r>
      <w:r w:rsidR="00D11E7D">
        <w:rPr>
          <w:color w:val="000000"/>
        </w:rPr>
        <w:t>’</w:t>
      </w:r>
      <w:r>
        <w:rPr>
          <w:color w:val="000000"/>
        </w:rPr>
        <w:t>).</w:t>
      </w:r>
      <w:bookmarkStart w:id="58" w:name="_ftnref83"/>
      <w:bookmarkEnd w:id="58"/>
      <w:r w:rsidR="00D11E7D">
        <w:rPr>
          <w:rStyle w:val="FootnoteReference"/>
          <w:color w:val="000000"/>
        </w:rPr>
        <w:footnoteReference w:id="64"/>
      </w:r>
      <w:r w:rsidR="00D11E7D">
        <w:rPr>
          <w:color w:val="000000"/>
        </w:rPr>
        <w:t xml:space="preserve"> </w:t>
      </w:r>
      <w:r>
        <w:rPr>
          <w:color w:val="000000"/>
        </w:rPr>
        <w:t xml:space="preserve">There is a </w:t>
      </w:r>
      <w:r w:rsidR="00D11E7D">
        <w:rPr>
          <w:color w:val="000000"/>
        </w:rPr>
        <w:t>‘</w:t>
      </w:r>
      <w:r>
        <w:rPr>
          <w:color w:val="000000"/>
        </w:rPr>
        <w:t>clear dividing line</w:t>
      </w:r>
      <w:r w:rsidR="00D11E7D">
        <w:rPr>
          <w:color w:val="000000"/>
        </w:rPr>
        <w:t>’</w:t>
      </w:r>
      <w:r>
        <w:rPr>
          <w:color w:val="000000"/>
        </w:rPr>
        <w:t xml:space="preserve"> between the </w:t>
      </w:r>
      <w:r w:rsidR="00D11E7D">
        <w:rPr>
          <w:color w:val="000000"/>
        </w:rPr>
        <w:t>A</w:t>
      </w:r>
      <w:r>
        <w:rPr>
          <w:color w:val="000000"/>
        </w:rPr>
        <w:t>postles on the one hand and the teachers on the other (and, thirdly, the ministers of the Church and the other members).</w:t>
      </w:r>
      <w:bookmarkStart w:id="59" w:name="_ftnref84"/>
      <w:bookmarkEnd w:id="59"/>
      <w:r w:rsidR="00D11E7D">
        <w:rPr>
          <w:rStyle w:val="FootnoteReference"/>
          <w:color w:val="000000"/>
        </w:rPr>
        <w:footnoteReference w:id="65"/>
      </w:r>
      <w:r w:rsidR="00D11E7D">
        <w:rPr>
          <w:color w:val="000000"/>
          <w:sz w:val="27"/>
          <w:szCs w:val="27"/>
        </w:rPr>
        <w:t xml:space="preserve"> </w:t>
      </w:r>
    </w:p>
    <w:p w14:paraId="2E00C067" w14:textId="4370D4F9" w:rsidR="00DE0197" w:rsidRDefault="00DE0197" w:rsidP="00DE0197">
      <w:pPr>
        <w:pStyle w:val="NormalWeb"/>
        <w:spacing w:before="0" w:beforeAutospacing="0" w:after="0" w:afterAutospacing="0"/>
        <w:jc w:val="both"/>
        <w:rPr>
          <w:color w:val="000000"/>
          <w:sz w:val="27"/>
          <w:szCs w:val="27"/>
        </w:rPr>
      </w:pPr>
      <w:r>
        <w:rPr>
          <w:color w:val="000000"/>
        </w:rPr>
        <w:t>              For Origen, apostles are “always messengers, then as now</w:t>
      </w:r>
      <w:r w:rsidR="00D11E7D">
        <w:rPr>
          <w:color w:val="000000"/>
        </w:rPr>
        <w:t xml:space="preserve"> in his times.</w:t>
      </w:r>
      <w:r>
        <w:rPr>
          <w:color w:val="000000"/>
        </w:rPr>
        <w:t> </w:t>
      </w:r>
      <w:r w:rsidR="00D11E7D">
        <w:rPr>
          <w:color w:val="000000"/>
        </w:rPr>
        <w:t>To be a</w:t>
      </w:r>
      <w:r>
        <w:rPr>
          <w:color w:val="000000"/>
        </w:rPr>
        <w:t>n apostle means</w:t>
      </w:r>
      <w:r w:rsidR="00D11E7D">
        <w:rPr>
          <w:color w:val="000000"/>
        </w:rPr>
        <w:t xml:space="preserve"> to be somebody who</w:t>
      </w:r>
      <w:r>
        <w:rPr>
          <w:color w:val="000000"/>
        </w:rPr>
        <w:t xml:space="preserve"> is sent ... </w:t>
      </w:r>
      <w:r w:rsidR="00D11E7D">
        <w:rPr>
          <w:color w:val="000000"/>
        </w:rPr>
        <w:t>A</w:t>
      </w:r>
      <w:r>
        <w:rPr>
          <w:color w:val="000000"/>
        </w:rPr>
        <w:t>postleship seems to be something temporary, at least something dynamic, not an institution</w:t>
      </w:r>
      <w:r w:rsidR="00D11E7D">
        <w:rPr>
          <w:color w:val="000000"/>
        </w:rPr>
        <w:t xml:space="preserve"> or</w:t>
      </w:r>
      <w:r>
        <w:rPr>
          <w:color w:val="000000"/>
        </w:rPr>
        <w:t xml:space="preserve"> a permanent authority that could be inherited by </w:t>
      </w:r>
      <w:proofErr w:type="gramStart"/>
      <w:r>
        <w:rPr>
          <w:color w:val="000000"/>
        </w:rPr>
        <w:t>others</w:t>
      </w:r>
      <w:r w:rsidR="00D11E7D">
        <w:rPr>
          <w:color w:val="000000"/>
        </w:rPr>
        <w:t>’</w:t>
      </w:r>
      <w:proofErr w:type="gramEnd"/>
      <w:r>
        <w:rPr>
          <w:color w:val="000000"/>
        </w:rPr>
        <w:t>.</w:t>
      </w:r>
      <w:bookmarkStart w:id="60" w:name="_ftnref85"/>
      <w:bookmarkEnd w:id="60"/>
      <w:r w:rsidR="00D11E7D">
        <w:rPr>
          <w:rStyle w:val="FootnoteReference"/>
          <w:color w:val="000000"/>
        </w:rPr>
        <w:footnoteReference w:id="66"/>
      </w:r>
      <w:r w:rsidR="00D11E7D">
        <w:rPr>
          <w:color w:val="000000"/>
        </w:rPr>
        <w:t xml:space="preserve"> </w:t>
      </w:r>
      <w:r>
        <w:rPr>
          <w:color w:val="000000"/>
        </w:rPr>
        <w:t xml:space="preserve">In contrast to </w:t>
      </w:r>
      <w:r w:rsidR="00D11E7D">
        <w:rPr>
          <w:color w:val="000000"/>
        </w:rPr>
        <w:t xml:space="preserve">apostles who were </w:t>
      </w:r>
      <w:r>
        <w:rPr>
          <w:color w:val="000000"/>
        </w:rPr>
        <w:t>laying</w:t>
      </w:r>
      <w:r w:rsidR="00D11E7D">
        <w:rPr>
          <w:color w:val="000000"/>
        </w:rPr>
        <w:t xml:space="preserve"> the foundation stones in</w:t>
      </w:r>
      <w:r>
        <w:rPr>
          <w:color w:val="000000"/>
        </w:rPr>
        <w:t xml:space="preserve"> the beginnings of Christianity</w:t>
      </w:r>
      <w:r w:rsidR="00D11E7D">
        <w:rPr>
          <w:color w:val="000000"/>
        </w:rPr>
        <w:t>, the church ministers that can be found later in the churches do no longer possess the spiritual and mental dignity that the apostles have</w:t>
      </w:r>
      <w:r>
        <w:rPr>
          <w:color w:val="000000"/>
        </w:rPr>
        <w:t>, but distinct from the</w:t>
      </w:r>
      <w:r w:rsidR="00D11E7D">
        <w:rPr>
          <w:color w:val="000000"/>
        </w:rPr>
        <w:t>se</w:t>
      </w:r>
      <w:r>
        <w:rPr>
          <w:color w:val="000000"/>
        </w:rPr>
        <w:t xml:space="preserve"> </w:t>
      </w:r>
      <w:r w:rsidR="00D11E7D">
        <w:rPr>
          <w:color w:val="000000"/>
        </w:rPr>
        <w:t xml:space="preserve">one that is </w:t>
      </w:r>
      <w:r>
        <w:rPr>
          <w:color w:val="000000"/>
        </w:rPr>
        <w:t>external, material</w:t>
      </w:r>
      <w:r w:rsidR="00D11E7D">
        <w:rPr>
          <w:color w:val="000000"/>
        </w:rPr>
        <w:t xml:space="preserve"> and</w:t>
      </w:r>
      <w:r>
        <w:rPr>
          <w:color w:val="000000"/>
        </w:rPr>
        <w:t xml:space="preserve"> visible in the world.</w:t>
      </w:r>
      <w:bookmarkStart w:id="61" w:name="_ftnref86"/>
      <w:bookmarkEnd w:id="61"/>
      <w:r w:rsidR="00D11E7D">
        <w:rPr>
          <w:rStyle w:val="FootnoteReference"/>
          <w:color w:val="000000"/>
        </w:rPr>
        <w:footnoteReference w:id="67"/>
      </w:r>
      <w:r w:rsidR="00D11E7D">
        <w:rPr>
          <w:color w:val="000000"/>
        </w:rPr>
        <w:t xml:space="preserve"> In addition to these two, </w:t>
      </w:r>
      <w:r>
        <w:rPr>
          <w:color w:val="000000"/>
        </w:rPr>
        <w:t xml:space="preserve">the first group of servants, and the teachers, Origen knows a </w:t>
      </w:r>
      <w:r w:rsidR="00D11E7D">
        <w:rPr>
          <w:color w:val="000000"/>
        </w:rPr>
        <w:t xml:space="preserve">further </w:t>
      </w:r>
      <w:r>
        <w:rPr>
          <w:color w:val="000000"/>
        </w:rPr>
        <w:t xml:space="preserve">group of servants who are sent by the king, namely </w:t>
      </w:r>
      <w:r w:rsidR="00D11E7D">
        <w:rPr>
          <w:color w:val="000000"/>
        </w:rPr>
        <w:t>‘</w:t>
      </w:r>
      <w:r>
        <w:rPr>
          <w:color w:val="000000"/>
        </w:rPr>
        <w:t>the apostles after the ascension of Jesus and their co-workers and successors</w:t>
      </w:r>
      <w:r w:rsidR="00D11E7D">
        <w:rPr>
          <w:color w:val="000000"/>
        </w:rPr>
        <w:t>’</w:t>
      </w:r>
      <w:r>
        <w:rPr>
          <w:color w:val="000000"/>
        </w:rPr>
        <w:t>.</w:t>
      </w:r>
      <w:bookmarkStart w:id="62" w:name="_ftnref87"/>
      <w:bookmarkEnd w:id="62"/>
      <w:r w:rsidR="00D11E7D">
        <w:rPr>
          <w:rStyle w:val="FootnoteReference"/>
          <w:color w:val="000000"/>
        </w:rPr>
        <w:footnoteReference w:id="68"/>
      </w:r>
      <w:r w:rsidR="00D11E7D">
        <w:rPr>
          <w:color w:val="000000"/>
        </w:rPr>
        <w:t xml:space="preserve"> </w:t>
      </w:r>
      <w:r>
        <w:rPr>
          <w:color w:val="000000"/>
        </w:rPr>
        <w:t>Teachers</w:t>
      </w:r>
      <w:r w:rsidR="00D11E7D">
        <w:rPr>
          <w:color w:val="000000"/>
        </w:rPr>
        <w:t>, therefore,</w:t>
      </w:r>
      <w:r>
        <w:rPr>
          <w:color w:val="000000"/>
        </w:rPr>
        <w:t xml:space="preserve"> are more precisely these co-workers and successors of the second </w:t>
      </w:r>
      <w:r w:rsidR="00D11E7D">
        <w:rPr>
          <w:color w:val="000000"/>
        </w:rPr>
        <w:t xml:space="preserve">group </w:t>
      </w:r>
      <w:r>
        <w:rPr>
          <w:color w:val="000000"/>
        </w:rPr>
        <w:t xml:space="preserve">of </w:t>
      </w:r>
      <w:r w:rsidR="00D11E7D">
        <w:rPr>
          <w:color w:val="000000"/>
        </w:rPr>
        <w:t xml:space="preserve">servants and </w:t>
      </w:r>
      <w:r>
        <w:rPr>
          <w:color w:val="000000"/>
        </w:rPr>
        <w:t>apostles, who already belong to the time after Jesus</w:t>
      </w:r>
      <w:r w:rsidR="00D11E7D">
        <w:rPr>
          <w:color w:val="000000"/>
        </w:rPr>
        <w:t>’</w:t>
      </w:r>
      <w:r>
        <w:rPr>
          <w:color w:val="000000"/>
        </w:rPr>
        <w:t xml:space="preserve"> ascension, and these</w:t>
      </w:r>
      <w:r w:rsidR="00D11E7D">
        <w:rPr>
          <w:color w:val="000000"/>
        </w:rPr>
        <w:t xml:space="preserve"> all</w:t>
      </w:r>
      <w:r>
        <w:rPr>
          <w:color w:val="000000"/>
        </w:rPr>
        <w:t xml:space="preserve"> are prophets and servants of the word,</w:t>
      </w:r>
      <w:bookmarkStart w:id="63" w:name="_ftnref88"/>
      <w:bookmarkEnd w:id="63"/>
      <w:r w:rsidR="00D11E7D">
        <w:rPr>
          <w:rStyle w:val="FootnoteReference"/>
          <w:color w:val="000000"/>
        </w:rPr>
        <w:footnoteReference w:id="69"/>
      </w:r>
      <w:r w:rsidR="00D11E7D">
        <w:rPr>
          <w:color w:val="000000"/>
        </w:rPr>
        <w:t xml:space="preserve"> </w:t>
      </w:r>
      <w:r>
        <w:rPr>
          <w:color w:val="000000"/>
        </w:rPr>
        <w:t>women and men,</w:t>
      </w:r>
      <w:bookmarkStart w:id="64" w:name="_ftnref89"/>
      <w:bookmarkEnd w:id="64"/>
      <w:r w:rsidR="004E50E5">
        <w:rPr>
          <w:rStyle w:val="FootnoteReference"/>
          <w:color w:val="000000"/>
        </w:rPr>
        <w:footnoteReference w:id="70"/>
      </w:r>
      <w:r w:rsidR="004E50E5">
        <w:rPr>
          <w:color w:val="000000"/>
        </w:rPr>
        <w:t xml:space="preserve"> </w:t>
      </w:r>
      <w:r>
        <w:rPr>
          <w:color w:val="000000"/>
        </w:rPr>
        <w:t>or, according to a passage in </w:t>
      </w:r>
      <w:r>
        <w:rPr>
          <w:i/>
          <w:iCs/>
          <w:color w:val="000000"/>
        </w:rPr>
        <w:t xml:space="preserve">De </w:t>
      </w:r>
      <w:proofErr w:type="spellStart"/>
      <w:r>
        <w:rPr>
          <w:i/>
          <w:iCs/>
          <w:color w:val="000000"/>
        </w:rPr>
        <w:t>principiis</w:t>
      </w:r>
      <w:proofErr w:type="spellEnd"/>
      <w:r>
        <w:rPr>
          <w:color w:val="000000"/>
        </w:rPr>
        <w:t>, it is the whole church that is thus placed in the succession of the apostles.</w:t>
      </w:r>
      <w:bookmarkStart w:id="65" w:name="_ftnref90"/>
      <w:bookmarkEnd w:id="65"/>
      <w:r w:rsidR="004E50E5">
        <w:rPr>
          <w:rStyle w:val="FootnoteReference"/>
          <w:color w:val="000000"/>
        </w:rPr>
        <w:footnoteReference w:id="71"/>
      </w:r>
      <w:r w:rsidR="004E50E5">
        <w:rPr>
          <w:color w:val="000000"/>
          <w:sz w:val="27"/>
          <w:szCs w:val="27"/>
        </w:rPr>
        <w:t xml:space="preserve"> </w:t>
      </w:r>
    </w:p>
    <w:p w14:paraId="6DE1F300" w14:textId="53EB59FA" w:rsidR="00DE0197" w:rsidRDefault="00DE0197" w:rsidP="00DE0197">
      <w:pPr>
        <w:pStyle w:val="NormalWeb"/>
        <w:spacing w:before="0" w:beforeAutospacing="0" w:after="0" w:afterAutospacing="0"/>
        <w:ind w:firstLine="720"/>
        <w:jc w:val="both"/>
        <w:rPr>
          <w:color w:val="000000"/>
          <w:sz w:val="27"/>
          <w:szCs w:val="27"/>
        </w:rPr>
      </w:pPr>
      <w:r>
        <w:rPr>
          <w:color w:val="000000"/>
        </w:rPr>
        <w:lastRenderedPageBreak/>
        <w:t xml:space="preserve">With Origen </w:t>
      </w:r>
      <w:r w:rsidR="004E50E5">
        <w:rPr>
          <w:color w:val="000000"/>
        </w:rPr>
        <w:t>‘</w:t>
      </w:r>
      <w:r>
        <w:rPr>
          <w:color w:val="000000"/>
        </w:rPr>
        <w:t xml:space="preserve">there is </w:t>
      </w:r>
      <w:r w:rsidR="004E50E5">
        <w:rPr>
          <w:color w:val="000000"/>
        </w:rPr>
        <w:t xml:space="preserve">hardly any mention </w:t>
      </w:r>
      <w:r>
        <w:rPr>
          <w:color w:val="000000"/>
        </w:rPr>
        <w:t>of the bishop as the shepherd ...</w:t>
      </w:r>
      <w:r w:rsidR="004E50E5">
        <w:rPr>
          <w:color w:val="000000"/>
        </w:rPr>
        <w:t>’</w:t>
      </w:r>
      <w:r>
        <w:rPr>
          <w:color w:val="000000"/>
        </w:rPr>
        <w:t xml:space="preserve"> and yet he knows the hierarchy of Christ, bishops, presbyters, deacons and </w:t>
      </w:r>
      <w:r w:rsidR="004E50E5">
        <w:rPr>
          <w:color w:val="000000"/>
        </w:rPr>
        <w:t>‘</w:t>
      </w:r>
      <w:r>
        <w:rPr>
          <w:color w:val="000000"/>
        </w:rPr>
        <w:t>all those who are outstanding in the faith</w:t>
      </w:r>
      <w:r w:rsidR="004E50E5">
        <w:rPr>
          <w:color w:val="000000"/>
        </w:rPr>
        <w:t>’</w:t>
      </w:r>
      <w:r>
        <w:rPr>
          <w:color w:val="000000"/>
        </w:rPr>
        <w:t>.</w:t>
      </w:r>
      <w:bookmarkStart w:id="66" w:name="_ftnref91"/>
      <w:bookmarkEnd w:id="66"/>
      <w:r w:rsidR="004E50E5">
        <w:rPr>
          <w:rStyle w:val="FootnoteReference"/>
          <w:color w:val="000000"/>
        </w:rPr>
        <w:footnoteReference w:id="72"/>
      </w:r>
      <w:r w:rsidR="004E50E5">
        <w:rPr>
          <w:color w:val="000000"/>
        </w:rPr>
        <w:t xml:space="preserve"> Yet,</w:t>
      </w:r>
      <w:r>
        <w:rPr>
          <w:color w:val="000000"/>
        </w:rPr>
        <w:t xml:space="preserve"> he also sees the bishop primarily as a student and teacher:</w:t>
      </w:r>
    </w:p>
    <w:p w14:paraId="10344110" w14:textId="11FB7216" w:rsidR="00DE0197" w:rsidRDefault="004E50E5" w:rsidP="00DE0197">
      <w:pPr>
        <w:pStyle w:val="NormalWeb"/>
        <w:spacing w:before="120" w:beforeAutospacing="0" w:after="120" w:afterAutospacing="0"/>
        <w:ind w:left="567"/>
        <w:jc w:val="both"/>
        <w:rPr>
          <w:color w:val="000000"/>
          <w:sz w:val="27"/>
          <w:szCs w:val="27"/>
        </w:rPr>
      </w:pPr>
      <w:r>
        <w:rPr>
          <w:color w:val="000000"/>
          <w:sz w:val="20"/>
          <w:szCs w:val="20"/>
        </w:rPr>
        <w:t>‘</w:t>
      </w:r>
      <w:r w:rsidR="00DE0197">
        <w:rPr>
          <w:color w:val="000000"/>
          <w:sz w:val="20"/>
          <w:szCs w:val="20"/>
        </w:rPr>
        <w:t xml:space="preserve">These are the two works of the high priest, that he either learn from God through </w:t>
      </w:r>
      <w:r>
        <w:rPr>
          <w:color w:val="000000"/>
          <w:sz w:val="20"/>
          <w:szCs w:val="20"/>
        </w:rPr>
        <w:t>S</w:t>
      </w:r>
      <w:r w:rsidR="00DE0197">
        <w:rPr>
          <w:color w:val="000000"/>
          <w:sz w:val="20"/>
          <w:szCs w:val="20"/>
        </w:rPr>
        <w:t xml:space="preserve">cripture reading and frequent meditation, or that he </w:t>
      </w:r>
      <w:proofErr w:type="gramStart"/>
      <w:r w:rsidR="00DE0197">
        <w:rPr>
          <w:color w:val="000000"/>
          <w:sz w:val="20"/>
          <w:szCs w:val="20"/>
        </w:rPr>
        <w:t>teach</w:t>
      </w:r>
      <w:proofErr w:type="gramEnd"/>
      <w:r w:rsidR="00DE0197">
        <w:rPr>
          <w:color w:val="000000"/>
          <w:sz w:val="20"/>
          <w:szCs w:val="20"/>
        </w:rPr>
        <w:t xml:space="preserve"> the people. But he is only allowed to teach what he himself has learned from God; not from his own heart or from purely human insight, but what the Holy Spirit teaches</w:t>
      </w:r>
      <w:bookmarkStart w:id="67" w:name="_ftnref92"/>
      <w:bookmarkEnd w:id="67"/>
      <w:r>
        <w:rPr>
          <w:color w:val="000000"/>
          <w:sz w:val="20"/>
          <w:szCs w:val="20"/>
        </w:rPr>
        <w:t>.’</w:t>
      </w:r>
      <w:r>
        <w:rPr>
          <w:rStyle w:val="FootnoteReference"/>
          <w:color w:val="000000"/>
          <w:sz w:val="20"/>
          <w:szCs w:val="20"/>
        </w:rPr>
        <w:footnoteReference w:id="73"/>
      </w:r>
    </w:p>
    <w:p w14:paraId="3FB0B23E" w14:textId="6BDC93B6" w:rsidR="00DE0197" w:rsidRDefault="00DE0197" w:rsidP="00DE0197">
      <w:pPr>
        <w:pStyle w:val="NormalWeb"/>
        <w:spacing w:before="0" w:beforeAutospacing="0" w:after="0" w:afterAutospacing="0"/>
        <w:jc w:val="both"/>
        <w:rPr>
          <w:color w:val="000000"/>
          <w:sz w:val="27"/>
          <w:szCs w:val="27"/>
        </w:rPr>
      </w:pPr>
      <w:r>
        <w:rPr>
          <w:color w:val="000000"/>
        </w:rPr>
        <w:t xml:space="preserve">Bishops as teachers do not inherit their office because they were successors of the apostles, as we read </w:t>
      </w:r>
      <w:r w:rsidR="004E50E5">
        <w:rPr>
          <w:color w:val="000000"/>
        </w:rPr>
        <w:t>in</w:t>
      </w:r>
      <w:r>
        <w:rPr>
          <w:color w:val="000000"/>
        </w:rPr>
        <w:t xml:space="preserve"> Eusebius, but because they taught and learned from God, and only to the extent that they were taught</w:t>
      </w:r>
      <w:r w:rsidR="00133CC8">
        <w:rPr>
          <w:color w:val="000000"/>
        </w:rPr>
        <w:t xml:space="preserve"> they gained authority</w:t>
      </w:r>
      <w:r>
        <w:rPr>
          <w:color w:val="000000"/>
        </w:rPr>
        <w:t>. </w:t>
      </w:r>
      <w:r w:rsidR="00133CC8">
        <w:rPr>
          <w:color w:val="000000"/>
        </w:rPr>
        <w:t xml:space="preserve">Hence, this </w:t>
      </w:r>
      <w:r>
        <w:rPr>
          <w:color w:val="000000"/>
        </w:rPr>
        <w:t xml:space="preserve">authority does not come to them either from themselves (consequently also not through possibly divine visions), from their own study or from the human side at all, but from the fact that they have been instructed by the Holy Spirit. What this means is not immediately clear, but is derived from the distinction described, which Origen sees as valid for </w:t>
      </w:r>
      <w:r w:rsidR="00133CC8">
        <w:rPr>
          <w:color w:val="000000"/>
        </w:rPr>
        <w:t>all</w:t>
      </w:r>
      <w:r>
        <w:rPr>
          <w:color w:val="000000"/>
        </w:rPr>
        <w:t xml:space="preserve"> believers, namely </w:t>
      </w:r>
      <w:r w:rsidR="00133CC8">
        <w:rPr>
          <w:color w:val="000000"/>
        </w:rPr>
        <w:t xml:space="preserve">whether they are </w:t>
      </w:r>
      <w:r>
        <w:rPr>
          <w:color w:val="000000"/>
        </w:rPr>
        <w:t xml:space="preserve">beginners, advanced </w:t>
      </w:r>
      <w:r w:rsidR="00133CC8">
        <w:rPr>
          <w:color w:val="000000"/>
        </w:rPr>
        <w:t xml:space="preserve">or </w:t>
      </w:r>
      <w:r>
        <w:rPr>
          <w:color w:val="000000"/>
        </w:rPr>
        <w:t xml:space="preserve">spiritually gifted </w:t>
      </w:r>
      <w:r w:rsidR="00133CC8">
        <w:rPr>
          <w:color w:val="000000"/>
        </w:rPr>
        <w:t xml:space="preserve">and </w:t>
      </w:r>
      <w:r>
        <w:rPr>
          <w:color w:val="000000"/>
        </w:rPr>
        <w:t>pneumatics. </w:t>
      </w:r>
      <w:r w:rsidR="00133CC8">
        <w:rPr>
          <w:color w:val="000000"/>
        </w:rPr>
        <w:t>Even though t</w:t>
      </w:r>
      <w:r>
        <w:rPr>
          <w:color w:val="000000"/>
        </w:rPr>
        <w:t xml:space="preserve">he latter are no apostles or </w:t>
      </w:r>
      <w:r w:rsidR="00133CC8">
        <w:rPr>
          <w:color w:val="000000"/>
        </w:rPr>
        <w:t xml:space="preserve">successors of </w:t>
      </w:r>
      <w:r>
        <w:rPr>
          <w:color w:val="000000"/>
        </w:rPr>
        <w:t>apostle</w:t>
      </w:r>
      <w:r w:rsidR="00133CC8">
        <w:rPr>
          <w:color w:val="000000"/>
        </w:rPr>
        <w:t>s</w:t>
      </w:r>
      <w:r>
        <w:rPr>
          <w:color w:val="000000"/>
        </w:rPr>
        <w:t xml:space="preserve">, they are </w:t>
      </w:r>
      <w:r w:rsidR="00133CC8">
        <w:rPr>
          <w:color w:val="000000"/>
        </w:rPr>
        <w:t>nevertheless ‘</w:t>
      </w:r>
      <w:r>
        <w:rPr>
          <w:color w:val="000000"/>
        </w:rPr>
        <w:t>similar</w:t>
      </w:r>
      <w:r w:rsidR="00133CC8">
        <w:rPr>
          <w:color w:val="000000"/>
        </w:rPr>
        <w:t>’</w:t>
      </w:r>
      <w:r>
        <w:rPr>
          <w:color w:val="000000"/>
        </w:rPr>
        <w:t xml:space="preserve"> to the apostles and are therefore </w:t>
      </w:r>
      <w:r w:rsidR="00133CC8">
        <w:rPr>
          <w:color w:val="000000"/>
        </w:rPr>
        <w:t>‘</w:t>
      </w:r>
      <w:r>
        <w:rPr>
          <w:color w:val="000000"/>
        </w:rPr>
        <w:t xml:space="preserve">priests according to the high priest, have received knowledge of divine therapy and know, instructed by the Holy Spirit, for which sins one should offer sacrifices when and in what way, and they also </w:t>
      </w:r>
      <w:r w:rsidR="00133CC8">
        <w:rPr>
          <w:color w:val="000000"/>
        </w:rPr>
        <w:t>know</w:t>
      </w:r>
      <w:r>
        <w:rPr>
          <w:color w:val="000000"/>
        </w:rPr>
        <w:t xml:space="preserve"> for </w:t>
      </w:r>
      <w:r w:rsidR="00133CC8">
        <w:rPr>
          <w:color w:val="000000"/>
        </w:rPr>
        <w:t>whom</w:t>
      </w:r>
      <w:r>
        <w:rPr>
          <w:color w:val="000000"/>
        </w:rPr>
        <w:t xml:space="preserve"> one is not allowed to </w:t>
      </w:r>
      <w:r w:rsidR="00133CC8">
        <w:rPr>
          <w:color w:val="000000"/>
        </w:rPr>
        <w:t>off these’</w:t>
      </w:r>
      <w:r>
        <w:rPr>
          <w:color w:val="000000"/>
        </w:rPr>
        <w:t>.</w:t>
      </w:r>
      <w:bookmarkStart w:id="68" w:name="_ftnref93"/>
      <w:bookmarkEnd w:id="68"/>
      <w:r w:rsidR="00133CC8">
        <w:rPr>
          <w:rStyle w:val="FootnoteReference"/>
          <w:color w:val="000000"/>
        </w:rPr>
        <w:footnoteReference w:id="74"/>
      </w:r>
      <w:r w:rsidR="00133CC8">
        <w:rPr>
          <w:color w:val="000000"/>
          <w:sz w:val="27"/>
          <w:szCs w:val="27"/>
        </w:rPr>
        <w:t xml:space="preserve"> </w:t>
      </w:r>
    </w:p>
    <w:p w14:paraId="78B2CD89" w14:textId="0F488A11" w:rsidR="00DE0197" w:rsidRDefault="00DE0197" w:rsidP="00DE0197">
      <w:pPr>
        <w:pStyle w:val="NormalWeb"/>
        <w:spacing w:before="0" w:beforeAutospacing="0" w:after="0" w:afterAutospacing="0"/>
        <w:ind w:firstLine="720"/>
        <w:jc w:val="both"/>
        <w:rPr>
          <w:color w:val="000000"/>
          <w:sz w:val="27"/>
          <w:szCs w:val="27"/>
        </w:rPr>
      </w:pPr>
      <w:r>
        <w:rPr>
          <w:color w:val="000000"/>
        </w:rPr>
        <w:t>Despite all the differences to the priestly and high priestly office of the Jews, Origen</w:t>
      </w:r>
      <w:r w:rsidR="00133CC8">
        <w:rPr>
          <w:color w:val="000000"/>
        </w:rPr>
        <w:t>’</w:t>
      </w:r>
      <w:r>
        <w:rPr>
          <w:color w:val="000000"/>
        </w:rPr>
        <w:t xml:space="preserve">s description of the influence of the biblical writings, especially the Old Testament, is clear. Although the existence of the church offices of bishop, priest or presbyter, deacons, widows and virgins, also preachers and teachers </w:t>
      </w:r>
      <w:proofErr w:type="gramStart"/>
      <w:r>
        <w:rPr>
          <w:color w:val="000000"/>
        </w:rPr>
        <w:t>was</w:t>
      </w:r>
      <w:proofErr w:type="gramEnd"/>
      <w:r>
        <w:rPr>
          <w:color w:val="000000"/>
        </w:rPr>
        <w:t xml:space="preserve"> already a matter of course for him, on the one hand bishop and priest / presbyter were not </w:t>
      </w:r>
      <w:r w:rsidR="00133CC8">
        <w:rPr>
          <w:color w:val="000000"/>
        </w:rPr>
        <w:t>‘</w:t>
      </w:r>
      <w:r>
        <w:rPr>
          <w:color w:val="000000"/>
        </w:rPr>
        <w:t>clearly different</w:t>
      </w:r>
      <w:r w:rsidR="00133CC8">
        <w:rPr>
          <w:color w:val="000000"/>
        </w:rPr>
        <w:t>iated</w:t>
      </w:r>
      <w:r>
        <w:rPr>
          <w:color w:val="000000"/>
        </w:rPr>
        <w:t xml:space="preserve"> from each other</w:t>
      </w:r>
      <w:r w:rsidR="00133CC8">
        <w:rPr>
          <w:color w:val="000000"/>
        </w:rPr>
        <w:t>’</w:t>
      </w:r>
      <w:r>
        <w:rPr>
          <w:color w:val="000000"/>
        </w:rPr>
        <w:t xml:space="preserve">, and Origen knows different </w:t>
      </w:r>
      <w:r w:rsidR="00133CC8">
        <w:rPr>
          <w:color w:val="000000"/>
        </w:rPr>
        <w:t>ladders of hierarchy</w:t>
      </w:r>
      <w:r>
        <w:rPr>
          <w:color w:val="000000"/>
        </w:rPr>
        <w:t>.</w:t>
      </w:r>
      <w:bookmarkStart w:id="69" w:name="_ftnref94"/>
      <w:bookmarkEnd w:id="69"/>
      <w:r w:rsidR="00133CC8">
        <w:rPr>
          <w:rStyle w:val="FootnoteReference"/>
          <w:color w:val="000000"/>
        </w:rPr>
        <w:footnoteReference w:id="75"/>
      </w:r>
      <w:r w:rsidR="00133CC8">
        <w:rPr>
          <w:color w:val="000000"/>
        </w:rPr>
        <w:t xml:space="preserve"> Important are </w:t>
      </w:r>
      <w:r>
        <w:rPr>
          <w:color w:val="000000"/>
        </w:rPr>
        <w:t xml:space="preserve">not the physical offices and with them the human personalities </w:t>
      </w:r>
      <w:r w:rsidR="00133CC8">
        <w:rPr>
          <w:color w:val="000000"/>
        </w:rPr>
        <w:t>that carry out these duties</w:t>
      </w:r>
      <w:r>
        <w:rPr>
          <w:color w:val="000000"/>
        </w:rPr>
        <w:t>, but the spiritual</w:t>
      </w:r>
      <w:r w:rsidR="00133CC8">
        <w:rPr>
          <w:color w:val="000000"/>
        </w:rPr>
        <w:t xml:space="preserve"> basis that carries them</w:t>
      </w:r>
      <w:r>
        <w:rPr>
          <w:color w:val="000000"/>
        </w:rPr>
        <w:t xml:space="preserve">: </w:t>
      </w:r>
      <w:r w:rsidR="00133CC8">
        <w:rPr>
          <w:color w:val="000000"/>
        </w:rPr>
        <w:t>‘</w:t>
      </w:r>
      <w:r>
        <w:rPr>
          <w:color w:val="000000"/>
        </w:rPr>
        <w:t>Behind every visible, sensible</w:t>
      </w:r>
      <w:r w:rsidR="00133CC8">
        <w:rPr>
          <w:color w:val="000000"/>
        </w:rPr>
        <w:t>’</w:t>
      </w:r>
      <w:r>
        <w:rPr>
          <w:color w:val="000000"/>
        </w:rPr>
        <w:t xml:space="preserve"> bishop Origen sees </w:t>
      </w:r>
      <w:r w:rsidR="00133CC8">
        <w:rPr>
          <w:color w:val="000000"/>
        </w:rPr>
        <w:t xml:space="preserve">standing </w:t>
      </w:r>
      <w:r>
        <w:rPr>
          <w:color w:val="000000"/>
        </w:rPr>
        <w:t>a spiritual bishop, an angel, and behind all bishops</w:t>
      </w:r>
      <w:r w:rsidR="00133CC8">
        <w:rPr>
          <w:color w:val="000000"/>
        </w:rPr>
        <w:t>, he sees</w:t>
      </w:r>
      <w:r>
        <w:rPr>
          <w:color w:val="000000"/>
        </w:rPr>
        <w:t xml:space="preserve"> the one bishop</w:t>
      </w:r>
      <w:r w:rsidR="00133CC8">
        <w:rPr>
          <w:color w:val="000000"/>
        </w:rPr>
        <w:t xml:space="preserve"> enthroned</w:t>
      </w:r>
      <w:r>
        <w:rPr>
          <w:color w:val="000000"/>
        </w:rPr>
        <w:t>, Jesus Christ</w:t>
      </w:r>
      <w:r w:rsidR="00133CC8">
        <w:rPr>
          <w:color w:val="000000"/>
        </w:rPr>
        <w:t xml:space="preserve"> –</w:t>
      </w:r>
      <w:r>
        <w:rPr>
          <w:color w:val="000000"/>
        </w:rPr>
        <w:t xml:space="preserve"> a</w:t>
      </w:r>
      <w:r w:rsidR="00133CC8">
        <w:rPr>
          <w:color w:val="000000"/>
        </w:rPr>
        <w:t>s we read in</w:t>
      </w:r>
      <w:r>
        <w:rPr>
          <w:color w:val="000000"/>
        </w:rPr>
        <w:t xml:space="preserve"> 1</w:t>
      </w:r>
      <w:r w:rsidRPr="00133CC8">
        <w:rPr>
          <w:i/>
          <w:color w:val="000000"/>
        </w:rPr>
        <w:t>Petr</w:t>
      </w:r>
      <w:r w:rsidR="00133CC8">
        <w:rPr>
          <w:i/>
          <w:color w:val="000000"/>
        </w:rPr>
        <w:t>.</w:t>
      </w:r>
      <w:r>
        <w:rPr>
          <w:color w:val="000000"/>
        </w:rPr>
        <w:t> 2</w:t>
      </w:r>
      <w:r w:rsidR="00133CC8">
        <w:rPr>
          <w:color w:val="000000"/>
        </w:rPr>
        <w:t>:2</w:t>
      </w:r>
      <w:r>
        <w:rPr>
          <w:color w:val="000000"/>
        </w:rPr>
        <w:t>5</w:t>
      </w:r>
      <w:bookmarkStart w:id="70" w:name="_ftnref95"/>
      <w:bookmarkEnd w:id="70"/>
      <w:r w:rsidR="00133CC8">
        <w:rPr>
          <w:color w:val="000000"/>
        </w:rPr>
        <w:t xml:space="preserve"> that Christ is ‘the shepherd and the bishop of your souls’ (</w:t>
      </w:r>
      <w:r w:rsidR="00133CC8" w:rsidRPr="00133CC8">
        <w:rPr>
          <w:color w:val="000000"/>
        </w:rPr>
        <w:t xml:space="preserve">ἐπὶ </w:t>
      </w:r>
      <w:proofErr w:type="spellStart"/>
      <w:r w:rsidR="00133CC8" w:rsidRPr="00133CC8">
        <w:rPr>
          <w:color w:val="000000"/>
        </w:rPr>
        <w:t>τὸν</w:t>
      </w:r>
      <w:proofErr w:type="spellEnd"/>
      <w:r w:rsidR="00133CC8" w:rsidRPr="00133CC8">
        <w:rPr>
          <w:color w:val="000000"/>
        </w:rPr>
        <w:t xml:space="preserve"> π</w:t>
      </w:r>
      <w:proofErr w:type="spellStart"/>
      <w:r w:rsidR="00133CC8" w:rsidRPr="00133CC8">
        <w:rPr>
          <w:color w:val="000000"/>
        </w:rPr>
        <w:t>οιμέν</w:t>
      </w:r>
      <w:proofErr w:type="spellEnd"/>
      <w:r w:rsidR="00133CC8" w:rsidRPr="00133CC8">
        <w:rPr>
          <w:color w:val="000000"/>
        </w:rPr>
        <w:t>α καὶ ἐπ</w:t>
      </w:r>
      <w:proofErr w:type="spellStart"/>
      <w:r w:rsidR="00133CC8" w:rsidRPr="00133CC8">
        <w:rPr>
          <w:color w:val="000000"/>
        </w:rPr>
        <w:t>ίσκο</w:t>
      </w:r>
      <w:proofErr w:type="spellEnd"/>
      <w:r w:rsidR="00133CC8" w:rsidRPr="00133CC8">
        <w:rPr>
          <w:color w:val="000000"/>
        </w:rPr>
        <w:t xml:space="preserve">πον </w:t>
      </w:r>
      <w:proofErr w:type="spellStart"/>
      <w:r w:rsidR="00133CC8" w:rsidRPr="00133CC8">
        <w:rPr>
          <w:color w:val="000000"/>
        </w:rPr>
        <w:t>τῶν</w:t>
      </w:r>
      <w:proofErr w:type="spellEnd"/>
      <w:r w:rsidR="00133CC8" w:rsidRPr="00133CC8">
        <w:rPr>
          <w:color w:val="000000"/>
        </w:rPr>
        <w:t xml:space="preserve"> </w:t>
      </w:r>
      <w:proofErr w:type="spellStart"/>
      <w:r w:rsidR="00133CC8" w:rsidRPr="00133CC8">
        <w:rPr>
          <w:color w:val="000000"/>
        </w:rPr>
        <w:t>ψυχῶν</w:t>
      </w:r>
      <w:proofErr w:type="spellEnd"/>
      <w:r w:rsidR="00133CC8" w:rsidRPr="00133CC8">
        <w:rPr>
          <w:color w:val="000000"/>
        </w:rPr>
        <w:t xml:space="preserve"> </w:t>
      </w:r>
      <w:proofErr w:type="spellStart"/>
      <w:r w:rsidR="00133CC8" w:rsidRPr="00133CC8">
        <w:rPr>
          <w:color w:val="000000"/>
        </w:rPr>
        <w:t>ὑμῶν</w:t>
      </w:r>
      <w:proofErr w:type="spellEnd"/>
      <w:r w:rsidR="00133CC8">
        <w:rPr>
          <w:color w:val="000000"/>
        </w:rPr>
        <w:t xml:space="preserve">) </w:t>
      </w:r>
      <w:r>
        <w:rPr>
          <w:color w:val="000000"/>
        </w:rPr>
        <w:t xml:space="preserve">- or </w:t>
      </w:r>
      <w:r w:rsidR="005D742F">
        <w:rPr>
          <w:color w:val="000000"/>
        </w:rPr>
        <w:t>as</w:t>
      </w:r>
      <w:r>
        <w:rPr>
          <w:color w:val="000000"/>
        </w:rPr>
        <w:t> </w:t>
      </w:r>
      <w:r w:rsidRPr="005D742F">
        <w:rPr>
          <w:i/>
          <w:color w:val="000000"/>
        </w:rPr>
        <w:t>Job</w:t>
      </w:r>
      <w:r>
        <w:rPr>
          <w:color w:val="000000"/>
        </w:rPr>
        <w:t> 20:29</w:t>
      </w:r>
      <w:r w:rsidR="005D742F">
        <w:rPr>
          <w:color w:val="000000"/>
        </w:rPr>
        <w:t xml:space="preserve"> states that</w:t>
      </w:r>
      <w:r>
        <w:rPr>
          <w:color w:val="000000"/>
        </w:rPr>
        <w:t xml:space="preserve"> God himself.</w:t>
      </w:r>
      <w:bookmarkStart w:id="71" w:name="_ftnref96"/>
      <w:bookmarkEnd w:id="71"/>
      <w:r w:rsidR="005D742F">
        <w:rPr>
          <w:rStyle w:val="FootnoteReference"/>
          <w:color w:val="000000"/>
        </w:rPr>
        <w:footnoteReference w:id="76"/>
      </w:r>
      <w:r w:rsidR="005D742F">
        <w:rPr>
          <w:color w:val="000000"/>
        </w:rPr>
        <w:t xml:space="preserve"> </w:t>
      </w:r>
      <w:r>
        <w:rPr>
          <w:color w:val="000000"/>
        </w:rPr>
        <w:t xml:space="preserve">Origen also </w:t>
      </w:r>
      <w:r w:rsidR="005D742F">
        <w:rPr>
          <w:color w:val="000000"/>
        </w:rPr>
        <w:t xml:space="preserve">thinks about </w:t>
      </w:r>
      <w:r>
        <w:rPr>
          <w:color w:val="000000"/>
        </w:rPr>
        <w:t>the material concerns and necessary needs of the other officials</w:t>
      </w:r>
      <w:r w:rsidR="005D742F">
        <w:rPr>
          <w:color w:val="000000"/>
        </w:rPr>
        <w:t>, i</w:t>
      </w:r>
      <w:r>
        <w:rPr>
          <w:color w:val="000000"/>
        </w:rPr>
        <w:t>n order to give the clergy freedom and opportunity to devote themselves entirely to the study of Scripture and its interpretation and preaching, following the example of Jesus, as Paul reports</w:t>
      </w:r>
      <w:r w:rsidR="005D742F">
        <w:rPr>
          <w:color w:val="000000"/>
        </w:rPr>
        <w:t>:</w:t>
      </w:r>
      <w:r>
        <w:rPr>
          <w:color w:val="000000"/>
        </w:rPr>
        <w:t xml:space="preserve"> </w:t>
      </w:r>
      <w:r w:rsidR="005D742F">
        <w:rPr>
          <w:color w:val="000000"/>
        </w:rPr>
        <w:t>‘</w:t>
      </w:r>
      <w:r>
        <w:rPr>
          <w:color w:val="000000"/>
        </w:rPr>
        <w:t>whoever preaches the gospel also lives of the gospel</w:t>
      </w:r>
      <w:r w:rsidR="005D742F">
        <w:rPr>
          <w:color w:val="000000"/>
        </w:rPr>
        <w:t>’</w:t>
      </w:r>
      <w:r>
        <w:rPr>
          <w:color w:val="000000"/>
        </w:rPr>
        <w:t xml:space="preserve"> should receive material remuneration.</w:t>
      </w:r>
      <w:bookmarkStart w:id="72" w:name="_ftnref97"/>
      <w:bookmarkEnd w:id="72"/>
      <w:r w:rsidR="005D742F">
        <w:rPr>
          <w:rStyle w:val="FootnoteReference"/>
          <w:color w:val="000000"/>
        </w:rPr>
        <w:footnoteReference w:id="77"/>
      </w:r>
      <w:r w:rsidR="005D742F">
        <w:rPr>
          <w:color w:val="000000"/>
        </w:rPr>
        <w:t xml:space="preserve"> </w:t>
      </w:r>
      <w:r>
        <w:rPr>
          <w:color w:val="000000"/>
        </w:rPr>
        <w:t xml:space="preserve">Even if Origen does not rule out this intensive preoccupation with the Scriptures for laypeople, </w:t>
      </w:r>
      <w:r w:rsidR="005D742F">
        <w:rPr>
          <w:color w:val="000000"/>
        </w:rPr>
        <w:t xml:space="preserve">and </w:t>
      </w:r>
      <w:r>
        <w:rPr>
          <w:color w:val="000000"/>
        </w:rPr>
        <w:t xml:space="preserve">he </w:t>
      </w:r>
      <w:r w:rsidR="005D742F">
        <w:rPr>
          <w:color w:val="000000"/>
        </w:rPr>
        <w:t xml:space="preserve">even </w:t>
      </w:r>
      <w:r>
        <w:rPr>
          <w:color w:val="000000"/>
        </w:rPr>
        <w:t xml:space="preserve">admits to them that they care for their own salvation </w:t>
      </w:r>
      <w:r w:rsidR="005D742F">
        <w:rPr>
          <w:color w:val="000000"/>
        </w:rPr>
        <w:t>by studying it,</w:t>
      </w:r>
      <w:r w:rsidR="005D742F">
        <w:rPr>
          <w:rStyle w:val="FootnoteReference"/>
          <w:color w:val="000000"/>
        </w:rPr>
        <w:footnoteReference w:id="78"/>
      </w:r>
      <w:r w:rsidR="005D742F">
        <w:rPr>
          <w:color w:val="000000"/>
        </w:rPr>
        <w:t xml:space="preserve"> for </w:t>
      </w:r>
      <w:r>
        <w:rPr>
          <w:color w:val="000000"/>
        </w:rPr>
        <w:t xml:space="preserve">him the separation between clergy and laity is </w:t>
      </w:r>
      <w:r w:rsidR="005D742F">
        <w:rPr>
          <w:color w:val="000000"/>
        </w:rPr>
        <w:t xml:space="preserve">already </w:t>
      </w:r>
      <w:r>
        <w:rPr>
          <w:color w:val="000000"/>
        </w:rPr>
        <w:t xml:space="preserve">self-evident, </w:t>
      </w:r>
      <w:r w:rsidR="005D742F">
        <w:rPr>
          <w:color w:val="000000"/>
        </w:rPr>
        <w:t xml:space="preserve">despite his </w:t>
      </w:r>
      <w:r>
        <w:rPr>
          <w:color w:val="000000"/>
        </w:rPr>
        <w:t xml:space="preserve">emphasis on the </w:t>
      </w:r>
      <w:r w:rsidR="005D742F">
        <w:rPr>
          <w:color w:val="000000"/>
        </w:rPr>
        <w:t xml:space="preserve">communal character of the </w:t>
      </w:r>
      <w:r>
        <w:rPr>
          <w:color w:val="000000"/>
        </w:rPr>
        <w:t>church.</w:t>
      </w:r>
      <w:bookmarkStart w:id="73" w:name="_ftnref99"/>
      <w:bookmarkEnd w:id="73"/>
      <w:r w:rsidR="005D742F">
        <w:rPr>
          <w:rStyle w:val="FootnoteReference"/>
          <w:color w:val="000000"/>
        </w:rPr>
        <w:footnoteReference w:id="79"/>
      </w:r>
      <w:r w:rsidR="005D742F">
        <w:rPr>
          <w:color w:val="000000"/>
          <w:sz w:val="27"/>
          <w:szCs w:val="27"/>
        </w:rPr>
        <w:t xml:space="preserve"> </w:t>
      </w:r>
    </w:p>
    <w:p w14:paraId="7E83F8E0" w14:textId="1C604BF7" w:rsidR="00DE0197" w:rsidRDefault="005D742F" w:rsidP="00DE0197">
      <w:pPr>
        <w:pStyle w:val="NormalWeb"/>
        <w:spacing w:before="0" w:beforeAutospacing="0" w:after="0" w:afterAutospacing="0"/>
        <w:ind w:firstLine="720"/>
        <w:jc w:val="both"/>
        <w:rPr>
          <w:color w:val="000000"/>
          <w:sz w:val="27"/>
          <w:szCs w:val="27"/>
        </w:rPr>
      </w:pPr>
      <w:r>
        <w:rPr>
          <w:color w:val="000000"/>
        </w:rPr>
        <w:t xml:space="preserve">In many ways, </w:t>
      </w:r>
      <w:r w:rsidR="00DE0197">
        <w:rPr>
          <w:color w:val="000000"/>
        </w:rPr>
        <w:t xml:space="preserve">Origen </w:t>
      </w:r>
      <w:r>
        <w:rPr>
          <w:color w:val="000000"/>
        </w:rPr>
        <w:t xml:space="preserve">focussed </w:t>
      </w:r>
      <w:r w:rsidR="00DE0197">
        <w:rPr>
          <w:color w:val="000000"/>
        </w:rPr>
        <w:t xml:space="preserve">more strongly than Eusebius to the writings of the Old and New Testaments, but also developed his own ideas, in particular </w:t>
      </w:r>
      <w:r>
        <w:rPr>
          <w:color w:val="000000"/>
        </w:rPr>
        <w:t xml:space="preserve">concentrating </w:t>
      </w:r>
      <w:r w:rsidR="00DE0197">
        <w:rPr>
          <w:color w:val="000000"/>
        </w:rPr>
        <w:t>on the spiritual interpretation in teaching and sermon</w:t>
      </w:r>
      <w:r>
        <w:rPr>
          <w:color w:val="000000"/>
        </w:rPr>
        <w:t>s</w:t>
      </w:r>
      <w:r w:rsidR="00DE0197">
        <w:rPr>
          <w:color w:val="000000"/>
        </w:rPr>
        <w:t xml:space="preserve">, </w:t>
      </w:r>
      <w:r>
        <w:rPr>
          <w:color w:val="000000"/>
        </w:rPr>
        <w:t xml:space="preserve">which he highlighted as being important for the </w:t>
      </w:r>
      <w:r w:rsidR="00DE0197">
        <w:rPr>
          <w:color w:val="000000"/>
        </w:rPr>
        <w:t xml:space="preserve">beginnings and the further development of </w:t>
      </w:r>
      <w:r>
        <w:rPr>
          <w:color w:val="000000"/>
        </w:rPr>
        <w:t>the Church</w:t>
      </w:r>
      <w:r w:rsidR="00DE0197">
        <w:rPr>
          <w:color w:val="000000"/>
        </w:rPr>
        <w:t>. Such concentration</w:t>
      </w:r>
      <w:r>
        <w:rPr>
          <w:color w:val="000000"/>
        </w:rPr>
        <w:t xml:space="preserve"> on the spiritual aspects of the Scriptural texts</w:t>
      </w:r>
      <w:r w:rsidR="00DE0197">
        <w:rPr>
          <w:color w:val="000000"/>
        </w:rPr>
        <w:t> </w:t>
      </w:r>
      <w:r>
        <w:rPr>
          <w:color w:val="000000"/>
        </w:rPr>
        <w:t xml:space="preserve">is also obvious with regards to those sources </w:t>
      </w:r>
      <w:r w:rsidR="00DE0197">
        <w:rPr>
          <w:color w:val="000000"/>
        </w:rPr>
        <w:t xml:space="preserve">that are later read </w:t>
      </w:r>
      <w:r w:rsidR="00DE0197">
        <w:rPr>
          <w:color w:val="000000"/>
        </w:rPr>
        <w:lastRenderedPageBreak/>
        <w:t xml:space="preserve">as historical </w:t>
      </w:r>
      <w:r>
        <w:rPr>
          <w:color w:val="000000"/>
        </w:rPr>
        <w:t xml:space="preserve">witnesses </w:t>
      </w:r>
      <w:r w:rsidR="00DE0197">
        <w:rPr>
          <w:color w:val="000000"/>
        </w:rPr>
        <w:t xml:space="preserve">for the beginnings of Christianity, especially the canonical Gospels and the </w:t>
      </w:r>
      <w:r w:rsidR="00DE0197" w:rsidRPr="005D742F">
        <w:rPr>
          <w:i/>
          <w:color w:val="000000"/>
        </w:rPr>
        <w:t>Acts of the Apostles</w:t>
      </w:r>
      <w:r w:rsidR="00DE0197">
        <w:rPr>
          <w:i/>
          <w:iCs/>
          <w:color w:val="000000"/>
        </w:rPr>
        <w:t>.</w:t>
      </w:r>
    </w:p>
    <w:p w14:paraId="27EFB02C" w14:textId="4E1560C0" w:rsidR="00DE0197" w:rsidRDefault="00DE0197" w:rsidP="00DE0197">
      <w:pPr>
        <w:pStyle w:val="NormalWeb"/>
        <w:spacing w:before="0" w:beforeAutospacing="0" w:after="0" w:afterAutospacing="0"/>
        <w:ind w:firstLine="720"/>
        <w:jc w:val="both"/>
        <w:rPr>
          <w:color w:val="000000"/>
          <w:sz w:val="27"/>
          <w:szCs w:val="27"/>
        </w:rPr>
      </w:pPr>
      <w:r>
        <w:rPr>
          <w:color w:val="000000"/>
        </w:rPr>
        <w:t>In his</w:t>
      </w:r>
      <w:r w:rsidR="00E72BF0">
        <w:rPr>
          <w:color w:val="000000"/>
        </w:rPr>
        <w:t xml:space="preserve"> </w:t>
      </w:r>
      <w:r w:rsidR="005D742F" w:rsidRPr="005D742F">
        <w:rPr>
          <w:i/>
          <w:color w:val="000000"/>
        </w:rPr>
        <w:t>H</w:t>
      </w:r>
      <w:r w:rsidRPr="005D742F">
        <w:rPr>
          <w:i/>
          <w:color w:val="000000"/>
        </w:rPr>
        <w:t>omilies to Luke</w:t>
      </w:r>
      <w:r w:rsidR="005D742F" w:rsidRPr="005D742F">
        <w:rPr>
          <w:i/>
          <w:color w:val="000000"/>
        </w:rPr>
        <w:t>’</w:t>
      </w:r>
      <w:r w:rsidRPr="005D742F">
        <w:rPr>
          <w:i/>
          <w:color w:val="000000"/>
        </w:rPr>
        <w:t>s Gospel</w:t>
      </w:r>
      <w:r>
        <w:rPr>
          <w:color w:val="000000"/>
        </w:rPr>
        <w:t>,</w:t>
      </w:r>
      <w:r w:rsidR="00E72BF0">
        <w:rPr>
          <w:color w:val="000000"/>
        </w:rPr>
        <w:t xml:space="preserve"> </w:t>
      </w:r>
      <w:r>
        <w:rPr>
          <w:color w:val="000000"/>
        </w:rPr>
        <w:t xml:space="preserve">especially in his interpretation of its </w:t>
      </w:r>
      <w:r w:rsidR="00E72BF0">
        <w:rPr>
          <w:color w:val="000000"/>
        </w:rPr>
        <w:t>preface</w:t>
      </w:r>
      <w:r>
        <w:rPr>
          <w:color w:val="000000"/>
        </w:rPr>
        <w:t> (</w:t>
      </w:r>
      <w:r w:rsidRPr="005D742F">
        <w:rPr>
          <w:i/>
          <w:color w:val="000000"/>
        </w:rPr>
        <w:t>Lk</w:t>
      </w:r>
      <w:r w:rsidR="005D742F">
        <w:rPr>
          <w:i/>
          <w:color w:val="000000"/>
        </w:rPr>
        <w:t>.</w:t>
      </w:r>
      <w:r>
        <w:rPr>
          <w:color w:val="000000"/>
        </w:rPr>
        <w:t> 1</w:t>
      </w:r>
      <w:r w:rsidR="005D742F">
        <w:rPr>
          <w:color w:val="000000"/>
        </w:rPr>
        <w:t>:1</w:t>
      </w:r>
      <w:r>
        <w:rPr>
          <w:color w:val="000000"/>
        </w:rPr>
        <w:t xml:space="preserve">-4), Origen points out that </w:t>
      </w:r>
      <w:r w:rsidR="00E72BF0">
        <w:rPr>
          <w:color w:val="000000"/>
        </w:rPr>
        <w:t xml:space="preserve">according to </w:t>
      </w:r>
      <w:r>
        <w:rPr>
          <w:color w:val="000000"/>
        </w:rPr>
        <w:t xml:space="preserve">this passage many </w:t>
      </w:r>
      <w:r w:rsidR="00E72BF0">
        <w:rPr>
          <w:color w:val="000000"/>
        </w:rPr>
        <w:t>‘</w:t>
      </w:r>
      <w:r>
        <w:rPr>
          <w:color w:val="000000"/>
        </w:rPr>
        <w:t>tried</w:t>
      </w:r>
      <w:r w:rsidR="00E72BF0">
        <w:rPr>
          <w:color w:val="000000"/>
        </w:rPr>
        <w:t>’</w:t>
      </w:r>
      <w:r>
        <w:rPr>
          <w:color w:val="000000"/>
        </w:rPr>
        <w:t xml:space="preserve"> to compile a report, but only </w:t>
      </w:r>
      <w:r w:rsidRPr="00E72BF0">
        <w:rPr>
          <w:color w:val="000000"/>
        </w:rPr>
        <w:t>Matthew</w:t>
      </w:r>
      <w:r>
        <w:rPr>
          <w:color w:val="000000"/>
        </w:rPr>
        <w:t xml:space="preserve">, Mark, </w:t>
      </w:r>
      <w:proofErr w:type="gramStart"/>
      <w:r>
        <w:rPr>
          <w:color w:val="000000"/>
        </w:rPr>
        <w:t>John</w:t>
      </w:r>
      <w:proofErr w:type="gramEnd"/>
      <w:r>
        <w:rPr>
          <w:color w:val="000000"/>
        </w:rPr>
        <w:t xml:space="preserve"> and Luke would not have tried, but would have </w:t>
      </w:r>
      <w:r w:rsidR="00E72BF0">
        <w:rPr>
          <w:color w:val="000000"/>
        </w:rPr>
        <w:t>‘</w:t>
      </w:r>
      <w:r>
        <w:rPr>
          <w:color w:val="000000"/>
        </w:rPr>
        <w:t>written their gospel (actually) filled with the Holy Spirit</w:t>
      </w:r>
      <w:r w:rsidR="00E72BF0">
        <w:rPr>
          <w:color w:val="000000"/>
        </w:rPr>
        <w:t>’</w:t>
      </w:r>
      <w:r>
        <w:rPr>
          <w:color w:val="000000"/>
        </w:rPr>
        <w:t>.</w:t>
      </w:r>
      <w:bookmarkStart w:id="74" w:name="_ftnref100"/>
      <w:bookmarkEnd w:id="74"/>
      <w:r w:rsidR="00E72BF0">
        <w:rPr>
          <w:rStyle w:val="FootnoteReference"/>
          <w:color w:val="000000"/>
        </w:rPr>
        <w:footnoteReference w:id="80"/>
      </w:r>
      <w:r w:rsidR="00E72BF0">
        <w:rPr>
          <w:color w:val="000000"/>
        </w:rPr>
        <w:t xml:space="preserve"> These ‘</w:t>
      </w:r>
      <w:r>
        <w:rPr>
          <w:color w:val="000000"/>
        </w:rPr>
        <w:t>servants of the Word have seen from the beginning and handed down to us</w:t>
      </w:r>
      <w:r w:rsidR="00E72BF0">
        <w:rPr>
          <w:color w:val="000000"/>
        </w:rPr>
        <w:t>’</w:t>
      </w:r>
      <w:r>
        <w:rPr>
          <w:color w:val="000000"/>
        </w:rPr>
        <w:t xml:space="preserve"> (</w:t>
      </w:r>
      <w:r w:rsidRPr="00E72BF0">
        <w:rPr>
          <w:i/>
          <w:color w:val="000000"/>
        </w:rPr>
        <w:t>Lk</w:t>
      </w:r>
      <w:r w:rsidR="00E72BF0">
        <w:rPr>
          <w:i/>
          <w:color w:val="000000"/>
        </w:rPr>
        <w:t>.</w:t>
      </w:r>
      <w:r>
        <w:rPr>
          <w:color w:val="000000"/>
        </w:rPr>
        <w:t> 1</w:t>
      </w:r>
      <w:r w:rsidR="00E72BF0">
        <w:rPr>
          <w:color w:val="000000"/>
        </w:rPr>
        <w:t>:</w:t>
      </w:r>
      <w:r>
        <w:rPr>
          <w:color w:val="000000"/>
        </w:rPr>
        <w:t xml:space="preserve">2) not the human, historical appearance of the Lord and </w:t>
      </w:r>
      <w:proofErr w:type="spellStart"/>
      <w:r>
        <w:rPr>
          <w:color w:val="000000"/>
        </w:rPr>
        <w:t>Savior</w:t>
      </w:r>
      <w:proofErr w:type="spellEnd"/>
      <w:r>
        <w:rPr>
          <w:color w:val="000000"/>
        </w:rPr>
        <w:t xml:space="preserve">, not what Pilate, Judas or the multitude who wanted to have Jesus crucified, </w:t>
      </w:r>
      <w:r w:rsidR="00E72BF0">
        <w:rPr>
          <w:color w:val="000000"/>
        </w:rPr>
        <w:t xml:space="preserve">saw, </w:t>
      </w:r>
      <w:r>
        <w:rPr>
          <w:color w:val="000000"/>
        </w:rPr>
        <w:t xml:space="preserve">but </w:t>
      </w:r>
      <w:r w:rsidR="00E72BF0">
        <w:rPr>
          <w:color w:val="000000"/>
        </w:rPr>
        <w:t>they have recognized ‘</w:t>
      </w:r>
      <w:r>
        <w:rPr>
          <w:color w:val="000000"/>
        </w:rPr>
        <w:t xml:space="preserve">the word that the </w:t>
      </w:r>
      <w:proofErr w:type="spellStart"/>
      <w:r>
        <w:rPr>
          <w:color w:val="000000"/>
        </w:rPr>
        <w:t>Savior</w:t>
      </w:r>
      <w:proofErr w:type="spellEnd"/>
      <w:r>
        <w:rPr>
          <w:color w:val="000000"/>
        </w:rPr>
        <w:t xml:space="preserve"> meant</w:t>
      </w:r>
      <w:r w:rsidR="00E72BF0">
        <w:rPr>
          <w:color w:val="000000"/>
        </w:rPr>
        <w:t>’</w:t>
      </w:r>
      <w:r>
        <w:rPr>
          <w:color w:val="000000"/>
        </w:rPr>
        <w:t xml:space="preserve"> when he said</w:t>
      </w:r>
      <w:r w:rsidR="00E72BF0">
        <w:rPr>
          <w:color w:val="000000"/>
        </w:rPr>
        <w:t>:</w:t>
      </w:r>
      <w:r>
        <w:rPr>
          <w:color w:val="000000"/>
        </w:rPr>
        <w:t xml:space="preserve"> </w:t>
      </w:r>
      <w:r w:rsidR="00E72BF0">
        <w:rPr>
          <w:color w:val="000000"/>
        </w:rPr>
        <w:t>‘</w:t>
      </w:r>
      <w:r>
        <w:rPr>
          <w:color w:val="000000"/>
        </w:rPr>
        <w:t>He who saw me saw the Father who sent me</w:t>
      </w:r>
      <w:r w:rsidR="00E72BF0">
        <w:rPr>
          <w:color w:val="000000"/>
        </w:rPr>
        <w:t xml:space="preserve">’ </w:t>
      </w:r>
      <w:r>
        <w:rPr>
          <w:color w:val="000000"/>
        </w:rPr>
        <w:t>(</w:t>
      </w:r>
      <w:r w:rsidRPr="00E72BF0">
        <w:rPr>
          <w:i/>
          <w:color w:val="000000"/>
        </w:rPr>
        <w:t>Jn</w:t>
      </w:r>
      <w:r w:rsidR="00E72BF0">
        <w:rPr>
          <w:i/>
          <w:color w:val="000000"/>
        </w:rPr>
        <w:t>.</w:t>
      </w:r>
      <w:r>
        <w:rPr>
          <w:color w:val="000000"/>
        </w:rPr>
        <w:t> 14</w:t>
      </w:r>
      <w:r w:rsidR="00E72BF0">
        <w:rPr>
          <w:color w:val="000000"/>
        </w:rPr>
        <w:t>:</w:t>
      </w:r>
      <w:r>
        <w:rPr>
          <w:color w:val="000000"/>
        </w:rPr>
        <w:t>9)</w:t>
      </w:r>
      <w:bookmarkStart w:id="75" w:name="_ftnref101"/>
      <w:bookmarkEnd w:id="75"/>
      <w:r w:rsidR="00E72BF0">
        <w:rPr>
          <w:color w:val="000000"/>
          <w:sz w:val="27"/>
          <w:szCs w:val="27"/>
        </w:rPr>
        <w:t>.</w:t>
      </w:r>
      <w:r w:rsidR="00E72BF0">
        <w:rPr>
          <w:rStyle w:val="FootnoteReference"/>
          <w:color w:val="000000"/>
          <w:sz w:val="27"/>
          <w:szCs w:val="27"/>
        </w:rPr>
        <w:footnoteReference w:id="81"/>
      </w:r>
      <w:r w:rsidR="00E72BF0">
        <w:rPr>
          <w:color w:val="000000"/>
        </w:rPr>
        <w:t xml:space="preserve"> </w:t>
      </w:r>
      <w:r>
        <w:rPr>
          <w:color w:val="000000"/>
        </w:rPr>
        <w:t xml:space="preserve">Consequently, neither the Gospels of the New Testament nor the </w:t>
      </w:r>
      <w:r w:rsidRPr="00E72BF0">
        <w:rPr>
          <w:i/>
          <w:color w:val="000000"/>
        </w:rPr>
        <w:t>Acts of the Apostles</w:t>
      </w:r>
      <w:r>
        <w:rPr>
          <w:color w:val="000000"/>
        </w:rPr>
        <w:t xml:space="preserve"> are primarily reports of the historically past, but spiritual reading</w:t>
      </w:r>
      <w:r w:rsidR="00E72BF0">
        <w:rPr>
          <w:color w:val="000000"/>
        </w:rPr>
        <w:t>s</w:t>
      </w:r>
      <w:r>
        <w:rPr>
          <w:color w:val="000000"/>
        </w:rPr>
        <w:t xml:space="preserve"> </w:t>
      </w:r>
      <w:r w:rsidR="00E72BF0">
        <w:rPr>
          <w:color w:val="000000"/>
        </w:rPr>
        <w:t xml:space="preserve">to get to know about </w:t>
      </w:r>
      <w:r>
        <w:rPr>
          <w:color w:val="000000"/>
        </w:rPr>
        <w:t>the spiritual</w:t>
      </w:r>
      <w:r w:rsidR="00E72BF0">
        <w:rPr>
          <w:color w:val="000000"/>
        </w:rPr>
        <w:t xml:space="preserve"> nature of life</w:t>
      </w:r>
      <w:r>
        <w:rPr>
          <w:color w:val="000000"/>
        </w:rPr>
        <w:t>. A consequence of this is that everyone can be the addressee of the</w:t>
      </w:r>
      <w:r w:rsidR="00E72BF0">
        <w:rPr>
          <w:color w:val="000000"/>
        </w:rPr>
        <w:t>se writings</w:t>
      </w:r>
      <w:r>
        <w:rPr>
          <w:color w:val="000000"/>
        </w:rPr>
        <w:t xml:space="preserve">, all </w:t>
      </w:r>
      <w:r w:rsidR="00E72BF0">
        <w:rPr>
          <w:color w:val="000000"/>
        </w:rPr>
        <w:t xml:space="preserve">are meant by the one who is </w:t>
      </w:r>
      <w:r>
        <w:rPr>
          <w:color w:val="000000"/>
        </w:rPr>
        <w:t xml:space="preserve">called </w:t>
      </w:r>
      <w:r w:rsidR="00E72BF0">
        <w:rPr>
          <w:color w:val="000000"/>
        </w:rPr>
        <w:t>‘</w:t>
      </w:r>
      <w:r>
        <w:rPr>
          <w:color w:val="000000"/>
        </w:rPr>
        <w:t>Theophilus</w:t>
      </w:r>
      <w:r w:rsidR="00E72BF0">
        <w:rPr>
          <w:color w:val="000000"/>
        </w:rPr>
        <w:t>’</w:t>
      </w:r>
      <w:r>
        <w:rPr>
          <w:color w:val="000000"/>
        </w:rPr>
        <w:t xml:space="preserve"> (</w:t>
      </w:r>
      <w:r w:rsidRPr="00E72BF0">
        <w:rPr>
          <w:i/>
          <w:color w:val="000000"/>
        </w:rPr>
        <w:t>Lk</w:t>
      </w:r>
      <w:r w:rsidR="00E72BF0">
        <w:rPr>
          <w:i/>
          <w:color w:val="000000"/>
        </w:rPr>
        <w:t>.</w:t>
      </w:r>
      <w:r>
        <w:rPr>
          <w:color w:val="000000"/>
        </w:rPr>
        <w:t xml:space="preserve"> 1:3)</w:t>
      </w:r>
      <w:r w:rsidR="00E72BF0">
        <w:rPr>
          <w:color w:val="000000"/>
        </w:rPr>
        <w:t>,</w:t>
      </w:r>
      <w:r>
        <w:rPr>
          <w:color w:val="000000"/>
        </w:rPr>
        <w:t xml:space="preserve"> because they all belong to the </w:t>
      </w:r>
      <w:r w:rsidR="00E72BF0">
        <w:rPr>
          <w:color w:val="000000"/>
        </w:rPr>
        <w:t>‘</w:t>
      </w:r>
      <w:r>
        <w:rPr>
          <w:color w:val="000000"/>
        </w:rPr>
        <w:t>people of Israel</w:t>
      </w:r>
      <w:r w:rsidR="00E72BF0">
        <w:rPr>
          <w:color w:val="000000"/>
        </w:rPr>
        <w:t>’</w:t>
      </w:r>
      <w:r>
        <w:rPr>
          <w:color w:val="000000"/>
        </w:rPr>
        <w:t>, among whom, according to </w:t>
      </w:r>
      <w:r w:rsidRPr="00E72BF0">
        <w:rPr>
          <w:i/>
          <w:color w:val="000000"/>
        </w:rPr>
        <w:t>Ps</w:t>
      </w:r>
      <w:r w:rsidR="00E72BF0">
        <w:rPr>
          <w:i/>
          <w:color w:val="000000"/>
        </w:rPr>
        <w:t>.</w:t>
      </w:r>
      <w:r>
        <w:rPr>
          <w:color w:val="000000"/>
        </w:rPr>
        <w:t xml:space="preserve"> 15:37, there are no </w:t>
      </w:r>
      <w:r w:rsidR="00E72BF0">
        <w:rPr>
          <w:color w:val="000000"/>
        </w:rPr>
        <w:t>‘w</w:t>
      </w:r>
      <w:r>
        <w:rPr>
          <w:color w:val="000000"/>
        </w:rPr>
        <w:t>eaklings</w:t>
      </w:r>
      <w:r w:rsidR="00E72BF0">
        <w:rPr>
          <w:color w:val="000000"/>
        </w:rPr>
        <w:t>,</w:t>
      </w:r>
      <w:r>
        <w:rPr>
          <w:color w:val="000000"/>
        </w:rPr>
        <w:t xml:space="preserve"> because everyone can see the truth</w:t>
      </w:r>
      <w:r w:rsidR="00E72BF0">
        <w:rPr>
          <w:color w:val="000000"/>
        </w:rPr>
        <w:t>’</w:t>
      </w:r>
      <w:r>
        <w:rPr>
          <w:color w:val="000000"/>
        </w:rPr>
        <w:t>.</w:t>
      </w:r>
      <w:bookmarkStart w:id="76" w:name="_ftnref102"/>
      <w:bookmarkEnd w:id="76"/>
      <w:r w:rsidR="00E72BF0">
        <w:rPr>
          <w:rStyle w:val="FootnoteReference"/>
          <w:color w:val="000000"/>
        </w:rPr>
        <w:footnoteReference w:id="82"/>
      </w:r>
      <w:r w:rsidR="00E72BF0">
        <w:rPr>
          <w:color w:val="000000"/>
          <w:sz w:val="27"/>
          <w:szCs w:val="27"/>
        </w:rPr>
        <w:t xml:space="preserve"> </w:t>
      </w:r>
    </w:p>
    <w:p w14:paraId="3DDE101C" w14:textId="77777777" w:rsidR="00D62571" w:rsidRDefault="00DE0197" w:rsidP="00DE0197">
      <w:pPr>
        <w:pStyle w:val="NormalWeb"/>
        <w:spacing w:before="0" w:beforeAutospacing="0" w:after="0" w:afterAutospacing="0"/>
        <w:ind w:firstLine="720"/>
        <w:jc w:val="both"/>
        <w:rPr>
          <w:color w:val="000000"/>
        </w:rPr>
      </w:pPr>
      <w:r>
        <w:rPr>
          <w:color w:val="000000"/>
        </w:rPr>
        <w:t xml:space="preserve">Correspondingly, Origen also indicates, in </w:t>
      </w:r>
      <w:proofErr w:type="spellStart"/>
      <w:r>
        <w:rPr>
          <w:color w:val="000000"/>
        </w:rPr>
        <w:t>defense</w:t>
      </w:r>
      <w:proofErr w:type="spellEnd"/>
      <w:r>
        <w:rPr>
          <w:color w:val="000000"/>
        </w:rPr>
        <w:t xml:space="preserve"> of the criticism of </w:t>
      </w:r>
      <w:proofErr w:type="spellStart"/>
      <w:r>
        <w:rPr>
          <w:color w:val="000000"/>
        </w:rPr>
        <w:t>Celsus</w:t>
      </w:r>
      <w:proofErr w:type="spellEnd"/>
      <w:r>
        <w:rPr>
          <w:color w:val="000000"/>
        </w:rPr>
        <w:t>, that the resurrected one did not show himself to everyone, especially not to those </w:t>
      </w:r>
      <w:r w:rsidR="00D62571">
        <w:rPr>
          <w:color w:val="000000"/>
        </w:rPr>
        <w:t>‘</w:t>
      </w:r>
      <w:r>
        <w:rPr>
          <w:color w:val="000000"/>
        </w:rPr>
        <w:t>who mistreated him</w:t>
      </w:r>
      <w:r w:rsidR="00D62571">
        <w:rPr>
          <w:color w:val="000000"/>
        </w:rPr>
        <w:t>’</w:t>
      </w:r>
      <w:r>
        <w:rPr>
          <w:color w:val="000000"/>
        </w:rPr>
        <w:t xml:space="preserve">, </w:t>
      </w:r>
      <w:r w:rsidR="00D62571">
        <w:rPr>
          <w:color w:val="000000"/>
        </w:rPr>
        <w:t>and not ‘</w:t>
      </w:r>
      <w:r>
        <w:rPr>
          <w:color w:val="000000"/>
        </w:rPr>
        <w:t>to the one who had condemned him</w:t>
      </w:r>
      <w:r w:rsidR="00D62571">
        <w:rPr>
          <w:color w:val="000000"/>
        </w:rPr>
        <w:t>’</w:t>
      </w:r>
      <w:r>
        <w:rPr>
          <w:color w:val="000000"/>
        </w:rPr>
        <w:t>,</w:t>
      </w:r>
      <w:bookmarkStart w:id="77" w:name="_ftnref103"/>
      <w:bookmarkEnd w:id="77"/>
      <w:r w:rsidR="00D62571">
        <w:rPr>
          <w:rStyle w:val="FootnoteReference"/>
          <w:color w:val="000000"/>
        </w:rPr>
        <w:footnoteReference w:id="83"/>
      </w:r>
      <w:r w:rsidR="00D62571">
        <w:rPr>
          <w:color w:val="000000"/>
        </w:rPr>
        <w:t xml:space="preserve"> but, indeed, </w:t>
      </w:r>
      <w:r>
        <w:rPr>
          <w:color w:val="000000"/>
        </w:rPr>
        <w:t xml:space="preserve">to </w:t>
      </w:r>
      <w:r w:rsidR="00D62571">
        <w:rPr>
          <w:color w:val="000000"/>
        </w:rPr>
        <w:t>those to whom he appeared, he did so ‘</w:t>
      </w:r>
      <w:r>
        <w:rPr>
          <w:color w:val="000000"/>
        </w:rPr>
        <w:t xml:space="preserve">according to the comprehension of </w:t>
      </w:r>
      <w:r w:rsidR="00D62571">
        <w:rPr>
          <w:color w:val="000000"/>
        </w:rPr>
        <w:t>those who saw’</w:t>
      </w:r>
      <w:r>
        <w:rPr>
          <w:color w:val="000000"/>
        </w:rPr>
        <w:t>. </w:t>
      </w:r>
      <w:r w:rsidR="00D62571">
        <w:rPr>
          <w:color w:val="000000"/>
        </w:rPr>
        <w:t xml:space="preserve">Moreover, only the </w:t>
      </w:r>
      <w:proofErr w:type="spellStart"/>
      <w:r w:rsidR="00D62571">
        <w:rPr>
          <w:color w:val="000000"/>
        </w:rPr>
        <w:t>sprititual</w:t>
      </w:r>
      <w:proofErr w:type="spellEnd"/>
      <w:r w:rsidR="00D62571">
        <w:rPr>
          <w:color w:val="000000"/>
        </w:rPr>
        <w:t xml:space="preserve"> beings were </w:t>
      </w:r>
      <w:r>
        <w:rPr>
          <w:color w:val="000000"/>
        </w:rPr>
        <w:t>able to see him as the Risen One. </w:t>
      </w:r>
    </w:p>
    <w:p w14:paraId="31465922" w14:textId="31DAB729" w:rsidR="00DE0197" w:rsidRPr="002A286C" w:rsidRDefault="00D62571" w:rsidP="002A286C">
      <w:pPr>
        <w:pStyle w:val="NormalWeb"/>
        <w:spacing w:before="0" w:beforeAutospacing="0" w:after="0" w:afterAutospacing="0"/>
        <w:ind w:firstLine="720"/>
        <w:jc w:val="both"/>
        <w:rPr>
          <w:color w:val="000000"/>
        </w:rPr>
      </w:pPr>
      <w:r>
        <w:rPr>
          <w:color w:val="000000"/>
        </w:rPr>
        <w:t xml:space="preserve">As we have seen </w:t>
      </w:r>
      <w:r w:rsidR="00DE0197">
        <w:rPr>
          <w:color w:val="000000"/>
        </w:rPr>
        <w:t>Origen</w:t>
      </w:r>
      <w:r>
        <w:rPr>
          <w:color w:val="000000"/>
        </w:rPr>
        <w:t xml:space="preserve"> strives to surmount the physical, purely historical events</w:t>
      </w:r>
      <w:r w:rsidR="00DE0197">
        <w:rPr>
          <w:color w:val="000000"/>
        </w:rPr>
        <w:t xml:space="preserve"> (</w:t>
      </w:r>
      <w:proofErr w:type="spellStart"/>
      <w:r w:rsidR="00DE0197">
        <w:rPr>
          <w:color w:val="000000"/>
        </w:rPr>
        <w:t>τὰ</w:t>
      </w:r>
      <w:proofErr w:type="spellEnd"/>
      <w:r w:rsidR="00DE0197">
        <w:rPr>
          <w:color w:val="000000"/>
        </w:rPr>
        <w:t> </w:t>
      </w:r>
      <w:proofErr w:type="spellStart"/>
      <w:r w:rsidR="00DE0197">
        <w:rPr>
          <w:color w:val="000000"/>
        </w:rPr>
        <w:t>γεγονέν</w:t>
      </w:r>
      <w:proofErr w:type="spellEnd"/>
      <w:r w:rsidR="00DE0197">
        <w:rPr>
          <w:color w:val="000000"/>
        </w:rPr>
        <w:t xml:space="preserve">α) </w:t>
      </w:r>
      <w:r>
        <w:rPr>
          <w:color w:val="000000"/>
        </w:rPr>
        <w:t xml:space="preserve">and to push towards what he thought were the </w:t>
      </w:r>
      <w:r w:rsidR="00DE0197">
        <w:rPr>
          <w:color w:val="000000"/>
        </w:rPr>
        <w:t>real things (</w:t>
      </w:r>
      <w:proofErr w:type="spellStart"/>
      <w:r w:rsidR="00DE0197">
        <w:rPr>
          <w:color w:val="000000"/>
        </w:rPr>
        <w:t>τὰ</w:t>
      </w:r>
      <w:proofErr w:type="spellEnd"/>
      <w:r w:rsidR="00DE0197">
        <w:rPr>
          <w:color w:val="000000"/>
        </w:rPr>
        <w:t> π</w:t>
      </w:r>
      <w:proofErr w:type="spellStart"/>
      <w:r w:rsidR="00DE0197">
        <w:rPr>
          <w:color w:val="000000"/>
        </w:rPr>
        <w:t>ράγμ</w:t>
      </w:r>
      <w:proofErr w:type="spellEnd"/>
      <w:r w:rsidR="00DE0197">
        <w:rPr>
          <w:color w:val="000000"/>
        </w:rPr>
        <w:t>ατα)</w:t>
      </w:r>
      <w:r>
        <w:rPr>
          <w:color w:val="000000"/>
        </w:rPr>
        <w:t>.</w:t>
      </w:r>
      <w:bookmarkStart w:id="78" w:name="_ftnref104"/>
      <w:bookmarkEnd w:id="78"/>
      <w:r>
        <w:rPr>
          <w:rStyle w:val="FootnoteReference"/>
          <w:color w:val="000000"/>
        </w:rPr>
        <w:footnoteReference w:id="84"/>
      </w:r>
      <w:r>
        <w:rPr>
          <w:color w:val="000000"/>
        </w:rPr>
        <w:t xml:space="preserve"> </w:t>
      </w:r>
      <w:r w:rsidR="002A286C">
        <w:rPr>
          <w:color w:val="000000"/>
        </w:rPr>
        <w:t>And yet,</w:t>
      </w:r>
      <w:r w:rsidR="00DE0197">
        <w:rPr>
          <w:color w:val="000000"/>
        </w:rPr>
        <w:t xml:space="preserve"> </w:t>
      </w:r>
      <w:r>
        <w:rPr>
          <w:color w:val="000000"/>
        </w:rPr>
        <w:t xml:space="preserve">he does not want to forget </w:t>
      </w:r>
      <w:r w:rsidR="00DE0197">
        <w:rPr>
          <w:color w:val="000000"/>
        </w:rPr>
        <w:t xml:space="preserve">history, since </w:t>
      </w:r>
      <w:r>
        <w:rPr>
          <w:color w:val="000000"/>
        </w:rPr>
        <w:t>‘</w:t>
      </w:r>
      <w:r w:rsidR="00DE0197">
        <w:rPr>
          <w:color w:val="000000"/>
        </w:rPr>
        <w:t xml:space="preserve">the history of </w:t>
      </w:r>
      <w:r>
        <w:rPr>
          <w:color w:val="000000"/>
        </w:rPr>
        <w:t xml:space="preserve">the perception of </w:t>
      </w:r>
      <w:r w:rsidR="00DE0197">
        <w:rPr>
          <w:color w:val="000000"/>
        </w:rPr>
        <w:t xml:space="preserve">things is extremely useful </w:t>
      </w:r>
      <w:bookmarkStart w:id="79" w:name="_ftnref105"/>
      <w:bookmarkEnd w:id="79"/>
      <w:r>
        <w:rPr>
          <w:color w:val="000000"/>
        </w:rPr>
        <w:t>too’</w:t>
      </w:r>
      <w:r w:rsidR="002A286C">
        <w:rPr>
          <w:color w:val="000000"/>
        </w:rPr>
        <w:t>.</w:t>
      </w:r>
      <w:r>
        <w:rPr>
          <w:rStyle w:val="FootnoteReference"/>
          <w:color w:val="000000"/>
        </w:rPr>
        <w:footnoteReference w:id="85"/>
      </w:r>
      <w:r>
        <w:rPr>
          <w:color w:val="000000"/>
          <w:sz w:val="27"/>
          <w:szCs w:val="27"/>
        </w:rPr>
        <w:t xml:space="preserve"> </w:t>
      </w:r>
      <w:r w:rsidR="00DE0197">
        <w:rPr>
          <w:color w:val="000000"/>
        </w:rPr>
        <w:t xml:space="preserve">Origen </w:t>
      </w:r>
      <w:r w:rsidR="002A286C">
        <w:rPr>
          <w:color w:val="000000"/>
        </w:rPr>
        <w:t xml:space="preserve">even </w:t>
      </w:r>
      <w:r w:rsidR="00DE0197">
        <w:rPr>
          <w:color w:val="000000"/>
        </w:rPr>
        <w:t xml:space="preserve">set out to visit the </w:t>
      </w:r>
      <w:r>
        <w:rPr>
          <w:color w:val="000000"/>
        </w:rPr>
        <w:t xml:space="preserve">physical and geographical </w:t>
      </w:r>
      <w:r w:rsidR="00DE0197">
        <w:rPr>
          <w:color w:val="000000"/>
        </w:rPr>
        <w:t xml:space="preserve">places which he found mentioned in the </w:t>
      </w:r>
      <w:r>
        <w:rPr>
          <w:color w:val="000000"/>
        </w:rPr>
        <w:t>S</w:t>
      </w:r>
      <w:r w:rsidR="00DE0197">
        <w:rPr>
          <w:color w:val="000000"/>
        </w:rPr>
        <w:t>criptures,</w:t>
      </w:r>
      <w:bookmarkStart w:id="80" w:name="_ftnref106"/>
      <w:bookmarkEnd w:id="80"/>
      <w:r>
        <w:rPr>
          <w:rStyle w:val="FootnoteReference"/>
          <w:color w:val="000000"/>
        </w:rPr>
        <w:footnoteReference w:id="86"/>
      </w:r>
      <w:r>
        <w:rPr>
          <w:color w:val="000000"/>
        </w:rPr>
        <w:t xml:space="preserve"> </w:t>
      </w:r>
      <w:r w:rsidR="002A286C">
        <w:rPr>
          <w:color w:val="000000"/>
        </w:rPr>
        <w:t>although there is ‘almost total silence of the sources until the fourth century about what later came to be known as the “holy places”’.</w:t>
      </w:r>
      <w:r w:rsidR="002A286C">
        <w:rPr>
          <w:rStyle w:val="FootnoteReference"/>
          <w:color w:val="000000"/>
        </w:rPr>
        <w:footnoteReference w:id="87"/>
      </w:r>
      <w:r w:rsidR="002A286C">
        <w:rPr>
          <w:color w:val="000000"/>
        </w:rPr>
        <w:t xml:space="preserve"> For Origen, however, </w:t>
      </w:r>
      <w:r w:rsidR="00DE0197">
        <w:rPr>
          <w:color w:val="000000"/>
        </w:rPr>
        <w:t xml:space="preserve">true </w:t>
      </w:r>
      <w:r w:rsidR="002A286C">
        <w:rPr>
          <w:color w:val="000000"/>
        </w:rPr>
        <w:t xml:space="preserve">is what </w:t>
      </w:r>
      <w:r w:rsidR="00DE0197">
        <w:rPr>
          <w:color w:val="000000"/>
        </w:rPr>
        <w:t>go</w:t>
      </w:r>
      <w:r w:rsidR="002A286C">
        <w:rPr>
          <w:color w:val="000000"/>
        </w:rPr>
        <w:t>es</w:t>
      </w:r>
      <w:r w:rsidR="00DE0197">
        <w:rPr>
          <w:color w:val="000000"/>
        </w:rPr>
        <w:t xml:space="preserve"> beyond </w:t>
      </w:r>
      <w:r w:rsidR="002A286C">
        <w:rPr>
          <w:color w:val="000000"/>
        </w:rPr>
        <w:t xml:space="preserve">of </w:t>
      </w:r>
      <w:r w:rsidR="00DE0197">
        <w:rPr>
          <w:color w:val="000000"/>
        </w:rPr>
        <w:t xml:space="preserve">what has been reported verbatim and </w:t>
      </w:r>
      <w:r w:rsidR="002A286C">
        <w:rPr>
          <w:color w:val="000000"/>
        </w:rPr>
        <w:t xml:space="preserve">presupposes an </w:t>
      </w:r>
      <w:r w:rsidR="00DE0197">
        <w:rPr>
          <w:color w:val="000000"/>
        </w:rPr>
        <w:t>understand</w:t>
      </w:r>
      <w:r w:rsidR="002A286C">
        <w:rPr>
          <w:color w:val="000000"/>
        </w:rPr>
        <w:t>ing</w:t>
      </w:r>
      <w:r w:rsidR="00DE0197">
        <w:rPr>
          <w:color w:val="000000"/>
        </w:rPr>
        <w:t xml:space="preserve"> </w:t>
      </w:r>
      <w:r w:rsidR="002A286C">
        <w:rPr>
          <w:color w:val="000000"/>
        </w:rPr>
        <w:t xml:space="preserve">of </w:t>
      </w:r>
      <w:r w:rsidR="00DE0197">
        <w:rPr>
          <w:color w:val="000000"/>
        </w:rPr>
        <w:t xml:space="preserve">content </w:t>
      </w:r>
      <w:r w:rsidR="002A286C">
        <w:rPr>
          <w:color w:val="000000"/>
        </w:rPr>
        <w:t>that is hidden in the obvious</w:t>
      </w:r>
      <w:r w:rsidR="00DE0197">
        <w:rPr>
          <w:color w:val="000000"/>
        </w:rPr>
        <w:t>. With this advance beyond the </w:t>
      </w:r>
      <w:r w:rsidR="002A286C">
        <w:rPr>
          <w:color w:val="000000"/>
        </w:rPr>
        <w:t>letter</w:t>
      </w:r>
      <w:r w:rsidR="00DE0197">
        <w:rPr>
          <w:color w:val="000000"/>
        </w:rPr>
        <w:t xml:space="preserve">, it is important to </w:t>
      </w:r>
      <w:r w:rsidR="002A286C">
        <w:rPr>
          <w:color w:val="000000"/>
        </w:rPr>
        <w:t>realize</w:t>
      </w:r>
      <w:r w:rsidR="00DE0197">
        <w:rPr>
          <w:color w:val="000000"/>
        </w:rPr>
        <w:t xml:space="preserve"> that one </w:t>
      </w:r>
      <w:r w:rsidR="002A286C">
        <w:rPr>
          <w:color w:val="000000"/>
        </w:rPr>
        <w:t>‘</w:t>
      </w:r>
      <w:r w:rsidR="00DE0197">
        <w:rPr>
          <w:color w:val="000000"/>
        </w:rPr>
        <w:t>cannot assert one</w:t>
      </w:r>
      <w:r w:rsidR="002A286C">
        <w:rPr>
          <w:color w:val="000000"/>
        </w:rPr>
        <w:t>’</w:t>
      </w:r>
      <w:r w:rsidR="00DE0197">
        <w:rPr>
          <w:color w:val="000000"/>
        </w:rPr>
        <w:t>s own interpretation with all certainty</w:t>
      </w:r>
      <w:r w:rsidR="002A286C">
        <w:rPr>
          <w:color w:val="000000"/>
        </w:rPr>
        <w:t>’</w:t>
      </w:r>
      <w:r w:rsidR="00DE0197">
        <w:rPr>
          <w:color w:val="000000"/>
        </w:rPr>
        <w:t xml:space="preserve">, </w:t>
      </w:r>
      <w:r w:rsidR="002A286C">
        <w:rPr>
          <w:color w:val="000000"/>
        </w:rPr>
        <w:t xml:space="preserve">as this would be the sign of </w:t>
      </w:r>
      <w:r w:rsidR="00DE0197">
        <w:rPr>
          <w:color w:val="000000"/>
        </w:rPr>
        <w:t xml:space="preserve">a careless person </w:t>
      </w:r>
      <w:r w:rsidR="002A286C">
        <w:rPr>
          <w:color w:val="000000"/>
        </w:rPr>
        <w:t>‘</w:t>
      </w:r>
      <w:r w:rsidR="00DE0197">
        <w:rPr>
          <w:color w:val="000000"/>
        </w:rPr>
        <w:t xml:space="preserve">who lost the perception of human weakness and has forgotten </w:t>
      </w:r>
      <w:r w:rsidR="002A286C">
        <w:rPr>
          <w:color w:val="000000"/>
        </w:rPr>
        <w:t>who he is’.</w:t>
      </w:r>
      <w:r w:rsidR="00DE0197">
        <w:rPr>
          <w:color w:val="000000"/>
        </w:rPr>
        <w:t xml:space="preserve"> Origen only grants such security </w:t>
      </w:r>
      <w:r w:rsidR="002A286C">
        <w:rPr>
          <w:color w:val="000000"/>
        </w:rPr>
        <w:t>only ‘</w:t>
      </w:r>
      <w:r w:rsidR="00DE0197">
        <w:rPr>
          <w:color w:val="000000"/>
        </w:rPr>
        <w:t>to perfect people</w:t>
      </w:r>
      <w:r w:rsidR="002A286C">
        <w:rPr>
          <w:color w:val="000000"/>
        </w:rPr>
        <w:t>’</w:t>
      </w:r>
      <w:r w:rsidR="00DE0197">
        <w:rPr>
          <w:color w:val="000000"/>
        </w:rPr>
        <w:t xml:space="preserve"> who reliably know that they were taught by the Lord Jesus himself, or to those </w:t>
      </w:r>
      <w:r w:rsidR="002A286C">
        <w:rPr>
          <w:color w:val="000000"/>
        </w:rPr>
        <w:t>‘</w:t>
      </w:r>
      <w:r w:rsidR="00DE0197">
        <w:rPr>
          <w:color w:val="000000"/>
        </w:rPr>
        <w:t>who received divine answers in heaven</w:t>
      </w:r>
      <w:r w:rsidR="002A286C">
        <w:rPr>
          <w:color w:val="000000"/>
        </w:rPr>
        <w:t>’</w:t>
      </w:r>
      <w:r w:rsidR="00DE0197">
        <w:rPr>
          <w:color w:val="000000"/>
        </w:rPr>
        <w:t xml:space="preserve">, </w:t>
      </w:r>
      <w:r w:rsidR="002A286C">
        <w:rPr>
          <w:color w:val="000000"/>
        </w:rPr>
        <w:t xml:space="preserve">pointing to </w:t>
      </w:r>
      <w:r w:rsidR="00DE0197">
        <w:rPr>
          <w:color w:val="000000"/>
        </w:rPr>
        <w:t>the apostles and Paul</w:t>
      </w:r>
      <w:r w:rsidR="002A286C">
        <w:rPr>
          <w:color w:val="000000"/>
        </w:rPr>
        <w:t xml:space="preserve"> only</w:t>
      </w:r>
      <w:r w:rsidR="00DE0197">
        <w:rPr>
          <w:color w:val="000000"/>
        </w:rPr>
        <w:t>.</w:t>
      </w:r>
      <w:bookmarkStart w:id="81" w:name="_ftnref107"/>
      <w:bookmarkEnd w:id="81"/>
      <w:r w:rsidR="002A286C">
        <w:rPr>
          <w:rStyle w:val="FootnoteReference"/>
          <w:color w:val="000000"/>
        </w:rPr>
        <w:footnoteReference w:id="88"/>
      </w:r>
      <w:r w:rsidR="002A286C" w:rsidRPr="002A286C">
        <w:rPr>
          <w:color w:val="000000"/>
        </w:rPr>
        <w:t xml:space="preserve"> </w:t>
      </w:r>
    </w:p>
    <w:p w14:paraId="72D63C53" w14:textId="170816F4" w:rsidR="00DE0197" w:rsidRDefault="00DE0197" w:rsidP="00DE0197">
      <w:pPr>
        <w:pStyle w:val="NormalWeb"/>
        <w:spacing w:before="0" w:beforeAutospacing="0" w:after="0" w:afterAutospacing="0"/>
        <w:ind w:firstLine="720"/>
        <w:jc w:val="both"/>
        <w:rPr>
          <w:color w:val="000000"/>
          <w:sz w:val="27"/>
          <w:szCs w:val="27"/>
        </w:rPr>
      </w:pPr>
      <w:r>
        <w:rPr>
          <w:color w:val="000000"/>
        </w:rPr>
        <w:t>Unfortunately, Origen</w:t>
      </w:r>
      <w:r w:rsidR="002A286C">
        <w:rPr>
          <w:color w:val="000000"/>
        </w:rPr>
        <w:t>’</w:t>
      </w:r>
      <w:r>
        <w:rPr>
          <w:color w:val="000000"/>
        </w:rPr>
        <w:t>s sermons on </w:t>
      </w:r>
      <w:r w:rsidR="002A286C">
        <w:rPr>
          <w:color w:val="000000"/>
        </w:rPr>
        <w:t xml:space="preserve">the </w:t>
      </w:r>
      <w:r w:rsidRPr="002A286C">
        <w:rPr>
          <w:i/>
          <w:color w:val="000000"/>
        </w:rPr>
        <w:t>Acts of the Apostles</w:t>
      </w:r>
      <w:r>
        <w:rPr>
          <w:color w:val="000000"/>
        </w:rPr>
        <w:t xml:space="preserve"> have been lost except for a fragment, </w:t>
      </w:r>
      <w:r w:rsidR="002A286C">
        <w:rPr>
          <w:color w:val="000000"/>
        </w:rPr>
        <w:t>‘</w:t>
      </w:r>
      <w:r>
        <w:rPr>
          <w:color w:val="000000"/>
        </w:rPr>
        <w:t xml:space="preserve">but the numerous passages in his surviving works, in which passages from the </w:t>
      </w:r>
      <w:r w:rsidRPr="008D39FC">
        <w:rPr>
          <w:i/>
          <w:color w:val="000000"/>
        </w:rPr>
        <w:t>Acts of the Apostles</w:t>
      </w:r>
      <w:r>
        <w:rPr>
          <w:color w:val="000000"/>
        </w:rPr>
        <w:t xml:space="preserve"> occur, show that he dealt intensively with</w:t>
      </w:r>
      <w:r w:rsidR="008D39FC">
        <w:rPr>
          <w:color w:val="000000"/>
        </w:rPr>
        <w:t xml:space="preserve"> this book’</w:t>
      </w:r>
      <w:r>
        <w:rPr>
          <w:color w:val="000000"/>
        </w:rPr>
        <w:t>,</w:t>
      </w:r>
      <w:bookmarkStart w:id="82" w:name="_ftnref108"/>
      <w:bookmarkEnd w:id="82"/>
      <w:r w:rsidR="008D39FC">
        <w:rPr>
          <w:rStyle w:val="FootnoteReference"/>
          <w:color w:val="000000"/>
        </w:rPr>
        <w:footnoteReference w:id="89"/>
      </w:r>
      <w:r w:rsidR="008D39FC">
        <w:rPr>
          <w:color w:val="000000"/>
        </w:rPr>
        <w:t xml:space="preserve"> </w:t>
      </w:r>
      <w:r>
        <w:rPr>
          <w:color w:val="000000"/>
        </w:rPr>
        <w:t>however, following his exegetical and homiletic principles, he will presumably have read this text hardly as history, but rather as spiritual history and interpreted it accordingly.</w:t>
      </w:r>
      <w:bookmarkStart w:id="83" w:name="_ftnref109"/>
      <w:bookmarkEnd w:id="83"/>
      <w:r w:rsidR="008D39FC">
        <w:rPr>
          <w:rStyle w:val="FootnoteReference"/>
          <w:color w:val="000000"/>
        </w:rPr>
        <w:footnoteReference w:id="90"/>
      </w:r>
      <w:r w:rsidR="008D39FC">
        <w:rPr>
          <w:color w:val="000000"/>
          <w:sz w:val="27"/>
          <w:szCs w:val="27"/>
        </w:rPr>
        <w:t xml:space="preserve"> </w:t>
      </w:r>
    </w:p>
    <w:p w14:paraId="1FD5273A" w14:textId="41BE7F8E" w:rsidR="00DE0197" w:rsidRDefault="008D39FC" w:rsidP="00DE0197">
      <w:pPr>
        <w:pStyle w:val="NormalWeb"/>
        <w:spacing w:before="0" w:beforeAutospacing="0" w:after="0" w:afterAutospacing="0"/>
        <w:ind w:firstLine="720"/>
        <w:jc w:val="both"/>
        <w:rPr>
          <w:color w:val="000000"/>
          <w:sz w:val="27"/>
          <w:szCs w:val="27"/>
        </w:rPr>
      </w:pPr>
      <w:r>
        <w:rPr>
          <w:color w:val="000000"/>
        </w:rPr>
        <w:lastRenderedPageBreak/>
        <w:t xml:space="preserve">We can summarize </w:t>
      </w:r>
      <w:r w:rsidR="00DE0197">
        <w:rPr>
          <w:color w:val="000000"/>
        </w:rPr>
        <w:t xml:space="preserve">that Origen reads the beginnings of Christianity through the glasses of the writings of the Old and New Testaments, but he understands them primarily as spiritual, not as historical literature, in that the wording of the texts leads to the spiritual reading and the knowledge of the </w:t>
      </w:r>
      <w:r>
        <w:rPr>
          <w:color w:val="000000"/>
        </w:rPr>
        <w:t>word of God</w:t>
      </w:r>
      <w:r w:rsidR="00DE0197">
        <w:rPr>
          <w:color w:val="000000"/>
        </w:rPr>
        <w:t xml:space="preserve">. In his extensive preaching and commentary work and with his radical focus on the </w:t>
      </w:r>
      <w:r>
        <w:rPr>
          <w:color w:val="000000"/>
        </w:rPr>
        <w:t>H</w:t>
      </w:r>
      <w:r w:rsidR="00DE0197">
        <w:rPr>
          <w:color w:val="000000"/>
        </w:rPr>
        <w:t xml:space="preserve">oly </w:t>
      </w:r>
      <w:r>
        <w:rPr>
          <w:color w:val="000000"/>
        </w:rPr>
        <w:t>S</w:t>
      </w:r>
      <w:r w:rsidR="00DE0197">
        <w:rPr>
          <w:color w:val="000000"/>
        </w:rPr>
        <w:t xml:space="preserve">criptures, </w:t>
      </w:r>
      <w:r>
        <w:rPr>
          <w:color w:val="000000"/>
        </w:rPr>
        <w:t xml:space="preserve">Origen paved the way </w:t>
      </w:r>
      <w:r w:rsidR="00DE0197">
        <w:rPr>
          <w:color w:val="000000"/>
        </w:rPr>
        <w:t xml:space="preserve">for </w:t>
      </w:r>
      <w:r>
        <w:rPr>
          <w:color w:val="000000"/>
        </w:rPr>
        <w:t xml:space="preserve">these writings to become Holy Scriptures, even divinely inspired ones, and through this for </w:t>
      </w:r>
      <w:r w:rsidR="00DE0197">
        <w:rPr>
          <w:color w:val="000000"/>
        </w:rPr>
        <w:t xml:space="preserve">the </w:t>
      </w:r>
      <w:r>
        <w:rPr>
          <w:color w:val="000000"/>
        </w:rPr>
        <w:t xml:space="preserve">impact that these writings gained, also – certainly against Origen’s own views – by those readers who later took them as historically reliable literature. </w:t>
      </w:r>
      <w:r w:rsidR="00DE0197">
        <w:rPr>
          <w:color w:val="000000"/>
        </w:rPr>
        <w:t>Even if Eusebius, for example, true to Origen</w:t>
      </w:r>
      <w:r>
        <w:rPr>
          <w:color w:val="000000"/>
        </w:rPr>
        <w:t>’s</w:t>
      </w:r>
      <w:r w:rsidR="00DE0197">
        <w:rPr>
          <w:color w:val="000000"/>
        </w:rPr>
        <w:t xml:space="preserve"> tradition, still use</w:t>
      </w:r>
      <w:r>
        <w:rPr>
          <w:color w:val="000000"/>
        </w:rPr>
        <w:t>d</w:t>
      </w:r>
      <w:r w:rsidR="00DE0197">
        <w:rPr>
          <w:color w:val="000000"/>
        </w:rPr>
        <w:t xml:space="preserve"> these texts with great reluctance as the basis for his construction of the beginnings of Christianity, in the years </w:t>
      </w:r>
      <w:r>
        <w:rPr>
          <w:color w:val="000000"/>
        </w:rPr>
        <w:t xml:space="preserve">following him, </w:t>
      </w:r>
      <w:r w:rsidR="00DE0197">
        <w:rPr>
          <w:color w:val="000000"/>
        </w:rPr>
        <w:t>they form</w:t>
      </w:r>
      <w:r>
        <w:rPr>
          <w:color w:val="000000"/>
        </w:rPr>
        <w:t>ed</w:t>
      </w:r>
      <w:r w:rsidR="00DE0197">
        <w:rPr>
          <w:color w:val="000000"/>
        </w:rPr>
        <w:t xml:space="preserve"> more and more (and today irrevocably) the historical basis on which </w:t>
      </w:r>
      <w:r>
        <w:rPr>
          <w:color w:val="000000"/>
        </w:rPr>
        <w:t xml:space="preserve">the </w:t>
      </w:r>
      <w:r w:rsidR="00DE0197">
        <w:rPr>
          <w:color w:val="000000"/>
        </w:rPr>
        <w:t xml:space="preserve">history </w:t>
      </w:r>
      <w:r>
        <w:rPr>
          <w:color w:val="000000"/>
        </w:rPr>
        <w:t xml:space="preserve">of </w:t>
      </w:r>
      <w:r w:rsidR="00DE0197">
        <w:rPr>
          <w:color w:val="000000"/>
        </w:rPr>
        <w:t xml:space="preserve">the beginnings of Christianity </w:t>
      </w:r>
      <w:r>
        <w:rPr>
          <w:color w:val="000000"/>
        </w:rPr>
        <w:t>is being written</w:t>
      </w:r>
      <w:r w:rsidR="00DE0197">
        <w:rPr>
          <w:color w:val="000000"/>
        </w:rPr>
        <w:t>.</w:t>
      </w:r>
    </w:p>
    <w:p w14:paraId="4F4EA546" w14:textId="77777777" w:rsidR="00DE0197" w:rsidRDefault="00DE0197" w:rsidP="00DE0197">
      <w:pPr>
        <w:pStyle w:val="NormalWeb"/>
        <w:spacing w:before="0" w:beforeAutospacing="0" w:after="0" w:afterAutospacing="0"/>
        <w:ind w:firstLine="720"/>
        <w:jc w:val="both"/>
        <w:rPr>
          <w:color w:val="000000"/>
          <w:sz w:val="27"/>
          <w:szCs w:val="27"/>
        </w:rPr>
      </w:pPr>
      <w:r>
        <w:rPr>
          <w:color w:val="000000"/>
        </w:rPr>
        <w:t> </w:t>
      </w:r>
    </w:p>
    <w:bookmarkEnd w:id="0"/>
    <w:p w14:paraId="18E47F02" w14:textId="77777777" w:rsidR="008D39FC" w:rsidRDefault="008D39FC"/>
    <w:p w14:paraId="5CAD3FE7" w14:textId="77777777" w:rsidR="008D39FC" w:rsidRDefault="008D39FC"/>
    <w:p w14:paraId="6CBB3D33" w14:textId="77777777" w:rsidR="008D39FC" w:rsidRPr="008D39FC" w:rsidRDefault="008D39FC" w:rsidP="008D39FC">
      <w:pPr>
        <w:pStyle w:val="EndNoteBibliography"/>
      </w:pPr>
      <w:r>
        <w:fldChar w:fldCharType="begin"/>
      </w:r>
      <w:r>
        <w:instrText xml:space="preserve"> ADDIN EN.REFLIST </w:instrText>
      </w:r>
      <w:r>
        <w:fldChar w:fldCharType="separate"/>
      </w:r>
      <w:r w:rsidRPr="008D39FC">
        <w:t xml:space="preserve">Akinean, N. (1921). </w:t>
      </w:r>
      <w:r w:rsidRPr="008D39FC">
        <w:rPr>
          <w:u w:val="single"/>
        </w:rPr>
        <w:t xml:space="preserve">Srboyn Ep̕remi Asorioy Meknowt̕iwn gorcoc̕ aṙak̕eloc̕ </w:t>
      </w:r>
      <w:r w:rsidRPr="008D39FC">
        <w:t>Vienna, Mxit̕arean Tp.</w:t>
      </w:r>
    </w:p>
    <w:p w14:paraId="20684C8B" w14:textId="77777777" w:rsidR="008D39FC" w:rsidRPr="008D39FC" w:rsidRDefault="008D39FC" w:rsidP="008D39FC">
      <w:pPr>
        <w:pStyle w:val="EndNoteBibliography"/>
      </w:pPr>
      <w:r w:rsidRPr="008D39FC">
        <w:t xml:space="preserve">Barnes, T. D. (1996). </w:t>
      </w:r>
      <w:r w:rsidRPr="008D39FC">
        <w:rPr>
          <w:u w:val="single"/>
        </w:rPr>
        <w:t>Constantine and Eusebius</w:t>
      </w:r>
      <w:r w:rsidRPr="008D39FC">
        <w:t>. Cambridge, Mass. [u.a.], Harvard Univ. Pr.</w:t>
      </w:r>
    </w:p>
    <w:p w14:paraId="7EE0BD5F" w14:textId="77777777" w:rsidR="008D39FC" w:rsidRPr="008D39FC" w:rsidRDefault="008D39FC" w:rsidP="008D39FC">
      <w:pPr>
        <w:pStyle w:val="EndNoteBibliography"/>
      </w:pPr>
      <w:r w:rsidRPr="008D39FC">
        <w:t xml:space="preserve">Compton, M. B. (1996). </w:t>
      </w:r>
      <w:r w:rsidRPr="008D39FC">
        <w:rPr>
          <w:u w:val="single"/>
        </w:rPr>
        <w:t xml:space="preserve">Introducing the Acts of the Apostles: A Study of John Chrysostom's </w:t>
      </w:r>
      <w:r w:rsidRPr="008D39FC">
        <w:rPr>
          <w:i/>
          <w:u w:val="single"/>
        </w:rPr>
        <w:t>On the Beginning of Acts</w:t>
      </w:r>
      <w:r w:rsidRPr="008D39FC">
        <w:rPr>
          <w:u w:val="single"/>
        </w:rPr>
        <w:t>. PhD diss.</w:t>
      </w:r>
      <w:r w:rsidRPr="008D39FC">
        <w:t xml:space="preserve"> Charlottesville, University of Virginia.</w:t>
      </w:r>
    </w:p>
    <w:p w14:paraId="313E0050" w14:textId="77777777" w:rsidR="008D39FC" w:rsidRPr="008D39FC" w:rsidRDefault="008D39FC" w:rsidP="008D39FC">
      <w:pPr>
        <w:pStyle w:val="EndNoteBibliography"/>
      </w:pPr>
      <w:r w:rsidRPr="008D39FC">
        <w:t xml:space="preserve">Conybeare, F. C. (1926). The Commentary of Ephrem on Acts. </w:t>
      </w:r>
      <w:r w:rsidRPr="008D39FC">
        <w:rPr>
          <w:u w:val="single"/>
        </w:rPr>
        <w:t xml:space="preserve">The Beginnings of Christianity. Part I. The Acts of the Apostles </w:t>
      </w:r>
      <w:r w:rsidRPr="008D39FC">
        <w:t xml:space="preserve">J. H. Ropes. London, Macmillan and Co. </w:t>
      </w:r>
      <w:r w:rsidRPr="008D39FC">
        <w:rPr>
          <w:b/>
        </w:rPr>
        <w:t>III</w:t>
      </w:r>
      <w:r w:rsidRPr="008D39FC">
        <w:t>.</w:t>
      </w:r>
    </w:p>
    <w:p w14:paraId="0F209634" w14:textId="77777777" w:rsidR="008D39FC" w:rsidRPr="008D39FC" w:rsidRDefault="008D39FC" w:rsidP="008D39FC">
      <w:pPr>
        <w:pStyle w:val="EndNoteBibliography"/>
      </w:pPr>
      <w:r w:rsidRPr="008D39FC">
        <w:t xml:space="preserve">Gerber, C. (1997). </w:t>
      </w:r>
      <w:r w:rsidRPr="008D39FC">
        <w:rPr>
          <w:u w:val="single"/>
        </w:rPr>
        <w:t>Ein Bild des Judentums für Nichtjuden von Flavius Josephus Untersuchungen zu seiner Schrift "Contra Apionem"</w:t>
      </w:r>
      <w:r w:rsidRPr="008D39FC">
        <w:t>. Leiden [u.a.], Brill.</w:t>
      </w:r>
    </w:p>
    <w:p w14:paraId="33908893" w14:textId="77777777" w:rsidR="008D39FC" w:rsidRPr="008D39FC" w:rsidRDefault="008D39FC" w:rsidP="008D39FC">
      <w:pPr>
        <w:pStyle w:val="EndNoteBibliography"/>
      </w:pPr>
      <w:r w:rsidRPr="008D39FC">
        <w:t xml:space="preserve">Gregory, A. F. (2003). </w:t>
      </w:r>
      <w:r w:rsidRPr="008D39FC">
        <w:rPr>
          <w:u w:val="single"/>
        </w:rPr>
        <w:t>The Reception of Luke and Acts in the Period before Irenaeus: Looking for Luke in the Second Century</w:t>
      </w:r>
      <w:r w:rsidRPr="008D39FC">
        <w:t>. Tübingen, Mohr Siebeck.</w:t>
      </w:r>
    </w:p>
    <w:p w14:paraId="4B0DD816" w14:textId="77777777" w:rsidR="008D39FC" w:rsidRPr="008D39FC" w:rsidRDefault="008D39FC" w:rsidP="008D39FC">
      <w:pPr>
        <w:pStyle w:val="EndNoteBibliography"/>
      </w:pPr>
      <w:r w:rsidRPr="008D39FC">
        <w:t xml:space="preserve">Hauser, D. C. (1992). Origen and the Historicity of the Church. </w:t>
      </w:r>
      <w:r w:rsidRPr="008D39FC">
        <w:rPr>
          <w:u w:val="single"/>
        </w:rPr>
        <w:t>Origeniana Quinta</w:t>
      </w:r>
      <w:r w:rsidRPr="008D39FC">
        <w:t>. R. J. Daly. Leuven, Leuven University Press</w:t>
      </w:r>
      <w:r w:rsidRPr="008D39FC">
        <w:rPr>
          <w:b/>
        </w:rPr>
        <w:t xml:space="preserve">: </w:t>
      </w:r>
      <w:r w:rsidRPr="008D39FC">
        <w:t>467–473.</w:t>
      </w:r>
    </w:p>
    <w:p w14:paraId="22A72414" w14:textId="77777777" w:rsidR="008D39FC" w:rsidRPr="008D39FC" w:rsidRDefault="008D39FC" w:rsidP="008D39FC">
      <w:pPr>
        <w:pStyle w:val="EndNoteBibliography"/>
      </w:pPr>
      <w:r w:rsidRPr="008D39FC">
        <w:t xml:space="preserve">Jenkins, C. (1908). "Origen on I Corinthians." </w:t>
      </w:r>
      <w:r w:rsidRPr="008D39FC">
        <w:rPr>
          <w:u w:val="single"/>
        </w:rPr>
        <w:t>The Journal of Theological Studies</w:t>
      </w:r>
      <w:r w:rsidRPr="008D39FC">
        <w:t xml:space="preserve"> </w:t>
      </w:r>
      <w:r w:rsidRPr="008D39FC">
        <w:rPr>
          <w:b/>
        </w:rPr>
        <w:t>9</w:t>
      </w:r>
      <w:r w:rsidRPr="008D39FC">
        <w:t>: 231-247.</w:t>
      </w:r>
    </w:p>
    <w:p w14:paraId="40341DDA" w14:textId="77777777" w:rsidR="008D39FC" w:rsidRPr="008D39FC" w:rsidRDefault="008D39FC" w:rsidP="008D39FC">
      <w:pPr>
        <w:pStyle w:val="EndNoteBibliography"/>
      </w:pPr>
      <w:r w:rsidRPr="008D39FC">
        <w:t xml:space="preserve">Maraval, P. (2002). "The Earliest Phase of Christian Pilgrimage in the Near East (before the 7th Century)." </w:t>
      </w:r>
      <w:r w:rsidRPr="008D39FC">
        <w:rPr>
          <w:u w:val="single"/>
        </w:rPr>
        <w:t>Dumbarton Oaks Papers</w:t>
      </w:r>
      <w:r w:rsidRPr="008D39FC">
        <w:t xml:space="preserve"> </w:t>
      </w:r>
      <w:r w:rsidRPr="008D39FC">
        <w:rPr>
          <w:b/>
        </w:rPr>
        <w:t>56</w:t>
      </w:r>
      <w:r w:rsidRPr="008D39FC">
        <w:t>: 63–74.</w:t>
      </w:r>
    </w:p>
    <w:p w14:paraId="249296EC" w14:textId="77777777" w:rsidR="008D39FC" w:rsidRPr="008D39FC" w:rsidRDefault="008D39FC" w:rsidP="008D39FC">
      <w:pPr>
        <w:pStyle w:val="EndNoteBibliography"/>
      </w:pPr>
      <w:r w:rsidRPr="008D39FC">
        <w:t xml:space="preserve">Merk, A. (1924). "Der neuentdeckte Kommentar des hl. Ephraem zur Apostelgeschichte." </w:t>
      </w:r>
      <w:r w:rsidRPr="008D39FC">
        <w:rPr>
          <w:u w:val="single"/>
        </w:rPr>
        <w:t>Zeitschrift für katholische Theologie</w:t>
      </w:r>
      <w:r w:rsidRPr="008D39FC">
        <w:t xml:space="preserve"> </w:t>
      </w:r>
      <w:r w:rsidRPr="008D39FC">
        <w:rPr>
          <w:b/>
        </w:rPr>
        <w:t>48</w:t>
      </w:r>
      <w:r w:rsidRPr="008D39FC">
        <w:t>(1): 37-58.</w:t>
      </w:r>
    </w:p>
    <w:p w14:paraId="6BDD2C75" w14:textId="77777777" w:rsidR="008D39FC" w:rsidRPr="008D39FC" w:rsidRDefault="008D39FC" w:rsidP="008D39FC">
      <w:pPr>
        <w:pStyle w:val="EndNoteBibliography"/>
      </w:pPr>
      <w:r w:rsidRPr="008D39FC">
        <w:t xml:space="preserve">Müller-Abels, S. (2003). Der Umgang mit "schwierigen" Texten der Apostelgeschichte in der Alten Kirche. </w:t>
      </w:r>
      <w:r w:rsidRPr="008D39FC">
        <w:rPr>
          <w:u w:val="single"/>
        </w:rPr>
        <w:t>The Book of Acts as Church History. Apostelgeschichte als Kirchengeschichte</w:t>
      </w:r>
      <w:r w:rsidRPr="008D39FC">
        <w:t>. T. Nicklas and M. Tilly. Berlin, New York, De Gruyter</w:t>
      </w:r>
      <w:r w:rsidRPr="008D39FC">
        <w:rPr>
          <w:b/>
        </w:rPr>
        <w:t xml:space="preserve">: </w:t>
      </w:r>
      <w:r w:rsidRPr="008D39FC">
        <w:t>347-371.</w:t>
      </w:r>
    </w:p>
    <w:p w14:paraId="57C693AA" w14:textId="77777777" w:rsidR="008D39FC" w:rsidRPr="008D39FC" w:rsidRDefault="008D39FC" w:rsidP="008D39FC">
      <w:pPr>
        <w:pStyle w:val="EndNoteBibliography"/>
      </w:pPr>
      <w:r w:rsidRPr="008D39FC">
        <w:t xml:space="preserve">Nicklas, T. (2003). </w:t>
      </w:r>
      <w:r w:rsidRPr="008D39FC">
        <w:rPr>
          <w:u w:val="single"/>
        </w:rPr>
        <w:t>The Book of Acts as Church History. Text, Textual Traditions and Ancient Interpretations = Apostelgeschichte als Kirchengeschichte = Text, Texttraditionen und antike Auslegungen</w:t>
      </w:r>
      <w:r w:rsidRPr="008D39FC">
        <w:t>. Berlin [u.a.], de Gruyter.</w:t>
      </w:r>
    </w:p>
    <w:p w14:paraId="5DE5EDD1" w14:textId="77777777" w:rsidR="008D39FC" w:rsidRPr="008D39FC" w:rsidRDefault="008D39FC" w:rsidP="008D39FC">
      <w:pPr>
        <w:pStyle w:val="EndNoteBibliography"/>
      </w:pPr>
      <w:r w:rsidRPr="008D39FC">
        <w:t xml:space="preserve">Origen and J. T. Lienhard (1996). </w:t>
      </w:r>
      <w:r w:rsidRPr="008D39FC">
        <w:rPr>
          <w:u w:val="single"/>
        </w:rPr>
        <w:t>Homilies on Luke ; Fragments on Luke</w:t>
      </w:r>
      <w:r w:rsidRPr="008D39FC">
        <w:t>. Washington, D.C., Catholic University of America Press.</w:t>
      </w:r>
    </w:p>
    <w:p w14:paraId="58484025" w14:textId="77777777" w:rsidR="008D39FC" w:rsidRPr="008D39FC" w:rsidRDefault="008D39FC" w:rsidP="008D39FC">
      <w:pPr>
        <w:pStyle w:val="EndNoteBibliography"/>
      </w:pPr>
      <w:r w:rsidRPr="008D39FC">
        <w:t xml:space="preserve">Origenes, H. Chadwick and Origenes (1965). </w:t>
      </w:r>
      <w:r w:rsidRPr="008D39FC">
        <w:rPr>
          <w:u w:val="single"/>
        </w:rPr>
        <w:t>Contra Celsum</w:t>
      </w:r>
      <w:r w:rsidRPr="008D39FC">
        <w:t>. Cambridge, Univ. Pr.</w:t>
      </w:r>
    </w:p>
    <w:p w14:paraId="07D73B83" w14:textId="77777777" w:rsidR="008D39FC" w:rsidRPr="008D39FC" w:rsidRDefault="008D39FC" w:rsidP="008D39FC">
      <w:pPr>
        <w:pStyle w:val="EndNoteBibliography"/>
      </w:pPr>
      <w:r w:rsidRPr="008D39FC">
        <w:t xml:space="preserve">Origenes and K. Metzler (2010). </w:t>
      </w:r>
      <w:r w:rsidRPr="008D39FC">
        <w:rPr>
          <w:u w:val="single"/>
        </w:rPr>
        <w:t>Werke mit deutscher Übersetzung Bd. 1,1. Die Kommentierung des Buches Genesis</w:t>
      </w:r>
      <w:r w:rsidRPr="008D39FC">
        <w:t>. Berlin [u.a.], De Gruyter</w:t>
      </w:r>
    </w:p>
    <w:p w14:paraId="568B2B40" w14:textId="77777777" w:rsidR="008D39FC" w:rsidRPr="008D39FC" w:rsidRDefault="008D39FC" w:rsidP="008D39FC">
      <w:pPr>
        <w:pStyle w:val="EndNoteBibliography"/>
      </w:pPr>
      <w:r w:rsidRPr="008D39FC">
        <w:t>Herder.</w:t>
      </w:r>
    </w:p>
    <w:p w14:paraId="10EF5247" w14:textId="77777777" w:rsidR="008D39FC" w:rsidRPr="008D39FC" w:rsidRDefault="008D39FC" w:rsidP="008D39FC">
      <w:pPr>
        <w:pStyle w:val="EndNoteBibliography"/>
      </w:pPr>
      <w:r w:rsidRPr="008D39FC">
        <w:t xml:space="preserve">Schillebeeckx, E. (1975). </w:t>
      </w:r>
      <w:r w:rsidRPr="008D39FC">
        <w:rPr>
          <w:u w:val="single"/>
        </w:rPr>
        <w:t>Jesus. Die Geschichte von einem Lebenden</w:t>
      </w:r>
      <w:r w:rsidRPr="008D39FC">
        <w:t>. Freiburg im Breisgau [u.a.], Herder.</w:t>
      </w:r>
    </w:p>
    <w:p w14:paraId="69ED45C8" w14:textId="77777777" w:rsidR="008D39FC" w:rsidRPr="008D39FC" w:rsidRDefault="008D39FC" w:rsidP="008D39FC">
      <w:pPr>
        <w:pStyle w:val="EndNoteBibliography"/>
      </w:pPr>
      <w:r w:rsidRPr="008D39FC">
        <w:t xml:space="preserve">Schillebeeckx, E. (1977). </w:t>
      </w:r>
      <w:r w:rsidRPr="008D39FC">
        <w:rPr>
          <w:u w:val="single"/>
        </w:rPr>
        <w:t>Christus und die Christen. Die Geschichte einer neuen Lebenspraxis</w:t>
      </w:r>
      <w:r w:rsidRPr="008D39FC">
        <w:t>. Freiburg Basel Wien, Herder.</w:t>
      </w:r>
    </w:p>
    <w:p w14:paraId="29B132CF" w14:textId="77777777" w:rsidR="008D39FC" w:rsidRPr="008D39FC" w:rsidRDefault="008D39FC" w:rsidP="008D39FC">
      <w:pPr>
        <w:pStyle w:val="EndNoteBibliography"/>
      </w:pPr>
      <w:r w:rsidRPr="008D39FC">
        <w:t xml:space="preserve">Schillebeeckx, E. (1990). </w:t>
      </w:r>
      <w:r w:rsidRPr="008D39FC">
        <w:rPr>
          <w:u w:val="single"/>
        </w:rPr>
        <w:t>Menschen. Die Geschichte von Gott</w:t>
      </w:r>
      <w:r w:rsidRPr="008D39FC">
        <w:t>. Freiburg im Breisgau [u.a.], Herder.</w:t>
      </w:r>
    </w:p>
    <w:p w14:paraId="37734FFD" w14:textId="77777777" w:rsidR="008D39FC" w:rsidRPr="008D39FC" w:rsidRDefault="008D39FC" w:rsidP="008D39FC">
      <w:pPr>
        <w:pStyle w:val="EndNoteBibliography"/>
      </w:pPr>
      <w:r w:rsidRPr="008D39FC">
        <w:t xml:space="preserve">Schneider, G. (1980). </w:t>
      </w:r>
      <w:r w:rsidRPr="008D39FC">
        <w:rPr>
          <w:u w:val="single"/>
        </w:rPr>
        <w:t>Die Apostelgeschichte. I. Teil</w:t>
      </w:r>
      <w:r w:rsidRPr="008D39FC">
        <w:t>. Freiburg i. Br., Herder.</w:t>
      </w:r>
    </w:p>
    <w:p w14:paraId="2193937C" w14:textId="77777777" w:rsidR="008D39FC" w:rsidRPr="008D39FC" w:rsidRDefault="008D39FC" w:rsidP="008D39FC">
      <w:pPr>
        <w:pStyle w:val="EndNoteBibliography"/>
      </w:pPr>
      <w:r w:rsidRPr="008D39FC">
        <w:t xml:space="preserve">Shuve, K. (2012). The Patristic Reception of Luke and Acts: Scholarship, Theology, and Moral Exhortation in the Homilies of Origen and Chrysostom. </w:t>
      </w:r>
      <w:r w:rsidRPr="008D39FC">
        <w:rPr>
          <w:u w:val="single"/>
        </w:rPr>
        <w:t>Issues in Luke-Acts: Selected Essays</w:t>
      </w:r>
      <w:r w:rsidRPr="008D39FC">
        <w:t>. S. A. Adams and M. Pahl</w:t>
      </w:r>
      <w:r w:rsidRPr="008D39FC">
        <w:rPr>
          <w:b/>
        </w:rPr>
        <w:t xml:space="preserve">: </w:t>
      </w:r>
      <w:r w:rsidRPr="008D39FC">
        <w:t>263-286.</w:t>
      </w:r>
    </w:p>
    <w:p w14:paraId="32B91FFC" w14:textId="77777777" w:rsidR="008D39FC" w:rsidRPr="008D39FC" w:rsidRDefault="008D39FC" w:rsidP="008D39FC">
      <w:pPr>
        <w:pStyle w:val="EndNoteBibliography"/>
      </w:pPr>
      <w:r w:rsidRPr="008D39FC">
        <w:t xml:space="preserve">Stevens, G. B. (1999 [1889]). Chrysostom: Homilies on the Acts of the Apostles and the Epistles to the Romans. </w:t>
      </w:r>
      <w:r w:rsidRPr="008D39FC">
        <w:rPr>
          <w:u w:val="single"/>
        </w:rPr>
        <w:t>Nicene and Post-Nicene Fathers</w:t>
      </w:r>
      <w:r w:rsidRPr="008D39FC">
        <w:t>. Peabody, MA, Hendrickson Publishers</w:t>
      </w:r>
      <w:r w:rsidRPr="008D39FC">
        <w:rPr>
          <w:b/>
        </w:rPr>
        <w:t xml:space="preserve">: </w:t>
      </w:r>
      <w:r w:rsidRPr="008D39FC">
        <w:t>1/328.</w:t>
      </w:r>
    </w:p>
    <w:p w14:paraId="669A4D01" w14:textId="77777777" w:rsidR="008D39FC" w:rsidRPr="008D39FC" w:rsidRDefault="008D39FC" w:rsidP="008D39FC">
      <w:pPr>
        <w:pStyle w:val="EndNoteBibliography"/>
      </w:pPr>
      <w:r w:rsidRPr="008D39FC">
        <w:t xml:space="preserve">Tzamalikos, P. t. s. (2007). </w:t>
      </w:r>
      <w:r w:rsidRPr="008D39FC">
        <w:rPr>
          <w:u w:val="single"/>
        </w:rPr>
        <w:t>Origen. Philosophy of History &amp; Eschatology</w:t>
      </w:r>
      <w:r w:rsidRPr="008D39FC">
        <w:t>. Leiden [u.a.], Brill.</w:t>
      </w:r>
    </w:p>
    <w:p w14:paraId="4AFDC3DB" w14:textId="77777777" w:rsidR="008D39FC" w:rsidRPr="008D39FC" w:rsidRDefault="008D39FC" w:rsidP="008D39FC">
      <w:pPr>
        <w:pStyle w:val="EndNoteBibliography"/>
      </w:pPr>
      <w:r w:rsidRPr="008D39FC">
        <w:t xml:space="preserve">Vogt, H. J. (1974). </w:t>
      </w:r>
      <w:r w:rsidRPr="008D39FC">
        <w:rPr>
          <w:u w:val="single"/>
        </w:rPr>
        <w:t>Das Kirchenverständnis des Origenes</w:t>
      </w:r>
      <w:r w:rsidRPr="008D39FC">
        <w:t>. Köln [u.a.], Böhlau.</w:t>
      </w:r>
    </w:p>
    <w:p w14:paraId="76FFEF1B" w14:textId="77777777" w:rsidR="008D39FC" w:rsidRPr="008D39FC" w:rsidRDefault="008D39FC" w:rsidP="008D39FC">
      <w:pPr>
        <w:pStyle w:val="EndNoteBibliography"/>
      </w:pPr>
      <w:r w:rsidRPr="008D39FC">
        <w:t xml:space="preserve">Vogt, H. J. and W. Geerlings (1999). </w:t>
      </w:r>
      <w:r w:rsidRPr="008D39FC">
        <w:rPr>
          <w:u w:val="single"/>
        </w:rPr>
        <w:t>Origenes als Exeget</w:t>
      </w:r>
      <w:r w:rsidRPr="008D39FC">
        <w:t>. Paderborn [u.a.], Schöningh.</w:t>
      </w:r>
    </w:p>
    <w:p w14:paraId="6A4C0E91" w14:textId="77777777" w:rsidR="008D39FC" w:rsidRPr="008D39FC" w:rsidRDefault="008D39FC" w:rsidP="008D39FC">
      <w:pPr>
        <w:pStyle w:val="EndNoteBibliography"/>
      </w:pPr>
      <w:r w:rsidRPr="008D39FC">
        <w:t xml:space="preserve">Williams, R. (1995). "Origenes/Origenismus." </w:t>
      </w:r>
      <w:r w:rsidRPr="008D39FC">
        <w:rPr>
          <w:u w:val="single"/>
        </w:rPr>
        <w:t>Theologische Realenzyklopädie</w:t>
      </w:r>
      <w:r w:rsidRPr="008D39FC">
        <w:t xml:space="preserve"> </w:t>
      </w:r>
      <w:r w:rsidRPr="008D39FC">
        <w:rPr>
          <w:b/>
        </w:rPr>
        <w:t>25</w:t>
      </w:r>
      <w:r w:rsidRPr="008D39FC">
        <w:t>: 397-420.</w:t>
      </w:r>
    </w:p>
    <w:p w14:paraId="14418B0E" w14:textId="2ADC8E4E" w:rsidR="00EF5471" w:rsidRDefault="008D39FC">
      <w:r>
        <w:fldChar w:fldCharType="end"/>
      </w:r>
    </w:p>
    <w:sectPr w:rsidR="00EF5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ABEFB" w14:textId="77777777" w:rsidR="002A286C" w:rsidRDefault="002A286C" w:rsidP="00021986">
      <w:r>
        <w:separator/>
      </w:r>
    </w:p>
  </w:endnote>
  <w:endnote w:type="continuationSeparator" w:id="0">
    <w:p w14:paraId="2A9D4510" w14:textId="77777777" w:rsidR="002A286C" w:rsidRDefault="002A286C" w:rsidP="0002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ings Caslon Display">
    <w:altName w:val="Corbe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A2838" w14:textId="77777777" w:rsidR="002A286C" w:rsidRDefault="002A286C" w:rsidP="00021986">
      <w:r>
        <w:separator/>
      </w:r>
    </w:p>
  </w:footnote>
  <w:footnote w:type="continuationSeparator" w:id="0">
    <w:p w14:paraId="1FF08008" w14:textId="77777777" w:rsidR="002A286C" w:rsidRDefault="002A286C" w:rsidP="00021986">
      <w:r>
        <w:continuationSeparator/>
      </w:r>
    </w:p>
  </w:footnote>
  <w:footnote w:id="1">
    <w:p w14:paraId="3D8DE79F" w14:textId="0C2EC279" w:rsidR="002A286C" w:rsidRPr="008A13B2" w:rsidRDefault="002A286C">
      <w:pPr>
        <w:pStyle w:val="FootnoteText"/>
        <w:rPr>
          <w:lang w:val="en-GB"/>
        </w:rPr>
      </w:pPr>
      <w:r>
        <w:rPr>
          <w:rStyle w:val="FootnoteReference"/>
        </w:rPr>
        <w:footnoteRef/>
      </w:r>
      <w:r w:rsidRPr="008A13B2">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I 14</w:t>
      </w:r>
      <w:r>
        <w:rPr>
          <w:kern w:val="0"/>
          <w:lang w:val="en-GB"/>
        </w:rPr>
        <w:t xml:space="preserve">, trans </w:t>
      </w:r>
      <w:r>
        <w:rPr>
          <w:kern w:val="0"/>
          <w:lang w:val="en-GB"/>
        </w:rPr>
        <w:fldChar w:fldCharType="begin"/>
      </w:r>
      <w:r>
        <w:rPr>
          <w:kern w:val="0"/>
          <w:lang w:val="en-GB"/>
        </w:rPr>
        <w:instrText xml:space="preserve"> ADDIN EN.CITE &lt;EndNote&gt;&lt;Cite&gt;&lt;Author&gt;Origenes&lt;/Author&gt;&lt;Year&gt;1965&lt;/Year&gt;&lt;RecNum&gt;2292&lt;/RecNum&gt;&lt;Pages&gt;16&lt;/Pages&gt;&lt;DisplayText&gt;Origenes, H. Chadwick and Origenes (1965). &lt;style face="underline"&gt;Contra Celsum&lt;/style&gt;. Cambridge, Univ. Pr.&lt;/DisplayText&gt;&lt;record&gt;&lt;rec-number&gt;2292&lt;/rec-number&gt;&lt;foreign-keys&gt;&lt;key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GB"/>
        </w:rPr>
        <w:fldChar w:fldCharType="separate"/>
      </w:r>
      <w:r>
        <w:rPr>
          <w:noProof/>
          <w:kern w:val="0"/>
          <w:lang w:val="en-GB"/>
        </w:rPr>
        <w:t xml:space="preserve">Origenes, H. Chadwick and Origenes (1965). </w:t>
      </w:r>
      <w:r w:rsidRPr="00F66C41">
        <w:rPr>
          <w:noProof/>
          <w:kern w:val="0"/>
          <w:u w:val="single"/>
          <w:lang w:val="en-GB"/>
        </w:rPr>
        <w:t>Contra Celsum</w:t>
      </w:r>
      <w:r>
        <w:rPr>
          <w:noProof/>
          <w:kern w:val="0"/>
          <w:lang w:val="en-GB"/>
        </w:rPr>
        <w:t>. Cambridge, Univ. Pr.</w:t>
      </w:r>
      <w:r>
        <w:rPr>
          <w:kern w:val="0"/>
          <w:lang w:val="en-GB"/>
        </w:rPr>
        <w:fldChar w:fldCharType="end"/>
      </w:r>
      <w:r w:rsidRPr="004E6C9E">
        <w:rPr>
          <w:kern w:val="0"/>
          <w:lang w:val="en-GB"/>
        </w:rPr>
        <w:t>.</w:t>
      </w:r>
    </w:p>
  </w:footnote>
  <w:footnote w:id="2">
    <w:p w14:paraId="14B924C9" w14:textId="59004844" w:rsidR="002A286C" w:rsidRPr="00B60795" w:rsidRDefault="002A286C">
      <w:pPr>
        <w:pStyle w:val="FootnoteText"/>
        <w:rPr>
          <w:lang w:val="en-GB"/>
        </w:rPr>
      </w:pPr>
      <w:r>
        <w:rPr>
          <w:rStyle w:val="FootnoteReference"/>
        </w:rPr>
        <w:footnoteRef/>
      </w:r>
      <w:r w:rsidRPr="00B60795">
        <w:rPr>
          <w:lang w:val="en-GB"/>
        </w:rPr>
        <w:t xml:space="preserve"> </w:t>
      </w:r>
      <w:r w:rsidRPr="00B60795">
        <w:rPr>
          <w:kern w:val="0"/>
          <w:lang w:val="en-GB"/>
        </w:rPr>
        <w:t xml:space="preserve">See Orig., C. </w:t>
      </w:r>
      <w:proofErr w:type="spellStart"/>
      <w:r w:rsidRPr="00B60795">
        <w:rPr>
          <w:kern w:val="0"/>
          <w:lang w:val="en-GB"/>
        </w:rPr>
        <w:t>Cels</w:t>
      </w:r>
      <w:proofErr w:type="spellEnd"/>
      <w:r w:rsidRPr="00B60795">
        <w:rPr>
          <w:kern w:val="0"/>
          <w:lang w:val="en-GB"/>
        </w:rPr>
        <w:t xml:space="preserve">. I 14-16; ibid. I 16 he refers to Jos., </w:t>
      </w:r>
      <w:r w:rsidRPr="00B60795">
        <w:rPr>
          <w:i/>
          <w:kern w:val="0"/>
          <w:lang w:val="en-GB"/>
        </w:rPr>
        <w:t xml:space="preserve">Contra </w:t>
      </w:r>
      <w:proofErr w:type="spellStart"/>
      <w:r w:rsidRPr="00B60795">
        <w:rPr>
          <w:i/>
          <w:kern w:val="0"/>
          <w:lang w:val="en-GB"/>
        </w:rPr>
        <w:t>Apionem</w:t>
      </w:r>
      <w:proofErr w:type="spellEnd"/>
      <w:r w:rsidRPr="00B60795">
        <w:rPr>
          <w:kern w:val="0"/>
          <w:lang w:val="en-GB"/>
        </w:rPr>
        <w:t xml:space="preserve">; on this see </w:t>
      </w:r>
      <w:r w:rsidRPr="00E54926">
        <w:rPr>
          <w:kern w:val="0"/>
        </w:rPr>
        <w:fldChar w:fldCharType="begin"/>
      </w:r>
      <w:r>
        <w:rPr>
          <w:kern w:val="0"/>
          <w:lang w:val="en-GB"/>
        </w:rPr>
        <w:instrText xml:space="preserve"> ADDIN EN.CITE &lt;EndNote&gt;&lt;Cite&gt;&lt;Author&gt;Gerber&lt;/Author&gt;&lt;Year&gt;1997&lt;/Year&gt;&lt;RecNum&gt;6480&lt;/RecNum&gt;&lt;DisplayText&gt;Gerber, C. (1997). &lt;style face="underline"&gt;Ein Bild des Judentums für Nichtjuden von Flavius Josephus Untersuchungen zu seiner Schrift &amp;quot;Contra Apionem&amp;quot;&lt;/style&gt;. Leiden [u.a.], Brill.&lt;/DisplayText&gt;&lt;record&gt;&lt;rec-number&gt;6480&lt;/rec-number&gt;&lt;foreign-keys&gt;&lt;key app="EN" db-id="watspfp2d2rp9se0avpvpv942sd5za2epre9" timestamp="1538302019"&gt;6480&lt;/key&gt;&lt;/foreign-keys&gt;&lt;ref-type name="Book"&gt;6&lt;/ref-type&gt;&lt;contributors&gt;&lt;authors&gt;&lt;author&gt;Gerber, Christine&lt;/author&gt;&lt;/authors&gt;&lt;/contributors&gt;&lt;titles&gt;&lt;title&gt;Ein Bild des Judentums für Nichtjuden von Flavius Josephus Untersuchungen zu seiner Schrift &amp;quot;Contra Apionem&amp;quot;&lt;/title&gt;&lt;secondary-title&gt;Arbeiten zur Geschichte des antiken Judentums und des Urchristentums&lt;/secondary-title&gt;&lt;/titles&gt;&lt;pages&gt;XIV, 456 S.&lt;/pages&gt;&lt;number&gt;40&lt;/number&gt;&lt;keywords&gt;&lt;keyword&gt;296.3/5&lt;/keyword&gt;&lt;/keywords&gt;&lt;dates&gt;&lt;year&gt;1997&lt;/year&gt;&lt;/dates&gt;&lt;pub-location&gt;Leiden [u.a.]&lt;/pub-location&gt;&lt;publisher&gt;Brill&lt;/publisher&gt;&lt;isbn&gt;90-04-10753-3&lt;/isbn&gt;&lt;accession-num&gt;061392944&lt;/accession-num&gt;&lt;label&gt;200714805 bd 2580&amp;#xD;201489546 fh 60453&amp;#xD;200713248 bc 7550&amp;#xD;1&lt;/label&gt;&lt;urls&gt;&lt;/urls&gt;&lt;language&gt;ger&lt;/language&gt;&lt;/record&gt;&lt;/Cite&gt;&lt;/EndNote&gt;</w:instrText>
      </w:r>
      <w:r w:rsidRPr="00E54926">
        <w:rPr>
          <w:kern w:val="0"/>
        </w:rPr>
        <w:fldChar w:fldCharType="separate"/>
      </w:r>
      <w:r w:rsidRPr="00F66C41">
        <w:rPr>
          <w:noProof/>
          <w:kern w:val="0"/>
          <w:lang w:val="en-GB"/>
        </w:rPr>
        <w:t xml:space="preserve">Gerber, C. (1997). </w:t>
      </w:r>
      <w:r w:rsidRPr="00F66C41">
        <w:rPr>
          <w:noProof/>
          <w:kern w:val="0"/>
          <w:u w:val="single"/>
          <w:lang w:val="en-GB"/>
        </w:rPr>
        <w:t>Ein Bild des Judentums für Nichtjuden von Flavius Josephus Untersuchungen zu seiner Schrift "Contra Apionem"</w:t>
      </w:r>
      <w:r w:rsidRPr="00F66C41">
        <w:rPr>
          <w:noProof/>
          <w:kern w:val="0"/>
          <w:lang w:val="en-GB"/>
        </w:rPr>
        <w:t>. Leiden [u.a.], Brill.</w:t>
      </w:r>
      <w:r w:rsidRPr="00E54926">
        <w:rPr>
          <w:kern w:val="0"/>
        </w:rPr>
        <w:fldChar w:fldCharType="end"/>
      </w:r>
    </w:p>
  </w:footnote>
  <w:footnote w:id="3">
    <w:p w14:paraId="125E58A4" w14:textId="50330132" w:rsidR="002A286C" w:rsidRPr="008F4E8A" w:rsidRDefault="002A286C">
      <w:pPr>
        <w:pStyle w:val="FootnoteText"/>
        <w:rPr>
          <w:lang w:val="en-US"/>
        </w:rPr>
      </w:pPr>
      <w:r>
        <w:rPr>
          <w:rStyle w:val="FootnoteReference"/>
        </w:rPr>
        <w:footnoteRef/>
      </w:r>
      <w:r w:rsidRPr="00052209">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I 1</w:t>
      </w:r>
      <w:r>
        <w:rPr>
          <w:kern w:val="0"/>
          <w:lang w:val="en-GB"/>
        </w:rPr>
        <w:t xml:space="preserve">6, trans. </w:t>
      </w:r>
      <w:r>
        <w:rPr>
          <w:kern w:val="0"/>
          <w:lang w:val="en-GB"/>
        </w:rPr>
        <w:fldChar w:fldCharType="begin"/>
      </w:r>
      <w:r>
        <w:rPr>
          <w:kern w:val="0"/>
          <w:lang w:val="en-GB"/>
        </w:rPr>
        <w:instrText xml:space="preserve"> ADDIN EN.CITE &lt;EndNote&gt;&lt;Cite&gt;&lt;Author&gt;Origenes&lt;/Author&gt;&lt;Year&gt;1965&lt;/Year&gt;&lt;RecNum&gt;2292&lt;/RecNum&gt;&lt;Pages&gt;18&lt;/Pages&gt;&lt;DisplayText&gt;Origenes, H. Chadwick and Origenes (1965). &lt;style face="underline"&gt;Contra Celsum&lt;/style&gt;. Cambridge, Univ. Pr.&lt;/DisplayText&gt;&lt;record&gt;&lt;rec-number&gt;2292&lt;/rec-number&gt;&lt;foreign-keys&gt;&lt;key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GB"/>
        </w:rPr>
        <w:fldChar w:fldCharType="separate"/>
      </w:r>
      <w:r>
        <w:rPr>
          <w:noProof/>
          <w:kern w:val="0"/>
          <w:lang w:val="en-GB"/>
        </w:rPr>
        <w:t xml:space="preserve">Origenes, H. Chadwick and Origenes (1965). </w:t>
      </w:r>
      <w:r w:rsidRPr="00B44A09">
        <w:rPr>
          <w:noProof/>
          <w:kern w:val="0"/>
          <w:u w:val="single"/>
          <w:lang w:val="en-GB"/>
        </w:rPr>
        <w:t>Contra Celsum</w:t>
      </w:r>
      <w:r>
        <w:rPr>
          <w:noProof/>
          <w:kern w:val="0"/>
          <w:lang w:val="en-GB"/>
        </w:rPr>
        <w:t>. Cambridge, Univ. Pr.</w:t>
      </w:r>
      <w:r>
        <w:rPr>
          <w:kern w:val="0"/>
          <w:lang w:val="en-GB"/>
        </w:rPr>
        <w:fldChar w:fldCharType="end"/>
      </w:r>
      <w:r w:rsidRPr="008F4E8A">
        <w:rPr>
          <w:kern w:val="0"/>
          <w:lang w:val="en-US"/>
        </w:rPr>
        <w:t>.</w:t>
      </w:r>
    </w:p>
  </w:footnote>
  <w:footnote w:id="4">
    <w:p w14:paraId="39622BD4" w14:textId="079D6288" w:rsidR="002A286C" w:rsidRPr="008F4E8A" w:rsidRDefault="002A286C">
      <w:pPr>
        <w:pStyle w:val="FootnoteText"/>
        <w:rPr>
          <w:lang w:val="en-GB"/>
        </w:rPr>
      </w:pPr>
      <w:r>
        <w:rPr>
          <w:rStyle w:val="FootnoteReference"/>
        </w:rPr>
        <w:footnoteRef/>
      </w:r>
      <w:r w:rsidRPr="008F4E8A">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I 16</w:t>
      </w:r>
      <w:r>
        <w:rPr>
          <w:kern w:val="0"/>
          <w:lang w:val="en-GB"/>
        </w:rPr>
        <w:t xml:space="preserve">, trans. </w:t>
      </w:r>
      <w:r>
        <w:rPr>
          <w:kern w:val="0"/>
          <w:lang w:val="en-GB"/>
        </w:rPr>
        <w:fldChar w:fldCharType="begin"/>
      </w:r>
      <w:r>
        <w:rPr>
          <w:kern w:val="0"/>
          <w:lang w:val="en-GB"/>
        </w:rPr>
        <w:instrText xml:space="preserve"> ADDIN EN.CITE &lt;EndNote&gt;&lt;Cite&gt;&lt;Author&gt;Origenes&lt;/Author&gt;&lt;Year&gt;1965&lt;/Year&gt;&lt;RecNum&gt;2292&lt;/RecNum&gt;&lt;Pages&gt;18&lt;/Pages&gt;&lt;DisplayText&gt;Ibid.&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GB"/>
        </w:rPr>
        <w:fldChar w:fldCharType="separate"/>
      </w:r>
      <w:r>
        <w:rPr>
          <w:noProof/>
          <w:kern w:val="0"/>
          <w:lang w:val="en-GB"/>
        </w:rPr>
        <w:t>Ibid.</w:t>
      </w:r>
      <w:r>
        <w:rPr>
          <w:kern w:val="0"/>
          <w:lang w:val="en-GB"/>
        </w:rPr>
        <w:fldChar w:fldCharType="end"/>
      </w:r>
    </w:p>
  </w:footnote>
  <w:footnote w:id="5">
    <w:p w14:paraId="6652AA7C" w14:textId="1A77D7A8" w:rsidR="002A286C" w:rsidRPr="00B60795" w:rsidRDefault="002A286C">
      <w:pPr>
        <w:pStyle w:val="FootnoteText"/>
        <w:rPr>
          <w:lang w:val="en-US"/>
        </w:rPr>
      </w:pPr>
      <w:r>
        <w:rPr>
          <w:rStyle w:val="FootnoteReference"/>
        </w:rPr>
        <w:footnoteRef/>
      </w:r>
      <w:r w:rsidRPr="00376E31">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xml:space="preserve">. </w:t>
      </w:r>
      <w:r w:rsidRPr="00B60795">
        <w:rPr>
          <w:kern w:val="0"/>
          <w:lang w:val="en-US"/>
        </w:rPr>
        <w:t>I 18</w:t>
      </w:r>
      <w:r>
        <w:rPr>
          <w:kern w:val="0"/>
          <w:lang w:val="en-US"/>
        </w:rPr>
        <w:t xml:space="preserve">, trans. (slightly altered) </w:t>
      </w:r>
      <w:r>
        <w:rPr>
          <w:kern w:val="0"/>
          <w:lang w:val="en-US"/>
        </w:rPr>
        <w:fldChar w:fldCharType="begin"/>
      </w:r>
      <w:r>
        <w:rPr>
          <w:kern w:val="0"/>
          <w:lang w:val="en-US"/>
        </w:rPr>
        <w:instrText xml:space="preserve"> ADDIN EN.CITE &lt;EndNote&gt;&lt;Cite&gt;&lt;Author&gt;Origenes&lt;/Author&gt;&lt;Year&gt;1965&lt;/Year&gt;&lt;RecNum&gt;2292&lt;/RecNum&gt;&lt;Pages&gt;20-21&lt;/Pages&gt;&lt;DisplayText&gt;ibid.&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US"/>
        </w:rPr>
        <w:fldChar w:fldCharType="separate"/>
      </w:r>
      <w:r>
        <w:rPr>
          <w:noProof/>
          <w:kern w:val="0"/>
          <w:lang w:val="en-US"/>
        </w:rPr>
        <w:t>ibid.</w:t>
      </w:r>
      <w:r>
        <w:rPr>
          <w:kern w:val="0"/>
          <w:lang w:val="en-US"/>
        </w:rPr>
        <w:fldChar w:fldCharType="end"/>
      </w:r>
    </w:p>
  </w:footnote>
  <w:footnote w:id="6">
    <w:p w14:paraId="6F22DDE9" w14:textId="6D4BED2B" w:rsidR="002A286C" w:rsidRPr="00833E3D" w:rsidRDefault="002A286C">
      <w:pPr>
        <w:pStyle w:val="FootnoteText"/>
      </w:pPr>
      <w:r>
        <w:rPr>
          <w:rStyle w:val="FootnoteReference"/>
        </w:rPr>
        <w:footnoteRef/>
      </w:r>
      <w:r w:rsidRPr="003C14A0">
        <w:rPr>
          <w:lang w:val="en-US"/>
        </w:rPr>
        <w:t xml:space="preserve"> The bibliography on Origen is vast, see for an introduction</w:t>
      </w:r>
      <w:r>
        <w:rPr>
          <w:lang w:val="en-US"/>
        </w:rPr>
        <w:t xml:space="preserve"> with lit.</w:t>
      </w:r>
      <w:r w:rsidRPr="003C14A0">
        <w:rPr>
          <w:lang w:val="en-US"/>
        </w:rPr>
        <w:t xml:space="preserve"> </w:t>
      </w:r>
      <w:r w:rsidRPr="00E54926">
        <w:rPr>
          <w:kern w:val="0"/>
        </w:rPr>
        <w:fldChar w:fldCharType="begin"/>
      </w:r>
      <w:r>
        <w:rPr>
          <w:kern w:val="0"/>
          <w:lang w:val="en-US"/>
        </w:rPr>
        <w:instrText xml:space="preserve"> ADDIN EN.CITE &lt;EndNote&gt;&lt;Cite&gt;&lt;Author&gt;Williams&lt;/Author&gt;&lt;Year&gt;1995&lt;/Year&gt;&lt;RecNum&gt;6448&lt;/RecNum&gt;&lt;DisplayText&gt;Williams, R. (1995). &amp;quot;Origenes/Origenismus.&amp;quot; &lt;style face="underline"&gt;Theologische Realenzyklopädie&lt;/style&gt; &lt;style face="bold"&gt;25&lt;/style&gt;: 397-420.&lt;/DisplayText&gt;&lt;record&gt;&lt;rec-number&gt;6448&lt;/rec-number&gt;&lt;foreign-keys&gt;&lt;key app="EN" db-id="watspfp2d2rp9se0avpvpv942sd5za2epre9" timestamp="1537441349"&gt;6448&lt;/key&gt;&lt;/foreign-keys&gt;&lt;ref-type name="Journal Article"&gt;17&lt;/ref-type&gt;&lt;contributors&gt;&lt;authors&gt;&lt;author&gt;Williams, Rowan&lt;/author&gt;&lt;/authors&gt;&lt;/contributors&gt;&lt;titles&gt;&lt;title&gt;Origenes/Origenismus&lt;/title&gt;&lt;secondary-title&gt;Theologische Realenzyklopädie&lt;/secondary-title&gt;&lt;/titles&gt;&lt;periodical&gt;&lt;full-title&gt;Theologische Realenzyklopädie&lt;/full-title&gt;&lt;/periodical&gt;&lt;pages&gt;397-420&lt;/pages&gt;&lt;volume&gt;25&lt;/volume&gt;&lt;dates&gt;&lt;year&gt;1995&lt;/year&gt;&lt;/dates&gt;&lt;urls&gt;&lt;/urls&gt;&lt;/record&gt;&lt;/Cite&gt;&lt;/EndNote&gt;</w:instrText>
      </w:r>
      <w:r w:rsidRPr="00E54926">
        <w:rPr>
          <w:kern w:val="0"/>
        </w:rPr>
        <w:fldChar w:fldCharType="separate"/>
      </w:r>
      <w:r w:rsidRPr="00F66C41">
        <w:rPr>
          <w:noProof/>
          <w:kern w:val="0"/>
          <w:lang w:val="en-US"/>
        </w:rPr>
        <w:t xml:space="preserve">Williams, R. (1995). "Origenes/Origenismus." </w:t>
      </w:r>
      <w:r w:rsidRPr="00F66C41">
        <w:rPr>
          <w:noProof/>
          <w:kern w:val="0"/>
          <w:u w:val="single"/>
          <w:lang w:val="en-US"/>
        </w:rPr>
        <w:t>Theologische Realenzyklopädie</w:t>
      </w:r>
      <w:r w:rsidRPr="00F66C41">
        <w:rPr>
          <w:noProof/>
          <w:kern w:val="0"/>
          <w:lang w:val="en-US"/>
        </w:rPr>
        <w:t xml:space="preserve"> </w:t>
      </w:r>
      <w:r w:rsidRPr="00F66C41">
        <w:rPr>
          <w:b/>
          <w:noProof/>
          <w:kern w:val="0"/>
          <w:lang w:val="en-US"/>
        </w:rPr>
        <w:t>25</w:t>
      </w:r>
      <w:r w:rsidRPr="00F66C41">
        <w:rPr>
          <w:noProof/>
          <w:kern w:val="0"/>
          <w:lang w:val="en-US"/>
        </w:rPr>
        <w:t>: 397-420.</w:t>
      </w:r>
      <w:r w:rsidRPr="00E54926">
        <w:rPr>
          <w:kern w:val="0"/>
        </w:rPr>
        <w:fldChar w:fldCharType="end"/>
      </w:r>
    </w:p>
  </w:footnote>
  <w:footnote w:id="7">
    <w:p w14:paraId="584EED26" w14:textId="60698F17" w:rsidR="002A286C" w:rsidRPr="00833E3D" w:rsidRDefault="002A286C">
      <w:pPr>
        <w:pStyle w:val="FootnoteText"/>
      </w:pPr>
      <w:r>
        <w:rPr>
          <w:rStyle w:val="FootnoteReference"/>
        </w:rPr>
        <w:footnoteRef/>
      </w:r>
      <w:r>
        <w:t xml:space="preserve"> </w:t>
      </w:r>
      <w:r w:rsidRPr="00E54926">
        <w:rPr>
          <w:kern w:val="0"/>
        </w:rPr>
        <w:fldChar w:fldCharType="begin"/>
      </w:r>
      <w:r>
        <w:rPr>
          <w:kern w:val="0"/>
        </w:rPr>
        <w:instrText xml:space="preserve"> ADDIN EN.CITE &lt;EndNote&gt;&lt;Cite&gt;&lt;Author&gt;Williams&lt;/Author&gt;&lt;Year&gt;1995&lt;/Year&gt;&lt;RecNum&gt;6448&lt;/RecNum&gt;&lt;Pages&gt;403-404&lt;/Pages&gt;&lt;DisplayText&gt;Ibid.&lt;/DisplayText&gt;&lt;record&gt;&lt;rec-number&gt;6448&lt;/rec-number&gt;&lt;foreign-keys&gt;&lt;key app="EN" db-id="watspfp2d2rp9se0avpvpv942sd5za2epre9" timestamp="1537441349"&gt;6448&lt;/key&gt;&lt;/foreign-keys&gt;&lt;ref-type name="Journal Article"&gt;17&lt;/ref-type&gt;&lt;contributors&gt;&lt;authors&gt;&lt;author&gt;Williams, Rowan&lt;/author&gt;&lt;/authors&gt;&lt;/contributors&gt;&lt;titles&gt;&lt;title&gt;Origenes/Origenismus&lt;/title&gt;&lt;secondary-title&gt;Theologische Realenzyklopädie&lt;/secondary-title&gt;&lt;/titles&gt;&lt;periodical&gt;&lt;full-title&gt;Theologische Realenzyklopädie&lt;/full-title&gt;&lt;/periodical&gt;&lt;pages&gt;397-420&lt;/pages&gt;&lt;volume&gt;25&lt;/volume&gt;&lt;dates&gt;&lt;year&gt;1995&lt;/year&gt;&lt;/dates&gt;&lt;urls&gt;&lt;/urls&gt;&lt;/record&gt;&lt;/Cite&gt;&lt;/EndNote&gt;</w:instrText>
      </w:r>
      <w:r w:rsidRPr="00E54926">
        <w:rPr>
          <w:kern w:val="0"/>
        </w:rPr>
        <w:fldChar w:fldCharType="separate"/>
      </w:r>
      <w:r>
        <w:rPr>
          <w:noProof/>
          <w:kern w:val="0"/>
        </w:rPr>
        <w:t>Ibid.</w:t>
      </w:r>
      <w:r w:rsidRPr="00E54926">
        <w:rPr>
          <w:kern w:val="0"/>
        </w:rPr>
        <w:fldChar w:fldCharType="end"/>
      </w:r>
    </w:p>
  </w:footnote>
  <w:footnote w:id="8">
    <w:p w14:paraId="7235302A" w14:textId="2BA7ED13" w:rsidR="002A286C" w:rsidRPr="00833E3D" w:rsidRDefault="002A286C">
      <w:pPr>
        <w:pStyle w:val="FootnoteText"/>
      </w:pPr>
      <w:r>
        <w:rPr>
          <w:rStyle w:val="FootnoteReference"/>
        </w:rPr>
        <w:footnoteRef/>
      </w:r>
      <w:r>
        <w:t xml:space="preserve"> </w:t>
      </w:r>
      <w:r w:rsidRPr="00E54926">
        <w:rPr>
          <w:kern w:val="0"/>
        </w:rPr>
        <w:fldChar w:fldCharType="begin"/>
      </w:r>
      <w:r>
        <w:rPr>
          <w:kern w:val="0"/>
        </w:rPr>
        <w:instrText xml:space="preserve"> ADDIN EN.CITE &lt;EndNote&gt;&lt;Cite&gt;&lt;Author&gt;Williams&lt;/Author&gt;&lt;Year&gt;1995&lt;/Year&gt;&lt;RecNum&gt;6448&lt;/RecNum&gt;&lt;Pages&gt;413&lt;/Pages&gt;&lt;DisplayText&gt;Ibid.&lt;/DisplayText&gt;&lt;record&gt;&lt;rec-number&gt;6448&lt;/rec-number&gt;&lt;foreign-keys&gt;&lt;key app="EN" db-id="watspfp2d2rp9se0avpvpv942sd5za2epre9" timestamp="1537441349"&gt;6448&lt;/key&gt;&lt;/foreign-keys&gt;&lt;ref-type name="Journal Article"&gt;17&lt;/ref-type&gt;&lt;contributors&gt;&lt;authors&gt;&lt;author&gt;Williams, Rowan&lt;/author&gt;&lt;/authors&gt;&lt;/contributors&gt;&lt;titles&gt;&lt;title&gt;Origenes/Origenismus&lt;/title&gt;&lt;secondary-title&gt;Theologische Realenzyklopädie&lt;/secondary-title&gt;&lt;/titles&gt;&lt;periodical&gt;&lt;full-title&gt;Theologische Realenzyklopädie&lt;/full-title&gt;&lt;/periodical&gt;&lt;pages&gt;397-420&lt;/pages&gt;&lt;volume&gt;25&lt;/volume&gt;&lt;dates&gt;&lt;year&gt;1995&lt;/year&gt;&lt;/dates&gt;&lt;urls&gt;&lt;/urls&gt;&lt;/record&gt;&lt;/Cite&gt;&lt;/EndNote&gt;</w:instrText>
      </w:r>
      <w:r w:rsidRPr="00E54926">
        <w:rPr>
          <w:kern w:val="0"/>
        </w:rPr>
        <w:fldChar w:fldCharType="separate"/>
      </w:r>
      <w:r>
        <w:rPr>
          <w:noProof/>
          <w:kern w:val="0"/>
        </w:rPr>
        <w:t>Ibid.</w:t>
      </w:r>
      <w:r w:rsidRPr="00E54926">
        <w:rPr>
          <w:kern w:val="0"/>
        </w:rPr>
        <w:fldChar w:fldCharType="end"/>
      </w:r>
    </w:p>
  </w:footnote>
  <w:footnote w:id="9">
    <w:p w14:paraId="7CDC3652" w14:textId="7DD727F4" w:rsidR="002A286C" w:rsidRPr="00833E3D" w:rsidRDefault="002A286C">
      <w:pPr>
        <w:pStyle w:val="FootnoteText"/>
      </w:pPr>
      <w:r>
        <w:rPr>
          <w:rStyle w:val="FootnoteReference"/>
        </w:rPr>
        <w:footnoteRef/>
      </w:r>
      <w:r>
        <w:t xml:space="preserve"> </w:t>
      </w:r>
      <w:r w:rsidRPr="00E54926">
        <w:rPr>
          <w:kern w:val="0"/>
        </w:rPr>
        <w:fldChar w:fldCharType="begin"/>
      </w:r>
      <w:r>
        <w:rPr>
          <w:kern w:val="0"/>
        </w:rPr>
        <w:instrText xml:space="preserve"> ADDIN EN.CITE &lt;EndNote&gt;&lt;Cite&gt;&lt;Author&gt;Williams&lt;/Author&gt;&lt;Year&gt;1995&lt;/Year&gt;&lt;RecNum&gt;6448&lt;/RecNum&gt;&lt;Pages&gt;413&lt;/Pages&gt;&lt;DisplayText&gt;Ibid.&lt;/DisplayText&gt;&lt;record&gt;&lt;rec-number&gt;6448&lt;/rec-number&gt;&lt;foreign-keys&gt;&lt;key app="EN" db-id="watspfp2d2rp9se0avpvpv942sd5za2epre9" timestamp="1537441349"&gt;6448&lt;/key&gt;&lt;/foreign-keys&gt;&lt;ref-type name="Journal Article"&gt;17&lt;/ref-type&gt;&lt;contributors&gt;&lt;authors&gt;&lt;author&gt;Williams, Rowan&lt;/author&gt;&lt;/authors&gt;&lt;/contributors&gt;&lt;titles&gt;&lt;title&gt;Origenes/Origenismus&lt;/title&gt;&lt;secondary-title&gt;Theologische Realenzyklopädie&lt;/secondary-title&gt;&lt;/titles&gt;&lt;periodical&gt;&lt;full-title&gt;Theologische Realenzyklopädie&lt;/full-title&gt;&lt;/periodical&gt;&lt;pages&gt;397-420&lt;/pages&gt;&lt;volume&gt;25&lt;/volume&gt;&lt;dates&gt;&lt;year&gt;1995&lt;/year&gt;&lt;/dates&gt;&lt;urls&gt;&lt;/urls&gt;&lt;/record&gt;&lt;/Cite&gt;&lt;/EndNote&gt;</w:instrText>
      </w:r>
      <w:r w:rsidRPr="00E54926">
        <w:rPr>
          <w:kern w:val="0"/>
        </w:rPr>
        <w:fldChar w:fldCharType="separate"/>
      </w:r>
      <w:r>
        <w:rPr>
          <w:noProof/>
          <w:kern w:val="0"/>
        </w:rPr>
        <w:t>Ibid.</w:t>
      </w:r>
      <w:r w:rsidRPr="00E54926">
        <w:rPr>
          <w:kern w:val="0"/>
        </w:rPr>
        <w:fldChar w:fldCharType="end"/>
      </w:r>
    </w:p>
  </w:footnote>
  <w:footnote w:id="10">
    <w:p w14:paraId="5E35DF8D" w14:textId="57261D76" w:rsidR="002A286C" w:rsidRPr="00D4100E" w:rsidRDefault="002A286C">
      <w:pPr>
        <w:pStyle w:val="FootnoteText"/>
        <w:rPr>
          <w:lang w:val="fr-FR"/>
        </w:rPr>
      </w:pPr>
      <w:r>
        <w:rPr>
          <w:rStyle w:val="FootnoteReference"/>
        </w:rPr>
        <w:footnoteRef/>
      </w:r>
      <w:r>
        <w:t xml:space="preserve"> </w:t>
      </w:r>
      <w:r w:rsidRPr="00405643">
        <w:rPr>
          <w:kern w:val="0"/>
        </w:rPr>
        <w:t xml:space="preserve">Orig., De </w:t>
      </w:r>
      <w:proofErr w:type="spellStart"/>
      <w:r w:rsidRPr="00405643">
        <w:rPr>
          <w:kern w:val="0"/>
        </w:rPr>
        <w:t>princ</w:t>
      </w:r>
      <w:proofErr w:type="spellEnd"/>
      <w:r w:rsidRPr="00405643">
        <w:rPr>
          <w:kern w:val="0"/>
        </w:rPr>
        <w:t xml:space="preserve">. </w:t>
      </w:r>
      <w:proofErr w:type="spellStart"/>
      <w:r w:rsidRPr="00405643">
        <w:rPr>
          <w:kern w:val="0"/>
        </w:rPr>
        <w:t>praef</w:t>
      </w:r>
      <w:proofErr w:type="spellEnd"/>
      <w:r w:rsidRPr="00405643">
        <w:rPr>
          <w:kern w:val="0"/>
        </w:rPr>
        <w:t xml:space="preserve">. </w:t>
      </w:r>
      <w:r w:rsidRPr="00D4100E">
        <w:rPr>
          <w:kern w:val="0"/>
          <w:lang w:val="fr-FR"/>
        </w:rPr>
        <w:t>1 (trans. xxx).</w:t>
      </w:r>
    </w:p>
  </w:footnote>
  <w:footnote w:id="11">
    <w:p w14:paraId="3CE71003" w14:textId="7203C501" w:rsidR="002A286C" w:rsidRPr="00D4100E" w:rsidRDefault="002A286C">
      <w:pPr>
        <w:pStyle w:val="FootnoteText"/>
      </w:pPr>
      <w:r>
        <w:rPr>
          <w:rStyle w:val="FootnoteReference"/>
        </w:rPr>
        <w:footnoteRef/>
      </w:r>
      <w:r w:rsidRPr="00D4100E">
        <w:rPr>
          <w:lang w:val="fr-FR"/>
        </w:rPr>
        <w:t xml:space="preserve"> </w:t>
      </w:r>
      <w:proofErr w:type="spellStart"/>
      <w:r w:rsidRPr="00D4100E">
        <w:rPr>
          <w:kern w:val="0"/>
          <w:lang w:val="fr-FR"/>
        </w:rPr>
        <w:t>Orig</w:t>
      </w:r>
      <w:proofErr w:type="spellEnd"/>
      <w:r w:rsidRPr="00D4100E">
        <w:rPr>
          <w:kern w:val="0"/>
          <w:lang w:val="fr-FR"/>
        </w:rPr>
        <w:t xml:space="preserve">., De </w:t>
      </w:r>
      <w:proofErr w:type="spellStart"/>
      <w:r w:rsidRPr="00D4100E">
        <w:rPr>
          <w:kern w:val="0"/>
          <w:lang w:val="fr-FR"/>
        </w:rPr>
        <w:t>princ</w:t>
      </w:r>
      <w:proofErr w:type="spellEnd"/>
      <w:r w:rsidRPr="00D4100E">
        <w:rPr>
          <w:kern w:val="0"/>
          <w:lang w:val="fr-FR"/>
        </w:rPr>
        <w:t xml:space="preserve">. </w:t>
      </w:r>
      <w:r w:rsidRPr="004E6C9E">
        <w:rPr>
          <w:kern w:val="0"/>
        </w:rPr>
        <w:t>IV 3,6.</w:t>
      </w:r>
    </w:p>
  </w:footnote>
  <w:footnote w:id="12">
    <w:p w14:paraId="558D1224" w14:textId="2CF18E2E" w:rsidR="002A286C" w:rsidRPr="00D4100E" w:rsidRDefault="002A286C">
      <w:pPr>
        <w:pStyle w:val="FootnoteText"/>
      </w:pPr>
      <w:r>
        <w:rPr>
          <w:rStyle w:val="FootnoteReference"/>
        </w:rPr>
        <w:footnoteRef/>
      </w:r>
      <w:r>
        <w:t xml:space="preserve"> </w:t>
      </w:r>
      <w:r w:rsidRPr="00E54926">
        <w:rPr>
          <w:kern w:val="0"/>
        </w:rPr>
        <w:fldChar w:fldCharType="begin"/>
      </w:r>
      <w:r>
        <w:rPr>
          <w:kern w:val="0"/>
        </w:rPr>
        <w:instrText xml:space="preserve"> ADDIN EN.CITE &lt;EndNote&gt;&lt;Cite&gt;&lt;Author&gt;Williams&lt;/Author&gt;&lt;Year&gt;1995&lt;/Year&gt;&lt;RecNum&gt;6448&lt;/RecNum&gt;&lt;Pages&gt;413&lt;/Pages&gt;&lt;DisplayText&gt;Williams, R. (1995). &amp;quot;Origenes/Origenismus.&amp;quot; &lt;style face="underline"&gt;Theologische Realenzyklopädie&lt;/style&gt; &lt;style face="bold"&gt;25&lt;/style&gt;: 397-420.&lt;/DisplayText&gt;&lt;record&gt;&lt;rec-number&gt;6448&lt;/rec-number&gt;&lt;foreign-keys&gt;&lt;key app="EN" db-id="watspfp2d2rp9se0avpvpv942sd5za2epre9" timestamp="1537441349"&gt;6448&lt;/key&gt;&lt;/foreign-keys&gt;&lt;ref-type name="Journal Article"&gt;17&lt;/ref-type&gt;&lt;contributors&gt;&lt;authors&gt;&lt;author&gt;Williams, Rowan&lt;/author&gt;&lt;/authors&gt;&lt;/contributors&gt;&lt;titles&gt;&lt;title&gt;Origenes/Origenismus&lt;/title&gt;&lt;secondary-title&gt;Theologische Realenzyklopädie&lt;/secondary-title&gt;&lt;/titles&gt;&lt;periodical&gt;&lt;full-title&gt;Theologische Realenzyklopädie&lt;/full-title&gt;&lt;/periodical&gt;&lt;pages&gt;397-420&lt;/pages&gt;&lt;volume&gt;25&lt;/volume&gt;&lt;dates&gt;&lt;year&gt;1995&lt;/year&gt;&lt;/dates&gt;&lt;urls&gt;&lt;/urls&gt;&lt;/record&gt;&lt;/Cite&gt;&lt;/EndNote&gt;</w:instrText>
      </w:r>
      <w:r w:rsidRPr="00E54926">
        <w:rPr>
          <w:kern w:val="0"/>
        </w:rPr>
        <w:fldChar w:fldCharType="separate"/>
      </w:r>
      <w:r>
        <w:rPr>
          <w:noProof/>
          <w:kern w:val="0"/>
        </w:rPr>
        <w:t xml:space="preserve">Williams, R. (1995). "Origenes/Origenismus." </w:t>
      </w:r>
      <w:r w:rsidRPr="00F66C41">
        <w:rPr>
          <w:noProof/>
          <w:kern w:val="0"/>
          <w:u w:val="single"/>
        </w:rPr>
        <w:t>Theologische Realenzyklopädie</w:t>
      </w:r>
      <w:r>
        <w:rPr>
          <w:noProof/>
          <w:kern w:val="0"/>
        </w:rPr>
        <w:t xml:space="preserve"> </w:t>
      </w:r>
      <w:r w:rsidRPr="00F66C41">
        <w:rPr>
          <w:b/>
          <w:noProof/>
          <w:kern w:val="0"/>
        </w:rPr>
        <w:t>25</w:t>
      </w:r>
      <w:r>
        <w:rPr>
          <w:noProof/>
          <w:kern w:val="0"/>
        </w:rPr>
        <w:t>: 397-420.</w:t>
      </w:r>
      <w:r w:rsidRPr="00E54926">
        <w:rPr>
          <w:kern w:val="0"/>
        </w:rPr>
        <w:fldChar w:fldCharType="end"/>
      </w:r>
    </w:p>
  </w:footnote>
  <w:footnote w:id="13">
    <w:p w14:paraId="21321E7D" w14:textId="0A029650" w:rsidR="002A286C" w:rsidRPr="00B60795" w:rsidRDefault="002A286C">
      <w:pPr>
        <w:pStyle w:val="FootnoteText"/>
        <w:rPr>
          <w:lang w:val="en-US"/>
        </w:rPr>
      </w:pPr>
      <w:r>
        <w:rPr>
          <w:rStyle w:val="FootnoteReference"/>
        </w:rPr>
        <w:footnoteRef/>
      </w:r>
      <w:r w:rsidRPr="00B60795">
        <w:rPr>
          <w:lang w:val="en-US"/>
        </w:rPr>
        <w:t xml:space="preserve"> </w:t>
      </w:r>
      <w:r w:rsidRPr="00B60795">
        <w:rPr>
          <w:kern w:val="0"/>
          <w:lang w:val="en-US"/>
        </w:rPr>
        <w:t xml:space="preserve">Orig., De </w:t>
      </w:r>
      <w:proofErr w:type="spellStart"/>
      <w:r w:rsidRPr="00B60795">
        <w:rPr>
          <w:kern w:val="0"/>
          <w:lang w:val="en-US"/>
        </w:rPr>
        <w:t>princ</w:t>
      </w:r>
      <w:proofErr w:type="spellEnd"/>
      <w:r w:rsidRPr="00B60795">
        <w:rPr>
          <w:kern w:val="0"/>
          <w:lang w:val="en-US"/>
        </w:rPr>
        <w:t>. IV 3,6.</w:t>
      </w:r>
    </w:p>
  </w:footnote>
  <w:footnote w:id="14">
    <w:p w14:paraId="26D3CD2F" w14:textId="5F055BEF" w:rsidR="002A286C" w:rsidRPr="00B60795" w:rsidRDefault="002A286C">
      <w:pPr>
        <w:pStyle w:val="FootnoteText"/>
        <w:rPr>
          <w:lang w:val="en-US"/>
        </w:rPr>
      </w:pPr>
      <w:r>
        <w:rPr>
          <w:rStyle w:val="FootnoteReference"/>
        </w:rPr>
        <w:footnoteRef/>
      </w:r>
      <w:r w:rsidRPr="00B60795">
        <w:rPr>
          <w:lang w:val="en-US"/>
        </w:rPr>
        <w:t xml:space="preserve"> </w:t>
      </w:r>
      <w:r w:rsidRPr="00B60795">
        <w:rPr>
          <w:kern w:val="0"/>
          <w:lang w:val="en-US"/>
        </w:rPr>
        <w:t xml:space="preserve">Orig., De </w:t>
      </w:r>
      <w:proofErr w:type="spellStart"/>
      <w:r w:rsidRPr="00B60795">
        <w:rPr>
          <w:kern w:val="0"/>
          <w:lang w:val="en-US"/>
        </w:rPr>
        <w:t>princ</w:t>
      </w:r>
      <w:proofErr w:type="spellEnd"/>
      <w:r w:rsidRPr="00B60795">
        <w:rPr>
          <w:kern w:val="0"/>
          <w:lang w:val="en-US"/>
        </w:rPr>
        <w:t>. IV 3,6.</w:t>
      </w:r>
    </w:p>
  </w:footnote>
  <w:footnote w:id="15">
    <w:p w14:paraId="207BE416" w14:textId="32C1ABE6" w:rsidR="002A286C" w:rsidRPr="00B60795" w:rsidRDefault="002A286C">
      <w:pPr>
        <w:pStyle w:val="FootnoteText"/>
        <w:rPr>
          <w:lang w:val="en-US"/>
        </w:rPr>
      </w:pPr>
      <w:r>
        <w:rPr>
          <w:rStyle w:val="FootnoteReference"/>
        </w:rPr>
        <w:footnoteRef/>
      </w:r>
      <w:r w:rsidRPr="00B60795">
        <w:rPr>
          <w:lang w:val="en-US"/>
        </w:rPr>
        <w:t xml:space="preserve"> </w:t>
      </w:r>
      <w:proofErr w:type="spellStart"/>
      <w:r w:rsidRPr="00B60795">
        <w:rPr>
          <w:kern w:val="0"/>
          <w:lang w:val="en-US"/>
        </w:rPr>
        <w:t>Arist</w:t>
      </w:r>
      <w:proofErr w:type="spellEnd"/>
      <w:r w:rsidRPr="00B60795">
        <w:rPr>
          <w:kern w:val="0"/>
          <w:lang w:val="en-US"/>
        </w:rPr>
        <w:t xml:space="preserve">., </w:t>
      </w:r>
      <w:proofErr w:type="spellStart"/>
      <w:r w:rsidRPr="00B60795">
        <w:rPr>
          <w:kern w:val="0"/>
          <w:lang w:val="en-US"/>
        </w:rPr>
        <w:t>Apol</w:t>
      </w:r>
      <w:proofErr w:type="spellEnd"/>
      <w:r w:rsidRPr="00B60795">
        <w:rPr>
          <w:kern w:val="0"/>
          <w:lang w:val="en-US"/>
        </w:rPr>
        <w:t>. 2 (Arm.).</w:t>
      </w:r>
    </w:p>
  </w:footnote>
  <w:footnote w:id="16">
    <w:p w14:paraId="7BDB80D0" w14:textId="738B4667" w:rsidR="002A286C" w:rsidRPr="00B60795" w:rsidRDefault="002A286C">
      <w:pPr>
        <w:pStyle w:val="FootnoteText"/>
        <w:rPr>
          <w:lang w:val="en-US"/>
        </w:rPr>
      </w:pPr>
      <w:r>
        <w:rPr>
          <w:rStyle w:val="FootnoteReference"/>
        </w:rPr>
        <w:footnoteRef/>
      </w:r>
      <w:r w:rsidRPr="00B60795">
        <w:rPr>
          <w:lang w:val="en-US"/>
        </w:rPr>
        <w:t xml:space="preserve"> </w:t>
      </w:r>
      <w:r w:rsidRPr="00B60795">
        <w:rPr>
          <w:i/>
          <w:kern w:val="0"/>
          <w:lang w:val="en-US"/>
        </w:rPr>
        <w:t>Ibid</w:t>
      </w:r>
      <w:r w:rsidRPr="00B60795">
        <w:rPr>
          <w:kern w:val="0"/>
          <w:lang w:val="en-US"/>
        </w:rPr>
        <w:t xml:space="preserve">.; see </w:t>
      </w:r>
      <w:r w:rsidRPr="00B60795">
        <w:rPr>
          <w:i/>
          <w:kern w:val="0"/>
          <w:lang w:val="en-US"/>
        </w:rPr>
        <w:t>Gal.</w:t>
      </w:r>
      <w:r w:rsidRPr="00B60795">
        <w:rPr>
          <w:kern w:val="0"/>
          <w:lang w:val="en-US"/>
        </w:rPr>
        <w:t xml:space="preserve"> 4:1.</w:t>
      </w:r>
    </w:p>
  </w:footnote>
  <w:footnote w:id="17">
    <w:p w14:paraId="7B6ADE12" w14:textId="35F756DA" w:rsidR="002A286C" w:rsidRPr="009B0348" w:rsidRDefault="002A286C">
      <w:pPr>
        <w:pStyle w:val="FootnoteText"/>
        <w:rPr>
          <w:lang w:val="en-US"/>
        </w:rPr>
      </w:pPr>
      <w:r>
        <w:rPr>
          <w:rStyle w:val="FootnoteReference"/>
        </w:rPr>
        <w:footnoteRef/>
      </w:r>
      <w:r w:rsidRPr="009B0348">
        <w:rPr>
          <w:lang w:val="en-US"/>
        </w:rPr>
        <w:t xml:space="preserve"> </w:t>
      </w:r>
      <w:r w:rsidRPr="009B0348">
        <w:rPr>
          <w:kern w:val="0"/>
          <w:lang w:val="en-US"/>
        </w:rPr>
        <w:t xml:space="preserve">On Origen’s </w:t>
      </w:r>
      <w:proofErr w:type="spellStart"/>
      <w:r w:rsidRPr="009B0348">
        <w:rPr>
          <w:kern w:val="0"/>
          <w:lang w:val="en-US"/>
        </w:rPr>
        <w:t>endeavour</w:t>
      </w:r>
      <w:proofErr w:type="spellEnd"/>
      <w:r w:rsidRPr="009B0348">
        <w:rPr>
          <w:kern w:val="0"/>
          <w:lang w:val="en-US"/>
        </w:rPr>
        <w:t xml:space="preserve"> to promote th</w:t>
      </w:r>
      <w:r>
        <w:rPr>
          <w:kern w:val="0"/>
          <w:lang w:val="en-US"/>
        </w:rPr>
        <w:t xml:space="preserve">e Christian Scriptures, see </w:t>
      </w:r>
      <w:r w:rsidRPr="00E54926">
        <w:rPr>
          <w:kern w:val="0"/>
        </w:rPr>
        <w:fldChar w:fldCharType="begin"/>
      </w:r>
      <w:r>
        <w:rPr>
          <w:kern w:val="0"/>
          <w:lang w:val="en-US"/>
        </w:rPr>
        <w:instrText xml:space="preserve"> ADDIN EN.CITE &lt;EndNote&gt;&lt;Cite&gt;&lt;Author&gt;Barnes&lt;/Author&gt;&lt;Year&gt;1996&lt;/Year&gt;&lt;RecNum&gt;6247&lt;/RecNum&gt;&lt;Pages&gt;90-93&lt;/Pages&gt;&lt;DisplayText&gt;Barnes, T. D. (1996). &lt;style face="underline"&gt;Constantine and Eusebius&lt;/style&gt;. Cambridge, Mass. [u.a.], Harvard Univ. Pr.&lt;/DisplayText&gt;&lt;record&gt;&lt;rec-number&gt;6247&lt;/rec-number&gt;&lt;foreign-keys&gt;&lt;key app="EN" db-id="watspfp2d2rp9se0avpvpv942sd5za2epre9" timestamp="1535023972"&gt;6247&lt;/key&gt;&lt;/foreign-keys&gt;&lt;ref-type name="Book"&gt;6&lt;/ref-type&gt;&lt;contributors&gt;&lt;authors&gt;&lt;author&gt;Barnes, Timothy David&lt;/author&gt;&lt;/authors&gt;&lt;/contributors&gt;&lt;titles&gt;&lt;title&gt;Constantine and Eusebius&lt;/title&gt;&lt;/titles&gt;&lt;pages&gt;VI, 458 S.&lt;/pages&gt;&lt;edition&gt;5. print.&lt;/edition&gt;&lt;keywords&gt;&lt;keyword&gt;937/.08/0922&lt;/keyword&gt;&lt;/keywords&gt;&lt;dates&gt;&lt;year&gt;1996&lt;/year&gt;&lt;/dates&gt;&lt;pub-location&gt;Cambridge, Mass. [u.a.]&lt;/pub-location&gt;&lt;publisher&gt;Harvard Univ. Pr.&lt;/publisher&gt;&lt;isbn&gt;0-674-16530-6&amp;#xD;0-674-16531-4&lt;/isbn&gt;&lt;accession-num&gt;113203500&lt;/accession-num&gt;&lt;label&gt;201456621 nh 7670&amp;#xD;201457091 nh 9450&lt;/label&gt;&lt;urls&gt;&lt;/urls&gt;&lt;language&gt;eng&lt;/language&gt;&lt;/record&gt;&lt;/Cite&gt;&lt;/EndNote&gt;</w:instrText>
      </w:r>
      <w:r w:rsidRPr="00E54926">
        <w:rPr>
          <w:kern w:val="0"/>
        </w:rPr>
        <w:fldChar w:fldCharType="separate"/>
      </w:r>
      <w:r w:rsidRPr="00F66C41">
        <w:rPr>
          <w:noProof/>
          <w:kern w:val="0"/>
          <w:lang w:val="en-US"/>
        </w:rPr>
        <w:t xml:space="preserve">Barnes, T. D. (1996). </w:t>
      </w:r>
      <w:r w:rsidRPr="00F66C41">
        <w:rPr>
          <w:noProof/>
          <w:kern w:val="0"/>
          <w:u w:val="single"/>
          <w:lang w:val="en-US"/>
        </w:rPr>
        <w:t>Constantine and Eusebius</w:t>
      </w:r>
      <w:r w:rsidRPr="00F66C41">
        <w:rPr>
          <w:noProof/>
          <w:kern w:val="0"/>
          <w:lang w:val="en-US"/>
        </w:rPr>
        <w:t>. Cambridge, Mass. [u.a.], Harvard Univ. Pr.</w:t>
      </w:r>
      <w:r w:rsidRPr="00E54926">
        <w:rPr>
          <w:kern w:val="0"/>
        </w:rPr>
        <w:fldChar w:fldCharType="end"/>
      </w:r>
    </w:p>
  </w:footnote>
  <w:footnote w:id="18">
    <w:p w14:paraId="76741CEF" w14:textId="4B6FDC07" w:rsidR="002A286C" w:rsidRPr="0037245A" w:rsidRDefault="002A286C" w:rsidP="00FC0B97">
      <w:pPr>
        <w:pStyle w:val="FootnoteText"/>
        <w:rPr>
          <w:lang w:val="nl-NL"/>
        </w:rPr>
      </w:pPr>
      <w:r>
        <w:rPr>
          <w:rStyle w:val="FootnoteReference"/>
        </w:rPr>
        <w:footnoteRef/>
      </w:r>
      <w:r w:rsidRPr="0037245A">
        <w:rPr>
          <w:lang w:val="nl-NL"/>
        </w:rPr>
        <w:t xml:space="preserve"> </w:t>
      </w:r>
      <w:proofErr w:type="spellStart"/>
      <w:r w:rsidRPr="00405643">
        <w:rPr>
          <w:kern w:val="0"/>
          <w:lang w:val="nl-NL"/>
        </w:rPr>
        <w:t>Euseb</w:t>
      </w:r>
      <w:proofErr w:type="spellEnd"/>
      <w:r w:rsidRPr="00405643">
        <w:rPr>
          <w:kern w:val="0"/>
          <w:lang w:val="nl-NL"/>
        </w:rPr>
        <w:t xml:space="preserve">. </w:t>
      </w:r>
      <w:proofErr w:type="spellStart"/>
      <w:r w:rsidRPr="00405643">
        <w:rPr>
          <w:kern w:val="0"/>
          <w:lang w:val="nl-NL"/>
        </w:rPr>
        <w:t>Caes</w:t>
      </w:r>
      <w:proofErr w:type="spellEnd"/>
      <w:r w:rsidRPr="00405643">
        <w:rPr>
          <w:kern w:val="0"/>
          <w:lang w:val="nl-NL"/>
        </w:rPr>
        <w:t xml:space="preserve">., </w:t>
      </w:r>
      <w:proofErr w:type="spellStart"/>
      <w:r w:rsidRPr="00405643">
        <w:rPr>
          <w:kern w:val="0"/>
          <w:lang w:val="nl-NL"/>
        </w:rPr>
        <w:t>Hist</w:t>
      </w:r>
      <w:proofErr w:type="spellEnd"/>
      <w:r w:rsidRPr="00405643">
        <w:rPr>
          <w:kern w:val="0"/>
          <w:lang w:val="nl-NL"/>
        </w:rPr>
        <w:t xml:space="preserve">. </w:t>
      </w:r>
      <w:proofErr w:type="spellStart"/>
      <w:r w:rsidRPr="00405643">
        <w:rPr>
          <w:kern w:val="0"/>
          <w:lang w:val="nl-NL"/>
        </w:rPr>
        <w:t>eccl</w:t>
      </w:r>
      <w:proofErr w:type="spellEnd"/>
      <w:r w:rsidRPr="00405643">
        <w:rPr>
          <w:kern w:val="0"/>
          <w:lang w:val="nl-NL"/>
        </w:rPr>
        <w:t>. VI 25,11-1</w:t>
      </w:r>
      <w:r>
        <w:rPr>
          <w:kern w:val="0"/>
          <w:lang w:val="nl-NL"/>
        </w:rPr>
        <w:t>2</w:t>
      </w:r>
      <w:r w:rsidRPr="00405643">
        <w:rPr>
          <w:kern w:val="0"/>
          <w:lang w:val="nl-NL"/>
        </w:rPr>
        <w:t>.</w:t>
      </w:r>
    </w:p>
  </w:footnote>
  <w:footnote w:id="19">
    <w:p w14:paraId="7F40FE25" w14:textId="72669876" w:rsidR="002A286C" w:rsidRPr="0037245A" w:rsidRDefault="002A286C" w:rsidP="000D1E73">
      <w:pPr>
        <w:pStyle w:val="FootnoteText"/>
        <w:rPr>
          <w:lang w:val="nl-NL"/>
        </w:rPr>
      </w:pPr>
      <w:r>
        <w:rPr>
          <w:rStyle w:val="FootnoteReference"/>
        </w:rPr>
        <w:footnoteRef/>
      </w:r>
      <w:r w:rsidRPr="0037245A">
        <w:rPr>
          <w:lang w:val="nl-NL"/>
        </w:rPr>
        <w:t xml:space="preserve"> </w:t>
      </w:r>
      <w:proofErr w:type="spellStart"/>
      <w:r w:rsidRPr="00405643">
        <w:rPr>
          <w:kern w:val="0"/>
          <w:lang w:val="nl-NL"/>
        </w:rPr>
        <w:t>Euseb</w:t>
      </w:r>
      <w:proofErr w:type="spellEnd"/>
      <w:r w:rsidRPr="00405643">
        <w:rPr>
          <w:kern w:val="0"/>
          <w:lang w:val="nl-NL"/>
        </w:rPr>
        <w:t xml:space="preserve">. </w:t>
      </w:r>
      <w:proofErr w:type="spellStart"/>
      <w:r w:rsidRPr="00405643">
        <w:rPr>
          <w:kern w:val="0"/>
          <w:lang w:val="nl-NL"/>
        </w:rPr>
        <w:t>Caes</w:t>
      </w:r>
      <w:proofErr w:type="spellEnd"/>
      <w:r w:rsidRPr="00405643">
        <w:rPr>
          <w:kern w:val="0"/>
          <w:lang w:val="nl-NL"/>
        </w:rPr>
        <w:t xml:space="preserve">., </w:t>
      </w:r>
      <w:proofErr w:type="spellStart"/>
      <w:r w:rsidRPr="00405643">
        <w:rPr>
          <w:kern w:val="0"/>
          <w:lang w:val="nl-NL"/>
        </w:rPr>
        <w:t>Hist</w:t>
      </w:r>
      <w:proofErr w:type="spellEnd"/>
      <w:r w:rsidRPr="00405643">
        <w:rPr>
          <w:kern w:val="0"/>
          <w:lang w:val="nl-NL"/>
        </w:rPr>
        <w:t xml:space="preserve">. </w:t>
      </w:r>
      <w:proofErr w:type="spellStart"/>
      <w:r w:rsidRPr="00405643">
        <w:rPr>
          <w:kern w:val="0"/>
          <w:lang w:val="nl-NL"/>
        </w:rPr>
        <w:t>eccl</w:t>
      </w:r>
      <w:proofErr w:type="spellEnd"/>
      <w:r w:rsidRPr="00405643">
        <w:rPr>
          <w:kern w:val="0"/>
          <w:lang w:val="nl-NL"/>
        </w:rPr>
        <w:t>. VI 25,1</w:t>
      </w:r>
      <w:r>
        <w:rPr>
          <w:kern w:val="0"/>
          <w:lang w:val="nl-NL"/>
        </w:rPr>
        <w:t>3</w:t>
      </w:r>
      <w:r w:rsidRPr="00405643">
        <w:rPr>
          <w:kern w:val="0"/>
          <w:lang w:val="nl-NL"/>
        </w:rPr>
        <w:t>-14.</w:t>
      </w:r>
    </w:p>
  </w:footnote>
  <w:footnote w:id="20">
    <w:p w14:paraId="26BFB59B" w14:textId="3F000F0A" w:rsidR="002A286C" w:rsidRPr="00577DF2" w:rsidRDefault="002A286C">
      <w:pPr>
        <w:pStyle w:val="FootnoteText"/>
        <w:rPr>
          <w:lang w:val="nl-NL"/>
        </w:rPr>
      </w:pPr>
      <w:r>
        <w:rPr>
          <w:rStyle w:val="FootnoteReference"/>
        </w:rPr>
        <w:footnoteRef/>
      </w:r>
      <w:r w:rsidRPr="00577DF2">
        <w:rPr>
          <w:lang w:val="nl-NL"/>
        </w:rPr>
        <w:t xml:space="preserve"> </w:t>
      </w:r>
      <w:proofErr w:type="spellStart"/>
      <w:r w:rsidRPr="00405643">
        <w:rPr>
          <w:kern w:val="0"/>
          <w:lang w:val="nl-NL"/>
        </w:rPr>
        <w:t>Orig</w:t>
      </w:r>
      <w:proofErr w:type="spellEnd"/>
      <w:r w:rsidRPr="00405643">
        <w:rPr>
          <w:kern w:val="0"/>
          <w:lang w:val="nl-NL"/>
        </w:rPr>
        <w:t xml:space="preserve">., </w:t>
      </w:r>
      <w:r w:rsidRPr="00EB54A2">
        <w:rPr>
          <w:i/>
          <w:kern w:val="0"/>
          <w:lang w:val="nl-NL"/>
        </w:rPr>
        <w:t xml:space="preserve">De </w:t>
      </w:r>
      <w:proofErr w:type="spellStart"/>
      <w:r w:rsidRPr="00EB54A2">
        <w:rPr>
          <w:i/>
          <w:kern w:val="0"/>
          <w:lang w:val="nl-NL"/>
        </w:rPr>
        <w:t>princ</w:t>
      </w:r>
      <w:proofErr w:type="spellEnd"/>
      <w:r w:rsidRPr="00405643">
        <w:rPr>
          <w:kern w:val="0"/>
          <w:lang w:val="nl-NL"/>
        </w:rPr>
        <w:t>. IV 1,1.</w:t>
      </w:r>
    </w:p>
  </w:footnote>
  <w:footnote w:id="21">
    <w:p w14:paraId="5C0925BD" w14:textId="16325224" w:rsidR="002A286C" w:rsidRPr="00577DF2" w:rsidRDefault="002A286C">
      <w:pPr>
        <w:pStyle w:val="FootnoteText"/>
        <w:rPr>
          <w:lang w:val="nl-NL"/>
        </w:rPr>
      </w:pPr>
      <w:r>
        <w:rPr>
          <w:rStyle w:val="FootnoteReference"/>
        </w:rPr>
        <w:footnoteRef/>
      </w:r>
      <w:r w:rsidRPr="00577DF2">
        <w:rPr>
          <w:lang w:val="nl-NL"/>
        </w:rPr>
        <w:t xml:space="preserve"> </w:t>
      </w:r>
      <w:r w:rsidRPr="00E54926">
        <w:rPr>
          <w:kern w:val="0"/>
        </w:rPr>
        <w:fldChar w:fldCharType="begin"/>
      </w:r>
      <w:r>
        <w:rPr>
          <w:kern w:val="0"/>
          <w:lang w:val="nl-NL"/>
        </w:rPr>
        <w:instrText xml:space="preserve"> ADDIN EN.CITE &lt;EndNote&gt;&lt;Cite&gt;&lt;Author&gt;Vogt&lt;/Author&gt;&lt;Year&gt;1999&lt;/Year&gt;&lt;RecNum&gt;6454&lt;/RecNum&gt;&lt;Pages&gt;179&lt;/Pages&gt;&lt;DisplayText&gt;Vogt, H. J. and W. Geerlings (1999). &lt;style face="underline"&gt;Origenes als Exeget&lt;/style&gt;. Paderborn [u.a.], Schöningh.&lt;/DisplayText&gt;&lt;record&gt;&lt;rec-number&gt;6454&lt;/rec-number&gt;&lt;foreign-keys&gt;&lt;key app="EN" db-id="watspfp2d2rp9se0avpvpv942sd5za2epre9" timestamp="1537472671"&gt;6454&lt;/key&gt;&lt;/foreign-keys&gt;&lt;ref-type name="Book"&gt;6&lt;/ref-type&gt;&lt;contributors&gt;&lt;authors&gt;&lt;author&gt;Vogt, Hermann Josef&lt;/author&gt;&lt;author&gt;Geerlings, Wilhelm&lt;/author&gt;&lt;/authors&gt;&lt;/contributors&gt;&lt;titles&gt;&lt;title&gt;Origenes als Exeget&lt;/title&gt;&lt;/titles&gt;&lt;pages&gt;339 S.&lt;/pages&gt;&lt;keywords&gt;&lt;keyword&gt;Origenes Exegese Aufsatzsammlung Aufsatzsammlung&lt;/keyword&gt;&lt;/keywords&gt;&lt;dates&gt;&lt;year&gt;1999&lt;/year&gt;&lt;/dates&gt;&lt;pub-location&gt;Paderborn [u.a.]&lt;/pub-location&gt;&lt;publisher&gt;Schöningh&lt;/publisher&gt;&lt;isbn&gt;3-506-79509-0&lt;/isbn&gt;&lt;accession-num&gt;078869846&lt;/accession-num&gt;&lt;label&gt;201477890 bo 2891&amp;#xD;1&lt;/label&gt;&lt;urls&gt;&lt;/urls&gt;&lt;language&gt;ger&lt;/language&gt;&lt;/record&gt;&lt;/Cite&gt;&lt;/EndNote&gt;</w:instrText>
      </w:r>
      <w:r w:rsidRPr="00E54926">
        <w:rPr>
          <w:kern w:val="0"/>
        </w:rPr>
        <w:fldChar w:fldCharType="separate"/>
      </w:r>
      <w:r w:rsidRPr="00F66C41">
        <w:rPr>
          <w:noProof/>
          <w:kern w:val="0"/>
          <w:lang w:val="nl-NL"/>
        </w:rPr>
        <w:t xml:space="preserve">Vogt, H. J. and W. Geerlings (1999). </w:t>
      </w:r>
      <w:r w:rsidRPr="00F66C41">
        <w:rPr>
          <w:noProof/>
          <w:kern w:val="0"/>
          <w:u w:val="single"/>
          <w:lang w:val="nl-NL"/>
        </w:rPr>
        <w:t>Origenes als Exeget</w:t>
      </w:r>
      <w:r w:rsidRPr="00F66C41">
        <w:rPr>
          <w:noProof/>
          <w:kern w:val="0"/>
          <w:lang w:val="nl-NL"/>
        </w:rPr>
        <w:t>. Paderborn [u.a.], Schöningh.</w:t>
      </w:r>
      <w:r w:rsidRPr="00E54926">
        <w:rPr>
          <w:kern w:val="0"/>
        </w:rPr>
        <w:fldChar w:fldCharType="end"/>
      </w:r>
    </w:p>
  </w:footnote>
  <w:footnote w:id="22">
    <w:p w14:paraId="2B499244" w14:textId="5EABFE46" w:rsidR="002A286C" w:rsidRPr="00014D35" w:rsidRDefault="002A286C">
      <w:pPr>
        <w:pStyle w:val="FootnoteText"/>
        <w:rPr>
          <w:lang w:val="en-GB"/>
        </w:rPr>
      </w:pPr>
      <w:r>
        <w:rPr>
          <w:rStyle w:val="FootnoteReference"/>
        </w:rPr>
        <w:footnoteRef/>
      </w:r>
      <w:r w:rsidRPr="00014D35">
        <w:rPr>
          <w:lang w:val="en-US"/>
        </w:rPr>
        <w:t xml:space="preserve"> </w:t>
      </w:r>
      <w:r w:rsidRPr="00405643">
        <w:rPr>
          <w:kern w:val="0"/>
          <w:lang w:val="en-US"/>
        </w:rPr>
        <w:t xml:space="preserve">Orig., C. </w:t>
      </w:r>
      <w:proofErr w:type="spellStart"/>
      <w:r w:rsidRPr="00405643">
        <w:rPr>
          <w:kern w:val="0"/>
          <w:lang w:val="en-US"/>
        </w:rPr>
        <w:t>Cels</w:t>
      </w:r>
      <w:proofErr w:type="spellEnd"/>
      <w:r w:rsidRPr="00405643">
        <w:rPr>
          <w:kern w:val="0"/>
          <w:lang w:val="en-US"/>
        </w:rPr>
        <w:t>. I 26</w:t>
      </w:r>
      <w:r>
        <w:rPr>
          <w:kern w:val="0"/>
          <w:lang w:val="en-US"/>
        </w:rPr>
        <w:t xml:space="preserve">, trans. </w:t>
      </w:r>
      <w:r>
        <w:rPr>
          <w:kern w:val="0"/>
          <w:lang w:val="en-US"/>
        </w:rPr>
        <w:fldChar w:fldCharType="begin"/>
      </w:r>
      <w:r>
        <w:rPr>
          <w:kern w:val="0"/>
          <w:lang w:val="en-US"/>
        </w:rPr>
        <w:instrText xml:space="preserve"> ADDIN EN.CITE &lt;EndNote&gt;&lt;Cite&gt;&lt;Author&gt;Origenes&lt;/Author&gt;&lt;Year&gt;1965&lt;/Year&gt;&lt;RecNum&gt;2292&lt;/RecNum&gt;&lt;Pages&gt;26&lt;/Pages&gt;&lt;DisplayText&gt;Origenes, H. Chadwick and Origenes (1965). &lt;style face="underline"&gt;Contra Celsum&lt;/style&gt;. Cambridge, Univ. Pr.&lt;/DisplayText&gt;&lt;record&gt;&lt;rec-number&gt;2292&lt;/rec-number&gt;&lt;foreign-keys&gt;&lt;key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US"/>
        </w:rPr>
        <w:fldChar w:fldCharType="separate"/>
      </w:r>
      <w:r>
        <w:rPr>
          <w:noProof/>
          <w:kern w:val="0"/>
          <w:lang w:val="en-US"/>
        </w:rPr>
        <w:t xml:space="preserve">Origenes, H. Chadwick and Origenes (1965). </w:t>
      </w:r>
      <w:r w:rsidRPr="00BF013F">
        <w:rPr>
          <w:noProof/>
          <w:kern w:val="0"/>
          <w:u w:val="single"/>
          <w:lang w:val="en-US"/>
        </w:rPr>
        <w:t>Contra Celsum</w:t>
      </w:r>
      <w:r>
        <w:rPr>
          <w:noProof/>
          <w:kern w:val="0"/>
          <w:lang w:val="en-US"/>
        </w:rPr>
        <w:t>. Cambridge, Univ. Pr.</w:t>
      </w:r>
      <w:r>
        <w:rPr>
          <w:kern w:val="0"/>
          <w:lang w:val="en-US"/>
        </w:rPr>
        <w:fldChar w:fldCharType="end"/>
      </w:r>
      <w:r w:rsidRPr="004E6C9E">
        <w:rPr>
          <w:kern w:val="0"/>
          <w:lang w:val="en-GB"/>
        </w:rPr>
        <w:t>.</w:t>
      </w:r>
    </w:p>
  </w:footnote>
  <w:footnote w:id="23">
    <w:p w14:paraId="36DA2631" w14:textId="4C572915" w:rsidR="002A286C" w:rsidRPr="004C7BEA" w:rsidRDefault="002A286C">
      <w:pPr>
        <w:pStyle w:val="FootnoteText"/>
        <w:rPr>
          <w:lang w:val="en-GB"/>
        </w:rPr>
      </w:pPr>
      <w:r>
        <w:rPr>
          <w:rStyle w:val="FootnoteReference"/>
        </w:rPr>
        <w:footnoteRef/>
      </w:r>
      <w:r w:rsidRPr="004C7BEA">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I 26</w:t>
      </w:r>
      <w:r>
        <w:rPr>
          <w:kern w:val="0"/>
          <w:lang w:val="en-GB"/>
        </w:rPr>
        <w:t xml:space="preserve">, trans. </w:t>
      </w:r>
      <w:r>
        <w:rPr>
          <w:kern w:val="0"/>
          <w:lang w:val="en-GB"/>
        </w:rPr>
        <w:fldChar w:fldCharType="begin"/>
      </w:r>
      <w:r>
        <w:rPr>
          <w:kern w:val="0"/>
          <w:lang w:val="en-GB"/>
        </w:rPr>
        <w:instrText xml:space="preserve"> ADDIN EN.CITE &lt;EndNote&gt;&lt;Cite&gt;&lt;Author&gt;Origenes&lt;/Author&gt;&lt;Year&gt;1965&lt;/Year&gt;&lt;RecNum&gt;2292&lt;/RecNum&gt;&lt;Pages&gt;26&lt;/Pages&gt;&lt;DisplayText&gt;Ibid.&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GB"/>
        </w:rPr>
        <w:fldChar w:fldCharType="separate"/>
      </w:r>
      <w:r>
        <w:rPr>
          <w:noProof/>
          <w:kern w:val="0"/>
          <w:lang w:val="en-GB"/>
        </w:rPr>
        <w:t>Ibid.</w:t>
      </w:r>
      <w:r>
        <w:rPr>
          <w:kern w:val="0"/>
          <w:lang w:val="en-GB"/>
        </w:rPr>
        <w:fldChar w:fldCharType="end"/>
      </w:r>
    </w:p>
  </w:footnote>
  <w:footnote w:id="24">
    <w:p w14:paraId="314C989B" w14:textId="21CAF4F0" w:rsidR="002A286C" w:rsidRPr="00A45969" w:rsidRDefault="002A286C">
      <w:pPr>
        <w:pStyle w:val="FootnoteText"/>
        <w:rPr>
          <w:lang w:val="en-GB"/>
        </w:rPr>
      </w:pPr>
      <w:r>
        <w:rPr>
          <w:rStyle w:val="FootnoteReference"/>
        </w:rPr>
        <w:footnoteRef/>
      </w:r>
      <w:r w:rsidRPr="00A45969">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I 28</w:t>
      </w:r>
      <w:r>
        <w:rPr>
          <w:kern w:val="0"/>
          <w:lang w:val="en-GB"/>
        </w:rPr>
        <w:t xml:space="preserve">, trans. </w:t>
      </w:r>
      <w:r>
        <w:rPr>
          <w:kern w:val="0"/>
          <w:lang w:val="en-GB"/>
        </w:rPr>
        <w:fldChar w:fldCharType="begin"/>
      </w:r>
      <w:r>
        <w:rPr>
          <w:kern w:val="0"/>
          <w:lang w:val="en-GB"/>
        </w:rPr>
        <w:instrText xml:space="preserve"> ADDIN EN.CITE &lt;EndNote&gt;&lt;Cite&gt;&lt;Author&gt;Origenes&lt;/Author&gt;&lt;Year&gt;1965&lt;/Year&gt;&lt;RecNum&gt;2292&lt;/RecNum&gt;&lt;Pages&gt;28&lt;/Pages&gt;&lt;DisplayText&gt;Ibid.&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GB"/>
        </w:rPr>
        <w:fldChar w:fldCharType="separate"/>
      </w:r>
      <w:r>
        <w:rPr>
          <w:noProof/>
          <w:kern w:val="0"/>
          <w:lang w:val="en-GB"/>
        </w:rPr>
        <w:t>Ibid.</w:t>
      </w:r>
      <w:r>
        <w:rPr>
          <w:kern w:val="0"/>
          <w:lang w:val="en-GB"/>
        </w:rPr>
        <w:fldChar w:fldCharType="end"/>
      </w:r>
    </w:p>
  </w:footnote>
  <w:footnote w:id="25">
    <w:p w14:paraId="63E50E1E" w14:textId="1C483E51" w:rsidR="002A286C" w:rsidRPr="00E70A87" w:rsidRDefault="002A286C">
      <w:pPr>
        <w:pStyle w:val="FootnoteText"/>
        <w:rPr>
          <w:lang w:val="en-GB"/>
        </w:rPr>
      </w:pPr>
      <w:r>
        <w:rPr>
          <w:rStyle w:val="FootnoteReference"/>
        </w:rPr>
        <w:footnoteRef/>
      </w:r>
      <w:r w:rsidRPr="00E70A87">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I 29</w:t>
      </w:r>
      <w:r>
        <w:rPr>
          <w:kern w:val="0"/>
          <w:lang w:val="en-GB"/>
        </w:rPr>
        <w:t xml:space="preserve">, trans. </w:t>
      </w:r>
      <w:r>
        <w:rPr>
          <w:kern w:val="0"/>
          <w:lang w:val="en-GB"/>
        </w:rPr>
        <w:fldChar w:fldCharType="begin"/>
      </w:r>
      <w:r>
        <w:rPr>
          <w:kern w:val="0"/>
          <w:lang w:val="en-GB"/>
        </w:rPr>
        <w:instrText xml:space="preserve"> ADDIN EN.CITE &lt;EndNote&gt;&lt;Cite&gt;&lt;Author&gt;Origenes&lt;/Author&gt;&lt;Year&gt;1965&lt;/Year&gt;&lt;RecNum&gt;2292&lt;/RecNum&gt;&lt;Pages&gt;28-29&lt;/Pages&gt;&lt;DisplayText&gt;Ibid.&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GB"/>
        </w:rPr>
        <w:fldChar w:fldCharType="separate"/>
      </w:r>
      <w:r>
        <w:rPr>
          <w:noProof/>
          <w:kern w:val="0"/>
          <w:lang w:val="en-GB"/>
        </w:rPr>
        <w:t>Ibid.</w:t>
      </w:r>
      <w:r>
        <w:rPr>
          <w:kern w:val="0"/>
          <w:lang w:val="en-GB"/>
        </w:rPr>
        <w:fldChar w:fldCharType="end"/>
      </w:r>
    </w:p>
  </w:footnote>
  <w:footnote w:id="26">
    <w:p w14:paraId="61B817A5" w14:textId="45C2C669" w:rsidR="002A286C" w:rsidRPr="009174F2" w:rsidRDefault="002A286C">
      <w:pPr>
        <w:pStyle w:val="FootnoteText"/>
      </w:pPr>
      <w:r>
        <w:rPr>
          <w:rStyle w:val="FootnoteReference"/>
        </w:rPr>
        <w:footnoteRef/>
      </w:r>
      <w:r w:rsidRPr="00C916C8">
        <w:rPr>
          <w:lang w:val="en-US"/>
        </w:rPr>
        <w:t xml:space="preserve"> </w:t>
      </w:r>
      <w:r w:rsidRPr="004E6C9E">
        <w:rPr>
          <w:kern w:val="0"/>
          <w:lang w:val="en-GB"/>
        </w:rPr>
        <w:t xml:space="preserve">Orig., C. </w:t>
      </w:r>
      <w:proofErr w:type="spellStart"/>
      <w:r w:rsidRPr="004E6C9E">
        <w:rPr>
          <w:kern w:val="0"/>
          <w:lang w:val="en-GB"/>
        </w:rPr>
        <w:t>Cels</w:t>
      </w:r>
      <w:proofErr w:type="spellEnd"/>
      <w:r w:rsidRPr="004E6C9E">
        <w:rPr>
          <w:kern w:val="0"/>
          <w:lang w:val="en-GB"/>
        </w:rPr>
        <w:t xml:space="preserve">. </w:t>
      </w:r>
      <w:r w:rsidRPr="009174F2">
        <w:rPr>
          <w:kern w:val="0"/>
        </w:rPr>
        <w:t>I 31</w:t>
      </w:r>
      <w:r>
        <w:rPr>
          <w:kern w:val="0"/>
        </w:rPr>
        <w:t xml:space="preserve">, </w:t>
      </w:r>
      <w:proofErr w:type="spellStart"/>
      <w:r>
        <w:rPr>
          <w:kern w:val="0"/>
        </w:rPr>
        <w:t>trans</w:t>
      </w:r>
      <w:proofErr w:type="spellEnd"/>
      <w:r>
        <w:rPr>
          <w:kern w:val="0"/>
        </w:rPr>
        <w:t xml:space="preserve">. </w:t>
      </w:r>
      <w:r>
        <w:rPr>
          <w:kern w:val="0"/>
        </w:rPr>
        <w:fldChar w:fldCharType="begin"/>
      </w:r>
      <w:r>
        <w:rPr>
          <w:kern w:val="0"/>
        </w:rPr>
        <w:instrText xml:space="preserve"> ADDIN EN.CITE &lt;EndNote&gt;&lt;Cite&gt;&lt;Author&gt;Origenes&lt;/Author&gt;&lt;Year&gt;1965&lt;/Year&gt;&lt;RecNum&gt;2292&lt;/RecNum&gt;&lt;Pages&gt;30&lt;/Pages&gt;&lt;DisplayText&gt;Ibid.&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rPr>
        <w:fldChar w:fldCharType="separate"/>
      </w:r>
      <w:r>
        <w:rPr>
          <w:noProof/>
          <w:kern w:val="0"/>
        </w:rPr>
        <w:t>Ibid.</w:t>
      </w:r>
      <w:r>
        <w:rPr>
          <w:kern w:val="0"/>
        </w:rPr>
        <w:fldChar w:fldCharType="end"/>
      </w:r>
    </w:p>
  </w:footnote>
  <w:footnote w:id="27">
    <w:p w14:paraId="287E9389" w14:textId="04E2BD15" w:rsidR="002A286C" w:rsidRPr="009174F2" w:rsidRDefault="002A286C">
      <w:pPr>
        <w:pStyle w:val="FootnoteText"/>
      </w:pPr>
      <w:r>
        <w:rPr>
          <w:rStyle w:val="FootnoteReference"/>
        </w:rPr>
        <w:footnoteRef/>
      </w:r>
      <w:r w:rsidRPr="00455CC1">
        <w:rPr>
          <w:lang w:val="en-US"/>
        </w:rPr>
        <w:t xml:space="preserve"> This remains as a stock argument in the repertoire of Christian apologetics to our very days</w:t>
      </w:r>
      <w:r w:rsidRPr="00455CC1">
        <w:rPr>
          <w:kern w:val="0"/>
          <w:lang w:val="en-US"/>
        </w:rPr>
        <w:t>, se</w:t>
      </w:r>
      <w:r>
        <w:rPr>
          <w:kern w:val="0"/>
          <w:lang w:val="en-US"/>
        </w:rPr>
        <w:t xml:space="preserve">e, for example, the trilogy of </w:t>
      </w:r>
      <w:r w:rsidRPr="00E54926">
        <w:rPr>
          <w:kern w:val="0"/>
        </w:rPr>
        <w:fldChar w:fldCharType="begin">
          <w:fldData xml:space="preserve">PEVuZE5vdGU+PENpdGU+PEF1dGhvcj5TY2hpbGxlYmVlY2t4PC9BdXRob3I+PFllYXI+MTk3NTwv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</w:fldData>
        </w:fldChar>
      </w:r>
      <w:r>
        <w:rPr>
          <w:kern w:val="0"/>
          <w:lang w:val="en-US"/>
        </w:rPr>
        <w:instrText xml:space="preserve"> ADDIN EN.CITE </w:instrText>
      </w:r>
      <w:r>
        <w:rPr>
          <w:kern w:val="0"/>
          <w:lang w:val="en-US"/>
        </w:rPr>
        <w:fldChar w:fldCharType="begin">
          <w:fldData xml:space="preserve">PEVuZE5vdGU+PENpdGU+PEF1dGhvcj5TY2hpbGxlYmVlY2t4PC9BdXRob3I+PFllYXI+MTk3NTwv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</w:fldData>
        </w:fldChar>
      </w:r>
      <w:r>
        <w:rPr>
          <w:kern w:val="0"/>
          <w:lang w:val="en-US"/>
        </w:rPr>
        <w:instrText xml:space="preserve"> ADDIN EN.CITE.DATA </w:instrText>
      </w:r>
      <w:r>
        <w:rPr>
          <w:kern w:val="0"/>
          <w:lang w:val="en-US"/>
        </w:rPr>
      </w:r>
      <w:r>
        <w:rPr>
          <w:kern w:val="0"/>
          <w:lang w:val="en-US"/>
        </w:rPr>
        <w:fldChar w:fldCharType="end"/>
      </w:r>
      <w:r w:rsidRPr="00E54926">
        <w:rPr>
          <w:kern w:val="0"/>
        </w:rPr>
        <w:fldChar w:fldCharType="separate"/>
      </w:r>
      <w:r w:rsidRPr="00F66C41">
        <w:rPr>
          <w:noProof/>
          <w:kern w:val="0"/>
          <w:lang w:val="en-US"/>
        </w:rPr>
        <w:t xml:space="preserve">Schillebeeckx, E. (1975). </w:t>
      </w:r>
      <w:r w:rsidRPr="00F66C41">
        <w:rPr>
          <w:noProof/>
          <w:kern w:val="0"/>
          <w:u w:val="single"/>
          <w:lang w:val="en-US"/>
        </w:rPr>
        <w:t>Jesus. Die Geschichte von einem Lebenden</w:t>
      </w:r>
      <w:r w:rsidRPr="00F66C41">
        <w:rPr>
          <w:noProof/>
          <w:kern w:val="0"/>
          <w:lang w:val="en-US"/>
        </w:rPr>
        <w:t xml:space="preserve">. Freiburg im Breisgau [u.a.], Herder, Schillebeeckx, E. (1977). </w:t>
      </w:r>
      <w:r w:rsidRPr="00F66C41">
        <w:rPr>
          <w:noProof/>
          <w:kern w:val="0"/>
          <w:u w:val="single"/>
          <w:lang w:val="en-US"/>
        </w:rPr>
        <w:t>Christus und die Christen. Die Geschichte einer neuen Lebenspraxis</w:t>
      </w:r>
      <w:r w:rsidRPr="00F66C41">
        <w:rPr>
          <w:noProof/>
          <w:kern w:val="0"/>
          <w:lang w:val="en-US"/>
        </w:rPr>
        <w:t xml:space="preserve">. Freiburg Basel Wien, Herder, Schillebeeckx, E. (1990). </w:t>
      </w:r>
      <w:r w:rsidRPr="00F66C41">
        <w:rPr>
          <w:noProof/>
          <w:kern w:val="0"/>
          <w:u w:val="single"/>
          <w:lang w:val="en-US"/>
        </w:rPr>
        <w:t>Menschen. Die Geschichte von Gott</w:t>
      </w:r>
      <w:r w:rsidRPr="00F66C41">
        <w:rPr>
          <w:noProof/>
          <w:kern w:val="0"/>
          <w:lang w:val="en-US"/>
        </w:rPr>
        <w:t>. Freiburg im Breisgau [u.a.], Herder.</w:t>
      </w:r>
      <w:r w:rsidRPr="00E54926">
        <w:rPr>
          <w:kern w:val="0"/>
        </w:rPr>
        <w:fldChar w:fldCharType="end"/>
      </w:r>
    </w:p>
  </w:footnote>
  <w:footnote w:id="28">
    <w:p w14:paraId="1F1B4C08" w14:textId="5C76F41D" w:rsidR="002A286C" w:rsidRPr="009E21FD" w:rsidRDefault="002A286C">
      <w:pPr>
        <w:pStyle w:val="FootnoteText"/>
        <w:rPr>
          <w:lang w:val="nl-NL"/>
        </w:rPr>
      </w:pPr>
      <w:r>
        <w:rPr>
          <w:rStyle w:val="FootnoteReference"/>
        </w:rPr>
        <w:footnoteRef/>
      </w:r>
      <w:r w:rsidRPr="009E21FD">
        <w:rPr>
          <w:lang w:val="nl-NL"/>
        </w:rPr>
        <w:t xml:space="preserve"> </w:t>
      </w:r>
      <w:proofErr w:type="spellStart"/>
      <w:r w:rsidRPr="00405643">
        <w:rPr>
          <w:kern w:val="0"/>
          <w:lang w:val="nl-NL"/>
        </w:rPr>
        <w:t>Orig</w:t>
      </w:r>
      <w:proofErr w:type="spellEnd"/>
      <w:r w:rsidRPr="00405643">
        <w:rPr>
          <w:kern w:val="0"/>
          <w:lang w:val="nl-NL"/>
        </w:rPr>
        <w:t xml:space="preserve">., </w:t>
      </w:r>
      <w:r w:rsidRPr="000F145B">
        <w:rPr>
          <w:i/>
          <w:kern w:val="0"/>
          <w:lang w:val="nl-NL"/>
        </w:rPr>
        <w:t xml:space="preserve">De </w:t>
      </w:r>
      <w:proofErr w:type="spellStart"/>
      <w:r w:rsidRPr="000F145B">
        <w:rPr>
          <w:i/>
          <w:kern w:val="0"/>
          <w:lang w:val="nl-NL"/>
        </w:rPr>
        <w:t>princ</w:t>
      </w:r>
      <w:proofErr w:type="spellEnd"/>
      <w:r w:rsidRPr="00405643">
        <w:rPr>
          <w:kern w:val="0"/>
          <w:lang w:val="nl-NL"/>
        </w:rPr>
        <w:t>. IV 1,2.</w:t>
      </w:r>
    </w:p>
  </w:footnote>
  <w:footnote w:id="29">
    <w:p w14:paraId="1AE4FCF5" w14:textId="53A43CBE" w:rsidR="002A286C" w:rsidRPr="00C41445" w:rsidRDefault="002A286C">
      <w:pPr>
        <w:pStyle w:val="FootnoteText"/>
        <w:rPr>
          <w:lang w:val="en-US"/>
        </w:rPr>
      </w:pPr>
      <w:r>
        <w:rPr>
          <w:rStyle w:val="FootnoteReference"/>
        </w:rPr>
        <w:footnoteRef/>
      </w:r>
      <w:r w:rsidRPr="009E21FD">
        <w:rPr>
          <w:lang w:val="en-US"/>
        </w:rPr>
        <w:t xml:space="preserve"> Here quoted according to </w:t>
      </w:r>
      <w:r w:rsidRPr="009E21FD">
        <w:rPr>
          <w:kern w:val="0"/>
          <w:lang w:val="en-US"/>
        </w:rPr>
        <w:t xml:space="preserve">Orig., </w:t>
      </w:r>
      <w:r w:rsidRPr="009E21FD">
        <w:rPr>
          <w:i/>
          <w:kern w:val="0"/>
          <w:lang w:val="en-US"/>
        </w:rPr>
        <w:t xml:space="preserve">De </w:t>
      </w:r>
      <w:proofErr w:type="spellStart"/>
      <w:r w:rsidRPr="009E21FD">
        <w:rPr>
          <w:i/>
          <w:kern w:val="0"/>
          <w:lang w:val="en-US"/>
        </w:rPr>
        <w:t>princ</w:t>
      </w:r>
      <w:proofErr w:type="spellEnd"/>
      <w:r w:rsidRPr="009E21FD">
        <w:rPr>
          <w:kern w:val="0"/>
          <w:lang w:val="en-US"/>
        </w:rPr>
        <w:t xml:space="preserve">. </w:t>
      </w:r>
      <w:r w:rsidRPr="00C41445">
        <w:rPr>
          <w:kern w:val="0"/>
          <w:lang w:val="en-US"/>
        </w:rPr>
        <w:t>IV 1,3. The standard translation i</w:t>
      </w:r>
      <w:r>
        <w:rPr>
          <w:kern w:val="0"/>
          <w:lang w:val="en-US"/>
        </w:rPr>
        <w:t xml:space="preserve">s </w:t>
      </w:r>
      <w:r w:rsidRPr="00C41445">
        <w:rPr>
          <w:color w:val="000000"/>
          <w:lang w:val="en-US"/>
        </w:rPr>
        <w:t>‘For the Israelites will live many days without king or prince, without sacrifice or sacred stones, without ephod or household gods.’</w:t>
      </w:r>
    </w:p>
  </w:footnote>
  <w:footnote w:id="30">
    <w:p w14:paraId="6E46C52B" w14:textId="4A295286" w:rsidR="002A286C" w:rsidRPr="00400A33" w:rsidRDefault="002A286C">
      <w:pPr>
        <w:pStyle w:val="FootnoteText"/>
        <w:rPr>
          <w:lang w:val="en-GB"/>
        </w:rPr>
      </w:pPr>
      <w:r>
        <w:rPr>
          <w:rStyle w:val="FootnoteReference"/>
        </w:rPr>
        <w:footnoteRef/>
      </w:r>
      <w:r w:rsidRPr="00B306B0">
        <w:rPr>
          <w:lang w:val="en-US"/>
        </w:rPr>
        <w:t xml:space="preserve"> </w:t>
      </w:r>
      <w:r>
        <w:rPr>
          <w:lang w:val="en-GB"/>
        </w:rPr>
        <w:t>Ibid.</w:t>
      </w:r>
    </w:p>
  </w:footnote>
  <w:footnote w:id="31">
    <w:p w14:paraId="41A82319" w14:textId="7BEE6ADC" w:rsidR="002A286C" w:rsidRPr="00B306B0" w:rsidRDefault="002A286C">
      <w:pPr>
        <w:pStyle w:val="FootnoteText"/>
        <w:rPr>
          <w:lang w:val="en-GB"/>
        </w:rPr>
      </w:pPr>
      <w:r>
        <w:rPr>
          <w:rStyle w:val="FootnoteReference"/>
        </w:rPr>
        <w:footnoteRef/>
      </w:r>
      <w:r w:rsidRPr="00B306B0">
        <w:rPr>
          <w:lang w:val="en-US"/>
        </w:rPr>
        <w:t xml:space="preserve"> </w:t>
      </w:r>
      <w:r>
        <w:rPr>
          <w:lang w:val="en-GB"/>
        </w:rPr>
        <w:t xml:space="preserve">Ibid. We do not go into the question here, </w:t>
      </w:r>
      <w:proofErr w:type="gramStart"/>
      <w:r>
        <w:rPr>
          <w:lang w:val="en-GB"/>
        </w:rPr>
        <w:t>whether or not</w:t>
      </w:r>
      <w:proofErr w:type="gramEnd"/>
      <w:r>
        <w:rPr>
          <w:lang w:val="en-GB"/>
        </w:rPr>
        <w:t xml:space="preserve"> Origen’s view reflects Jewish cult reality in his days.</w:t>
      </w:r>
    </w:p>
  </w:footnote>
  <w:footnote w:id="32">
    <w:p w14:paraId="149AA3FE" w14:textId="453A4EEB" w:rsidR="002A286C" w:rsidRPr="00762D27" w:rsidRDefault="002A286C">
      <w:pPr>
        <w:pStyle w:val="FootnoteText"/>
        <w:rPr>
          <w:lang w:val="nl-NL"/>
        </w:rPr>
      </w:pPr>
      <w:r>
        <w:rPr>
          <w:rStyle w:val="FootnoteReference"/>
        </w:rPr>
        <w:footnoteRef/>
      </w:r>
      <w:r w:rsidRPr="00762D27">
        <w:rPr>
          <w:lang w:val="nl-NL"/>
        </w:rPr>
        <w:t xml:space="preserve"> See </w:t>
      </w:r>
      <w:proofErr w:type="spellStart"/>
      <w:r w:rsidRPr="00762D27">
        <w:rPr>
          <w:kern w:val="0"/>
          <w:lang w:val="nl-NL"/>
        </w:rPr>
        <w:t>Orig</w:t>
      </w:r>
      <w:proofErr w:type="spellEnd"/>
      <w:r w:rsidRPr="00762D27">
        <w:rPr>
          <w:kern w:val="0"/>
          <w:lang w:val="nl-NL"/>
        </w:rPr>
        <w:t xml:space="preserve">., </w:t>
      </w:r>
      <w:r w:rsidRPr="00762D27">
        <w:rPr>
          <w:i/>
          <w:kern w:val="0"/>
          <w:lang w:val="nl-NL"/>
        </w:rPr>
        <w:t xml:space="preserve">De </w:t>
      </w:r>
      <w:proofErr w:type="spellStart"/>
      <w:r w:rsidRPr="00762D27">
        <w:rPr>
          <w:i/>
          <w:kern w:val="0"/>
          <w:lang w:val="nl-NL"/>
        </w:rPr>
        <w:t>princ</w:t>
      </w:r>
      <w:proofErr w:type="spellEnd"/>
      <w:r w:rsidRPr="00762D27">
        <w:rPr>
          <w:kern w:val="0"/>
          <w:lang w:val="nl-NL"/>
        </w:rPr>
        <w:t>. IV 1,4.</w:t>
      </w:r>
    </w:p>
  </w:footnote>
  <w:footnote w:id="33">
    <w:p w14:paraId="532AAD0A" w14:textId="306DCC7E" w:rsidR="002A286C" w:rsidRPr="001A7ACF" w:rsidRDefault="002A286C">
      <w:pPr>
        <w:pStyle w:val="FootnoteText"/>
        <w:rPr>
          <w:lang w:val="nl-NL"/>
        </w:rPr>
      </w:pPr>
      <w:r>
        <w:rPr>
          <w:rStyle w:val="FootnoteReference"/>
        </w:rPr>
        <w:footnoteRef/>
      </w:r>
      <w:r w:rsidRPr="001A7ACF">
        <w:rPr>
          <w:lang w:val="nl-NL"/>
        </w:rPr>
        <w:t xml:space="preserve"> </w:t>
      </w:r>
      <w:proofErr w:type="spellStart"/>
      <w:r w:rsidRPr="001A7ACF">
        <w:rPr>
          <w:kern w:val="0"/>
          <w:lang w:val="nl-NL"/>
        </w:rPr>
        <w:t>Orig</w:t>
      </w:r>
      <w:proofErr w:type="spellEnd"/>
      <w:r w:rsidRPr="001A7ACF">
        <w:rPr>
          <w:kern w:val="0"/>
          <w:lang w:val="nl-NL"/>
        </w:rPr>
        <w:t xml:space="preserve">., </w:t>
      </w:r>
      <w:r w:rsidRPr="001A7ACF">
        <w:rPr>
          <w:i/>
          <w:kern w:val="0"/>
          <w:lang w:val="nl-NL"/>
        </w:rPr>
        <w:t xml:space="preserve">De </w:t>
      </w:r>
      <w:proofErr w:type="spellStart"/>
      <w:r w:rsidRPr="001A7ACF">
        <w:rPr>
          <w:i/>
          <w:kern w:val="0"/>
          <w:lang w:val="nl-NL"/>
        </w:rPr>
        <w:t>princ</w:t>
      </w:r>
      <w:proofErr w:type="spellEnd"/>
      <w:r w:rsidRPr="001A7ACF">
        <w:rPr>
          <w:kern w:val="0"/>
          <w:lang w:val="nl-NL"/>
        </w:rPr>
        <w:t>. IV 1,5.</w:t>
      </w:r>
    </w:p>
  </w:footnote>
  <w:footnote w:id="34">
    <w:p w14:paraId="2CFDDA2F" w14:textId="305F2A10" w:rsidR="002A286C" w:rsidRPr="001A7ACF" w:rsidRDefault="002A286C">
      <w:pPr>
        <w:pStyle w:val="FootnoteText"/>
        <w:rPr>
          <w:lang w:val="nl-NL"/>
        </w:rPr>
      </w:pPr>
      <w:r>
        <w:rPr>
          <w:rStyle w:val="FootnoteReference"/>
        </w:rPr>
        <w:footnoteRef/>
      </w:r>
      <w:r w:rsidRPr="001A7ACF">
        <w:rPr>
          <w:lang w:val="nl-NL"/>
        </w:rPr>
        <w:t xml:space="preserve"> </w:t>
      </w:r>
      <w:proofErr w:type="spellStart"/>
      <w:r w:rsidRPr="001A7ACF">
        <w:rPr>
          <w:kern w:val="0"/>
          <w:lang w:val="nl-NL"/>
        </w:rPr>
        <w:t>Orig</w:t>
      </w:r>
      <w:proofErr w:type="spellEnd"/>
      <w:r w:rsidRPr="001A7ACF">
        <w:rPr>
          <w:kern w:val="0"/>
          <w:lang w:val="nl-NL"/>
        </w:rPr>
        <w:t xml:space="preserve">., </w:t>
      </w:r>
      <w:r w:rsidRPr="001A7ACF">
        <w:rPr>
          <w:i/>
          <w:kern w:val="0"/>
          <w:lang w:val="nl-NL"/>
        </w:rPr>
        <w:t xml:space="preserve">De </w:t>
      </w:r>
      <w:proofErr w:type="spellStart"/>
      <w:r w:rsidRPr="001A7ACF">
        <w:rPr>
          <w:i/>
          <w:kern w:val="0"/>
          <w:lang w:val="nl-NL"/>
        </w:rPr>
        <w:t>princ</w:t>
      </w:r>
      <w:proofErr w:type="spellEnd"/>
      <w:r w:rsidRPr="001A7ACF">
        <w:rPr>
          <w:kern w:val="0"/>
          <w:lang w:val="nl-NL"/>
        </w:rPr>
        <w:t>. IV 1,6.</w:t>
      </w:r>
    </w:p>
  </w:footnote>
  <w:footnote w:id="35">
    <w:p w14:paraId="1BDD0973" w14:textId="3BED769C" w:rsidR="002A286C" w:rsidRPr="001A7ACF" w:rsidRDefault="002A286C">
      <w:pPr>
        <w:pStyle w:val="FootnoteText"/>
        <w:rPr>
          <w:lang w:val="nl-NL"/>
        </w:rPr>
      </w:pPr>
      <w:r>
        <w:rPr>
          <w:rStyle w:val="FootnoteReference"/>
        </w:rPr>
        <w:footnoteRef/>
      </w:r>
      <w:r w:rsidRPr="001A7ACF">
        <w:rPr>
          <w:lang w:val="nl-NL"/>
        </w:rPr>
        <w:t xml:space="preserve"> Ibid.</w:t>
      </w:r>
    </w:p>
  </w:footnote>
  <w:footnote w:id="36">
    <w:p w14:paraId="4CA3F4A2" w14:textId="1E464A25" w:rsidR="002A286C" w:rsidRPr="001A7ACF" w:rsidRDefault="002A286C">
      <w:pPr>
        <w:pStyle w:val="FootnoteText"/>
        <w:rPr>
          <w:lang w:val="nl-NL"/>
        </w:rPr>
      </w:pPr>
      <w:r>
        <w:rPr>
          <w:rStyle w:val="FootnoteReference"/>
        </w:rPr>
        <w:footnoteRef/>
      </w:r>
      <w:r w:rsidRPr="001A7ACF">
        <w:rPr>
          <w:lang w:val="nl-NL"/>
        </w:rPr>
        <w:t xml:space="preserve"> Ibid.</w:t>
      </w:r>
    </w:p>
  </w:footnote>
  <w:footnote w:id="37">
    <w:p w14:paraId="31FAE7A1" w14:textId="7DB2E76F" w:rsidR="002A286C" w:rsidRPr="001A7ACF" w:rsidRDefault="002A286C">
      <w:pPr>
        <w:pStyle w:val="FootnoteText"/>
        <w:rPr>
          <w:lang w:val="nl-NL"/>
        </w:rPr>
      </w:pPr>
      <w:r>
        <w:rPr>
          <w:rStyle w:val="FootnoteReference"/>
        </w:rPr>
        <w:footnoteRef/>
      </w:r>
      <w:r w:rsidRPr="001A7ACF">
        <w:rPr>
          <w:lang w:val="nl-NL"/>
        </w:rPr>
        <w:t xml:space="preserve"> </w:t>
      </w:r>
      <w:proofErr w:type="spellStart"/>
      <w:r w:rsidRPr="001A7ACF">
        <w:rPr>
          <w:kern w:val="0"/>
          <w:lang w:val="nl-NL"/>
        </w:rPr>
        <w:t>Orig</w:t>
      </w:r>
      <w:proofErr w:type="spellEnd"/>
      <w:r w:rsidRPr="001A7ACF">
        <w:rPr>
          <w:kern w:val="0"/>
          <w:lang w:val="nl-NL"/>
        </w:rPr>
        <w:t xml:space="preserve">., </w:t>
      </w:r>
      <w:r w:rsidRPr="001A7ACF">
        <w:rPr>
          <w:i/>
          <w:kern w:val="0"/>
          <w:lang w:val="nl-NL"/>
        </w:rPr>
        <w:t xml:space="preserve">De </w:t>
      </w:r>
      <w:proofErr w:type="spellStart"/>
      <w:r w:rsidRPr="001A7ACF">
        <w:rPr>
          <w:i/>
          <w:kern w:val="0"/>
          <w:lang w:val="nl-NL"/>
        </w:rPr>
        <w:t>princ</w:t>
      </w:r>
      <w:proofErr w:type="spellEnd"/>
      <w:r w:rsidRPr="001A7ACF">
        <w:rPr>
          <w:kern w:val="0"/>
          <w:lang w:val="nl-NL"/>
        </w:rPr>
        <w:t>. IV 1,7.</w:t>
      </w:r>
    </w:p>
  </w:footnote>
  <w:footnote w:id="38">
    <w:p w14:paraId="3433EA66" w14:textId="0EA596CF" w:rsidR="002A286C" w:rsidRPr="001A7ACF" w:rsidRDefault="002A286C">
      <w:pPr>
        <w:pStyle w:val="FootnoteText"/>
        <w:rPr>
          <w:lang w:val="nl-NL"/>
        </w:rPr>
      </w:pPr>
      <w:r>
        <w:rPr>
          <w:rStyle w:val="FootnoteReference"/>
        </w:rPr>
        <w:footnoteRef/>
      </w:r>
      <w:r w:rsidRPr="001A7ACF">
        <w:rPr>
          <w:lang w:val="nl-NL"/>
        </w:rPr>
        <w:t xml:space="preserve"> </w:t>
      </w:r>
      <w:proofErr w:type="spellStart"/>
      <w:r w:rsidRPr="001A7ACF">
        <w:rPr>
          <w:kern w:val="0"/>
          <w:lang w:val="nl-NL"/>
        </w:rPr>
        <w:t>Orig</w:t>
      </w:r>
      <w:proofErr w:type="spellEnd"/>
      <w:r w:rsidRPr="001A7ACF">
        <w:rPr>
          <w:kern w:val="0"/>
          <w:lang w:val="nl-NL"/>
        </w:rPr>
        <w:t xml:space="preserve">., </w:t>
      </w:r>
      <w:r w:rsidRPr="001A7ACF">
        <w:rPr>
          <w:i/>
          <w:kern w:val="0"/>
          <w:lang w:val="nl-NL"/>
        </w:rPr>
        <w:t xml:space="preserve">De </w:t>
      </w:r>
      <w:proofErr w:type="spellStart"/>
      <w:r w:rsidRPr="001A7ACF">
        <w:rPr>
          <w:i/>
          <w:kern w:val="0"/>
          <w:lang w:val="nl-NL"/>
        </w:rPr>
        <w:t>princ</w:t>
      </w:r>
      <w:proofErr w:type="spellEnd"/>
      <w:r w:rsidRPr="001A7ACF">
        <w:rPr>
          <w:kern w:val="0"/>
          <w:lang w:val="nl-NL"/>
        </w:rPr>
        <w:t>. IV 1,8.</w:t>
      </w:r>
    </w:p>
  </w:footnote>
  <w:footnote w:id="39">
    <w:p w14:paraId="24B2060F" w14:textId="7EB3A350" w:rsidR="002A286C" w:rsidRPr="001A7ACF" w:rsidRDefault="002A286C">
      <w:pPr>
        <w:pStyle w:val="FootnoteText"/>
        <w:rPr>
          <w:lang w:val="nl-NL"/>
        </w:rPr>
      </w:pPr>
      <w:r>
        <w:rPr>
          <w:rStyle w:val="FootnoteReference"/>
        </w:rPr>
        <w:footnoteRef/>
      </w:r>
      <w:r w:rsidRPr="001A7ACF">
        <w:rPr>
          <w:lang w:val="nl-NL"/>
        </w:rPr>
        <w:t xml:space="preserve"> Ibid.</w:t>
      </w:r>
    </w:p>
  </w:footnote>
  <w:footnote w:id="40">
    <w:p w14:paraId="52465247" w14:textId="46843A50" w:rsidR="002A286C" w:rsidRPr="001A7ACF" w:rsidRDefault="002A286C">
      <w:pPr>
        <w:pStyle w:val="FootnoteText"/>
        <w:rPr>
          <w:lang w:val="nl-NL"/>
        </w:rPr>
      </w:pPr>
      <w:r>
        <w:rPr>
          <w:rStyle w:val="FootnoteReference"/>
        </w:rPr>
        <w:footnoteRef/>
      </w:r>
      <w:r w:rsidRPr="001A7ACF">
        <w:rPr>
          <w:lang w:val="nl-NL"/>
        </w:rPr>
        <w:t xml:space="preserve"> S</w:t>
      </w:r>
      <w:r>
        <w:rPr>
          <w:lang w:val="nl-NL"/>
        </w:rPr>
        <w:t>ee ibid.</w:t>
      </w:r>
    </w:p>
  </w:footnote>
  <w:footnote w:id="41">
    <w:p w14:paraId="1E6E9BA4" w14:textId="0116F163" w:rsidR="002A286C" w:rsidRPr="00AC655A" w:rsidRDefault="002A286C">
      <w:pPr>
        <w:pStyle w:val="FootnoteText"/>
        <w:rPr>
          <w:lang w:val="nl-NL"/>
        </w:rPr>
      </w:pPr>
      <w:r>
        <w:rPr>
          <w:rStyle w:val="FootnoteReference"/>
        </w:rPr>
        <w:footnoteRef/>
      </w:r>
      <w:r w:rsidRPr="00AC655A">
        <w:rPr>
          <w:lang w:val="nl-NL"/>
        </w:rPr>
        <w:t xml:space="preserve"> </w:t>
      </w:r>
      <w:proofErr w:type="spellStart"/>
      <w:r w:rsidRPr="001A7ACF">
        <w:rPr>
          <w:kern w:val="0"/>
          <w:lang w:val="nl-NL"/>
        </w:rPr>
        <w:t>Orig</w:t>
      </w:r>
      <w:proofErr w:type="spellEnd"/>
      <w:r w:rsidRPr="001A7ACF">
        <w:rPr>
          <w:kern w:val="0"/>
          <w:lang w:val="nl-NL"/>
        </w:rPr>
        <w:t xml:space="preserve">., </w:t>
      </w:r>
      <w:r w:rsidRPr="001A7ACF">
        <w:rPr>
          <w:i/>
          <w:kern w:val="0"/>
          <w:lang w:val="nl-NL"/>
        </w:rPr>
        <w:t xml:space="preserve">De </w:t>
      </w:r>
      <w:proofErr w:type="spellStart"/>
      <w:r w:rsidRPr="001A7ACF">
        <w:rPr>
          <w:i/>
          <w:kern w:val="0"/>
          <w:lang w:val="nl-NL"/>
        </w:rPr>
        <w:t>princ</w:t>
      </w:r>
      <w:proofErr w:type="spellEnd"/>
      <w:r w:rsidRPr="001A7ACF">
        <w:rPr>
          <w:kern w:val="0"/>
          <w:lang w:val="nl-NL"/>
        </w:rPr>
        <w:t>. IV 1,</w:t>
      </w:r>
      <w:r>
        <w:rPr>
          <w:kern w:val="0"/>
          <w:lang w:val="nl-NL"/>
        </w:rPr>
        <w:t>9</w:t>
      </w:r>
      <w:r w:rsidRPr="001A7ACF">
        <w:rPr>
          <w:kern w:val="0"/>
          <w:lang w:val="nl-NL"/>
        </w:rPr>
        <w:t>.</w:t>
      </w:r>
      <w:r w:rsidRPr="00AC655A">
        <w:rPr>
          <w:lang w:val="nl-NL"/>
        </w:rPr>
        <w:t xml:space="preserve"> </w:t>
      </w:r>
    </w:p>
  </w:footnote>
  <w:footnote w:id="42">
    <w:p w14:paraId="6099DD96" w14:textId="14995409" w:rsidR="002A286C" w:rsidRPr="00206394" w:rsidRDefault="002A286C">
      <w:pPr>
        <w:pStyle w:val="FootnoteText"/>
        <w:rPr>
          <w:lang w:val="nl-NL"/>
        </w:rPr>
      </w:pPr>
      <w:r>
        <w:rPr>
          <w:rStyle w:val="FootnoteReference"/>
        </w:rPr>
        <w:footnoteRef/>
      </w:r>
      <w:r w:rsidRPr="00AC655A">
        <w:rPr>
          <w:lang w:val="nl-NL"/>
        </w:rPr>
        <w:t xml:space="preserve"> </w:t>
      </w:r>
      <w:proofErr w:type="spellStart"/>
      <w:r w:rsidRPr="001A7ACF">
        <w:rPr>
          <w:kern w:val="0"/>
          <w:lang w:val="nl-NL"/>
        </w:rPr>
        <w:t>Orig</w:t>
      </w:r>
      <w:proofErr w:type="spellEnd"/>
      <w:r w:rsidRPr="001A7ACF">
        <w:rPr>
          <w:kern w:val="0"/>
          <w:lang w:val="nl-NL"/>
        </w:rPr>
        <w:t xml:space="preserve">., </w:t>
      </w:r>
      <w:r w:rsidRPr="001A7ACF">
        <w:rPr>
          <w:i/>
          <w:kern w:val="0"/>
          <w:lang w:val="nl-NL"/>
        </w:rPr>
        <w:t xml:space="preserve">De </w:t>
      </w:r>
      <w:proofErr w:type="spellStart"/>
      <w:r w:rsidRPr="001A7ACF">
        <w:rPr>
          <w:i/>
          <w:kern w:val="0"/>
          <w:lang w:val="nl-NL"/>
        </w:rPr>
        <w:t>princ</w:t>
      </w:r>
      <w:proofErr w:type="spellEnd"/>
      <w:r w:rsidRPr="001A7ACF">
        <w:rPr>
          <w:kern w:val="0"/>
          <w:lang w:val="nl-NL"/>
        </w:rPr>
        <w:t>. IV 1,</w:t>
      </w:r>
      <w:r>
        <w:rPr>
          <w:kern w:val="0"/>
          <w:lang w:val="nl-NL"/>
        </w:rPr>
        <w:t>16</w:t>
      </w:r>
      <w:r w:rsidRPr="001A7ACF">
        <w:rPr>
          <w:kern w:val="0"/>
          <w:lang w:val="nl-NL"/>
        </w:rPr>
        <w:t>.</w:t>
      </w:r>
    </w:p>
  </w:footnote>
  <w:footnote w:id="43">
    <w:p w14:paraId="6CB31C1A" w14:textId="244C5802" w:rsidR="002A286C" w:rsidRPr="00162E13" w:rsidRDefault="002A286C">
      <w:pPr>
        <w:pStyle w:val="FootnoteText"/>
      </w:pPr>
      <w:r>
        <w:rPr>
          <w:rStyle w:val="FootnoteReference"/>
        </w:rPr>
        <w:footnoteRef/>
      </w:r>
      <w:r w:rsidRPr="00206394">
        <w:rPr>
          <w:lang w:val="nl-NL"/>
        </w:rPr>
        <w:t xml:space="preserve"> See </w:t>
      </w:r>
      <w:proofErr w:type="spellStart"/>
      <w:r w:rsidRPr="001A7ACF">
        <w:rPr>
          <w:kern w:val="0"/>
          <w:lang w:val="nl-NL"/>
        </w:rPr>
        <w:t>Orig</w:t>
      </w:r>
      <w:proofErr w:type="spellEnd"/>
      <w:r w:rsidRPr="001A7ACF">
        <w:rPr>
          <w:kern w:val="0"/>
          <w:lang w:val="nl-NL"/>
        </w:rPr>
        <w:t xml:space="preserve">., </w:t>
      </w:r>
      <w:r w:rsidRPr="001A7ACF">
        <w:rPr>
          <w:i/>
          <w:kern w:val="0"/>
          <w:lang w:val="nl-NL"/>
        </w:rPr>
        <w:t xml:space="preserve">De </w:t>
      </w:r>
      <w:proofErr w:type="spellStart"/>
      <w:r w:rsidRPr="001A7ACF">
        <w:rPr>
          <w:i/>
          <w:kern w:val="0"/>
          <w:lang w:val="nl-NL"/>
        </w:rPr>
        <w:t>princ</w:t>
      </w:r>
      <w:proofErr w:type="spellEnd"/>
      <w:r w:rsidRPr="001A7ACF">
        <w:rPr>
          <w:kern w:val="0"/>
          <w:lang w:val="nl-NL"/>
        </w:rPr>
        <w:t xml:space="preserve">. </w:t>
      </w:r>
      <w:r w:rsidRPr="00162E13">
        <w:rPr>
          <w:kern w:val="0"/>
        </w:rPr>
        <w:t>IV 1,9.</w:t>
      </w:r>
    </w:p>
  </w:footnote>
  <w:footnote w:id="44">
    <w:p w14:paraId="648FF7FE" w14:textId="30AE36F7" w:rsidR="002A286C" w:rsidRPr="00162E13" w:rsidRDefault="002A286C">
      <w:pPr>
        <w:pStyle w:val="FootnoteText"/>
        <w:rPr>
          <w:lang w:val="en-US"/>
        </w:rPr>
      </w:pPr>
      <w:r>
        <w:rPr>
          <w:rStyle w:val="FootnoteReference"/>
        </w:rPr>
        <w:footnoteRef/>
      </w:r>
      <w:r w:rsidRPr="00162E13">
        <w:rPr>
          <w:lang w:val="en-US"/>
        </w:rPr>
        <w:t xml:space="preserve"> </w:t>
      </w:r>
      <w:r w:rsidRPr="00162E13">
        <w:rPr>
          <w:kern w:val="0"/>
          <w:lang w:val="en-US"/>
        </w:rPr>
        <w:t xml:space="preserve">Orig., </w:t>
      </w:r>
      <w:proofErr w:type="spellStart"/>
      <w:r w:rsidRPr="00162E13">
        <w:rPr>
          <w:i/>
          <w:kern w:val="0"/>
          <w:lang w:val="en-US"/>
        </w:rPr>
        <w:t>Hom</w:t>
      </w:r>
      <w:proofErr w:type="spellEnd"/>
      <w:r w:rsidRPr="00162E13">
        <w:rPr>
          <w:i/>
          <w:kern w:val="0"/>
          <w:lang w:val="en-US"/>
        </w:rPr>
        <w:t>. in Luc</w:t>
      </w:r>
      <w:r w:rsidRPr="00162E13">
        <w:rPr>
          <w:kern w:val="0"/>
          <w:lang w:val="en-US"/>
        </w:rPr>
        <w:t>. 19,5 (here and later own trans.).</w:t>
      </w:r>
    </w:p>
  </w:footnote>
  <w:footnote w:id="45">
    <w:p w14:paraId="493218B1" w14:textId="42E91AED" w:rsidR="002A286C" w:rsidRPr="004239DC" w:rsidRDefault="002A286C">
      <w:pPr>
        <w:pStyle w:val="FootnoteText"/>
        <w:rPr>
          <w:lang w:val="en-US"/>
        </w:rPr>
      </w:pPr>
      <w:r>
        <w:rPr>
          <w:rStyle w:val="FootnoteReference"/>
        </w:rPr>
        <w:footnoteRef/>
      </w:r>
      <w:r w:rsidRPr="003935B3">
        <w:rPr>
          <w:lang w:val="en-US"/>
        </w:rPr>
        <w:t xml:space="preserve"> See, for example, the l</w:t>
      </w:r>
      <w:r>
        <w:rPr>
          <w:lang w:val="en-US"/>
        </w:rPr>
        <w:t xml:space="preserve">ong list of topics that he gives, but where the beginnings of Christianity are left out, Orig., </w:t>
      </w:r>
      <w:r>
        <w:rPr>
          <w:i/>
          <w:lang w:val="en-US"/>
        </w:rPr>
        <w:t xml:space="preserve">De </w:t>
      </w:r>
      <w:proofErr w:type="spellStart"/>
      <w:r>
        <w:rPr>
          <w:i/>
          <w:lang w:val="en-US"/>
        </w:rPr>
        <w:t>princ</w:t>
      </w:r>
      <w:proofErr w:type="spellEnd"/>
      <w:r>
        <w:rPr>
          <w:i/>
          <w:lang w:val="en-US"/>
        </w:rPr>
        <w:t>.</w:t>
      </w:r>
      <w:r>
        <w:rPr>
          <w:lang w:val="en-US"/>
        </w:rPr>
        <w:t xml:space="preserve"> IV 1,14: ‘</w:t>
      </w:r>
      <w:r w:rsidRPr="009929AD">
        <w:rPr>
          <w:lang w:val="en-US"/>
        </w:rPr>
        <w:t xml:space="preserve">we have to sketch what seem to us to be the marks of the (true) understanding of Scriptures. And, in the first place, this must be pointed out, that the object of the Spirit, which by the providence of God, through the Word who was in the beginning with God, illuminated the ministers of truth, the prophets and apostles, was especially (the communication) of ineffable mysteries regarding the affairs of men (now by men I mean those souls that make use of bodies), in order that he who is capable of instruction may by investigation, and by devoting himself to the study of the profundities of meaning contained in the words, become a participator of all the doctrines of his counsel. And among those matters which relate to souls (who cannot otherwise obtain perfection apart from the rich and wise truth of God), the (doctrines) belonging to God and His only-begotten Son are necessarily laid down as primary, viz., of what nature He is, and in what manner He is the Son of God, and what are the causes of His descending even to (the assumption of) human flesh, and of complete humanity; and what, also, is the operation of this (Son), and upon whom and when exercised. And it was necessary also that the subject of kindred beings, and other rational creatures, both those who are divine and those who have fallen from blessedness, together with the reasons of their fall, should be contained in the divine teaching; and </w:t>
      </w:r>
      <w:proofErr w:type="gramStart"/>
      <w:r w:rsidRPr="009929AD">
        <w:rPr>
          <w:lang w:val="en-US"/>
        </w:rPr>
        <w:t>also</w:t>
      </w:r>
      <w:proofErr w:type="gramEnd"/>
      <w:r w:rsidRPr="009929AD">
        <w:rPr>
          <w:lang w:val="en-US"/>
        </w:rPr>
        <w:t xml:space="preserve"> that of the diversities of souls, and of the origin of these diversities, and of the nature of the world, and the cause of its existence. We must </w:t>
      </w:r>
      <w:proofErr w:type="gramStart"/>
      <w:r w:rsidRPr="009929AD">
        <w:rPr>
          <w:lang w:val="en-US"/>
        </w:rPr>
        <w:t>learn also</w:t>
      </w:r>
      <w:proofErr w:type="gramEnd"/>
      <w:r w:rsidRPr="009929AD">
        <w:rPr>
          <w:lang w:val="en-US"/>
        </w:rPr>
        <w:t xml:space="preserve"> the origin of the great and terrible wickedness which overspreads the earth, and whether it is confined to this earth only, or prevails elsewhere. Now, while these and similar objects were present to the Spirit, who enlightened the souls of the holy ministers of the truth, there was a second object, for the sake of those who were unable to endure the fatigue of investigating matters so important, viz., to conceal the doctrine relating to the previously mentioned subjects, in expressions containing a narrative which conveyed an announcement regarding the things of the visible creation, the creation of man, and the successive descendants of the first men until they became numerous; and other histories relating the acts of just men, and the sins occasionally committed by these same men as being human beings, and the wicked deeds, both of unchastity and vice, committed by sinful and ungodly men. And what is most remarkable, by the history of wars, and of the victors, and the vanquished, certain mysteries are indicated to those who </w:t>
      </w:r>
      <w:proofErr w:type="gramStart"/>
      <w:r w:rsidRPr="009929AD">
        <w:rPr>
          <w:lang w:val="en-US"/>
        </w:rPr>
        <w:t>are able to</w:t>
      </w:r>
      <w:proofErr w:type="gramEnd"/>
      <w:r w:rsidRPr="009929AD">
        <w:rPr>
          <w:lang w:val="en-US"/>
        </w:rPr>
        <w:t xml:space="preserve"> test these statements. And more wonderful still, the laws of truth are predicted by the written legislation;</w:t>
      </w:r>
      <w:r>
        <w:rPr>
          <w:lang w:val="en-US"/>
        </w:rPr>
        <w:t xml:space="preserve"> -</w:t>
      </w:r>
      <w:r w:rsidRPr="009929AD">
        <w:rPr>
          <w:lang w:val="en-US"/>
        </w:rPr>
        <w:t xml:space="preserve"> all these being described in a connected series, with a power which is truly in keeping with the wisdom of God. For it was intended that the covering also of the spiritual truths</w:t>
      </w:r>
      <w:r>
        <w:rPr>
          <w:lang w:val="en-US"/>
        </w:rPr>
        <w:t xml:space="preserve"> -</w:t>
      </w:r>
      <w:r w:rsidRPr="009929AD">
        <w:rPr>
          <w:lang w:val="en-US"/>
        </w:rPr>
        <w:t xml:space="preserve"> I mean the bodily part of Scripture</w:t>
      </w:r>
      <w:r>
        <w:rPr>
          <w:lang w:val="en-US"/>
        </w:rPr>
        <w:t xml:space="preserve"> -</w:t>
      </w:r>
      <w:r w:rsidRPr="009929AD">
        <w:rPr>
          <w:lang w:val="en-US"/>
        </w:rPr>
        <w:t xml:space="preserve"> should not be without profit in many cases, but should be capable of improving the multitude, according to their capacity</w:t>
      </w:r>
      <w:r>
        <w:rPr>
          <w:lang w:val="en-US"/>
        </w:rPr>
        <w:t>’.</w:t>
      </w:r>
    </w:p>
  </w:footnote>
  <w:footnote w:id="46">
    <w:p w14:paraId="50925861" w14:textId="35306B57" w:rsidR="002A286C" w:rsidRPr="00B2399C" w:rsidRDefault="002A286C">
      <w:pPr>
        <w:pStyle w:val="FootnoteText"/>
        <w:rPr>
          <w:lang w:val="nl-NL"/>
        </w:rPr>
      </w:pPr>
      <w:r>
        <w:rPr>
          <w:rStyle w:val="FootnoteReference"/>
        </w:rPr>
        <w:footnoteRef/>
      </w:r>
      <w:r w:rsidRPr="00B2399C">
        <w:rPr>
          <w:lang w:val="nl-NL"/>
        </w:rPr>
        <w:t xml:space="preserve"> </w:t>
      </w:r>
      <w:proofErr w:type="spellStart"/>
      <w:r w:rsidRPr="00405643">
        <w:rPr>
          <w:kern w:val="0"/>
          <w:lang w:val="nl-NL"/>
        </w:rPr>
        <w:t>Orig</w:t>
      </w:r>
      <w:proofErr w:type="spellEnd"/>
      <w:r w:rsidRPr="00405643">
        <w:rPr>
          <w:kern w:val="0"/>
          <w:lang w:val="nl-NL"/>
        </w:rPr>
        <w:t xml:space="preserve">., </w:t>
      </w:r>
      <w:r w:rsidRPr="007102A4">
        <w:rPr>
          <w:i/>
          <w:kern w:val="0"/>
          <w:lang w:val="nl-NL"/>
        </w:rPr>
        <w:t xml:space="preserve">Hom. </w:t>
      </w:r>
      <w:proofErr w:type="gramStart"/>
      <w:r w:rsidRPr="007102A4">
        <w:rPr>
          <w:i/>
          <w:kern w:val="0"/>
          <w:lang w:val="nl-NL"/>
        </w:rPr>
        <w:t>in</w:t>
      </w:r>
      <w:proofErr w:type="gramEnd"/>
      <w:r w:rsidRPr="007102A4">
        <w:rPr>
          <w:i/>
          <w:kern w:val="0"/>
          <w:lang w:val="nl-NL"/>
        </w:rPr>
        <w:t xml:space="preserve"> Luc</w:t>
      </w:r>
      <w:r w:rsidRPr="00405643">
        <w:rPr>
          <w:kern w:val="0"/>
          <w:lang w:val="nl-NL"/>
        </w:rPr>
        <w:t>. 9,1.</w:t>
      </w:r>
    </w:p>
  </w:footnote>
  <w:footnote w:id="47">
    <w:p w14:paraId="0DD3626A" w14:textId="5B921A80" w:rsidR="002A286C" w:rsidRPr="00B2399C" w:rsidRDefault="002A286C">
      <w:pPr>
        <w:pStyle w:val="FootnoteText"/>
        <w:rPr>
          <w:lang w:val="nl-NL"/>
        </w:rPr>
      </w:pPr>
      <w:r>
        <w:rPr>
          <w:rStyle w:val="FootnoteReference"/>
        </w:rPr>
        <w:footnoteRef/>
      </w:r>
      <w:r w:rsidRPr="00B2399C">
        <w:rPr>
          <w:lang w:val="nl-NL"/>
        </w:rPr>
        <w:t xml:space="preserve"> </w:t>
      </w:r>
      <w:proofErr w:type="spellStart"/>
      <w:r w:rsidRPr="00405643">
        <w:rPr>
          <w:kern w:val="0"/>
          <w:lang w:val="nl-NL"/>
        </w:rPr>
        <w:t>Orig</w:t>
      </w:r>
      <w:proofErr w:type="spellEnd"/>
      <w:r w:rsidRPr="00405643">
        <w:rPr>
          <w:kern w:val="0"/>
          <w:lang w:val="nl-NL"/>
        </w:rPr>
        <w:t xml:space="preserve">., </w:t>
      </w:r>
      <w:r w:rsidRPr="00B2399C">
        <w:rPr>
          <w:i/>
          <w:kern w:val="0"/>
          <w:lang w:val="nl-NL"/>
        </w:rPr>
        <w:t xml:space="preserve">Hom. </w:t>
      </w:r>
      <w:proofErr w:type="gramStart"/>
      <w:r w:rsidRPr="00B2399C">
        <w:rPr>
          <w:i/>
          <w:kern w:val="0"/>
          <w:lang w:val="nl-NL"/>
        </w:rPr>
        <w:t>in</w:t>
      </w:r>
      <w:proofErr w:type="gramEnd"/>
      <w:r w:rsidRPr="00B2399C">
        <w:rPr>
          <w:i/>
          <w:kern w:val="0"/>
          <w:lang w:val="nl-NL"/>
        </w:rPr>
        <w:t xml:space="preserve"> Luc</w:t>
      </w:r>
      <w:r w:rsidRPr="00405643">
        <w:rPr>
          <w:kern w:val="0"/>
          <w:lang w:val="nl-NL"/>
        </w:rPr>
        <w:t>. 11,6.</w:t>
      </w:r>
    </w:p>
  </w:footnote>
  <w:footnote w:id="48">
    <w:p w14:paraId="6EF94C2D" w14:textId="7B01FB05" w:rsidR="002A286C" w:rsidRPr="00C603F6" w:rsidRDefault="002A286C">
      <w:pPr>
        <w:pStyle w:val="FootnoteText"/>
        <w:rPr>
          <w:lang w:val="en-GB"/>
        </w:rPr>
      </w:pPr>
      <w:r>
        <w:rPr>
          <w:rStyle w:val="FootnoteReference"/>
        </w:rPr>
        <w:footnoteRef/>
      </w:r>
      <w:r w:rsidRPr="00C603F6">
        <w:rPr>
          <w:lang w:val="en-US"/>
        </w:rPr>
        <w:t xml:space="preserve"> </w:t>
      </w:r>
      <w:r w:rsidRPr="00E54926">
        <w:rPr>
          <w:kern w:val="0"/>
          <w:lang w:val="en-GB"/>
        </w:rPr>
        <w:fldChar w:fldCharType="begin"/>
      </w:r>
      <w:r>
        <w:rPr>
          <w:kern w:val="0"/>
          <w:lang w:val="en-GB"/>
        </w:rPr>
        <w:instrText xml:space="preserve"> ADDIN EN.CITE &lt;EndNote&gt;&lt;Cite&gt;&lt;Author&gt;Shuve&lt;/Author&gt;&lt;Year&gt;2012&lt;/Year&gt;&lt;RecNum&gt;6455&lt;/RecNum&gt;&lt;Pages&gt;265&lt;/Pages&gt;&lt;DisplayText&gt;Shuve, K. (2012). The Patristic Reception of Luke and Acts: Scholarship, Theology, and Moral Exhortation in the Homilies of Origen and Chrysostom. &lt;style face="underline"&gt;Issues in Luke-Acts: Selected Essays&lt;/style&gt;. S. A. Adams and M. Pahl&lt;style face="bold"&gt;: &lt;/style&gt;263-286.&lt;/DisplayText&gt;&lt;record&gt;&lt;rec-number&gt;6455&lt;/rec-number&gt;&lt;foreign-keys&gt;&lt;key app="EN" db-id="watspfp2d2rp9se0avpvpv942sd5za2epre9" timestamp="1537695598"&gt;6455&lt;/key&gt;&lt;/foreign-keys&gt;&lt;ref-type name="Book Section"&gt;5&lt;/ref-type&gt;&lt;contributors&gt;&lt;authors&gt;&lt;author&gt;Shuve, Karl&lt;/author&gt;&lt;/authors&gt;&lt;secondary-authors&gt;&lt;author&gt;Adams, Sean A. &lt;/author&gt;&lt;author&gt;Pahl, Michael &lt;/author&gt;&lt;/secondary-authors&gt;&lt;/contributors&gt;&lt;titles&gt;&lt;title&gt;The Patristic Reception of Luke and Acts: Scholarship, Theology, and Moral Exhortation in the Homilies of Origen and Chrysostom&lt;/title&gt;&lt;secondary-title&gt;Issues in Luke-Acts: Selected Essays&lt;/secondary-title&gt;&lt;/titles&gt;&lt;pages&gt;263-286.&lt;/pages&gt;&lt;dates&gt;&lt;year&gt;2012&lt;/year&gt;&lt;/dates&gt;&lt;urls&gt;&lt;/urls&gt;&lt;/record&gt;&lt;/Cite&gt;&lt;/EndNote&gt;</w:instrText>
      </w:r>
      <w:r w:rsidRPr="00E54926">
        <w:rPr>
          <w:kern w:val="0"/>
          <w:lang w:val="en-GB"/>
        </w:rPr>
        <w:fldChar w:fldCharType="separate"/>
      </w:r>
      <w:r>
        <w:rPr>
          <w:noProof/>
          <w:kern w:val="0"/>
          <w:lang w:val="en-GB"/>
        </w:rPr>
        <w:t xml:space="preserve">Shuve, K. (2012). The Patristic Reception of Luke and Acts: Scholarship, Theology, and Moral Exhortation in the Homilies of Origen and Chrysostom. </w:t>
      </w:r>
      <w:r w:rsidRPr="00F66C41">
        <w:rPr>
          <w:noProof/>
          <w:kern w:val="0"/>
          <w:u w:val="single"/>
          <w:lang w:val="en-GB"/>
        </w:rPr>
        <w:t>Issues in Luke-Acts: Selected Essays</w:t>
      </w:r>
      <w:r>
        <w:rPr>
          <w:noProof/>
          <w:kern w:val="0"/>
          <w:lang w:val="en-GB"/>
        </w:rPr>
        <w:t>. S. A. Adams and M. Pahl</w:t>
      </w:r>
      <w:r w:rsidRPr="00F66C41">
        <w:rPr>
          <w:b/>
          <w:noProof/>
          <w:kern w:val="0"/>
          <w:lang w:val="en-GB"/>
        </w:rPr>
        <w:t xml:space="preserve">: </w:t>
      </w:r>
      <w:r>
        <w:rPr>
          <w:noProof/>
          <w:kern w:val="0"/>
          <w:lang w:val="en-GB"/>
        </w:rPr>
        <w:t>263-286.</w:t>
      </w:r>
      <w:r w:rsidRPr="00E54926">
        <w:rPr>
          <w:kern w:val="0"/>
          <w:lang w:val="en-GB"/>
        </w:rPr>
        <w:fldChar w:fldCharType="end"/>
      </w:r>
    </w:p>
  </w:footnote>
  <w:footnote w:id="49">
    <w:p w14:paraId="7A3632AC" w14:textId="3CB72EBA" w:rsidR="002A286C" w:rsidRPr="00307258" w:rsidRDefault="002A286C">
      <w:pPr>
        <w:pStyle w:val="FootnoteText"/>
        <w:rPr>
          <w:lang w:val="en-US"/>
        </w:rPr>
      </w:pPr>
      <w:r>
        <w:rPr>
          <w:rStyle w:val="FootnoteReference"/>
        </w:rPr>
        <w:footnoteRef/>
      </w:r>
      <w:r w:rsidRPr="00307258">
        <w:rPr>
          <w:lang w:val="en-US"/>
        </w:rPr>
        <w:t xml:space="preserve"> See </w:t>
      </w:r>
      <w:r w:rsidRPr="00307258">
        <w:rPr>
          <w:kern w:val="0"/>
          <w:lang w:val="en-US"/>
        </w:rPr>
        <w:t xml:space="preserve">Orig., </w:t>
      </w:r>
      <w:proofErr w:type="spellStart"/>
      <w:r w:rsidRPr="00307258">
        <w:rPr>
          <w:i/>
          <w:kern w:val="0"/>
          <w:lang w:val="en-US"/>
        </w:rPr>
        <w:t>Hom</w:t>
      </w:r>
      <w:proofErr w:type="spellEnd"/>
      <w:r w:rsidRPr="00307258">
        <w:rPr>
          <w:i/>
          <w:kern w:val="0"/>
          <w:lang w:val="en-US"/>
        </w:rPr>
        <w:t>. 4 in Acta</w:t>
      </w:r>
      <w:r w:rsidRPr="00307258">
        <w:rPr>
          <w:kern w:val="0"/>
          <w:lang w:val="en-US"/>
        </w:rPr>
        <w:t xml:space="preserve"> (PG 14, 829-832).</w:t>
      </w:r>
    </w:p>
  </w:footnote>
  <w:footnote w:id="50">
    <w:p w14:paraId="4EB00889" w14:textId="6D762EDE" w:rsidR="002A286C" w:rsidRPr="000521F8" w:rsidRDefault="002A286C">
      <w:pPr>
        <w:pStyle w:val="FootnoteText"/>
        <w:rPr>
          <w:lang w:val="en-US"/>
        </w:rPr>
      </w:pPr>
      <w:r>
        <w:rPr>
          <w:rStyle w:val="FootnoteReference"/>
        </w:rPr>
        <w:footnoteRef/>
      </w:r>
      <w:r w:rsidRPr="000521F8">
        <w:rPr>
          <w:lang w:val="en-US"/>
        </w:rPr>
        <w:t xml:space="preserve"> </w:t>
      </w:r>
      <w:proofErr w:type="spellStart"/>
      <w:r w:rsidRPr="000521F8">
        <w:rPr>
          <w:kern w:val="0"/>
          <w:lang w:val="en-US"/>
        </w:rPr>
        <w:t>Pamphil</w:t>
      </w:r>
      <w:proofErr w:type="spellEnd"/>
      <w:r w:rsidRPr="000521F8">
        <w:rPr>
          <w:kern w:val="0"/>
          <w:lang w:val="en-US"/>
        </w:rPr>
        <w:t xml:space="preserve">., </w:t>
      </w:r>
      <w:r w:rsidRPr="000521F8">
        <w:rPr>
          <w:i/>
          <w:kern w:val="0"/>
          <w:lang w:val="en-US"/>
        </w:rPr>
        <w:t xml:space="preserve">Exp. </w:t>
      </w:r>
      <w:proofErr w:type="spellStart"/>
      <w:r w:rsidRPr="000521F8">
        <w:rPr>
          <w:i/>
          <w:kern w:val="0"/>
          <w:lang w:val="en-US"/>
        </w:rPr>
        <w:t>capitum</w:t>
      </w:r>
      <w:proofErr w:type="spellEnd"/>
      <w:r w:rsidRPr="000521F8">
        <w:rPr>
          <w:i/>
          <w:kern w:val="0"/>
          <w:lang w:val="en-US"/>
        </w:rPr>
        <w:t xml:space="preserve"> </w:t>
      </w:r>
      <w:proofErr w:type="spellStart"/>
      <w:r w:rsidRPr="000521F8">
        <w:rPr>
          <w:i/>
          <w:kern w:val="0"/>
          <w:lang w:val="en-US"/>
        </w:rPr>
        <w:t>Actuum</w:t>
      </w:r>
      <w:proofErr w:type="spellEnd"/>
      <w:r w:rsidRPr="000521F8">
        <w:rPr>
          <w:i/>
          <w:kern w:val="0"/>
          <w:lang w:val="en-US"/>
        </w:rPr>
        <w:t xml:space="preserve"> </w:t>
      </w:r>
      <w:proofErr w:type="spellStart"/>
      <w:r w:rsidRPr="000521F8">
        <w:rPr>
          <w:i/>
          <w:kern w:val="0"/>
          <w:lang w:val="en-US"/>
        </w:rPr>
        <w:t>apostolorum</w:t>
      </w:r>
      <w:proofErr w:type="spellEnd"/>
      <w:r w:rsidRPr="000521F8">
        <w:rPr>
          <w:kern w:val="0"/>
          <w:lang w:val="en-US"/>
        </w:rPr>
        <w:t xml:space="preserve"> (PG 10, 1549-53), who, however, seems to read</w:t>
      </w:r>
      <w:r>
        <w:rPr>
          <w:kern w:val="0"/>
          <w:lang w:val="en-US"/>
        </w:rPr>
        <w:t xml:space="preserve"> </w:t>
      </w:r>
      <w:r>
        <w:rPr>
          <w:i/>
          <w:kern w:val="0"/>
          <w:lang w:val="en-US"/>
        </w:rPr>
        <w:t xml:space="preserve">Acts </w:t>
      </w:r>
      <w:r>
        <w:rPr>
          <w:kern w:val="0"/>
          <w:lang w:val="en-US"/>
        </w:rPr>
        <w:t>as somebody, interested in the history of early Christianity</w:t>
      </w:r>
      <w:r w:rsidRPr="000521F8">
        <w:rPr>
          <w:kern w:val="0"/>
          <w:lang w:val="en-US"/>
        </w:rPr>
        <w:t>.</w:t>
      </w:r>
    </w:p>
  </w:footnote>
  <w:footnote w:id="51">
    <w:p w14:paraId="20FDB1D7" w14:textId="783C7928" w:rsidR="002A286C" w:rsidRPr="00054028" w:rsidRDefault="002A286C">
      <w:pPr>
        <w:pStyle w:val="FootnoteText"/>
        <w:rPr>
          <w:lang w:val="en-US"/>
        </w:rPr>
      </w:pPr>
      <w:r>
        <w:rPr>
          <w:rStyle w:val="FootnoteReference"/>
        </w:rPr>
        <w:footnoteRef/>
      </w:r>
      <w:r>
        <w:t xml:space="preserve"> </w:t>
      </w:r>
      <w:proofErr w:type="spellStart"/>
      <w:r w:rsidRPr="00054028">
        <w:rPr>
          <w:kern w:val="0"/>
        </w:rPr>
        <w:t>Euseb</w:t>
      </w:r>
      <w:proofErr w:type="spellEnd"/>
      <w:r w:rsidRPr="00054028">
        <w:rPr>
          <w:kern w:val="0"/>
        </w:rPr>
        <w:t xml:space="preserve">. </w:t>
      </w:r>
      <w:proofErr w:type="spellStart"/>
      <w:r w:rsidRPr="00054028">
        <w:rPr>
          <w:kern w:val="0"/>
        </w:rPr>
        <w:t>Emes</w:t>
      </w:r>
      <w:proofErr w:type="spellEnd"/>
      <w:r w:rsidRPr="00054028">
        <w:rPr>
          <w:kern w:val="0"/>
        </w:rPr>
        <w:t xml:space="preserve">., </w:t>
      </w:r>
      <w:r w:rsidRPr="00054028">
        <w:rPr>
          <w:i/>
          <w:kern w:val="0"/>
        </w:rPr>
        <w:t xml:space="preserve">In Acta </w:t>
      </w:r>
      <w:proofErr w:type="spellStart"/>
      <w:r w:rsidRPr="00054028">
        <w:rPr>
          <w:i/>
          <w:kern w:val="0"/>
        </w:rPr>
        <w:t>apostolorum</w:t>
      </w:r>
      <w:proofErr w:type="spellEnd"/>
      <w:r w:rsidRPr="00054028">
        <w:rPr>
          <w:kern w:val="0"/>
        </w:rPr>
        <w:t xml:space="preserve"> (PG 86, 561). </w:t>
      </w:r>
      <w:r w:rsidRPr="00054028">
        <w:rPr>
          <w:kern w:val="0"/>
          <w:lang w:val="en-US"/>
        </w:rPr>
        <w:t>Here, too, a certain interest in historical events shines through.</w:t>
      </w:r>
    </w:p>
  </w:footnote>
  <w:footnote w:id="52">
    <w:p w14:paraId="14789C2D" w14:textId="27604ADE" w:rsidR="002A286C" w:rsidRPr="00054028" w:rsidRDefault="002A286C">
      <w:pPr>
        <w:pStyle w:val="FootnoteText"/>
      </w:pPr>
      <w:r>
        <w:rPr>
          <w:rStyle w:val="FootnoteReference"/>
        </w:rPr>
        <w:footnoteRef/>
      </w:r>
      <w:r w:rsidRPr="00054028">
        <w:rPr>
          <w:lang w:val="en-US"/>
        </w:rPr>
        <w:t xml:space="preserve"> See </w:t>
      </w:r>
      <w:r w:rsidRPr="004940FE">
        <w:rPr>
          <w:rFonts w:cs="Times New Roman"/>
          <w:kern w:val="0"/>
        </w:rPr>
        <w:fldChar w:fldCharType="begin"/>
      </w:r>
      <w:r w:rsidRPr="00054028">
        <w:rPr>
          <w:rFonts w:cs="Times New Roman"/>
          <w:kern w:val="0"/>
          <w:lang w:val="en-US"/>
        </w:rPr>
        <w:instrText xml:space="preserve"> ADDIN EN.CITE &lt;EndNote&gt;&lt;Cite&gt;&lt;Author&gt;Akinean&lt;/Author&gt;&lt;Year&gt;1921&lt;/Year&gt;&lt;RecNum&gt;6461&lt;/RecNum&gt;&lt;DisplayText&gt;Akinean, N. (1921). &lt;style face="underline"&gt;Srboyn Ep̕remi Asorioy Meknowt̕iwn gorcoc̕ aṙak̕eloc̕ &lt;/style&gt;Vienna, Mxit̕arean Tp.&lt;/DisplayText&gt;&lt;record&gt;&lt;rec-number&gt;6461&lt;/rec-number&gt;&lt;foreign-keys&gt;&lt;key app="EN" db-id="watspfp2d2rp9se0avpvpv942sd5za2epre9" timestamp="1537815842"&gt;6461&lt;/key&gt;&lt;/foreign-keys&gt;&lt;ref-type name="Book"&gt;6&lt;/ref-type&gt;&lt;contributors&gt;&lt;authors&gt;&lt;author&gt;Akinean, Nersês&lt;/author&gt;&lt;/authors&gt;&lt;/contributors&gt;&lt;titles&gt;&lt;title&gt;Srboyn Ep̕remi Asorioy Meknowt̕iwn gorcoc̕ aṙak̕eloc̕ &lt;/title&gt;&lt;secondary-title&gt;K̕nnakan hratarakowt̕iwn matenagrowt̕ean ew t̕argmanowt̕ean naxneac̕ hayoc̕ &lt;/secondary-title&gt;&lt;/titles&gt;&lt;number&gt;2,1&lt;/number&gt;&lt;dates&gt;&lt;year&gt;1921&lt;/year&gt;&lt;/dates&gt;&lt;pub-location&gt;Vienna&lt;/pub-location&gt;&lt;publisher&gt;Mxit̕arean Tp.&lt;/publisher&gt;&lt;urls&gt;&lt;/urls&gt;&lt;/record&gt;&lt;/Cite&gt;&lt;/EndNote&gt;</w:instrText>
      </w:r>
      <w:r w:rsidRPr="004940FE">
        <w:rPr>
          <w:rFonts w:cs="Times New Roman"/>
          <w:kern w:val="0"/>
        </w:rPr>
        <w:fldChar w:fldCharType="separate"/>
      </w:r>
      <w:r w:rsidRPr="00054028">
        <w:rPr>
          <w:rFonts w:cs="Times New Roman"/>
          <w:noProof/>
          <w:kern w:val="0"/>
          <w:lang w:val="en-US"/>
        </w:rPr>
        <w:t xml:space="preserve">Akinean, N. (1921). </w:t>
      </w:r>
      <w:r w:rsidRPr="00054028">
        <w:rPr>
          <w:rFonts w:cs="Times New Roman"/>
          <w:noProof/>
          <w:kern w:val="0"/>
          <w:u w:val="single"/>
          <w:lang w:val="en-US"/>
        </w:rPr>
        <w:t xml:space="preserve">Srboyn Ep̕remi Asorioy Meknowt̕iwn gorcoc̕ aṙak̕eloc̕ </w:t>
      </w:r>
      <w:r w:rsidRPr="00054028">
        <w:rPr>
          <w:rFonts w:cs="Times New Roman"/>
          <w:noProof/>
          <w:kern w:val="0"/>
          <w:lang w:val="en-US"/>
        </w:rPr>
        <w:t>Vienna, Mxit̕arean Tp.</w:t>
      </w:r>
      <w:r w:rsidRPr="004940FE">
        <w:rPr>
          <w:rFonts w:cs="Times New Roman"/>
          <w:kern w:val="0"/>
        </w:rPr>
        <w:fldChar w:fldCharType="end"/>
      </w:r>
      <w:r w:rsidRPr="00054028">
        <w:rPr>
          <w:rFonts w:cs="Times New Roman"/>
          <w:kern w:val="0"/>
          <w:lang w:val="en-US"/>
        </w:rPr>
        <w:t xml:space="preserve"> </w:t>
      </w:r>
      <w:r>
        <w:rPr>
          <w:rFonts w:cs="Times New Roman"/>
          <w:kern w:val="0"/>
          <w:lang w:val="en-US"/>
        </w:rPr>
        <w:t xml:space="preserve">An English translation in </w:t>
      </w:r>
      <w:r w:rsidRPr="00E54926">
        <w:rPr>
          <w:kern w:val="0"/>
        </w:rPr>
        <w:fldChar w:fldCharType="begin"/>
      </w:r>
      <w:r w:rsidRPr="00054028">
        <w:rPr>
          <w:kern w:val="0"/>
          <w:lang w:val="en-US"/>
        </w:rPr>
        <w:instrText xml:space="preserve"> ADDIN EN.CITE &lt;EndNote&gt;&lt;Cite&gt;&lt;Author&gt;Conybeare&lt;/Author&gt;&lt;Year&gt;1926&lt;/Year&gt;&lt;RecNum&gt;6469&lt;/RecNum&gt;&lt;DisplayText&gt;Conybeare, F. C. (1926). The Commentary of Ephrem on Acts. &lt;style face="underline"&gt;The Beginnings of Christianity. Part I. The Acts of the Apostles &lt;/style&gt;J. H. Ropes. London, Macmillan and Co. &lt;style face="bold"&gt;III&lt;/style&gt;.&lt;/DisplayText&gt;&lt;record&gt;&lt;rec-number&gt;6469&lt;/rec-number&gt;&lt;foreign-keys&gt;&lt;key app="EN" db-id="watspfp2d2rp9se0avpvpv942sd5za2epre9" timestamp="1537863204"&gt;6469&lt;/key&gt;&lt;/foreign-keys&gt;&lt;ref-type name="Book Section"&gt;5&lt;/ref-type&gt;&lt;contributors&gt;&lt;authors&gt;&lt;author&gt;Conybeare, Frederick C.&lt;/author&gt;&lt;/authors&gt;&lt;secondary-authors&gt;&lt;author&gt;Ropes, James Hardy&lt;/author&gt;&lt;/secondary-authors&gt;&lt;tertiary-authors&gt;&lt;author&gt;Foakes-Jackson, Frederick J.&lt;/author&gt;&lt;author&gt;Lake, Kirsopp&lt;/author&gt;&lt;/tertiary-authors&gt;&lt;/contributors&gt;&lt;titles&gt;&lt;title&gt;The Commentary of Ephrem on Acts&lt;/title&gt;&lt;secondary-title&gt;The Beginnings of Christianity. Part I. The Acts of the Apostles &lt;/secondary-title&gt;&lt;/titles&gt;&lt;volume&gt;III&lt;/volume&gt;&lt;dates&gt;&lt;year&gt;1926&lt;/year&gt;&lt;/dates&gt;&lt;pub-location&gt;London&lt;/pub-location&gt;&lt;publisher&gt;Macmillan and Co&lt;/publisher&gt;&lt;urls&gt;&lt;/urls&gt;&lt;/record&gt;&lt;/Cite&gt;&lt;/EndNote&gt;</w:instrText>
      </w:r>
      <w:r w:rsidRPr="00E54926">
        <w:rPr>
          <w:kern w:val="0"/>
        </w:rPr>
        <w:fldChar w:fldCharType="separate"/>
      </w:r>
      <w:r w:rsidRPr="00054028">
        <w:rPr>
          <w:noProof/>
          <w:kern w:val="0"/>
          <w:lang w:val="en-US"/>
        </w:rPr>
        <w:t xml:space="preserve">Conybeare, F. C. (1926). The Commentary of Ephrem on Acts. </w:t>
      </w:r>
      <w:r w:rsidRPr="00054028">
        <w:rPr>
          <w:noProof/>
          <w:kern w:val="0"/>
          <w:u w:val="single"/>
          <w:lang w:val="en-US"/>
        </w:rPr>
        <w:t xml:space="preserve">The Beginnings of Christianity. Part I. The Acts of the Apostles </w:t>
      </w:r>
      <w:r w:rsidRPr="00054028">
        <w:rPr>
          <w:noProof/>
          <w:kern w:val="0"/>
          <w:lang w:val="en-US"/>
        </w:rPr>
        <w:t xml:space="preserve">J. H. Ropes. </w:t>
      </w:r>
      <w:r>
        <w:rPr>
          <w:noProof/>
          <w:kern w:val="0"/>
        </w:rPr>
        <w:t xml:space="preserve">London, Macmillan and Co. </w:t>
      </w:r>
      <w:r w:rsidRPr="00F66C41">
        <w:rPr>
          <w:b/>
          <w:noProof/>
          <w:kern w:val="0"/>
        </w:rPr>
        <w:t>III</w:t>
      </w:r>
      <w:r>
        <w:rPr>
          <w:noProof/>
          <w:kern w:val="0"/>
        </w:rPr>
        <w:t>.</w:t>
      </w:r>
      <w:r w:rsidRPr="00E54926">
        <w:rPr>
          <w:kern w:val="0"/>
        </w:rPr>
        <w:fldChar w:fldCharType="end"/>
      </w:r>
      <w:r w:rsidRPr="002E72F1">
        <w:rPr>
          <w:kern w:val="0"/>
        </w:rPr>
        <w:t xml:space="preserve"> </w:t>
      </w:r>
      <w:r w:rsidRPr="00610609">
        <w:rPr>
          <w:kern w:val="0"/>
          <w:lang w:val="en-US"/>
        </w:rPr>
        <w:t>On his specific views about the beginnings of Christianity</w:t>
      </w:r>
      <w:r>
        <w:rPr>
          <w:kern w:val="0"/>
          <w:lang w:val="en-US"/>
        </w:rPr>
        <w:t xml:space="preserve"> in which he distinguishes himself from those of Irenaeus, </w:t>
      </w:r>
      <w:proofErr w:type="spellStart"/>
      <w:r>
        <w:rPr>
          <w:kern w:val="0"/>
          <w:lang w:val="en-US"/>
        </w:rPr>
        <w:t>see</w:t>
      </w:r>
      <w:r w:rsidRPr="00E54926">
        <w:rPr>
          <w:kern w:val="0"/>
          <w:lang w:val="en-GB"/>
        </w:rPr>
        <w:fldChar w:fldCharType="begin"/>
      </w:r>
      <w:r w:rsidRPr="00610609">
        <w:rPr>
          <w:kern w:val="0"/>
          <w:lang w:val="en-US"/>
        </w:rPr>
        <w:instrText xml:space="preserve"> ADDIN EN.CITE &lt;EndNote&gt;&lt;Cite&gt;&lt;Author&gt;Merk&lt;/Author&gt;&lt;Year&gt;1924&lt;/Year&gt;&lt;RecNum&gt;6460&lt;/RecNum&gt;&lt;DisplayText&gt;Merk, A. (1924). &amp;quot;Der neuentdeckte Kommentar des hl. Ephraem zur Apostelgeschichte.&amp;quot; &lt;style face="underline"&gt;Zeitschrift für katholische Theologie&lt;/style&gt; &lt;style face="bold"&gt;48&lt;/style&gt;(1): 37-58.&lt;/DisplayText&gt;&lt;record&gt;&lt;rec-number&gt;6460&lt;/rec-number&gt;&lt;foreign-keys&gt;&lt;key app="EN" db-id="watspfp2d2rp9se0avpvpv942sd5za2epre9" timestamp="1537815201"&gt;6460&lt;/key&gt;&lt;/foreign-keys&gt;&lt;ref-type name="Journal Article"&gt;17&lt;/ref-type&gt;&lt;contributors&gt;&lt;authors&gt;&lt;author&gt;August Merk&lt;/author&gt;&lt;/authors&gt;&lt;/contributors&gt;&lt;titles&gt;&lt;title&gt;Der neuentdeckte Kommentar des hl. Ephraem zur Apostelgeschichte&lt;/title&gt;&lt;secondary-title&gt;Zeitschrift für katholische Theologie&lt;/secondary-title&gt;&lt;/titles&gt;&lt;periodical&gt;&lt;full-title&gt;Zeitschrift für Katholische Theologie&lt;/full-title&gt;&lt;/periodical&gt;&lt;pages&gt;37-58&lt;/pages&gt;&lt;volume&gt;48&lt;/volume&gt;&lt;number&gt;1&lt;/number&gt;&lt;dates&gt;&lt;year&gt;1924&lt;/year&gt;&lt;/dates&gt;&lt;urls&gt;&lt;/urls&gt;&lt;/record&gt;&lt;/Cite&gt;&lt;/EndNote&gt;</w:instrText>
      </w:r>
      <w:r w:rsidRPr="00E54926">
        <w:rPr>
          <w:kern w:val="0"/>
          <w:lang w:val="en-GB"/>
        </w:rPr>
        <w:fldChar w:fldCharType="separate"/>
      </w:r>
      <w:r w:rsidRPr="00610609">
        <w:rPr>
          <w:noProof/>
          <w:kern w:val="0"/>
          <w:lang w:val="en-US"/>
        </w:rPr>
        <w:t>Merk</w:t>
      </w:r>
      <w:proofErr w:type="spellEnd"/>
      <w:r w:rsidRPr="00610609">
        <w:rPr>
          <w:noProof/>
          <w:kern w:val="0"/>
          <w:lang w:val="en-US"/>
        </w:rPr>
        <w:t xml:space="preserve">, A. (1924). </w:t>
      </w:r>
      <w:r w:rsidRPr="00F66C41">
        <w:rPr>
          <w:noProof/>
          <w:kern w:val="0"/>
        </w:rPr>
        <w:t xml:space="preserve">"Der neuentdeckte Kommentar des hl. Ephraem zur Apostelgeschichte." </w:t>
      </w:r>
      <w:r w:rsidRPr="00F66C41">
        <w:rPr>
          <w:noProof/>
          <w:kern w:val="0"/>
          <w:u w:val="single"/>
        </w:rPr>
        <w:t>Zeitschrift für katholische Theologie</w:t>
      </w:r>
      <w:r w:rsidRPr="00F66C41">
        <w:rPr>
          <w:noProof/>
          <w:kern w:val="0"/>
        </w:rPr>
        <w:t xml:space="preserve"> </w:t>
      </w:r>
      <w:r w:rsidRPr="00F66C41">
        <w:rPr>
          <w:b/>
          <w:noProof/>
          <w:kern w:val="0"/>
        </w:rPr>
        <w:t>48</w:t>
      </w:r>
      <w:r w:rsidRPr="00F66C41">
        <w:rPr>
          <w:noProof/>
          <w:kern w:val="0"/>
        </w:rPr>
        <w:t>(1): 37-58.</w:t>
      </w:r>
      <w:r w:rsidRPr="00E54926">
        <w:rPr>
          <w:kern w:val="0"/>
          <w:lang w:val="en-GB"/>
        </w:rPr>
        <w:fldChar w:fldCharType="end"/>
      </w:r>
    </w:p>
  </w:footnote>
  <w:footnote w:id="53">
    <w:p w14:paraId="3779EE95" w14:textId="3AB59E9F" w:rsidR="002A286C" w:rsidRPr="009C3DC9" w:rsidRDefault="002A286C">
      <w:pPr>
        <w:pStyle w:val="FootnoteText"/>
        <w:rPr>
          <w:lang w:val="en-GB"/>
        </w:rPr>
      </w:pPr>
      <w:r>
        <w:rPr>
          <w:rStyle w:val="FootnoteReference"/>
        </w:rPr>
        <w:footnoteRef/>
      </w:r>
      <w:r w:rsidRPr="009C3DC9">
        <w:rPr>
          <w:lang w:val="en-US"/>
        </w:rPr>
        <w:t xml:space="preserve"> </w:t>
      </w:r>
      <w:r w:rsidRPr="009C3DC9">
        <w:rPr>
          <w:kern w:val="0"/>
          <w:lang w:val="en-US"/>
        </w:rPr>
        <w:t xml:space="preserve">On the two series of homilies see </w:t>
      </w:r>
      <w:proofErr w:type="spellStart"/>
      <w:r w:rsidRPr="009C3DC9">
        <w:rPr>
          <w:kern w:val="0"/>
          <w:lang w:val="en-US"/>
        </w:rPr>
        <w:t>Ioh</w:t>
      </w:r>
      <w:proofErr w:type="spellEnd"/>
      <w:r w:rsidRPr="009C3DC9">
        <w:rPr>
          <w:kern w:val="0"/>
          <w:lang w:val="en-US"/>
        </w:rPr>
        <w:t xml:space="preserve">. </w:t>
      </w:r>
      <w:proofErr w:type="spellStart"/>
      <w:r w:rsidRPr="009C3DC9">
        <w:rPr>
          <w:kern w:val="0"/>
          <w:lang w:val="en-US"/>
        </w:rPr>
        <w:t>Chrys</w:t>
      </w:r>
      <w:proofErr w:type="spellEnd"/>
      <w:r w:rsidRPr="009C3DC9">
        <w:rPr>
          <w:kern w:val="0"/>
          <w:lang w:val="en-US"/>
        </w:rPr>
        <w:t xml:space="preserve">., </w:t>
      </w:r>
      <w:proofErr w:type="spellStart"/>
      <w:r w:rsidRPr="009C3DC9">
        <w:rPr>
          <w:i/>
          <w:kern w:val="0"/>
          <w:lang w:val="en-US"/>
        </w:rPr>
        <w:t>Hom</w:t>
      </w:r>
      <w:proofErr w:type="spellEnd"/>
      <w:r w:rsidRPr="009C3DC9">
        <w:rPr>
          <w:i/>
          <w:kern w:val="0"/>
          <w:lang w:val="en-US"/>
        </w:rPr>
        <w:t>. in Acta</w:t>
      </w:r>
      <w:r w:rsidRPr="009C3DC9">
        <w:rPr>
          <w:kern w:val="0"/>
          <w:lang w:val="en-US"/>
        </w:rPr>
        <w:t xml:space="preserve"> (PG 60, 13-384); an English translation is </w:t>
      </w:r>
      <w:r>
        <w:rPr>
          <w:kern w:val="0"/>
          <w:lang w:val="en-US"/>
        </w:rPr>
        <w:t xml:space="preserve">given by </w:t>
      </w:r>
      <w:r w:rsidRPr="00F63B79">
        <w:rPr>
          <w:kern w:val="0"/>
        </w:rPr>
        <w:fldChar w:fldCharType="begin"/>
      </w:r>
      <w:r w:rsidRPr="009C3DC9">
        <w:rPr>
          <w:kern w:val="0"/>
          <w:lang w:val="en-US"/>
        </w:rPr>
        <w:instrText xml:space="preserve"> ADDIN EN.CITE &lt;EndNote&gt;&lt;Cite&gt;&lt;Author&gt;Stevens&lt;/Author&gt;&lt;Year&gt;1999 [1889]&lt;/Year&gt;&lt;RecNum&gt;6457&lt;/RecNum&gt;&lt;DisplayText&gt;Stevens, G. B. (1999 [1889]). Chrysostom: Homilies on the Acts of the Apostles and the Epistles to the Romans. &lt;style face="underline"&gt;Nicene and Post-Nicene Fathers&lt;/style&gt;. Peabody, MA, Hendrickson Publishers&lt;style face="bold"&gt;: &lt;/style&gt;1/328.&lt;/DisplayText&gt;&lt;record&gt;&lt;rec-number&gt;6457&lt;/rec-number&gt;&lt;foreign-keys&gt;&lt;key app="EN" db-id="watspfp2d2rp9se0avpvpv942sd5za2epre9" timestamp="1537696510"&gt;6457&lt;/key&gt;&lt;/foreign-keys&gt;&lt;ref-type name="Book Section"&gt;5&lt;/ref-type&gt;&lt;contributors&gt;&lt;authors&gt;&lt;author&gt;Stevens, George B.&lt;/author&gt;&lt;/authors&gt;&lt;/contributors&gt;&lt;titles&gt;&lt;title&gt;Chrysostom: Homilies on the Acts of the Apostles and the Epistles to the Romans&lt;/title&gt;&lt;secondary-title&gt;Nicene and Post-Nicene Fathers&lt;/secondary-title&gt;&lt;/titles&gt;&lt;pages&gt;1/328&lt;/pages&gt;&lt;number&gt;11&lt;/number&gt;&lt;dates&gt;&lt;year&gt;1999 [1889]&lt;/year&gt;&lt;/dates&gt;&lt;pub-location&gt;Peabody, MA&lt;/pub-location&gt;&lt;publisher&gt;Hendrickson Publishers&lt;/publisher&gt;&lt;urls&gt;&lt;/urls&gt;&lt;/record&gt;&lt;/Cite&gt;&lt;/EndNote&gt;</w:instrText>
      </w:r>
      <w:r w:rsidRPr="00F63B79">
        <w:rPr>
          <w:kern w:val="0"/>
        </w:rPr>
        <w:fldChar w:fldCharType="separate"/>
      </w:r>
      <w:r w:rsidRPr="009C3DC9">
        <w:rPr>
          <w:noProof/>
          <w:kern w:val="0"/>
          <w:lang w:val="en-US"/>
        </w:rPr>
        <w:t xml:space="preserve">Stevens, G. B. (1999 [1889]). </w:t>
      </w:r>
      <w:r w:rsidRPr="00F66C41">
        <w:rPr>
          <w:noProof/>
          <w:kern w:val="0"/>
          <w:lang w:val="en-GB"/>
        </w:rPr>
        <w:t xml:space="preserve">Chrysostom: Homilies on the Acts of the Apostles and the Epistles to the Romans. </w:t>
      </w:r>
      <w:r w:rsidRPr="009C3DC9">
        <w:rPr>
          <w:noProof/>
          <w:kern w:val="0"/>
          <w:u w:val="single"/>
        </w:rPr>
        <w:t>Nicene and Post-Nicene Fathers</w:t>
      </w:r>
      <w:r w:rsidRPr="009C3DC9">
        <w:rPr>
          <w:noProof/>
          <w:kern w:val="0"/>
        </w:rPr>
        <w:t>. Peabody, MA, Hendrickson Publishers</w:t>
      </w:r>
      <w:r w:rsidRPr="009C3DC9">
        <w:rPr>
          <w:b/>
          <w:noProof/>
          <w:kern w:val="0"/>
        </w:rPr>
        <w:t xml:space="preserve">: </w:t>
      </w:r>
      <w:r w:rsidRPr="009C3DC9">
        <w:rPr>
          <w:noProof/>
          <w:kern w:val="0"/>
        </w:rPr>
        <w:t>1/328.</w:t>
      </w:r>
      <w:r w:rsidRPr="00F63B79">
        <w:rPr>
          <w:kern w:val="0"/>
        </w:rPr>
        <w:fldChar w:fldCharType="end"/>
      </w:r>
      <w:r w:rsidRPr="009C3DC9">
        <w:rPr>
          <w:kern w:val="0"/>
        </w:rPr>
        <w:t xml:space="preserve"> </w:t>
      </w:r>
      <w:r>
        <w:rPr>
          <w:kern w:val="0"/>
        </w:rPr>
        <w:t xml:space="preserve">The </w:t>
      </w:r>
      <w:proofErr w:type="spellStart"/>
      <w:r>
        <w:rPr>
          <w:kern w:val="0"/>
        </w:rPr>
        <w:t>introduction</w:t>
      </w:r>
      <w:proofErr w:type="spellEnd"/>
      <w:r>
        <w:rPr>
          <w:kern w:val="0"/>
        </w:rPr>
        <w:t xml:space="preserve"> </w:t>
      </w:r>
      <w:proofErr w:type="spellStart"/>
      <w:r>
        <w:rPr>
          <w:kern w:val="0"/>
        </w:rPr>
        <w:t>to</w:t>
      </w:r>
      <w:proofErr w:type="spellEnd"/>
      <w:r>
        <w:rPr>
          <w:kern w:val="0"/>
        </w:rPr>
        <w:t xml:space="preserve"> </w:t>
      </w:r>
      <w:proofErr w:type="spellStart"/>
      <w:r>
        <w:rPr>
          <w:kern w:val="0"/>
        </w:rPr>
        <w:t>his</w:t>
      </w:r>
      <w:proofErr w:type="spellEnd"/>
      <w:r>
        <w:rPr>
          <w:kern w:val="0"/>
        </w:rPr>
        <w:t xml:space="preserve"> </w:t>
      </w:r>
      <w:proofErr w:type="spellStart"/>
      <w:r>
        <w:rPr>
          <w:kern w:val="0"/>
        </w:rPr>
        <w:t>commentary</w:t>
      </w:r>
      <w:proofErr w:type="spellEnd"/>
      <w:r>
        <w:rPr>
          <w:kern w:val="0"/>
        </w:rPr>
        <w:t xml:space="preserve"> in</w:t>
      </w:r>
      <w:r w:rsidRPr="009C3DC9">
        <w:rPr>
          <w:kern w:val="0"/>
        </w:rPr>
        <w:t xml:space="preserve"> </w:t>
      </w:r>
      <w:proofErr w:type="spellStart"/>
      <w:r w:rsidRPr="009C3DC9">
        <w:rPr>
          <w:kern w:val="0"/>
        </w:rPr>
        <w:t>Ioh</w:t>
      </w:r>
      <w:proofErr w:type="spellEnd"/>
      <w:r w:rsidRPr="009C3DC9">
        <w:rPr>
          <w:kern w:val="0"/>
        </w:rPr>
        <w:t xml:space="preserve">. </w:t>
      </w:r>
      <w:proofErr w:type="spellStart"/>
      <w:r w:rsidRPr="00245C6E">
        <w:rPr>
          <w:kern w:val="0"/>
          <w:lang w:val="en-US"/>
        </w:rPr>
        <w:t>Chrys</w:t>
      </w:r>
      <w:proofErr w:type="spellEnd"/>
      <w:r w:rsidRPr="00245C6E">
        <w:rPr>
          <w:kern w:val="0"/>
          <w:lang w:val="en-US"/>
        </w:rPr>
        <w:t xml:space="preserve">., </w:t>
      </w:r>
      <w:r w:rsidRPr="00245C6E">
        <w:rPr>
          <w:i/>
          <w:kern w:val="0"/>
          <w:lang w:val="en-US"/>
        </w:rPr>
        <w:t xml:space="preserve">In principium </w:t>
      </w:r>
      <w:proofErr w:type="spellStart"/>
      <w:r w:rsidRPr="00245C6E">
        <w:rPr>
          <w:i/>
          <w:kern w:val="0"/>
          <w:lang w:val="en-US"/>
        </w:rPr>
        <w:t>actorum</w:t>
      </w:r>
      <w:proofErr w:type="spellEnd"/>
      <w:r w:rsidRPr="00245C6E">
        <w:rPr>
          <w:kern w:val="0"/>
          <w:lang w:val="en-US"/>
        </w:rPr>
        <w:t xml:space="preserve"> (PL 51, 67-112); an English translation of it is given in </w:t>
      </w:r>
      <w:r w:rsidRPr="00F63B79">
        <w:rPr>
          <w:kern w:val="0"/>
        </w:rPr>
        <w:fldChar w:fldCharType="begin"/>
      </w:r>
      <w:r w:rsidRPr="00245C6E">
        <w:rPr>
          <w:kern w:val="0"/>
          <w:lang w:val="en-US"/>
        </w:rPr>
        <w:instrText xml:space="preserve"> ADDIN EN.CITE &lt;EndNote&gt;&lt;Cite&gt;&lt;Author&gt;Compton&lt;/Author&gt;&lt;Year&gt;1996&lt;/Year&gt;&lt;RecNum&gt;6456&lt;/RecNum&gt;&lt;Pages&gt;248-312&lt;/Pages&gt;&lt;DisplayText&gt;Compton, M. B. (1996). &lt;style face="underline"&gt;Introducing the Acts of the Apostles: A Study of John Chrysostom&amp;apos;s &lt;/style&gt;&lt;style face="italic underline"&gt;On the Beginning of Acts&lt;/style&gt;&lt;style face="underline"&gt;. PhD diss.&lt;/style&gt; Charlottesville, University of Virginia.&lt;/DisplayText&gt;&lt;record&gt;&lt;rec-number&gt;6456&lt;/rec-number&gt;&lt;foreign-keys&gt;&lt;key app="EN" db-id="watspfp2d2rp9se0avpvpv942sd5za2epre9" timestamp="1537696138"&gt;6456&lt;/key&gt;&lt;/foreign-keys&gt;&lt;ref-type name="Book"&gt;6&lt;/ref-type&gt;&lt;contributors&gt;&lt;authors&gt;&lt;author&gt;Compton, Michael Bruce&lt;/author&gt;&lt;/authors&gt;&lt;/contributors&gt;&lt;titles&gt;&lt;title&gt;&lt;style face="normal" font="default" size="100%"&gt;Introducing the Acts of the Apostles: A Study of John Chrysostom&amp;apos;s &lt;/style&gt;&lt;style face="italic" font="default" size="100%"&gt;On the Beginning of Acts&lt;/style&gt;&lt;style face="normal" font="default" size="100%"&gt;. PhD diss.&lt;/style&gt;&lt;/title&gt;&lt;/titles&gt;&lt;dates&gt;&lt;year&gt;1996&lt;/year&gt;&lt;/dates&gt;&lt;pub-location&gt;Charlottesville&lt;/pub-location&gt;&lt;publisher&gt;University of Virginia&lt;/publisher&gt;&lt;urls&gt;&lt;/urls&gt;&lt;/record&gt;&lt;/Cite&gt;&lt;/EndNote&gt;</w:instrText>
      </w:r>
      <w:r w:rsidRPr="00F63B79">
        <w:rPr>
          <w:kern w:val="0"/>
        </w:rPr>
        <w:fldChar w:fldCharType="separate"/>
      </w:r>
      <w:r w:rsidRPr="00245C6E">
        <w:rPr>
          <w:noProof/>
          <w:kern w:val="0"/>
          <w:lang w:val="en-US"/>
        </w:rPr>
        <w:t xml:space="preserve">Compton, M. B. (1996). </w:t>
      </w:r>
      <w:r w:rsidRPr="00F66C41">
        <w:rPr>
          <w:noProof/>
          <w:kern w:val="0"/>
          <w:u w:val="single"/>
          <w:lang w:val="en-GB"/>
        </w:rPr>
        <w:t xml:space="preserve">Introducing the Acts of the Apostles: A Study of John Chrysostom's </w:t>
      </w:r>
      <w:r w:rsidRPr="00F66C41">
        <w:rPr>
          <w:i/>
          <w:noProof/>
          <w:kern w:val="0"/>
          <w:u w:val="single"/>
          <w:lang w:val="en-GB"/>
        </w:rPr>
        <w:t>On the Beginning of Acts</w:t>
      </w:r>
      <w:r w:rsidRPr="00F66C41">
        <w:rPr>
          <w:noProof/>
          <w:kern w:val="0"/>
          <w:u w:val="single"/>
          <w:lang w:val="en-GB"/>
        </w:rPr>
        <w:t>. PhD diss.</w:t>
      </w:r>
      <w:r w:rsidRPr="00F66C41">
        <w:rPr>
          <w:noProof/>
          <w:kern w:val="0"/>
          <w:lang w:val="en-GB"/>
        </w:rPr>
        <w:t xml:space="preserve"> Charlottesville, University of Virginia.</w:t>
      </w:r>
      <w:r w:rsidRPr="00F63B79">
        <w:rPr>
          <w:kern w:val="0"/>
        </w:rPr>
        <w:fldChar w:fldCharType="end"/>
      </w:r>
    </w:p>
  </w:footnote>
  <w:footnote w:id="54">
    <w:p w14:paraId="0676F11B" w14:textId="21972F57" w:rsidR="002A286C" w:rsidRPr="004B2FA1" w:rsidRDefault="002A286C">
      <w:pPr>
        <w:pStyle w:val="FootnoteText"/>
        <w:rPr>
          <w:lang w:val="en-GB"/>
        </w:rPr>
      </w:pPr>
      <w:r>
        <w:rPr>
          <w:rStyle w:val="FootnoteReference"/>
        </w:rPr>
        <w:footnoteRef/>
      </w:r>
      <w:r w:rsidRPr="004B2FA1">
        <w:rPr>
          <w:lang w:val="en-US"/>
        </w:rPr>
        <w:t xml:space="preserve"> See </w:t>
      </w:r>
      <w:proofErr w:type="spellStart"/>
      <w:r w:rsidRPr="00F63B79">
        <w:rPr>
          <w:kern w:val="0"/>
          <w:lang w:val="en-GB"/>
        </w:rPr>
        <w:t>Ioh</w:t>
      </w:r>
      <w:proofErr w:type="spellEnd"/>
      <w:r w:rsidRPr="00F63B79">
        <w:rPr>
          <w:kern w:val="0"/>
          <w:lang w:val="en-GB"/>
        </w:rPr>
        <w:t xml:space="preserve">. </w:t>
      </w:r>
      <w:proofErr w:type="spellStart"/>
      <w:r w:rsidRPr="00F63B79">
        <w:rPr>
          <w:kern w:val="0"/>
          <w:lang w:val="en-GB"/>
        </w:rPr>
        <w:t>Chrys</w:t>
      </w:r>
      <w:proofErr w:type="spellEnd"/>
      <w:r w:rsidRPr="00F63B79">
        <w:rPr>
          <w:kern w:val="0"/>
          <w:lang w:val="en-GB"/>
        </w:rPr>
        <w:t xml:space="preserve">., </w:t>
      </w:r>
      <w:proofErr w:type="spellStart"/>
      <w:r w:rsidRPr="004B2FA1">
        <w:rPr>
          <w:i/>
          <w:kern w:val="0"/>
          <w:lang w:val="en-GB"/>
        </w:rPr>
        <w:t>Hom</w:t>
      </w:r>
      <w:proofErr w:type="spellEnd"/>
      <w:r w:rsidRPr="004B2FA1">
        <w:rPr>
          <w:i/>
          <w:kern w:val="0"/>
          <w:lang w:val="en-GB"/>
        </w:rPr>
        <w:t>. in Luc.</w:t>
      </w:r>
      <w:r w:rsidRPr="00F63B79">
        <w:rPr>
          <w:kern w:val="0"/>
          <w:lang w:val="en-GB"/>
        </w:rPr>
        <w:t xml:space="preserve"> 1 (PG 60, 11).</w:t>
      </w:r>
    </w:p>
  </w:footnote>
  <w:footnote w:id="55">
    <w:p w14:paraId="61A92746" w14:textId="7111BF76" w:rsidR="002A286C" w:rsidRPr="009319CB" w:rsidRDefault="002A286C">
      <w:pPr>
        <w:pStyle w:val="FootnoteText"/>
      </w:pPr>
      <w:r>
        <w:rPr>
          <w:rStyle w:val="FootnoteReference"/>
        </w:rPr>
        <w:footnoteRef/>
      </w:r>
      <w:r>
        <w:t xml:space="preserve"> Ibid. </w:t>
      </w:r>
      <w:r w:rsidRPr="00E54926">
        <w:rPr>
          <w:kern w:val="0"/>
        </w:rPr>
        <w:t>(PG 60, 12).</w:t>
      </w:r>
    </w:p>
  </w:footnote>
  <w:footnote w:id="56">
    <w:p w14:paraId="7FFCCB0A" w14:textId="444FE011" w:rsidR="002A286C" w:rsidRPr="00682C6F" w:rsidRDefault="002A286C">
      <w:pPr>
        <w:pStyle w:val="FootnoteText"/>
      </w:pPr>
      <w:r>
        <w:rPr>
          <w:rStyle w:val="FootnoteReference"/>
        </w:rPr>
        <w:footnoteRef/>
      </w:r>
      <w:r w:rsidRPr="009319CB">
        <w:rPr>
          <w:lang w:val="en-US"/>
        </w:rPr>
        <w:t xml:space="preserve"> On the few commentaries and homilies see </w:t>
      </w:r>
      <w:r w:rsidRPr="00E54926">
        <w:rPr>
          <w:kern w:val="0"/>
        </w:rPr>
        <w:fldChar w:fldCharType="begin"/>
      </w:r>
      <w:r w:rsidRPr="009319CB">
        <w:rPr>
          <w:kern w:val="0"/>
          <w:lang w:val="en-US"/>
        </w:rPr>
        <w:instrText xml:space="preserve"> ADDIN EN.CITE &lt;EndNote&gt;&lt;Cite&gt;&lt;Author&gt;Schneider&lt;/Author&gt;&lt;RecNum&gt;6468&lt;/RecNum&gt;&lt;Pages&gt;164-165&lt;/Pages&gt;&lt;DisplayText&gt;Schneider, G. (1980). &lt;style face="underline"&gt;Die Apostelgeschichte. I. Teil&lt;/style&gt;. Freiburg i. Br., Herder.&lt;/DisplayText&gt;&lt;record&gt;&lt;rec-number&gt;6468&lt;/rec-number&gt;&lt;foreign-keys&gt;&lt;key app="EN" db-id="watspfp2d2rp9se0avpvpv942sd5za2epre9" timestamp="1537816696"&gt;6468&lt;/key&gt;&lt;/foreign-keys&gt;&lt;ref-type name="Book"&gt;6&lt;/ref-type&gt;&lt;contributors&gt;&lt;authors&gt;&lt;author&gt;Schneider, Gerhard&lt;/author&gt;&lt;/authors&gt;&lt;/contributors&gt;&lt;titles&gt;&lt;title&gt;Die Apostelgeschichte. I. Teil&lt;/title&gt;&lt;secondary-title&gt;Herders theologischer Kommentar zum Neuen Testament&lt;/secondary-title&gt;&lt;/titles&gt;&lt;volume&gt;1&lt;/volume&gt;&lt;number&gt;5&lt;/number&gt;&lt;dates&gt;&lt;year&gt;1980&lt;/year&gt;&lt;/dates&gt;&lt;pub-location&gt;Freiburg i. Br.&lt;/pub-location&gt;&lt;publisher&gt;Herder&lt;/publisher&gt;&lt;accession-num&gt;007488645&lt;/accession-num&gt;&lt;label&gt;1&lt;/label&gt;&lt;urls&gt;&lt;/urls&gt;&lt;language&gt;ger&lt;/language&gt;&lt;/record&gt;&lt;/Cite&gt;&lt;/EndNote&gt;</w:instrText>
      </w:r>
      <w:r w:rsidRPr="00E54926">
        <w:rPr>
          <w:kern w:val="0"/>
        </w:rPr>
        <w:fldChar w:fldCharType="separate"/>
      </w:r>
      <w:r w:rsidRPr="009319CB">
        <w:rPr>
          <w:noProof/>
          <w:kern w:val="0"/>
          <w:lang w:val="en-US"/>
        </w:rPr>
        <w:t xml:space="preserve">Schneider, G. (1980). </w:t>
      </w:r>
      <w:r w:rsidRPr="00F66C41">
        <w:rPr>
          <w:noProof/>
          <w:kern w:val="0"/>
          <w:u w:val="single"/>
        </w:rPr>
        <w:t>Die Apostelgeschichte. I. Teil</w:t>
      </w:r>
      <w:r>
        <w:rPr>
          <w:noProof/>
          <w:kern w:val="0"/>
        </w:rPr>
        <w:t>. Freiburg i. Br., Herder.</w:t>
      </w:r>
      <w:r w:rsidRPr="00E54926">
        <w:rPr>
          <w:kern w:val="0"/>
        </w:rPr>
        <w:fldChar w:fldCharType="end"/>
      </w:r>
      <w:r w:rsidRPr="009319CB">
        <w:rPr>
          <w:kern w:val="0"/>
        </w:rPr>
        <w:t xml:space="preserve"> </w:t>
      </w:r>
      <w:r>
        <w:rPr>
          <w:kern w:val="0"/>
        </w:rPr>
        <w:t xml:space="preserve">See also </w:t>
      </w:r>
      <w:r w:rsidRPr="00E54926">
        <w:rPr>
          <w:kern w:val="0"/>
        </w:rPr>
        <w:fldChar w:fldCharType="begin"/>
      </w:r>
      <w:r w:rsidRPr="009319CB">
        <w:rPr>
          <w:kern w:val="0"/>
        </w:rPr>
        <w:instrText xml:space="preserve"> ADDIN EN.CITE &lt;EndNote&gt;&lt;Cite&gt;&lt;Author&gt;Nicklas&lt;/Author&gt;&lt;Year&gt;2003&lt;/Year&gt;&lt;RecNum&gt;6476&lt;/RecNum&gt;&lt;DisplayText&gt;Nicklas, T. (2003). &lt;style face="underline"&gt;The Book of Acts as Church History. Text, Textual Traditions and Ancient Interpretations = Apostelgeschichte als Kirchengeschichte = Text, Texttraditionen und antike Auslegungen&lt;/style&gt;. Berlin [u.a.], de Gruyter.&lt;/DisplayText&gt;&lt;record&gt;&lt;rec-number&gt;6476&lt;/rec-number&gt;&lt;foreign-keys&gt;&lt;key app="EN" db-id="watspfp2d2rp9se0avpvpv942sd5za2epre9" timestamp="1537948701"&gt;6476&lt;/key&gt;&lt;/foreign-keys&gt;&lt;ref-type name="Book"&gt;6&lt;/ref-type&gt;&lt;contributors&gt;&lt;authors&gt;&lt;author&gt;Nicklas, Tobias&lt;/author&gt;&lt;/authors&gt;&lt;/contributors&gt;&lt;titles&gt;&lt;title&gt;The Book of Acts as Church History. Text, Textual Traditions and Ancient Interpretations = Apostelgeschichte als Kirchengeschichte = Text, Texttraditionen und antike Auslegungen&lt;/title&gt;&lt;secondary-title&gt;Beihefte zur Zeitschrift für die neutestamentliche Wissenschaft und die Kunde der älteren Kirche&lt;/secondary-title&gt;&lt;/titles&gt;&lt;pages&gt;IX, 454 S.&lt;/pages&gt;&lt;number&gt;120&lt;/number&gt;&lt;keywords&gt;&lt;keyword&gt;226.6095&lt;/keyword&gt;&lt;/keywords&gt;&lt;dates&gt;&lt;year&gt;2003&lt;/year&gt;&lt;/dates&gt;&lt;pub-location&gt;Berlin [u.a.]&lt;/pub-location&gt;&lt;publisher&gt;de Gruyter&lt;/publisher&gt;&lt;isbn&gt;3-11-017717-X&lt;/isbn&gt;&lt;accession-num&gt;105315389&lt;/accession-num&gt;&lt;label&gt;12&amp;#xD;200888110 bc 7260&amp;#xD;1&lt;/label&gt;&lt;urls&gt;&lt;related-urls&gt;&lt;url&gt;V:AT-OBV http://media.obvsg.at/AC03741523-1002&lt;/url&gt;&lt;/related-urls&gt;&lt;/urls&gt;&lt;language&gt;ger eng&lt;/language&gt;&lt;/record&gt;&lt;/Cite&gt;&lt;/EndNote&gt;</w:instrText>
      </w:r>
      <w:r w:rsidRPr="00E54926">
        <w:rPr>
          <w:kern w:val="0"/>
        </w:rPr>
        <w:fldChar w:fldCharType="separate"/>
      </w:r>
      <w:r w:rsidRPr="009319CB">
        <w:rPr>
          <w:noProof/>
          <w:kern w:val="0"/>
        </w:rPr>
        <w:t xml:space="preserve">Nicklas, T. (2003). </w:t>
      </w:r>
      <w:r w:rsidRPr="009319CB">
        <w:rPr>
          <w:noProof/>
          <w:kern w:val="0"/>
          <w:u w:val="single"/>
        </w:rPr>
        <w:t>The Book of Acts as Church History. Text, Textual Traditions and Ancient Interpretations = Apostelgeschichte als Kirchengeschichte = Text, Texttraditionen und antike Auslegungen</w:t>
      </w:r>
      <w:r w:rsidRPr="009319CB">
        <w:rPr>
          <w:noProof/>
          <w:kern w:val="0"/>
        </w:rPr>
        <w:t xml:space="preserve">. </w:t>
      </w:r>
      <w:r w:rsidRPr="00682C6F">
        <w:rPr>
          <w:noProof/>
          <w:kern w:val="0"/>
        </w:rPr>
        <w:t>Berlin [u.a.], de Gruyter.</w:t>
      </w:r>
      <w:r w:rsidRPr="00E54926">
        <w:rPr>
          <w:kern w:val="0"/>
        </w:rPr>
        <w:fldChar w:fldCharType="end"/>
      </w:r>
    </w:p>
  </w:footnote>
  <w:footnote w:id="57">
    <w:p w14:paraId="7231E1E7" w14:textId="5C72CBF1" w:rsidR="002A286C" w:rsidRPr="00682C6F" w:rsidRDefault="002A286C">
      <w:pPr>
        <w:pStyle w:val="FootnoteText"/>
        <w:rPr>
          <w:lang w:val="en-GB"/>
        </w:rPr>
      </w:pPr>
      <w:r>
        <w:rPr>
          <w:rStyle w:val="FootnoteReference"/>
        </w:rPr>
        <w:footnoteRef/>
      </w:r>
      <w:r w:rsidRPr="00682C6F">
        <w:rPr>
          <w:lang w:val="en-US"/>
        </w:rPr>
        <w:t xml:space="preserve"> </w:t>
      </w:r>
      <w:r w:rsidRPr="00E54926">
        <w:rPr>
          <w:kern w:val="0"/>
        </w:rPr>
        <w:fldChar w:fldCharType="begin"/>
      </w:r>
      <w:r>
        <w:rPr>
          <w:kern w:val="0"/>
          <w:lang w:val="en-US"/>
        </w:rPr>
        <w:instrText xml:space="preserve"> ADDIN EN.CITE &lt;EndNote&gt;&lt;Cite&gt;&lt;Author&gt;Gregory&lt;/Author&gt;&lt;Year&gt;2003&lt;/Year&gt;&lt;RecNum&gt;3989&lt;/RecNum&gt;&lt;Pages&gt;353&lt;/Pages&gt;&lt;DisplayText&gt;Gregory, A. F. (2003). &lt;style face="underline"&gt;The Reception of Luke and Acts in the Period before Irenaeus: Looking for Luke in the Second Century&lt;/style&gt;. Tübingen, Mohr Siebeck.&lt;/DisplayText&gt;&lt;record&gt;&lt;rec-number&gt;3989&lt;/rec-number&gt;&lt;foreign-keys&gt;&lt;key app="EN" db-id="watspfp2d2rp9se0avpvpv942sd5za2epre9" timestamp="1502697446"&gt;3989&lt;/key&gt;&lt;/foreign-keys&gt;&lt;ref-type name="Book"&gt;6&lt;/ref-type&gt;&lt;contributors&gt;&lt;authors&gt;&lt;author&gt;Gregory, Andrew F.&lt;/author&gt;&lt;/authors&gt;&lt;/contributors&gt;&lt;titles&gt;&lt;title&gt;The Reception of Luke and Acts in the Period before Irenaeus: Looking for Luke in the Second Century&lt;/title&gt;&lt;/titles&gt;&lt;dates&gt;&lt;year&gt;2003&lt;/year&gt;&lt;/dates&gt;&lt;pub-location&gt;Tübingen&lt;/pub-location&gt;&lt;publisher&gt;Mohr Siebeck&lt;/publisher&gt;&lt;isbn&gt;3161480864 (pbk.)&lt;/isbn&gt;&lt;accession-num&gt;(GEU-T)(Sirsi)o53376544&lt;/accession-num&gt;&lt;call-num&gt;British Library HMNTS YF.2004.a.19524&lt;/call-num&gt;&lt;urls&gt;&lt;/urls&gt;&lt;/record&gt;&lt;/Cite&gt;&lt;/EndNote&gt;</w:instrText>
      </w:r>
      <w:r w:rsidRPr="00E54926">
        <w:rPr>
          <w:kern w:val="0"/>
        </w:rPr>
        <w:fldChar w:fldCharType="separate"/>
      </w:r>
      <w:r w:rsidRPr="00F66C41">
        <w:rPr>
          <w:noProof/>
          <w:kern w:val="0"/>
          <w:lang w:val="en-US"/>
        </w:rPr>
        <w:t xml:space="preserve">Gregory, A. F. (2003). </w:t>
      </w:r>
      <w:r w:rsidRPr="00F66C41">
        <w:rPr>
          <w:noProof/>
          <w:kern w:val="0"/>
          <w:u w:val="single"/>
          <w:lang w:val="en-US"/>
        </w:rPr>
        <w:t>The Reception of Luke and Acts in the Period before Irenaeus: Looking for Luke in the Second Century</w:t>
      </w:r>
      <w:r w:rsidRPr="00F66C41">
        <w:rPr>
          <w:noProof/>
          <w:kern w:val="0"/>
          <w:lang w:val="en-US"/>
        </w:rPr>
        <w:t>. Tübingen, Mohr Siebeck.</w:t>
      </w:r>
      <w:r w:rsidRPr="00E54926">
        <w:rPr>
          <w:kern w:val="0"/>
        </w:rPr>
        <w:fldChar w:fldCharType="end"/>
      </w:r>
    </w:p>
  </w:footnote>
  <w:footnote w:id="58">
    <w:p w14:paraId="3EE3C6B4" w14:textId="7E499466" w:rsidR="002A286C" w:rsidRPr="00C934BE" w:rsidRDefault="002A286C">
      <w:pPr>
        <w:pStyle w:val="FootnoteText"/>
        <w:rPr>
          <w:lang w:val="en-GB"/>
        </w:rPr>
      </w:pPr>
      <w:r>
        <w:rPr>
          <w:rStyle w:val="FootnoteReference"/>
        </w:rPr>
        <w:footnoteRef/>
      </w:r>
      <w:r w:rsidRPr="00C934BE">
        <w:rPr>
          <w:lang w:val="en-US"/>
        </w:rPr>
        <w:t xml:space="preserve"> See </w:t>
      </w:r>
      <w:r w:rsidRPr="00E54926">
        <w:rPr>
          <w:kern w:val="0"/>
          <w:lang w:val="en-GB"/>
        </w:rPr>
        <w:fldChar w:fldCharType="begin"/>
      </w:r>
      <w:r>
        <w:rPr>
          <w:kern w:val="0"/>
          <w:lang w:val="en-GB"/>
        </w:rPr>
        <w:instrText xml:space="preserve"> ADDIN EN.CITE &lt;EndNote&gt;&lt;Cite&gt;&lt;Author&gt;Jenkins&lt;/Author&gt;&lt;Year&gt;1908&lt;/Year&gt;&lt;RecNum&gt;6477&lt;/RecNum&gt;&lt;DisplayText&gt;Jenkins, C. (1908). &amp;quot;Origen on I Corinthians.&amp;quot; &lt;style face="underline"&gt;The Journal of Theological Studies&lt;/style&gt; &lt;style face="bold"&gt;9&lt;/style&gt;: 231-247.&lt;/DisplayText&gt;&lt;record&gt;&lt;rec-number&gt;6477&lt;/rec-number&gt;&lt;foreign-keys&gt;&lt;key app="EN" db-id="watspfp2d2rp9se0avpvpv942sd5za2epre9" timestamp="1537949127"&gt;6477&lt;/key&gt;&lt;/foreign-keys&gt;&lt;ref-type name="Journal Article"&gt;17&lt;/ref-type&gt;&lt;contributors&gt;&lt;authors&gt;&lt;author&gt;Jenkins, Claude&lt;/author&gt;&lt;/authors&gt;&lt;/contributors&gt;&lt;titles&gt;&lt;title&gt;Origen on I Corinthians&lt;/title&gt;&lt;secondary-title&gt;The Journal of Theological Studies&lt;/secondary-title&gt;&lt;/titles&gt;&lt;periodical&gt;&lt;full-title&gt;The Journal of Theological Studies&lt;/full-title&gt;&lt;/periodical&gt;&lt;pages&gt;231-247&lt;/pages&gt;&lt;volume&gt;9&lt;/volume&gt;&lt;dates&gt;&lt;year&gt;1908&lt;/year&gt;&lt;/dates&gt;&lt;urls&gt;&lt;/urls&gt;&lt;/record&gt;&lt;/Cite&gt;&lt;/EndNote&gt;</w:instrText>
      </w:r>
      <w:r w:rsidRPr="00E54926">
        <w:rPr>
          <w:kern w:val="0"/>
          <w:lang w:val="en-GB"/>
        </w:rPr>
        <w:fldChar w:fldCharType="separate"/>
      </w:r>
      <w:r>
        <w:rPr>
          <w:noProof/>
          <w:kern w:val="0"/>
          <w:lang w:val="en-GB"/>
        </w:rPr>
        <w:t xml:space="preserve">Jenkins, C. (1908). "Origen on I Corinthians." </w:t>
      </w:r>
      <w:r w:rsidRPr="00F66C41">
        <w:rPr>
          <w:noProof/>
          <w:kern w:val="0"/>
          <w:u w:val="single"/>
          <w:lang w:val="en-GB"/>
        </w:rPr>
        <w:t>The Journal of Theological Studies</w:t>
      </w:r>
      <w:r>
        <w:rPr>
          <w:noProof/>
          <w:kern w:val="0"/>
          <w:lang w:val="en-GB"/>
        </w:rPr>
        <w:t xml:space="preserve"> </w:t>
      </w:r>
      <w:r w:rsidRPr="00F66C41">
        <w:rPr>
          <w:b/>
          <w:noProof/>
          <w:kern w:val="0"/>
          <w:lang w:val="en-GB"/>
        </w:rPr>
        <w:t>9</w:t>
      </w:r>
      <w:r>
        <w:rPr>
          <w:noProof/>
          <w:kern w:val="0"/>
          <w:lang w:val="en-GB"/>
        </w:rPr>
        <w:t>: 231-247.</w:t>
      </w:r>
      <w:r w:rsidRPr="00E54926">
        <w:rPr>
          <w:kern w:val="0"/>
          <w:lang w:val="en-GB"/>
        </w:rPr>
        <w:fldChar w:fldCharType="end"/>
      </w:r>
    </w:p>
  </w:footnote>
  <w:footnote w:id="59">
    <w:p w14:paraId="25C130BD" w14:textId="5236A554" w:rsidR="002A286C" w:rsidRPr="00BD480B" w:rsidRDefault="002A286C">
      <w:pPr>
        <w:pStyle w:val="FootnoteText"/>
        <w:rPr>
          <w:lang w:val="en-US"/>
        </w:rPr>
      </w:pPr>
      <w:r>
        <w:rPr>
          <w:rStyle w:val="FootnoteReference"/>
        </w:rPr>
        <w:footnoteRef/>
      </w:r>
      <w:r w:rsidRPr="00BD480B">
        <w:rPr>
          <w:lang w:val="en-US"/>
        </w:rPr>
        <w:t xml:space="preserve"> </w:t>
      </w:r>
      <w:r w:rsidRPr="00BD480B">
        <w:rPr>
          <w:kern w:val="0"/>
          <w:lang w:val="en-US"/>
        </w:rPr>
        <w:t xml:space="preserve">Orig., </w:t>
      </w:r>
      <w:r w:rsidRPr="00BD480B">
        <w:rPr>
          <w:i/>
          <w:kern w:val="0"/>
          <w:lang w:val="en-US"/>
        </w:rPr>
        <w:t>In I Cor. 3,9-15</w:t>
      </w:r>
      <w:r w:rsidRPr="00BD480B">
        <w:rPr>
          <w:kern w:val="0"/>
          <w:lang w:val="en-US"/>
        </w:rPr>
        <w:t xml:space="preserve"> (243-244 Jenkins).</w:t>
      </w:r>
    </w:p>
  </w:footnote>
  <w:footnote w:id="60">
    <w:p w14:paraId="4AD47F72" w14:textId="48D5DC51" w:rsidR="002A286C" w:rsidRPr="00980895" w:rsidRDefault="002A286C">
      <w:pPr>
        <w:pStyle w:val="FootnoteText"/>
        <w:rPr>
          <w:lang w:val="en-GB"/>
        </w:rPr>
      </w:pPr>
      <w:r>
        <w:rPr>
          <w:rStyle w:val="FootnoteReference"/>
        </w:rPr>
        <w:footnoteRef/>
      </w:r>
      <w:r w:rsidRPr="005114A3">
        <w:rPr>
          <w:lang w:val="en-US"/>
        </w:rPr>
        <w:t xml:space="preserve"> </w:t>
      </w:r>
      <w:r>
        <w:rPr>
          <w:lang w:val="en-GB"/>
        </w:rPr>
        <w:t>Ibid. 244.</w:t>
      </w:r>
    </w:p>
  </w:footnote>
  <w:footnote w:id="61">
    <w:p w14:paraId="7E3AE15B" w14:textId="6FDCC6CE" w:rsidR="002A286C" w:rsidRPr="00B52C48" w:rsidRDefault="002A286C">
      <w:pPr>
        <w:pStyle w:val="FootnoteText"/>
        <w:rPr>
          <w:lang w:val="en-GB"/>
        </w:rPr>
      </w:pPr>
      <w:r>
        <w:rPr>
          <w:rStyle w:val="FootnoteReference"/>
        </w:rPr>
        <w:footnoteRef/>
      </w:r>
      <w:r w:rsidRPr="005114A3">
        <w:rPr>
          <w:lang w:val="en-US"/>
        </w:rPr>
        <w:t xml:space="preserve"> </w:t>
      </w:r>
      <w:r>
        <w:rPr>
          <w:lang w:val="en-GB"/>
        </w:rPr>
        <w:t>Ibid.</w:t>
      </w:r>
    </w:p>
  </w:footnote>
  <w:footnote w:id="62">
    <w:p w14:paraId="57546B3F" w14:textId="2913980C" w:rsidR="002A286C" w:rsidRPr="00475C4D" w:rsidRDefault="002A286C">
      <w:pPr>
        <w:pStyle w:val="FootnoteText"/>
        <w:rPr>
          <w:lang w:val="en-GB"/>
        </w:rPr>
      </w:pPr>
      <w:r>
        <w:rPr>
          <w:rStyle w:val="FootnoteReference"/>
        </w:rPr>
        <w:footnoteRef/>
      </w:r>
      <w:r w:rsidRPr="005114A3">
        <w:rPr>
          <w:lang w:val="en-US"/>
        </w:rPr>
        <w:t xml:space="preserve"> </w:t>
      </w:r>
      <w:r>
        <w:rPr>
          <w:lang w:val="en-GB"/>
        </w:rPr>
        <w:t>Ibid.</w:t>
      </w:r>
    </w:p>
  </w:footnote>
  <w:footnote w:id="63">
    <w:p w14:paraId="4F27E32C" w14:textId="0CB1117D" w:rsidR="002A286C" w:rsidRPr="00D11E7D" w:rsidRDefault="002A286C">
      <w:pPr>
        <w:pStyle w:val="FootnoteText"/>
      </w:pPr>
      <w:r>
        <w:rPr>
          <w:rStyle w:val="FootnoteReference"/>
        </w:rPr>
        <w:footnoteRef/>
      </w:r>
      <w:r w:rsidRPr="005114A3">
        <w:rPr>
          <w:lang w:val="en-US"/>
        </w:rPr>
        <w:t xml:space="preserve"> </w:t>
      </w:r>
      <w:r w:rsidRPr="00E54926">
        <w:rPr>
          <w:kern w:val="0"/>
        </w:rPr>
        <w:fldChar w:fldCharType="begin"/>
      </w:r>
      <w:r w:rsidRPr="005114A3">
        <w:rPr>
          <w:kern w:val="0"/>
          <w:lang w:val="en-US"/>
        </w:rPr>
        <w:instrText xml:space="preserve"> ADDIN EN.CITE &lt;EndNote&gt;&lt;Cite&gt;&lt;Author&gt;Vogt&lt;/Author&gt;&lt;Year&gt;1974&lt;/Year&gt;&lt;RecNum&gt;6478&lt;/RecNum&gt;&lt;Pages&gt;14&lt;/Pages&gt;&lt;DisplayText&gt;Vogt, H. J. (1974). &lt;style face="underline"&gt;Das Kirchenverständnis des Origenes&lt;/style&gt;. Köln [u.a.], Böhlau.&lt;/DisplayText&gt;&lt;record&gt;&lt;rec-number&gt;6478&lt;/rec-number&gt;&lt;foreign-keys&gt;&lt;key app="EN" db-id="watspfp2d2rp9se0avpvpv942sd5za2epre9" timestamp="1537959294"&gt;6478&lt;/key&gt;&lt;/foreign-keys&gt;&lt;ref-type name="Book"&gt;6&lt;/ref-type&gt;&lt;contributors&gt;&lt;authors&gt;&lt;author&gt;Vogt, Hermann Josef&lt;/author&gt;&lt;/authors&gt;&lt;/contributors&gt;&lt;titles&gt;&lt;title&gt;Das Kirchenverständnis des Origenes&lt;/title&gt;&lt;secondary-title&gt;Bonner Beiträge zur Kirchengeschichte&lt;/secondary-title&gt;&lt;/titles&gt;&lt;pages&gt;XV, 363 S.&lt;/pages&gt;&lt;number&gt;4&lt;/number&gt;&lt;keywords&gt;&lt;keyword&gt;Origenes Kirche Ekklesiologie Geschichte 200-300&lt;/keyword&gt;&lt;keyword&gt;Origenes&lt;/keyword&gt;&lt;/keywords&gt;&lt;dates&gt;&lt;year&gt;1974&lt;/year&gt;&lt;/dates&gt;&lt;pub-location&gt;Köln [u.a.]&lt;/pub-location&gt;&lt;publisher&gt;Böhlau&lt;/publisher&gt;&lt;isbn&gt;3-412-03274-3&lt;/isbn&gt;&lt;accession-num&gt;004548175&lt;/accession-num&gt;&lt;label&gt;201869527 fh 68403&amp;#xD;200743767 bo 1520&amp;#xD;200745794 bo 2890&amp;#xD;1&lt;/label&gt;&lt;urls&gt;&lt;related-urls&gt;&lt;url&gt;V:DE-605 http://d-nb.info/750198117/04&lt;/url&gt;&lt;/related-urls&gt;&lt;/urls&gt;&lt;language&gt;ger&lt;/language&gt;&lt;/record&gt;&lt;/Cite&gt;&lt;/EndNote&gt;</w:instrText>
      </w:r>
      <w:r w:rsidRPr="00E54926">
        <w:rPr>
          <w:kern w:val="0"/>
        </w:rPr>
        <w:fldChar w:fldCharType="separate"/>
      </w:r>
      <w:r w:rsidRPr="005114A3">
        <w:rPr>
          <w:noProof/>
          <w:kern w:val="0"/>
          <w:lang w:val="en-US"/>
        </w:rPr>
        <w:t xml:space="preserve">Vogt, H. J. (1974). </w:t>
      </w:r>
      <w:r w:rsidRPr="00F66C41">
        <w:rPr>
          <w:noProof/>
          <w:kern w:val="0"/>
          <w:u w:val="single"/>
        </w:rPr>
        <w:t>Das Kirchenverständnis des Origenes</w:t>
      </w:r>
      <w:r>
        <w:rPr>
          <w:noProof/>
          <w:kern w:val="0"/>
        </w:rPr>
        <w:t>. Köln [u.a.], Böhlau.</w:t>
      </w:r>
      <w:r w:rsidRPr="00E54926">
        <w:rPr>
          <w:kern w:val="0"/>
        </w:rPr>
        <w:fldChar w:fldCharType="end"/>
      </w:r>
    </w:p>
  </w:footnote>
  <w:footnote w:id="64">
    <w:p w14:paraId="6AE1A004" w14:textId="68B89092" w:rsidR="002A286C" w:rsidRPr="00D11E7D" w:rsidRDefault="002A286C">
      <w:pPr>
        <w:pStyle w:val="FootnoteText"/>
      </w:pPr>
      <w:r>
        <w:rPr>
          <w:rStyle w:val="FootnoteReference"/>
        </w:rPr>
        <w:footnoteRef/>
      </w:r>
      <w:r>
        <w:t xml:space="preserve"> </w:t>
      </w:r>
      <w:r w:rsidRPr="00F63B79">
        <w:rPr>
          <w:kern w:val="0"/>
        </w:rPr>
        <w:t xml:space="preserve">Orig., </w:t>
      </w:r>
      <w:r w:rsidRPr="00D11E7D">
        <w:rPr>
          <w:i/>
          <w:kern w:val="0"/>
        </w:rPr>
        <w:t xml:space="preserve">In I </w:t>
      </w:r>
      <w:proofErr w:type="spellStart"/>
      <w:r w:rsidRPr="00D11E7D">
        <w:rPr>
          <w:i/>
          <w:kern w:val="0"/>
        </w:rPr>
        <w:t>Cor</w:t>
      </w:r>
      <w:proofErr w:type="spellEnd"/>
      <w:r w:rsidRPr="00D11E7D">
        <w:rPr>
          <w:i/>
          <w:kern w:val="0"/>
        </w:rPr>
        <w:t>. 3,9-15</w:t>
      </w:r>
      <w:r w:rsidRPr="00F63B79">
        <w:rPr>
          <w:kern w:val="0"/>
        </w:rPr>
        <w:t xml:space="preserve"> (244-245 Jenkins).</w:t>
      </w:r>
    </w:p>
  </w:footnote>
  <w:footnote w:id="65">
    <w:p w14:paraId="633B5AEA" w14:textId="5579AD8C" w:rsidR="002A286C" w:rsidRPr="00D11E7D" w:rsidRDefault="002A286C">
      <w:pPr>
        <w:pStyle w:val="FootnoteText"/>
      </w:pPr>
      <w:r>
        <w:rPr>
          <w:rStyle w:val="FootnoteReference"/>
        </w:rPr>
        <w:footnoteRef/>
      </w:r>
      <w:r>
        <w:t xml:space="preserve"> </w:t>
      </w:r>
      <w:r>
        <w:rPr>
          <w:kern w:val="0"/>
        </w:rPr>
        <w:t xml:space="preserve">See </w:t>
      </w:r>
      <w:r w:rsidRPr="00E54926">
        <w:rPr>
          <w:kern w:val="0"/>
        </w:rPr>
        <w:fldChar w:fldCharType="begin"/>
      </w:r>
      <w:r>
        <w:rPr>
          <w:kern w:val="0"/>
        </w:rPr>
        <w:instrText xml:space="preserve"> ADDIN EN.CITE &lt;EndNote&gt;&lt;Cite&gt;&lt;Author&gt;Vogt&lt;/Author&gt;&lt;Year&gt;1974&lt;/Year&gt;&lt;RecNum&gt;6478&lt;/RecNum&gt;&lt;Pages&gt;15&lt;/Pages&gt;&lt;DisplayText&gt;Vogt, H. J. (1974). &lt;style face="underline"&gt;Das Kirchenverständnis des Origenes&lt;/style&gt;. Köln [u.a.], Böhlau.&lt;/DisplayText&gt;&lt;record&gt;&lt;rec-number&gt;6478&lt;/rec-number&gt;&lt;foreign-keys&gt;&lt;key app="EN" db-id="watspfp2d2rp9se0avpvpv942sd5za2epre9" timestamp="1537959294"&gt;6478&lt;/key&gt;&lt;/foreign-keys&gt;&lt;ref-type name="Book"&gt;6&lt;/ref-type&gt;&lt;contributors&gt;&lt;authors&gt;&lt;author&gt;Vogt, Hermann Josef&lt;/author&gt;&lt;/authors&gt;&lt;/contributors&gt;&lt;titles&gt;&lt;title&gt;Das Kirchenverständnis des Origenes&lt;/title&gt;&lt;secondary-title&gt;Bonner Beiträge zur Kirchengeschichte&lt;/secondary-title&gt;&lt;/titles&gt;&lt;pages&gt;XV, 363 S.&lt;/pages&gt;&lt;number&gt;4&lt;/number&gt;&lt;keywords&gt;&lt;keyword&gt;Origenes Kirche Ekklesiologie Geschichte 200-300&lt;/keyword&gt;&lt;keyword&gt;Origenes&lt;/keyword&gt;&lt;/keywords&gt;&lt;dates&gt;&lt;year&gt;1974&lt;/year&gt;&lt;/dates&gt;&lt;pub-location&gt;Köln [u.a.]&lt;/pub-location&gt;&lt;publisher&gt;Böhlau&lt;/publisher&gt;&lt;isbn&gt;3-412-03274-3&lt;/isbn&gt;&lt;accession-num&gt;004548175&lt;/accession-num&gt;&lt;label&gt;201869527 fh 68403&amp;#xD;200743767 bo 1520&amp;#xD;200745794 bo 2890&amp;#xD;1&lt;/label&gt;&lt;urls&gt;&lt;related-urls&gt;&lt;url&gt;V:DE-605 http://d-nb.info/750198117/04&lt;/url&gt;&lt;/related-urls&gt;&lt;/urls&gt;&lt;language&gt;ger&lt;/language&gt;&lt;/record&gt;&lt;/Cite&gt;&lt;/EndNote&gt;</w:instrText>
      </w:r>
      <w:r w:rsidRPr="00E54926">
        <w:rPr>
          <w:kern w:val="0"/>
        </w:rPr>
        <w:fldChar w:fldCharType="separate"/>
      </w:r>
      <w:r>
        <w:rPr>
          <w:noProof/>
          <w:kern w:val="0"/>
        </w:rPr>
        <w:t xml:space="preserve">Vogt, H. J. (1974). </w:t>
      </w:r>
      <w:r w:rsidRPr="00F66C41">
        <w:rPr>
          <w:noProof/>
          <w:kern w:val="0"/>
          <w:u w:val="single"/>
        </w:rPr>
        <w:t>Das Kirchenverständnis des Origenes</w:t>
      </w:r>
      <w:r>
        <w:rPr>
          <w:noProof/>
          <w:kern w:val="0"/>
        </w:rPr>
        <w:t>. Köln [u.a.], Böhlau.</w:t>
      </w:r>
      <w:r w:rsidRPr="00E54926">
        <w:rPr>
          <w:kern w:val="0"/>
        </w:rPr>
        <w:fldChar w:fldCharType="end"/>
      </w:r>
    </w:p>
  </w:footnote>
  <w:footnote w:id="66">
    <w:p w14:paraId="477F3AC7" w14:textId="2FC3188F" w:rsidR="002A286C" w:rsidRPr="00D11E7D" w:rsidRDefault="002A286C">
      <w:pPr>
        <w:pStyle w:val="FootnoteText"/>
        <w:rPr>
          <w:lang w:val="en-GB"/>
        </w:rPr>
      </w:pPr>
      <w:r>
        <w:rPr>
          <w:rStyle w:val="FootnoteReference"/>
        </w:rPr>
        <w:footnoteRef/>
      </w:r>
      <w:r w:rsidRPr="004E50E5">
        <w:rPr>
          <w:lang w:val="en-US"/>
        </w:rPr>
        <w:t xml:space="preserve"> </w:t>
      </w:r>
      <w:r>
        <w:rPr>
          <w:lang w:val="en-GB"/>
        </w:rPr>
        <w:t>Ibid.</w:t>
      </w:r>
    </w:p>
  </w:footnote>
  <w:footnote w:id="67">
    <w:p w14:paraId="7220E46B" w14:textId="01FD9DF3" w:rsidR="002A286C" w:rsidRPr="00D11E7D" w:rsidRDefault="002A286C">
      <w:pPr>
        <w:pStyle w:val="FootnoteText"/>
        <w:rPr>
          <w:lang w:val="en-GB"/>
        </w:rPr>
      </w:pPr>
      <w:r>
        <w:rPr>
          <w:rStyle w:val="FootnoteReference"/>
        </w:rPr>
        <w:footnoteRef/>
      </w:r>
      <w:r w:rsidRPr="004E50E5">
        <w:rPr>
          <w:lang w:val="en-US"/>
        </w:rPr>
        <w:t xml:space="preserve"> </w:t>
      </w:r>
      <w:r>
        <w:rPr>
          <w:lang w:val="en-GB"/>
        </w:rPr>
        <w:t>Ibid.</w:t>
      </w:r>
    </w:p>
  </w:footnote>
  <w:footnote w:id="68">
    <w:p w14:paraId="5A2050C0" w14:textId="29FE1705" w:rsidR="002A286C" w:rsidRPr="00D11E7D" w:rsidRDefault="002A286C">
      <w:pPr>
        <w:pStyle w:val="FootnoteText"/>
        <w:rPr>
          <w:lang w:val="en-GB"/>
        </w:rPr>
      </w:pPr>
      <w:r>
        <w:rPr>
          <w:rStyle w:val="FootnoteReference"/>
        </w:rPr>
        <w:footnoteRef/>
      </w:r>
      <w:r w:rsidRPr="004E50E5">
        <w:rPr>
          <w:lang w:val="en-US"/>
        </w:rPr>
        <w:t xml:space="preserve"> </w:t>
      </w:r>
      <w:r w:rsidRPr="004E50E5">
        <w:rPr>
          <w:kern w:val="0"/>
          <w:lang w:val="en-US"/>
        </w:rPr>
        <w:t xml:space="preserve">Orig., </w:t>
      </w:r>
      <w:r w:rsidRPr="004E50E5">
        <w:rPr>
          <w:i/>
          <w:kern w:val="0"/>
          <w:lang w:val="en-US"/>
        </w:rPr>
        <w:t>In Mt. 22,2-</w:t>
      </w:r>
      <w:r w:rsidRPr="004E50E5">
        <w:rPr>
          <w:kern w:val="0"/>
          <w:lang w:val="en-US"/>
        </w:rPr>
        <w:t>4 (GCS 12, 197).</w:t>
      </w:r>
    </w:p>
  </w:footnote>
  <w:footnote w:id="69">
    <w:p w14:paraId="32AB2820" w14:textId="1769ACBC" w:rsidR="002A286C" w:rsidRPr="004E50E5" w:rsidRDefault="002A286C">
      <w:pPr>
        <w:pStyle w:val="FootnoteText"/>
        <w:rPr>
          <w:lang w:val="en-US"/>
        </w:rPr>
      </w:pPr>
      <w:r>
        <w:rPr>
          <w:rStyle w:val="FootnoteReference"/>
        </w:rPr>
        <w:footnoteRef/>
      </w:r>
      <w:r w:rsidRPr="004E50E5">
        <w:rPr>
          <w:lang w:val="en-US"/>
        </w:rPr>
        <w:t xml:space="preserve"> </w:t>
      </w:r>
      <w:r w:rsidRPr="004E50E5">
        <w:rPr>
          <w:kern w:val="0"/>
          <w:lang w:val="en-US"/>
        </w:rPr>
        <w:t>I</w:t>
      </w:r>
      <w:r>
        <w:rPr>
          <w:kern w:val="0"/>
          <w:lang w:val="en-US"/>
        </w:rPr>
        <w:t>bid.</w:t>
      </w:r>
    </w:p>
  </w:footnote>
  <w:footnote w:id="70">
    <w:p w14:paraId="1F13A57E" w14:textId="50F2959B" w:rsidR="002A286C" w:rsidRPr="004E50E5" w:rsidRDefault="002A286C">
      <w:pPr>
        <w:pStyle w:val="FootnoteText"/>
        <w:rPr>
          <w:lang w:val="en-US"/>
        </w:rPr>
      </w:pPr>
      <w:r>
        <w:rPr>
          <w:rStyle w:val="FootnoteReference"/>
        </w:rPr>
        <w:footnoteRef/>
      </w:r>
      <w:r w:rsidRPr="004E50E5">
        <w:rPr>
          <w:lang w:val="en-US"/>
        </w:rPr>
        <w:t xml:space="preserve"> See for women a</w:t>
      </w:r>
      <w:r>
        <w:rPr>
          <w:lang w:val="en-US"/>
        </w:rPr>
        <w:t xml:space="preserve">s </w:t>
      </w:r>
      <w:proofErr w:type="spellStart"/>
      <w:r w:rsidRPr="004E50E5">
        <w:rPr>
          <w:i/>
          <w:kern w:val="0"/>
          <w:lang w:val="en-US"/>
        </w:rPr>
        <w:t>feminas</w:t>
      </w:r>
      <w:proofErr w:type="spellEnd"/>
      <w:r w:rsidRPr="004E50E5">
        <w:rPr>
          <w:i/>
          <w:kern w:val="0"/>
          <w:lang w:val="en-US"/>
        </w:rPr>
        <w:t xml:space="preserve"> </w:t>
      </w:r>
      <w:proofErr w:type="spellStart"/>
      <w:r w:rsidRPr="004E50E5">
        <w:rPr>
          <w:i/>
          <w:kern w:val="0"/>
          <w:lang w:val="en-US"/>
        </w:rPr>
        <w:t>minstras</w:t>
      </w:r>
      <w:proofErr w:type="spellEnd"/>
      <w:r w:rsidRPr="004E50E5">
        <w:rPr>
          <w:i/>
          <w:kern w:val="0"/>
          <w:lang w:val="en-US"/>
        </w:rPr>
        <w:t xml:space="preserve"> in ecclesia</w:t>
      </w:r>
      <w:r w:rsidRPr="004E50E5">
        <w:rPr>
          <w:kern w:val="0"/>
          <w:lang w:val="en-US"/>
        </w:rPr>
        <w:t xml:space="preserve"> Orig., </w:t>
      </w:r>
      <w:r w:rsidRPr="004E50E5">
        <w:rPr>
          <w:i/>
          <w:kern w:val="0"/>
          <w:lang w:val="en-US"/>
        </w:rPr>
        <w:t>In Rom. 10,17</w:t>
      </w:r>
      <w:r w:rsidRPr="004E50E5">
        <w:rPr>
          <w:kern w:val="0"/>
          <w:lang w:val="en-US"/>
        </w:rPr>
        <w:t xml:space="preserve"> (PG 14, 1278B); 8,10 (PG 14, 1188</w:t>
      </w:r>
      <w:r>
        <w:rPr>
          <w:kern w:val="0"/>
          <w:lang w:val="en-US"/>
        </w:rPr>
        <w:t>-1189</w:t>
      </w:r>
      <w:r w:rsidRPr="004E50E5">
        <w:rPr>
          <w:kern w:val="0"/>
          <w:lang w:val="en-US"/>
        </w:rPr>
        <w:t>)</w:t>
      </w:r>
      <w:r>
        <w:rPr>
          <w:kern w:val="0"/>
          <w:lang w:val="en-US"/>
        </w:rPr>
        <w:t>.</w:t>
      </w:r>
    </w:p>
  </w:footnote>
  <w:footnote w:id="71">
    <w:p w14:paraId="5AA73A49" w14:textId="0A06F215" w:rsidR="002A286C" w:rsidRPr="004E50E5" w:rsidRDefault="002A286C">
      <w:pPr>
        <w:pStyle w:val="FootnoteText"/>
        <w:rPr>
          <w:lang w:val="nl-NL"/>
        </w:rPr>
      </w:pPr>
      <w:r>
        <w:rPr>
          <w:rStyle w:val="FootnoteReference"/>
        </w:rPr>
        <w:footnoteRef/>
      </w:r>
      <w:r w:rsidRPr="004E50E5">
        <w:rPr>
          <w:lang w:val="nl-NL"/>
        </w:rPr>
        <w:t xml:space="preserve"> </w:t>
      </w:r>
      <w:proofErr w:type="spellStart"/>
      <w:r w:rsidRPr="004E50E5">
        <w:rPr>
          <w:kern w:val="0"/>
          <w:lang w:val="nl-NL"/>
        </w:rPr>
        <w:t>Orig</w:t>
      </w:r>
      <w:proofErr w:type="spellEnd"/>
      <w:r w:rsidRPr="004E50E5">
        <w:rPr>
          <w:kern w:val="0"/>
          <w:lang w:val="nl-NL"/>
        </w:rPr>
        <w:t xml:space="preserve">., </w:t>
      </w:r>
      <w:r w:rsidRPr="004E50E5">
        <w:rPr>
          <w:i/>
          <w:kern w:val="0"/>
          <w:lang w:val="nl-NL"/>
        </w:rPr>
        <w:t xml:space="preserve">De </w:t>
      </w:r>
      <w:proofErr w:type="spellStart"/>
      <w:r w:rsidRPr="004E50E5">
        <w:rPr>
          <w:i/>
          <w:kern w:val="0"/>
          <w:lang w:val="nl-NL"/>
        </w:rPr>
        <w:t>princ</w:t>
      </w:r>
      <w:proofErr w:type="spellEnd"/>
      <w:r w:rsidRPr="004E50E5">
        <w:rPr>
          <w:i/>
          <w:kern w:val="0"/>
          <w:lang w:val="nl-NL"/>
        </w:rPr>
        <w:t>. IV 2,2</w:t>
      </w:r>
      <w:r w:rsidRPr="004E50E5">
        <w:rPr>
          <w:kern w:val="0"/>
          <w:lang w:val="nl-NL"/>
        </w:rPr>
        <w:t xml:space="preserve"> (GCS 5, 308, 15).</w:t>
      </w:r>
    </w:p>
  </w:footnote>
  <w:footnote w:id="72">
    <w:p w14:paraId="6C3E295F" w14:textId="46C2B884" w:rsidR="002A286C" w:rsidRPr="00133CC8" w:rsidRDefault="002A286C">
      <w:pPr>
        <w:pStyle w:val="FootnoteText"/>
        <w:rPr>
          <w:lang w:val="en-US"/>
        </w:rPr>
      </w:pPr>
      <w:r>
        <w:rPr>
          <w:rStyle w:val="FootnoteReference"/>
        </w:rPr>
        <w:footnoteRef/>
      </w:r>
      <w:r w:rsidRPr="00133CC8">
        <w:rPr>
          <w:lang w:val="en-US"/>
        </w:rPr>
        <w:t xml:space="preserve"> </w:t>
      </w:r>
      <w:r w:rsidRPr="00133CC8">
        <w:rPr>
          <w:kern w:val="0"/>
          <w:lang w:val="en-US"/>
        </w:rPr>
        <w:t xml:space="preserve">Orig., </w:t>
      </w:r>
      <w:r w:rsidRPr="00133CC8">
        <w:rPr>
          <w:i/>
          <w:kern w:val="0"/>
          <w:lang w:val="en-US"/>
        </w:rPr>
        <w:t>In Cant. 3</w:t>
      </w:r>
      <w:r w:rsidRPr="00133CC8">
        <w:rPr>
          <w:kern w:val="0"/>
          <w:lang w:val="en-US"/>
        </w:rPr>
        <w:t xml:space="preserve"> (GCS 8, 189, 6-7).</w:t>
      </w:r>
    </w:p>
  </w:footnote>
  <w:footnote w:id="73">
    <w:p w14:paraId="765477DA" w14:textId="00AC3264" w:rsidR="002A286C" w:rsidRPr="004E50E5" w:rsidRDefault="002A286C">
      <w:pPr>
        <w:pStyle w:val="FootnoteText"/>
        <w:rPr>
          <w:b/>
          <w:bCs/>
          <w:lang w:val="en-GB"/>
        </w:rPr>
      </w:pPr>
      <w:r>
        <w:rPr>
          <w:rStyle w:val="FootnoteReference"/>
        </w:rPr>
        <w:footnoteRef/>
      </w:r>
      <w:r w:rsidRPr="00133CC8">
        <w:rPr>
          <w:lang w:val="en-US"/>
        </w:rPr>
        <w:t xml:space="preserve"> </w:t>
      </w:r>
      <w:r w:rsidRPr="00133CC8">
        <w:rPr>
          <w:kern w:val="0"/>
          <w:lang w:val="en-US"/>
        </w:rPr>
        <w:t xml:space="preserve">Orig., </w:t>
      </w:r>
      <w:proofErr w:type="spellStart"/>
      <w:r w:rsidRPr="00133CC8">
        <w:rPr>
          <w:i/>
          <w:kern w:val="0"/>
          <w:lang w:val="en-US"/>
        </w:rPr>
        <w:t>Hom</w:t>
      </w:r>
      <w:proofErr w:type="spellEnd"/>
      <w:r w:rsidRPr="00133CC8">
        <w:rPr>
          <w:i/>
          <w:kern w:val="0"/>
          <w:lang w:val="en-US"/>
        </w:rPr>
        <w:t>. in Lev. 6,6</w:t>
      </w:r>
      <w:r w:rsidRPr="00133CC8">
        <w:rPr>
          <w:kern w:val="0"/>
          <w:lang w:val="en-US"/>
        </w:rPr>
        <w:t xml:space="preserve"> (GCS 6, 369, 21-23).</w:t>
      </w:r>
    </w:p>
  </w:footnote>
  <w:footnote w:id="74">
    <w:p w14:paraId="081B9725" w14:textId="0AA6820D" w:rsidR="002A286C" w:rsidRPr="00133CC8" w:rsidRDefault="002A286C">
      <w:pPr>
        <w:pStyle w:val="FootnoteText"/>
        <w:rPr>
          <w:lang w:val="en-GB"/>
        </w:rPr>
      </w:pPr>
      <w:r>
        <w:rPr>
          <w:rStyle w:val="FootnoteReference"/>
        </w:rPr>
        <w:footnoteRef/>
      </w:r>
      <w:r w:rsidRPr="00133CC8">
        <w:rPr>
          <w:lang w:val="en-US"/>
        </w:rPr>
        <w:t xml:space="preserve"> </w:t>
      </w:r>
      <w:r w:rsidRPr="00133CC8">
        <w:rPr>
          <w:kern w:val="0"/>
          <w:lang w:val="en-US"/>
        </w:rPr>
        <w:t xml:space="preserve">Orig., </w:t>
      </w:r>
      <w:proofErr w:type="spellStart"/>
      <w:r w:rsidRPr="00133CC8">
        <w:rPr>
          <w:i/>
          <w:kern w:val="0"/>
          <w:lang w:val="en-US"/>
        </w:rPr>
        <w:t>Orat</w:t>
      </w:r>
      <w:proofErr w:type="spellEnd"/>
      <w:r w:rsidRPr="00133CC8">
        <w:rPr>
          <w:kern w:val="0"/>
          <w:lang w:val="en-US"/>
        </w:rPr>
        <w:t>. 28,9 (GCS 2, 381, 2ff.).</w:t>
      </w:r>
    </w:p>
  </w:footnote>
  <w:footnote w:id="75">
    <w:p w14:paraId="05CD387C" w14:textId="5109895C" w:rsidR="002A286C" w:rsidRPr="00133CC8" w:rsidRDefault="002A286C">
      <w:pPr>
        <w:pStyle w:val="FootnoteText"/>
        <w:rPr>
          <w:lang w:val="en-GB"/>
        </w:rPr>
      </w:pPr>
      <w:r>
        <w:rPr>
          <w:rStyle w:val="FootnoteReference"/>
        </w:rPr>
        <w:footnoteRef/>
      </w:r>
      <w:r w:rsidRPr="00133CC8">
        <w:rPr>
          <w:lang w:val="en-US"/>
        </w:rPr>
        <w:t xml:space="preserve"> </w:t>
      </w:r>
      <w:r>
        <w:rPr>
          <w:lang w:val="en-GB"/>
        </w:rPr>
        <w:t xml:space="preserve">See </w:t>
      </w:r>
      <w:r w:rsidRPr="00F63B79">
        <w:rPr>
          <w:kern w:val="0"/>
        </w:rPr>
        <w:fldChar w:fldCharType="begin"/>
      </w:r>
      <w:r>
        <w:rPr>
          <w:kern w:val="0"/>
        </w:rPr>
        <w:instrText xml:space="preserve"> ADDIN EN.CITE &lt;EndNote&gt;&lt;Cite&gt;&lt;Author&gt;Vogt&lt;/Author&gt;&lt;Year&gt;1974&lt;/Year&gt;&lt;RecNum&gt;6478&lt;/RecNum&gt;&lt;Pages&gt;157&lt;/Pages&gt;&lt;DisplayText&gt;Vogt, H. J. (1974). &lt;style face="underline"&gt;Das Kirchenverständnis des Origenes&lt;/style&gt;. Köln [u.a.], Böhlau.&lt;/DisplayText&gt;&lt;record&gt;&lt;rec-number&gt;6478&lt;/rec-number&gt;&lt;foreign-keys&gt;&lt;key app="EN" db-id="watspfp2d2rp9se0avpvpv942sd5za2epre9" timestamp="1537959294"&gt;6478&lt;/key&gt;&lt;/foreign-keys&gt;&lt;ref-type name="Book"&gt;6&lt;/ref-type&gt;&lt;contributors&gt;&lt;authors&gt;&lt;author&gt;Vogt, Hermann Josef&lt;/author&gt;&lt;/authors&gt;&lt;/contributors&gt;&lt;titles&gt;&lt;title&gt;Das Kirchenverständnis des Origenes&lt;/title&gt;&lt;secondary-title&gt;Bonner Beiträge zur Kirchengeschichte&lt;/secondary-title&gt;&lt;/titles&gt;&lt;pages&gt;XV, 363 S.&lt;/pages&gt;&lt;number&gt;4&lt;/number&gt;&lt;keywords&gt;&lt;keyword&gt;Origenes Kirche Ekklesiologie Geschichte 200-300&lt;/keyword&gt;&lt;keyword&gt;Origenes&lt;/keyword&gt;&lt;/keywords&gt;&lt;dates&gt;&lt;year&gt;1974&lt;/year&gt;&lt;/dates&gt;&lt;pub-location&gt;Köln [u.a.]&lt;/pub-location&gt;&lt;publisher&gt;Böhlau&lt;/publisher&gt;&lt;isbn&gt;3-412-03274-3&lt;/isbn&gt;&lt;accession-num&gt;004548175&lt;/accession-num&gt;&lt;label&gt;201869527 fh 68403&amp;#xD;200743767 bo 1520&amp;#xD;200745794 bo 2890&amp;#xD;1&lt;/label&gt;&lt;urls&gt;&lt;related-urls&gt;&lt;url&gt;V:DE-605 http://d-nb.info/750198117/04&lt;/url&gt;&lt;/related-urls&gt;&lt;/urls&gt;&lt;language&gt;ger&lt;/language&gt;&lt;/record&gt;&lt;/Cite&gt;&lt;/EndNote&gt;</w:instrText>
      </w:r>
      <w:r w:rsidRPr="00F63B79">
        <w:rPr>
          <w:kern w:val="0"/>
        </w:rPr>
        <w:fldChar w:fldCharType="separate"/>
      </w:r>
      <w:r>
        <w:rPr>
          <w:noProof/>
          <w:kern w:val="0"/>
        </w:rPr>
        <w:t xml:space="preserve">Vogt, H. J. (1974). </w:t>
      </w:r>
      <w:r w:rsidRPr="00133CC8">
        <w:rPr>
          <w:noProof/>
          <w:kern w:val="0"/>
          <w:u w:val="single"/>
        </w:rPr>
        <w:t>Das Kirchenverständnis des Origenes</w:t>
      </w:r>
      <w:r>
        <w:rPr>
          <w:noProof/>
          <w:kern w:val="0"/>
        </w:rPr>
        <w:t>. Köln [u.a.], Böhlau.</w:t>
      </w:r>
      <w:r w:rsidRPr="00F63B79">
        <w:rPr>
          <w:kern w:val="0"/>
        </w:rPr>
        <w:fldChar w:fldCharType="end"/>
      </w:r>
    </w:p>
  </w:footnote>
  <w:footnote w:id="76">
    <w:p w14:paraId="6E9F6C52" w14:textId="412F20AB" w:rsidR="002A286C" w:rsidRPr="005D742F" w:rsidRDefault="002A286C">
      <w:pPr>
        <w:pStyle w:val="FootnoteText"/>
        <w:rPr>
          <w:lang w:val="en-GB"/>
        </w:rPr>
      </w:pPr>
      <w:r>
        <w:rPr>
          <w:rStyle w:val="FootnoteReference"/>
        </w:rPr>
        <w:footnoteRef/>
      </w:r>
      <w:r w:rsidRPr="005D742F">
        <w:rPr>
          <w:lang w:val="en-US"/>
        </w:rPr>
        <w:t xml:space="preserve"> </w:t>
      </w:r>
      <w:r>
        <w:rPr>
          <w:lang w:val="en-GB"/>
        </w:rPr>
        <w:t>Ibid.</w:t>
      </w:r>
    </w:p>
  </w:footnote>
  <w:footnote w:id="77">
    <w:p w14:paraId="459BA4F4" w14:textId="121FC9F7" w:rsidR="002A286C" w:rsidRPr="005D742F" w:rsidRDefault="002A286C">
      <w:pPr>
        <w:pStyle w:val="FootnoteText"/>
        <w:rPr>
          <w:lang w:val="en-GB"/>
        </w:rPr>
      </w:pPr>
      <w:r>
        <w:rPr>
          <w:rStyle w:val="FootnoteReference"/>
        </w:rPr>
        <w:footnoteRef/>
      </w:r>
      <w:r w:rsidRPr="005D742F">
        <w:rPr>
          <w:lang w:val="en-US"/>
        </w:rPr>
        <w:t xml:space="preserve"> </w:t>
      </w:r>
      <w:r w:rsidRPr="00F63B79">
        <w:rPr>
          <w:kern w:val="0"/>
          <w:lang w:val="en-US"/>
        </w:rPr>
        <w:t xml:space="preserve">Orig., </w:t>
      </w:r>
      <w:proofErr w:type="spellStart"/>
      <w:r w:rsidRPr="005D742F">
        <w:rPr>
          <w:i/>
          <w:kern w:val="0"/>
          <w:lang w:val="en-US"/>
        </w:rPr>
        <w:t>Hom</w:t>
      </w:r>
      <w:proofErr w:type="spellEnd"/>
      <w:r w:rsidRPr="005D742F">
        <w:rPr>
          <w:i/>
          <w:kern w:val="0"/>
          <w:lang w:val="en-US"/>
        </w:rPr>
        <w:t>. in Num.</w:t>
      </w:r>
      <w:r w:rsidRPr="00F63B79">
        <w:rPr>
          <w:kern w:val="0"/>
          <w:lang w:val="en-US"/>
        </w:rPr>
        <w:t xml:space="preserve"> 11,2 (GCS 7, 78, 22</w:t>
      </w:r>
      <w:r>
        <w:rPr>
          <w:kern w:val="0"/>
          <w:lang w:val="en-US"/>
        </w:rPr>
        <w:t>-23</w:t>
      </w:r>
      <w:r w:rsidRPr="00F63B79">
        <w:rPr>
          <w:kern w:val="0"/>
          <w:lang w:val="en-US"/>
        </w:rPr>
        <w:t>)</w:t>
      </w:r>
      <w:r>
        <w:rPr>
          <w:kern w:val="0"/>
          <w:lang w:val="en-US"/>
        </w:rPr>
        <w:t>.</w:t>
      </w:r>
    </w:p>
  </w:footnote>
  <w:footnote w:id="78">
    <w:p w14:paraId="6CE574C1" w14:textId="3AF6DAA1" w:rsidR="002A286C" w:rsidRPr="005D742F" w:rsidRDefault="002A286C">
      <w:pPr>
        <w:pStyle w:val="FootnoteText"/>
        <w:rPr>
          <w:lang w:val="en-GB"/>
        </w:rPr>
      </w:pPr>
      <w:r>
        <w:rPr>
          <w:rStyle w:val="FootnoteReference"/>
        </w:rPr>
        <w:footnoteRef/>
      </w:r>
      <w:r w:rsidRPr="005D742F">
        <w:rPr>
          <w:lang w:val="en-US"/>
        </w:rPr>
        <w:t xml:space="preserve"> See </w:t>
      </w:r>
      <w:r w:rsidRPr="00F63B79">
        <w:rPr>
          <w:kern w:val="0"/>
          <w:lang w:val="en-GB"/>
        </w:rPr>
        <w:t xml:space="preserve">Orig., </w:t>
      </w:r>
      <w:proofErr w:type="spellStart"/>
      <w:r w:rsidRPr="005D742F">
        <w:rPr>
          <w:i/>
          <w:kern w:val="0"/>
          <w:lang w:val="en-GB"/>
        </w:rPr>
        <w:t>Hom</w:t>
      </w:r>
      <w:proofErr w:type="spellEnd"/>
      <w:r w:rsidRPr="005D742F">
        <w:rPr>
          <w:i/>
          <w:kern w:val="0"/>
          <w:lang w:val="en-GB"/>
        </w:rPr>
        <w:t xml:space="preserve">. in </w:t>
      </w:r>
      <w:proofErr w:type="spellStart"/>
      <w:r w:rsidRPr="005D742F">
        <w:rPr>
          <w:i/>
          <w:kern w:val="0"/>
          <w:lang w:val="en-GB"/>
        </w:rPr>
        <w:t>Jes</w:t>
      </w:r>
      <w:proofErr w:type="spellEnd"/>
      <w:r w:rsidRPr="005D742F">
        <w:rPr>
          <w:i/>
          <w:kern w:val="0"/>
          <w:lang w:val="en-GB"/>
        </w:rPr>
        <w:t>. Nav.</w:t>
      </w:r>
      <w:r w:rsidRPr="00F63B79">
        <w:rPr>
          <w:kern w:val="0"/>
          <w:lang w:val="en-GB"/>
        </w:rPr>
        <w:t xml:space="preserve"> 17,3 (GCS 7, 405, 13</w:t>
      </w:r>
      <w:r>
        <w:rPr>
          <w:kern w:val="0"/>
          <w:lang w:val="en-GB"/>
        </w:rPr>
        <w:t>-14</w:t>
      </w:r>
      <w:r w:rsidRPr="00F63B79">
        <w:rPr>
          <w:kern w:val="0"/>
          <w:lang w:val="en-GB"/>
        </w:rPr>
        <w:t>)</w:t>
      </w:r>
      <w:r>
        <w:rPr>
          <w:kern w:val="0"/>
          <w:lang w:val="en-GB"/>
        </w:rPr>
        <w:t>.</w:t>
      </w:r>
    </w:p>
  </w:footnote>
  <w:footnote w:id="79">
    <w:p w14:paraId="61F91445" w14:textId="25EA8761" w:rsidR="002A286C" w:rsidRPr="005D742F" w:rsidRDefault="002A286C">
      <w:pPr>
        <w:pStyle w:val="FootnoteText"/>
        <w:rPr>
          <w:lang w:val="en-US"/>
        </w:rPr>
      </w:pPr>
      <w:r>
        <w:rPr>
          <w:rStyle w:val="FootnoteReference"/>
        </w:rPr>
        <w:footnoteRef/>
      </w:r>
      <w:r w:rsidRPr="005D742F">
        <w:rPr>
          <w:lang w:val="en-US"/>
        </w:rPr>
        <w:t xml:space="preserve"> Se</w:t>
      </w:r>
      <w:r>
        <w:rPr>
          <w:lang w:val="en-US"/>
        </w:rPr>
        <w:t xml:space="preserve">e </w:t>
      </w:r>
      <w:r w:rsidRPr="00F63B79">
        <w:rPr>
          <w:kern w:val="0"/>
          <w:lang w:val="en-GB"/>
        </w:rPr>
        <w:t xml:space="preserve">Orig., </w:t>
      </w:r>
      <w:proofErr w:type="spellStart"/>
      <w:r w:rsidRPr="005D742F">
        <w:rPr>
          <w:i/>
          <w:kern w:val="0"/>
          <w:lang w:val="en-GB"/>
        </w:rPr>
        <w:t>Hom</w:t>
      </w:r>
      <w:proofErr w:type="spellEnd"/>
      <w:r w:rsidRPr="005D742F">
        <w:rPr>
          <w:i/>
          <w:kern w:val="0"/>
          <w:lang w:val="en-GB"/>
        </w:rPr>
        <w:t xml:space="preserve">. in </w:t>
      </w:r>
      <w:proofErr w:type="spellStart"/>
      <w:r w:rsidRPr="005D742F">
        <w:rPr>
          <w:i/>
          <w:kern w:val="0"/>
          <w:lang w:val="en-GB"/>
        </w:rPr>
        <w:t>Ier</w:t>
      </w:r>
      <w:proofErr w:type="spellEnd"/>
      <w:r w:rsidRPr="005D742F">
        <w:rPr>
          <w:i/>
          <w:kern w:val="0"/>
          <w:lang w:val="en-GB"/>
        </w:rPr>
        <w:t>.</w:t>
      </w:r>
      <w:r w:rsidRPr="00F63B79">
        <w:rPr>
          <w:kern w:val="0"/>
          <w:lang w:val="en-GB"/>
        </w:rPr>
        <w:t xml:space="preserve"> XI,3.</w:t>
      </w:r>
    </w:p>
  </w:footnote>
  <w:footnote w:id="80">
    <w:p w14:paraId="25FD4821" w14:textId="61BD2D44" w:rsidR="002A286C" w:rsidRPr="00E72BF0" w:rsidRDefault="002A286C">
      <w:pPr>
        <w:pStyle w:val="FootnoteText"/>
        <w:rPr>
          <w:lang w:val="en-GB"/>
        </w:rPr>
      </w:pPr>
      <w:r>
        <w:rPr>
          <w:rStyle w:val="FootnoteReference"/>
        </w:rPr>
        <w:footnoteRef/>
      </w:r>
      <w:r w:rsidRPr="00E72BF0">
        <w:rPr>
          <w:lang w:val="en-GB"/>
        </w:rPr>
        <w:t xml:space="preserve"> </w:t>
      </w:r>
      <w:r w:rsidRPr="00F63B79">
        <w:rPr>
          <w:kern w:val="0"/>
          <w:lang w:val="en-GB"/>
        </w:rPr>
        <w:t xml:space="preserve">Orig., </w:t>
      </w:r>
      <w:r w:rsidRPr="00E72BF0">
        <w:rPr>
          <w:i/>
          <w:kern w:val="0"/>
          <w:lang w:val="en-GB"/>
        </w:rPr>
        <w:t>H</w:t>
      </w:r>
      <w:proofErr w:type="spellStart"/>
      <w:r w:rsidRPr="00E72BF0">
        <w:rPr>
          <w:i/>
          <w:kern w:val="0"/>
          <w:lang w:val="en-GB"/>
        </w:rPr>
        <w:t>om</w:t>
      </w:r>
      <w:proofErr w:type="spellEnd"/>
      <w:r w:rsidRPr="00E72BF0">
        <w:rPr>
          <w:i/>
          <w:kern w:val="0"/>
          <w:lang w:val="en-GB"/>
        </w:rPr>
        <w:t>. in Luc.</w:t>
      </w:r>
      <w:r w:rsidRPr="00F63B79">
        <w:rPr>
          <w:kern w:val="0"/>
          <w:lang w:val="en-GB"/>
        </w:rPr>
        <w:t xml:space="preserve"> 1 (GCS </w:t>
      </w:r>
      <w:proofErr w:type="spellStart"/>
      <w:r w:rsidRPr="00F63B79">
        <w:rPr>
          <w:kern w:val="0"/>
          <w:lang w:val="en-GB"/>
        </w:rPr>
        <w:t>Origenes</w:t>
      </w:r>
      <w:proofErr w:type="spellEnd"/>
      <w:r w:rsidRPr="00F63B79">
        <w:rPr>
          <w:kern w:val="0"/>
          <w:lang w:val="en-GB"/>
        </w:rPr>
        <w:t xml:space="preserve"> 9, 4,11-12); </w:t>
      </w:r>
      <w:r>
        <w:rPr>
          <w:kern w:val="0"/>
          <w:lang w:val="en-GB"/>
        </w:rPr>
        <w:t xml:space="preserve">see </w:t>
      </w:r>
      <w:r w:rsidRPr="00F63B79">
        <w:rPr>
          <w:kern w:val="0"/>
        </w:rPr>
        <w:fldChar w:fldCharType="begin"/>
      </w:r>
      <w:r>
        <w:rPr>
          <w:kern w:val="0"/>
          <w:lang w:val="en-GB"/>
        </w:rPr>
        <w:instrText xml:space="preserve"> ADDIN EN.CITE &lt;EndNote&gt;&lt;Cite&gt;&lt;Author&gt;Origen&lt;/Author&gt;&lt;Year&gt;1996&lt;/Year&gt;&lt;RecNum&gt;6493&lt;/RecNum&gt;&lt;Pages&gt;5&lt;/Pages&gt;&lt;DisplayText&gt;Origen and J. T. Lienhard (1996). &lt;style face="underline"&gt;Homilies on Luke ; Fragments on Luke&lt;/style&gt;. Washington, D.C., Catholic University of America Press.&lt;/DisplayText&gt;&lt;record&gt;&lt;rec-number&gt;6493&lt;/rec-number&gt;&lt;foreign-keys&gt;&lt;key app="EN" db-id="watspfp2d2rp9se0avpvpv942sd5za2epre9" timestamp="1538832307"&gt;6493&lt;/key&gt;&lt;/foreign-keys&gt;&lt;ref-type name="Book"&gt;6&lt;/ref-type&gt;&lt;contributors&gt;&lt;authors&gt;&lt;author&gt;Origen,&lt;/author&gt;&lt;author&gt;Lienhard, Joseph T.&lt;/author&gt;&lt;/authors&gt;&lt;/contributors&gt;&lt;titles&gt;&lt;title&gt;Homilies on Luke ; Fragments on Luke&lt;/title&gt;&lt;/titles&gt;&lt;dates&gt;&lt;year&gt;1996&lt;/year&gt;&lt;/dates&gt;&lt;pub-location&gt;Washington, D.C.&lt;/pub-location&gt;&lt;publisher&gt;Catholic University of America Press&lt;/publisher&gt;&lt;isbn&gt;0813200946&lt;/isbn&gt;&lt;accession-num&gt;adv0102601070&lt;/accession-num&gt;&lt;call-num&gt;British Library DSC 3897.370000 vol 94&lt;/call-num&gt;&lt;urls&gt;&lt;/urls&gt;&lt;language&gt;Translated from the Latin.&lt;/language&gt;&lt;/record&gt;&lt;/Cite&gt;&lt;/EndNote&gt;</w:instrText>
      </w:r>
      <w:r w:rsidRPr="00F63B79">
        <w:rPr>
          <w:kern w:val="0"/>
        </w:rPr>
        <w:fldChar w:fldCharType="separate"/>
      </w:r>
      <w:r w:rsidRPr="00F66C41">
        <w:rPr>
          <w:noProof/>
          <w:kern w:val="0"/>
          <w:lang w:val="en-GB"/>
        </w:rPr>
        <w:t xml:space="preserve">Origen and J. T. Lienhard (1996). </w:t>
      </w:r>
      <w:r w:rsidRPr="00F66C41">
        <w:rPr>
          <w:noProof/>
          <w:kern w:val="0"/>
          <w:u w:val="single"/>
          <w:lang w:val="en-GB"/>
        </w:rPr>
        <w:t>Homilies on Luke ; Fragments on Luke</w:t>
      </w:r>
      <w:r w:rsidRPr="00F66C41">
        <w:rPr>
          <w:noProof/>
          <w:kern w:val="0"/>
          <w:lang w:val="en-GB"/>
        </w:rPr>
        <w:t>. Washington, D.C., Catholic University of America Press.</w:t>
      </w:r>
      <w:r w:rsidRPr="00F63B79">
        <w:rPr>
          <w:kern w:val="0"/>
        </w:rPr>
        <w:fldChar w:fldCharType="end"/>
      </w:r>
    </w:p>
  </w:footnote>
  <w:footnote w:id="81">
    <w:p w14:paraId="3B9ADBAE" w14:textId="3D9A6117" w:rsidR="002A286C" w:rsidRPr="00E72BF0" w:rsidRDefault="002A286C">
      <w:pPr>
        <w:pStyle w:val="FootnoteText"/>
        <w:rPr>
          <w:lang w:val="en-GB"/>
        </w:rPr>
      </w:pPr>
      <w:r>
        <w:rPr>
          <w:rStyle w:val="FootnoteReference"/>
        </w:rPr>
        <w:footnoteRef/>
      </w:r>
      <w:r w:rsidRPr="00E72BF0">
        <w:rPr>
          <w:lang w:val="en-US"/>
        </w:rPr>
        <w:t xml:space="preserve"> </w:t>
      </w:r>
      <w:r w:rsidRPr="00F63B79">
        <w:rPr>
          <w:kern w:val="0"/>
          <w:lang w:val="en-GB"/>
        </w:rPr>
        <w:t xml:space="preserve">Orig., </w:t>
      </w:r>
      <w:proofErr w:type="spellStart"/>
      <w:r w:rsidRPr="00E72BF0">
        <w:rPr>
          <w:i/>
          <w:kern w:val="0"/>
          <w:lang w:val="en-GB"/>
        </w:rPr>
        <w:t>Hom</w:t>
      </w:r>
      <w:proofErr w:type="spellEnd"/>
      <w:r w:rsidRPr="00E72BF0">
        <w:rPr>
          <w:i/>
          <w:kern w:val="0"/>
          <w:lang w:val="en-GB"/>
        </w:rPr>
        <w:t xml:space="preserve">. in Luc. 1 </w:t>
      </w:r>
      <w:r w:rsidRPr="00F63B79">
        <w:rPr>
          <w:kern w:val="0"/>
          <w:lang w:val="en-GB"/>
        </w:rPr>
        <w:t xml:space="preserve">(GCS </w:t>
      </w:r>
      <w:proofErr w:type="spellStart"/>
      <w:r w:rsidRPr="00F63B79">
        <w:rPr>
          <w:kern w:val="0"/>
          <w:lang w:val="en-GB"/>
        </w:rPr>
        <w:t>Origenes</w:t>
      </w:r>
      <w:proofErr w:type="spellEnd"/>
      <w:r w:rsidRPr="00F63B79">
        <w:rPr>
          <w:kern w:val="0"/>
          <w:lang w:val="en-GB"/>
        </w:rPr>
        <w:t xml:space="preserve"> 9, 7, 16-8,8); </w:t>
      </w:r>
      <w:r>
        <w:rPr>
          <w:kern w:val="0"/>
          <w:lang w:val="en-GB"/>
        </w:rPr>
        <w:t xml:space="preserve">see </w:t>
      </w:r>
      <w:r w:rsidRPr="00F63B79">
        <w:rPr>
          <w:kern w:val="0"/>
        </w:rPr>
        <w:fldChar w:fldCharType="begin"/>
      </w:r>
      <w:r>
        <w:rPr>
          <w:kern w:val="0"/>
          <w:lang w:val="en-GB"/>
        </w:rPr>
        <w:instrText xml:space="preserve"> ADDIN EN.CITE &lt;EndNote&gt;&lt;Cite&gt;&lt;Author&gt;Origen&lt;/Author&gt;&lt;Year&gt;1996&lt;/Year&gt;&lt;RecNum&gt;6493&lt;/RecNum&gt;&lt;Pages&gt;6&lt;/Pages&gt;&lt;DisplayText&gt;ibid.&lt;/DisplayText&gt;&lt;record&gt;&lt;rec-number&gt;6493&lt;/rec-number&gt;&lt;foreign-keys&gt;&lt;key app="EN" db-id="watspfp2d2rp9se0avpvpv942sd5za2epre9" timestamp="1538832307"&gt;6493&lt;/key&gt;&lt;/foreign-keys&gt;&lt;ref-type name="Book"&gt;6&lt;/ref-type&gt;&lt;contributors&gt;&lt;authors&gt;&lt;author&gt;Origen,&lt;/author&gt;&lt;author&gt;Lienhard, Joseph T.&lt;/author&gt;&lt;/authors&gt;&lt;/contributors&gt;&lt;titles&gt;&lt;title&gt;Homilies on Luke ; Fragments on Luke&lt;/title&gt;&lt;/titles&gt;&lt;dates&gt;&lt;year&gt;1996&lt;/year&gt;&lt;/dates&gt;&lt;pub-location&gt;Washington, D.C.&lt;/pub-location&gt;&lt;publisher&gt;Catholic University of America Press&lt;/publisher&gt;&lt;isbn&gt;0813200946&lt;/isbn&gt;&lt;accession-num&gt;adv0102601070&lt;/accession-num&gt;&lt;call-num&gt;British Library DSC 3897.370000 vol 94&lt;/call-num&gt;&lt;urls&gt;&lt;/urls&gt;&lt;language&gt;Translated from the Latin.&lt;/language&gt;&lt;/record&gt;&lt;/Cite&gt;&lt;/EndNote&gt;</w:instrText>
      </w:r>
      <w:r w:rsidRPr="00F63B79">
        <w:rPr>
          <w:kern w:val="0"/>
        </w:rPr>
        <w:fldChar w:fldCharType="separate"/>
      </w:r>
      <w:r w:rsidRPr="00E72BF0">
        <w:rPr>
          <w:noProof/>
          <w:kern w:val="0"/>
          <w:lang w:val="en-GB"/>
        </w:rPr>
        <w:t>ibid.</w:t>
      </w:r>
      <w:r w:rsidRPr="00F63B79">
        <w:rPr>
          <w:kern w:val="0"/>
        </w:rPr>
        <w:fldChar w:fldCharType="end"/>
      </w:r>
    </w:p>
  </w:footnote>
  <w:footnote w:id="82">
    <w:p w14:paraId="252D794C" w14:textId="31E1A82B" w:rsidR="002A286C" w:rsidRPr="00E72BF0" w:rsidRDefault="002A286C">
      <w:pPr>
        <w:pStyle w:val="FootnoteText"/>
        <w:rPr>
          <w:lang w:val="en-GB"/>
        </w:rPr>
      </w:pPr>
      <w:r>
        <w:rPr>
          <w:rStyle w:val="FootnoteReference"/>
        </w:rPr>
        <w:footnoteRef/>
      </w:r>
      <w:r w:rsidRPr="00E72BF0">
        <w:rPr>
          <w:lang w:val="en-US"/>
        </w:rPr>
        <w:t xml:space="preserve"> </w:t>
      </w:r>
      <w:proofErr w:type="spellStart"/>
      <w:r w:rsidRPr="00F63B79">
        <w:rPr>
          <w:kern w:val="0"/>
          <w:lang w:val="en-GB"/>
        </w:rPr>
        <w:t>Vgl</w:t>
      </w:r>
      <w:proofErr w:type="spellEnd"/>
      <w:r w:rsidRPr="00F63B79">
        <w:rPr>
          <w:kern w:val="0"/>
          <w:lang w:val="en-GB"/>
        </w:rPr>
        <w:t xml:space="preserve">. Orig., </w:t>
      </w:r>
      <w:proofErr w:type="spellStart"/>
      <w:r w:rsidRPr="00E72BF0">
        <w:rPr>
          <w:i/>
          <w:kern w:val="0"/>
          <w:lang w:val="en-GB"/>
        </w:rPr>
        <w:t>Hom</w:t>
      </w:r>
      <w:proofErr w:type="spellEnd"/>
      <w:r w:rsidRPr="00E72BF0">
        <w:rPr>
          <w:i/>
          <w:kern w:val="0"/>
          <w:lang w:val="en-GB"/>
        </w:rPr>
        <w:t xml:space="preserve">. in Luc. 1 </w:t>
      </w:r>
      <w:r w:rsidRPr="00F63B79">
        <w:rPr>
          <w:kern w:val="0"/>
          <w:lang w:val="en-GB"/>
        </w:rPr>
        <w:t xml:space="preserve">(GCS </w:t>
      </w:r>
      <w:proofErr w:type="spellStart"/>
      <w:r w:rsidRPr="00F63B79">
        <w:rPr>
          <w:kern w:val="0"/>
          <w:lang w:val="en-GB"/>
        </w:rPr>
        <w:t>Origenes</w:t>
      </w:r>
      <w:proofErr w:type="spellEnd"/>
      <w:r w:rsidRPr="00F63B79">
        <w:rPr>
          <w:kern w:val="0"/>
          <w:lang w:val="en-GB"/>
        </w:rPr>
        <w:t xml:space="preserve"> 9, 10, 4-11,10), </w:t>
      </w:r>
      <w:r w:rsidRPr="00F63B79">
        <w:rPr>
          <w:kern w:val="0"/>
        </w:rPr>
        <w:fldChar w:fldCharType="begin"/>
      </w:r>
      <w:r>
        <w:rPr>
          <w:kern w:val="0"/>
          <w:lang w:val="en-GB"/>
        </w:rPr>
        <w:instrText xml:space="preserve"> ADDIN EN.CITE &lt;EndNote&gt;&lt;Cite&gt;&lt;Author&gt;Origen&lt;/Author&gt;&lt;Year&gt;1996&lt;/Year&gt;&lt;RecNum&gt;6493&lt;/RecNum&gt;&lt;Pages&gt;8-9&lt;/Pages&gt;&lt;DisplayText&gt;ibid.&lt;/DisplayText&gt;&lt;record&gt;&lt;rec-number&gt;6493&lt;/rec-number&gt;&lt;foreign-keys&gt;&lt;key app="EN" db-id="watspfp2d2rp9se0avpvpv942sd5za2epre9" timestamp="1538832307"&gt;6493&lt;/key&gt;&lt;/foreign-keys&gt;&lt;ref-type name="Book"&gt;6&lt;/ref-type&gt;&lt;contributors&gt;&lt;authors&gt;&lt;author&gt;Origen,&lt;/author&gt;&lt;author&gt;Lienhard, Joseph T.&lt;/author&gt;&lt;/authors&gt;&lt;/contributors&gt;&lt;titles&gt;&lt;title&gt;Homilies on Luke ; Fragments on Luke&lt;/title&gt;&lt;/titles&gt;&lt;dates&gt;&lt;year&gt;1996&lt;/year&gt;&lt;/dates&gt;&lt;pub-location&gt;Washington, D.C.&lt;/pub-location&gt;&lt;publisher&gt;Catholic University of America Press&lt;/publisher&gt;&lt;isbn&gt;0813200946&lt;/isbn&gt;&lt;accession-num&gt;adv0102601070&lt;/accession-num&gt;&lt;call-num&gt;British Library DSC 3897.370000 vol 94&lt;/call-num&gt;&lt;urls&gt;&lt;/urls&gt;&lt;language&gt;Translated from the Latin.&lt;/language&gt;&lt;/record&gt;&lt;/Cite&gt;&lt;/EndNote&gt;</w:instrText>
      </w:r>
      <w:r w:rsidRPr="00F63B79">
        <w:rPr>
          <w:kern w:val="0"/>
        </w:rPr>
        <w:fldChar w:fldCharType="separate"/>
      </w:r>
      <w:r w:rsidRPr="00E72BF0">
        <w:rPr>
          <w:noProof/>
          <w:kern w:val="0"/>
          <w:lang w:val="en-GB"/>
        </w:rPr>
        <w:t>ibid.</w:t>
      </w:r>
      <w:r w:rsidRPr="00F63B79">
        <w:rPr>
          <w:kern w:val="0"/>
        </w:rPr>
        <w:fldChar w:fldCharType="end"/>
      </w:r>
    </w:p>
  </w:footnote>
  <w:footnote w:id="83">
    <w:p w14:paraId="6ECF896C" w14:textId="0ABC36F7" w:rsidR="002A286C" w:rsidRPr="00D62571" w:rsidRDefault="002A286C">
      <w:pPr>
        <w:pStyle w:val="FootnoteText"/>
        <w:rPr>
          <w:lang w:val="en-GB"/>
        </w:rPr>
      </w:pPr>
      <w:r>
        <w:rPr>
          <w:rStyle w:val="FootnoteReference"/>
        </w:rPr>
        <w:footnoteRef/>
      </w:r>
      <w:r>
        <w:t xml:space="preserve"> </w:t>
      </w:r>
      <w:r w:rsidRPr="00D62571">
        <w:rPr>
          <w:kern w:val="0"/>
        </w:rPr>
        <w:t xml:space="preserve">Orig., </w:t>
      </w:r>
      <w:r w:rsidRPr="00D62571">
        <w:rPr>
          <w:i/>
          <w:kern w:val="0"/>
        </w:rPr>
        <w:t xml:space="preserve">C. </w:t>
      </w:r>
      <w:proofErr w:type="spellStart"/>
      <w:r w:rsidRPr="00D62571">
        <w:rPr>
          <w:i/>
          <w:kern w:val="0"/>
        </w:rPr>
        <w:t>Cels</w:t>
      </w:r>
      <w:proofErr w:type="spellEnd"/>
      <w:r w:rsidRPr="00D62571">
        <w:rPr>
          <w:i/>
          <w:kern w:val="0"/>
        </w:rPr>
        <w:t xml:space="preserve">. </w:t>
      </w:r>
      <w:r w:rsidRPr="00D62571">
        <w:rPr>
          <w:kern w:val="0"/>
        </w:rPr>
        <w:t>II 64</w:t>
      </w:r>
      <w:r>
        <w:rPr>
          <w:kern w:val="0"/>
        </w:rPr>
        <w:t xml:space="preserve">, own </w:t>
      </w:r>
      <w:proofErr w:type="spellStart"/>
      <w:r>
        <w:rPr>
          <w:kern w:val="0"/>
        </w:rPr>
        <w:t>trans</w:t>
      </w:r>
      <w:proofErr w:type="spellEnd"/>
      <w:r w:rsidRPr="00F63B79">
        <w:rPr>
          <w:kern w:val="0"/>
          <w:lang w:val="en-GB"/>
        </w:rPr>
        <w:t>.</w:t>
      </w:r>
      <w:r>
        <w:rPr>
          <w:kern w:val="0"/>
          <w:lang w:val="en-GB"/>
        </w:rPr>
        <w:t xml:space="preserve">, see also </w:t>
      </w:r>
      <w:r>
        <w:rPr>
          <w:kern w:val="0"/>
          <w:lang w:val="en-GB"/>
        </w:rPr>
        <w:fldChar w:fldCharType="begin"/>
      </w:r>
      <w:r>
        <w:rPr>
          <w:kern w:val="0"/>
          <w:lang w:val="en-GB"/>
        </w:rPr>
        <w:instrText xml:space="preserve"> ADDIN EN.CITE &lt;EndNote&gt;&lt;Cite&gt;&lt;Author&gt;Origenes&lt;/Author&gt;&lt;Year&gt;1965&lt;/Year&gt;&lt;RecNum&gt;2292&lt;/RecNum&gt;&lt;DisplayText&gt;Origenes, H. Chadwick and Origenes (1965). &lt;style face="underline"&gt;Contra Celsum&lt;/style&gt;. Cambridge, Univ. Pr.&lt;/DisplayText&gt;&lt;record&gt;&lt;rec-number&gt;2292&lt;/rec-number&gt;&lt;foreign-keys&gt;&lt;key app="EN" db-id="watspfp2d2rp9se0avpvpv942sd5za2epre9" timestamp="1616685622"&gt;2292&lt;/key&gt;&lt;/foreign-keys&gt;&lt;ref-type name="Book"&gt;6&lt;/ref-type&gt;&lt;contributors&gt;&lt;authors&gt;&lt;author&gt;Origenes,&lt;/author&gt;&lt;author&gt;Chadwick, Henry&lt;/author&gt;&lt;author&gt;Origenes,&lt;/author&gt;&lt;/authors&gt;&lt;/contributors&gt;&lt;titles&gt;&lt;title&gt;Contra Celsum&lt;/title&gt;&lt;/titles&gt;&lt;pages&gt;XL, 530 S.&lt;/pages&gt;&lt;edition&gt;Repr. with corr.&lt;/edition&gt;&lt;dates&gt;&lt;year&gt;1965&lt;/year&gt;&lt;/dates&gt;&lt;pub-location&gt;Cambridge&lt;/pub-location&gt;&lt;publisher&gt;Univ. Pr.&lt;/publisher&gt;&lt;urls&gt;&lt;/urls&gt;&lt;/record&gt;&lt;/Cite&gt;&lt;/EndNote&gt;</w:instrText>
      </w:r>
      <w:r>
        <w:rPr>
          <w:kern w:val="0"/>
          <w:lang w:val="en-GB"/>
        </w:rPr>
        <w:fldChar w:fldCharType="separate"/>
      </w:r>
      <w:r>
        <w:rPr>
          <w:noProof/>
          <w:kern w:val="0"/>
          <w:lang w:val="en-GB"/>
        </w:rPr>
        <w:t xml:space="preserve">Origenes, H. Chadwick and Origenes (1965). </w:t>
      </w:r>
      <w:r w:rsidRPr="00D62571">
        <w:rPr>
          <w:noProof/>
          <w:kern w:val="0"/>
          <w:u w:val="single"/>
          <w:lang w:val="en-GB"/>
        </w:rPr>
        <w:t>Contra Celsum</w:t>
      </w:r>
      <w:r>
        <w:rPr>
          <w:noProof/>
          <w:kern w:val="0"/>
          <w:lang w:val="en-GB"/>
        </w:rPr>
        <w:t>. Cambridge, Univ. Pr.</w:t>
      </w:r>
      <w:r>
        <w:rPr>
          <w:kern w:val="0"/>
          <w:lang w:val="en-GB"/>
        </w:rPr>
        <w:fldChar w:fldCharType="end"/>
      </w:r>
    </w:p>
  </w:footnote>
  <w:footnote w:id="84">
    <w:p w14:paraId="008C152A" w14:textId="170661B4" w:rsidR="002A286C" w:rsidRPr="00D62571" w:rsidRDefault="002A286C">
      <w:pPr>
        <w:pStyle w:val="FootnoteText"/>
      </w:pPr>
      <w:r>
        <w:rPr>
          <w:rStyle w:val="FootnoteReference"/>
        </w:rPr>
        <w:footnoteRef/>
      </w:r>
      <w:r>
        <w:t xml:space="preserve"> </w:t>
      </w:r>
      <w:r w:rsidRPr="00405643">
        <w:rPr>
          <w:kern w:val="0"/>
        </w:rPr>
        <w:t xml:space="preserve">Vgl. Orig., </w:t>
      </w:r>
      <w:r w:rsidRPr="00D62571">
        <w:rPr>
          <w:i/>
          <w:kern w:val="0"/>
        </w:rPr>
        <w:t xml:space="preserve">C. </w:t>
      </w:r>
      <w:proofErr w:type="spellStart"/>
      <w:r w:rsidRPr="00D62571">
        <w:rPr>
          <w:i/>
          <w:kern w:val="0"/>
        </w:rPr>
        <w:t>Cels</w:t>
      </w:r>
      <w:proofErr w:type="spellEnd"/>
      <w:r w:rsidRPr="00D62571">
        <w:rPr>
          <w:i/>
          <w:kern w:val="0"/>
        </w:rPr>
        <w:t>.</w:t>
      </w:r>
      <w:r w:rsidRPr="00405643">
        <w:rPr>
          <w:kern w:val="0"/>
        </w:rPr>
        <w:t xml:space="preserve"> </w:t>
      </w:r>
      <w:r w:rsidRPr="00D62571">
        <w:rPr>
          <w:kern w:val="0"/>
          <w:lang w:val="en-US"/>
        </w:rPr>
        <w:t xml:space="preserve">II 69; see </w:t>
      </w:r>
      <w:r w:rsidRPr="00F63B79">
        <w:rPr>
          <w:kern w:val="0"/>
          <w:lang w:val="en-GB"/>
        </w:rPr>
        <w:fldChar w:fldCharType="begin"/>
      </w:r>
      <w:r w:rsidRPr="00D62571">
        <w:rPr>
          <w:kern w:val="0"/>
          <w:lang w:val="en-US"/>
        </w:rPr>
        <w:instrText xml:space="preserve"> ADDIN EN.CITE &lt;EndNote&gt;&lt;Cite&gt;&lt;Author&gt;Hauser&lt;/Author&gt;&lt;Year&gt;1992&lt;/Year&gt;&lt;RecNum&gt;6494&lt;/RecNum&gt;&lt;Pages&gt;469-470&lt;/Pages&gt;&lt;DisplayText&gt;Hauser, D. C. (1992). Origen and the Historicity of the Church. &lt;style face="underline"&gt;Origeniana Quinta&lt;/style&gt;. R. J. Daly. Leuven, Leuven University Press&lt;style face="bold"&gt;: &lt;/style&gt;467–473.&lt;/DisplayText&gt;&lt;record&gt;&lt;rec-number&gt;6494&lt;/rec-number&gt;&lt;foreign-keys&gt;&lt;key app="EN" db-id="watspfp2d2rp9se0avpvpv942sd5za2epre9" timestamp="1538836043"&gt;6494&lt;/key&gt;&lt;/foreign-keys&gt;&lt;ref-type name="Book Section"&gt;5&lt;/ref-type&gt;&lt;contributors&gt;&lt;authors&gt;&lt;author&gt;Hauser, Daniel C.&lt;/author&gt;&lt;/authors&gt;&lt;secondary-authors&gt;&lt;author&gt;Daly, Robert J.&lt;/author&gt;&lt;/secondary-authors&gt;&lt;/contributors&gt;&lt;titles&gt;&lt;title&gt;Origen and the Historicity of the Church&lt;/title&gt;&lt;secondary-title&gt;Origeniana Quinta&lt;/secondary-title&gt;&lt;tertiary-title&gt;Bibliotheca Ephemeridum Theologicarum Lovaniensium&lt;/tertiary-title&gt;&lt;/titles&gt;&lt;pages&gt;467–473&lt;/pages&gt;&lt;number&gt;105&lt;/number&gt;&lt;dates&gt;&lt;year&gt;1992&lt;/year&gt;&lt;/dates&gt;&lt;pub-location&gt;Leuven&lt;/pub-location&gt;&lt;publisher&gt;Leuven University Press&lt;/publisher&gt;&lt;urls&gt;&lt;/urls&gt;&lt;/record&gt;&lt;/Cite&gt;&lt;/EndNote&gt;</w:instrText>
      </w:r>
      <w:r w:rsidRPr="00F63B79">
        <w:rPr>
          <w:kern w:val="0"/>
          <w:lang w:val="en-GB"/>
        </w:rPr>
        <w:fldChar w:fldCharType="separate"/>
      </w:r>
      <w:r w:rsidRPr="00D62571">
        <w:rPr>
          <w:noProof/>
          <w:kern w:val="0"/>
          <w:lang w:val="en-US"/>
        </w:rPr>
        <w:t xml:space="preserve">Hauser, D. C. (1992). </w:t>
      </w:r>
      <w:r>
        <w:rPr>
          <w:noProof/>
          <w:kern w:val="0"/>
          <w:lang w:val="en-GB"/>
        </w:rPr>
        <w:t xml:space="preserve">Origen and the Historicity of the Church. </w:t>
      </w:r>
      <w:r w:rsidRPr="00F66C41">
        <w:rPr>
          <w:noProof/>
          <w:kern w:val="0"/>
          <w:u w:val="single"/>
          <w:lang w:val="en-GB"/>
        </w:rPr>
        <w:t>Origeniana Quinta</w:t>
      </w:r>
      <w:r>
        <w:rPr>
          <w:noProof/>
          <w:kern w:val="0"/>
          <w:lang w:val="en-GB"/>
        </w:rPr>
        <w:t xml:space="preserve">. R. J. Daly. </w:t>
      </w:r>
      <w:r w:rsidRPr="00D62571">
        <w:rPr>
          <w:noProof/>
          <w:kern w:val="0"/>
        </w:rPr>
        <w:t>Leuven, Leuven University Press</w:t>
      </w:r>
      <w:r w:rsidRPr="00D62571">
        <w:rPr>
          <w:b/>
          <w:noProof/>
          <w:kern w:val="0"/>
        </w:rPr>
        <w:t xml:space="preserve">: </w:t>
      </w:r>
      <w:r w:rsidRPr="00D62571">
        <w:rPr>
          <w:noProof/>
          <w:kern w:val="0"/>
        </w:rPr>
        <w:t>467–473.</w:t>
      </w:r>
      <w:r w:rsidRPr="00F63B79">
        <w:rPr>
          <w:kern w:val="0"/>
          <w:lang w:val="en-GB"/>
        </w:rPr>
        <w:fldChar w:fldCharType="end"/>
      </w:r>
    </w:p>
  </w:footnote>
  <w:footnote w:id="85">
    <w:p w14:paraId="5EE776B1" w14:textId="77608AEB" w:rsidR="002A286C" w:rsidRPr="00D62571" w:rsidRDefault="002A286C">
      <w:pPr>
        <w:pStyle w:val="FootnoteText"/>
        <w:rPr>
          <w:lang w:val="en-GB"/>
        </w:rPr>
      </w:pPr>
      <w:r>
        <w:rPr>
          <w:rStyle w:val="FootnoteReference"/>
        </w:rPr>
        <w:footnoteRef/>
      </w:r>
      <w:r>
        <w:t xml:space="preserve"> </w:t>
      </w:r>
      <w:r w:rsidRPr="00F63B79">
        <w:rPr>
          <w:kern w:val="0"/>
        </w:rPr>
        <w:t xml:space="preserve">Orig., </w:t>
      </w:r>
      <w:r w:rsidRPr="00D62571">
        <w:rPr>
          <w:i/>
          <w:kern w:val="0"/>
        </w:rPr>
        <w:t>Sel. in Num.</w:t>
      </w:r>
      <w:r w:rsidRPr="00F63B79">
        <w:rPr>
          <w:kern w:val="0"/>
        </w:rPr>
        <w:t xml:space="preserve"> </w:t>
      </w:r>
      <w:r w:rsidRPr="00D62571">
        <w:rPr>
          <w:kern w:val="0"/>
          <w:lang w:val="en-US"/>
        </w:rPr>
        <w:t>(PG 12, 577); se</w:t>
      </w:r>
      <w:r>
        <w:rPr>
          <w:kern w:val="0"/>
          <w:lang w:val="en-US"/>
        </w:rPr>
        <w:t xml:space="preserve">e </w:t>
      </w:r>
      <w:r w:rsidRPr="00F63B79">
        <w:rPr>
          <w:kern w:val="0"/>
        </w:rPr>
        <w:fldChar w:fldCharType="begin"/>
      </w:r>
      <w:r w:rsidRPr="00D62571">
        <w:rPr>
          <w:kern w:val="0"/>
          <w:lang w:val="en-US"/>
        </w:rPr>
        <w:instrText xml:space="preserve"> ADDIN EN.CITE &lt;EndNote&gt;&lt;Cite&gt;&lt;Author&gt;Tzamalikos&lt;/Author&gt;&lt;Year&gt;2007&lt;/Year&gt;&lt;RecNum&gt;6499&lt;/RecNum&gt;&lt;Pages&gt;362-363&lt;/Pages&gt;&lt;DisplayText&gt;Tzamalikos, P. t. s. (2007). &lt;style face="underline"&gt;Origen. Philosophy of History &amp;amp; Eschatology&lt;/style&gt;. Leiden [u.a.], Brill.&lt;/DisplayText&gt;&lt;record&gt;&lt;rec-number&gt;6499&lt;/rec-number&gt;&lt;foreign-keys&gt;&lt;key app="EN" db-id="watspfp2d2rp9se0avpvpv942sd5za2epre9" timestamp="1538837514"&gt;6499&lt;/key&gt;&lt;/foreign-keys&gt;&lt;ref-type name="Book"&gt;6&lt;/ref-type&gt;&lt;contributors&gt;&lt;authors&gt;&lt;author&gt;Tzamalikos, Panagiōtēs&lt;/author&gt;&lt;/authors&gt;&lt;/contributors&gt;&lt;titles&gt;&lt;title&gt;Origen. Philosophy of History &amp;amp; Eschatology&lt;/title&gt;&lt;secondary-title&gt;Vigiliae christianae : Supplements to Vigiliae christianae&lt;/secondary-title&gt;&lt;/titles&gt;&lt;pages&gt;XVII, 498 S.&lt;/pages&gt;&lt;number&gt;85&lt;/number&gt;&lt;keywords&gt;&lt;keyword&gt;Origenes Geschichtsphilosophie Eschatologie Zeithintergrund&lt;/keyword&gt;&lt;keyword&gt;Origenes Geschichte Zeit Ewigkeit Geschichtsphilosophie Geistesgeschichte 30-300&lt;/keyword&gt;&lt;keyword&gt;230/.13092&lt;/keyword&gt;&lt;/keywords&gt;&lt;dates&gt;&lt;year&gt;2007&lt;/year&gt;&lt;/dates&gt;&lt;pub-location&gt;Leiden [u.a.]&lt;/pub-location&gt;&lt;publisher&gt;Brill&lt;/publisher&gt;&lt;isbn&gt;90-04-15648-8&amp;#xD;978-90-04-15648-7&lt;/isbn&gt;&lt;accession-num&gt;264977513&lt;/accession-num&gt;&lt;label&gt;201477890 bo 2891&amp;#xD;201850346 cd 6167&amp;#xD;201869527 fh 68403&amp;#xD;1&lt;/label&gt;&lt;urls&gt;&lt;related-urls&gt;&lt;url&gt;V:DE-604 http://bvbr.bib-bvb.de:8991/F?func=service&amp;amp;doc_library=BVB01&amp;amp;doc_number=015630069&amp;amp;line_number=0001&amp;amp;func_code=DB_RECORDS&amp;amp;service_type=MEDIA&lt;/url&gt;&lt;/related-urls&gt;&lt;/urls&gt;&lt;language&gt;eng&lt;/language&gt;&lt;/record&gt;&lt;/Cite&gt;&lt;/EndNote&gt;</w:instrText>
      </w:r>
      <w:r w:rsidRPr="00F63B79">
        <w:rPr>
          <w:kern w:val="0"/>
        </w:rPr>
        <w:fldChar w:fldCharType="separate"/>
      </w:r>
      <w:r w:rsidRPr="00D62571">
        <w:rPr>
          <w:noProof/>
          <w:kern w:val="0"/>
          <w:lang w:val="en-US"/>
        </w:rPr>
        <w:t xml:space="preserve">Tzamalikos, P. t. s. (2007). </w:t>
      </w:r>
      <w:r w:rsidRPr="00D62571">
        <w:rPr>
          <w:noProof/>
          <w:kern w:val="0"/>
          <w:u w:val="single"/>
          <w:lang w:val="en-US"/>
        </w:rPr>
        <w:t>Origen. Philosophy of History &amp; Eschatology</w:t>
      </w:r>
      <w:r w:rsidRPr="00D62571">
        <w:rPr>
          <w:noProof/>
          <w:kern w:val="0"/>
          <w:lang w:val="en-US"/>
        </w:rPr>
        <w:t>. Leiden [u.a.], Brill.</w:t>
      </w:r>
      <w:r w:rsidRPr="00F63B79">
        <w:rPr>
          <w:kern w:val="0"/>
        </w:rPr>
        <w:fldChar w:fldCharType="end"/>
      </w:r>
    </w:p>
  </w:footnote>
  <w:footnote w:id="86">
    <w:p w14:paraId="479B8005" w14:textId="5CBD1C2C" w:rsidR="002A286C" w:rsidRPr="00D62571" w:rsidRDefault="002A286C">
      <w:pPr>
        <w:pStyle w:val="FootnoteText"/>
        <w:rPr>
          <w:lang w:val="en-GB"/>
        </w:rPr>
      </w:pPr>
      <w:r>
        <w:rPr>
          <w:rStyle w:val="FootnoteReference"/>
        </w:rPr>
        <w:footnoteRef/>
      </w:r>
      <w:r>
        <w:t xml:space="preserve"> </w:t>
      </w:r>
      <w:r w:rsidRPr="00F63B79">
        <w:rPr>
          <w:kern w:val="0"/>
        </w:rPr>
        <w:t xml:space="preserve">Orig., </w:t>
      </w:r>
      <w:r w:rsidRPr="00D62571">
        <w:rPr>
          <w:i/>
          <w:kern w:val="0"/>
        </w:rPr>
        <w:t xml:space="preserve">In </w:t>
      </w:r>
      <w:proofErr w:type="spellStart"/>
      <w:r w:rsidRPr="00D62571">
        <w:rPr>
          <w:i/>
          <w:kern w:val="0"/>
        </w:rPr>
        <w:t>Ioh</w:t>
      </w:r>
      <w:proofErr w:type="spellEnd"/>
      <w:r w:rsidRPr="00D62571">
        <w:rPr>
          <w:i/>
          <w:kern w:val="0"/>
        </w:rPr>
        <w:t>.</w:t>
      </w:r>
      <w:r w:rsidRPr="00F63B79">
        <w:rPr>
          <w:kern w:val="0"/>
        </w:rPr>
        <w:t xml:space="preserve"> 6, 60.</w:t>
      </w:r>
    </w:p>
  </w:footnote>
  <w:footnote w:id="87">
    <w:p w14:paraId="768D2582" w14:textId="2AF161D0" w:rsidR="002A286C" w:rsidRPr="002A286C" w:rsidRDefault="002A286C">
      <w:pPr>
        <w:pStyle w:val="FootnoteText"/>
        <w:rPr>
          <w:lang w:val="en-GB"/>
        </w:rPr>
      </w:pPr>
      <w:r>
        <w:rPr>
          <w:rStyle w:val="FootnoteReference"/>
        </w:rPr>
        <w:footnoteRef/>
      </w:r>
      <w:r>
        <w:t xml:space="preserve"> </w:t>
      </w:r>
      <w:r>
        <w:fldChar w:fldCharType="begin"/>
      </w:r>
      <w:r>
        <w:instrText xml:space="preserve"> ADDIN EN.CITE &lt;EndNote&gt;&lt;Cite&gt;&lt;Author&gt;Maraval&lt;/Author&gt;&lt;Year&gt;2002&lt;/Year&gt;&lt;RecNum&gt;2295&lt;/RecNum&gt;&lt;Pages&gt;63&lt;/Pages&gt;&lt;DisplayText&gt;Maraval, P. (2002). &amp;quot;The Earliest Phase of Christian Pilgrimage in the Near East (before the 7th Century).&amp;quot; &lt;style face="underline"&gt;Dumbarton Oaks Papers&lt;/style&gt; &lt;style face="bold"&gt;56&lt;/style&gt;: 63–74.&lt;/DisplayText&gt;&lt;record&gt;&lt;rec-number&gt;2295&lt;/rec-number&gt;&lt;foreign-keys&gt;&lt;key app="EN" db-id="watspfp2d2rp9se0avpvpv942sd5za2epre9" timestamp="1616778022"&gt;2295&lt;/key&gt;&lt;/foreign-keys&gt;&lt;ref-type name="Journal Article"&gt;17&lt;/ref-type&gt;&lt;contributors&gt;&lt;authors&gt;&lt;author&gt;Maraval, Pierre&lt;/author&gt;&lt;/authors&gt;&lt;/contributors&gt;&lt;titles&gt;&lt;title&gt;The Earliest Phase of Christian Pilgrimage in the Near East (before the 7th Century)&lt;/title&gt;&lt;secondary-title&gt;Dumbarton Oaks Papers&lt;/secondary-title&gt;&lt;/titles&gt;&lt;periodical&gt;&lt;full-title&gt;Dumbarton Oaks Papers&lt;/full-title&gt;&lt;/periodical&gt;&lt;pages&gt;63–74&lt;/pages&gt;&lt;volume&gt;56&lt;/volume&gt;&lt;dates&gt;&lt;year&gt;2002&lt;/year&gt;&lt;/dates&gt;&lt;urls&gt;&lt;/urls&gt;&lt;/record&gt;&lt;/Cite&gt;&lt;/EndNote&gt;</w:instrText>
      </w:r>
      <w:r>
        <w:fldChar w:fldCharType="separate"/>
      </w:r>
      <w:r>
        <w:rPr>
          <w:noProof/>
        </w:rPr>
        <w:t xml:space="preserve">Maraval, P. (2002). "The Earliest Phase of Christian Pilgrimage in the Near East (before the 7th Century)." </w:t>
      </w:r>
      <w:r w:rsidRPr="002A286C">
        <w:rPr>
          <w:noProof/>
          <w:u w:val="single"/>
        </w:rPr>
        <w:t>Dumbarton Oaks Papers</w:t>
      </w:r>
      <w:r>
        <w:rPr>
          <w:noProof/>
        </w:rPr>
        <w:t xml:space="preserve"> </w:t>
      </w:r>
      <w:r w:rsidRPr="002A286C">
        <w:rPr>
          <w:b/>
          <w:noProof/>
        </w:rPr>
        <w:t>56</w:t>
      </w:r>
      <w:r>
        <w:rPr>
          <w:noProof/>
        </w:rPr>
        <w:t>: 63–74.</w:t>
      </w:r>
      <w:r>
        <w:fldChar w:fldCharType="end"/>
      </w:r>
    </w:p>
  </w:footnote>
  <w:footnote w:id="88">
    <w:p w14:paraId="46759E7E" w14:textId="77777777" w:rsidR="002A286C" w:rsidRDefault="002A286C" w:rsidP="002A286C">
      <w:pPr>
        <w:pStyle w:val="FootnoteText"/>
        <w:rPr>
          <w:noProof/>
          <w:kern w:val="0"/>
        </w:rPr>
      </w:pPr>
      <w:r>
        <w:rPr>
          <w:rStyle w:val="FootnoteReference"/>
        </w:rPr>
        <w:footnoteRef/>
      </w:r>
      <w:r>
        <w:t xml:space="preserve"> </w:t>
      </w:r>
      <w:r w:rsidRPr="00F63B79">
        <w:rPr>
          <w:kern w:val="0"/>
        </w:rPr>
        <w:t xml:space="preserve">So Orig., In Gen. </w:t>
      </w:r>
      <w:proofErr w:type="spellStart"/>
      <w:r w:rsidRPr="00F63B79">
        <w:rPr>
          <w:kern w:val="0"/>
        </w:rPr>
        <w:t>Frg</w:t>
      </w:r>
      <w:proofErr w:type="spellEnd"/>
      <w:r w:rsidRPr="00F63B79">
        <w:rPr>
          <w:kern w:val="0"/>
        </w:rPr>
        <w:t xml:space="preserve">. zu Gen. 1,1-5 </w:t>
      </w:r>
      <w:r w:rsidRPr="00F63B79">
        <w:rPr>
          <w:kern w:val="0"/>
        </w:rPr>
        <w:fldChar w:fldCharType="begin"/>
      </w:r>
      <w:r>
        <w:rPr>
          <w:kern w:val="0"/>
        </w:rPr>
        <w:instrText xml:space="preserve"> ADDIN EN.CITE &lt;EndNote&gt;&lt;Cite&gt;&lt;Author&gt;Origenes&lt;/Author&gt;&lt;Year&gt;2010&lt;/Year&gt;&lt;RecNum&gt;6503&lt;/RecNum&gt;&lt;Pages&gt;60-61&lt;/Pages&gt;&lt;DisplayText&gt;Origenes and K. Metzler (2010). &lt;style face="underline"&gt;Werke mit deutscher Übersetzung Bd. 1,1. Die Kommentierung des Buches Genesis&lt;/style&gt;. Berlin [u.a.], De Gruyter&amp;#xD;Herder.&lt;/DisplayText&gt;&lt;record&gt;&lt;rec-number&gt;6503&lt;/rec-number&gt;&lt;foreign-keys&gt;&lt;key app="EN" db-id="watspfp2d2rp9se0avpvpv942sd5za2epre9" timestamp="1538840026"&gt;6503&lt;/key&gt;&lt;/foreign-keys&gt;&lt;ref-type name="Book"&gt;6&lt;/ref-type&gt;&lt;contributors&gt;&lt;authors&gt;&lt;author&gt;Origenes&lt;/author&gt;&lt;author&gt;Metzler, Karin&lt;/author&gt;&lt;/authors&gt;&lt;/contributors&gt;&lt;titles&gt;&lt;title&gt;Werke mit deutscher Übersetzung Bd. 1,1. Die Kommentierung des Buches Genesis&lt;/title&gt;&lt;/titles&gt;&lt;pages&gt;XXV, 341 S.&lt;/pages&gt;&lt;dates&gt;&lt;year&gt;2010&lt;/year&gt;&lt;/dates&gt;&lt;pub-location&gt;Berlin [u.a.]&lt;/pub-location&gt;&lt;publisher&gt;De Gruyter&amp;#xD;Herder&lt;/publisher&gt;&lt;isbn&gt;978-3-451-32901-2&amp;#xD;978-3-11-019344-2&lt;/isbn&gt;&lt;accession-num&gt;312864426&lt;/accession-num&gt;&lt;label&gt;220&amp;#xD;200640321 cd 6150&amp;#xD;203741749 fh 68398&amp;#xD;1&lt;/label&gt;&lt;urls&gt;&lt;related-urls&gt;&lt;url&gt;DE-576;DE-21 http://swbplus.bsz-bw.de/bsz312864426inh.htm&lt;/url&gt;&lt;/related-urls&gt;&lt;/urls&gt;&lt;language&gt;ger grc lat&lt;/language&gt;&lt;/record&gt;&lt;/Cite&gt;&lt;/EndNote&gt;</w:instrText>
      </w:r>
      <w:r w:rsidRPr="00F63B79">
        <w:rPr>
          <w:kern w:val="0"/>
        </w:rPr>
        <w:fldChar w:fldCharType="separate"/>
      </w:r>
      <w:r>
        <w:rPr>
          <w:noProof/>
          <w:kern w:val="0"/>
        </w:rPr>
        <w:t xml:space="preserve">Origenes and K. Metzler (2010). </w:t>
      </w:r>
      <w:r w:rsidRPr="00F66C41">
        <w:rPr>
          <w:noProof/>
          <w:kern w:val="0"/>
          <w:u w:val="single"/>
        </w:rPr>
        <w:t>Werke mit deutscher Übersetzung Bd. 1,1. Die Kommentierung des Buches Genesis</w:t>
      </w:r>
      <w:r>
        <w:rPr>
          <w:noProof/>
          <w:kern w:val="0"/>
        </w:rPr>
        <w:t>. Berlin [u.a.], De Gruyter</w:t>
      </w:r>
    </w:p>
    <w:p w14:paraId="2EB18067" w14:textId="294E24C3" w:rsidR="002A286C" w:rsidRPr="008D39FC" w:rsidRDefault="002A286C" w:rsidP="002A286C">
      <w:pPr>
        <w:pStyle w:val="FootnoteText"/>
      </w:pPr>
      <w:r>
        <w:rPr>
          <w:noProof/>
          <w:kern w:val="0"/>
        </w:rPr>
        <w:t>Herder.</w:t>
      </w:r>
      <w:r w:rsidRPr="00F63B79">
        <w:rPr>
          <w:kern w:val="0"/>
        </w:rPr>
        <w:fldChar w:fldCharType="end"/>
      </w:r>
    </w:p>
  </w:footnote>
  <w:footnote w:id="89">
    <w:p w14:paraId="2EFC3B29" w14:textId="6C2D0E6E" w:rsidR="008D39FC" w:rsidRPr="008D39FC" w:rsidRDefault="008D39FC">
      <w:pPr>
        <w:pStyle w:val="FootnoteText"/>
        <w:rPr>
          <w:lang w:val="en-GB"/>
        </w:rPr>
      </w:pPr>
      <w:r>
        <w:rPr>
          <w:rStyle w:val="FootnoteReference"/>
        </w:rPr>
        <w:footnoteRef/>
      </w:r>
      <w:r>
        <w:t xml:space="preserve"> </w:t>
      </w:r>
      <w:r w:rsidRPr="00E54926">
        <w:rPr>
          <w:kern w:val="0"/>
        </w:rPr>
        <w:fldChar w:fldCharType="begin"/>
      </w:r>
      <w:r>
        <w:rPr>
          <w:kern w:val="0"/>
        </w:rPr>
        <w:instrText xml:space="preserve"> ADDIN EN.CITE &lt;EndNote&gt;&lt;Cite&gt;&lt;Author&gt;Müller-Abels&lt;/Author&gt;&lt;Year&gt;2003&lt;/Year&gt;&lt;RecNum&gt;23&lt;/RecNum&gt;&lt;Pages&gt;348&lt;/Pages&gt;&lt;DisplayText&gt;Müller-Abels, S. (2003). Der Umgang mit &amp;quot;schwierigen&amp;quot; Texten der Apostelgeschichte in der Alten Kirche. &lt;style face="underline"&gt;The Book of Acts as Church History. Apostelgeschichte als Kirchengeschichte&lt;/style&gt;. T. Nicklas and M. Tilly. Berlin, New York, De Gruyter&lt;style face="bold"&gt;: &lt;/style&gt;347-371.&lt;/DisplayText&gt;&lt;record&gt;&lt;rec-number&gt;23&lt;/rec-number&gt;&lt;foreign-keys&gt;&lt;key app="EN" db-id="50rx5rvt4w0v5tez0eoxzd92rdrsrer02xv9" timestamp="1616778582"&gt;23&lt;/key&gt;&lt;/foreign-keys&gt;&lt;ref-type name="Book Section"&gt;5&lt;/ref-type&gt;&lt;contributors&gt;&lt;authors&gt;&lt;author&gt;Müller-Abels, Susanne&lt;/author&gt;&lt;/authors&gt;&lt;secondary-authors&gt;&lt;author&gt;Nicklas, Tobias&lt;/author&gt;&lt;author&gt;Tilly, Michael&lt;/author&gt;&lt;/secondary-authors&gt;&lt;/contributors&gt;&lt;titles&gt;&lt;title&gt;Der Umgang mit &amp;quot;schwierigen&amp;quot; Texten der Apostelgeschichte in der Alten Kirche&lt;/title&gt;&lt;secondary-title&gt;The Book of Acts as Church History. Apostelgeschichte als Kirchengeschichte&lt;/secondary-title&gt;&lt;tertiary-title&gt;Beihefte zur Zeitschrift für die neutestamentliche Wissenschaft und die Kunde der älteren Kirche&lt;/tertiary-title&gt;&lt;/titles&gt;&lt;pages&gt;347-371&lt;/pages&gt;&lt;number&gt;120&lt;/number&gt;&lt;dates&gt;&lt;year&gt;2003&lt;/year&gt;&lt;/dates&gt;&lt;pub-location&gt;Berlin, New York&lt;/pub-location&gt;&lt;publisher&gt;De Gruyter&lt;/publisher&gt;&lt;urls&gt;&lt;/urls&gt;&lt;/record&gt;&lt;/Cite&gt;&lt;/EndNote&gt;</w:instrText>
      </w:r>
      <w:r w:rsidRPr="00E54926">
        <w:rPr>
          <w:kern w:val="0"/>
        </w:rPr>
        <w:fldChar w:fldCharType="separate"/>
      </w:r>
      <w:r>
        <w:rPr>
          <w:noProof/>
          <w:kern w:val="0"/>
        </w:rPr>
        <w:t xml:space="preserve">Müller-Abels, S. (2003). Der Umgang mit "schwierigen" Texten der Apostelgeschichte in der Alten Kirche. </w:t>
      </w:r>
      <w:r w:rsidRPr="008D39FC">
        <w:rPr>
          <w:noProof/>
          <w:kern w:val="0"/>
          <w:u w:val="single"/>
        </w:rPr>
        <w:t>The Book of Acts as Church History. Apostelgeschichte als Kirchengeschichte</w:t>
      </w:r>
      <w:r>
        <w:rPr>
          <w:noProof/>
          <w:kern w:val="0"/>
        </w:rPr>
        <w:t>. T. Nicklas and M. Tilly. Berlin, New York, De Gruyter</w:t>
      </w:r>
      <w:r w:rsidRPr="008D39FC">
        <w:rPr>
          <w:b/>
          <w:noProof/>
          <w:kern w:val="0"/>
        </w:rPr>
        <w:t xml:space="preserve">: </w:t>
      </w:r>
      <w:r>
        <w:rPr>
          <w:noProof/>
          <w:kern w:val="0"/>
        </w:rPr>
        <w:t>347-371.</w:t>
      </w:r>
      <w:r w:rsidRPr="00E54926">
        <w:rPr>
          <w:kern w:val="0"/>
        </w:rPr>
        <w:fldChar w:fldCharType="end"/>
      </w:r>
    </w:p>
  </w:footnote>
  <w:footnote w:id="90">
    <w:p w14:paraId="2C655932" w14:textId="10D1493D" w:rsidR="008D39FC" w:rsidRPr="008D39FC" w:rsidRDefault="008D39FC">
      <w:pPr>
        <w:pStyle w:val="FootnoteText"/>
        <w:rPr>
          <w:lang w:val="en-US"/>
        </w:rPr>
      </w:pPr>
      <w:r>
        <w:rPr>
          <w:rStyle w:val="FootnoteReference"/>
        </w:rPr>
        <w:footnoteRef/>
      </w:r>
      <w:r w:rsidRPr="008D39FC">
        <w:rPr>
          <w:lang w:val="en-US"/>
        </w:rPr>
        <w:t xml:space="preserve"> See </w:t>
      </w:r>
      <w:r w:rsidRPr="008D39FC">
        <w:rPr>
          <w:kern w:val="0"/>
          <w:lang w:val="en-US"/>
        </w:rPr>
        <w:t xml:space="preserve">Orig., In Acta. </w:t>
      </w:r>
      <w:proofErr w:type="spellStart"/>
      <w:r w:rsidRPr="008D39FC">
        <w:rPr>
          <w:kern w:val="0"/>
          <w:lang w:val="en-US"/>
        </w:rPr>
        <w:t>Hom</w:t>
      </w:r>
      <w:proofErr w:type="spellEnd"/>
      <w:r w:rsidRPr="008D39FC">
        <w:rPr>
          <w:kern w:val="0"/>
          <w:lang w:val="en-US"/>
        </w:rPr>
        <w:t>. 4</w:t>
      </w:r>
      <w:r w:rsidRPr="008D39FC">
        <w:rPr>
          <w:i/>
          <w:kern w:val="0"/>
          <w:lang w:val="en-US"/>
        </w:rPr>
        <w:t xml:space="preserve"> </w:t>
      </w:r>
      <w:r w:rsidRPr="008D39FC">
        <w:rPr>
          <w:kern w:val="0"/>
          <w:lang w:val="en-US"/>
        </w:rPr>
        <w:t>(PG 14, 829-832).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2292&lt;/item&gt;&lt;item&gt;2295&lt;/item&gt;&lt;/record-ids&gt;&lt;/item&gt;&lt;/Libraries&gt;"/>
  </w:docVars>
  <w:rsids>
    <w:rsidRoot w:val="00021986"/>
    <w:rsid w:val="00002B40"/>
    <w:rsid w:val="00004EF5"/>
    <w:rsid w:val="00013AAF"/>
    <w:rsid w:val="00014D35"/>
    <w:rsid w:val="000160C8"/>
    <w:rsid w:val="00017A90"/>
    <w:rsid w:val="00021986"/>
    <w:rsid w:val="00033F46"/>
    <w:rsid w:val="00040FA5"/>
    <w:rsid w:val="000425C2"/>
    <w:rsid w:val="000516F6"/>
    <w:rsid w:val="000521F8"/>
    <w:rsid w:val="00052209"/>
    <w:rsid w:val="00054028"/>
    <w:rsid w:val="00056140"/>
    <w:rsid w:val="0006057C"/>
    <w:rsid w:val="000666AC"/>
    <w:rsid w:val="00077663"/>
    <w:rsid w:val="000867BA"/>
    <w:rsid w:val="0009539F"/>
    <w:rsid w:val="000953EF"/>
    <w:rsid w:val="000A29FC"/>
    <w:rsid w:val="000A3A21"/>
    <w:rsid w:val="000C1E0F"/>
    <w:rsid w:val="000C37BD"/>
    <w:rsid w:val="000C4318"/>
    <w:rsid w:val="000C4F5F"/>
    <w:rsid w:val="000C51FF"/>
    <w:rsid w:val="000C6237"/>
    <w:rsid w:val="000D1E73"/>
    <w:rsid w:val="000D6D02"/>
    <w:rsid w:val="000E4A50"/>
    <w:rsid w:val="000E6FB4"/>
    <w:rsid w:val="000F145B"/>
    <w:rsid w:val="00103A3F"/>
    <w:rsid w:val="00104355"/>
    <w:rsid w:val="00107BC3"/>
    <w:rsid w:val="00107D74"/>
    <w:rsid w:val="00114A62"/>
    <w:rsid w:val="00127888"/>
    <w:rsid w:val="001309FB"/>
    <w:rsid w:val="00133CC8"/>
    <w:rsid w:val="001438BF"/>
    <w:rsid w:val="0015320B"/>
    <w:rsid w:val="00154F76"/>
    <w:rsid w:val="00162E13"/>
    <w:rsid w:val="001753AF"/>
    <w:rsid w:val="00182153"/>
    <w:rsid w:val="001A082B"/>
    <w:rsid w:val="001A1508"/>
    <w:rsid w:val="001A17F2"/>
    <w:rsid w:val="001A6F60"/>
    <w:rsid w:val="001A7ACF"/>
    <w:rsid w:val="001B623A"/>
    <w:rsid w:val="001C0567"/>
    <w:rsid w:val="001C0E30"/>
    <w:rsid w:val="001C16F5"/>
    <w:rsid w:val="001C1D90"/>
    <w:rsid w:val="001C566A"/>
    <w:rsid w:val="001D377A"/>
    <w:rsid w:val="001D500F"/>
    <w:rsid w:val="001E0207"/>
    <w:rsid w:val="001E1B28"/>
    <w:rsid w:val="001E7653"/>
    <w:rsid w:val="001F1002"/>
    <w:rsid w:val="001F77E4"/>
    <w:rsid w:val="0020621F"/>
    <w:rsid w:val="00206394"/>
    <w:rsid w:val="00232DF4"/>
    <w:rsid w:val="00245C6E"/>
    <w:rsid w:val="00246369"/>
    <w:rsid w:val="002472B2"/>
    <w:rsid w:val="0025082A"/>
    <w:rsid w:val="00267D18"/>
    <w:rsid w:val="002817D8"/>
    <w:rsid w:val="00287472"/>
    <w:rsid w:val="0029091C"/>
    <w:rsid w:val="00290BAB"/>
    <w:rsid w:val="00292B08"/>
    <w:rsid w:val="00295BF9"/>
    <w:rsid w:val="002A286C"/>
    <w:rsid w:val="002C1726"/>
    <w:rsid w:val="002D1448"/>
    <w:rsid w:val="002D43D7"/>
    <w:rsid w:val="002D5778"/>
    <w:rsid w:val="002E7CEA"/>
    <w:rsid w:val="002F10F1"/>
    <w:rsid w:val="00307258"/>
    <w:rsid w:val="0031280D"/>
    <w:rsid w:val="003164F3"/>
    <w:rsid w:val="00323185"/>
    <w:rsid w:val="0032430F"/>
    <w:rsid w:val="003270EC"/>
    <w:rsid w:val="00330E32"/>
    <w:rsid w:val="00337427"/>
    <w:rsid w:val="0034541D"/>
    <w:rsid w:val="00352B7D"/>
    <w:rsid w:val="0035486E"/>
    <w:rsid w:val="0036165A"/>
    <w:rsid w:val="00361B7D"/>
    <w:rsid w:val="00362954"/>
    <w:rsid w:val="00366F69"/>
    <w:rsid w:val="00367024"/>
    <w:rsid w:val="0037245A"/>
    <w:rsid w:val="00376E31"/>
    <w:rsid w:val="00385D5D"/>
    <w:rsid w:val="00387C3D"/>
    <w:rsid w:val="003935B3"/>
    <w:rsid w:val="003A295A"/>
    <w:rsid w:val="003A5CB0"/>
    <w:rsid w:val="003B5562"/>
    <w:rsid w:val="003C14A0"/>
    <w:rsid w:val="003C7A60"/>
    <w:rsid w:val="003D0ECC"/>
    <w:rsid w:val="003D1E90"/>
    <w:rsid w:val="003D50EC"/>
    <w:rsid w:val="003D52E3"/>
    <w:rsid w:val="003D62CE"/>
    <w:rsid w:val="003E4A78"/>
    <w:rsid w:val="003F259D"/>
    <w:rsid w:val="00400A33"/>
    <w:rsid w:val="00405643"/>
    <w:rsid w:val="0041005E"/>
    <w:rsid w:val="00414995"/>
    <w:rsid w:val="00420BD2"/>
    <w:rsid w:val="004239DC"/>
    <w:rsid w:val="00424E59"/>
    <w:rsid w:val="0042512F"/>
    <w:rsid w:val="004278D8"/>
    <w:rsid w:val="00440222"/>
    <w:rsid w:val="00441AF0"/>
    <w:rsid w:val="00455CC1"/>
    <w:rsid w:val="0046051B"/>
    <w:rsid w:val="00462E88"/>
    <w:rsid w:val="00464989"/>
    <w:rsid w:val="0046635C"/>
    <w:rsid w:val="00472689"/>
    <w:rsid w:val="00475C4D"/>
    <w:rsid w:val="0047721B"/>
    <w:rsid w:val="004941CA"/>
    <w:rsid w:val="00494851"/>
    <w:rsid w:val="004B2FA1"/>
    <w:rsid w:val="004C0581"/>
    <w:rsid w:val="004C7914"/>
    <w:rsid w:val="004C7BEA"/>
    <w:rsid w:val="004D0DFA"/>
    <w:rsid w:val="004D6481"/>
    <w:rsid w:val="004D72DD"/>
    <w:rsid w:val="004E50E5"/>
    <w:rsid w:val="004E6823"/>
    <w:rsid w:val="004E6985"/>
    <w:rsid w:val="004F24D2"/>
    <w:rsid w:val="00503EA6"/>
    <w:rsid w:val="005050B2"/>
    <w:rsid w:val="005109E0"/>
    <w:rsid w:val="005114A3"/>
    <w:rsid w:val="00535740"/>
    <w:rsid w:val="00537DB6"/>
    <w:rsid w:val="0054317E"/>
    <w:rsid w:val="00552F49"/>
    <w:rsid w:val="00560FA7"/>
    <w:rsid w:val="005617F6"/>
    <w:rsid w:val="005714F8"/>
    <w:rsid w:val="00577DF2"/>
    <w:rsid w:val="00577E80"/>
    <w:rsid w:val="00580B44"/>
    <w:rsid w:val="005838D9"/>
    <w:rsid w:val="005A5281"/>
    <w:rsid w:val="005B060A"/>
    <w:rsid w:val="005B27EC"/>
    <w:rsid w:val="005B4E92"/>
    <w:rsid w:val="005B5921"/>
    <w:rsid w:val="005C7714"/>
    <w:rsid w:val="005D1CAE"/>
    <w:rsid w:val="005D742F"/>
    <w:rsid w:val="005E6C87"/>
    <w:rsid w:val="005F5C14"/>
    <w:rsid w:val="00610609"/>
    <w:rsid w:val="00614F3F"/>
    <w:rsid w:val="006264B5"/>
    <w:rsid w:val="00656F6C"/>
    <w:rsid w:val="00657737"/>
    <w:rsid w:val="00661F93"/>
    <w:rsid w:val="00676A42"/>
    <w:rsid w:val="00682C6F"/>
    <w:rsid w:val="00690660"/>
    <w:rsid w:val="006A43C6"/>
    <w:rsid w:val="006B40A7"/>
    <w:rsid w:val="006C001D"/>
    <w:rsid w:val="006C6444"/>
    <w:rsid w:val="006D3B03"/>
    <w:rsid w:val="006F0702"/>
    <w:rsid w:val="00707B3F"/>
    <w:rsid w:val="007102A4"/>
    <w:rsid w:val="00712A1C"/>
    <w:rsid w:val="00712B46"/>
    <w:rsid w:val="00721002"/>
    <w:rsid w:val="007228F8"/>
    <w:rsid w:val="007340D2"/>
    <w:rsid w:val="00750DFC"/>
    <w:rsid w:val="00762D27"/>
    <w:rsid w:val="007641B0"/>
    <w:rsid w:val="0076525F"/>
    <w:rsid w:val="00775FBC"/>
    <w:rsid w:val="007916BB"/>
    <w:rsid w:val="00797D98"/>
    <w:rsid w:val="007B0206"/>
    <w:rsid w:val="007B3124"/>
    <w:rsid w:val="007B38F7"/>
    <w:rsid w:val="007C76BB"/>
    <w:rsid w:val="007C775A"/>
    <w:rsid w:val="007D0C9B"/>
    <w:rsid w:val="007D1138"/>
    <w:rsid w:val="007D3B81"/>
    <w:rsid w:val="007D40AC"/>
    <w:rsid w:val="007D6798"/>
    <w:rsid w:val="007F1C75"/>
    <w:rsid w:val="007F4A1D"/>
    <w:rsid w:val="007F7CB8"/>
    <w:rsid w:val="008076EB"/>
    <w:rsid w:val="008125D1"/>
    <w:rsid w:val="008133C3"/>
    <w:rsid w:val="00814EA1"/>
    <w:rsid w:val="00820325"/>
    <w:rsid w:val="00833E3D"/>
    <w:rsid w:val="0084198E"/>
    <w:rsid w:val="00841CDE"/>
    <w:rsid w:val="008476BC"/>
    <w:rsid w:val="00863FB2"/>
    <w:rsid w:val="00864F73"/>
    <w:rsid w:val="00866FFE"/>
    <w:rsid w:val="008779AD"/>
    <w:rsid w:val="00891CD8"/>
    <w:rsid w:val="008A13B2"/>
    <w:rsid w:val="008A1F47"/>
    <w:rsid w:val="008A1F96"/>
    <w:rsid w:val="008A35DE"/>
    <w:rsid w:val="008A497F"/>
    <w:rsid w:val="008A6F42"/>
    <w:rsid w:val="008B41BD"/>
    <w:rsid w:val="008B52D0"/>
    <w:rsid w:val="008C06E5"/>
    <w:rsid w:val="008D39FC"/>
    <w:rsid w:val="008D75A0"/>
    <w:rsid w:val="008E69ED"/>
    <w:rsid w:val="008F1A27"/>
    <w:rsid w:val="008F2A31"/>
    <w:rsid w:val="008F4510"/>
    <w:rsid w:val="008F4E8A"/>
    <w:rsid w:val="00904665"/>
    <w:rsid w:val="009126F1"/>
    <w:rsid w:val="009174F2"/>
    <w:rsid w:val="00917A5D"/>
    <w:rsid w:val="0092709F"/>
    <w:rsid w:val="009319CB"/>
    <w:rsid w:val="00945288"/>
    <w:rsid w:val="009522EC"/>
    <w:rsid w:val="009567CE"/>
    <w:rsid w:val="009611A6"/>
    <w:rsid w:val="00967C79"/>
    <w:rsid w:val="00967E68"/>
    <w:rsid w:val="00980895"/>
    <w:rsid w:val="009849F5"/>
    <w:rsid w:val="009929AD"/>
    <w:rsid w:val="009A1382"/>
    <w:rsid w:val="009A153A"/>
    <w:rsid w:val="009A1BB9"/>
    <w:rsid w:val="009A4698"/>
    <w:rsid w:val="009A5644"/>
    <w:rsid w:val="009B0348"/>
    <w:rsid w:val="009C075E"/>
    <w:rsid w:val="009C3DC9"/>
    <w:rsid w:val="009D0903"/>
    <w:rsid w:val="009D3C41"/>
    <w:rsid w:val="009E04BF"/>
    <w:rsid w:val="009E21FD"/>
    <w:rsid w:val="009E25D2"/>
    <w:rsid w:val="009E4253"/>
    <w:rsid w:val="009F0A66"/>
    <w:rsid w:val="009F5132"/>
    <w:rsid w:val="00A03A48"/>
    <w:rsid w:val="00A05781"/>
    <w:rsid w:val="00A26198"/>
    <w:rsid w:val="00A45969"/>
    <w:rsid w:val="00A46DDE"/>
    <w:rsid w:val="00A47947"/>
    <w:rsid w:val="00A51E2C"/>
    <w:rsid w:val="00A53427"/>
    <w:rsid w:val="00A557C5"/>
    <w:rsid w:val="00A70985"/>
    <w:rsid w:val="00A70A69"/>
    <w:rsid w:val="00A72EA3"/>
    <w:rsid w:val="00A73811"/>
    <w:rsid w:val="00A74203"/>
    <w:rsid w:val="00A82E69"/>
    <w:rsid w:val="00A91551"/>
    <w:rsid w:val="00A91688"/>
    <w:rsid w:val="00A9444C"/>
    <w:rsid w:val="00AB2BF3"/>
    <w:rsid w:val="00AC48B1"/>
    <w:rsid w:val="00AC655A"/>
    <w:rsid w:val="00AC6749"/>
    <w:rsid w:val="00AD0C2D"/>
    <w:rsid w:val="00AD46E2"/>
    <w:rsid w:val="00AD48B8"/>
    <w:rsid w:val="00AD4AD8"/>
    <w:rsid w:val="00AD5940"/>
    <w:rsid w:val="00AD74F5"/>
    <w:rsid w:val="00AE1A12"/>
    <w:rsid w:val="00AE288D"/>
    <w:rsid w:val="00AE4EB0"/>
    <w:rsid w:val="00AF2AF2"/>
    <w:rsid w:val="00AF7DB2"/>
    <w:rsid w:val="00B203A8"/>
    <w:rsid w:val="00B213F8"/>
    <w:rsid w:val="00B233FD"/>
    <w:rsid w:val="00B2399C"/>
    <w:rsid w:val="00B24BCE"/>
    <w:rsid w:val="00B27C2F"/>
    <w:rsid w:val="00B306B0"/>
    <w:rsid w:val="00B33478"/>
    <w:rsid w:val="00B33D1B"/>
    <w:rsid w:val="00B3675C"/>
    <w:rsid w:val="00B44A09"/>
    <w:rsid w:val="00B52C48"/>
    <w:rsid w:val="00B53A20"/>
    <w:rsid w:val="00B54333"/>
    <w:rsid w:val="00B54EDA"/>
    <w:rsid w:val="00B579C3"/>
    <w:rsid w:val="00B60795"/>
    <w:rsid w:val="00B6323E"/>
    <w:rsid w:val="00B63858"/>
    <w:rsid w:val="00B64076"/>
    <w:rsid w:val="00B72673"/>
    <w:rsid w:val="00B801CF"/>
    <w:rsid w:val="00B8473B"/>
    <w:rsid w:val="00B93350"/>
    <w:rsid w:val="00B96AB5"/>
    <w:rsid w:val="00BA4BD7"/>
    <w:rsid w:val="00BA7B17"/>
    <w:rsid w:val="00BB6C9A"/>
    <w:rsid w:val="00BC2AEE"/>
    <w:rsid w:val="00BC34E2"/>
    <w:rsid w:val="00BD480B"/>
    <w:rsid w:val="00BD67AD"/>
    <w:rsid w:val="00BE03C4"/>
    <w:rsid w:val="00BE0C34"/>
    <w:rsid w:val="00BF013F"/>
    <w:rsid w:val="00BF52C2"/>
    <w:rsid w:val="00C00340"/>
    <w:rsid w:val="00C01A07"/>
    <w:rsid w:val="00C26636"/>
    <w:rsid w:val="00C41445"/>
    <w:rsid w:val="00C41890"/>
    <w:rsid w:val="00C46FD7"/>
    <w:rsid w:val="00C475C1"/>
    <w:rsid w:val="00C53B5A"/>
    <w:rsid w:val="00C57EB9"/>
    <w:rsid w:val="00C603D6"/>
    <w:rsid w:val="00C603F6"/>
    <w:rsid w:val="00C728A9"/>
    <w:rsid w:val="00C81F32"/>
    <w:rsid w:val="00C83381"/>
    <w:rsid w:val="00C90C5E"/>
    <w:rsid w:val="00C916C8"/>
    <w:rsid w:val="00C934BE"/>
    <w:rsid w:val="00CA2166"/>
    <w:rsid w:val="00CA68AD"/>
    <w:rsid w:val="00CB4067"/>
    <w:rsid w:val="00CB6363"/>
    <w:rsid w:val="00CC310A"/>
    <w:rsid w:val="00CC5997"/>
    <w:rsid w:val="00CE035C"/>
    <w:rsid w:val="00CE4689"/>
    <w:rsid w:val="00CE4FFE"/>
    <w:rsid w:val="00CF0564"/>
    <w:rsid w:val="00D11E7D"/>
    <w:rsid w:val="00D16027"/>
    <w:rsid w:val="00D17203"/>
    <w:rsid w:val="00D21D5D"/>
    <w:rsid w:val="00D328AC"/>
    <w:rsid w:val="00D34F65"/>
    <w:rsid w:val="00D4100E"/>
    <w:rsid w:val="00D61363"/>
    <w:rsid w:val="00D62571"/>
    <w:rsid w:val="00D62BE7"/>
    <w:rsid w:val="00D63B5F"/>
    <w:rsid w:val="00D64347"/>
    <w:rsid w:val="00D6648D"/>
    <w:rsid w:val="00D76320"/>
    <w:rsid w:val="00D931BC"/>
    <w:rsid w:val="00DA70CF"/>
    <w:rsid w:val="00DB4C51"/>
    <w:rsid w:val="00DD41D5"/>
    <w:rsid w:val="00DD508F"/>
    <w:rsid w:val="00DD56F3"/>
    <w:rsid w:val="00DE0197"/>
    <w:rsid w:val="00DE154E"/>
    <w:rsid w:val="00DE64E7"/>
    <w:rsid w:val="00DE7D24"/>
    <w:rsid w:val="00E162F7"/>
    <w:rsid w:val="00E16E67"/>
    <w:rsid w:val="00E2487A"/>
    <w:rsid w:val="00E33779"/>
    <w:rsid w:val="00E41756"/>
    <w:rsid w:val="00E46DC2"/>
    <w:rsid w:val="00E52A25"/>
    <w:rsid w:val="00E544F1"/>
    <w:rsid w:val="00E70A87"/>
    <w:rsid w:val="00E72BF0"/>
    <w:rsid w:val="00E86F87"/>
    <w:rsid w:val="00E968A9"/>
    <w:rsid w:val="00EA09DE"/>
    <w:rsid w:val="00EA3408"/>
    <w:rsid w:val="00EB54A2"/>
    <w:rsid w:val="00EB7767"/>
    <w:rsid w:val="00EC2F05"/>
    <w:rsid w:val="00ED0FE4"/>
    <w:rsid w:val="00ED7BD3"/>
    <w:rsid w:val="00EE136E"/>
    <w:rsid w:val="00EE7C9C"/>
    <w:rsid w:val="00EF255F"/>
    <w:rsid w:val="00EF410C"/>
    <w:rsid w:val="00EF4D94"/>
    <w:rsid w:val="00EF5471"/>
    <w:rsid w:val="00F12B24"/>
    <w:rsid w:val="00F172AE"/>
    <w:rsid w:val="00F2201D"/>
    <w:rsid w:val="00F255A4"/>
    <w:rsid w:val="00F26DE5"/>
    <w:rsid w:val="00F3248C"/>
    <w:rsid w:val="00F40E19"/>
    <w:rsid w:val="00F47B07"/>
    <w:rsid w:val="00F51279"/>
    <w:rsid w:val="00F51C9E"/>
    <w:rsid w:val="00F66628"/>
    <w:rsid w:val="00F66C41"/>
    <w:rsid w:val="00F80DC7"/>
    <w:rsid w:val="00F81322"/>
    <w:rsid w:val="00F81B97"/>
    <w:rsid w:val="00F84F37"/>
    <w:rsid w:val="00F86B9A"/>
    <w:rsid w:val="00F947B2"/>
    <w:rsid w:val="00F95321"/>
    <w:rsid w:val="00F95539"/>
    <w:rsid w:val="00FA4FA6"/>
    <w:rsid w:val="00FA6E9A"/>
    <w:rsid w:val="00FC0B97"/>
    <w:rsid w:val="00FC7A8C"/>
    <w:rsid w:val="00FE3CAE"/>
    <w:rsid w:val="00FE4B33"/>
    <w:rsid w:val="00FE5A82"/>
    <w:rsid w:val="00FF527D"/>
    <w:rsid w:val="00FF6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62F35"/>
  <w15:chartTrackingRefBased/>
  <w15:docId w15:val="{4A7370C3-E416-4E25-8CCE-4DFDFBAA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986"/>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021986"/>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02198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021986"/>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021986"/>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021986"/>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986"/>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021986"/>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021986"/>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021986"/>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021986"/>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uiPriority w:val="99"/>
    <w:qFormat/>
    <w:rsid w:val="00021986"/>
    <w:pPr>
      <w:widowControl/>
      <w:suppressAutoHyphens w:val="0"/>
      <w:spacing w:before="120" w:after="120"/>
      <w:ind w:left="567"/>
      <w:jc w:val="both"/>
    </w:pPr>
    <w:rPr>
      <w:rFonts w:cs="Times New Roman"/>
      <w:kern w:val="0"/>
      <w:sz w:val="20"/>
      <w:szCs w:val="26"/>
      <w:lang w:eastAsia="de-DE" w:bidi="ar-SA"/>
    </w:rPr>
  </w:style>
  <w:style w:type="character" w:customStyle="1" w:styleId="ZitatZchn">
    <w:name w:val="Zitat Zchn"/>
    <w:link w:val="Zitat1"/>
    <w:uiPriority w:val="99"/>
    <w:rsid w:val="00021986"/>
    <w:rPr>
      <w:rFonts w:ascii="Times New Roman" w:eastAsia="SimSun" w:hAnsi="Times New Roman" w:cs="Times New Roman"/>
      <w:sz w:val="20"/>
      <w:szCs w:val="26"/>
      <w:lang w:eastAsia="de-DE"/>
    </w:rPr>
  </w:style>
  <w:style w:type="paragraph" w:styleId="TOCHeading">
    <w:name w:val="TOC Heading"/>
    <w:basedOn w:val="Heading1"/>
    <w:next w:val="Normal"/>
    <w:uiPriority w:val="39"/>
    <w:unhideWhenUsed/>
    <w:qFormat/>
    <w:rsid w:val="00021986"/>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021986"/>
    <w:rPr>
      <w:rFonts w:cs="Mangal"/>
      <w:sz w:val="20"/>
      <w:szCs w:val="18"/>
    </w:rPr>
  </w:style>
  <w:style w:type="character" w:customStyle="1" w:styleId="FootnoteTextChar">
    <w:name w:val="Footnote Text Char"/>
    <w:basedOn w:val="DefaultParagraphFont"/>
    <w:link w:val="FootnoteText"/>
    <w:uiPriority w:val="99"/>
    <w:rsid w:val="00021986"/>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021986"/>
    <w:rPr>
      <w:vertAlign w:val="superscript"/>
    </w:rPr>
  </w:style>
  <w:style w:type="paragraph" w:customStyle="1" w:styleId="EndNoteBibliographyTitle">
    <w:name w:val="EndNote Bibliography Title"/>
    <w:basedOn w:val="Normal"/>
    <w:link w:val="EndNoteBibliographyTitleZchn"/>
    <w:rsid w:val="00021986"/>
    <w:pPr>
      <w:jc w:val="center"/>
    </w:pPr>
    <w:rPr>
      <w:rFonts w:cs="Times New Roman"/>
      <w:noProof/>
    </w:rPr>
  </w:style>
  <w:style w:type="character" w:customStyle="1" w:styleId="EndNoteBibliographyTitleZchn">
    <w:name w:val="EndNote Bibliography Title Zchn"/>
    <w:basedOn w:val="FootnoteTextChar"/>
    <w:link w:val="EndNoteBibliographyTitle"/>
    <w:rsid w:val="00021986"/>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021986"/>
    <w:rPr>
      <w:rFonts w:cs="Times New Roman"/>
      <w:noProof/>
    </w:rPr>
  </w:style>
  <w:style w:type="character" w:customStyle="1" w:styleId="EndNoteBibliographyZchn">
    <w:name w:val="EndNote Bibliography Zchn"/>
    <w:basedOn w:val="FootnoteTextChar"/>
    <w:link w:val="EndNoteBibliography"/>
    <w:rsid w:val="00021986"/>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021986"/>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02198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21986"/>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02198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21986"/>
    <w:rPr>
      <w:rFonts w:ascii="Times New Roman" w:eastAsia="SimSun" w:hAnsi="Times New Roman" w:cs="Mangal"/>
      <w:kern w:val="1"/>
      <w:sz w:val="24"/>
      <w:szCs w:val="21"/>
      <w:lang w:eastAsia="hi-IN" w:bidi="hi-IN"/>
    </w:rPr>
  </w:style>
  <w:style w:type="table" w:styleId="TableGrid">
    <w:name w:val="Table Grid"/>
    <w:basedOn w:val="TableNormal"/>
    <w:uiPriority w:val="39"/>
    <w:rsid w:val="00021986"/>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1986"/>
    <w:rPr>
      <w:color w:val="808080"/>
    </w:rPr>
  </w:style>
  <w:style w:type="character" w:customStyle="1" w:styleId="word1">
    <w:name w:val="word1"/>
    <w:rsid w:val="00021986"/>
    <w:rPr>
      <w:strike w:val="0"/>
      <w:dstrike w:val="0"/>
      <w:color w:val="000000"/>
      <w:u w:val="none"/>
      <w:effect w:val="none"/>
    </w:rPr>
  </w:style>
  <w:style w:type="paragraph" w:styleId="ListBullet">
    <w:name w:val="List Bullet"/>
    <w:basedOn w:val="Normal"/>
    <w:uiPriority w:val="99"/>
    <w:unhideWhenUsed/>
    <w:rsid w:val="00021986"/>
    <w:pPr>
      <w:numPr>
        <w:numId w:val="1"/>
      </w:numPr>
      <w:contextualSpacing/>
    </w:pPr>
    <w:rPr>
      <w:rFonts w:cs="Mangal"/>
      <w:szCs w:val="21"/>
    </w:rPr>
  </w:style>
  <w:style w:type="character" w:styleId="Hyperlink">
    <w:name w:val="Hyperlink"/>
    <w:basedOn w:val="DefaultParagraphFont"/>
    <w:uiPriority w:val="99"/>
    <w:unhideWhenUsed/>
    <w:rsid w:val="00021986"/>
    <w:rPr>
      <w:color w:val="0000FF"/>
      <w:u w:val="single"/>
    </w:rPr>
  </w:style>
  <w:style w:type="paragraph" w:styleId="EndnoteText">
    <w:name w:val="endnote text"/>
    <w:basedOn w:val="Normal"/>
    <w:link w:val="EndnoteTextChar"/>
    <w:uiPriority w:val="99"/>
    <w:semiHidden/>
    <w:unhideWhenUsed/>
    <w:rsid w:val="00021986"/>
    <w:rPr>
      <w:rFonts w:cs="Mangal"/>
      <w:sz w:val="20"/>
      <w:szCs w:val="18"/>
    </w:rPr>
  </w:style>
  <w:style w:type="character" w:customStyle="1" w:styleId="EndnoteTextChar">
    <w:name w:val="Endnote Text Char"/>
    <w:basedOn w:val="DefaultParagraphFont"/>
    <w:link w:val="EndnoteText"/>
    <w:uiPriority w:val="99"/>
    <w:semiHidden/>
    <w:rsid w:val="00021986"/>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021986"/>
    <w:rPr>
      <w:vertAlign w:val="superscript"/>
    </w:rPr>
  </w:style>
  <w:style w:type="paragraph" w:styleId="TOC1">
    <w:name w:val="toc 1"/>
    <w:basedOn w:val="Normal"/>
    <w:next w:val="Normal"/>
    <w:autoRedefine/>
    <w:uiPriority w:val="39"/>
    <w:unhideWhenUsed/>
    <w:rsid w:val="00021986"/>
    <w:pPr>
      <w:spacing w:after="100"/>
    </w:pPr>
    <w:rPr>
      <w:rFonts w:cs="Mangal"/>
      <w:szCs w:val="21"/>
    </w:rPr>
  </w:style>
  <w:style w:type="paragraph" w:styleId="TOC2">
    <w:name w:val="toc 2"/>
    <w:basedOn w:val="Normal"/>
    <w:next w:val="Normal"/>
    <w:autoRedefine/>
    <w:uiPriority w:val="39"/>
    <w:unhideWhenUsed/>
    <w:rsid w:val="00021986"/>
    <w:pPr>
      <w:spacing w:after="100"/>
      <w:ind w:left="240"/>
    </w:pPr>
    <w:rPr>
      <w:rFonts w:cs="Mangal"/>
      <w:szCs w:val="21"/>
    </w:rPr>
  </w:style>
  <w:style w:type="paragraph" w:styleId="TOC3">
    <w:name w:val="toc 3"/>
    <w:basedOn w:val="Normal"/>
    <w:next w:val="Normal"/>
    <w:autoRedefine/>
    <w:uiPriority w:val="39"/>
    <w:unhideWhenUsed/>
    <w:rsid w:val="00021986"/>
    <w:pPr>
      <w:spacing w:after="100"/>
      <w:ind w:left="480"/>
    </w:pPr>
    <w:rPr>
      <w:rFonts w:cs="Mangal"/>
      <w:szCs w:val="21"/>
    </w:rPr>
  </w:style>
  <w:style w:type="character" w:styleId="Emphasis">
    <w:name w:val="Emphasis"/>
    <w:basedOn w:val="DefaultParagraphFont"/>
    <w:uiPriority w:val="20"/>
    <w:qFormat/>
    <w:rsid w:val="00021986"/>
    <w:rPr>
      <w:i/>
      <w:iCs/>
    </w:rPr>
  </w:style>
  <w:style w:type="paragraph" w:customStyle="1" w:styleId="hbodytext">
    <w:name w:val="h_body_text"/>
    <w:basedOn w:val="Normal"/>
    <w:rsid w:val="00021986"/>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021986"/>
    <w:rPr>
      <w:rFonts w:ascii="Tahoma" w:hAnsi="Tahoma" w:cs="Mangal"/>
      <w:sz w:val="16"/>
      <w:szCs w:val="14"/>
    </w:rPr>
  </w:style>
  <w:style w:type="character" w:customStyle="1" w:styleId="BalloonTextChar">
    <w:name w:val="Balloon Text Char"/>
    <w:basedOn w:val="DefaultParagraphFont"/>
    <w:link w:val="BalloonText"/>
    <w:uiPriority w:val="99"/>
    <w:semiHidden/>
    <w:rsid w:val="00021986"/>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021986"/>
    <w:rPr>
      <w:sz w:val="16"/>
      <w:szCs w:val="16"/>
    </w:rPr>
  </w:style>
  <w:style w:type="paragraph" w:styleId="CommentText">
    <w:name w:val="annotation text"/>
    <w:basedOn w:val="Normal"/>
    <w:link w:val="CommentTextChar"/>
    <w:uiPriority w:val="99"/>
    <w:unhideWhenUsed/>
    <w:rsid w:val="00021986"/>
    <w:rPr>
      <w:rFonts w:cs="Mangal"/>
      <w:sz w:val="20"/>
      <w:szCs w:val="18"/>
    </w:rPr>
  </w:style>
  <w:style w:type="character" w:customStyle="1" w:styleId="CommentTextChar">
    <w:name w:val="Comment Text Char"/>
    <w:basedOn w:val="DefaultParagraphFont"/>
    <w:link w:val="CommentText"/>
    <w:uiPriority w:val="99"/>
    <w:rsid w:val="00021986"/>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021986"/>
    <w:rPr>
      <w:b/>
      <w:bCs/>
    </w:rPr>
  </w:style>
  <w:style w:type="character" w:customStyle="1" w:styleId="CommentSubjectChar">
    <w:name w:val="Comment Subject Char"/>
    <w:basedOn w:val="CommentTextChar"/>
    <w:link w:val="CommentSubject"/>
    <w:uiPriority w:val="99"/>
    <w:semiHidden/>
    <w:rsid w:val="00021986"/>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021986"/>
    <w:rPr>
      <w:rFonts w:cs="Times New Roman"/>
      <w:b/>
    </w:rPr>
  </w:style>
  <w:style w:type="paragraph" w:customStyle="1" w:styleId="0105Ext">
    <w:name w:val="01.05 Ext"/>
    <w:basedOn w:val="Normal"/>
    <w:rsid w:val="00021986"/>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021986"/>
    <w:pPr>
      <w:spacing w:before="360"/>
    </w:pPr>
  </w:style>
  <w:style w:type="paragraph" w:customStyle="1" w:styleId="0102ParaContinuation">
    <w:name w:val="01.02 ParaContinuation"/>
    <w:basedOn w:val="Normal"/>
    <w:rsid w:val="00021986"/>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021986"/>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021986"/>
    <w:rPr>
      <w:bdr w:val="none" w:sz="0" w:space="0" w:color="auto"/>
      <w:shd w:val="clear" w:color="auto" w:fill="663300"/>
      <w:vertAlign w:val="superscript"/>
    </w:rPr>
  </w:style>
  <w:style w:type="character" w:customStyle="1" w:styleId="0905XRefLink">
    <w:name w:val="09.05 XRefLink"/>
    <w:qFormat/>
    <w:rsid w:val="00021986"/>
    <w:rPr>
      <w:color w:val="0070C0"/>
      <w:u w:val="single" w:color="4BACC6"/>
    </w:rPr>
  </w:style>
  <w:style w:type="paragraph" w:customStyle="1" w:styleId="0401FN">
    <w:name w:val="04.01 FN"/>
    <w:basedOn w:val="Normal"/>
    <w:qFormat/>
    <w:rsid w:val="00021986"/>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021986"/>
    <w:rPr>
      <w:color w:val="000000"/>
      <w:u w:val="single" w:color="4BACC6"/>
      <w:bdr w:val="none" w:sz="0" w:space="0" w:color="auto"/>
      <w:shd w:val="clear" w:color="auto" w:fill="93B7FF"/>
    </w:rPr>
  </w:style>
  <w:style w:type="paragraph" w:customStyle="1" w:styleId="0101Para">
    <w:name w:val="01.01 Para"/>
    <w:basedOn w:val="Normal"/>
    <w:qFormat/>
    <w:rsid w:val="00021986"/>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021986"/>
  </w:style>
  <w:style w:type="character" w:customStyle="1" w:styleId="versenumber">
    <w:name w:val="versenumber"/>
    <w:basedOn w:val="DefaultParagraphFont"/>
    <w:rsid w:val="00021986"/>
  </w:style>
  <w:style w:type="character" w:customStyle="1" w:styleId="apple-tab-span">
    <w:name w:val="apple-tab-span"/>
    <w:basedOn w:val="DefaultParagraphFont"/>
    <w:rsid w:val="00021986"/>
  </w:style>
  <w:style w:type="character" w:customStyle="1" w:styleId="woj">
    <w:name w:val="woj"/>
    <w:basedOn w:val="DefaultParagraphFont"/>
    <w:rsid w:val="00021986"/>
  </w:style>
  <w:style w:type="character" w:customStyle="1" w:styleId="apple-converted-space">
    <w:name w:val="apple-converted-space"/>
    <w:basedOn w:val="DefaultParagraphFont"/>
    <w:rsid w:val="00021986"/>
  </w:style>
  <w:style w:type="character" w:customStyle="1" w:styleId="VerseRef">
    <w:name w:val="VerseRef"/>
    <w:rsid w:val="00021986"/>
    <w:rPr>
      <w:rFonts w:ascii="Times New Roman" w:hAnsi="Times New Roman"/>
      <w:b/>
      <w:spacing w:val="-4"/>
      <w:kern w:val="18"/>
      <w:sz w:val="17"/>
    </w:rPr>
  </w:style>
  <w:style w:type="paragraph" w:customStyle="1" w:styleId="BodyText">
    <w:name w:val="BodyText"/>
    <w:basedOn w:val="Normal"/>
    <w:rsid w:val="00021986"/>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021986"/>
    <w:rPr>
      <w:color w:val="954F72" w:themeColor="followedHyperlink"/>
      <w:u w:val="single"/>
    </w:rPr>
  </w:style>
  <w:style w:type="paragraph" w:customStyle="1" w:styleId="qowt-stl-name">
    <w:name w:val="qowt-stl-name"/>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021986"/>
  </w:style>
  <w:style w:type="paragraph" w:customStyle="1" w:styleId="qowt-stl-subtitle1">
    <w:name w:val="qowt-stl-subtitle1"/>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021986"/>
  </w:style>
  <w:style w:type="paragraph" w:customStyle="1" w:styleId="qowt-stl-header">
    <w:name w:val="qowt-stl-header"/>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021986"/>
    <w:pPr>
      <w:spacing w:line="320" w:lineRule="exact"/>
    </w:pPr>
    <w:rPr>
      <w:i/>
      <w:szCs w:val="28"/>
    </w:rPr>
  </w:style>
  <w:style w:type="paragraph" w:customStyle="1" w:styleId="Name">
    <w:name w:val="Name"/>
    <w:basedOn w:val="Normal"/>
    <w:next w:val="Subtitle1"/>
    <w:rsid w:val="00021986"/>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021986"/>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021986"/>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021986"/>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021986"/>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021986"/>
    <w:rPr>
      <w:rFonts w:ascii="Times New Roman" w:eastAsia="SimSun" w:hAnsi="Times New Roman" w:cs="Mangal"/>
      <w:iCs/>
      <w:color w:val="000000" w:themeColor="text1"/>
      <w:kern w:val="1"/>
      <w:sz w:val="20"/>
      <w:szCs w:val="21"/>
      <w:lang w:eastAsia="hi-IN" w:bidi="hi-IN"/>
    </w:rPr>
  </w:style>
  <w:style w:type="paragraph" w:customStyle="1" w:styleId="msonormal0">
    <w:name w:val="msonormal"/>
    <w:basedOn w:val="Normal"/>
    <w:rsid w:val="00DE0197"/>
    <w:pPr>
      <w:widowControl/>
      <w:suppressAutoHyphens w:val="0"/>
      <w:spacing w:before="100" w:beforeAutospacing="1" w:after="100" w:afterAutospacing="1"/>
    </w:pPr>
    <w:rPr>
      <w:rFonts w:eastAsia="Times New Roman" w:cs="Times New Roman"/>
      <w:kern w:val="0"/>
      <w:lang w:eastAsia="de-DE" w:bidi="ar-SA"/>
    </w:rPr>
  </w:style>
  <w:style w:type="character" w:styleId="UnresolvedMention">
    <w:name w:val="Unresolved Mention"/>
    <w:basedOn w:val="DefaultParagraphFont"/>
    <w:uiPriority w:val="99"/>
    <w:semiHidden/>
    <w:unhideWhenUsed/>
    <w:rsid w:val="00EF4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11188">
      <w:bodyDiv w:val="1"/>
      <w:marLeft w:val="0"/>
      <w:marRight w:val="0"/>
      <w:marTop w:val="0"/>
      <w:marBottom w:val="0"/>
      <w:divBdr>
        <w:top w:val="none" w:sz="0" w:space="0" w:color="auto"/>
        <w:left w:val="none" w:sz="0" w:space="0" w:color="auto"/>
        <w:bottom w:val="none" w:sz="0" w:space="0" w:color="auto"/>
        <w:right w:val="none" w:sz="0" w:space="0" w:color="auto"/>
      </w:divBdr>
      <w:divsChild>
        <w:div w:id="1480730734">
          <w:marLeft w:val="0"/>
          <w:marRight w:val="0"/>
          <w:marTop w:val="0"/>
          <w:marBottom w:val="0"/>
          <w:divBdr>
            <w:top w:val="none" w:sz="0" w:space="0" w:color="auto"/>
            <w:left w:val="none" w:sz="0" w:space="0" w:color="auto"/>
            <w:bottom w:val="none" w:sz="0" w:space="0" w:color="auto"/>
            <w:right w:val="none" w:sz="0" w:space="0" w:color="auto"/>
          </w:divBdr>
        </w:div>
      </w:divsChild>
    </w:div>
    <w:div w:id="339239479">
      <w:bodyDiv w:val="1"/>
      <w:marLeft w:val="0"/>
      <w:marRight w:val="0"/>
      <w:marTop w:val="0"/>
      <w:marBottom w:val="0"/>
      <w:divBdr>
        <w:top w:val="none" w:sz="0" w:space="0" w:color="auto"/>
        <w:left w:val="none" w:sz="0" w:space="0" w:color="auto"/>
        <w:bottom w:val="none" w:sz="0" w:space="0" w:color="auto"/>
        <w:right w:val="none" w:sz="0" w:space="0" w:color="auto"/>
      </w:divBdr>
      <w:divsChild>
        <w:div w:id="1523545280">
          <w:marLeft w:val="0"/>
          <w:marRight w:val="0"/>
          <w:marTop w:val="0"/>
          <w:marBottom w:val="0"/>
          <w:divBdr>
            <w:top w:val="none" w:sz="0" w:space="0" w:color="auto"/>
            <w:left w:val="none" w:sz="0" w:space="0" w:color="auto"/>
            <w:bottom w:val="none" w:sz="0" w:space="0" w:color="auto"/>
            <w:right w:val="none" w:sz="0" w:space="0" w:color="auto"/>
          </w:divBdr>
        </w:div>
      </w:divsChild>
    </w:div>
    <w:div w:id="1905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7309</Words>
  <Characters>46047</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Markus Vinzent</cp:lastModifiedBy>
  <cp:revision>2</cp:revision>
  <dcterms:created xsi:type="dcterms:W3CDTF">2021-03-26T17:18:00Z</dcterms:created>
  <dcterms:modified xsi:type="dcterms:W3CDTF">2021-03-26T17:18:00Z</dcterms:modified>
</cp:coreProperties>
</file>