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780EBF" w14:textId="77777777" w:rsidR="00CF52C2" w:rsidRDefault="00893B49" w:rsidP="00893B49">
      <w:pPr>
        <w:pStyle w:val="Heading1"/>
        <w:rPr>
          <w:i/>
          <w:iCs/>
        </w:rPr>
      </w:pPr>
      <w:r>
        <w:t>T</w:t>
      </w:r>
      <w:r w:rsidRPr="00893B49">
        <w:t>he chromatin remodeler BRAHMA suppresses</w:t>
      </w:r>
      <w:r w:rsidR="002B6345" w:rsidRPr="002B6345">
        <w:t xml:space="preserve"> </w:t>
      </w:r>
      <w:r w:rsidR="002B6345">
        <w:t>chromatin</w:t>
      </w:r>
      <w:r w:rsidRPr="00893B49">
        <w:t xml:space="preserve"> accessibility and expression </w:t>
      </w:r>
      <w:r>
        <w:t>of transposable element</w:t>
      </w:r>
      <w:r w:rsidRPr="00893B49">
        <w:t xml:space="preserve">s in </w:t>
      </w:r>
      <w:r w:rsidRPr="00893B49">
        <w:rPr>
          <w:i/>
          <w:iCs/>
        </w:rPr>
        <w:t>Arabidopsis thaliana</w:t>
      </w:r>
    </w:p>
    <w:p w14:paraId="62DA8A5B" w14:textId="2BA23D43" w:rsidR="007D2916" w:rsidRDefault="007D2916" w:rsidP="007D2916">
      <w:pPr>
        <w:spacing w:after="0" w:line="240" w:lineRule="auto"/>
        <w:jc w:val="center"/>
        <w:rPr>
          <w:rFonts w:asciiTheme="majorBidi" w:eastAsia="Times New Roman" w:hAnsiTheme="majorBidi" w:cstheme="majorBidi"/>
          <w:szCs w:val="24"/>
        </w:rPr>
      </w:pPr>
      <w:r>
        <w:t xml:space="preserve">Miriam Tannenbaum, </w:t>
      </w:r>
      <w:r w:rsidRPr="001D48CB">
        <w:rPr>
          <w:rFonts w:asciiTheme="majorBidi" w:eastAsia="Times New Roman" w:hAnsiTheme="majorBidi" w:cstheme="majorBidi"/>
          <w:szCs w:val="24"/>
        </w:rPr>
        <w:t xml:space="preserve">Ronen </w:t>
      </w:r>
      <w:r>
        <w:rPr>
          <w:rFonts w:asciiTheme="majorBidi" w:eastAsia="Times New Roman" w:hAnsiTheme="majorBidi" w:cstheme="majorBidi"/>
          <w:szCs w:val="24"/>
        </w:rPr>
        <w:t>Krispil,</w:t>
      </w:r>
      <w:r w:rsidRPr="007D2916">
        <w:rPr>
          <w:rFonts w:asciiTheme="majorBidi" w:eastAsia="Times New Roman" w:hAnsiTheme="majorBidi" w:cstheme="majorBidi"/>
          <w:szCs w:val="24"/>
        </w:rPr>
        <w:t xml:space="preserve"> </w:t>
      </w:r>
      <w:r>
        <w:rPr>
          <w:rFonts w:asciiTheme="majorBidi" w:eastAsia="Times New Roman" w:hAnsiTheme="majorBidi" w:cstheme="majorBidi"/>
          <w:szCs w:val="24"/>
        </w:rPr>
        <w:t xml:space="preserve">Hiba </w:t>
      </w:r>
      <w:r w:rsidR="00B010B5">
        <w:rPr>
          <w:rFonts w:asciiTheme="majorBidi" w:eastAsia="Times New Roman" w:hAnsiTheme="majorBidi" w:cstheme="majorBidi"/>
          <w:szCs w:val="24"/>
        </w:rPr>
        <w:t>Waldman-Ben-Asher</w:t>
      </w:r>
      <w:r>
        <w:rPr>
          <w:rFonts w:asciiTheme="majorBidi" w:eastAsia="Times New Roman" w:hAnsiTheme="majorBidi" w:cstheme="majorBidi"/>
          <w:szCs w:val="24"/>
        </w:rPr>
        <w:t xml:space="preserve"> and</w:t>
      </w:r>
      <w:r w:rsidRPr="007D2916">
        <w:rPr>
          <w:rFonts w:asciiTheme="majorBidi" w:eastAsia="Times New Roman" w:hAnsiTheme="majorBidi" w:cstheme="majorBidi"/>
          <w:szCs w:val="24"/>
        </w:rPr>
        <w:t xml:space="preserve"> </w:t>
      </w:r>
      <w:r>
        <w:rPr>
          <w:rFonts w:asciiTheme="majorBidi" w:eastAsia="Times New Roman" w:hAnsiTheme="majorBidi" w:cstheme="majorBidi"/>
          <w:szCs w:val="24"/>
        </w:rPr>
        <w:t>Ofir</w:t>
      </w:r>
      <w:r w:rsidRPr="007D2916">
        <w:rPr>
          <w:rFonts w:asciiTheme="majorBidi" w:eastAsia="Times New Roman" w:hAnsiTheme="majorBidi" w:cstheme="majorBidi"/>
          <w:szCs w:val="24"/>
        </w:rPr>
        <w:t xml:space="preserve"> </w:t>
      </w:r>
      <w:r>
        <w:rPr>
          <w:rFonts w:asciiTheme="majorBidi" w:eastAsia="Times New Roman" w:hAnsiTheme="majorBidi" w:cstheme="majorBidi"/>
          <w:szCs w:val="24"/>
        </w:rPr>
        <w:t>Hakim</w:t>
      </w:r>
    </w:p>
    <w:p w14:paraId="7AA6DF6B" w14:textId="77777777" w:rsidR="00B010B5" w:rsidRDefault="00B010B5" w:rsidP="007D2916"/>
    <w:p w14:paraId="74FA9E25" w14:textId="6ED613F0" w:rsidR="007D2916" w:rsidRDefault="00B010B5" w:rsidP="007D2916">
      <w:r w:rsidRPr="00B010B5">
        <w:t>The Mina and Everard Goodman Faculty of Life Sciences, Bar-Ilan University, Ramat-Gan, Israel</w:t>
      </w:r>
    </w:p>
    <w:p w14:paraId="25C7D8FF" w14:textId="65692D68" w:rsidR="00B010B5" w:rsidRPr="007D2916" w:rsidRDefault="00B010B5" w:rsidP="00B010B5">
      <w:r w:rsidRPr="00B010B5">
        <w:t>Corresponding author</w:t>
      </w:r>
      <w:r>
        <w:t xml:space="preserve">: Ofir Hakim </w:t>
      </w:r>
      <w:hyperlink r:id="rId8" w:history="1">
        <w:r w:rsidRPr="00B07624">
          <w:rPr>
            <w:rStyle w:val="Hyperlink"/>
          </w:rPr>
          <w:t>Ofr.Hakim@biu.ac.il</w:t>
        </w:r>
      </w:hyperlink>
    </w:p>
    <w:p w14:paraId="4D91F085" w14:textId="77777777" w:rsidR="00453ED6" w:rsidRPr="00CB6744" w:rsidRDefault="00453ED6">
      <w:pPr>
        <w:spacing w:line="276" w:lineRule="auto"/>
        <w:jc w:val="left"/>
        <w:rPr>
          <w:rFonts w:asciiTheme="majorBidi" w:eastAsiaTheme="majorEastAsia" w:hAnsiTheme="majorBidi" w:cstheme="majorBidi"/>
          <w:b/>
          <w:color w:val="000000" w:themeColor="text1"/>
          <w:sz w:val="32"/>
          <w:szCs w:val="32"/>
        </w:rPr>
      </w:pPr>
      <w:r w:rsidRPr="00CB6744">
        <w:rPr>
          <w:rFonts w:asciiTheme="majorBidi" w:hAnsiTheme="majorBidi" w:cstheme="majorBidi"/>
        </w:rPr>
        <w:br w:type="page"/>
      </w:r>
    </w:p>
    <w:p w14:paraId="72C4FA8D" w14:textId="2C337F38" w:rsidR="00C30C14" w:rsidRPr="00CB6744" w:rsidRDefault="00C30C14" w:rsidP="00C30C14">
      <w:pPr>
        <w:pStyle w:val="Heading1"/>
      </w:pPr>
      <w:r w:rsidRPr="00CB6744">
        <w:lastRenderedPageBreak/>
        <w:t>Abstract</w:t>
      </w:r>
      <w:r w:rsidR="00F16B0D" w:rsidRPr="00F16B0D">
        <w:rPr>
          <w:rStyle w:val="FootnoteReference"/>
          <w:vanish/>
        </w:rPr>
        <w:footnoteReference w:id="1"/>
      </w:r>
    </w:p>
    <w:p w14:paraId="09CCE411" w14:textId="62D00363" w:rsidR="008B0DF4" w:rsidRDefault="00D81ADF" w:rsidP="00E75F18">
      <w:pPr>
        <w:rPr>
          <w:rFonts w:asciiTheme="majorBidi" w:hAnsiTheme="majorBidi" w:cstheme="majorBidi"/>
        </w:rPr>
      </w:pPr>
      <w:r>
        <w:rPr>
          <w:rFonts w:asciiTheme="majorBidi" w:hAnsiTheme="majorBidi" w:cstheme="majorBidi"/>
          <w:szCs w:val="24"/>
        </w:rPr>
        <w:t xml:space="preserve">Chromatin remodeling is a gatekeeper of transcriptional regulation, as it governs </w:t>
      </w:r>
      <w:r w:rsidR="0052731B">
        <w:rPr>
          <w:rFonts w:asciiTheme="majorBidi" w:hAnsiTheme="majorBidi" w:cstheme="majorBidi"/>
          <w:szCs w:val="24"/>
        </w:rPr>
        <w:t xml:space="preserve">chromatin structure which enables </w:t>
      </w:r>
      <w:r>
        <w:rPr>
          <w:rFonts w:asciiTheme="majorBidi" w:hAnsiTheme="majorBidi" w:cstheme="majorBidi"/>
          <w:szCs w:val="24"/>
        </w:rPr>
        <w:t xml:space="preserve">other proteins to bind certain DNA regions. </w:t>
      </w:r>
      <w:r w:rsidR="008B0DF4">
        <w:t>Chromatin remodelers</w:t>
      </w:r>
      <w:r w:rsidR="00344FB5">
        <w:t xml:space="preserve"> ATPases </w:t>
      </w:r>
      <w:r w:rsidR="008B0DF4">
        <w:t>regulate chromatin accessibility</w:t>
      </w:r>
      <w:r w:rsidR="00723B34">
        <w:t xml:space="preserve"> </w:t>
      </w:r>
      <w:r w:rsidR="008B0DF4">
        <w:t>by altering nucleosome positioning</w:t>
      </w:r>
      <w:r w:rsidR="00E75F18">
        <w:t>.</w:t>
      </w:r>
      <w:r w:rsidR="00723B34" w:rsidRPr="00723B34">
        <w:t xml:space="preserve"> </w:t>
      </w:r>
      <w:r w:rsidR="00B83333">
        <w:t xml:space="preserve">The </w:t>
      </w:r>
      <w:r w:rsidR="00B83333" w:rsidRPr="00472B6C">
        <w:t>Arabidopsis</w:t>
      </w:r>
      <w:r w:rsidR="00B83333">
        <w:t xml:space="preserve"> </w:t>
      </w:r>
      <w:r w:rsidR="00723B34">
        <w:t>BRAHMA</w:t>
      </w:r>
      <w:r w:rsidR="00B83333">
        <w:t xml:space="preserve"> (BRM) chromatin remodeler</w:t>
      </w:r>
      <w:r w:rsidR="00F06B76">
        <w:t xml:space="preserve"> </w:t>
      </w:r>
      <w:r w:rsidR="00B83333" w:rsidRPr="00B83333">
        <w:t xml:space="preserve">plays an essential role in </w:t>
      </w:r>
      <w:r w:rsidR="00117EDD">
        <w:t>regulating</w:t>
      </w:r>
      <w:r w:rsidR="00117EDD" w:rsidRPr="00B83333">
        <w:t xml:space="preserve"> </w:t>
      </w:r>
      <w:r w:rsidR="00117EDD">
        <w:t xml:space="preserve">the transcriptional program during </w:t>
      </w:r>
      <w:r w:rsidR="00B83333" w:rsidRPr="00B83333">
        <w:t>development</w:t>
      </w:r>
      <w:r w:rsidR="00117EDD">
        <w:t xml:space="preserve"> and in response to external signals. To identify BRM gene targets and mode of action we combined g</w:t>
      </w:r>
      <w:r w:rsidR="00485212">
        <w:t xml:space="preserve">ene </w:t>
      </w:r>
      <w:r w:rsidR="008B0DF4">
        <w:t>expression and chromatin accessibility</w:t>
      </w:r>
      <w:r w:rsidR="00485212">
        <w:t xml:space="preserve"> profiling </w:t>
      </w:r>
      <w:r w:rsidR="00117EDD">
        <w:t>in</w:t>
      </w:r>
      <w:r w:rsidR="00485212">
        <w:t xml:space="preserve"> </w:t>
      </w:r>
      <w:r w:rsidR="008B0DF4" w:rsidRPr="004C0F7A">
        <w:rPr>
          <w:i/>
          <w:iCs/>
        </w:rPr>
        <w:t>brm</w:t>
      </w:r>
      <w:r>
        <w:t xml:space="preserve"> </w:t>
      </w:r>
      <w:r w:rsidR="008B0DF4">
        <w:t>mutant</w:t>
      </w:r>
      <w:r w:rsidR="00485212">
        <w:t xml:space="preserve"> plants</w:t>
      </w:r>
      <w:r w:rsidR="00117EDD">
        <w:t xml:space="preserve">. </w:t>
      </w:r>
      <w:r w:rsidR="00A46FB1">
        <w:t xml:space="preserve">Chromatin accessibility </w:t>
      </w:r>
      <w:r w:rsidR="00A36222">
        <w:t>was increased at</w:t>
      </w:r>
      <w:r w:rsidR="00A46FB1">
        <w:t xml:space="preserve"> </w:t>
      </w:r>
      <w:r w:rsidR="00A46FB1" w:rsidRPr="00472B6C">
        <w:rPr>
          <w:i/>
          <w:iCs/>
        </w:rPr>
        <w:t>brm</w:t>
      </w:r>
      <w:r w:rsidR="00A46FB1">
        <w:t xml:space="preserve">-activated gens but was invariable in </w:t>
      </w:r>
      <w:r w:rsidR="00A46FB1" w:rsidRPr="00472B6C">
        <w:rPr>
          <w:i/>
          <w:iCs/>
        </w:rPr>
        <w:t>brm</w:t>
      </w:r>
      <w:r w:rsidR="00A46FB1">
        <w:t>-repressed genes, i</w:t>
      </w:r>
      <w:r w:rsidR="00A46FB1" w:rsidRPr="00A46FB1">
        <w:t xml:space="preserve">ndicating a role for </w:t>
      </w:r>
      <w:r w:rsidR="00A46FB1">
        <w:t>BRM</w:t>
      </w:r>
      <w:r w:rsidR="00A46FB1" w:rsidRPr="00A46FB1">
        <w:t xml:space="preserve"> in the maintenance of chromatin in a closed state</w:t>
      </w:r>
      <w:r w:rsidR="008B0DF4">
        <w:t xml:space="preserve">. </w:t>
      </w:r>
      <w:r>
        <w:t>Interestingly, non-coding transcripts</w:t>
      </w:r>
      <w:r w:rsidR="00912A5B">
        <w:t>,</w:t>
      </w:r>
      <w:r>
        <w:t xml:space="preserve"> such as transposable elements genes</w:t>
      </w:r>
      <w:r w:rsidR="00912A5B">
        <w:t xml:space="preserve">, </w:t>
      </w:r>
      <w:r>
        <w:t xml:space="preserve">were over represented in the group </w:t>
      </w:r>
      <w:r w:rsidR="00A36222" w:rsidRPr="00D81ADF">
        <w:rPr>
          <w:i/>
          <w:iCs/>
        </w:rPr>
        <w:t>brm</w:t>
      </w:r>
      <w:r w:rsidR="00A36222">
        <w:t xml:space="preserve">-misregulated genes </w:t>
      </w:r>
      <w:r w:rsidR="00E752A2">
        <w:t xml:space="preserve">and associated with </w:t>
      </w:r>
      <w:r w:rsidR="00E752A2" w:rsidRPr="004C0F7A">
        <w:rPr>
          <w:rFonts w:asciiTheme="majorBidi" w:hAnsiTheme="majorBidi" w:cstheme="majorBidi"/>
          <w:i/>
          <w:iCs/>
        </w:rPr>
        <w:t>brm</w:t>
      </w:r>
      <w:r w:rsidR="00E752A2">
        <w:rPr>
          <w:rFonts w:asciiTheme="majorBidi" w:hAnsiTheme="majorBidi" w:cstheme="majorBidi"/>
        </w:rPr>
        <w:t>-specific accessible</w:t>
      </w:r>
      <w:r w:rsidR="00E75F18">
        <w:rPr>
          <w:rFonts w:asciiTheme="majorBidi" w:hAnsiTheme="majorBidi" w:cstheme="majorBidi"/>
        </w:rPr>
        <w:t xml:space="preserve"> loci</w:t>
      </w:r>
      <w:r w:rsidR="008B0DF4">
        <w:rPr>
          <w:rFonts w:asciiTheme="majorBidi" w:hAnsiTheme="majorBidi" w:cstheme="majorBidi"/>
        </w:rPr>
        <w:t>. Reporter assay indicated that these sequences yield higher expression in the mutant vs WT. Altogether, we found that BRAHMA maintains inaccessibility at specific transposable elements to prevent their expression.</w:t>
      </w:r>
    </w:p>
    <w:p w14:paraId="611ED018" w14:textId="76220E78" w:rsidR="00846EB2" w:rsidRDefault="00846EB2" w:rsidP="00E75F18">
      <w:pPr>
        <w:rPr>
          <w:rFonts w:asciiTheme="majorBidi" w:hAnsiTheme="majorBidi" w:cstheme="majorBidi"/>
        </w:rPr>
      </w:pPr>
    </w:p>
    <w:p w14:paraId="13920510" w14:textId="2D5090E4" w:rsidR="00846EB2" w:rsidRDefault="00846EB2" w:rsidP="00E75F18">
      <w:pPr>
        <w:rPr>
          <w:rtl/>
        </w:rPr>
      </w:pPr>
      <w:r>
        <w:rPr>
          <w:rFonts w:asciiTheme="majorBidi" w:hAnsiTheme="majorBidi" w:cstheme="majorBidi"/>
        </w:rPr>
        <w:t xml:space="preserve">Keywords: chromatin remodeling, </w:t>
      </w:r>
      <w:r w:rsidRPr="00846EB2">
        <w:rPr>
          <w:rFonts w:asciiTheme="majorBidi" w:hAnsiTheme="majorBidi" w:cstheme="majorBidi"/>
        </w:rPr>
        <w:t>Chromatin accessibility, Chromatin structure</w:t>
      </w:r>
      <w:r>
        <w:rPr>
          <w:rFonts w:asciiTheme="majorBidi" w:hAnsiTheme="majorBidi" w:cstheme="majorBidi"/>
        </w:rPr>
        <w:t xml:space="preserve">, </w:t>
      </w:r>
      <w:r w:rsidRPr="00846EB2">
        <w:rPr>
          <w:rFonts w:asciiTheme="majorBidi" w:hAnsiTheme="majorBidi" w:cstheme="majorBidi"/>
        </w:rPr>
        <w:t>Arabidopsis thaliana, ATAC-seq, INTACT</w:t>
      </w:r>
    </w:p>
    <w:p w14:paraId="145628EF" w14:textId="77777777" w:rsidR="00C30C14" w:rsidRPr="00CB6744" w:rsidRDefault="00C30C14">
      <w:pPr>
        <w:spacing w:line="276" w:lineRule="auto"/>
        <w:jc w:val="left"/>
        <w:rPr>
          <w:rFonts w:asciiTheme="majorBidi" w:eastAsiaTheme="majorEastAsia" w:hAnsiTheme="majorBidi" w:cstheme="majorBidi"/>
          <w:b/>
          <w:color w:val="000000" w:themeColor="text1"/>
          <w:sz w:val="32"/>
          <w:szCs w:val="32"/>
        </w:rPr>
      </w:pPr>
      <w:r w:rsidRPr="00CB6744">
        <w:rPr>
          <w:rFonts w:asciiTheme="majorBidi" w:hAnsiTheme="majorBidi" w:cstheme="majorBidi"/>
        </w:rPr>
        <w:br w:type="page"/>
      </w:r>
    </w:p>
    <w:p w14:paraId="486D1A9C" w14:textId="414DB24F" w:rsidR="00255888" w:rsidRPr="00CB6744" w:rsidRDefault="000B2B37" w:rsidP="00B010B5">
      <w:pPr>
        <w:pStyle w:val="Heading1"/>
        <w:numPr>
          <w:ilvl w:val="0"/>
          <w:numId w:val="4"/>
        </w:numPr>
      </w:pPr>
      <w:r w:rsidRPr="00CB6744">
        <w:lastRenderedPageBreak/>
        <w:t>Introduction</w:t>
      </w:r>
    </w:p>
    <w:p w14:paraId="1CA2BEF2" w14:textId="1061D970" w:rsidR="00C31295" w:rsidRDefault="00560CAD" w:rsidP="00560CAD">
      <w:pPr>
        <w:rPr>
          <w:rFonts w:asciiTheme="majorBidi" w:hAnsiTheme="majorBidi" w:cstheme="majorBidi"/>
          <w:szCs w:val="24"/>
        </w:rPr>
      </w:pPr>
      <w:r>
        <w:rPr>
          <w:rFonts w:asciiTheme="majorBidi" w:hAnsiTheme="majorBidi" w:cstheme="majorBidi"/>
          <w:szCs w:val="24"/>
        </w:rPr>
        <w:t xml:space="preserve">In Eukaryotes, the DNA is tightly wrapped around nucleosomes, and since the majority of transcription factors (TFs) bind at open chromatin regions, the packaging needs to alter to allow physical interaction </w:t>
      </w:r>
      <w:r>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{"citationItems":[{"id":"ITEM-1","itemData":{"DOI":"10.3390/genes6020299","ISSN":"2073-4425","PMID":"26075616","abstract":"Chromatin remodelers are key players in the regulation of chromatin accessibility and nucleosome positioning on the eukaryotic DNA, thereby essential for all DNA dependent biological processes. Thus, it is not surprising that upon of deregulation of those molecular machines healthy cells can turn into cancerous cells. Even though the remodeling enzymes are very abundant and a multitude of different enzymes and chromatin remodeling complexes exist in the cell, the particular remodeling complex with its specific nucleosome positioning features must be at the right place at the right time in order to ensure the proper regulation of the DNA dependent processes. To achieve this, chromatin remodeling complexes harbor protein domains that specifically read chromatin targeting signals, such as histone modifications, DNA sequence/structure, non-coding RNAs, histone variants or DNA bound interacting proteins. Recent studies reveal the interaction between non-coding RNAs and chromatin remodeling complexes showing importance of RNA in remodeling enzyme targeting, scaffolding and regulation. In this review, we summarize current understanding of chromatin remodeling enzyme targeting to chromatin and their role in cancer development.","author":[{"dropping-particle":"","family":"Längst","given":"Gernot","non-dropping-particle":"","parse-names":false,"suffix":""},{"dropping-particle":"","family":"Manelyte","given":"Laura","non-dropping-particle":"","parse-names":false,"suffix":""}],"container-title":"Genes","id":"ITEM-1","issue":"2","issued":{"date-parts":[["2015"]]},"page":"299-324","publisher":"Multidisciplinary Digital Publishing Institute  (MDPI)","title":"Chromatin Remodelers: From Function to Dysfunction.","type":"article-journal","volume":"6"},"uris":["http://www.mendeley.com/documents/?uuid=81bdc7a2-f2d2-3d78-9ec2-f10f99e435ca"]},{"id":"ITEM-2","itemData":{"DOI":"10.1038/s41576-018-0089-8","ISSN":"1471-0056","abstract":"Physical access to DNA is a highly dynamic property of chromatin that plays an essential role in establishing and maintaining cellular identity. The organization of accessible chromatin across the genome reflects a network of permissible physical interactions through which enhancers, promoters, insulators and chromatin-binding factors cooperatively regulate gene expression. This landscape of accessibility changes dynamically in response to both external stimuli and developmental cues, and emerging evidence suggests that homeostatic maintenance of accessibility is itself dynamically regulated through a competitive interplay between chromatin-binding factors and nucleosomes. In this Review, we examine how the accessible genome is measured and explore the role of transcription factors in initiating accessibility remodelling; our goal is to illustrate how chromatin accessibility defines regulatory elements within the genome and how these epigenetic features are dynamically established to control gene expression.","author":[{"dropping-particle":"","family":"Klemm","given":"Sandy L.","non-dropping-particle":"","parse-names":false,"suffix":""},{"dropping-particle":"","family":"Shipony","given":"Zohar","non-dropping-particle":"","parse-names":false,"suffix":""},{"dropping-particle":"","family":"Greenleaf","given":"William J.","non-dropping-particle":"","parse-names":false,"suffix":""}],"container-title":"Nature Reviews Genetics","id":"ITEM-2","issued":{"date-parts":[["2019","1","23"]]},"page":"1","publisher":"Nature Publishing Group","title":"Chromatin accessibility and the regulatory epigenome","type":"article-journal"},"uris":["http://www.mendeley.com/documents/?uuid=5a529ca9-09c9-36c4-8845-da584fd9dcf0"]}],"mendeley":{"formattedCitation":"[1,2]","plainTextFormattedCitation":"[1,2]","previouslyFormattedCitation":"[1,2]"},"properties":{"noteIndex":0},"schema":"https://github.com/citation-style-language/schema/raw/master/csl-citation.json"}</w:instrText>
      </w:r>
      <w:r>
        <w:rPr>
          <w:rFonts w:asciiTheme="majorBidi" w:hAnsiTheme="majorBidi" w:cstheme="majorBidi"/>
          <w:szCs w:val="24"/>
        </w:rPr>
        <w:fldChar w:fldCharType="separate"/>
      </w:r>
      <w:r w:rsidR="002E23FE" w:rsidRPr="002E23FE">
        <w:rPr>
          <w:rFonts w:asciiTheme="majorBidi" w:hAnsiTheme="majorBidi" w:cstheme="majorBidi"/>
          <w:noProof/>
          <w:szCs w:val="24"/>
        </w:rPr>
        <w:t>[1,2]</w:t>
      </w:r>
      <w:r>
        <w:rPr>
          <w:rFonts w:asciiTheme="majorBidi" w:hAnsiTheme="majorBidi" w:cstheme="majorBidi"/>
          <w:szCs w:val="24"/>
        </w:rPr>
        <w:fldChar w:fldCharType="end"/>
      </w:r>
      <w:r w:rsidR="001C5F98">
        <w:rPr>
          <w:rFonts w:asciiTheme="majorBidi" w:hAnsiTheme="majorBidi" w:cstheme="majorBidi"/>
          <w:szCs w:val="24"/>
        </w:rPr>
        <w:t xml:space="preserve">. </w:t>
      </w:r>
      <w:r w:rsidR="00912405">
        <w:rPr>
          <w:rFonts w:asciiTheme="majorBidi" w:hAnsiTheme="majorBidi" w:cstheme="majorBidi"/>
          <w:szCs w:val="24"/>
        </w:rPr>
        <w:t>H</w:t>
      </w:r>
      <w:r w:rsidR="001C5F98">
        <w:rPr>
          <w:rFonts w:asciiTheme="majorBidi" w:hAnsiTheme="majorBidi" w:cstheme="majorBidi"/>
          <w:szCs w:val="24"/>
        </w:rPr>
        <w:t xml:space="preserve">ence, accessibility </w:t>
      </w:r>
      <w:r w:rsidR="00912405">
        <w:rPr>
          <w:rFonts w:asciiTheme="majorBidi" w:hAnsiTheme="majorBidi" w:cstheme="majorBidi"/>
          <w:szCs w:val="24"/>
        </w:rPr>
        <w:t xml:space="preserve">of a locus </w:t>
      </w:r>
      <w:r w:rsidR="001C5F98">
        <w:rPr>
          <w:rFonts w:asciiTheme="majorBidi" w:hAnsiTheme="majorBidi" w:cstheme="majorBidi"/>
          <w:szCs w:val="24"/>
        </w:rPr>
        <w:t xml:space="preserve">reflects </w:t>
      </w:r>
      <w:r w:rsidR="00912405">
        <w:rPr>
          <w:rFonts w:asciiTheme="majorBidi" w:hAnsiTheme="majorBidi" w:cstheme="majorBidi"/>
          <w:szCs w:val="24"/>
        </w:rPr>
        <w:t>its</w:t>
      </w:r>
      <w:r w:rsidR="001C5F98">
        <w:rPr>
          <w:rFonts w:asciiTheme="majorBidi" w:hAnsiTheme="majorBidi" w:cstheme="majorBidi"/>
          <w:szCs w:val="24"/>
        </w:rPr>
        <w:t xml:space="preserve"> </w:t>
      </w:r>
      <w:r w:rsidR="001C5F98" w:rsidRPr="001C5F98">
        <w:rPr>
          <w:rFonts w:asciiTheme="majorBidi" w:hAnsiTheme="majorBidi" w:cstheme="majorBidi"/>
          <w:szCs w:val="24"/>
        </w:rPr>
        <w:t>regulatory potentia</w:t>
      </w:r>
      <w:r w:rsidR="001C5F98">
        <w:rPr>
          <w:rFonts w:asciiTheme="majorBidi" w:hAnsiTheme="majorBidi" w:cstheme="majorBidi"/>
          <w:szCs w:val="24"/>
        </w:rPr>
        <w:t xml:space="preserve">l. </w:t>
      </w:r>
      <w:r w:rsidR="00CE0A71">
        <w:rPr>
          <w:rFonts w:asciiTheme="majorBidi" w:hAnsiTheme="majorBidi" w:cstheme="majorBidi"/>
          <w:szCs w:val="24"/>
        </w:rPr>
        <w:t xml:space="preserve">Chromatin accessibility </w:t>
      </w:r>
      <w:r w:rsidR="00C31295">
        <w:rPr>
          <w:rFonts w:asciiTheme="majorBidi" w:hAnsiTheme="majorBidi" w:cstheme="majorBidi"/>
          <w:szCs w:val="24"/>
        </w:rPr>
        <w:t xml:space="preserve">can be probed </w:t>
      </w:r>
      <w:r w:rsidR="002D65F3">
        <w:rPr>
          <w:rFonts w:asciiTheme="majorBidi" w:hAnsiTheme="majorBidi" w:cstheme="majorBidi"/>
          <w:szCs w:val="24"/>
        </w:rPr>
        <w:t xml:space="preserve">in a genome-wide manner </w:t>
      </w:r>
      <w:r w:rsidR="00C31295">
        <w:rPr>
          <w:rFonts w:asciiTheme="majorBidi" w:hAnsiTheme="majorBidi" w:cstheme="majorBidi"/>
          <w:szCs w:val="24"/>
        </w:rPr>
        <w:t xml:space="preserve">by </w:t>
      </w:r>
      <w:r w:rsidR="00CE0A71">
        <w:rPr>
          <w:rFonts w:asciiTheme="majorBidi" w:hAnsiTheme="majorBidi" w:cstheme="majorBidi"/>
          <w:szCs w:val="24"/>
        </w:rPr>
        <w:t>preferential digestion</w:t>
      </w:r>
      <w:r w:rsidR="00C31295">
        <w:rPr>
          <w:rFonts w:asciiTheme="majorBidi" w:hAnsiTheme="majorBidi" w:cstheme="majorBidi"/>
          <w:szCs w:val="24"/>
        </w:rPr>
        <w:t xml:space="preserve"> </w:t>
      </w:r>
      <w:r w:rsidR="002D65F3">
        <w:rPr>
          <w:rFonts w:asciiTheme="majorBidi" w:hAnsiTheme="majorBidi" w:cstheme="majorBidi"/>
          <w:szCs w:val="24"/>
        </w:rPr>
        <w:t>with</w:t>
      </w:r>
      <w:r w:rsidR="00C31295">
        <w:rPr>
          <w:rFonts w:asciiTheme="majorBidi" w:hAnsiTheme="majorBidi" w:cstheme="majorBidi"/>
          <w:szCs w:val="24"/>
        </w:rPr>
        <w:t xml:space="preserve"> nucleases, such as DNaseI and transposase</w:t>
      </w:r>
      <w:r w:rsidR="002D65F3">
        <w:rPr>
          <w:rFonts w:asciiTheme="majorBidi" w:hAnsiTheme="majorBidi" w:cstheme="majorBidi"/>
          <w:szCs w:val="24"/>
        </w:rPr>
        <w:t xml:space="preserve"> followed by next-generation sequencing (DNase-seq and ATAC-seq, respectively)</w:t>
      </w:r>
      <w:r w:rsidR="002D65F3">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{"citationItems":[{"id":"ITEM-1","itemData":{"DOI":"10.1038/nmeth.2688","ISBN":"5200401194","ISSN":"1548-7105","PMID":"24097267","abstract":"We describe an assay for transposase-accessible chromatin using sequencing (ATAC-seq), based on direct in vitro transposition of sequencing adaptors into native chromatin, as a rapid and sensitive method for integrative epigenomic analysis. ATAC-seq captures open chromatin sites using a simple two-step protocol with 500-50,000 cells and reveals the interplay between genomic locations of open chromatin, DNA-binding proteins, individual nucleosomes and chromatin compaction at nucleotide resolution. We discovered classes of DNA-binding factors that strictly avoided, could tolerate or tended to overlap with nucleosomes. Using ATAC-seq maps of human CD4(+) T cells from a proband obtained on consecutive days, we demonstrated the feasibility of analyzing an individual's epigenome on a timescale compatible with clinical decision-making.","author":[{"dropping-particle":"","family":"Buenrostro","given":"Jason D","non-dropping-particle":"","parse-names":false,"suffix":""},{"dropping-particle":"","family":"Giresi","given":"Paul G","non-dropping-particle":"","parse-names":false,"suffix":""},{"dropping-particle":"","family":"Zaba","given":"Lisa C","non-dropping-particle":"","parse-names":false,"suffix":""},{"dropping-particle":"","family":"Chang","given":"Howard Y","non-dropping-particle":"","parse-names":false,"suffix":""},{"dropping-particle":"","family":"Greenleaf","given":"William J","non-dropping-particle":"","parse-names":false,"suffix":""}],"container-title":"Nature methods","id":"ITEM-1","issue":"12","issued":{"date-parts":[["2013","12"]]},"page":"1213-8","title":"Transposition of native chromatin for fast and sensitive epigenomic profiling of open chromatin, DNA-binding proteins and nucleosome position.","type":"article-journal","volume":"10"},"uris":["http://www.mendeley.com/documents/?uuid=8320dbf9-f1be-41be-bfd4-95912498c7cc"]},{"id":"ITEM-2","itemData":{"DOI":"10.1002/0471142727.mb2129s109","ISBN":"0471142727","ISSN":"19343647","PMID":"18265184","abstract":"This unit describes Assay for Transposase-Accessible Chromatin with high-throughput sequencing (ATAC-seq), a method for mapping chromatin accessibility genome-wide. This method probes DNA accessibility with hyperactive Tn5 transposase, which inserts sequencing adapters into accessible regions of chromatin. Sequencing reads can then be used to infer regions of increased accessibility, as well as to map regions of transcription-factor binding and nucleosome position. The method is a fast and sensitive alternative to DNase-seq for assaying chromatin accessibility genome-wide, or to MNase-seq for assaying nucleosome positions in accessible regions of the genome. © 2015 by John Wiley &amp; Sons, Inc.","author":[{"dropping-particle":"","family":"Buenrostro","given":"Jason D.","non-dropping-particle":"","parse-names":false,"suffix":""},{"dropping-particle":"","family":"Wu","given":"Beijing","non-dropping-particle":"","parse-names":false,"suffix":""},{"dropping-particle":"","family":"Chang","given":"Howard Y.","non-dropping-particle":"","parse-names":false,"suffix":""},{"dropping-particle":"","family":"Greenleaf","given":"William J.","non-dropping-particle":"","parse-names":false,"suffix":""}],"container-title":"Current Protocols in Molecular Biology","id":"ITEM-2","issue":"January","issued":{"date-parts":[["2015","1","5"]]},"page":"21.29.1-21.29.9","publisher":"John Wiley &amp; Sons, Inc.","publisher-place":"Hoboken, NJ, USA","title":"ATAC-seq: A Method for Assaying Chromatin Accessibility Genome-Wide","type":"chapter","volume":"109"},"uris":["http://www.mendeley.com/documents/?uuid=6d457663-d58c-405f-9106-111c4c0eef5a"]}],"mendeley":{"formattedCitation":"[3,4]","plainTextFormattedCitation":"[3,4]","previouslyFormattedCitation":"[3,4]"},"properties":{"noteIndex":0},"schema":"https://github.com/citation-style-language/schema/raw/master/csl-citation.json"}</w:instrText>
      </w:r>
      <w:r w:rsidR="002D65F3">
        <w:rPr>
          <w:rFonts w:asciiTheme="majorBidi" w:hAnsiTheme="majorBidi" w:cstheme="majorBidi"/>
          <w:szCs w:val="24"/>
        </w:rPr>
        <w:fldChar w:fldCharType="separate"/>
      </w:r>
      <w:r w:rsidR="002E23FE" w:rsidRPr="002E23FE">
        <w:rPr>
          <w:rFonts w:asciiTheme="majorBidi" w:hAnsiTheme="majorBidi" w:cstheme="majorBidi"/>
          <w:noProof/>
          <w:szCs w:val="24"/>
        </w:rPr>
        <w:t>[3,4]</w:t>
      </w:r>
      <w:r w:rsidR="002D65F3">
        <w:rPr>
          <w:rFonts w:asciiTheme="majorBidi" w:hAnsiTheme="majorBidi" w:cstheme="majorBidi"/>
          <w:szCs w:val="24"/>
        </w:rPr>
        <w:fldChar w:fldCharType="end"/>
      </w:r>
      <w:r w:rsidR="00C31295">
        <w:rPr>
          <w:rFonts w:asciiTheme="majorBidi" w:hAnsiTheme="majorBidi" w:cstheme="majorBidi"/>
          <w:szCs w:val="24"/>
        </w:rPr>
        <w:t>.</w:t>
      </w:r>
    </w:p>
    <w:p w14:paraId="2A840F73" w14:textId="3EEA64BB" w:rsidR="004378AB" w:rsidRDefault="001C5F98" w:rsidP="00114582">
      <w:pPr>
        <w:rPr>
          <w:rFonts w:asciiTheme="majorBidi" w:hAnsiTheme="majorBidi" w:cstheme="majorBidi"/>
          <w:szCs w:val="24"/>
        </w:rPr>
      </w:pPr>
      <w:r>
        <w:rPr>
          <w:rFonts w:asciiTheme="majorBidi" w:hAnsiTheme="majorBidi" w:cstheme="majorBidi"/>
          <w:szCs w:val="24"/>
        </w:rPr>
        <w:t xml:space="preserve">Chromatin remodeling is </w:t>
      </w:r>
      <w:r w:rsidR="00217702">
        <w:rPr>
          <w:rFonts w:asciiTheme="majorBidi" w:hAnsiTheme="majorBidi" w:cstheme="majorBidi"/>
          <w:szCs w:val="24"/>
        </w:rPr>
        <w:t xml:space="preserve">a regulated </w:t>
      </w:r>
      <w:r>
        <w:rPr>
          <w:rFonts w:asciiTheme="majorBidi" w:hAnsiTheme="majorBidi" w:cstheme="majorBidi"/>
          <w:szCs w:val="24"/>
        </w:rPr>
        <w:t xml:space="preserve">process in </w:t>
      </w:r>
      <w:r w:rsidR="00315790">
        <w:rPr>
          <w:rFonts w:asciiTheme="majorBidi" w:hAnsiTheme="majorBidi" w:cstheme="majorBidi"/>
          <w:szCs w:val="24"/>
        </w:rPr>
        <w:t xml:space="preserve">which </w:t>
      </w:r>
      <w:r w:rsidR="00ED7BAF" w:rsidRPr="00CB6744">
        <w:rPr>
          <w:rFonts w:asciiTheme="majorBidi" w:hAnsiTheme="majorBidi" w:cstheme="majorBidi"/>
          <w:szCs w:val="24"/>
        </w:rPr>
        <w:t xml:space="preserve">chromatin </w:t>
      </w:r>
      <w:r w:rsidR="0002570D" w:rsidRPr="00CB6744">
        <w:rPr>
          <w:rFonts w:asciiTheme="majorBidi" w:hAnsiTheme="majorBidi" w:cstheme="majorBidi"/>
          <w:szCs w:val="24"/>
        </w:rPr>
        <w:t>packaging</w:t>
      </w:r>
      <w:r w:rsidR="00ED7BAF" w:rsidRPr="00CB6744">
        <w:rPr>
          <w:rFonts w:asciiTheme="majorBidi" w:hAnsiTheme="majorBidi" w:cstheme="majorBidi"/>
          <w:szCs w:val="24"/>
        </w:rPr>
        <w:t xml:space="preserve"> </w:t>
      </w:r>
      <w:r w:rsidR="00315790">
        <w:rPr>
          <w:rFonts w:asciiTheme="majorBidi" w:hAnsiTheme="majorBidi" w:cstheme="majorBidi"/>
          <w:szCs w:val="24"/>
        </w:rPr>
        <w:t xml:space="preserve">is altered </w:t>
      </w:r>
      <w:r w:rsidR="00ED7BAF" w:rsidRPr="00CB6744">
        <w:rPr>
          <w:rFonts w:asciiTheme="majorBidi" w:hAnsiTheme="majorBidi" w:cstheme="majorBidi"/>
          <w:szCs w:val="24"/>
        </w:rPr>
        <w:t>to expose or to conceal certain genomic loci</w:t>
      </w:r>
      <w:r w:rsidR="000E417D" w:rsidRPr="00CB6744">
        <w:rPr>
          <w:rFonts w:asciiTheme="majorBidi" w:hAnsiTheme="majorBidi" w:cstheme="majorBidi"/>
          <w:szCs w:val="24"/>
        </w:rPr>
        <w:t xml:space="preserve"> hindering potential binding sites</w:t>
      </w:r>
      <w:r w:rsidR="00217702">
        <w:rPr>
          <w:rFonts w:asciiTheme="majorBidi" w:hAnsiTheme="majorBidi" w:cstheme="majorBidi"/>
          <w:szCs w:val="24"/>
        </w:rPr>
        <w:t xml:space="preserve"> of TF and other regulatory factors</w:t>
      </w:r>
      <w:r w:rsidR="00315790">
        <w:rPr>
          <w:rFonts w:asciiTheme="majorBidi" w:hAnsiTheme="majorBidi" w:cstheme="majorBidi"/>
          <w:szCs w:val="24"/>
        </w:rPr>
        <w:t xml:space="preserve"> </w:t>
      </w:r>
      <w:r w:rsidR="00315790">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{"citationItems":[{"id":"ITEM-1","itemData":{"DOI":"10.1038/s41576-018-0089-8","ISSN":"1471-0056","abstract":"Physical access to DNA is a highly dynamic property of chromatin that plays an essential role in establishing and maintaining cellular identity. The organization of accessible chromatin across the genome reflects a network of permissible physical interactions through which enhancers, promoters, insulators and chromatin-binding factors cooperatively regulate gene expression. This landscape of accessibility changes dynamically in response to both external stimuli and developmental cues, and emerging evidence suggests that homeostatic maintenance of accessibility is itself dynamically regulated through a competitive interplay between chromatin-binding factors and nucleosomes. In this Review, we examine how the accessible genome is measured and explore the role of transcription factors in initiating accessibility remodelling; our goal is to illustrate how chromatin accessibility defines regulatory elements within the genome and how these epigenetic features are dynamically established to control gene expression.","author":[{"dropping-particle":"","family":"Klemm","given":"Sandy L.","non-dropping-particle":"","parse-names":false,"suffix":""},{"dropping-particle":"","family":"Shipony","given":"Zohar","non-dropping-particle":"","parse-names":false,"suffix":""},{"dropping-particle":"","family":"Greenleaf","given":"William J.","non-dropping-particle":"","parse-names":false,"suffix":""}],"container-title":"Nature Reviews Genetics","id":"ITEM-1","issued":{"date-parts":[["2019","1","23"]]},"page":"1","publisher":"Nature Publishing Group","title":"Chromatin accessibility and the regulatory epigenome","type":"article-journal"},"uris":["http://www.mendeley.com/documents/?uuid=5a529ca9-09c9-36c4-8845-da584fd9dcf0"]},{"id":"ITEM-2","itemData":{"DOI":"10.1186/1756-8935-7-33","ISBN":"1756-8935 (Electronic) 1756-8935 (Linking)","ISSN":"1756-8935","PMID":"25473421","abstract":"Transcriptional activation throughout the eukaryotic lineage has been tightly linked with disruption of nucleosome organization at promoters, enhancers, silencers, insulators and locus control regions due to transcription factor binding. Regulatory DNA thus coincides with open or accessible genomic sites of remodeled chromatin. Current chromatin accessibility assays are used to separate the genome by enzymatic or chemical means and isolate either the accessible or protected locations. The isolated DNA is then quantified using a next-generation sequencing platform. Wide application of these assays has recently focused on the identification of the instrumental epigenetic changes responsible for differential gene expression, cell proliferation, functional diversification and disease development. Here we discuss the limitations and advantages of current genome-wide chromatin accessibility assays with especial attention on experimental precautions and sequence data analysis. We conclude with our perspective on future improvements necessary for moving the field of chromatin profiling forward.","author":[{"dropping-particle":"","family":"Tsompana","given":"Maria","non-dropping-particle":"","parse-names":false,"suffix":""},{"dropping-particle":"","family":"Buck","given":"Michael J","non-dropping-particle":"","parse-names":false,"suffix":""}],"container-title":"Epigenetics &amp; Chromatin","id":"ITEM-2","issue":"1","issued":{"date-parts":[["2014"]]},"page":"33","publisher":"BioMed Central","title":"Chromatin accessibility: a window into the genome","type":"article-journal","volume":"7"},"uris":["http://www.mendeley.com/documents/?uuid=892b34bf-1819-3942-b361-e0cabf8b503e"]}],"mendeley":{"formattedCitation":"[2,5]","plainTextFormattedCitation":"[2,5]","previouslyFormattedCitation":"[2,5]"},"properties":{"noteIndex":0},"schema":"https://github.com/citation-style-language/schema/raw/master/csl-citation.json"}</w:instrText>
      </w:r>
      <w:r w:rsidR="00315790">
        <w:rPr>
          <w:rFonts w:asciiTheme="majorBidi" w:hAnsiTheme="majorBidi" w:cstheme="majorBidi"/>
          <w:szCs w:val="24"/>
        </w:rPr>
        <w:fldChar w:fldCharType="separate"/>
      </w:r>
      <w:r w:rsidR="002E23FE" w:rsidRPr="002E23FE">
        <w:rPr>
          <w:rFonts w:asciiTheme="majorBidi" w:hAnsiTheme="majorBidi" w:cstheme="majorBidi"/>
          <w:noProof/>
          <w:szCs w:val="24"/>
        </w:rPr>
        <w:t>[2,5]</w:t>
      </w:r>
      <w:r w:rsidR="00315790">
        <w:rPr>
          <w:rFonts w:asciiTheme="majorBidi" w:hAnsiTheme="majorBidi" w:cstheme="majorBidi"/>
          <w:szCs w:val="24"/>
        </w:rPr>
        <w:fldChar w:fldCharType="end"/>
      </w:r>
      <w:r w:rsidR="006E4640" w:rsidRPr="00CB6744">
        <w:rPr>
          <w:rFonts w:asciiTheme="majorBidi" w:hAnsiTheme="majorBidi" w:cstheme="majorBidi"/>
          <w:szCs w:val="24"/>
        </w:rPr>
        <w:t xml:space="preserve">. </w:t>
      </w:r>
      <w:r w:rsidR="00760CC5" w:rsidRPr="00CB6744">
        <w:rPr>
          <w:rFonts w:asciiTheme="majorBidi" w:hAnsiTheme="majorBidi" w:cstheme="majorBidi"/>
          <w:szCs w:val="24"/>
        </w:rPr>
        <w:t>Chromatin remodelers (</w:t>
      </w:r>
      <w:r w:rsidR="006E4640" w:rsidRPr="00CB6744">
        <w:rPr>
          <w:rFonts w:asciiTheme="majorBidi" w:hAnsiTheme="majorBidi" w:cstheme="majorBidi"/>
          <w:szCs w:val="24"/>
        </w:rPr>
        <w:t>CHRs</w:t>
      </w:r>
      <w:r w:rsidR="00760CC5" w:rsidRPr="00CB6744">
        <w:rPr>
          <w:rFonts w:asciiTheme="majorBidi" w:hAnsiTheme="majorBidi" w:cstheme="majorBidi"/>
          <w:szCs w:val="24"/>
        </w:rPr>
        <w:t>)</w:t>
      </w:r>
      <w:r w:rsidR="006E4640" w:rsidRPr="00CB6744">
        <w:rPr>
          <w:rFonts w:asciiTheme="majorBidi" w:hAnsiTheme="majorBidi" w:cstheme="majorBidi"/>
          <w:szCs w:val="24"/>
        </w:rPr>
        <w:t xml:space="preserve"> </w:t>
      </w:r>
      <w:r w:rsidR="0002570D" w:rsidRPr="00CB6744">
        <w:rPr>
          <w:rFonts w:asciiTheme="majorBidi" w:hAnsiTheme="majorBidi" w:cstheme="majorBidi"/>
          <w:szCs w:val="24"/>
        </w:rPr>
        <w:t xml:space="preserve">are ATP-dependent translocases that </w:t>
      </w:r>
      <w:r w:rsidR="00064295">
        <w:rPr>
          <w:rFonts w:asciiTheme="majorBidi" w:hAnsiTheme="majorBidi" w:cstheme="majorBidi"/>
          <w:szCs w:val="24"/>
        </w:rPr>
        <w:t>regulate chromatin accessibility by forcing</w:t>
      </w:r>
      <w:r w:rsidR="0002570D" w:rsidRPr="00CB6744">
        <w:rPr>
          <w:rFonts w:asciiTheme="majorBidi" w:hAnsiTheme="majorBidi" w:cstheme="majorBidi"/>
          <w:szCs w:val="24"/>
        </w:rPr>
        <w:t xml:space="preserve"> repositioning of nucleosomes</w:t>
      </w:r>
      <w:r w:rsidR="00114582">
        <w:rPr>
          <w:rFonts w:asciiTheme="majorBidi" w:hAnsiTheme="majorBidi" w:cstheme="majorBidi"/>
          <w:szCs w:val="24"/>
        </w:rPr>
        <w:t>, and can regulate both in a negative or positive manner</w:t>
      </w:r>
      <w:r w:rsidR="0002570D" w:rsidRPr="00CB6744">
        <w:rPr>
          <w:rFonts w:asciiTheme="majorBidi" w:hAnsiTheme="majorBidi" w:cstheme="majorBidi"/>
          <w:szCs w:val="24"/>
        </w:rPr>
        <w:t xml:space="preserve"> </w:t>
      </w:r>
      <w:r w:rsidR="0002570D"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{"citationItems":[{"id":"ITEM-1","itemData":{"DOI":"10.3390/genes6020299","ISSN":"2073-4425","PMID":"26075616","abstract":"Chromatin remodelers are key players in the regulation of chromatin accessibility and nucleosome positioning on the eukaryotic DNA, thereby essential for all DNA dependent biological processes. Thus, it is not surprising that upon of deregulation of those molecular machines healthy cells can turn into cancerous cells. Even though the remodeling enzymes are very abundant and a multitude of different enzymes and chromatin remodeling complexes exist in the cell, the particular remodeling complex with its specific nucleosome positioning features must be at the right place at the right time in order to ensure the proper regulation of the DNA dependent processes. To achieve this, chromatin remodeling complexes harbor protein domains that specifically read chromatin targeting signals, such as histone modifications, DNA sequence/structure, non-coding RNAs, histone variants or DNA bound interacting proteins. Recent studies reveal the interaction between non-coding RNAs and chromatin remodeling complexes showing importance of RNA in remodeling enzyme targeting, scaffolding and regulation. In this review, we summarize current understanding of chromatin remodeling enzyme targeting to chromatin and their role in cancer development.","author":[{"dropping-particle":"","family":"Längst","given":"Gernot","non-dropping-particle":"","parse-names":false,"suffix":""},{"dropping-particle":"","family":"Manelyte","given":"Laura","non-dropping-particle":"","parse-names":false,"suffix":""}],"container-title":"Genes","id":"ITEM-1","issue":"2","issued":{"date-parts":[["2015"]]},"page":"299-324","publisher":"Multidisciplinary Digital Publishing Institute  (MDPI)","title":"Chromatin Remodelers: From Function to Dysfunction.","type":"article-journal","volume":"6"},"uris":["http://www.mendeley.com/documents/?uuid=81bdc7a2-f2d2-3d78-9ec2-f10f99e435ca"]}],"mendeley":{"formattedCitation":"[1]","plainTextFormattedCitation":"[1]","previouslyFormattedCitation":"[1]"},"properties":{"noteIndex":0},"schema":"https://github.com/citation-style-language/schema/raw/master/csl-citation.json"}</w:instrText>
      </w:r>
      <w:r w:rsidR="0002570D" w:rsidRPr="00CB6744">
        <w:rPr>
          <w:rFonts w:asciiTheme="majorBidi" w:hAnsiTheme="majorBidi" w:cstheme="majorBidi"/>
          <w:szCs w:val="24"/>
        </w:rPr>
        <w:fldChar w:fldCharType="separate"/>
      </w:r>
      <w:r w:rsidR="002E23FE" w:rsidRPr="002E23FE">
        <w:rPr>
          <w:rFonts w:asciiTheme="majorBidi" w:hAnsiTheme="majorBidi" w:cstheme="majorBidi"/>
          <w:noProof/>
          <w:szCs w:val="24"/>
        </w:rPr>
        <w:t>[1]</w:t>
      </w:r>
      <w:r w:rsidR="0002570D" w:rsidRPr="00CB6744">
        <w:rPr>
          <w:rFonts w:asciiTheme="majorBidi" w:hAnsiTheme="majorBidi" w:cstheme="majorBidi"/>
          <w:szCs w:val="24"/>
        </w:rPr>
        <w:fldChar w:fldCharType="end"/>
      </w:r>
      <w:r w:rsidR="0002570D" w:rsidRPr="00CB6744">
        <w:rPr>
          <w:rFonts w:asciiTheme="majorBidi" w:hAnsiTheme="majorBidi" w:cstheme="majorBidi"/>
          <w:szCs w:val="24"/>
        </w:rPr>
        <w:t xml:space="preserve">. </w:t>
      </w:r>
      <w:r w:rsidR="000E417D" w:rsidRPr="00CB6744">
        <w:rPr>
          <w:rFonts w:asciiTheme="majorBidi" w:hAnsiTheme="majorBidi" w:cstheme="majorBidi"/>
          <w:szCs w:val="24"/>
        </w:rPr>
        <w:t>Based on the</w:t>
      </w:r>
      <w:r w:rsidR="00C61C79" w:rsidRPr="00CB6744">
        <w:rPr>
          <w:rFonts w:asciiTheme="majorBidi" w:hAnsiTheme="majorBidi" w:cstheme="majorBidi"/>
          <w:szCs w:val="24"/>
        </w:rPr>
        <w:t>ir</w:t>
      </w:r>
      <w:r w:rsidR="000E417D" w:rsidRPr="00CB6744">
        <w:rPr>
          <w:rFonts w:asciiTheme="majorBidi" w:hAnsiTheme="majorBidi" w:cstheme="majorBidi"/>
          <w:szCs w:val="24"/>
        </w:rPr>
        <w:t xml:space="preserve"> conserved ATPase domain, CHRs are divided into four families: SWI/SNF, CHD, ISWI and INO80</w:t>
      </w:r>
      <w:r w:rsidR="00D9414B" w:rsidRPr="00CB6744">
        <w:rPr>
          <w:rFonts w:asciiTheme="majorBidi" w:hAnsiTheme="majorBidi" w:cstheme="majorBidi"/>
          <w:szCs w:val="24"/>
        </w:rPr>
        <w:t xml:space="preserve"> </w:t>
      </w:r>
      <w:r w:rsidR="00D9414B"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{"citationItems":[{"id":"ITEM-1","itemData":{"DOI":"10.3390/genes6020299","ISSN":"2073-4425","PMID":"26075616","abstract":"Chromatin remodelers are key players in the regulation of chromatin accessibility and nucleosome positioning on the eukaryotic DNA, thereby essential for all DNA dependent biological processes. Thus, it is not surprising that upon of deregulation of those molecular machines healthy cells can turn into cancerous cells. Even though the remodeling enzymes are very abundant and a multitude of different enzymes and chromatin remodeling complexes exist in the cell, the particular remodeling complex with its specific nucleosome positioning features must be at the right place at the right time in order to ensure the proper regulation of the DNA dependent processes. To achieve this, chromatin remodeling complexes harbor protein domains that specifically read chromatin targeting signals, such as histone modifications, DNA sequence/structure, non-coding RNAs, histone variants or DNA bound interacting proteins. Recent studies reveal the interaction between non-coding RNAs and chromatin remodeling complexes showing importance of RNA in remodeling enzyme targeting, scaffolding and regulation. In this review, we summarize current understanding of chromatin remodeling enzyme targeting to chromatin and their role in cancer development.","author":[{"dropping-particle":"","family":"Längst","given":"Gernot","non-dropping-particle":"","parse-names":false,"suffix":""},{"dropping-particle":"","family":"Manelyte","given":"Laura","non-dropping-particle":"","parse-names":false,"suffix":""}],"container-title":"Genes","id":"ITEM-1","issue":"2","issued":{"date-parts":[["2015"]]},"page":"299-324","publisher":"Multidisciplinary Digital Publishing Institute  (MDPI)","title":"Chromatin Remodelers: From Function to Dysfunction.","type":"article-journal","volume":"6"},"uris":["http://www.mendeley.com/documents/?uuid=81bdc7a2-f2d2-3d78-9ec2-f10f99e435ca"]},{"id":"ITEM-2","itemData":{"DOI":"10.1111/tpj.12877","ISSN":"1365-313X","PMID":"25977075","abstract":"Chromatin remodeling ATPases and their associated complexes can alter the accessibility of the genome in the context of chromatin by using the energy derived from ATP hydrolysis to change positioning, occupancy and composition of nucleosomes. In animals and plants, these remodelers have been implicated in diverse processes ranging from stem cell maintenance and differentiation to developmental phase transitions and stress responses. Detailed investigations of their roles in individual processes have suggested a higher level of selectivity of chromatin remodeling ATPase activity than previously anticipated and diverse mechanisms have been uncovered that can contribute to the selectivity. This review summarizes recent advances towards understanding the roles and activities of chromatin remodeling ATPases in plants. This article is protected by copyright. All rights reserved.","author":[{"dropping-particle":"","family":"Han","given":"Soon-Ki","non-dropping-particle":"","parse-names":false,"suffix":""},{"dropping-particle":"","family":"Wu","given":"Miin-Feng","non-dropping-particle":"","parse-names":false,"suffix":""},{"dropping-particle":"","family":"Cui","given":"Sujuan","non-dropping-particle":"","parse-names":false,"suffix":""},{"dropping-particle":"","family":"Wagner","given":"Doris","non-dropping-particle":"","parse-names":false,"suffix":""}],"container-title":"The Plant journal : for cell and molecular biology","id":"ITEM-2","issue":"1","issued":{"date-parts":[["2015","5","15"]]},"page":"62-77","publisher":"Wiley/Blackwell (10.1111)","title":"Roles and activities of chromatin remodeling ATPases in plants.","type":"article-journal","volume":"83"},"uris":["http://www.mendeley.com/documents/?uuid=bcf65d36-0f1c-4d24-8d10-02afb44d7736"]}],"mendeley":{"formattedCitation":"[1,6]","plainTextFormattedCitation":"[1,6]","previouslyFormattedCitation":"[1,6]"},"properties":{"noteIndex":0},"schema":"https://github.com/citation-style-language/schema/raw/master/csl-citation.json"}</w:instrText>
      </w:r>
      <w:r w:rsidR="00D9414B" w:rsidRPr="00CB6744">
        <w:rPr>
          <w:rFonts w:asciiTheme="majorBidi" w:hAnsiTheme="majorBidi" w:cstheme="majorBidi"/>
          <w:szCs w:val="24"/>
        </w:rPr>
        <w:fldChar w:fldCharType="separate"/>
      </w:r>
      <w:r w:rsidR="002E23FE" w:rsidRPr="002E23FE">
        <w:rPr>
          <w:rFonts w:asciiTheme="majorBidi" w:hAnsiTheme="majorBidi" w:cstheme="majorBidi"/>
          <w:noProof/>
          <w:szCs w:val="24"/>
        </w:rPr>
        <w:t>[1,6]</w:t>
      </w:r>
      <w:r w:rsidR="00D9414B" w:rsidRPr="00CB6744">
        <w:rPr>
          <w:rFonts w:asciiTheme="majorBidi" w:hAnsiTheme="majorBidi" w:cstheme="majorBidi"/>
          <w:szCs w:val="24"/>
        </w:rPr>
        <w:fldChar w:fldCharType="end"/>
      </w:r>
      <w:r w:rsidR="000E417D" w:rsidRPr="00CB6744">
        <w:rPr>
          <w:rFonts w:asciiTheme="majorBidi" w:hAnsiTheme="majorBidi" w:cstheme="majorBidi"/>
          <w:szCs w:val="24"/>
        </w:rPr>
        <w:t>.</w:t>
      </w:r>
      <w:r w:rsidR="00D9414B" w:rsidRPr="00CB6744">
        <w:rPr>
          <w:rFonts w:asciiTheme="majorBidi" w:hAnsiTheme="majorBidi" w:cstheme="majorBidi"/>
          <w:szCs w:val="24"/>
        </w:rPr>
        <w:t xml:space="preserve"> </w:t>
      </w:r>
      <w:r w:rsidR="004378AB">
        <w:rPr>
          <w:rFonts w:asciiTheme="majorBidi" w:hAnsiTheme="majorBidi" w:cstheme="majorBidi"/>
          <w:szCs w:val="24"/>
        </w:rPr>
        <w:t xml:space="preserve">The SWI/SNF can perform their full basic remodeling activity in vitro as part of a chromatin remodeling complex, which includes one of the </w:t>
      </w:r>
      <w:r w:rsidR="004378AB" w:rsidRPr="00CB6744">
        <w:rPr>
          <w:rFonts w:asciiTheme="majorBidi" w:hAnsiTheme="majorBidi" w:cstheme="majorBidi"/>
          <w:szCs w:val="24"/>
        </w:rPr>
        <w:t xml:space="preserve">four SWI2/SNF2-type ATPases </w:t>
      </w:r>
      <w:r w:rsidR="004378AB">
        <w:rPr>
          <w:rFonts w:asciiTheme="majorBidi" w:hAnsiTheme="majorBidi" w:cstheme="majorBidi"/>
          <w:szCs w:val="24"/>
        </w:rPr>
        <w:t xml:space="preserve">encoded by the Arabidopsis genome </w:t>
      </w:r>
      <w:r w:rsidR="004378AB" w:rsidRPr="00CB6744">
        <w:rPr>
          <w:rFonts w:asciiTheme="majorBidi" w:hAnsiTheme="majorBidi" w:cstheme="majorBidi"/>
          <w:szCs w:val="24"/>
        </w:rPr>
        <w:t>(BRM, SYD, CHR12/MINU1, and CHR23/MINU2)</w:t>
      </w:r>
      <w:r w:rsidR="004378AB">
        <w:rPr>
          <w:rFonts w:asciiTheme="majorBidi" w:hAnsiTheme="majorBidi" w:cstheme="majorBidi"/>
          <w:szCs w:val="24"/>
        </w:rPr>
        <w:t>, along with the</w:t>
      </w:r>
      <w:r w:rsidR="004378AB" w:rsidRPr="00CB6744">
        <w:rPr>
          <w:rFonts w:asciiTheme="majorBidi" w:hAnsiTheme="majorBidi" w:cstheme="majorBidi"/>
          <w:szCs w:val="24"/>
        </w:rPr>
        <w:t xml:space="preserve"> single SNF5-type (BSH)</w:t>
      </w:r>
      <w:r w:rsidR="004378AB">
        <w:rPr>
          <w:rFonts w:asciiTheme="majorBidi" w:hAnsiTheme="majorBidi" w:cstheme="majorBidi"/>
          <w:szCs w:val="24"/>
        </w:rPr>
        <w:t xml:space="preserve"> protein and two of the four </w:t>
      </w:r>
      <w:r w:rsidR="004378AB" w:rsidRPr="00CB6744">
        <w:rPr>
          <w:rFonts w:asciiTheme="majorBidi" w:hAnsiTheme="majorBidi" w:cstheme="majorBidi"/>
          <w:szCs w:val="24"/>
        </w:rPr>
        <w:t xml:space="preserve">SWI3 subunits (SWI3A, B, C, D) </w:t>
      </w:r>
      <w:r w:rsidR="004378AB"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{"citationItems":[{"id":"ITEM-1","itemData":{"DOI":"10.3390/ijms21030762","ISSN":"1422-0067","abstract":"SWI/SNF ATP-dependent chromatin remodeling complexes (CRCs) play important roles in the regulation of transcription, cell cycle, DNA replication, repair, and hormone signaling in eukaryotes. The core of SWI/SNF CRCs composed of a SWI2/SNF2 type ATPase, a SNF5 and two of SWI3 subunits is sufficient for execution of nucleosome remodeling in vitro. The Arabidopsis genome encodes four SWI2/SNF2 ATPases, four SWI3, a single SNF5 and two SWP73 subunits. Genes of the core SWI/SNF components have critical but not fully overlapping roles during plant growth, embryogenesis, and sporophyte development. Here we show that the Arabidopsis swi3c mutant exhibits a phenotypic reversion when grown at lower temperature resulting in partial restoration of its embryo, root development and fertility defects. Our data indicates that the swi3c mutation alters the expression of several genes engaged in low temperature responses. The location of SWI3C-containing SWI/SNF CRCs on the ICE1, MYB15 and CBF1 target genes depends on the temperature conditions, and the swi3c mutation thus also influences the transcription of several cold-responsive (COR) genes. These findings, together with genetic analysis of swi3c/ice1 double mutant and enhanced freezing tolerance of swi3c plants illustrate that SWI/SNF CRCs contribute to fine-tuning of plant growth responses to different temperature regimes.","author":[{"dropping-particle":"","family":"Gratkowska-Zmuda","given":"Dominika M.","non-dropping-particle":"","parse-names":false,"suffix":""},{"dropping-particle":"","family":"Kubala","given":"Szymon","non-dropping-particle":"","parse-names":false,"suffix":""},{"dropping-particle":"","family":"Sarnowska","given":"Elzbieta","non-dropping-particle":"","parse-names":false,"suffix":""},{"dropping-particle":"","family":"Cwiek","given":"Pawel","non-dropping-particle":"","parse-names":false,"suffix":""},{"dropping-particle":"","family":"Oksinska","given":"Paulina","non-dropping-particle":"","parse-names":false,"suffix":""},{"dropping-particle":"","family":"Steciuk","given":"Jaroslaw","non-dropping-particle":"","parse-names":false,"suffix":""},{"dropping-particle":"","family":"Rolicka","given":"Anna T.","non-dropping-particle":"","parse-names":false,"suffix":""},{"dropping-particle":"","family":"Zaborowska","given":"Magdalena","non-dropping-particle":"","parse-names":false,"suffix":""},{"dropping-particle":"","family":"Bucior","given":"Ernest","non-dropping-particle":"","parse-names":false,"suffix":""},{"dropping-particle":"","family":"Maassen","given":"Anna","non-dropping-particle":"","parse-names":false,"suffix":""},{"dropping-particle":"","family":"Franzen","given":"Rainer","non-dropping-particle":"","parse-names":false,"suffix":""},{"dropping-particle":"","family":"Koncz","given":"Csaba","non-dropping-particle":"","parse-names":false,"suffix":""},{"dropping-particle":"","family":"Sarnowski","given":"Tomasz J.","non-dropping-particle":"","parse-names":false,"suffix":""}],"container-title":"International Journal of Molecular Sciences","id":"ITEM-1","issue":"3","issued":{"date-parts":[["2020","1","23"]]},"page":"762","title":"The SWI/SNF ATP-Dependent Chromatin Remodeling Complex in Arabidopsis Responds to Environmental Changes in Temperature-Dependent Manner","type":"article-journal","volume":"21"},"uris":["http://www.mendeley.com/documents/?uuid=8f89da61-df75-418d-85df-33a90d51d846"]}],"mendeley":{"formattedCitation":"[7]","plainTextFormattedCitation":"[7]","previouslyFormattedCitation":"[7]"},"properties":{"noteIndex":0},"schema":"https://github.com/citation-style-language/schema/raw/master/csl-citation.json"}</w:instrText>
      </w:r>
      <w:r w:rsidR="004378AB" w:rsidRPr="00CB6744">
        <w:rPr>
          <w:rFonts w:asciiTheme="majorBidi" w:hAnsiTheme="majorBidi" w:cstheme="majorBidi"/>
          <w:szCs w:val="24"/>
        </w:rPr>
        <w:fldChar w:fldCharType="separate"/>
      </w:r>
      <w:r w:rsidR="002E23FE" w:rsidRPr="002E23FE">
        <w:rPr>
          <w:rFonts w:asciiTheme="majorBidi" w:hAnsiTheme="majorBidi" w:cstheme="majorBidi"/>
          <w:noProof/>
          <w:szCs w:val="24"/>
        </w:rPr>
        <w:t>[7]</w:t>
      </w:r>
      <w:r w:rsidR="004378AB" w:rsidRPr="00CB6744">
        <w:rPr>
          <w:rFonts w:asciiTheme="majorBidi" w:hAnsiTheme="majorBidi" w:cstheme="majorBidi"/>
          <w:szCs w:val="24"/>
        </w:rPr>
        <w:fldChar w:fldCharType="end"/>
      </w:r>
    </w:p>
    <w:p w14:paraId="275177D6" w14:textId="5619BC14" w:rsidR="00377A27" w:rsidRDefault="003A79E9" w:rsidP="00671446">
      <w:pPr>
        <w:rPr>
          <w:rFonts w:asciiTheme="majorBidi" w:hAnsiTheme="majorBidi" w:cstheme="majorBidi"/>
          <w:noProof/>
          <w:szCs w:val="24"/>
        </w:rPr>
      </w:pPr>
      <w:r w:rsidRPr="003A79E9">
        <w:rPr>
          <w:rFonts w:asciiTheme="majorBidi" w:hAnsiTheme="majorBidi" w:cstheme="majorBidi"/>
          <w:szCs w:val="24"/>
        </w:rPr>
        <w:t xml:space="preserve">The Arabidopsis </w:t>
      </w:r>
      <w:r w:rsidR="00C61C79" w:rsidRPr="00CB6744">
        <w:rPr>
          <w:rFonts w:asciiTheme="majorBidi" w:hAnsiTheme="majorBidi" w:cstheme="majorBidi"/>
          <w:szCs w:val="24"/>
        </w:rPr>
        <w:t>BRM (</w:t>
      </w:r>
      <w:r w:rsidR="00DE2299" w:rsidRPr="00CB6744">
        <w:rPr>
          <w:rFonts w:asciiTheme="majorBidi" w:hAnsiTheme="majorBidi" w:cstheme="majorBidi"/>
          <w:szCs w:val="24"/>
        </w:rPr>
        <w:t>AT</w:t>
      </w:r>
      <w:r w:rsidR="008C7503" w:rsidRPr="00CB6744">
        <w:rPr>
          <w:rFonts w:asciiTheme="majorBidi" w:hAnsiTheme="majorBidi" w:cstheme="majorBidi"/>
          <w:szCs w:val="24"/>
        </w:rPr>
        <w:t>2</w:t>
      </w:r>
      <w:r w:rsidR="00DE2299" w:rsidRPr="00CB6744">
        <w:rPr>
          <w:rFonts w:asciiTheme="majorBidi" w:hAnsiTheme="majorBidi" w:cstheme="majorBidi"/>
          <w:szCs w:val="24"/>
        </w:rPr>
        <w:t>G</w:t>
      </w:r>
      <w:r w:rsidR="008C7503" w:rsidRPr="00CB6744">
        <w:rPr>
          <w:rFonts w:asciiTheme="majorBidi" w:hAnsiTheme="majorBidi" w:cstheme="majorBidi"/>
          <w:szCs w:val="24"/>
        </w:rPr>
        <w:t>46020</w:t>
      </w:r>
      <w:r w:rsidR="00C61C79" w:rsidRPr="00CB6744">
        <w:rPr>
          <w:rFonts w:asciiTheme="majorBidi" w:hAnsiTheme="majorBidi" w:cstheme="majorBidi"/>
          <w:szCs w:val="24"/>
        </w:rPr>
        <w:t>)</w:t>
      </w:r>
      <w:r w:rsidR="008C7503" w:rsidRPr="00CB6744">
        <w:rPr>
          <w:rFonts w:asciiTheme="majorBidi" w:hAnsiTheme="majorBidi" w:cstheme="majorBidi"/>
          <w:szCs w:val="24"/>
        </w:rPr>
        <w:t xml:space="preserve"> </w:t>
      </w:r>
      <w:r w:rsidR="00B60EA2">
        <w:rPr>
          <w:rFonts w:asciiTheme="majorBidi" w:hAnsiTheme="majorBidi" w:cstheme="majorBidi"/>
          <w:szCs w:val="24"/>
        </w:rPr>
        <w:t>is</w:t>
      </w:r>
      <w:r w:rsidR="008C7503" w:rsidRPr="00CB6744">
        <w:rPr>
          <w:rFonts w:asciiTheme="majorBidi" w:hAnsiTheme="majorBidi" w:cstheme="majorBidi"/>
          <w:szCs w:val="24"/>
        </w:rPr>
        <w:t xml:space="preserve"> a </w:t>
      </w:r>
      <w:r w:rsidR="005F53C7" w:rsidRPr="00CB6744">
        <w:rPr>
          <w:rFonts w:asciiTheme="majorBidi" w:hAnsiTheme="majorBidi" w:cstheme="majorBidi"/>
          <w:szCs w:val="24"/>
        </w:rPr>
        <w:t xml:space="preserve">homolog to the drosophila </w:t>
      </w:r>
      <w:r w:rsidRPr="003A79E9">
        <w:rPr>
          <w:rFonts w:asciiTheme="majorBidi" w:hAnsiTheme="majorBidi" w:cstheme="majorBidi"/>
          <w:szCs w:val="24"/>
        </w:rPr>
        <w:t xml:space="preserve">BRAHMA </w:t>
      </w:r>
      <w:r w:rsidR="005F53C7" w:rsidRPr="00CB6744">
        <w:rPr>
          <w:rFonts w:asciiTheme="majorBidi" w:hAnsiTheme="majorBidi" w:cstheme="majorBidi"/>
          <w:szCs w:val="24"/>
        </w:rPr>
        <w:t>protein which is essential for the fly, whereas this is not the case in the plant</w:t>
      </w:r>
      <w:r w:rsidR="00897775" w:rsidRPr="00CB6744">
        <w:rPr>
          <w:rFonts w:asciiTheme="majorBidi" w:hAnsiTheme="majorBidi" w:cstheme="majorBidi"/>
          <w:szCs w:val="24"/>
        </w:rPr>
        <w:t xml:space="preserve"> perhaps because of redundancy</w:t>
      </w:r>
      <w:r w:rsidR="008123D1" w:rsidRPr="00CB6744">
        <w:rPr>
          <w:rFonts w:asciiTheme="majorBidi" w:hAnsiTheme="majorBidi" w:cstheme="majorBidi"/>
          <w:szCs w:val="24"/>
        </w:rPr>
        <w:t xml:space="preserve"> </w:t>
      </w:r>
      <w:r w:rsidR="008123D1"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{"citationItems":[{"id":"ITEM-1","itemData":{"DOI":"10.1007/s11103-006-9021-2","ISBN":"0167-4412","ISSN":"0167-4412","PMID":"16845477","abstract":"Arabidopsis thaliana BRAHMA (BRM, also called AtBRM) is a SNF2 family protein homolog of Brahma, the ATPase of the Drosophila SWI/SNF complex involved in chromatin remodeling during transcription. Here we show that, in contrast to its Drosophila counterpart, BRM is not an essential gene. Thus, homozygous BRM loss of function mutants are viable but exhibit numerous defects including dwarfism, altered leaf and root development and several reproduction defects. The analysis of the progeny of self-fertilized heterozygous brm plants and reciprocal crosses between heterozygous and wild type plants indicated that disruption of BRM reduced both male and female gametophyte transmission. This was consistent with the presence of aborted ovules in the self-fertilized heterozygous flowers that contained arrested embryos predominantly at the two terminal cells stage. Furthermore, brm homozygous mutants were completely sterile. Flowers of brm loss-of-function mutants have several developmental abnormalities, including homeotic transformations in the second and third floral whorls. In accordance with these results, brm mutants present reduced levels of APETALA2, APETALA3, PISTILLATA and NAC-LIKE, ACTIVATED BY AP3/PI. We have previously shown that BRM strongly interacts with AtSWI3C. Now we extend our interaction studies demonstrating that BRM interacts weakly with AtSWI3B but not with AtSWI3A or AtSWI3D. In agreement with these results, the phenotype described in this study for brm plants is very similar to that previously described for the AtSWI3C mutant plants, suggesting that both proteins participate in the same genetic pathway or form a molecular complex.","author":[{"dropping-particle":"","family":"Hurtado","given":"Lidia","non-dropping-particle":"","parse-names":false,"suffix":""},{"dropping-particle":"","family":"Farrona","given":"Sara","non-dropping-particle":"","parse-names":false,"suffix":""},{"dropping-particle":"","family":"Reyes","given":"Jose C.","non-dropping-particle":"","parse-names":false,"suffix":""}],"container-title":"Plant molecular biology","id":"ITEM-1","issue":"1-2","issued":{"date-parts":[["2006","9"]]},"page":"291-304","title":"The putative SWI/SNF complex subunit BRAHMA activates flower homeotic genes in Arabidopsis thaliana.","type":"article-journal","volume":"62"},"uris":["http://www.mendeley.com/documents/?uuid=52d40240-0b5b-361f-b6d0-6b5027da23c2"]},{"id":"ITEM-2","itemData":{"DOI":"10.1242/dev.01363","ISSN":"0950-1991","PMID":"15371304","abstract":"Chromatin remodeling is essential for the reprogramming of transcription associated with development and cell differentiation. The SWI/SNF complex was the first chromatin remodeling complex characterized in yeast and Drosophila. In this work we have characterized an Arabidopsis thaliana homolog of Brahma, the ATPase of the Drosophila SWI/SNF complex. As its Drosophila counterpart, Arabidopsis thaliana BRAHMA (AtBRM) is a nuclear protein present in a high molecular mass complex. Furthermore, the N terminus of AtBRM interacts, in the two-hybrid system, with CHB4 (AtSWI3C), an Arabidopsis homolog of the yeast SWI/SNF complex subunit SWI3. The AtBRM gene is primarily expressed in meristems, organ primordia and tissues with active cell division. Silencing of the expression of the AtBRM gene by RNA interference demonstrated that AtBRM is required for vegetative and reproductive development. The AtBRM silenced plants exhibited a reduction in overall plant size with small and curled leafs, as well as a reduction in the size of the inflorescence meristem. In the absence of AtBRM, Arabidopsis flowers have small petals and stamens, immature anthers, homeotic transformations and reduced fertility. The AtBRM silenced plants flower earlier than wild-type plants both under inductive and non-inductive photoperiods. Furthermore, levels of CO, FT and SOC1 transcripts were up-regulated under non-inductive conditions suggesting that AtBRM is a repressor of the photoperiod-dependent flowering pathway.","author":[{"dropping-particle":"","family":"Farrona","given":"Sara","non-dropping-particle":"","parse-names":false,"suffix":""},{"dropping-particle":"","family":"Hurtado","given":"Lidia","non-dropping-particle":"","parse-names":false,"suffix":""},{"dropping-particle":"","family":"Bowman","given":"John L","non-dropping-particle":"","parse-names":false,"suffix":""},{"dropping-particle":"","family":"Reyes","given":"José C","non-dropping-particle":"","parse-names":false,"suffix":""},{"dropping-particle":"","family":"Drews","given":"G N","non-dropping-particle":"","parse-names":false,"suffix":""},{"dropping-particle":"","family":"Bowman","given":"J L","non-dropping-particle":"","parse-names":false,"suffix":""}],"container-title":"Development (Cambridge, England)","id":"ITEM-2","issue":"20","issued":{"date-parts":[["2004","10","15"]]},"page":"4965-75","publisher":"The Company of Biologists Ltd","title":"The Arabidopsis thaliana SNF2 homolog AtBRM controls shoot development and flowering.","type":"article-journal","volume":"131"},"uris":["http://www.mendeley.com/documents/?uuid=3958d789-9083-3311-ad95-d099bb1a5216"]}],"mendeley":{"formattedCitation":"[8,9]","plainTextFormattedCitation":"[8,9]","previouslyFormattedCitation":"[8,9]"},"properties":{"noteIndex":0},"schema":"https://github.com/citation-style-language/schema/raw/master/csl-citation.json"}</w:instrText>
      </w:r>
      <w:r w:rsidR="008123D1" w:rsidRPr="00CB6744">
        <w:rPr>
          <w:rFonts w:asciiTheme="majorBidi" w:hAnsiTheme="majorBidi" w:cstheme="majorBidi"/>
          <w:szCs w:val="24"/>
        </w:rPr>
        <w:fldChar w:fldCharType="separate"/>
      </w:r>
      <w:r w:rsidR="002E23FE" w:rsidRPr="002E23FE">
        <w:rPr>
          <w:rFonts w:asciiTheme="majorBidi" w:hAnsiTheme="majorBidi" w:cstheme="majorBidi"/>
          <w:noProof/>
          <w:szCs w:val="24"/>
        </w:rPr>
        <w:t>[8,9]</w:t>
      </w:r>
      <w:r w:rsidR="008123D1" w:rsidRPr="00CB6744">
        <w:rPr>
          <w:rFonts w:asciiTheme="majorBidi" w:hAnsiTheme="majorBidi" w:cstheme="majorBidi"/>
          <w:szCs w:val="24"/>
        </w:rPr>
        <w:fldChar w:fldCharType="end"/>
      </w:r>
      <w:r w:rsidR="005F53C7" w:rsidRPr="00CB6744">
        <w:rPr>
          <w:rFonts w:asciiTheme="majorBidi" w:hAnsiTheme="majorBidi" w:cstheme="majorBidi"/>
          <w:szCs w:val="24"/>
        </w:rPr>
        <w:t xml:space="preserve">. </w:t>
      </w:r>
      <w:r w:rsidR="00217702" w:rsidRPr="00CB6744">
        <w:rPr>
          <w:rFonts w:asciiTheme="majorBidi" w:hAnsiTheme="majorBidi" w:cstheme="majorBidi"/>
          <w:szCs w:val="24"/>
        </w:rPr>
        <w:t xml:space="preserve">AtBRM was found to interact mainly with the SWI/SNF chromatin remodeling complex subunit AtSWI3C, and to a lower extent with AtSWI3B, but not with AtSWI3A or AtSWI3D </w:t>
      </w:r>
      <w:r w:rsidR="00217702"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{"citationItems":[{"id":"ITEM-1","itemData":{"DOI":"10.1242/dev.01363","ISSN":"0950-1991","PMID":"15371304","abstract":"Chromatin remodeling is essential for the reprogramming of transcription associated with development and cell differentiation. The SWI/SNF complex was the first chromatin remodeling complex characterized in yeast and Drosophila. In this work we have characterized an Arabidopsis thaliana homolog of Brahma, the ATPase of the Drosophila SWI/SNF complex. As its Drosophila counterpart, Arabidopsis thaliana BRAHMA (AtBRM) is a nuclear protein present in a high molecular mass complex. Furthermore, the N terminus of AtBRM interacts, in the two-hybrid system, with CHB4 (AtSWI3C), an Arabidopsis homolog of the yeast SWI/SNF complex subunit SWI3. The AtBRM gene is primarily expressed in meristems, organ primordia and tissues with active cell division. Silencing of the expression of the AtBRM gene by RNA interference demonstrated that AtBRM is required for vegetative and reproductive development. The AtBRM silenced plants exhibited a reduction in overall plant size with small and curled leafs, as well as a reduction in the size of the inflorescence meristem. In the absence of AtBRM, Arabidopsis flowers have small petals and stamens, immature anthers, homeotic transformations and reduced fertility. The AtBRM silenced plants flower earlier than wild-type plants both under inductive and non-inductive photoperiods. Furthermore, levels of CO, FT and SOC1 transcripts were up-regulated under non-inductive conditions suggesting that AtBRM is a repressor of the photoperiod-dependent flowering pathway.","author":[{"dropping-particle":"","family":"Farrona","given":"Sara","non-dropping-particle":"","parse-names":false,"suffix":""},{"dropping-particle":"","family":"Hurtado","given":"Lidia","non-dropping-particle":"","parse-names":false,"suffix":""},{"dropping-particle":"","family":"Bowman","given":"John L","non-dropping-particle":"","parse-names":false,"suffix":""},{"dropping-particle":"","family":"Reyes","given":"José C","non-dropping-particle":"","parse-names":false,"suffix":""},{"dropping-particle":"","family":"Drews","given":"G N","non-dropping-particle":"","parse-names":false,"suffix":""},{"dropping-particle":"","family":"Bowman","given":"J L","non-dropping-particle":"","parse-names":false,"suffix":""}],"container-title":"Development (Cambridge, England)","id":"ITEM-1","issue":"20","issued":{"date-parts":[["2004","10","15"]]},"page":"4965-75","publisher":"The Company of Biologists Ltd","title":"The Arabidopsis thaliana SNF2 homolog AtBRM controls shoot development and flowering.","type":"article-journal","volume":"131"},"uris":["http://www.mendeley.com/documents/?uuid=3958d789-9083-3311-ad95-d099bb1a5216"]},{"id":"ITEM-2","itemData":{"DOI":"10.1007/s11103-006-9021-2","ISBN":"0167-4412","ISSN":"0167-4412","PMID":"16845477","abstract":"Arabidopsis thaliana BRAHMA (BRM, also called AtBRM) is a SNF2 family protein homolog of Brahma, the ATPase of the Drosophila SWI/SNF complex involved in chromatin remodeling during transcription. Here we show that, in contrast to its Drosophila counterpart, BRM is not an essential gene. Thus, homozygous BRM loss of function mutants are viable but exhibit numerous defects including dwarfism, altered leaf and root development and several reproduction defects. The analysis of the progeny of self-fertilized heterozygous brm plants and reciprocal crosses between heterozygous and wild type plants indicated that disruption of BRM reduced both male and female gametophyte transmission. This was consistent with the presence of aborted ovules in the self-fertilized heterozygous flowers that contained arrested embryos predominantly at the two terminal cells stage. Furthermore, brm homozygous mutants were completely sterile. Flowers of brm loss-of-function mutants have several developmental abnormalities, including homeotic transformations in the second and third floral whorls. In accordance with these results, brm mutants present reduced levels of APETALA2, APETALA3, PISTILLATA and NAC-LIKE, ACTIVATED BY AP3/PI. We have previously shown that BRM strongly interacts with AtSWI3C. Now we extend our interaction studies demonstrating that BRM interacts weakly with AtSWI3B but not with AtSWI3A or AtSWI3D. In agreement with these results, the phenotype described in this study for brm plants is very similar to that previously described for the AtSWI3C mutant plants, suggesting that both proteins participate in the same genetic pathway or form a molecular complex.","author":[{"dropping-particle":"","family":"Hurtado","given":"Lidia","non-dropping-particle":"","parse-names":false,"suffix":""},{"dropping-particle":"","family":"Farrona","given":"Sara","non-dropping-particle":"","parse-names":false,"suffix":""},{"dropping-particle":"","family":"Reyes","given":"Jose C.","non-dropping-particle":"","parse-names":false,"suffix":""}],"container-title":"Plant molecular biology","id":"ITEM-2","issue":"1-2","issued":{"date-parts":[["2006","9"]]},"page":"291-304","title":"The putative SWI/SNF complex subunit BRAHMA activates flower homeotic genes in Arabidopsis thaliana.","type":"article-journal","volume":"62"},"uris":["http://www.mendeley.com/documents/?uuid=52d40240-0b5b-361f-b6d0-6b5027da23c2"]}],"mendeley":{"formattedCitation":"[8,9]","plainTextFormattedCitation":"[8,9]","previouslyFormattedCitation":"[8,9]"},"properties":{"noteIndex":0},"schema":"https://github.com/citation-style-language/schema/raw/master/csl-citation.json"}</w:instrText>
      </w:r>
      <w:r w:rsidR="00217702" w:rsidRPr="00CB6744">
        <w:rPr>
          <w:rFonts w:asciiTheme="majorBidi" w:hAnsiTheme="majorBidi" w:cstheme="majorBidi"/>
          <w:szCs w:val="24"/>
        </w:rPr>
        <w:fldChar w:fldCharType="separate"/>
      </w:r>
      <w:r w:rsidR="002E23FE" w:rsidRPr="002E23FE">
        <w:rPr>
          <w:rFonts w:asciiTheme="majorBidi" w:hAnsiTheme="majorBidi" w:cstheme="majorBidi"/>
          <w:noProof/>
          <w:szCs w:val="24"/>
        </w:rPr>
        <w:t>[8,9]</w:t>
      </w:r>
      <w:r w:rsidR="00217702" w:rsidRPr="00CB6744">
        <w:rPr>
          <w:rFonts w:asciiTheme="majorBidi" w:hAnsiTheme="majorBidi" w:cstheme="majorBidi"/>
          <w:szCs w:val="24"/>
        </w:rPr>
        <w:fldChar w:fldCharType="end"/>
      </w:r>
      <w:r w:rsidR="00217702" w:rsidRPr="00CB6744">
        <w:rPr>
          <w:rFonts w:asciiTheme="majorBidi" w:hAnsiTheme="majorBidi" w:cstheme="majorBidi"/>
          <w:szCs w:val="24"/>
        </w:rPr>
        <w:t>.</w:t>
      </w:r>
      <w:r w:rsidR="004378AB">
        <w:rPr>
          <w:rFonts w:asciiTheme="majorBidi" w:hAnsiTheme="majorBidi" w:cstheme="majorBidi"/>
          <w:szCs w:val="24"/>
        </w:rPr>
        <w:t xml:space="preserve"> </w:t>
      </w:r>
      <w:r w:rsidR="009B1A6C">
        <w:rPr>
          <w:rFonts w:asciiTheme="majorBidi" w:hAnsiTheme="majorBidi" w:cstheme="majorBidi"/>
          <w:szCs w:val="24"/>
        </w:rPr>
        <w:t xml:space="preserve">Several </w:t>
      </w:r>
      <w:r w:rsidR="00217702">
        <w:rPr>
          <w:rFonts w:asciiTheme="majorBidi" w:hAnsiTheme="majorBidi" w:cstheme="majorBidi"/>
          <w:szCs w:val="24"/>
        </w:rPr>
        <w:t>At</w:t>
      </w:r>
      <w:r w:rsidR="002F7FF7" w:rsidRPr="00CB6744">
        <w:rPr>
          <w:rFonts w:asciiTheme="majorBidi" w:hAnsiTheme="majorBidi" w:cstheme="majorBidi"/>
          <w:szCs w:val="24"/>
        </w:rPr>
        <w:t>BRM</w:t>
      </w:r>
      <w:r w:rsidR="008123D1" w:rsidRPr="00CB6744">
        <w:rPr>
          <w:rFonts w:asciiTheme="majorBidi" w:hAnsiTheme="majorBidi" w:cstheme="majorBidi"/>
          <w:szCs w:val="24"/>
        </w:rPr>
        <w:t xml:space="preserve"> </w:t>
      </w:r>
      <w:r w:rsidR="00897775" w:rsidRPr="00CB6744">
        <w:rPr>
          <w:rFonts w:asciiTheme="majorBidi" w:hAnsiTheme="majorBidi" w:cstheme="majorBidi"/>
          <w:szCs w:val="24"/>
        </w:rPr>
        <w:t>mutant</w:t>
      </w:r>
      <w:r w:rsidR="008123D1" w:rsidRPr="00CB6744">
        <w:rPr>
          <w:rFonts w:asciiTheme="majorBidi" w:hAnsiTheme="majorBidi" w:cstheme="majorBidi"/>
          <w:szCs w:val="24"/>
        </w:rPr>
        <w:t xml:space="preserve"> </w:t>
      </w:r>
      <w:r w:rsidR="009B1A6C">
        <w:rPr>
          <w:rFonts w:asciiTheme="majorBidi" w:hAnsiTheme="majorBidi" w:cstheme="majorBidi"/>
          <w:szCs w:val="24"/>
        </w:rPr>
        <w:t>alleles</w:t>
      </w:r>
      <w:r w:rsidR="00B60EA2">
        <w:rPr>
          <w:rFonts w:asciiTheme="majorBidi" w:hAnsiTheme="majorBidi" w:cstheme="majorBidi"/>
          <w:szCs w:val="24"/>
        </w:rPr>
        <w:t xml:space="preserve"> (</w:t>
      </w:r>
      <w:r w:rsidR="00671446">
        <w:rPr>
          <w:rFonts w:asciiTheme="majorBidi" w:hAnsiTheme="majorBidi" w:cstheme="majorBidi"/>
          <w:szCs w:val="24"/>
        </w:rPr>
        <w:t>including T-DNA lines such as</w:t>
      </w:r>
      <w:r w:rsidR="00674FE4">
        <w:rPr>
          <w:rFonts w:asciiTheme="majorBidi" w:hAnsiTheme="majorBidi" w:cstheme="majorBidi"/>
          <w:szCs w:val="24"/>
        </w:rPr>
        <w:t xml:space="preserve"> </w:t>
      </w:r>
      <w:r w:rsidR="00674FE4" w:rsidRPr="00674FE4">
        <w:rPr>
          <w:rFonts w:asciiTheme="majorBidi" w:hAnsiTheme="majorBidi" w:cstheme="majorBidi"/>
          <w:i/>
          <w:iCs/>
          <w:szCs w:val="24"/>
        </w:rPr>
        <w:t>brm-1</w:t>
      </w:r>
      <w:r w:rsidR="00674FE4">
        <w:rPr>
          <w:rFonts w:asciiTheme="majorBidi" w:hAnsiTheme="majorBidi" w:cstheme="majorBidi"/>
          <w:szCs w:val="24"/>
        </w:rPr>
        <w:t xml:space="preserve">, and the EMS line </w:t>
      </w:r>
      <w:r w:rsidR="00B60EA2" w:rsidRPr="00674FE4">
        <w:rPr>
          <w:rFonts w:asciiTheme="majorBidi" w:hAnsiTheme="majorBidi" w:cstheme="majorBidi"/>
          <w:i/>
          <w:iCs/>
          <w:szCs w:val="24"/>
        </w:rPr>
        <w:t>brm-5</w:t>
      </w:r>
      <w:r w:rsidR="00B60EA2">
        <w:rPr>
          <w:rFonts w:asciiTheme="majorBidi" w:hAnsiTheme="majorBidi" w:cstheme="majorBidi"/>
          <w:szCs w:val="24"/>
        </w:rPr>
        <w:t>)</w:t>
      </w:r>
      <w:r w:rsidR="00897775" w:rsidRPr="00CB6744">
        <w:rPr>
          <w:rFonts w:asciiTheme="majorBidi" w:hAnsiTheme="majorBidi" w:cstheme="majorBidi"/>
          <w:szCs w:val="24"/>
        </w:rPr>
        <w:t xml:space="preserve"> </w:t>
      </w:r>
      <w:r w:rsidR="009B1A6C">
        <w:rPr>
          <w:rFonts w:asciiTheme="majorBidi" w:hAnsiTheme="majorBidi" w:cstheme="majorBidi"/>
          <w:szCs w:val="24"/>
        </w:rPr>
        <w:t xml:space="preserve">share </w:t>
      </w:r>
      <w:r w:rsidR="00DD15AD">
        <w:rPr>
          <w:rFonts w:asciiTheme="majorBidi" w:hAnsiTheme="majorBidi" w:cstheme="majorBidi"/>
          <w:szCs w:val="24"/>
        </w:rPr>
        <w:lastRenderedPageBreak/>
        <w:t>various morphological defects</w:t>
      </w:r>
      <w:r w:rsidR="008123D1" w:rsidRPr="00CB6744">
        <w:rPr>
          <w:rFonts w:asciiTheme="majorBidi" w:hAnsiTheme="majorBidi" w:cstheme="majorBidi"/>
          <w:szCs w:val="24"/>
        </w:rPr>
        <w:t xml:space="preserve"> </w:t>
      </w:r>
      <w:r w:rsidR="00D65FED">
        <w:rPr>
          <w:rFonts w:asciiTheme="majorBidi" w:hAnsiTheme="majorBidi" w:cstheme="majorBidi"/>
          <w:szCs w:val="24"/>
        </w:rPr>
        <w:t>such as</w:t>
      </w:r>
      <w:r w:rsidR="008123D1" w:rsidRPr="00CB6744">
        <w:rPr>
          <w:rFonts w:asciiTheme="majorBidi" w:hAnsiTheme="majorBidi" w:cstheme="majorBidi"/>
          <w:szCs w:val="24"/>
        </w:rPr>
        <w:t xml:space="preserve"> curly leaves</w:t>
      </w:r>
      <w:r w:rsidR="008123D1" w:rsidRPr="00CB6744">
        <w:rPr>
          <w:rFonts w:asciiTheme="majorBidi" w:hAnsiTheme="majorBidi" w:cstheme="majorBidi"/>
          <w:szCs w:val="24"/>
        </w:rPr>
        <w:fldChar w:fldCharType="begin" w:fldLock="1"/>
      </w:r>
      <w:r w:rsidR="008123D1" w:rsidRPr="00CB6744">
        <w:rPr>
          <w:rFonts w:asciiTheme="majorBidi" w:hAnsiTheme="majorBidi" w:cstheme="majorBidi"/>
          <w:szCs w:val="24"/>
        </w:rPr>
        <w:instrText xml:space="preserve"> REF _Ref426541618 \h  \* MERGEFORMAT </w:instrText>
      </w:r>
      <w:r w:rsidR="008123D1" w:rsidRPr="00CB6744">
        <w:rPr>
          <w:rFonts w:asciiTheme="majorBidi" w:hAnsiTheme="majorBidi" w:cstheme="majorBidi"/>
          <w:szCs w:val="24"/>
        </w:rPr>
      </w:r>
      <w:r w:rsidR="008123D1" w:rsidRPr="00CB6744">
        <w:rPr>
          <w:rFonts w:asciiTheme="majorBidi" w:hAnsiTheme="majorBidi" w:cstheme="majorBidi"/>
          <w:szCs w:val="24"/>
        </w:rPr>
        <w:fldChar w:fldCharType="end"/>
      </w:r>
      <w:r w:rsidR="008123D1" w:rsidRPr="00CB6744">
        <w:rPr>
          <w:rFonts w:asciiTheme="majorBidi" w:hAnsiTheme="majorBidi" w:cstheme="majorBidi"/>
          <w:szCs w:val="24"/>
        </w:rPr>
        <w:t xml:space="preserve">, early </w:t>
      </w:r>
      <w:r w:rsidR="00674FE4">
        <w:rPr>
          <w:rFonts w:asciiTheme="majorBidi" w:hAnsiTheme="majorBidi" w:cstheme="majorBidi"/>
          <w:szCs w:val="24"/>
        </w:rPr>
        <w:t>flowering,</w:t>
      </w:r>
      <w:r w:rsidR="00B60EA2">
        <w:rPr>
          <w:rFonts w:asciiTheme="majorBidi" w:hAnsiTheme="majorBidi" w:cstheme="majorBidi"/>
          <w:szCs w:val="24"/>
        </w:rPr>
        <w:t xml:space="preserve"> they </w:t>
      </w:r>
      <w:r w:rsidR="008123D1" w:rsidRPr="00CB6744">
        <w:rPr>
          <w:rFonts w:asciiTheme="majorBidi" w:hAnsiTheme="majorBidi" w:cstheme="majorBidi"/>
          <w:szCs w:val="24"/>
        </w:rPr>
        <w:t>are smaller at maturity with fewer branches</w:t>
      </w:r>
      <w:r w:rsidR="00F176C8" w:rsidRPr="00CB6744">
        <w:rPr>
          <w:rFonts w:asciiTheme="majorBidi" w:hAnsiTheme="majorBidi" w:cstheme="majorBidi"/>
          <w:szCs w:val="24"/>
        </w:rPr>
        <w:t>,</w:t>
      </w:r>
      <w:r w:rsidR="008123D1" w:rsidRPr="00CB6744">
        <w:rPr>
          <w:rFonts w:asciiTheme="majorBidi" w:hAnsiTheme="majorBidi" w:cstheme="majorBidi"/>
          <w:szCs w:val="24"/>
        </w:rPr>
        <w:t xml:space="preserve"> </w:t>
      </w:r>
      <w:r w:rsidR="00217702">
        <w:rPr>
          <w:rFonts w:asciiTheme="majorBidi" w:hAnsiTheme="majorBidi" w:cstheme="majorBidi"/>
          <w:szCs w:val="24"/>
        </w:rPr>
        <w:t xml:space="preserve">have </w:t>
      </w:r>
      <w:r w:rsidR="00B60EA2">
        <w:rPr>
          <w:rFonts w:asciiTheme="majorBidi" w:hAnsiTheme="majorBidi" w:cstheme="majorBidi"/>
          <w:szCs w:val="24"/>
        </w:rPr>
        <w:t>weaker</w:t>
      </w:r>
      <w:r w:rsidR="00B60EA2" w:rsidRPr="00CB6744">
        <w:rPr>
          <w:rFonts w:asciiTheme="majorBidi" w:hAnsiTheme="majorBidi" w:cstheme="majorBidi"/>
          <w:szCs w:val="24"/>
        </w:rPr>
        <w:t xml:space="preserve"> </w:t>
      </w:r>
      <w:r w:rsidR="008123D1" w:rsidRPr="00CB6744">
        <w:rPr>
          <w:rFonts w:asciiTheme="majorBidi" w:hAnsiTheme="majorBidi" w:cstheme="majorBidi"/>
          <w:szCs w:val="24"/>
        </w:rPr>
        <w:t xml:space="preserve">stems </w:t>
      </w:r>
      <w:r w:rsidR="00F176C8" w:rsidRPr="00CB6744">
        <w:rPr>
          <w:rFonts w:asciiTheme="majorBidi" w:hAnsiTheme="majorBidi" w:cstheme="majorBidi"/>
          <w:szCs w:val="24"/>
        </w:rPr>
        <w:t>and several reproduction defects</w:t>
      </w:r>
      <w:r w:rsidR="00217702">
        <w:rPr>
          <w:rFonts w:asciiTheme="majorBidi" w:hAnsiTheme="majorBidi" w:cstheme="majorBidi"/>
          <w:szCs w:val="24"/>
        </w:rPr>
        <w:t xml:space="preserve"> </w:t>
      </w:r>
      <w:r w:rsidR="00217702"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{"citationItems":[{"id":"ITEM-1","itemData":{"DOI":"10.1104/pp.108.121996","ISBN":"0032-0889 (Print)\\r0032-0889 (Linking)","ISSN":"0032-0889","PMID":"18508955","abstract":"Synthesis and accumulation of seed storage proteins (SSPs) is an important aspect of the seed maturation program. Genes encoding SSPs are specifically and highly expressed in the seed during maturation. However, the mechanisms that repress the expression of these genes in leaf tissue are not well understood. To gain insight into the repression mechanisms, we performed a genetic screen for mutants that express SSPs in leaves. Here, we show that mutations affecting BRAHMA (BRM), a SNF2 chromatin-remodeling ATPase, cause ectopic expression of a subset of SSPs and other embryogenesis-related genes in leaf tissue. Consistent with the notion that such SNF2-like ATPases form protein complexes in vivo, we observed similar phenotypes for mutations of AtSWI3C, a BRM-interacting partner, and BSH, a SNF5 homolog and essential SWI/SNF subunit. Chromatin immunoprecipitation experiments show that BRM is recruited to the promoters of a number of embryogenesis genes in wild-type leaves, including the 2S genes, expressed in brm leaves. Consistent with its role in nucleosome remodeling, BRM appears to affect the chromatin structure of the At2S2 promoter. Thus, the BRM-containing chromatin-remodeling ATPase complex involved in many aspects of plant development mediates the repression of SSPs in leaf tissue.","author":[{"dropping-particle":"","family":"Tang","given":"Xurong","non-dropping-particle":"","parse-names":false,"suffix":""},{"dropping-particle":"","family":"Hou","given":"Anfu","non-dropping-particle":"","parse-names":false,"suffix":""},{"dropping-particle":"","family":"Babu","given":"Mohan","non-dropping-particle":"","parse-names":false,"suffix":""},{"dropping-particle":"","family":"Nguyen","given":"Vi","non-dropping-particle":"","parse-names":false,"suffix":""},{"dropping-particle":"","family":"Hurtado","given":"Lidia","non-dropping-particle":"","parse-names":false,"suffix":""},{"dropping-particle":"","family":"Lu","given":"Qing","non-dropping-particle":"","parse-names":false,"suffix":""},{"dropping-particle":"","family":"Reyes","given":"Jose C","non-dropping-particle":"","parse-names":false,"suffix":""},{"dropping-particle":"","family":"Wang","given":"Aiming","non-dropping-particle":"","parse-names":false,"suffix":""},{"dropping-particle":"","family":"Keller","given":"Wilfred A","non-dropping-particle":"","parse-names":false,"suffix":""},{"dropping-particle":"","family":"Harada","given":"John J","non-dropping-particle":"","parse-names":false,"suffix":""},{"dropping-particle":"","family":"Tsang","given":"Edward W T","non-dropping-particle":"","parse-names":false,"suffix":""},{"dropping-particle":"","family":"Cui","given":"Yuhai","non-dropping-particle":"","parse-names":false,"suffix":""}],"container-title":"Plant physiology","id":"ITEM-1","issue":"3","issued":{"date-parts":[["2008","7"]]},"page":"1143-1157","title":"The Arabidopsis BRAHMA chromatin-remodeling ATPase is involved in repression of seed maturation genes in leaves.","type":"article-journal","volume":"147"},"uris":["http://www.mendeley.com/documents/?uuid=67d30b69-ec5f-4686-98cb-d060c8448aa7"]}],"mendeley":{"formattedCitation":"[10]","plainTextFormattedCitation":"[10]","previouslyFormattedCitation":"[10]"},"properties":{"noteIndex":0},"schema":"https://github.com/citation-style-language/schema/raw/master/csl-citation.json"}</w:instrText>
      </w:r>
      <w:r w:rsidR="00217702" w:rsidRPr="00CB6744">
        <w:rPr>
          <w:rFonts w:asciiTheme="majorBidi" w:hAnsiTheme="majorBidi" w:cstheme="majorBidi"/>
          <w:szCs w:val="24"/>
        </w:rPr>
        <w:fldChar w:fldCharType="separate"/>
      </w:r>
      <w:r w:rsidR="002E23FE" w:rsidRPr="002E23FE">
        <w:rPr>
          <w:rFonts w:asciiTheme="majorBidi" w:hAnsiTheme="majorBidi" w:cstheme="majorBidi"/>
          <w:noProof/>
          <w:szCs w:val="24"/>
        </w:rPr>
        <w:t>[10]</w:t>
      </w:r>
      <w:r w:rsidR="00217702" w:rsidRPr="00CB6744">
        <w:rPr>
          <w:rFonts w:asciiTheme="majorBidi" w:hAnsiTheme="majorBidi" w:cstheme="majorBidi"/>
          <w:szCs w:val="24"/>
        </w:rPr>
        <w:fldChar w:fldCharType="end"/>
      </w:r>
      <w:r w:rsidR="008123D1" w:rsidRPr="00CB6744">
        <w:rPr>
          <w:rFonts w:asciiTheme="majorBidi" w:hAnsiTheme="majorBidi" w:cstheme="majorBidi"/>
          <w:szCs w:val="24"/>
        </w:rPr>
        <w:t>.</w:t>
      </w:r>
      <w:r w:rsidR="00C3746C">
        <w:rPr>
          <w:rFonts w:asciiTheme="majorBidi" w:hAnsiTheme="majorBidi" w:cstheme="majorBidi"/>
          <w:szCs w:val="24"/>
        </w:rPr>
        <w:t xml:space="preserve"> BRM was shown to be an important regulator </w:t>
      </w:r>
      <w:r w:rsidR="007D5BD8" w:rsidRPr="00CB6744">
        <w:rPr>
          <w:rFonts w:asciiTheme="majorBidi" w:hAnsiTheme="majorBidi" w:cstheme="majorBidi"/>
          <w:szCs w:val="24"/>
        </w:rPr>
        <w:t xml:space="preserve">in many processes, such as regulation of flower homeotic genes </w:t>
      </w:r>
      <w:r w:rsidR="007D5BD8"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{"citationItems":[{"id":"ITEM-1","itemData":{"DOI":"10.1007/s11103-006-9021-2","ISBN":"0167-4412","ISSN":"0167-4412","PMID":"16845477","abstract":"Arabidopsis thaliana BRAHMA (BRM, also called AtBRM) is a SNF2 family protein homolog of Brahma, the ATPase of the Drosophila SWI/SNF complex involved in chromatin remodeling during transcription. Here we show that, in contrast to its Drosophila counterpart, BRM is not an essential gene. Thus, homozygous BRM loss of function mutants are viable but exhibit numerous defects including dwarfism, altered leaf and root development and several reproduction defects. The analysis of the progeny of self-fertilized heterozygous brm plants and reciprocal crosses between heterozygous and wild type plants indicated that disruption of BRM reduced both male and female gametophyte transmission. This was consistent with the presence of aborted ovules in the self-fertilized heterozygous flowers that contained arrested embryos predominantly at the two terminal cells stage. Furthermore, brm homozygous mutants were completely sterile. Flowers of brm loss-of-function mutants have several developmental abnormalities, including homeotic transformations in the second and third floral whorls. In accordance with these results, brm mutants present reduced levels of APETALA2, APETALA3, PISTILLATA and NAC-LIKE, ACTIVATED BY AP3/PI. We have previously shown that BRM strongly interacts with AtSWI3C. Now we extend our interaction studies demonstrating that BRM interacts weakly with AtSWI3B but not with AtSWI3A or AtSWI3D. In agreement with these results, the phenotype described in this study for brm plants is very similar to that previously described for the AtSWI3C mutant plants, suggesting that both proteins participate in the same genetic pathway or form a molecular complex.","author":[{"dropping-particle":"","family":"Hurtado","given":"Lidia","non-dropping-particle":"","parse-names":false,"suffix":""},{"dropping-particle":"","family":"Farrona","given":"Sara","non-dropping-particle":"","parse-names":false,"suffix":""},{"dropping-particle":"","family":"Reyes","given":"Jose C.","non-dropping-particle":"","parse-names":false,"suffix":""}],"container-title":"Plant molecular biology","id":"ITEM-1","issue":"1-2","issued":{"date-parts":[["2006","9"]]},"page":"291-304","title":"The putative SWI/SNF complex subunit BRAHMA activates flower homeotic genes in Arabidopsis thaliana.","type":"article-journal","volume":"62"},"uris":["http://www.mendeley.com/documents/?uuid=52d40240-0b5b-361f-b6d0-6b5027da23c2"]}],"mendeley":{"formattedCitation":"[8]","plainTextFormattedCitation":"[8]","previouslyFormattedCitation":"[8]"},"properties":{"noteIndex":0},"schema":"https://github.com/citation-style-language/schema/raw/master/csl-citation.json"}</w:instrText>
      </w:r>
      <w:r w:rsidR="007D5BD8" w:rsidRPr="00CB6744">
        <w:rPr>
          <w:rFonts w:asciiTheme="majorBidi" w:hAnsiTheme="majorBidi" w:cstheme="majorBidi"/>
          <w:szCs w:val="24"/>
        </w:rPr>
        <w:fldChar w:fldCharType="separate"/>
      </w:r>
      <w:r w:rsidR="002E23FE" w:rsidRPr="002E23FE">
        <w:rPr>
          <w:rFonts w:asciiTheme="majorBidi" w:hAnsiTheme="majorBidi" w:cstheme="majorBidi"/>
          <w:noProof/>
          <w:szCs w:val="24"/>
        </w:rPr>
        <w:t>[8]</w:t>
      </w:r>
      <w:r w:rsidR="007D5BD8" w:rsidRPr="00CB6744">
        <w:rPr>
          <w:rFonts w:asciiTheme="majorBidi" w:hAnsiTheme="majorBidi" w:cstheme="majorBidi"/>
          <w:szCs w:val="24"/>
        </w:rPr>
        <w:fldChar w:fldCharType="end"/>
      </w:r>
      <w:r w:rsidR="007D5BD8" w:rsidRPr="00CB6744">
        <w:rPr>
          <w:rFonts w:asciiTheme="majorBidi" w:hAnsiTheme="majorBidi" w:cstheme="majorBidi"/>
          <w:szCs w:val="24"/>
        </w:rPr>
        <w:t xml:space="preserve">, </w:t>
      </w:r>
      <w:r w:rsidR="00C3746C" w:rsidRPr="00CB6744">
        <w:rPr>
          <w:rFonts w:asciiTheme="majorBidi" w:hAnsiTheme="majorBidi" w:cstheme="majorBidi"/>
          <w:szCs w:val="24"/>
        </w:rPr>
        <w:t xml:space="preserve">flowering time </w:t>
      </w:r>
      <w:r w:rsidR="00C3746C"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{"citationItems":[{"id":"ITEM-1","itemData":{"DOI":"10.1007/s11103-006-9021-2","ISBN":"0167-4412","ISSN":"0167-4412","PMID":"16845477","abstract":"Arabidopsis thaliana BRAHMA (BRM, also called AtBRM) is a SNF2 family protein homolog of Brahma, the ATPase of the Drosophila SWI/SNF complex involved in chromatin remodeling during transcription. Here we show that, in contrast to its Drosophila counterpart, BRM is not an essential gene. Thus, homozygous BRM loss of function mutants are viable but exhibit numerous defects including dwarfism, altered leaf and root development and several reproduction defects. The analysis of the progeny of self-fertilized heterozygous brm plants and reciprocal crosses between heterozygous and wild type plants indicated that disruption of BRM reduced both male and female gametophyte transmission. This was consistent with the presence of aborted ovules in the self-fertilized heterozygous flowers that contained arrested embryos predominantly at the two terminal cells stage. Furthermore, brm homozygous mutants were completely sterile. Flowers of brm loss-of-function mutants have several developmental abnormalities, including homeotic transformations in the second and third floral whorls. In accordance with these results, brm mutants present reduced levels of APETALA2, APETALA3, PISTILLATA and NAC-LIKE, ACTIVATED BY AP3/PI. We have previously shown that BRM strongly interacts with AtSWI3C. Now we extend our interaction studies demonstrating that BRM interacts weakly with AtSWI3B but not with AtSWI3A or AtSWI3D. In agreement with these results, the phenotype described in this study for brm plants is very similar to that previously described for the AtSWI3C mutant plants, suggesting that both proteins participate in the same genetic pathway or form a molecular complex.","author":[{"dropping-particle":"","family":"Hurtado","given":"Lidia","non-dropping-particle":"","parse-names":false,"suffix":""},{"dropping-particle":"","family":"Farrona","given":"Sara","non-dropping-particle":"","parse-names":false,"suffix":""},{"dropping-particle":"","family":"Reyes","given":"Jose C.","non-dropping-particle":"","parse-names":false,"suffix":""}],"container-title":"Plant molecular biology","id":"ITEM-1","issue":"1-2","issued":{"date-parts":[["2006","9"]]},"page":"291-304","title":"The putative SWI/SNF complex subunit BRAHMA activates flower homeotic genes in Arabidopsis thaliana.","type":"article-journal","volume":"62"},"uris":["http://www.mendeley.com/documents/?uuid=52d40240-0b5b-361f-b6d0-6b5027da23c2"]},{"id":"ITEM-2","itemData":{"DOI":"10.1104/pp.16.01588","ISSN":"0032-0889","PMID":"27803189","abstract":"Plants progress from a juvenile vegetative phase of development to an adult vegetative phase of development before they enter the reproductive phase. miR156 has been shown to be the master regulator of the juvenile-to-adult transition in plants. However, the mechanism of how miR156 is transcriptionally regulated still remains elusive. In a forward genetic screen, we identified that a mutation in the SWI2/SNF2 chromatin remodeling ATPase BRAHMA (BRM) exhibited an accelerated vegetative phase change phenotype by reducing the expression of miR156, which in turn caused a corresponding increase in the levels of SQUAMOSA PROMOTER BINDING PROTEIN LIKE genes. BRM regulates miR156 expression by directly binding to the MIR156A promoter. Mutations in BRM not only increased occupancy of the -2 and +1 nucleosomes proximal to the transcription start site at the MIR156A locus but also the levels of trimethylated histone H3 at Lys 27. The precocious phenotype of brm mutant was partially suppressed by a second mutation in SWINGER (SWN), but not by a mutation in CURLEY LEAF, both of which are key components of the Polycomb Group Repressive Complex 2 in plants. Our results indicate that BRM and SWN act antagonistically at the nucleosome level to fine-tune the temporal expression of miR156 to regulate vegetative phase change in Arabidopsis.","author":[{"dropping-particle":"","family":"Xu","given":"Yunmin","non-dropping-particle":"","parse-names":false,"suffix":""},{"dropping-particle":"","family":"Guo","given":"Changkui","non-dropping-particle":"","parse-names":false,"suffix":""},{"dropping-particle":"","family":"Zhou","given":"Bingying","non-dropping-particle":"","parse-names":false,"suffix":""},{"dropping-particle":"","family":"Li","given":"Chenlong","non-dropping-particle":"","parse-names":false,"suffix":""},{"dropping-particle":"","family":"Wang","given":"Huasen","non-dropping-particle":"","parse-names":false,"suffix":""},{"dropping-particle":"","family":"Zheng","given":"Ben","non-dropping-particle":"","parse-names":false,"suffix":""},{"dropping-particle":"","family":"Ding","given":"Han","non-dropping-particle":"","parse-names":false,"suffix":""},{"dropping-particle":"","family":"Zhu","given":"Zhujun","non-dropping-particle":"","parse-names":false,"suffix":""},{"dropping-particle":"","family":"Peragine","given":"Angela","non-dropping-particle":"","parse-names":false,"suffix":""},{"dropping-particle":"","family":"Cui","given":"Yuhai","non-dropping-particle":"","parse-names":false,"suffix":""},{"dropping-particle":"","family":"Poethig","given":"Scott","non-dropping-particle":"","parse-names":false,"suffix":""},{"dropping-particle":"","family":"Wu","given":"Gang","non-dropping-particle":"","parse-names":false,"suffix":""}],"container-title":"Plant Physiology","id":"ITEM-2","issue":"4","issued":{"date-parts":[["2016","12","1"]]},"page":"2416-2428","publisher":"American Society of Plant Biologists","title":"Regulation of Vegetative Phase Change by SWI2/SNF2 Chromatin Remodeling ATPase BRAHMA","type":"article-journal","volume":"172"},"uris":["http://www.mendeley.com/documents/?uuid=96c052dd-0bae-4531-9b62-8f3720a47bf0"]}],"mendeley":{"formattedCitation":"[8,11]","plainTextFormattedCitation":"[8,11]","previouslyFormattedCitation":"[8,11]"},"properties":{"noteIndex":0},"schema":"https://github.com/citation-style-language/schema/raw/master/csl-citation.json"}</w:instrText>
      </w:r>
      <w:r w:rsidR="00C3746C" w:rsidRPr="00CB6744">
        <w:rPr>
          <w:rFonts w:asciiTheme="majorBidi" w:hAnsiTheme="majorBidi" w:cstheme="majorBidi"/>
          <w:szCs w:val="24"/>
        </w:rPr>
        <w:fldChar w:fldCharType="separate"/>
      </w:r>
      <w:r w:rsidR="002E23FE" w:rsidRPr="002E23FE">
        <w:rPr>
          <w:rFonts w:asciiTheme="majorBidi" w:hAnsiTheme="majorBidi" w:cstheme="majorBidi"/>
          <w:noProof/>
          <w:szCs w:val="24"/>
        </w:rPr>
        <w:t>[8,11]</w:t>
      </w:r>
      <w:r w:rsidR="00C3746C" w:rsidRPr="00CB6744">
        <w:rPr>
          <w:rFonts w:asciiTheme="majorBidi" w:hAnsiTheme="majorBidi" w:cstheme="majorBidi"/>
          <w:szCs w:val="24"/>
        </w:rPr>
        <w:fldChar w:fldCharType="end"/>
      </w:r>
      <w:r w:rsidR="00C3746C">
        <w:rPr>
          <w:rFonts w:asciiTheme="majorBidi" w:hAnsiTheme="majorBidi" w:cstheme="majorBidi"/>
          <w:szCs w:val="24"/>
        </w:rPr>
        <w:t>, shoot development</w:t>
      </w:r>
      <w:r w:rsidR="00C3746C" w:rsidRPr="00C3746C">
        <w:rPr>
          <w:rFonts w:asciiTheme="majorBidi" w:hAnsiTheme="majorBidi" w:cstheme="majorBidi"/>
          <w:szCs w:val="24"/>
        </w:rPr>
        <w:t xml:space="preserve"> </w:t>
      </w:r>
      <w:r w:rsidR="00C3746C">
        <w:rPr>
          <w:rFonts w:asciiTheme="majorBidi" w:hAnsiTheme="majorBidi" w:cstheme="majorBidi"/>
          <w:szCs w:val="24"/>
        </w:rPr>
        <w:t xml:space="preserve">and </w:t>
      </w:r>
      <w:r w:rsidR="00C3746C" w:rsidRPr="00CB6744">
        <w:rPr>
          <w:rFonts w:asciiTheme="majorBidi" w:hAnsiTheme="majorBidi" w:cstheme="majorBidi"/>
          <w:szCs w:val="24"/>
        </w:rPr>
        <w:t>regulation of inflorescence architecture</w:t>
      </w:r>
      <w:r w:rsidR="00C3746C">
        <w:rPr>
          <w:rFonts w:asciiTheme="majorBidi" w:hAnsiTheme="majorBidi" w:cstheme="majorBidi"/>
          <w:szCs w:val="24"/>
        </w:rPr>
        <w:t xml:space="preserve"> </w:t>
      </w:r>
      <w:r w:rsidR="00C3746C"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{"citationItems":[{"id":"ITEM-1","itemData":{"DOI":"10.1371/journal.pgen.1005125","ISSN":"1553-7404","abstract":"BREVIPEDICELLUS (BP or KNAT1), a class-I KNOTTED1-like homeobox (KNOX) transcription factor in Arabidopsis thaliana, contributes to shaping the normal inflorescence architecture through negatively regulating other two class-I KNOX genes, KNAT2 and KNAT6. However, the molecular mechanism of BP-mediated transcription regulation remains unclear. In this study, we showed that BP directly interacts with the SWI2/SNF2 chromatin remodeling ATPase BRAHMA (BRM) both in vitro and in vivo. Loss-of-function BRM mutants displayed inflorescence architecture defects, with clustered inflorescences, horizontally orientated pedicels, and short pedicels and internodes, a phenotype similar to the bp mutants. Furthermore, the transcript levels of KNAT2 and KNAT6 were elevated in brm-3, bp-9 and brm-3 bp-9 double mutants. Increased histone H3 lysine 4 tri-methylation (H3K4me3) levels were detected in brm-3, bp-9 and brm-3 bp-9 double mutants. Moreover, BRM and BP co-target to KNAT2 and KNAT6 genes, and BP is required for the binding of BRM to KNAT2 and KNAT6. Taken together, our results indicate that BP interacts with the chromatin remodeling factor BRM to regulate the expression of KNAT2 and KNAT6 in control of inflorescence architecture.","author":[{"dropping-particle":"","family":"Zhao","given":"Minglei","non-dropping-particle":"","parse-names":false,"suffix":""},{"dropping-particle":"","family":"Yang","given":"Songguang","non-dropping-particle":"","parse-names":false,"suffix":""},{"dropping-particle":"","family":"Chen","given":"Chia-Yang","non-dropping-particle":"","parse-names":false,"suffix":""},{"dropping-particle":"","family":"Li","given":"Chenlong","non-dropping-particle":"","parse-names":false,"suffix":""},{"dropping-particle":"","family":"Shan","given":"Wei","non-dropping-particle":"","parse-names":false,"suffix":""},{"dropping-particle":"","family":"Lu","given":"Wangjin","non-dropping-particle":"","parse-names":false,"suffix":""},{"dropping-particle":"","family":"Cui","given":"Yuhai","non-dropping-particle":"","parse-names":false,"suffix":""},{"dropping-particle":"","family":"Liu","given":"Xuncheng","non-dropping-particle":"","parse-names":false,"suffix":""},{"dropping-particle":"","family":"Wu","given":"Keqiang","non-dropping-particle":"","parse-names":false,"suffix":""}],"container-title":"PLOS Genetics","editor":[{"dropping-particle":"","family":"Chen","given":"Xuemei","non-dropping-particle":"","parse-names":false,"suffix":""}],"id":"ITEM-1","issue":"3","issued":{"date-parts":[["2015","3","30"]]},"page":"e1005125","publisher":"Public Library of Science","title":"Arabidopsis BREVIPEDICELLUS Interacts with the SWI2/SNF2 Chromatin Remodeling ATPase BRAHMA to Regulate KNAT2 and KNAT6 Expression in Control of Inflorescence Architecture","type":"article-journal","volume":"11"},"uris":["http://www.mendeley.com/documents/?uuid=5e2372e4-3497-3184-a2ae-a6880ccec4a8"]}],"mendeley":{"formattedCitation":"[12]","plainTextFormattedCitation":"[12]","previouslyFormattedCitation":"[12]"},"properties":{"noteIndex":0},"schema":"https://github.com/citation-style-language/schema/raw/master/csl-citation.json"}</w:instrText>
      </w:r>
      <w:r w:rsidR="00C3746C" w:rsidRPr="00CB6744">
        <w:rPr>
          <w:rFonts w:asciiTheme="majorBidi" w:hAnsiTheme="majorBidi" w:cstheme="majorBidi"/>
          <w:szCs w:val="24"/>
        </w:rPr>
        <w:fldChar w:fldCharType="separate"/>
      </w:r>
      <w:r w:rsidR="002E23FE" w:rsidRPr="002E23FE">
        <w:rPr>
          <w:rFonts w:asciiTheme="majorBidi" w:hAnsiTheme="majorBidi" w:cstheme="majorBidi"/>
          <w:noProof/>
          <w:szCs w:val="24"/>
        </w:rPr>
        <w:t>[12]</w:t>
      </w:r>
      <w:r w:rsidR="00C3746C" w:rsidRPr="00CB6744">
        <w:rPr>
          <w:rFonts w:asciiTheme="majorBidi" w:hAnsiTheme="majorBidi" w:cstheme="majorBidi"/>
          <w:szCs w:val="24"/>
        </w:rPr>
        <w:fldChar w:fldCharType="end"/>
      </w:r>
      <w:r w:rsidR="00C3746C">
        <w:rPr>
          <w:rFonts w:asciiTheme="majorBidi" w:hAnsiTheme="majorBidi" w:cstheme="majorBidi"/>
          <w:szCs w:val="24"/>
        </w:rPr>
        <w:t>,</w:t>
      </w:r>
      <w:r w:rsidR="007D5BD8" w:rsidRPr="00CB6744">
        <w:rPr>
          <w:rFonts w:asciiTheme="majorBidi" w:hAnsiTheme="majorBidi" w:cstheme="majorBidi"/>
          <w:szCs w:val="24"/>
        </w:rPr>
        <w:t xml:space="preserve"> </w:t>
      </w:r>
      <w:r w:rsidR="00C3746C">
        <w:rPr>
          <w:rFonts w:asciiTheme="majorBidi" w:hAnsiTheme="majorBidi" w:cstheme="majorBidi"/>
          <w:szCs w:val="24"/>
        </w:rPr>
        <w:t>and to antagonize</w:t>
      </w:r>
      <w:r w:rsidR="00013297">
        <w:rPr>
          <w:rFonts w:asciiTheme="majorBidi" w:hAnsiTheme="majorBidi" w:cstheme="majorBidi"/>
          <w:szCs w:val="24"/>
        </w:rPr>
        <w:t xml:space="preserve"> PcG activity, leading to a decrease of</w:t>
      </w:r>
      <w:r w:rsidR="00C3746C" w:rsidRPr="00CB6744">
        <w:rPr>
          <w:rFonts w:asciiTheme="majorBidi" w:hAnsiTheme="majorBidi" w:cstheme="majorBidi"/>
          <w:szCs w:val="24"/>
        </w:rPr>
        <w:t xml:space="preserve"> H3K27me3 </w:t>
      </w:r>
      <w:r w:rsidR="00013297">
        <w:rPr>
          <w:rFonts w:asciiTheme="majorBidi" w:hAnsiTheme="majorBidi" w:cstheme="majorBidi"/>
          <w:szCs w:val="24"/>
        </w:rPr>
        <w:t xml:space="preserve">methylation </w:t>
      </w:r>
      <w:r w:rsidR="00C3746C" w:rsidRPr="00CB6744">
        <w:rPr>
          <w:rFonts w:asciiTheme="majorBidi" w:hAnsiTheme="majorBidi" w:cstheme="majorBidi"/>
          <w:szCs w:val="24"/>
        </w:rPr>
        <w:t xml:space="preserve">at target loci </w:t>
      </w:r>
      <w:r w:rsidR="00C3746C"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{"citationItems":[{"id":"ITEM-1","itemData":{"DOI":"10.1371/journal.pgen.1004944","ISSN":"1553-7404","PMID":"25615622","abstract":"The chromatin remodeler BRAHMA (BRM) is a Trithorax Group (TrxG) protein that antagonizes the functions of Polycomb Group (PcG) proteins in fly and mammals. Recent studies also implicate such a role for Arabidopsis (Arabidopsis thaliana) BRM but the molecular mechanisms underlying the antagonism are unclear. To understand the interplay between BRM and PcG during plant development, we performed a genome-wide analysis of trimethylated histone H3 lysine 27 (H3K27me3) in brm mutant seedlings by chromatin immunoprecipitation followed by next generation sequencing (ChIP-seq). Increased H3K27me3 deposition at several hundred genes was observed in brm mutants and this increase was partially supressed by removal of the H3K27 methyltransferase CURLY LEAF (CLF) or SWINGER (SWN). ChIP experiments demonstrated that BRM directly binds to a subset of the genes and prevents the inappropriate association and/or activity of PcG proteins at these loci. Together, these results indicate a crucial role of BRM in restricting the inappropriate activity of PcG during plant development. The key flowering repressor gene SHORT VEGETATIVE PHASE (SVP) is such a BRM target. In brm mutants, elevated PcG occupancy at SVP accompanies a dramatic increase in H3K27me3 levels at this locus and a concomitant reduction of SVP expression. Further, our gain- and loss-of-function genetic evidence establishes that BRM controls flowering time by directly activating SVP expression. This work reveals a genome-wide functional interplay between BRM and PcG and provides new insights into the impacts of these proteins in plant growth and development.","author":[{"dropping-particle":"","family":"Li","given":"Chenlong","non-dropping-particle":"","parse-names":false,"suffix":""},{"dropping-particle":"","family":"Chen","given":"Chen","non-dropping-particle":"","parse-names":false,"suffix":""},{"dropping-particle":"","family":"Gao","given":"Lei","non-dropping-particle":"","parse-names":false,"suffix":""},{"dropping-particle":"","family":"Yang","given":"Songguang","non-dropping-particle":"","parse-names":false,"suffix":""},{"dropping-particle":"","family":"Nguyen","given":"Vi","non-dropping-particle":"","parse-names":false,"suffix":""},{"dropping-particle":"","family":"Shi","given":"Xuejiang","non-dropping-particle":"","parse-names":false,"suffix":""},{"dropping-particle":"","family":"Siminovitch","given":"Katherine","non-dropping-particle":"","parse-names":false,"suffix":""},{"dropping-particle":"","family":"Kohalmi","given":"Susanne E","non-dropping-particle":"","parse-names":false,"suffix":""},{"dropping-particle":"","family":"Huang","given":"Shangzhi","non-dropping-particle":"","parse-names":false,"suffix":""},{"dropping-particle":"","family":"Wu","given":"Keqiang","non-dropping-particle":"","parse-names":false,"suffix":""},{"dropping-particle":"","family":"Chen","given":"Xuemei","non-dropping-particle":"","parse-names":false,"suffix":""},{"dropping-particle":"","family":"Cui","given":"Yuhai","non-dropping-particle":"","parse-names":false,"suffix":""}],"container-title":"PLoS genetics","id":"ITEM-1","issue":"1","issued":{"date-parts":[["2015","1"]]},"page":"e1004944","publisher":"Public Library of Science","title":"The Arabidopsis SWI2/SNF2 chromatin Remodeler BRAHMA regulates polycomb function during vegetative development and directly activates the flowering repressor gene SVP.","type":"article-journal","volume":"11"},"uris":["http://www.mendeley.com/documents/?uuid=83c51b08-43b3-4792-bd1a-513fa55bb8e6"]}],"mendeley":{"formattedCitation":"[13]","plainTextFormattedCitation":"[13]","previouslyFormattedCitation":"[13]"},"properties":{"noteIndex":0},"schema":"https://github.com/citation-style-language/schema/raw/master/csl-citation.json"}</w:instrText>
      </w:r>
      <w:r w:rsidR="00C3746C" w:rsidRPr="00CB6744">
        <w:rPr>
          <w:rFonts w:asciiTheme="majorBidi" w:hAnsiTheme="majorBidi" w:cstheme="majorBidi"/>
          <w:szCs w:val="24"/>
        </w:rPr>
        <w:fldChar w:fldCharType="separate"/>
      </w:r>
      <w:r w:rsidR="002E23FE" w:rsidRPr="002E23FE">
        <w:rPr>
          <w:rFonts w:asciiTheme="majorBidi" w:hAnsiTheme="majorBidi" w:cstheme="majorBidi"/>
          <w:noProof/>
          <w:szCs w:val="24"/>
        </w:rPr>
        <w:t>[13]</w:t>
      </w:r>
      <w:r w:rsidR="00C3746C" w:rsidRPr="00CB6744">
        <w:rPr>
          <w:rFonts w:asciiTheme="majorBidi" w:hAnsiTheme="majorBidi" w:cstheme="majorBidi"/>
          <w:szCs w:val="24"/>
        </w:rPr>
        <w:fldChar w:fldCharType="end"/>
      </w:r>
      <w:r w:rsidR="007D5BD8" w:rsidRPr="00CB6744">
        <w:rPr>
          <w:rFonts w:asciiTheme="majorBidi" w:hAnsiTheme="majorBidi" w:cstheme="majorBidi"/>
          <w:szCs w:val="24"/>
        </w:rPr>
        <w:t>.</w:t>
      </w:r>
      <w:r w:rsidR="007D2916">
        <w:rPr>
          <w:rFonts w:asciiTheme="majorBidi" w:hAnsiTheme="majorBidi" w:cstheme="majorBidi"/>
          <w:noProof/>
          <w:szCs w:val="24"/>
        </w:rPr>
        <w:t xml:space="preserve"> </w:t>
      </w:r>
      <w:r w:rsidR="00224C99">
        <w:rPr>
          <w:rFonts w:asciiTheme="majorBidi" w:hAnsiTheme="majorBidi" w:cstheme="majorBidi"/>
          <w:szCs w:val="24"/>
        </w:rPr>
        <w:t xml:space="preserve">In roots </w:t>
      </w:r>
      <w:r w:rsidR="007D5BD8" w:rsidRPr="00CB6744">
        <w:rPr>
          <w:rFonts w:asciiTheme="majorBidi" w:hAnsiTheme="majorBidi" w:cstheme="majorBidi"/>
          <w:szCs w:val="24"/>
        </w:rPr>
        <w:t xml:space="preserve">BRM </w:t>
      </w:r>
      <w:r w:rsidR="00B74DB5">
        <w:rPr>
          <w:rFonts w:asciiTheme="majorBidi" w:hAnsiTheme="majorBidi" w:cstheme="majorBidi"/>
          <w:szCs w:val="24"/>
        </w:rPr>
        <w:t>is involved in determining root length and morphology</w:t>
      </w:r>
      <w:r w:rsidR="007D5BD8" w:rsidRPr="00CB6744">
        <w:rPr>
          <w:rFonts w:asciiTheme="majorBidi" w:hAnsiTheme="majorBidi" w:cstheme="majorBidi"/>
          <w:szCs w:val="24"/>
        </w:rPr>
        <w:t xml:space="preserve"> </w:t>
      </w:r>
      <w:r w:rsidR="007D5BD8"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{"citationItems":[{"id":"ITEM-1","itemData":{"DOI":"10.1242/dev.02508","ISSN":"0950-1991","PMID":"16854978","abstract":"The CUP-SHAPED COTYLEDON (CUC) genes CUC1, CUC2 and CUC3 act redundantly to control cotyledon separation in Arabidopsis. In order to identify novel regulators of this process, we have performed a phenotypical enhancer screen using a null allele of cuc2, cuc2-1. We identified three nonsense alleles of AtBRM, an Arabidopsis SWI/SNF chromatin remodeling ATPase, that result in strong cotyledon fusion in cuc2-1. atbrm also enhances cotyledon fusion in loss-of-function cuc1 and cuc3 mutants, suggesting a general requirement for this ATPase in cotyledon separation. By contrast, a null allele of SPLAYED (SYD), the closest homolog of AtBRM in Arabidopsis, enhances only the loss-of-function cuc1 mutant. By investigating the activities of the CUC promoters in the cotyledon boundary during embryogenesis in sensitized backgrounds, we demonstrate that AtBRM upregulates the transcription of all three CUC genes, whereas SYD upregulates the expression of CUC2. Our results uncover a specific role for both chromatin remodeling ATPases in the formation and/or maintenance of boundary cells during embryogenesis.","author":[{"dropping-particle":"","family":"Kwon","given":"Chang Seob","non-dropping-particle":"","parse-names":false,"suffix":""},{"dropping-particle":"","family":"Hibara","given":"Ken-ichiro","non-dropping-particle":"","parse-names":false,"suffix":""},{"dropping-particle":"","family":"Pfluger","given":"Jennifer","non-dropping-particle":"","parse-names":false,"suffix":""},{"dropping-particle":"","family":"Bezhani","given":"Staver","non-dropping-particle":"","parse-names":false,"suffix":""},{"dropping-particle":"","family":"Metha","given":"Heral","non-dropping-particle":"","parse-names":false,"suffix":""},{"dropping-particle":"","family":"Aida","given":"Mitsuhiro","non-dropping-particle":"","parse-names":false,"suffix":""},{"dropping-particle":"","family":"Tasaka","given":"Masao","non-dropping-particle":"","parse-names":false,"suffix":""},{"dropping-particle":"","family":"Wagner","given":"Doris","non-dropping-particle":"","parse-names":false,"suffix":""}],"container-title":"Development (Cambridge, England)","id":"ITEM-1","issue":"16","issued":{"date-parts":[["2006","8","15"]]},"page":"3223-30","publisher":"Oxford University Press for The Company of Biologists Limited","title":"A role for chromatin remodeling in regulation of CUC gene expression in the Arabidopsis cotyledon boundary.","type":"article-journal","volume":"133"},"uris":["http://www.mendeley.com/documents/?uuid=37a4182b-b3c8-3b7a-b470-225fcad071fd"]},{"id":"ITEM-2","itemData":{"DOI":"10.1007/s11103-006-9021-2","ISBN":"0167-4412","ISSN":"0167-4412","PMID":"16845477","abstract":"Arabidopsis thaliana BRAHMA (BRM, also called AtBRM) is a SNF2 family protein homolog of Brahma, the ATPase of the Drosophila SWI/SNF complex involved in chromatin remodeling during transcription. Here we show that, in contrast to its Drosophila counterpart, BRM is not an essential gene. Thus, homozygous BRM loss of function mutants are viable but exhibit numerous defects including dwarfism, altered leaf and root development and several reproduction defects. The analysis of the progeny of self-fertilized heterozygous brm plants and reciprocal crosses between heterozygous and wild type plants indicated that disruption of BRM reduced both male and female gametophyte transmission. This was consistent with the presence of aborted ovules in the self-fertilized heterozygous flowers that contained arrested embryos predominantly at the two terminal cells stage. Furthermore, brm homozygous mutants were completely sterile. Flowers of brm loss-of-function mutants have several developmental abnormalities, including homeotic transformations in the second and third floral whorls. In accordance with these results, brm mutants present reduced levels of APETALA2, APETALA3, PISTILLATA and NAC-LIKE, ACTIVATED BY AP3/PI. We have previously shown that BRM strongly interacts with AtSWI3C. Now we extend our interaction studies demonstrating that BRM interacts weakly with AtSWI3B but not with AtSWI3A or AtSWI3D. In agreement with these results, the phenotype described in this study for brm plants is very similar to that previously described for the AtSWI3C mutant plants, suggesting that both proteins participate in the same genetic pathway or form a molecular complex.","author":[{"dropping-particle":"","family":"Hurtado","given":"Lidia","non-dropping-particle":"","parse-names":false,"suffix":""},{"dropping-particle":"","family":"Farrona","given":"Sara","non-dropping-particle":"","parse-names":false,"suffix":""},{"dropping-particle":"","family":"Reyes","given":"Jose C.","non-dropping-particle":"","parse-names":false,"suffix":""}],"container-title":"Plant molecular biology","id":"ITEM-2","issue":"1-2","issued":{"date-parts":[["2006","9"]]},"page":"291-304","title":"The putative SWI/SNF complex subunit BRAHMA activates flower homeotic genes in Arabidopsis thaliana.","type":"article-journal","volume":"62"},"uris":["http://www.mendeley.com/documents/?uuid=52d40240-0b5b-361f-b6d0-6b5027da23c2"]}],"mendeley":{"formattedCitation":"[8,14]","plainTextFormattedCitation":"[8,14]","previouslyFormattedCitation":"[8,14]"},"properties":{"noteIndex":0},"schema":"https://github.com/citation-style-language/schema/raw/master/csl-citation.json"}</w:instrText>
      </w:r>
      <w:r w:rsidR="007D5BD8" w:rsidRPr="00CB6744">
        <w:rPr>
          <w:rFonts w:asciiTheme="majorBidi" w:hAnsiTheme="majorBidi" w:cstheme="majorBidi"/>
          <w:szCs w:val="24"/>
        </w:rPr>
        <w:fldChar w:fldCharType="separate"/>
      </w:r>
      <w:r w:rsidR="002E23FE" w:rsidRPr="002E23FE">
        <w:rPr>
          <w:rFonts w:asciiTheme="majorBidi" w:hAnsiTheme="majorBidi" w:cstheme="majorBidi"/>
          <w:noProof/>
          <w:szCs w:val="24"/>
        </w:rPr>
        <w:t>[8,14]</w:t>
      </w:r>
      <w:r w:rsidR="007D5BD8" w:rsidRPr="00CB6744">
        <w:rPr>
          <w:rFonts w:asciiTheme="majorBidi" w:hAnsiTheme="majorBidi" w:cstheme="majorBidi"/>
          <w:szCs w:val="24"/>
        </w:rPr>
        <w:fldChar w:fldCharType="end"/>
      </w:r>
      <w:r w:rsidR="007D5BD8" w:rsidRPr="00CB6744">
        <w:rPr>
          <w:rFonts w:asciiTheme="majorBidi" w:hAnsiTheme="majorBidi" w:cstheme="majorBidi"/>
          <w:szCs w:val="24"/>
        </w:rPr>
        <w:t xml:space="preserve"> </w:t>
      </w:r>
      <w:r w:rsidR="00B74DB5">
        <w:rPr>
          <w:rFonts w:asciiTheme="majorBidi" w:hAnsiTheme="majorBidi" w:cstheme="majorBidi"/>
          <w:szCs w:val="24"/>
        </w:rPr>
        <w:t>proba</w:t>
      </w:r>
      <w:r w:rsidR="00E13326">
        <w:rPr>
          <w:rFonts w:asciiTheme="majorBidi" w:hAnsiTheme="majorBidi" w:cstheme="majorBidi"/>
          <w:szCs w:val="24"/>
        </w:rPr>
        <w:t>bly by governing</w:t>
      </w:r>
      <w:r w:rsidR="007D5BD8" w:rsidRPr="00CB6744">
        <w:rPr>
          <w:rFonts w:asciiTheme="majorBidi" w:hAnsiTheme="majorBidi" w:cstheme="majorBidi"/>
          <w:szCs w:val="24"/>
        </w:rPr>
        <w:t xml:space="preserve"> </w:t>
      </w:r>
      <w:r w:rsidR="00B74DB5" w:rsidRPr="00CB6744">
        <w:rPr>
          <w:rFonts w:asciiTheme="majorBidi" w:hAnsiTheme="majorBidi" w:cstheme="majorBidi"/>
          <w:szCs w:val="24"/>
        </w:rPr>
        <w:t>expression of PINs</w:t>
      </w:r>
      <w:r w:rsidR="00E13326">
        <w:rPr>
          <w:rFonts w:asciiTheme="majorBidi" w:hAnsiTheme="majorBidi" w:cstheme="majorBidi"/>
          <w:szCs w:val="24"/>
        </w:rPr>
        <w:t>, thus affecting</w:t>
      </w:r>
      <w:r w:rsidR="00B74DB5" w:rsidRPr="00CB6744">
        <w:rPr>
          <w:rFonts w:asciiTheme="majorBidi" w:hAnsiTheme="majorBidi" w:cstheme="majorBidi"/>
          <w:szCs w:val="24"/>
        </w:rPr>
        <w:t xml:space="preserve"> </w:t>
      </w:r>
      <w:r w:rsidR="00E13326">
        <w:rPr>
          <w:rFonts w:asciiTheme="majorBidi" w:hAnsiTheme="majorBidi" w:cstheme="majorBidi"/>
          <w:szCs w:val="24"/>
        </w:rPr>
        <w:t xml:space="preserve">auxin transport </w:t>
      </w:r>
      <w:r w:rsidR="00B74DB5">
        <w:rPr>
          <w:rFonts w:asciiTheme="majorBidi" w:hAnsiTheme="majorBidi" w:cstheme="majorBidi"/>
          <w:szCs w:val="24"/>
        </w:rPr>
        <w:t xml:space="preserve">and </w:t>
      </w:r>
      <w:r w:rsidR="007D5BD8" w:rsidRPr="00CB6744">
        <w:rPr>
          <w:rFonts w:asciiTheme="majorBidi" w:hAnsiTheme="majorBidi" w:cstheme="majorBidi"/>
          <w:szCs w:val="24"/>
        </w:rPr>
        <w:t>maintain</w:t>
      </w:r>
      <w:r w:rsidR="00E13326">
        <w:rPr>
          <w:rFonts w:asciiTheme="majorBidi" w:hAnsiTheme="majorBidi" w:cstheme="majorBidi"/>
          <w:szCs w:val="24"/>
        </w:rPr>
        <w:t>ing</w:t>
      </w:r>
      <w:r w:rsidR="007D5BD8" w:rsidRPr="00CB6744">
        <w:rPr>
          <w:rFonts w:asciiTheme="majorBidi" w:hAnsiTheme="majorBidi" w:cstheme="majorBidi"/>
          <w:szCs w:val="24"/>
        </w:rPr>
        <w:t xml:space="preserve"> the root stem cell niche </w:t>
      </w:r>
      <w:r w:rsidR="007D5BD8"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{"citationItems":[{"id":"ITEM-1","itemData":{"DOI":"10.1105/tpc.15.00091","ISSN":"1532-298X","PMID":"25991732","abstract":"BRAHMA (BRM), a SWI/SNF chromatin remodeling ATPase, is essential for the transcriptional reprogramming associated with development and cell differentiation in Arabidopsis thaliana. In this study, we show that loss-of-function mutations in BRM led to defective maintenance of the root stem cell niche, decreased meristematic activity, and stunted root growth. Mutations of BRM affected auxin distribution by reducing local expression of several PIN-FORMED (PIN) genes in the stem cells and impaired the expression of the stem cell transcription factor genes PLETHORA (PLT1) and PLT2. Chromatin immunoprecipitation assays showed that BRM could directly target to the chromatin of PIN1, PIN2, PIN3, PIN4, and PIN7. In addition, genetic interaction assays indicate that PLTs acted downstream of BRM, and overexpression of PLT2 partially rescued the stem cell niche defect of brm mutants. Taken together, these results support the idea that BRM acts in the PLT pathway to maintain the root stem cell niche by altering the expression of PINs.","author":[{"dropping-particle":"","family":"Yang","given":"Songguang","non-dropping-particle":"","parse-names":false,"suffix":""},{"dropping-particle":"","family":"Li","given":"Chenlong","non-dropping-particle":"","parse-names":false,"suffix":""},{"dropping-particle":"","family":"Zhao","given":"Linmao","non-dropping-particle":"","parse-names":false,"suffix":""},{"dropping-particle":"","family":"Gao","given":"Sujuan","non-dropping-particle":"","parse-names":false,"suffix":""},{"dropping-particle":"","family":"Lu","given":"Jingxia","non-dropping-particle":"","parse-names":false,"suffix":""},{"dropping-particle":"","family":"Zhao","given":"Minglei","non-dropping-particle":"","parse-names":false,"suffix":""},{"dropping-particle":"","family":"Chen","given":"Chia-Yang","non-dropping-particle":"","parse-names":false,"suffix":""},{"dropping-particle":"","family":"Liu","given":"Xuncheng","non-dropping-particle":"","parse-names":false,"suffix":""},{"dropping-particle":"","family":"Luo","given":"Ming","non-dropping-particle":"","parse-names":false,"suffix":""},{"dropping-particle":"","family":"Cui","given":"Yuhai","non-dropping-particle":"","parse-names":false,"suffix":""},{"dropping-particle":"","family":"Yang","given":"Chengwei","non-dropping-particle":"","parse-names":false,"suffix":""},{"dropping-particle":"","family":"Wu","given":"Keqiang","non-dropping-particle":"","parse-names":false,"suffix":""}],"container-title":"The Plant cell","id":"ITEM-1","issue":"6","issued":{"date-parts":[["2015","6"]]},"page":"1670-80","publisher":"American Society of Plant Biologists","title":"The Arabidopsis SWI2/SNF2 Chromatin Remodeling ATPase BRAHMA Targets Directly to PINs and Is Required for Root Stem Cell Niche Maintenance.","type":"article-journal","volume":"27"},"uris":["http://www.mendeley.com/documents/?uuid=369b6387-2b79-3737-ba59-d2ef3d97bbec"]}],"mendeley":{"formattedCitation":"[15]","plainTextFormattedCitation":"[15]","previouslyFormattedCitation":"[15]"},"properties":{"noteIndex":0},"schema":"https://github.com/citation-style-language/schema/raw/master/csl-citation.json"}</w:instrText>
      </w:r>
      <w:r w:rsidR="007D5BD8" w:rsidRPr="00CB6744">
        <w:rPr>
          <w:rFonts w:asciiTheme="majorBidi" w:hAnsiTheme="majorBidi" w:cstheme="majorBidi"/>
          <w:szCs w:val="24"/>
        </w:rPr>
        <w:fldChar w:fldCharType="separate"/>
      </w:r>
      <w:r w:rsidR="002E23FE" w:rsidRPr="002E23FE">
        <w:rPr>
          <w:rFonts w:asciiTheme="majorBidi" w:hAnsiTheme="majorBidi" w:cstheme="majorBidi"/>
          <w:noProof/>
          <w:szCs w:val="24"/>
        </w:rPr>
        <w:t>[15]</w:t>
      </w:r>
      <w:r w:rsidR="007D5BD8" w:rsidRPr="00CB6744">
        <w:rPr>
          <w:rFonts w:asciiTheme="majorBidi" w:hAnsiTheme="majorBidi" w:cstheme="majorBidi"/>
          <w:szCs w:val="24"/>
        </w:rPr>
        <w:fldChar w:fldCharType="end"/>
      </w:r>
      <w:r w:rsidR="007D5BD8" w:rsidRPr="00CB6744">
        <w:rPr>
          <w:rFonts w:asciiTheme="majorBidi" w:hAnsiTheme="majorBidi" w:cstheme="majorBidi"/>
          <w:szCs w:val="24"/>
        </w:rPr>
        <w:t>.</w:t>
      </w:r>
    </w:p>
    <w:p w14:paraId="7B6F0409" w14:textId="265F0B37" w:rsidR="00114582" w:rsidRDefault="007D5BD8" w:rsidP="00114582">
      <w:pPr>
        <w:contextualSpacing/>
        <w:rPr>
          <w:rFonts w:asciiTheme="majorBidi" w:hAnsiTheme="majorBidi" w:cstheme="majorBidi"/>
          <w:szCs w:val="24"/>
        </w:rPr>
      </w:pPr>
      <w:r w:rsidRPr="00CB6744">
        <w:rPr>
          <w:rFonts w:asciiTheme="majorBidi" w:hAnsiTheme="majorBidi" w:cstheme="majorBidi"/>
          <w:szCs w:val="24"/>
        </w:rPr>
        <w:t xml:space="preserve">Although BRAHMA has been extensively studied, </w:t>
      </w:r>
      <w:r w:rsidR="00E13326">
        <w:t xml:space="preserve">its role in defining chromatin accessibility in the Arabidopsis genome is not </w:t>
      </w:r>
      <w:r w:rsidR="00AA6954">
        <w:t>well understood</w:t>
      </w:r>
      <w:r w:rsidR="00AA6954" w:rsidRPr="00CB6744">
        <w:rPr>
          <w:rFonts w:asciiTheme="majorBidi" w:hAnsiTheme="majorBidi" w:cstheme="majorBidi"/>
          <w:szCs w:val="24"/>
        </w:rPr>
        <w:t xml:space="preserve"> </w:t>
      </w:r>
      <w:r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{"citationItems":[{"id":"ITEM-1","itemData":{"DOI":"10.3390/genes11010090","ISSN":"2073-4425","abstract":"&lt;p&gt;The ATP-dependent Switch/Sucrose non-fermenting (SWI/SNF) chromatin remodeling complex (CRC) regulates the transcription of many genes by destabilizing interactions between DNA and histones. In plants, BRAHMA (BRM), one of the two catalytic ATPase subunits of the complex, is the closest homolog of the yeast and animal SWI2/SNF2 ATPases. We summarize here the advances describing the roles of BRM in plant development as well as its recently reported chromatin-independent role in pri-miRNA processing in vitro and in vivo. We also enlighten the roles of plant-specific partners that physically interact with BRM. Three main types of partners can be distinguished: (i) DNA-binding proteins such as transcription factors which mostly cooperate with BRM in developmental processes, (ii) enzymes such as kinases or proteasome-related proteins that use BRM as substrate and are often involved in response to abiotic stress, and (iii) an RNA-binding protein which is involved with BRM in chromatin-independent pri-miRNA processing. This overview contributes to the understanding of the central position occupied by BRM within regulatory networks controlling fundamental biological processes in plants.&lt;/p&gt;","author":[{"dropping-particle":"","family":"Thouly","given":"Caroline","non-dropping-particle":"","parse-names":false,"suffix":""},{"dropping-particle":"","family":"Masson","given":"Marie","non-dropping-particle":"Le","parse-names":false,"suffix":""},{"dropping-particle":"","family":"Lai","given":"Xuelei","non-dropping-particle":"","parse-names":false,"suffix":""},{"dropping-particle":"","family":"Carles","given":"Cristel C.","non-dropping-particle":"","parse-names":false,"suffix":""},{"dropping-particle":"","family":"Vachon","given":"Gilles","non-dropping-particle":"","parse-names":false,"suffix":""}],"container-title":"Genes","id":"ITEM-1","issue":"1","issued":{"date-parts":[["2020","1","13"]]},"page":"90","publisher":"Multidisciplinary Digital Publishing Institute","title":"Unwinding BRAHMA Functions in Plants","type":"article-journal","volume":"11"},"uris":["http://www.mendeley.com/documents/?uuid=314843d5-1999-3b1d-a4a8-99d393204caf"]}],"mendeley":{"formattedCitation":"[16]","plainTextFormattedCitation":"[16]","previouslyFormattedCitation":"[16]"},"properties":{"noteIndex":0},"schema":"https://github.com/citation-style-language/schema/raw/master/csl-citation.json"}</w:instrText>
      </w:r>
      <w:r w:rsidRPr="00CB6744">
        <w:rPr>
          <w:rFonts w:asciiTheme="majorBidi" w:hAnsiTheme="majorBidi" w:cstheme="majorBidi"/>
          <w:szCs w:val="24"/>
        </w:rPr>
        <w:fldChar w:fldCharType="separate"/>
      </w:r>
      <w:r w:rsidR="002E23FE" w:rsidRPr="002E23FE">
        <w:rPr>
          <w:rFonts w:asciiTheme="majorBidi" w:hAnsiTheme="majorBidi" w:cstheme="majorBidi"/>
          <w:noProof/>
          <w:szCs w:val="24"/>
        </w:rPr>
        <w:t>[16]</w:t>
      </w:r>
      <w:r w:rsidRPr="00CB6744">
        <w:rPr>
          <w:rFonts w:asciiTheme="majorBidi" w:hAnsiTheme="majorBidi" w:cstheme="majorBidi"/>
          <w:szCs w:val="24"/>
        </w:rPr>
        <w:fldChar w:fldCharType="end"/>
      </w:r>
      <w:r w:rsidRPr="00CB6744">
        <w:rPr>
          <w:rFonts w:asciiTheme="majorBidi" w:hAnsiTheme="majorBidi" w:cstheme="majorBidi"/>
          <w:szCs w:val="24"/>
        </w:rPr>
        <w:t>.</w:t>
      </w:r>
      <w:r w:rsidR="00AA6954">
        <w:rPr>
          <w:rFonts w:asciiTheme="majorBidi" w:hAnsiTheme="majorBidi" w:cstheme="majorBidi"/>
          <w:szCs w:val="24"/>
        </w:rPr>
        <w:t xml:space="preserve"> Recent Genome-wide studies identified </w:t>
      </w:r>
      <w:r w:rsidR="00AA6954" w:rsidRPr="00AA6954">
        <w:rPr>
          <w:rFonts w:asciiTheme="majorBidi" w:hAnsiTheme="majorBidi" w:cstheme="majorBidi"/>
          <w:szCs w:val="24"/>
        </w:rPr>
        <w:t>cooperative and antagonistic functions between BRM and</w:t>
      </w:r>
      <w:r w:rsidR="00D748FA">
        <w:rPr>
          <w:rFonts w:asciiTheme="majorBidi" w:hAnsiTheme="majorBidi" w:cstheme="majorBidi"/>
          <w:szCs w:val="24"/>
        </w:rPr>
        <w:t xml:space="preserve"> loci containing t</w:t>
      </w:r>
      <w:r w:rsidR="00D748FA" w:rsidRPr="00AA6954">
        <w:rPr>
          <w:rFonts w:asciiTheme="majorBidi" w:hAnsiTheme="majorBidi" w:cstheme="majorBidi"/>
          <w:szCs w:val="24"/>
        </w:rPr>
        <w:t>he histone H2A variant H2A</w:t>
      </w:r>
      <w:r w:rsidR="00D748FA">
        <w:rPr>
          <w:rFonts w:asciiTheme="majorBidi" w:hAnsiTheme="majorBidi" w:cstheme="majorBidi"/>
          <w:szCs w:val="24"/>
        </w:rPr>
        <w:t xml:space="preserve">Z </w:t>
      </w:r>
      <w:r w:rsidR="00AA6954" w:rsidRPr="00AA6954">
        <w:rPr>
          <w:rFonts w:asciiTheme="majorBidi" w:hAnsiTheme="majorBidi" w:cstheme="majorBidi"/>
          <w:szCs w:val="24"/>
        </w:rPr>
        <w:t>in chromatin regulation and transcription</w:t>
      </w:r>
      <w:r w:rsidR="00D748FA">
        <w:rPr>
          <w:rFonts w:asciiTheme="majorBidi" w:hAnsiTheme="majorBidi" w:cstheme="majorBidi"/>
          <w:szCs w:val="24"/>
        </w:rPr>
        <w:t xml:space="preserve"> of </w:t>
      </w:r>
      <w:r w:rsidR="00D748FA" w:rsidRPr="00D748FA">
        <w:rPr>
          <w:rFonts w:asciiTheme="majorBidi" w:hAnsiTheme="majorBidi" w:cstheme="majorBidi"/>
          <w:szCs w:val="24"/>
        </w:rPr>
        <w:t xml:space="preserve">genes involved </w:t>
      </w:r>
      <w:r w:rsidR="00D748FA">
        <w:rPr>
          <w:rFonts w:asciiTheme="majorBidi" w:hAnsiTheme="majorBidi" w:cstheme="majorBidi"/>
          <w:szCs w:val="24"/>
        </w:rPr>
        <w:t>in</w:t>
      </w:r>
      <w:r w:rsidR="00D748FA" w:rsidRPr="00D748FA">
        <w:rPr>
          <w:rFonts w:asciiTheme="majorBidi" w:hAnsiTheme="majorBidi" w:cstheme="majorBidi"/>
          <w:szCs w:val="24"/>
        </w:rPr>
        <w:t xml:space="preserve"> responses to </w:t>
      </w:r>
      <w:r w:rsidR="00D748FA">
        <w:rPr>
          <w:rFonts w:asciiTheme="majorBidi" w:hAnsiTheme="majorBidi" w:cstheme="majorBidi"/>
          <w:szCs w:val="24"/>
        </w:rPr>
        <w:t>light and other stimuli</w:t>
      </w:r>
      <w:r w:rsidR="00FA2BE9">
        <w:rPr>
          <w:rFonts w:asciiTheme="majorBidi" w:hAnsiTheme="majorBidi" w:cstheme="majorBidi"/>
          <w:szCs w:val="24"/>
        </w:rPr>
        <w:t xml:space="preserve"> </w:t>
      </w:r>
      <w:r w:rsidR="00FA2BE9">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{"citationItems":[{"id":"ITEM-1","itemData":{"DOI":"10.1111/tpj.14281","ISSN":"0960-7412","PMID":"30742338","author":[{"dropping-particle":"","family":"Torres","given":"E. Shannon","non-dropping-particle":"","parse-names":false,"suffix":""},{"dropping-particle":"","family":"Deal","given":"Roger B.","non-dropping-particle":"","parse-names":false,"suffix":""}],"container-title":"The Plant Journal","id":"ITEM-1","issue":"1","issued":{"date-parts":[["2019","7","19"]]},"page":"144-162","publisher":"John Wiley &amp; Sons, Ltd (10.1111)","title":"The histone variant H2A.Z and chromatin remodeler &lt;scp&gt;BRAHMA&lt;/scp&gt; act coordinately and antagonistically to regulate transcription and nucleosome dynamics in Arabidopsis","type":"article-journal","volume":"99"},"uris":["http://www.mendeley.com/documents/?uuid=ff3ccc07-74f3-47b3-b974-2a76ffa613b4"]}],"mendeley":{"formattedCitation":"[17]","plainTextFormattedCitation":"[17]","previouslyFormattedCitation":"[17]"},"properties":{"noteIndex":0},"schema":"https://github.com/citation-style-language/schema/raw/master/csl-citation.json"}</w:instrText>
      </w:r>
      <w:r w:rsidR="00FA2BE9">
        <w:rPr>
          <w:rFonts w:asciiTheme="majorBidi" w:hAnsiTheme="majorBidi" w:cstheme="majorBidi"/>
          <w:szCs w:val="24"/>
        </w:rPr>
        <w:fldChar w:fldCharType="separate"/>
      </w:r>
      <w:r w:rsidR="002E23FE" w:rsidRPr="002E23FE">
        <w:rPr>
          <w:rFonts w:asciiTheme="majorBidi" w:hAnsiTheme="majorBidi" w:cstheme="majorBidi"/>
          <w:noProof/>
          <w:szCs w:val="24"/>
        </w:rPr>
        <w:t>[17]</w:t>
      </w:r>
      <w:r w:rsidR="00FA2BE9">
        <w:rPr>
          <w:rFonts w:asciiTheme="majorBidi" w:hAnsiTheme="majorBidi" w:cstheme="majorBidi"/>
          <w:szCs w:val="24"/>
        </w:rPr>
        <w:fldChar w:fldCharType="end"/>
      </w:r>
      <w:r w:rsidR="00E13326">
        <w:rPr>
          <w:rFonts w:asciiTheme="majorBidi" w:hAnsiTheme="majorBidi" w:cstheme="majorBidi"/>
          <w:szCs w:val="24"/>
        </w:rPr>
        <w:t>.</w:t>
      </w:r>
      <w:r w:rsidR="002D65F3">
        <w:rPr>
          <w:rFonts w:asciiTheme="majorBidi" w:hAnsiTheme="majorBidi" w:cstheme="majorBidi"/>
          <w:szCs w:val="24"/>
        </w:rPr>
        <w:t xml:space="preserve"> </w:t>
      </w:r>
    </w:p>
    <w:p w14:paraId="6CFACF6B" w14:textId="77777777" w:rsidR="007D2916" w:rsidRDefault="007D2916" w:rsidP="00114582">
      <w:pPr>
        <w:contextualSpacing/>
        <w:rPr>
          <w:rFonts w:asciiTheme="majorBidi" w:hAnsiTheme="majorBidi" w:cstheme="majorBidi"/>
          <w:szCs w:val="24"/>
        </w:rPr>
      </w:pPr>
    </w:p>
    <w:p w14:paraId="6CF42957" w14:textId="4813C8B1" w:rsidR="00C31295" w:rsidRDefault="00114582" w:rsidP="00671446">
      <w:pPr>
        <w:contextualSpacing/>
        <w:rPr>
          <w:rFonts w:asciiTheme="majorBidi" w:hAnsiTheme="majorBidi" w:cstheme="majorBidi"/>
          <w:szCs w:val="24"/>
        </w:rPr>
      </w:pPr>
      <w:r>
        <w:rPr>
          <w:rFonts w:asciiTheme="majorBidi" w:hAnsiTheme="majorBidi" w:cstheme="majorBidi"/>
          <w:szCs w:val="24"/>
        </w:rPr>
        <w:t>Plants devote several pathways</w:t>
      </w:r>
      <w:r w:rsidR="00D748FA">
        <w:rPr>
          <w:rFonts w:asciiTheme="majorBidi" w:hAnsiTheme="majorBidi" w:cstheme="majorBidi"/>
          <w:szCs w:val="24"/>
        </w:rPr>
        <w:t xml:space="preserve"> </w:t>
      </w:r>
      <w:r>
        <w:rPr>
          <w:rFonts w:asciiTheme="majorBidi" w:hAnsiTheme="majorBidi" w:cstheme="majorBidi"/>
          <w:szCs w:val="24"/>
        </w:rPr>
        <w:t xml:space="preserve">to </w:t>
      </w:r>
      <w:r w:rsidR="00D748FA">
        <w:rPr>
          <w:rFonts w:asciiTheme="majorBidi" w:hAnsiTheme="majorBidi" w:cstheme="majorBidi"/>
          <w:szCs w:val="24"/>
        </w:rPr>
        <w:t>repress non</w:t>
      </w:r>
      <w:r w:rsidR="008959FE">
        <w:rPr>
          <w:rFonts w:asciiTheme="majorBidi" w:hAnsiTheme="majorBidi" w:cstheme="majorBidi"/>
          <w:szCs w:val="24"/>
        </w:rPr>
        <w:t>-</w:t>
      </w:r>
      <w:r w:rsidR="00D748FA">
        <w:rPr>
          <w:rFonts w:asciiTheme="majorBidi" w:hAnsiTheme="majorBidi" w:cstheme="majorBidi"/>
          <w:szCs w:val="24"/>
        </w:rPr>
        <w:t xml:space="preserve">coding </w:t>
      </w:r>
      <w:r>
        <w:rPr>
          <w:rFonts w:asciiTheme="majorBidi" w:hAnsiTheme="majorBidi" w:cstheme="majorBidi"/>
          <w:szCs w:val="24"/>
        </w:rPr>
        <w:t>transcripts, including t</w:t>
      </w:r>
      <w:r w:rsidR="00377A27" w:rsidRPr="00CB6744">
        <w:rPr>
          <w:rFonts w:asciiTheme="majorBidi" w:hAnsiTheme="majorBidi" w:cstheme="majorBidi"/>
          <w:szCs w:val="24"/>
        </w:rPr>
        <w:t>ransposable elements (TEs)</w:t>
      </w:r>
      <w:r>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{"citationItems":[{"id":"ITEM-1","itemData":{"DOI":"10.1105/tpc.15.00911","ISSN":"1532-298X","PMID":"26869701","abstract":"Flowering plants have strikingly distinct genomes, although they contain a similar suite of expressed genes. The diversity of genome structures and organization is largely due to variation in transposable elements (TEs) and whole-genome duplication (WGD) events. We review evidence that chromatin modifications and epigenetic regulation are intimately associated with TEs and likely play a role in mediating the effects of WGDs. We hypothesize that the current structure of a genome is the result of various TE bursts and WGDs and it is likely that the silencing mechanisms and the chromatin structure of a genome have been shaped by these events. This suggests that the specific mechanisms targeting chromatin modifications and epigenomic patterns may vary among different species. Many crop species have likely evolved chromatin-based mechanisms to tolerate silenced TEs near actively expressed genes. These interactions of heterochromatin and euchromatin are likely to have important roles in modulating gene expression and variability within species.","author":[{"dropping-particle":"","family":"Springer","given":"Nathan M","non-dropping-particle":"","parse-names":false,"suffix":""},{"dropping-particle":"","family":"Lisch","given":"Damon","non-dropping-particle":"","parse-names":false,"suffix":""},{"dropping-particle":"","family":"Li","given":"Qing","non-dropping-particle":"","parse-names":false,"suffix":""}],"container-title":"The Plant cell","id":"ITEM-1","issue":"2","issued":{"date-parts":[["2016","2"]]},"page":"314-25","publisher":"American Society of Plant Biologists","title":"Creating Order from Chaos: Epigenome Dynamics in Plants with Complex Genomes.","type":"article-journal","volume":"28"},"uris":["http://www.mendeley.com/documents/?uuid=4474c778-b85b-324b-b33e-655051ec2ba8"]}],"mendeley":{"formattedCitation":"[18]","plainTextFormattedCitation":"[18]","previouslyFormattedCitation":"[18]"},"properties":{"noteIndex":0},"schema":"https://github.com/citation-style-language/schema/raw/master/csl-citation.json"}</w:instrText>
      </w:r>
      <w:r>
        <w:rPr>
          <w:rFonts w:asciiTheme="majorBidi" w:hAnsiTheme="majorBidi" w:cstheme="majorBidi"/>
          <w:szCs w:val="24"/>
        </w:rPr>
        <w:fldChar w:fldCharType="separate"/>
      </w:r>
      <w:r w:rsidR="002E23FE" w:rsidRPr="002E23FE">
        <w:rPr>
          <w:rFonts w:asciiTheme="majorBidi" w:hAnsiTheme="majorBidi" w:cstheme="majorBidi"/>
          <w:noProof/>
          <w:szCs w:val="24"/>
        </w:rPr>
        <w:t>[18]</w:t>
      </w:r>
      <w:r>
        <w:rPr>
          <w:rFonts w:asciiTheme="majorBidi" w:hAnsiTheme="majorBidi" w:cstheme="majorBidi"/>
          <w:szCs w:val="24"/>
        </w:rPr>
        <w:fldChar w:fldCharType="end"/>
      </w:r>
      <w:r>
        <w:rPr>
          <w:rFonts w:asciiTheme="majorBidi" w:hAnsiTheme="majorBidi" w:cstheme="majorBidi"/>
          <w:szCs w:val="24"/>
        </w:rPr>
        <w:t xml:space="preserve">. </w:t>
      </w:r>
      <w:r w:rsidR="007D2916" w:rsidRPr="00CB6744">
        <w:rPr>
          <w:rFonts w:asciiTheme="majorBidi" w:hAnsiTheme="majorBidi" w:cstheme="majorBidi"/>
          <w:szCs w:val="24"/>
        </w:rPr>
        <w:t>TEs are t</w:t>
      </w:r>
      <w:r w:rsidR="007D2916" w:rsidRPr="00CB6744">
        <w:rPr>
          <w:rFonts w:asciiTheme="majorBidi" w:hAnsiTheme="majorBidi" w:cstheme="majorBidi"/>
          <w:noProof/>
          <w:szCs w:val="24"/>
        </w:rPr>
        <w:t xml:space="preserve">he largest group of non-coding genes, they are genetically heterogeneous and they account for 20% of the Arabidopsis genome </w:t>
      </w:r>
      <w:r w:rsidR="007D2916" w:rsidRPr="00CB6744">
        <w:rPr>
          <w:rFonts w:asciiTheme="majorBidi" w:hAnsiTheme="majorBidi" w:cstheme="majorBidi"/>
          <w:noProof/>
          <w:szCs w:val="24"/>
        </w:rPr>
        <w:fldChar w:fldCharType="begin" w:fldLock="1"/>
      </w:r>
      <w:r w:rsidR="00C242AA">
        <w:rPr>
          <w:rFonts w:asciiTheme="majorBidi" w:hAnsiTheme="majorBidi" w:cstheme="majorBidi"/>
          <w:noProof/>
          <w:szCs w:val="24"/>
        </w:rPr>
        <w:instrText>ADDIN CSL_CITATION {"citationItems":[{"id":"ITEM-1","itemData":{"DOI":"10.7554/eLife.15716","ISSN":"2050-084X","PMID":"27258693","abstract":"Transposable elements (TEs) are powerful motors of genome evolution yet a comprehensive assessment of recent transposition activity at the species level is lacking for most organisms. Here, using genome sequencing data for 211 Arabidopsis thaliana accessions taken from across the globe, we identify thousands of recent transposition events involving half of the 326 TE families annotated in this plant species. We further show that the composition and activity of the 'mobilome' vary extensively between accessions in relation to climate and genetic factors. Moreover, TEs insert equally throughout the genome and are rapidly purged by natural selection from gene-rich regions because they frequently affect genes, in multiple ways. Remarkably, loci controlling adaptive responses to the environment are the most frequent transposition targets observed. These findings demonstrate the pervasive, species-wide impact that a rich mobilome can have and the importance of transposition as a recurrent generator of large-effect alleles.","author":[{"dropping-particle":"","family":"Quadrana","given":"Leandro","non-dropping-particle":"","parse-names":false,"suffix":""},{"dropping-particle":"","family":"Bortolini Silveira","given":"Amanda","non-dropping-particle":"","parse-names":false,"suffix":""},{"dropping-particle":"","family":"Mayhew","given":"George F","non-dropping-particle":"","parse-names":false,"suffix":""},{"dropping-particle":"","family":"LeBlanc","given":"Chantal","non-dropping-particle":"","parse-names":false,"suffix":""},{"dropping-particle":"","family":"Martienssen","given":"Robert A","non-dropping-particle":"","parse-names":false,"suffix":""},{"dropping-particle":"","family":"Jeddeloh","given":"Jeffrey A","non-dropping-particle":"","parse-names":false,"suffix":""},{"dropping-particle":"","family":"Colot","given":"Vincent","non-dropping-particle":"","parse-names":false,"suffix":""}],"container-title":"eLife","id":"ITEM-1","issued":{"date-parts":[["2016"]]},"publisher":"eLife Sciences Publications, Ltd","title":"The Arabidopsis thaliana mobilome and its impact at the species level.","type":"article-journal","volume":"5"},"uris":["http://www.mendeley.com/documents/?uuid=833984d8-ab0e-37cd-afa7-044ebbb3a0b8"]}],"mendeley":{"formattedCitation":"[19]","plainTextFormattedCitation":"[19]","previouslyFormattedCitation":"[19]"},"properties":{"noteIndex":0},"schema":"https://github.com/citation-style-language/schema/raw/master/csl-citation.json"}</w:instrText>
      </w:r>
      <w:r w:rsidR="007D2916" w:rsidRPr="00CB6744">
        <w:rPr>
          <w:rFonts w:asciiTheme="majorBidi" w:hAnsiTheme="majorBidi" w:cstheme="majorBidi"/>
          <w:noProof/>
          <w:szCs w:val="24"/>
        </w:rPr>
        <w:fldChar w:fldCharType="separate"/>
      </w:r>
      <w:r w:rsidR="002E23FE" w:rsidRPr="002E23FE">
        <w:rPr>
          <w:rFonts w:asciiTheme="majorBidi" w:hAnsiTheme="majorBidi" w:cstheme="majorBidi"/>
          <w:noProof/>
          <w:szCs w:val="24"/>
        </w:rPr>
        <w:t>[19]</w:t>
      </w:r>
      <w:r w:rsidR="007D2916" w:rsidRPr="00CB6744">
        <w:rPr>
          <w:rFonts w:asciiTheme="majorBidi" w:hAnsiTheme="majorBidi" w:cstheme="majorBidi"/>
          <w:noProof/>
          <w:szCs w:val="24"/>
        </w:rPr>
        <w:fldChar w:fldCharType="end"/>
      </w:r>
      <w:r w:rsidR="007D2916" w:rsidRPr="00CB6744">
        <w:rPr>
          <w:rFonts w:asciiTheme="majorBidi" w:hAnsiTheme="majorBidi" w:cstheme="majorBidi"/>
          <w:noProof/>
          <w:szCs w:val="24"/>
        </w:rPr>
        <w:t xml:space="preserve">. </w:t>
      </w:r>
      <w:r>
        <w:rPr>
          <w:rFonts w:asciiTheme="majorBidi" w:hAnsiTheme="majorBidi" w:cstheme="majorBidi"/>
          <w:szCs w:val="24"/>
        </w:rPr>
        <w:t>TEs</w:t>
      </w:r>
      <w:r w:rsidR="00377A27" w:rsidRPr="00CB6744">
        <w:rPr>
          <w:rFonts w:asciiTheme="majorBidi" w:hAnsiTheme="majorBidi" w:cstheme="majorBidi"/>
          <w:szCs w:val="24"/>
        </w:rPr>
        <w:t xml:space="preserve"> are mobile DNA elements, which </w:t>
      </w:r>
      <w:r w:rsidR="003B5163">
        <w:rPr>
          <w:rFonts w:asciiTheme="majorBidi" w:hAnsiTheme="majorBidi" w:cstheme="majorBidi"/>
          <w:szCs w:val="24"/>
        </w:rPr>
        <w:t xml:space="preserve">can </w:t>
      </w:r>
      <w:r w:rsidR="00377A27" w:rsidRPr="00CB6744">
        <w:rPr>
          <w:rFonts w:asciiTheme="majorBidi" w:hAnsiTheme="majorBidi" w:cstheme="majorBidi"/>
          <w:szCs w:val="24"/>
        </w:rPr>
        <w:t xml:space="preserve">move randomly in the genome, </w:t>
      </w:r>
      <w:r w:rsidR="00377A27" w:rsidRPr="00CB6744">
        <w:rPr>
          <w:rFonts w:asciiTheme="majorBidi" w:hAnsiTheme="majorBidi" w:cstheme="majorBidi"/>
          <w:noProof/>
          <w:szCs w:val="24"/>
        </w:rPr>
        <w:t>potenitilly causing catastrophic effects such as gene disruption</w:t>
      </w:r>
      <w:r w:rsidR="00D65FED">
        <w:rPr>
          <w:rFonts w:asciiTheme="majorBidi" w:hAnsiTheme="majorBidi" w:cstheme="majorBidi"/>
          <w:noProof/>
          <w:szCs w:val="24"/>
        </w:rPr>
        <w:t xml:space="preserve"> </w:t>
      </w:r>
      <w:r w:rsidR="00D65FED">
        <w:rPr>
          <w:rFonts w:asciiTheme="majorBidi" w:hAnsiTheme="majorBidi" w:cstheme="majorBidi"/>
          <w:noProof/>
          <w:szCs w:val="24"/>
        </w:rPr>
        <w:fldChar w:fldCharType="begin" w:fldLock="1"/>
      </w:r>
      <w:r w:rsidR="00C242AA">
        <w:rPr>
          <w:rFonts w:asciiTheme="majorBidi" w:hAnsiTheme="majorBidi" w:cstheme="majorBidi"/>
          <w:noProof/>
          <w:szCs w:val="24"/>
        </w:rPr>
        <w:instrText>ADDIN CSL_CITATION {"citationItems":[{"id":"ITEM-1","itemData":{"DOI":"10.1101/SQB.1956.021.01.017","ISSN":"0091-7451","PMID":"13433592","author":[{"dropping-particle":"","family":"McClintock","given":"B.","non-dropping-particle":"","parse-names":false,"suffix":""}],"container-title":"Cold Spring Harbor Symposia on Quantitative Biology","id":"ITEM-1","issued":{"date-parts":[["1956","1","1"]]},"page":"197-216","publisher":"Cold Spring Harb Symp Quant Biol","title":"Controlling Elements and the Gene","type":"article-journal","volume":"21"},"uris":["http://www.mendeley.com/documents/?uuid=4b5fb1a6-3d3a-3703-8657-45bab7d65236"]}],"mendeley":{"formattedCitation":"[20]","plainTextFormattedCitation":"[20]","previouslyFormattedCitation":"[20]"},"properties":{"noteIndex":0},"schema":"https://github.com/citation-style-language/schema/raw/master/csl-citation.json"}</w:instrText>
      </w:r>
      <w:r w:rsidR="00D65FED">
        <w:rPr>
          <w:rFonts w:asciiTheme="majorBidi" w:hAnsiTheme="majorBidi" w:cstheme="majorBidi"/>
          <w:noProof/>
          <w:szCs w:val="24"/>
        </w:rPr>
        <w:fldChar w:fldCharType="separate"/>
      </w:r>
      <w:r w:rsidR="002E23FE" w:rsidRPr="002E23FE">
        <w:rPr>
          <w:rFonts w:asciiTheme="majorBidi" w:hAnsiTheme="majorBidi" w:cstheme="majorBidi"/>
          <w:noProof/>
          <w:szCs w:val="24"/>
        </w:rPr>
        <w:t>[20]</w:t>
      </w:r>
      <w:r w:rsidR="00D65FED">
        <w:rPr>
          <w:rFonts w:asciiTheme="majorBidi" w:hAnsiTheme="majorBidi" w:cstheme="majorBidi"/>
          <w:noProof/>
          <w:szCs w:val="24"/>
        </w:rPr>
        <w:fldChar w:fldCharType="end"/>
      </w:r>
      <w:r w:rsidR="00377A27" w:rsidRPr="00CB6744">
        <w:rPr>
          <w:rFonts w:asciiTheme="majorBidi" w:hAnsiTheme="majorBidi" w:cstheme="majorBidi"/>
          <w:szCs w:val="24"/>
        </w:rPr>
        <w:t xml:space="preserve">. Hence, TEs are normally quiescent, both transpositionally and transcriptionally inactive </w:t>
      </w:r>
      <w:r w:rsidR="00377A27"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{"citationItems":[{"id":"ITEM-1","itemData":{"DOI":"10.1146/annurev.arplant.59.032607.092744","ISSN":"1543-5008","author":[{"dropping-particle":"","family":"Lisch","given":"Damon","non-dropping-particle":"","parse-names":false,"suffix":""}],"container-title":"Annual Review of Plant Biology","id":"ITEM-1","issue":"1","issued":{"date-parts":[["2009","6"]]},"page":"43-66","title":"Epigenetic Regulation of Transposable Elements in Plants","type":"article-journal","volume":"60"},"uris":["http://www.mendeley.com/documents/?uuid=cb7cfdf1-2059-4e97-9098-087bc62d11c5"]},{"id":"ITEM-2","itemData":{"DOI":"10.1016/j.pbi.2014.07.001","ISSN":"13695266","author":[{"dropping-particle":"","family":"Cui","given":"Xiekui","non-dropping-particle":"","parse-names":false,"suffix":""},{"dropping-particle":"","family":"Cao","given":"Xiaofeng","non-dropping-particle":"","parse-names":false,"suffix":""}],"container-title":"Current Opinion in Plant Biology","id":"ITEM-2","issued":{"date-parts":[["2014","10"]]},"page":"83-88","title":"Epigenetic regulation and functional exaptation of transposable elements in higher plants","type":"article-journal","volume":"21"},"uris":["http://www.mendeley.com/documents/?uuid=1a6eae1b-c212-4971-b681-c8dcb4cad927"]}],"mendeley":{"formattedCitation":"[21,22]","plainTextFormattedCitation":"[21,22]","previouslyFormattedCitation":"[21,22]"},"properties":{"noteIndex":0},"schema":"https://github.com/citation-style-language/schema/raw/master/csl-citation.json"}</w:instrText>
      </w:r>
      <w:r w:rsidR="00377A27" w:rsidRPr="00CB6744">
        <w:rPr>
          <w:rFonts w:asciiTheme="majorBidi" w:hAnsiTheme="majorBidi" w:cstheme="majorBidi"/>
          <w:szCs w:val="24"/>
        </w:rPr>
        <w:fldChar w:fldCharType="separate"/>
      </w:r>
      <w:r w:rsidR="002E23FE" w:rsidRPr="002E23FE">
        <w:rPr>
          <w:rFonts w:asciiTheme="majorBidi" w:hAnsiTheme="majorBidi" w:cstheme="majorBidi"/>
          <w:noProof/>
          <w:szCs w:val="24"/>
        </w:rPr>
        <w:t>[21,22]</w:t>
      </w:r>
      <w:r w:rsidR="00377A27" w:rsidRPr="00CB6744">
        <w:rPr>
          <w:rFonts w:asciiTheme="majorBidi" w:hAnsiTheme="majorBidi" w:cstheme="majorBidi"/>
          <w:szCs w:val="24"/>
        </w:rPr>
        <w:fldChar w:fldCharType="end"/>
      </w:r>
      <w:r w:rsidR="00377A27" w:rsidRPr="00CB6744">
        <w:rPr>
          <w:rFonts w:asciiTheme="majorBidi" w:hAnsiTheme="majorBidi" w:cstheme="majorBidi"/>
          <w:szCs w:val="24"/>
        </w:rPr>
        <w:t xml:space="preserve">. The repression is achieved </w:t>
      </w:r>
      <w:r w:rsidR="00377A27" w:rsidRPr="00CB6744">
        <w:rPr>
          <w:rFonts w:asciiTheme="majorBidi" w:hAnsiTheme="majorBidi" w:cstheme="majorBidi"/>
          <w:noProof/>
          <w:szCs w:val="24"/>
        </w:rPr>
        <w:t xml:space="preserve">majoritly thorugh epigentic </w:t>
      </w:r>
      <w:r w:rsidR="00377A27" w:rsidRPr="00CB6744">
        <w:rPr>
          <w:rFonts w:asciiTheme="majorBidi" w:hAnsiTheme="majorBidi" w:cstheme="majorBidi"/>
          <w:szCs w:val="24"/>
        </w:rPr>
        <w:t xml:space="preserve">pathways, including DNA methylation and histone modifications </w:t>
      </w:r>
      <w:r w:rsidR="00377A27"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{"citationItems":[{"id":"ITEM-1","itemData":{"DOI":"10.1146/annurev.arplant.59.032607.092744","ISSN":"1543-5008","author":[{"dropping-particle":"","family":"Lisch","given":"Damon","non-dropping-particle":"","parse-names":false,"suffix":""}],"container-title":"Annual Review of Plant Biology","id":"ITEM-1","issue":"1","issued":{"date-parts":[["2009","6"]]},"page":"43-66","title":"Epigenetic Regulation of Transposable Elements in Plants","type":"article-journal","volume":"60"},"uris":["http://www.mendeley.com/documents/?uuid=cb7cfdf1-2059-4e97-9098-087bc62d11c5"]},{"id":"ITEM-2","itemData":{"DOI":"10.7554/eLife.15716","ISSN":"2050-084X","PMID":"27258693","abstract":"Transposable elements (TEs) are powerful motors of genome evolution yet a comprehensive assessment of recent transposition activity at the species level is lacking for most organisms. Here, using genome sequencing data for 211 Arabidopsis thaliana accessions taken from across the globe, we identify thousands of recent transposition events involving half of the 326 TE families annotated in this plant species. We further show that the composition and activity of the 'mobilome' vary extensively between accessions in relation to climate and genetic factors. Moreover, TEs insert equally throughout the genome and are rapidly purged by natural selection from gene-rich regions because they frequently affect genes, in multiple ways. Remarkably, loci controlling adaptive responses to the environment are the most frequent transposition targets observed. These findings demonstrate the pervasive, species-wide impact that a rich mobilome can have and the importance of transposition as a recurrent generator of large-effect alleles.","author":[{"dropping-particle":"","family":"Quadrana","given":"Leandro","non-dropping-particle":"","parse-names":false,"suffix":""},{"dropping-particle":"","family":"Bortolini Silveira","given":"Amanda","non-dropping-particle":"","parse-names":false,"suffix":""},{"dropping-particle":"","family":"Mayhew","given":"George F","non-dropping-particle":"","parse-names":false,"suffix":""},{"dropping-particle":"","family":"LeBlanc","given":"Chantal","non-dropping-particle":"","parse-names":false,"suffix":""},{"dropping-particle":"","family":"Martienssen","given":"Robert A","non-dropping-particle":"","parse-names":false,"suffix":""},{"dropping-particle":"","family":"Jeddeloh","given":"Jeffrey A","non-dropping-particle":"","parse-names":false,"suffix":""},{"dropping-particle":"","family":"Colot","given":"Vincent","non-dropping-particle":"","parse-names":false,"suffix":""}],"container-title":"eLife","id":"ITEM-2","issued":{"date-parts":[["2016"]]},"publisher":"eLife Sciences Publications, Ltd","title":"The Arabidopsis thaliana mobilome and its impact at the species level.","type":"article-journal","volume":"5"},"uris":["http://www.mendeley.com/documents/?uuid=833984d8-ab0e-37cd-afa7-044ebbb3a0b8"]}],"mendeley":{"formattedCitation":"[19,21]","plainTextFormattedCitation":"[19,21]","previouslyFormattedCitation":"[19,21]"},"properties":{"noteIndex":0},"schema":"https://github.com/citation-style-language/schema/raw/master/csl-citation.json"}</w:instrText>
      </w:r>
      <w:r w:rsidR="00377A27" w:rsidRPr="00CB6744">
        <w:rPr>
          <w:rFonts w:asciiTheme="majorBidi" w:hAnsiTheme="majorBidi" w:cstheme="majorBidi"/>
          <w:szCs w:val="24"/>
        </w:rPr>
        <w:fldChar w:fldCharType="separate"/>
      </w:r>
      <w:r w:rsidR="002E23FE" w:rsidRPr="002E23FE">
        <w:rPr>
          <w:rFonts w:asciiTheme="majorBidi" w:hAnsiTheme="majorBidi" w:cstheme="majorBidi"/>
          <w:noProof/>
          <w:szCs w:val="24"/>
        </w:rPr>
        <w:t>[19,21]</w:t>
      </w:r>
      <w:r w:rsidR="00377A27" w:rsidRPr="00CB6744">
        <w:rPr>
          <w:rFonts w:asciiTheme="majorBidi" w:hAnsiTheme="majorBidi" w:cstheme="majorBidi"/>
          <w:szCs w:val="24"/>
        </w:rPr>
        <w:fldChar w:fldCharType="end"/>
      </w:r>
      <w:r w:rsidR="00E13326">
        <w:rPr>
          <w:rFonts w:asciiTheme="majorBidi" w:hAnsiTheme="majorBidi" w:cstheme="majorBidi"/>
          <w:szCs w:val="24"/>
        </w:rPr>
        <w:t>.</w:t>
      </w:r>
      <w:r w:rsidR="007D2916">
        <w:rPr>
          <w:rFonts w:asciiTheme="majorBidi" w:hAnsiTheme="majorBidi" w:cstheme="majorBidi"/>
          <w:szCs w:val="24"/>
        </w:rPr>
        <w:t xml:space="preserve"> </w:t>
      </w:r>
      <w:r w:rsidR="00377A27" w:rsidRPr="00CB6744">
        <w:rPr>
          <w:rFonts w:asciiTheme="majorBidi" w:hAnsiTheme="majorBidi" w:cstheme="majorBidi"/>
          <w:noProof/>
          <w:szCs w:val="24"/>
        </w:rPr>
        <w:t>The silencing of individual</w:t>
      </w:r>
      <w:r w:rsidR="004E55F5">
        <w:rPr>
          <w:rFonts w:asciiTheme="majorBidi" w:hAnsiTheme="majorBidi" w:cstheme="majorBidi"/>
          <w:noProof/>
          <w:szCs w:val="24"/>
        </w:rPr>
        <w:t xml:space="preserve"> transposable</w:t>
      </w:r>
      <w:r w:rsidR="00377A27" w:rsidRPr="00CB6744">
        <w:rPr>
          <w:rFonts w:asciiTheme="majorBidi" w:hAnsiTheme="majorBidi" w:cstheme="majorBidi"/>
          <w:noProof/>
          <w:szCs w:val="24"/>
        </w:rPr>
        <w:t xml:space="preserve"> element</w:t>
      </w:r>
      <w:r w:rsidR="004E55F5">
        <w:rPr>
          <w:rFonts w:asciiTheme="majorBidi" w:hAnsiTheme="majorBidi" w:cstheme="majorBidi"/>
          <w:noProof/>
          <w:szCs w:val="24"/>
        </w:rPr>
        <w:t>s</w:t>
      </w:r>
      <w:r w:rsidR="00377A27" w:rsidRPr="00CB6744">
        <w:rPr>
          <w:rFonts w:asciiTheme="majorBidi" w:hAnsiTheme="majorBidi" w:cstheme="majorBidi"/>
          <w:noProof/>
          <w:szCs w:val="24"/>
        </w:rPr>
        <w:t xml:space="preserve"> likely </w:t>
      </w:r>
      <w:r w:rsidR="004E55F5">
        <w:rPr>
          <w:rFonts w:asciiTheme="majorBidi" w:hAnsiTheme="majorBidi" w:cstheme="majorBidi"/>
          <w:noProof/>
          <w:szCs w:val="24"/>
        </w:rPr>
        <w:t>depnds on</w:t>
      </w:r>
      <w:r w:rsidR="00377A27" w:rsidRPr="00CB6744">
        <w:rPr>
          <w:rFonts w:asciiTheme="majorBidi" w:hAnsiTheme="majorBidi" w:cstheme="majorBidi"/>
          <w:noProof/>
          <w:szCs w:val="24"/>
        </w:rPr>
        <w:t xml:space="preserve"> different molecular pathways to different extents </w:t>
      </w:r>
      <w:r w:rsidR="00377A27" w:rsidRPr="00CB6744">
        <w:rPr>
          <w:rFonts w:asciiTheme="majorBidi" w:hAnsiTheme="majorBidi" w:cstheme="majorBidi"/>
          <w:noProof/>
          <w:szCs w:val="24"/>
        </w:rPr>
        <w:fldChar w:fldCharType="begin" w:fldLock="1"/>
      </w:r>
      <w:r w:rsidR="00C242AA">
        <w:rPr>
          <w:rFonts w:asciiTheme="majorBidi" w:hAnsiTheme="majorBidi" w:cstheme="majorBidi"/>
          <w:noProof/>
          <w:szCs w:val="24"/>
        </w:rPr>
        <w:instrText>ADDIN CSL_CITATION {"citationItems":[{"id":"ITEM-1","itemData":{"DOI":"10.1016/j.pbi.2017.03.002","ISSN":"13695266","PMID":"28343122","abstract":"Transposable elements are mobile genetic elements that are prevalent in plant genomes and are silenced by epigenetic modification. Different epigenetic modification pathways play distinct roles in the control of transposable element transcription, replication and recombination. The Arabidopsis genome contains families of all of the major transposable element classes, which are differentially enriched in particular genomic regions. Whole genome sequencing and DNA methylation profiling of hundreds of natural Arabidopsis accessions has revealed that transposable elements exhibit significant intraspecific genetic and epigenetic variation, and that genetic variation often underlies epigenetic variation. Together, epigenetic modification and the forces of selection define the scope within which transposable elements can contribute to, and control, genome evolution.","author":[{"dropping-particle":"","family":"Underwood","given":"Charles J","non-dropping-particle":"","parse-names":false,"suffix":""},{"dropping-particle":"","family":"Henderson","given":"Ian R","non-dropping-particle":"","parse-names":false,"suffix":""},{"dropping-particle":"","family":"Martienssen","given":"Robert A","non-dropping-particle":"","parse-names":false,"suffix":""}],"container-title":"Current Opinion in Plant Biology","id":"ITEM-1","issued":{"date-parts":[["2017","4"]]},"page":"135-141","title":"Genetic and epigenetic variation of transposable elements in Arabidopsis","type":"article-journal","volume":"36"},"uris":["http://www.mendeley.com/documents/?uuid=eab8ad1b-1413-460d-9dba-bd7f46b3a26e"]}],"mendeley":{"formattedCitation":"[23]","plainTextFormattedCitation":"[23]","previouslyFormattedCitation":"[23]"},"properties":{"noteIndex":0},"schema":"https://github.com/citation-style-language/schema/raw/master/csl-citation.json"}</w:instrText>
      </w:r>
      <w:r w:rsidR="00377A27" w:rsidRPr="00CB6744">
        <w:rPr>
          <w:rFonts w:asciiTheme="majorBidi" w:hAnsiTheme="majorBidi" w:cstheme="majorBidi"/>
          <w:noProof/>
          <w:szCs w:val="24"/>
        </w:rPr>
        <w:fldChar w:fldCharType="separate"/>
      </w:r>
      <w:r w:rsidR="002E23FE" w:rsidRPr="002E23FE">
        <w:rPr>
          <w:rFonts w:asciiTheme="majorBidi" w:hAnsiTheme="majorBidi" w:cstheme="majorBidi"/>
          <w:noProof/>
          <w:szCs w:val="24"/>
        </w:rPr>
        <w:t>[23]</w:t>
      </w:r>
      <w:r w:rsidR="00377A27" w:rsidRPr="00CB6744">
        <w:rPr>
          <w:rFonts w:asciiTheme="majorBidi" w:hAnsiTheme="majorBidi" w:cstheme="majorBidi"/>
          <w:noProof/>
          <w:szCs w:val="24"/>
        </w:rPr>
        <w:fldChar w:fldCharType="end"/>
      </w:r>
      <w:r w:rsidR="00807E07" w:rsidRPr="00CB6744">
        <w:rPr>
          <w:rFonts w:asciiTheme="majorBidi" w:hAnsiTheme="majorBidi" w:cstheme="majorBidi"/>
          <w:noProof/>
          <w:szCs w:val="24"/>
        </w:rPr>
        <w:t>.</w:t>
      </w:r>
    </w:p>
    <w:p w14:paraId="6DE2D6FA" w14:textId="6AFF8742" w:rsidR="004E55F5" w:rsidRDefault="008B0DF4" w:rsidP="00626F95">
      <w:pPr>
        <w:rPr>
          <w:rFonts w:asciiTheme="majorBidi" w:hAnsiTheme="majorBidi" w:cstheme="majorBidi"/>
          <w:szCs w:val="24"/>
        </w:rPr>
      </w:pPr>
      <w:r w:rsidRPr="00CB6744">
        <w:rPr>
          <w:rFonts w:asciiTheme="majorBidi" w:hAnsiTheme="majorBidi" w:cstheme="majorBidi"/>
          <w:szCs w:val="24"/>
        </w:rPr>
        <w:t xml:space="preserve">In this </w:t>
      </w:r>
      <w:r w:rsidR="00B81183">
        <w:rPr>
          <w:rFonts w:asciiTheme="majorBidi" w:hAnsiTheme="majorBidi" w:cstheme="majorBidi"/>
          <w:szCs w:val="24"/>
        </w:rPr>
        <w:t>study</w:t>
      </w:r>
      <w:r w:rsidR="00B81183" w:rsidRPr="00CB6744">
        <w:rPr>
          <w:rFonts w:asciiTheme="majorBidi" w:hAnsiTheme="majorBidi" w:cstheme="majorBidi"/>
          <w:szCs w:val="24"/>
        </w:rPr>
        <w:t xml:space="preserve"> </w:t>
      </w:r>
      <w:r>
        <w:rPr>
          <w:rFonts w:asciiTheme="majorBidi" w:hAnsiTheme="majorBidi" w:cstheme="majorBidi"/>
          <w:szCs w:val="24"/>
        </w:rPr>
        <w:t>w</w:t>
      </w:r>
      <w:r w:rsidR="00403BC1" w:rsidRPr="00CB6744">
        <w:rPr>
          <w:rFonts w:asciiTheme="majorBidi" w:hAnsiTheme="majorBidi" w:cstheme="majorBidi"/>
          <w:szCs w:val="24"/>
        </w:rPr>
        <w:t xml:space="preserve">e </w:t>
      </w:r>
      <w:r w:rsidR="00B81183">
        <w:rPr>
          <w:rFonts w:asciiTheme="majorBidi" w:hAnsiTheme="majorBidi" w:cstheme="majorBidi"/>
          <w:szCs w:val="24"/>
        </w:rPr>
        <w:t xml:space="preserve">report that transcriptional reprogramming in </w:t>
      </w:r>
      <w:r w:rsidR="00B81183">
        <w:rPr>
          <w:rFonts w:asciiTheme="majorBidi" w:hAnsiTheme="majorBidi" w:cstheme="majorBidi"/>
          <w:i/>
          <w:iCs/>
          <w:szCs w:val="24"/>
        </w:rPr>
        <w:t xml:space="preserve">brm-5 </w:t>
      </w:r>
      <w:r w:rsidR="002726E4" w:rsidRPr="00172D11">
        <w:rPr>
          <w:rFonts w:asciiTheme="majorBidi" w:hAnsiTheme="majorBidi" w:cstheme="majorBidi"/>
          <w:szCs w:val="24"/>
        </w:rPr>
        <w:t xml:space="preserve">plants, </w:t>
      </w:r>
      <w:r w:rsidR="002726E4">
        <w:rPr>
          <w:rFonts w:asciiTheme="majorBidi" w:hAnsiTheme="majorBidi" w:cstheme="majorBidi"/>
          <w:szCs w:val="24"/>
        </w:rPr>
        <w:t>carrying a point</w:t>
      </w:r>
      <w:r w:rsidR="002520DE">
        <w:rPr>
          <w:rFonts w:asciiTheme="majorBidi" w:hAnsiTheme="majorBidi" w:cstheme="majorBidi"/>
          <w:szCs w:val="24"/>
        </w:rPr>
        <w:t xml:space="preserve"> mutation in BRM ATPase domain,</w:t>
      </w:r>
      <w:r w:rsidR="002726E4">
        <w:rPr>
          <w:rFonts w:asciiTheme="majorBidi" w:hAnsiTheme="majorBidi" w:cstheme="majorBidi"/>
          <w:szCs w:val="24"/>
        </w:rPr>
        <w:t xml:space="preserve"> coincide with</w:t>
      </w:r>
      <w:r w:rsidR="00260864">
        <w:rPr>
          <w:rFonts w:asciiTheme="majorBidi" w:hAnsiTheme="majorBidi" w:cstheme="majorBidi"/>
          <w:szCs w:val="24"/>
        </w:rPr>
        <w:t xml:space="preserve"> </w:t>
      </w:r>
      <w:r w:rsidR="002726E4">
        <w:rPr>
          <w:rFonts w:asciiTheme="majorBidi" w:hAnsiTheme="majorBidi" w:cstheme="majorBidi"/>
          <w:szCs w:val="24"/>
        </w:rPr>
        <w:t>changes in chromatin accessibility</w:t>
      </w:r>
      <w:r>
        <w:rPr>
          <w:rFonts w:asciiTheme="majorBidi" w:hAnsiTheme="majorBidi" w:cstheme="majorBidi"/>
          <w:szCs w:val="24"/>
        </w:rPr>
        <w:t xml:space="preserve">. </w:t>
      </w:r>
      <w:r w:rsidR="003B480A">
        <w:rPr>
          <w:rFonts w:asciiTheme="majorBidi" w:hAnsiTheme="majorBidi" w:cstheme="majorBidi"/>
          <w:szCs w:val="24"/>
        </w:rPr>
        <w:t xml:space="preserve">Interestingly, </w:t>
      </w:r>
      <w:r w:rsidR="00091306">
        <w:rPr>
          <w:rFonts w:asciiTheme="majorBidi" w:hAnsiTheme="majorBidi" w:cstheme="majorBidi"/>
          <w:szCs w:val="24"/>
        </w:rPr>
        <w:lastRenderedPageBreak/>
        <w:t>variations in chromatin accessibility occurred primarily at</w:t>
      </w:r>
      <w:r w:rsidR="00431567">
        <w:rPr>
          <w:rFonts w:asciiTheme="majorBidi" w:hAnsiTheme="majorBidi" w:cstheme="majorBidi"/>
          <w:szCs w:val="24"/>
        </w:rPr>
        <w:t xml:space="preserve"> or at proximity to</w:t>
      </w:r>
      <w:r w:rsidR="00091306">
        <w:rPr>
          <w:rFonts w:asciiTheme="majorBidi" w:hAnsiTheme="majorBidi" w:cstheme="majorBidi"/>
          <w:szCs w:val="24"/>
        </w:rPr>
        <w:t xml:space="preserve"> </w:t>
      </w:r>
      <w:r w:rsidR="00AF2671">
        <w:rPr>
          <w:rFonts w:asciiTheme="majorBidi" w:hAnsiTheme="majorBidi" w:cstheme="majorBidi"/>
          <w:szCs w:val="24"/>
        </w:rPr>
        <w:t xml:space="preserve">non-coding </w:t>
      </w:r>
      <w:r w:rsidR="004C7503">
        <w:rPr>
          <w:rFonts w:asciiTheme="majorBidi" w:hAnsiTheme="majorBidi" w:cstheme="majorBidi"/>
          <w:szCs w:val="24"/>
        </w:rPr>
        <w:t xml:space="preserve">and TE </w:t>
      </w:r>
      <w:r w:rsidR="00AF2671">
        <w:rPr>
          <w:rFonts w:asciiTheme="majorBidi" w:hAnsiTheme="majorBidi" w:cstheme="majorBidi"/>
          <w:szCs w:val="24"/>
        </w:rPr>
        <w:t>genes</w:t>
      </w:r>
      <w:r w:rsidR="00091306">
        <w:rPr>
          <w:rFonts w:asciiTheme="majorBidi" w:hAnsiTheme="majorBidi" w:cstheme="majorBidi"/>
          <w:szCs w:val="24"/>
        </w:rPr>
        <w:t xml:space="preserve">, which were also </w:t>
      </w:r>
      <w:r w:rsidR="00AF2671">
        <w:rPr>
          <w:rFonts w:asciiTheme="majorBidi" w:hAnsiTheme="majorBidi" w:cstheme="majorBidi"/>
          <w:szCs w:val="24"/>
        </w:rPr>
        <w:t xml:space="preserve">over represented in </w:t>
      </w:r>
      <w:r w:rsidR="003B480A">
        <w:rPr>
          <w:rFonts w:asciiTheme="majorBidi" w:hAnsiTheme="majorBidi" w:cstheme="majorBidi"/>
          <w:szCs w:val="24"/>
        </w:rPr>
        <w:t>t</w:t>
      </w:r>
      <w:r>
        <w:rPr>
          <w:rFonts w:asciiTheme="majorBidi" w:hAnsiTheme="majorBidi" w:cstheme="majorBidi"/>
          <w:szCs w:val="24"/>
        </w:rPr>
        <w:t xml:space="preserve">he </w:t>
      </w:r>
      <w:r w:rsidR="003B480A" w:rsidRPr="00CB6744">
        <w:rPr>
          <w:rFonts w:asciiTheme="majorBidi" w:hAnsiTheme="majorBidi" w:cstheme="majorBidi"/>
          <w:i/>
          <w:iCs/>
          <w:szCs w:val="24"/>
        </w:rPr>
        <w:t>brm</w:t>
      </w:r>
      <w:r w:rsidR="003B480A">
        <w:rPr>
          <w:rFonts w:asciiTheme="majorBidi" w:hAnsiTheme="majorBidi" w:cstheme="majorBidi"/>
          <w:szCs w:val="24"/>
        </w:rPr>
        <w:t>-</w:t>
      </w:r>
      <w:r>
        <w:rPr>
          <w:rFonts w:asciiTheme="majorBidi" w:hAnsiTheme="majorBidi" w:cstheme="majorBidi"/>
          <w:szCs w:val="24"/>
        </w:rPr>
        <w:t xml:space="preserve">specific </w:t>
      </w:r>
      <w:r w:rsidR="004C2B73">
        <w:rPr>
          <w:rFonts w:asciiTheme="majorBidi" w:hAnsiTheme="majorBidi" w:cstheme="majorBidi"/>
          <w:szCs w:val="24"/>
        </w:rPr>
        <w:t>transcripts</w:t>
      </w:r>
      <w:r w:rsidR="00431567">
        <w:rPr>
          <w:rFonts w:asciiTheme="majorBidi" w:hAnsiTheme="majorBidi" w:cstheme="majorBidi"/>
          <w:szCs w:val="24"/>
        </w:rPr>
        <w:t xml:space="preserve">. </w:t>
      </w:r>
      <w:r w:rsidR="002D6EA1">
        <w:rPr>
          <w:rFonts w:asciiTheme="majorBidi" w:hAnsiTheme="majorBidi" w:cstheme="majorBidi"/>
          <w:szCs w:val="24"/>
        </w:rPr>
        <w:t xml:space="preserve">Focused analysis of </w:t>
      </w:r>
      <w:r w:rsidR="002726E4">
        <w:rPr>
          <w:rFonts w:asciiTheme="majorBidi" w:hAnsiTheme="majorBidi" w:cstheme="majorBidi"/>
          <w:szCs w:val="24"/>
        </w:rPr>
        <w:t>a</w:t>
      </w:r>
      <w:r w:rsidR="00421164">
        <w:rPr>
          <w:rFonts w:asciiTheme="majorBidi" w:hAnsiTheme="majorBidi" w:cstheme="majorBidi"/>
          <w:szCs w:val="24"/>
        </w:rPr>
        <w:t xml:space="preserve"> subset of</w:t>
      </w:r>
      <w:r w:rsidR="00EF7207">
        <w:rPr>
          <w:rFonts w:asciiTheme="majorBidi" w:hAnsiTheme="majorBidi" w:cstheme="majorBidi"/>
          <w:szCs w:val="24"/>
        </w:rPr>
        <w:t xml:space="preserve"> </w:t>
      </w:r>
      <w:r w:rsidR="00EF7207" w:rsidRPr="004C2B73">
        <w:rPr>
          <w:rFonts w:asciiTheme="majorBidi" w:hAnsiTheme="majorBidi" w:cstheme="majorBidi"/>
          <w:i/>
          <w:iCs/>
          <w:szCs w:val="24"/>
        </w:rPr>
        <w:t>brm</w:t>
      </w:r>
      <w:r w:rsidR="004C2B73" w:rsidRPr="004C2B73">
        <w:rPr>
          <w:rFonts w:asciiTheme="majorBidi" w:hAnsiTheme="majorBidi" w:cstheme="majorBidi"/>
          <w:i/>
          <w:iCs/>
          <w:szCs w:val="24"/>
        </w:rPr>
        <w:t>-</w:t>
      </w:r>
      <w:r w:rsidR="00EF7207">
        <w:rPr>
          <w:rFonts w:asciiTheme="majorBidi" w:hAnsiTheme="majorBidi" w:cstheme="majorBidi"/>
          <w:szCs w:val="24"/>
        </w:rPr>
        <w:t>-</w:t>
      </w:r>
      <w:r w:rsidR="004C2B73">
        <w:rPr>
          <w:rFonts w:asciiTheme="majorBidi" w:hAnsiTheme="majorBidi" w:cstheme="majorBidi"/>
          <w:szCs w:val="24"/>
        </w:rPr>
        <w:t>specific</w:t>
      </w:r>
      <w:r w:rsidR="00EF7207">
        <w:rPr>
          <w:rFonts w:asciiTheme="majorBidi" w:hAnsiTheme="majorBidi" w:cstheme="majorBidi"/>
          <w:szCs w:val="24"/>
        </w:rPr>
        <w:t xml:space="preserve"> accessible</w:t>
      </w:r>
      <w:r w:rsidR="00421164">
        <w:rPr>
          <w:rFonts w:asciiTheme="majorBidi" w:hAnsiTheme="majorBidi" w:cstheme="majorBidi"/>
          <w:szCs w:val="24"/>
        </w:rPr>
        <w:t xml:space="preserve"> loci which are </w:t>
      </w:r>
      <w:r w:rsidR="00EF7207">
        <w:rPr>
          <w:rFonts w:asciiTheme="majorBidi" w:hAnsiTheme="majorBidi" w:cstheme="majorBidi"/>
          <w:szCs w:val="24"/>
        </w:rPr>
        <w:t xml:space="preserve">positioned </w:t>
      </w:r>
      <w:r w:rsidR="00172D11">
        <w:rPr>
          <w:rFonts w:asciiTheme="majorBidi" w:hAnsiTheme="majorBidi" w:cstheme="majorBidi"/>
          <w:szCs w:val="24"/>
        </w:rPr>
        <w:t>around</w:t>
      </w:r>
      <w:r w:rsidR="00EF7207">
        <w:rPr>
          <w:rFonts w:asciiTheme="majorBidi" w:hAnsiTheme="majorBidi" w:cstheme="majorBidi"/>
          <w:szCs w:val="24"/>
        </w:rPr>
        <w:t xml:space="preserve"> </w:t>
      </w:r>
      <w:r w:rsidR="002D6EA1">
        <w:rPr>
          <w:rFonts w:asciiTheme="majorBidi" w:hAnsiTheme="majorBidi" w:cstheme="majorBidi"/>
          <w:szCs w:val="24"/>
        </w:rPr>
        <w:t xml:space="preserve">an </w:t>
      </w:r>
      <w:r w:rsidR="00EF7207">
        <w:rPr>
          <w:rFonts w:asciiTheme="majorBidi" w:hAnsiTheme="majorBidi" w:cstheme="majorBidi"/>
          <w:szCs w:val="24"/>
        </w:rPr>
        <w:t xml:space="preserve">activated TE </w:t>
      </w:r>
      <w:r w:rsidR="00421164">
        <w:rPr>
          <w:rFonts w:asciiTheme="majorBidi" w:hAnsiTheme="majorBidi" w:cstheme="majorBidi"/>
          <w:szCs w:val="24"/>
        </w:rPr>
        <w:t>show</w:t>
      </w:r>
      <w:r w:rsidR="00EF7207">
        <w:rPr>
          <w:rFonts w:asciiTheme="majorBidi" w:hAnsiTheme="majorBidi" w:cstheme="majorBidi"/>
          <w:szCs w:val="24"/>
        </w:rPr>
        <w:t xml:space="preserve"> non-random chromosomal </w:t>
      </w:r>
      <w:r w:rsidR="002D6EA1">
        <w:rPr>
          <w:rFonts w:asciiTheme="majorBidi" w:hAnsiTheme="majorBidi" w:cstheme="majorBidi"/>
          <w:szCs w:val="24"/>
        </w:rPr>
        <w:t xml:space="preserve">interaction profiles (4C-seq) </w:t>
      </w:r>
      <w:r w:rsidR="00EF7207">
        <w:rPr>
          <w:rFonts w:asciiTheme="majorBidi" w:hAnsiTheme="majorBidi" w:cstheme="majorBidi"/>
          <w:szCs w:val="24"/>
        </w:rPr>
        <w:t>and</w:t>
      </w:r>
      <w:r w:rsidR="00421164">
        <w:rPr>
          <w:rFonts w:asciiTheme="majorBidi" w:hAnsiTheme="majorBidi" w:cstheme="majorBidi"/>
          <w:szCs w:val="24"/>
        </w:rPr>
        <w:t xml:space="preserve"> BRM-dependent </w:t>
      </w:r>
      <w:r>
        <w:rPr>
          <w:rFonts w:asciiTheme="majorBidi" w:hAnsiTheme="majorBidi" w:cstheme="majorBidi"/>
          <w:szCs w:val="24"/>
        </w:rPr>
        <w:t xml:space="preserve">regulatory </w:t>
      </w:r>
      <w:r w:rsidR="002D6EA1">
        <w:rPr>
          <w:rFonts w:asciiTheme="majorBidi" w:hAnsiTheme="majorBidi" w:cstheme="majorBidi"/>
          <w:szCs w:val="24"/>
        </w:rPr>
        <w:t>activity</w:t>
      </w:r>
      <w:r w:rsidR="002D6EA1" w:rsidRPr="002D6EA1">
        <w:rPr>
          <w:rFonts w:asciiTheme="majorBidi" w:hAnsiTheme="majorBidi" w:cstheme="majorBidi"/>
          <w:szCs w:val="24"/>
        </w:rPr>
        <w:t xml:space="preserve"> </w:t>
      </w:r>
      <w:r w:rsidR="002D6EA1">
        <w:rPr>
          <w:rFonts w:asciiTheme="majorBidi" w:hAnsiTheme="majorBidi" w:cstheme="majorBidi"/>
          <w:szCs w:val="24"/>
        </w:rPr>
        <w:t>by in-vivo reporter assay</w:t>
      </w:r>
      <w:r w:rsidR="004C2B73">
        <w:rPr>
          <w:rFonts w:asciiTheme="majorBidi" w:hAnsiTheme="majorBidi" w:cstheme="majorBidi"/>
          <w:szCs w:val="24"/>
        </w:rPr>
        <w:t>.</w:t>
      </w:r>
      <w:r>
        <w:rPr>
          <w:rFonts w:asciiTheme="majorBidi" w:hAnsiTheme="majorBidi" w:cstheme="majorBidi"/>
          <w:szCs w:val="24"/>
        </w:rPr>
        <w:t xml:space="preserve"> </w:t>
      </w:r>
      <w:r w:rsidR="002D6EA1">
        <w:rPr>
          <w:rFonts w:asciiTheme="majorBidi" w:hAnsiTheme="majorBidi" w:cstheme="majorBidi"/>
          <w:szCs w:val="24"/>
        </w:rPr>
        <w:t xml:space="preserve">Taken together these </w:t>
      </w:r>
      <w:r w:rsidR="00172D11">
        <w:rPr>
          <w:rFonts w:asciiTheme="majorBidi" w:hAnsiTheme="majorBidi" w:cstheme="majorBidi"/>
          <w:szCs w:val="24"/>
        </w:rPr>
        <w:t xml:space="preserve">findings </w:t>
      </w:r>
      <w:r w:rsidR="002D6EA1">
        <w:rPr>
          <w:rFonts w:asciiTheme="majorBidi" w:hAnsiTheme="majorBidi" w:cstheme="majorBidi"/>
          <w:szCs w:val="24"/>
        </w:rPr>
        <w:t>s</w:t>
      </w:r>
      <w:r w:rsidR="004C2B73">
        <w:rPr>
          <w:rFonts w:asciiTheme="majorBidi" w:hAnsiTheme="majorBidi" w:cstheme="majorBidi"/>
          <w:szCs w:val="24"/>
        </w:rPr>
        <w:t>uggest that BRAHMA chromatin remodeler suppresses accessibility and expression of specific TEs.</w:t>
      </w:r>
      <w:r w:rsidR="004E55F5">
        <w:rPr>
          <w:rFonts w:asciiTheme="majorBidi" w:hAnsiTheme="majorBidi" w:cstheme="majorBidi"/>
          <w:szCs w:val="24"/>
        </w:rPr>
        <w:br w:type="page"/>
      </w:r>
    </w:p>
    <w:p w14:paraId="1612F296" w14:textId="1BCC5AF5" w:rsidR="00B010B5" w:rsidRPr="00CB6744" w:rsidRDefault="00B010B5" w:rsidP="00B010B5">
      <w:pPr>
        <w:pStyle w:val="Heading1"/>
        <w:numPr>
          <w:ilvl w:val="0"/>
          <w:numId w:val="4"/>
        </w:numPr>
        <w:rPr>
          <w:shd w:val="clear" w:color="auto" w:fill="FFFFFF"/>
        </w:rPr>
      </w:pPr>
      <w:r>
        <w:rPr>
          <w:shd w:val="clear" w:color="auto" w:fill="FFFFFF"/>
        </w:rPr>
        <w:lastRenderedPageBreak/>
        <w:t>Material and methods</w:t>
      </w:r>
    </w:p>
    <w:p w14:paraId="6FF1247A" w14:textId="49B023A5" w:rsidR="00B010B5" w:rsidRPr="00CB6744" w:rsidRDefault="00B010B5" w:rsidP="00B010B5">
      <w:pPr>
        <w:rPr>
          <w:rFonts w:asciiTheme="majorBidi" w:hAnsiTheme="majorBidi" w:cstheme="majorBidi"/>
          <w:b/>
          <w:bCs/>
          <w:shd w:val="clear" w:color="auto" w:fill="FFFFFF"/>
        </w:rPr>
      </w:pPr>
      <w:r>
        <w:rPr>
          <w:rFonts w:asciiTheme="majorBidi" w:hAnsiTheme="majorBidi" w:cstheme="majorBidi"/>
          <w:b/>
          <w:bCs/>
          <w:shd w:val="clear" w:color="auto" w:fill="FFFFFF"/>
        </w:rPr>
        <w:t xml:space="preserve">2.1 </w:t>
      </w:r>
      <w:r w:rsidRPr="00CB6744">
        <w:rPr>
          <w:rFonts w:asciiTheme="majorBidi" w:hAnsiTheme="majorBidi" w:cstheme="majorBidi"/>
          <w:b/>
          <w:bCs/>
          <w:shd w:val="clear" w:color="auto" w:fill="FFFFFF"/>
        </w:rPr>
        <w:t>Plant material and growth conditions</w:t>
      </w:r>
    </w:p>
    <w:p w14:paraId="1111612C" w14:textId="391BDB2F" w:rsidR="00B010B5" w:rsidRPr="00CB6744" w:rsidRDefault="00B010B5" w:rsidP="00B010B5">
      <w:pPr>
        <w:rPr>
          <w:rFonts w:asciiTheme="majorBidi" w:hAnsiTheme="majorBidi" w:cstheme="majorBidi"/>
          <w:color w:val="000000"/>
          <w:shd w:val="clear" w:color="auto" w:fill="FFFFFF"/>
        </w:rPr>
      </w:pPr>
      <w:r w:rsidRPr="00CB6744">
        <w:rPr>
          <w:rFonts w:asciiTheme="majorBidi" w:hAnsiTheme="majorBidi" w:cstheme="majorBidi"/>
          <w:i/>
          <w:iCs/>
          <w:shd w:val="clear" w:color="auto" w:fill="FFFFFF"/>
        </w:rPr>
        <w:t>Arabidopsis thaliana</w:t>
      </w:r>
      <w:r w:rsidRPr="00CB6744">
        <w:rPr>
          <w:rFonts w:asciiTheme="majorBidi" w:hAnsiTheme="majorBidi" w:cstheme="majorBidi"/>
          <w:shd w:val="clear" w:color="auto" w:fill="FFFFFF"/>
        </w:rPr>
        <w:t xml:space="preserve"> Columbia-0 plants containing the INTACT system </w:t>
      </w:r>
      <w:r w:rsidRPr="00CB6744">
        <w:rPr>
          <w:rFonts w:asciiTheme="majorBidi" w:hAnsiTheme="majorBidi" w:cstheme="majorBidi"/>
          <w:shd w:val="clear" w:color="auto" w:fill="FFFFFF"/>
        </w:rPr>
        <w:fldChar w:fldCharType="begin" w:fldLock="1"/>
      </w:r>
      <w:r w:rsidR="00AB1145">
        <w:rPr>
          <w:rFonts w:asciiTheme="majorBidi" w:hAnsiTheme="majorBidi" w:cstheme="majorBidi"/>
          <w:shd w:val="clear" w:color="auto" w:fill="FFFFFF"/>
        </w:rPr>
        <w:instrText>ADDIN CSL_CITATION {"citationItems":[{"id":"ITEM-1","itemData":{"DOI":"10.1016/j.devcel.2010.05.013","ISBN":"1878-1551 (Electronic)\\r1534-5807 (Linking)","ISSN":"15345807","PMID":"20627084","abstract":"Understanding the production and function of specialized cells during development requires the isolation of individual cell types for analysis, but this is currently a major technical challenge. Here we describe a method for cell type-specific RNA and chromatin profiling that circumvents many of the limitations of current methods for cell isolation. We used in vivo biotin labeling of a nuclear envelope protein in individual cell types followed by affinity isolation of labeled nuclei to measure gene expression and chromatin features of the hair and non-hair cell types of the Arabidopsis root epidermis. We identified hundreds of genes that are preferentially expressed in each cell type and show that genes with the largest expression differences between hair and non-hair cells also show differences between cell types in the trimethylation of histone H3 at lysines 4 and 27. This method should be applicable to any organism that is amenable to transformation.","author":[{"dropping-particle":"","family":"Deal","given":"Roger B.","non-dropping-particle":"","parse-names":false,"suffix":""},{"dropping-particle":"","family":"Henikoff","given":"Steven","non-dropping-particle":"","parse-names":false,"suffix":""}],"container-title":"Developmental Cell","id":"ITEM-1","issue":"6","issued":{"date-parts":[["2010","6","15"]]},"page":"1030-1040","publisher":"Elsevier Ltd","title":"A Simple Method for Gene Expression and Chromatin Profiling of Individual Cell Types within a Tissue","type":"article-journal","volume":"18"},"uris":["http://www.mendeley.com/documents/?uuid=4cf18c5e-779d-4c70-9c44-15daa564e941"]},{"id":"ITEM-2","itemData":{"DOI":"10.1038/nprot.2010.175","ISBN":"1750-2799 (Electronic)\\r1750-2799 (Linking)","ISSN":"1754-2189","PMID":"21212783","abstract":"Genomic studies of cell differentiation and function within a whole organism depend on the ability to isolate specific cell types from a tissue, but this is technically difficult. We developed a method called INTACT (isolation of nuclei tagged in specific cell types) that allows affinity-based isolation of nuclei from individual cell types of a tissue, thereby circumventing the problems associated with mechanical purification techniques. In this method nuclei are affinity-labeled through transgenic expression of a biotinylated nuclear envelope protein in the cell type of interest. Total nuclei are isolated from transgenic plants and biotin-labeled nuclei are then purified using streptavidin-coated magnetic beads, without the need for specialized equipment. INTACT gives high yield and purity of nuclei from the desired cell types, which can be used for genome-wide analysis of gene expression and chromatin features. The entire procedure, from nuclei purification through cDNA preparation or chromatin immunoprecipitation (ChIP), can be completed within 2 d. The protocol we present assumes that transgenic lines are already available, and includes procedural details for amplification of cDNA or ChIP DNA prior to microarray or deep sequencing analysis.","author":[{"dropping-particle":"","family":"Deal","given":"Roger B","non-dropping-particle":"","parse-names":false,"suffix":""},{"dropping-particle":"","family":"Henikoff","given":"Steven","non-dropping-particle":"","parse-names":false,"suffix":""}],"container-title":"Nature Protocols","id":"ITEM-2","issue":"1","issued":{"date-parts":[["2011","1","16"]]},"page":"56-68","title":"The INTACT method for cell type–specific gene expression and chromatin profiling in Arabidopsis thaliana","type":"article-journal","volume":"6"},"uris":["http://www.mendeley.com/documents/?uuid=694c96b4-aef6-4008-849f-3d3014d21a11"]}],"mendeley":{"formattedCitation":"[24,25]","plainTextFormattedCitation":"[24,25]","previouslyFormattedCitation":"[24,25]"},"properties":{"noteIndex":0},"schema":"https://github.com/citation-style-language/schema/raw/master/csl-citation.json"}</w:instrText>
      </w:r>
      <w:r w:rsidRPr="00CB6744">
        <w:rPr>
          <w:rFonts w:asciiTheme="majorBidi" w:hAnsiTheme="majorBidi" w:cstheme="majorBidi"/>
          <w:shd w:val="clear" w:color="auto" w:fill="FFFFFF"/>
        </w:rPr>
        <w:fldChar w:fldCharType="separate"/>
      </w:r>
      <w:r w:rsidR="00AB1145" w:rsidRPr="00AB1145">
        <w:rPr>
          <w:rFonts w:asciiTheme="majorBidi" w:hAnsiTheme="majorBidi" w:cstheme="majorBidi"/>
          <w:noProof/>
          <w:shd w:val="clear" w:color="auto" w:fill="FFFFFF"/>
        </w:rPr>
        <w:t>[24,25]</w:t>
      </w:r>
      <w:r w:rsidRPr="00CB6744">
        <w:rPr>
          <w:rFonts w:asciiTheme="majorBidi" w:hAnsiTheme="majorBidi" w:cstheme="majorBidi"/>
          <w:shd w:val="clear" w:color="auto" w:fill="FFFFFF"/>
        </w:rPr>
        <w:fldChar w:fldCharType="end"/>
      </w:r>
      <w:r w:rsidRPr="00CB6744">
        <w:rPr>
          <w:rFonts w:asciiTheme="majorBidi" w:hAnsiTheme="majorBidi" w:cstheme="majorBidi"/>
          <w:shd w:val="clear" w:color="auto" w:fill="FFFFFF"/>
        </w:rPr>
        <w:t xml:space="preserve"> under the 35S promoter were used as WT plants, as described previously </w:t>
      </w:r>
      <w:r w:rsidRPr="00CB6744">
        <w:rPr>
          <w:rFonts w:asciiTheme="majorBidi" w:hAnsiTheme="majorBidi" w:cstheme="majorBidi"/>
          <w:shd w:val="clear" w:color="auto" w:fill="FFFFFF"/>
        </w:rPr>
        <w:fldChar w:fldCharType="begin" w:fldLock="1"/>
      </w:r>
      <w:r w:rsidR="00AB1145">
        <w:rPr>
          <w:rFonts w:asciiTheme="majorBidi" w:hAnsiTheme="majorBidi" w:cstheme="majorBidi"/>
          <w:shd w:val="clear" w:color="auto" w:fill="FFFFFF"/>
        </w:rPr>
        <w:instrText>ADDIN CSL_CITATION {"citationItems":[{"id":"ITEM-1","itemData":{"DOI":"10.1186/s13007-018-0381-9","ISSN":"1746-4811","abstract":"There is a growing interest in the role of chromatin in acquiring and maintaining cell identity. Despite the ever-growing availability of genome-wide gene expression data, understanding how transcription programs are established and regulated to define cell identity remains a puzzle. An important mechanism of gene regulation is the binding of transcription factors (TFs) to specific DNA sequence motifs across the genome. However, these sequences are hindered by the packaging of DNA to chromatin. Thus, the accessibility of these loci for TF binding is highly regulated and determines where and when TFs bind. We present a workflow for measuring chromatin accessibility in Arabidopsis thaliana and define organ-specific regulatory sites and binding motifs of TFs at these sites. We coupled the recently described isolation of nuclei tagged in specific cell types (INTACT) and assay for transposase-accessible chromatin with high-throughput sequencing (ATAC-seq) as a genome-wide strategy to uncover accessible regulatory sites in Arabidopsis based on their accessibility to nuclease digestion. By applying this pipeline in Arabidopsis roots, we revealed 41,419 accessible sites, of which approximately half are found in gene promoters and contain the H3K4me3 active histone mark. The root-unique accessible sites from this group are enriched for root processes. Interestingly, most of the root-unique accessible sites are found in nongenic regions but are correlated with root-specific expression of distant genes. Importantly, these gene-distant sites are enriched for binding motifs of TFs important for root development as well as motifs for TFs that may play a role as novel transcriptional regulators in roots, suggesting that these accessible loci are functional novel gene-distant regulatory elements. By coupling INTACT with ATAC-seq methods, we present a feasible pipeline to profile accessible chromatin in plants. We also introduce a rapid measure of the experiment quality. We find that chromatin accessibility at promoter regions is strongly associated with transcription and active histone marks. However, root-specific chromatin accessibility is primarily found at intergenic regions, suggesting their predominance in defining organ identity possibly via long-range chromatin interactions. This workflow can be rapidly applied to study the regulatory landscape in other cell types, plant species and conditions.","author":[{"dropping-particle":"","family":"Tannenbaum","given":"Miriam","non-dropping-particle":"","parse-names":false,"suffix":""},{"dropping-particle":"","family":"Sarusi-Portuguez","given":"Avital","non-dropping-particle":"","parse-names":false,"suffix":""},{"dropping-particle":"","family":"Krispil","given":"Ronen","non-dropping-particle":"","parse-names":false,"suffix":""},{"dropping-particle":"","family":"Schwartz","given":"Michal","non-dropping-particle":"","parse-names":false,"suffix":""},{"dropping-particle":"","family":"Loza","given":"Olga","non-dropping-particle":"","parse-names":false,"suffix":""},{"dropping-particle":"","family":"Benichou","given":"Jennifer I. C.","non-dropping-particle":"","parse-names":false,"suffix":""},{"dropping-particle":"","family":"Mosquna","given":"Assaf","non-dropping-particle":"","parse-names":false,"suffix":""},{"dropping-particle":"","family":"Hakim","given":"Ofir","non-dropping-particle":"","parse-names":false,"suffix":""}],"container-title":"Plant Methods","id":"ITEM-1","issue":"1","issued":{"date-parts":[["2018","12","20"]]},"page":"113","publisher":"BioMed Central","title":"Regulatory chromatin landscape in Arabidopsis thaliana roots uncovered by coupling INTACT and ATAC-seq","type":"article-journal","volume":"14"},"uris":["http://www.mendeley.com/documents/?uuid=425b5224-6793-34ca-be52-d7bdf1761042"]}],"mendeley":{"formattedCitation":"[26]","plainTextFormattedCitation":"[26]","previouslyFormattedCitation":"[26]"},"properties":{"noteIndex":0},"schema":"https://github.com/citation-style-language/schema/raw/master/csl-citation.json"}</w:instrText>
      </w:r>
      <w:r w:rsidRPr="00CB6744">
        <w:rPr>
          <w:rFonts w:asciiTheme="majorBidi" w:hAnsiTheme="majorBidi" w:cstheme="majorBidi"/>
          <w:shd w:val="clear" w:color="auto" w:fill="FFFFFF"/>
        </w:rPr>
        <w:fldChar w:fldCharType="separate"/>
      </w:r>
      <w:r w:rsidR="00AB1145" w:rsidRPr="00AB1145">
        <w:rPr>
          <w:rFonts w:asciiTheme="majorBidi" w:hAnsiTheme="majorBidi" w:cstheme="majorBidi"/>
          <w:noProof/>
          <w:shd w:val="clear" w:color="auto" w:fill="FFFFFF"/>
        </w:rPr>
        <w:t>[26]</w:t>
      </w:r>
      <w:r w:rsidRPr="00CB6744">
        <w:rPr>
          <w:rFonts w:asciiTheme="majorBidi" w:hAnsiTheme="majorBidi" w:cstheme="majorBidi"/>
          <w:shd w:val="clear" w:color="auto" w:fill="FFFFFF"/>
        </w:rPr>
        <w:fldChar w:fldCharType="end"/>
      </w:r>
      <w:r w:rsidRPr="00CB6744">
        <w:rPr>
          <w:rFonts w:asciiTheme="majorBidi" w:hAnsiTheme="majorBidi" w:cstheme="majorBidi"/>
          <w:shd w:val="clear" w:color="auto" w:fill="FFFFFF"/>
        </w:rPr>
        <w:t xml:space="preserve">. The same plasmid was used to transform </w:t>
      </w:r>
      <w:r w:rsidRPr="00CB6744">
        <w:rPr>
          <w:rFonts w:asciiTheme="majorBidi" w:hAnsiTheme="majorBidi" w:cstheme="majorBidi"/>
          <w:i/>
          <w:iCs/>
          <w:shd w:val="clear" w:color="auto" w:fill="FFFFFF"/>
        </w:rPr>
        <w:t>brm-5</w:t>
      </w:r>
      <w:r w:rsidRPr="00CB6744">
        <w:rPr>
          <w:rFonts w:asciiTheme="majorBidi" w:hAnsiTheme="majorBidi" w:cstheme="majorBidi"/>
          <w:shd w:val="clear" w:color="auto" w:fill="FFFFFF"/>
        </w:rPr>
        <w:t xml:space="preserve"> plants (a gift from Prof. Yuhai Cui,</w:t>
      </w:r>
      <w:r w:rsidRPr="00CB6744">
        <w:rPr>
          <w:rFonts w:asciiTheme="majorBidi" w:hAnsiTheme="majorBidi" w:cstheme="majorBidi"/>
        </w:rPr>
        <w:t xml:space="preserve"> </w:t>
      </w:r>
      <w:r w:rsidRPr="00CB6744">
        <w:rPr>
          <w:rFonts w:asciiTheme="majorBidi" w:hAnsiTheme="majorBidi" w:cstheme="majorBidi"/>
          <w:shd w:val="clear" w:color="auto" w:fill="FFFFFF"/>
        </w:rPr>
        <w:t xml:space="preserve">University of Western Ontario) after the point mutation was validated via Sanger sequencing. Transformants were selected based on GFP intensity, and </w:t>
      </w:r>
      <w:r w:rsidRPr="00CB6744">
        <w:rPr>
          <w:rFonts w:asciiTheme="majorBidi" w:hAnsiTheme="majorBidi" w:cstheme="majorBidi"/>
          <w:color w:val="000000"/>
          <w:shd w:val="clear" w:color="auto" w:fill="FFFFFF"/>
        </w:rPr>
        <w:t>homozygous, single copy INTACT-</w:t>
      </w:r>
      <w:r w:rsidRPr="00CB6744">
        <w:rPr>
          <w:rFonts w:asciiTheme="majorBidi" w:hAnsiTheme="majorBidi" w:cstheme="majorBidi"/>
          <w:i/>
          <w:iCs/>
          <w:color w:val="000000"/>
          <w:shd w:val="clear" w:color="auto" w:fill="FFFFFF"/>
        </w:rPr>
        <w:t xml:space="preserve">brm-5 </w:t>
      </w:r>
      <w:r w:rsidRPr="00CB6744">
        <w:rPr>
          <w:rFonts w:asciiTheme="majorBidi" w:hAnsiTheme="majorBidi" w:cstheme="majorBidi"/>
          <w:color w:val="000000"/>
          <w:shd w:val="clear" w:color="auto" w:fill="FFFFFF"/>
        </w:rPr>
        <w:t>T</w:t>
      </w:r>
      <w:r w:rsidRPr="00CB6744">
        <w:rPr>
          <w:rFonts w:asciiTheme="majorBidi" w:hAnsiTheme="majorBidi" w:cstheme="majorBidi"/>
          <w:color w:val="000000"/>
          <w:shd w:val="clear" w:color="auto" w:fill="FFFFFF"/>
          <w:vertAlign w:val="subscript"/>
        </w:rPr>
        <w:t>3</w:t>
      </w:r>
      <w:r w:rsidRPr="00CB6744">
        <w:rPr>
          <w:rFonts w:asciiTheme="majorBidi" w:hAnsiTheme="majorBidi" w:cstheme="majorBidi"/>
          <w:color w:val="000000"/>
          <w:shd w:val="clear" w:color="auto" w:fill="FFFFFF"/>
        </w:rPr>
        <w:t>/T</w:t>
      </w:r>
      <w:r w:rsidRPr="00CB6744">
        <w:rPr>
          <w:rFonts w:asciiTheme="majorBidi" w:hAnsiTheme="majorBidi" w:cstheme="majorBidi"/>
          <w:color w:val="000000"/>
          <w:shd w:val="clear" w:color="auto" w:fill="FFFFFF"/>
          <w:vertAlign w:val="subscript"/>
        </w:rPr>
        <w:t>4</w:t>
      </w:r>
      <w:r w:rsidRPr="00CB6744">
        <w:rPr>
          <w:rFonts w:asciiTheme="majorBidi" w:hAnsiTheme="majorBidi" w:cstheme="majorBidi"/>
          <w:color w:val="000000"/>
          <w:shd w:val="clear" w:color="auto" w:fill="FFFFFF"/>
        </w:rPr>
        <w:t xml:space="preserve"> were used.</w:t>
      </w:r>
    </w:p>
    <w:p w14:paraId="62C98A68" w14:textId="0F89B637" w:rsidR="00B010B5" w:rsidRPr="00CB6744" w:rsidRDefault="00B010B5" w:rsidP="00B010B5">
      <w:pPr>
        <w:rPr>
          <w:rFonts w:asciiTheme="majorBidi" w:hAnsiTheme="majorBidi" w:cstheme="majorBidi"/>
          <w:shd w:val="clear" w:color="auto" w:fill="FFFFFF"/>
        </w:rPr>
      </w:pPr>
      <w:r w:rsidRPr="00CB6744">
        <w:rPr>
          <w:rFonts w:asciiTheme="majorBidi" w:hAnsiTheme="majorBidi" w:cstheme="majorBidi"/>
          <w:shd w:val="clear" w:color="auto" w:fill="FFFFFF"/>
        </w:rPr>
        <w:t xml:space="preserve">Plants were grown as described previously </w:t>
      </w:r>
      <w:r w:rsidRPr="00CB6744">
        <w:rPr>
          <w:rFonts w:asciiTheme="majorBidi" w:hAnsiTheme="majorBidi" w:cstheme="majorBidi"/>
          <w:shd w:val="clear" w:color="auto" w:fill="FFFFFF"/>
        </w:rPr>
        <w:fldChar w:fldCharType="begin" w:fldLock="1"/>
      </w:r>
      <w:r w:rsidR="00AB1145">
        <w:rPr>
          <w:rFonts w:asciiTheme="majorBidi" w:hAnsiTheme="majorBidi" w:cstheme="majorBidi"/>
          <w:shd w:val="clear" w:color="auto" w:fill="FFFFFF"/>
        </w:rPr>
        <w:instrText>ADDIN CSL_CITATION {"citationItems":[{"id":"ITEM-1","itemData":{"DOI":"10.1186/s13007-018-0381-9","ISSN":"1746-4811","abstract":"There is a growing interest in the role of chromatin in acquiring and maintaining cell identity. Despite the ever-growing availability of genome-wide gene expression data, understanding how transcription programs are established and regulated to define cell identity remains a puzzle. An important mechanism of gene regulation is the binding of transcription factors (TFs) to specific DNA sequence motifs across the genome. However, these sequences are hindered by the packaging of DNA to chromatin. Thus, the accessibility of these loci for TF binding is highly regulated and determines where and when TFs bind. We present a workflow for measuring chromatin accessibility in Arabidopsis thaliana and define organ-specific regulatory sites and binding motifs of TFs at these sites. We coupled the recently described isolation of nuclei tagged in specific cell types (INTACT) and assay for transposase-accessible chromatin with high-throughput sequencing (ATAC-seq) as a genome-wide strategy to uncover accessible regulatory sites in Arabidopsis based on their accessibility to nuclease digestion. By applying this pipeline in Arabidopsis roots, we revealed 41,419 accessible sites, of which approximately half are found in gene promoters and contain the H3K4me3 active histone mark. The root-unique accessible sites from this group are enriched for root processes. Interestingly, most of the root-unique accessible sites are found in nongenic regions but are correlated with root-specific expression of distant genes. Importantly, these gene-distant sites are enriched for binding motifs of TFs important for root development as well as motifs for TFs that may play a role as novel transcriptional regulators in roots, suggesting that these accessible loci are functional novel gene-distant regulatory elements. By coupling INTACT with ATAC-seq methods, we present a feasible pipeline to profile accessible chromatin in plants. We also introduce a rapid measure of the experiment quality. We find that chromatin accessibility at promoter regions is strongly associated with transcription and active histone marks. However, root-specific chromatin accessibility is primarily found at intergenic regions, suggesting their predominance in defining organ identity possibly via long-range chromatin interactions. This workflow can be rapidly applied to study the regulatory landscape in other cell types, plant species and conditions.","author":[{"dropping-particle":"","family":"Tannenbaum","given":"Miriam","non-dropping-particle":"","parse-names":false,"suffix":""},{"dropping-particle":"","family":"Sarusi-Portuguez","given":"Avital","non-dropping-particle":"","parse-names":false,"suffix":""},{"dropping-particle":"","family":"Krispil","given":"Ronen","non-dropping-particle":"","parse-names":false,"suffix":""},{"dropping-particle":"","family":"Schwartz","given":"Michal","non-dropping-particle":"","parse-names":false,"suffix":""},{"dropping-particle":"","family":"Loza","given":"Olga","non-dropping-particle":"","parse-names":false,"suffix":""},{"dropping-particle":"","family":"Benichou","given":"Jennifer I. C.","non-dropping-particle":"","parse-names":false,"suffix":""},{"dropping-particle":"","family":"Mosquna","given":"Assaf","non-dropping-particle":"","parse-names":false,"suffix":""},{"dropping-particle":"","family":"Hakim","given":"Ofir","non-dropping-particle":"","parse-names":false,"suffix":""}],"container-title":"Plant Methods","id":"ITEM-1","issue":"1","issued":{"date-parts":[["2018","12","20"]]},"page":"113","publisher":"BioMed Central","title":"Regulatory chromatin landscape in Arabidopsis thaliana roots uncovered by coupling INTACT and ATAC-seq","type":"article-journal","volume":"14"},"uris":["http://www.mendeley.com/documents/?uuid=425b5224-6793-34ca-be52-d7bdf1761042"]}],"mendeley":{"formattedCitation":"[26]","plainTextFormattedCitation":"[26]","previouslyFormattedCitation":"[26]"},"properties":{"noteIndex":0},"schema":"https://github.com/citation-style-language/schema/raw/master/csl-citation.json"}</w:instrText>
      </w:r>
      <w:r w:rsidRPr="00CB6744">
        <w:rPr>
          <w:rFonts w:asciiTheme="majorBidi" w:hAnsiTheme="majorBidi" w:cstheme="majorBidi"/>
          <w:shd w:val="clear" w:color="auto" w:fill="FFFFFF"/>
        </w:rPr>
        <w:fldChar w:fldCharType="separate"/>
      </w:r>
      <w:r w:rsidR="00AB1145" w:rsidRPr="00AB1145">
        <w:rPr>
          <w:rFonts w:asciiTheme="majorBidi" w:hAnsiTheme="majorBidi" w:cstheme="majorBidi"/>
          <w:noProof/>
          <w:shd w:val="clear" w:color="auto" w:fill="FFFFFF"/>
        </w:rPr>
        <w:t>[26]</w:t>
      </w:r>
      <w:r w:rsidRPr="00CB6744">
        <w:rPr>
          <w:rFonts w:asciiTheme="majorBidi" w:hAnsiTheme="majorBidi" w:cstheme="majorBidi"/>
          <w:shd w:val="clear" w:color="auto" w:fill="FFFFFF"/>
        </w:rPr>
        <w:fldChar w:fldCharType="end"/>
      </w:r>
      <w:r w:rsidRPr="00CB6744">
        <w:rPr>
          <w:rFonts w:asciiTheme="majorBidi" w:hAnsiTheme="majorBidi" w:cstheme="majorBidi"/>
          <w:shd w:val="clear" w:color="auto" w:fill="FFFFFF"/>
        </w:rPr>
        <w:t>. Shortly, seeds were surface sterilized with chlorine steam and sowed on 1/</w:t>
      </w:r>
      <w:r>
        <w:rPr>
          <w:rFonts w:asciiTheme="majorBidi" w:hAnsiTheme="majorBidi" w:cstheme="majorBidi"/>
          <w:shd w:val="clear" w:color="auto" w:fill="FFFFFF"/>
        </w:rPr>
        <w:t>4</w:t>
      </w:r>
      <w:r w:rsidRPr="00CB6744">
        <w:rPr>
          <w:rFonts w:asciiTheme="majorBidi" w:hAnsiTheme="majorBidi" w:cstheme="majorBidi"/>
          <w:shd w:val="clear" w:color="auto" w:fill="FFFFFF"/>
        </w:rPr>
        <w:t xml:space="preserve"> strength MS (Murashige and Skoog) media pH 5.7 </w:t>
      </w:r>
      <w:r w:rsidRPr="00CB6744">
        <w:rPr>
          <w:rFonts w:asciiTheme="majorBidi" w:hAnsiTheme="majorBidi" w:cstheme="majorBidi"/>
          <w:shd w:val="clear" w:color="auto" w:fill="FFFFFF"/>
        </w:rPr>
        <w:fldChar w:fldCharType="begin" w:fldLock="1"/>
      </w:r>
      <w:r w:rsidR="00AB1145">
        <w:rPr>
          <w:rFonts w:asciiTheme="majorBidi" w:hAnsiTheme="majorBidi" w:cstheme="majorBidi"/>
          <w:shd w:val="clear" w:color="auto" w:fill="FFFFFF"/>
        </w:rPr>
        <w:instrText>ADDIN CSL_CITATION {"citationItems":[{"id":"ITEM-1","itemData":{"DOI":"10.1111/j.1399-3054.1962.tb08052.x","ISSN":"0031-9317","author":[{"dropping-particle":"","family":"Murashige","given":"Toshio","non-dropping-particle":"","parse-names":false,"suffix":""},{"dropping-particle":"","family":"Skoog","given":"Folke","non-dropping-particle":"","parse-names":false,"suffix":""}],"container-title":"Physiologia Plantarum","id":"ITEM-1","issue":"3","issued":{"date-parts":[["1962","7"]]},"page":"473-497","title":"A Revised Medium for Rapid Growth and Bio Assays with Tobacco Tissue Cultures","type":"article-journal","volume":"15"},"uris":["http://www.mendeley.com/documents/?uuid=724c9cbf-f464-4763-8f68-808ffabd0295"]}],"mendeley":{"formattedCitation":"[27]","plainTextFormattedCitation":"[27]","previouslyFormattedCitation":"[27]"},"properties":{"noteIndex":0},"schema":"https://github.com/citation-style-language/schema/raw/master/csl-citation.json"}</w:instrText>
      </w:r>
      <w:r w:rsidRPr="00CB6744">
        <w:rPr>
          <w:rFonts w:asciiTheme="majorBidi" w:hAnsiTheme="majorBidi" w:cstheme="majorBidi"/>
          <w:shd w:val="clear" w:color="auto" w:fill="FFFFFF"/>
        </w:rPr>
        <w:fldChar w:fldCharType="separate"/>
      </w:r>
      <w:r w:rsidR="00AB1145" w:rsidRPr="00AB1145">
        <w:rPr>
          <w:rFonts w:asciiTheme="majorBidi" w:hAnsiTheme="majorBidi" w:cstheme="majorBidi"/>
          <w:noProof/>
          <w:shd w:val="clear" w:color="auto" w:fill="FFFFFF"/>
        </w:rPr>
        <w:t>[27]</w:t>
      </w:r>
      <w:r w:rsidRPr="00CB6744">
        <w:rPr>
          <w:rFonts w:asciiTheme="majorBidi" w:hAnsiTheme="majorBidi" w:cstheme="majorBidi"/>
          <w:shd w:val="clear" w:color="auto" w:fill="FFFFFF"/>
        </w:rPr>
        <w:fldChar w:fldCharType="end"/>
      </w:r>
      <w:r w:rsidRPr="00CB6744">
        <w:rPr>
          <w:rFonts w:asciiTheme="majorBidi" w:hAnsiTheme="majorBidi" w:cstheme="majorBidi"/>
          <w:shd w:val="clear" w:color="auto" w:fill="FFFFFF"/>
        </w:rPr>
        <w:t xml:space="preserve">. Plates were </w:t>
      </w:r>
      <w:r>
        <w:rPr>
          <w:rFonts w:asciiTheme="majorBidi" w:hAnsiTheme="majorBidi" w:cstheme="majorBidi"/>
          <w:shd w:val="clear" w:color="auto" w:fill="FFFFFF"/>
        </w:rPr>
        <w:t xml:space="preserve">grown </w:t>
      </w:r>
      <w:r w:rsidRPr="00CB6744">
        <w:rPr>
          <w:rFonts w:asciiTheme="majorBidi" w:hAnsiTheme="majorBidi" w:cstheme="majorBidi"/>
          <w:shd w:val="clear" w:color="auto" w:fill="FFFFFF"/>
        </w:rPr>
        <w:t xml:space="preserve">vertically in </w:t>
      </w:r>
      <w:r>
        <w:rPr>
          <w:rFonts w:asciiTheme="majorBidi" w:hAnsiTheme="majorBidi" w:cstheme="majorBidi"/>
          <w:shd w:val="clear" w:color="auto" w:fill="FFFFFF"/>
        </w:rPr>
        <w:t xml:space="preserve">Percival </w:t>
      </w:r>
      <w:r w:rsidRPr="00CB6744">
        <w:rPr>
          <w:rFonts w:asciiTheme="majorBidi" w:hAnsiTheme="majorBidi" w:cstheme="majorBidi"/>
          <w:shd w:val="clear" w:color="auto" w:fill="FFFFFF"/>
        </w:rPr>
        <w:t>grow</w:t>
      </w:r>
      <w:r>
        <w:rPr>
          <w:rFonts w:asciiTheme="majorBidi" w:hAnsiTheme="majorBidi" w:cstheme="majorBidi"/>
          <w:shd w:val="clear" w:color="auto" w:fill="FFFFFF"/>
        </w:rPr>
        <w:t>th chamber (AR-41L3)</w:t>
      </w:r>
      <w:r w:rsidRPr="00CB6744">
        <w:rPr>
          <w:rFonts w:asciiTheme="majorBidi" w:hAnsiTheme="majorBidi" w:cstheme="majorBidi"/>
          <w:shd w:val="clear" w:color="auto" w:fill="FFFFFF"/>
        </w:rPr>
        <w:t xml:space="preserve"> under a 16/8 light/dark </w:t>
      </w:r>
      <w:r>
        <w:rPr>
          <w:rFonts w:asciiTheme="majorBidi" w:hAnsiTheme="majorBidi" w:cstheme="majorBidi"/>
          <w:shd w:val="clear" w:color="auto" w:fill="FFFFFF"/>
        </w:rPr>
        <w:t>conditions</w:t>
      </w:r>
      <w:r w:rsidRPr="00CB6744">
        <w:rPr>
          <w:rFonts w:asciiTheme="majorBidi" w:hAnsiTheme="majorBidi" w:cstheme="majorBidi"/>
          <w:shd w:val="clear" w:color="auto" w:fill="FFFFFF"/>
        </w:rPr>
        <w:t xml:space="preserve">, ~100 LUX at 22°C. </w:t>
      </w:r>
    </w:p>
    <w:p w14:paraId="68CFA52D" w14:textId="79223CCD" w:rsidR="00B010B5" w:rsidRPr="00CB6744" w:rsidRDefault="00B010B5" w:rsidP="00B010B5">
      <w:pPr>
        <w:rPr>
          <w:rFonts w:asciiTheme="majorBidi" w:hAnsiTheme="majorBidi" w:cstheme="majorBidi"/>
          <w:b/>
          <w:bCs/>
          <w:szCs w:val="24"/>
        </w:rPr>
      </w:pPr>
      <w:r>
        <w:rPr>
          <w:rFonts w:asciiTheme="majorBidi" w:hAnsiTheme="majorBidi" w:cstheme="majorBidi"/>
          <w:b/>
          <w:bCs/>
          <w:szCs w:val="24"/>
        </w:rPr>
        <w:t xml:space="preserve">2.2 </w:t>
      </w:r>
      <w:r w:rsidRPr="00CB6744">
        <w:rPr>
          <w:rFonts w:asciiTheme="majorBidi" w:hAnsiTheme="majorBidi" w:cstheme="majorBidi"/>
          <w:b/>
          <w:bCs/>
          <w:szCs w:val="24"/>
        </w:rPr>
        <w:t>RNA-seq</w:t>
      </w:r>
    </w:p>
    <w:p w14:paraId="010090AF" w14:textId="2DB7883B" w:rsidR="00B010B5" w:rsidRPr="00CB6744" w:rsidRDefault="00B010B5" w:rsidP="00B010B5">
      <w:pPr>
        <w:rPr>
          <w:rFonts w:asciiTheme="majorBidi" w:hAnsiTheme="majorBidi" w:cstheme="majorBidi"/>
          <w:szCs w:val="24"/>
        </w:rPr>
      </w:pPr>
      <w:r w:rsidRPr="00CB6744">
        <w:rPr>
          <w:rFonts w:asciiTheme="majorBidi" w:hAnsiTheme="majorBidi" w:cstheme="majorBidi"/>
          <w:szCs w:val="24"/>
        </w:rPr>
        <w:t xml:space="preserve">RNA was isolated from 14-day-old roots as described </w:t>
      </w:r>
      <w:r w:rsidRPr="00CB6744">
        <w:rPr>
          <w:rFonts w:asciiTheme="majorBidi" w:hAnsiTheme="majorBidi" w:cstheme="majorBidi"/>
          <w:shd w:val="clear" w:color="auto" w:fill="FFFFFF"/>
        </w:rPr>
        <w:t xml:space="preserve">previously </w:t>
      </w:r>
      <w:r w:rsidRPr="00CB6744">
        <w:rPr>
          <w:rFonts w:asciiTheme="majorBidi" w:hAnsiTheme="majorBidi" w:cstheme="majorBidi"/>
          <w:shd w:val="clear" w:color="auto" w:fill="FFFFFF"/>
        </w:rPr>
        <w:fldChar w:fldCharType="begin" w:fldLock="1"/>
      </w:r>
      <w:r w:rsidR="00AB1145">
        <w:rPr>
          <w:rFonts w:asciiTheme="majorBidi" w:hAnsiTheme="majorBidi" w:cstheme="majorBidi"/>
          <w:shd w:val="clear" w:color="auto" w:fill="FFFFFF"/>
        </w:rPr>
        <w:instrText>ADDIN CSL_CITATION {"citationItems":[{"id":"ITEM-1","itemData":{"DOI":"10.1186/s13007-018-0381-9","ISSN":"1746-4811","abstract":"There is a growing interest in the role of chromatin in acquiring and maintaining cell identity. Despite the ever-growing availability of genome-wide gene expression data, understanding how transcription programs are established and regulated to define cell identity remains a puzzle. An important mechanism of gene regulation is the binding of transcription factors (TFs) to specific DNA sequence motifs across the genome. However, these sequences are hindered by the packaging of DNA to chromatin. Thus, the accessibility of these loci for TF binding is highly regulated and determines where and when TFs bind. We present a workflow for measuring chromatin accessibility in Arabidopsis thaliana and define organ-specific regulatory sites and binding motifs of TFs at these sites. We coupled the recently described isolation of nuclei tagged in specific cell types (INTACT) and assay for transposase-accessible chromatin with high-throughput sequencing (ATAC-seq) as a genome-wide strategy to uncover accessible regulatory sites in Arabidopsis based on their accessibility to nuclease digestion. By applying this pipeline in Arabidopsis roots, we revealed 41,419 accessible sites, of which approximately half are found in gene promoters and contain the H3K4me3 active histone mark. The root-unique accessible sites from this group are enriched for root processes. Interestingly, most of the root-unique accessible sites are found in nongenic regions but are correlated with root-specific expression of distant genes. Importantly, these gene-distant sites are enriched for binding motifs of TFs important for root development as well as motifs for TFs that may play a role as novel transcriptional regulators in roots, suggesting that these accessible loci are functional novel gene-distant regulatory elements. By coupling INTACT with ATAC-seq methods, we present a feasible pipeline to profile accessible chromatin in plants. We also introduce a rapid measure of the experiment quality. We find that chromatin accessibility at promoter regions is strongly associated with transcription and active histone marks. However, root-specific chromatin accessibility is primarily found at intergenic regions, suggesting their predominance in defining organ identity possibly via long-range chromatin interactions. This workflow can be rapidly applied to study the regulatory landscape in other cell types, plant species and conditions.","author":[{"dropping-particle":"","family":"Tannenbaum","given":"Miriam","non-dropping-particle":"","parse-names":false,"suffix":""},{"dropping-particle":"","family":"Sarusi-Portuguez","given":"Avital","non-dropping-particle":"","parse-names":false,"suffix":""},{"dropping-particle":"","family":"Krispil","given":"Ronen","non-dropping-particle":"","parse-names":false,"suffix":""},{"dropping-particle":"","family":"Schwartz","given":"Michal","non-dropping-particle":"","parse-names":false,"suffix":""},{"dropping-particle":"","family":"Loza","given":"Olga","non-dropping-particle":"","parse-names":false,"suffix":""},{"dropping-particle":"","family":"Benichou","given":"Jennifer I. C.","non-dropping-particle":"","parse-names":false,"suffix":""},{"dropping-particle":"","family":"Mosquna","given":"Assaf","non-dropping-particle":"","parse-names":false,"suffix":""},{"dropping-particle":"","family":"Hakim","given":"Ofir","non-dropping-particle":"","parse-names":false,"suffix":""}],"container-title":"Plant Methods","id":"ITEM-1","issue":"1","issued":{"date-parts":[["2018","12","20"]]},"page":"113","publisher":"BioMed Central","title":"Regulatory chromatin landscape in Arabidopsis thaliana roots uncovered by coupling INTACT and ATAC-seq","type":"article-journal","volume":"14"},"uris":["http://www.mendeley.com/documents/?uuid=425b5224-6793-34ca-be52-d7bdf1761042"]}],"mendeley":{"formattedCitation":"[26]","plainTextFormattedCitation":"[26]","previouslyFormattedCitation":"[26]"},"properties":{"noteIndex":0},"schema":"https://github.com/citation-style-language/schema/raw/master/csl-citation.json"}</w:instrText>
      </w:r>
      <w:r w:rsidRPr="00CB6744">
        <w:rPr>
          <w:rFonts w:asciiTheme="majorBidi" w:hAnsiTheme="majorBidi" w:cstheme="majorBidi"/>
          <w:shd w:val="clear" w:color="auto" w:fill="FFFFFF"/>
        </w:rPr>
        <w:fldChar w:fldCharType="separate"/>
      </w:r>
      <w:r w:rsidR="00AB1145" w:rsidRPr="00AB1145">
        <w:rPr>
          <w:rFonts w:asciiTheme="majorBidi" w:hAnsiTheme="majorBidi" w:cstheme="majorBidi"/>
          <w:noProof/>
          <w:shd w:val="clear" w:color="auto" w:fill="FFFFFF"/>
        </w:rPr>
        <w:t>[26]</w:t>
      </w:r>
      <w:r w:rsidRPr="00CB6744">
        <w:rPr>
          <w:rFonts w:asciiTheme="majorBidi" w:hAnsiTheme="majorBidi" w:cstheme="majorBidi"/>
          <w:shd w:val="clear" w:color="auto" w:fill="FFFFFF"/>
        </w:rPr>
        <w:fldChar w:fldCharType="end"/>
      </w:r>
      <w:r w:rsidRPr="00CB6744">
        <w:rPr>
          <w:rFonts w:asciiTheme="majorBidi" w:hAnsiTheme="majorBidi" w:cstheme="majorBidi"/>
          <w:shd w:val="clear" w:color="auto" w:fill="FFFFFF"/>
        </w:rPr>
        <w:t xml:space="preserve">. </w:t>
      </w:r>
      <w:r w:rsidRPr="00CB6744">
        <w:rPr>
          <w:rFonts w:asciiTheme="majorBidi" w:hAnsiTheme="majorBidi" w:cstheme="majorBidi"/>
          <w:szCs w:val="24"/>
        </w:rPr>
        <w:t xml:space="preserve">Briefly, TRIZOL (Life Technologies) reagent was used to isolate RNA, followed by and cleaning with RNA Clean &amp; Concentrator™-5 (Zymo, R1015). RNA was quantified by NanoDrop2000 (Thermo </w:t>
      </w:r>
      <w:r>
        <w:rPr>
          <w:rFonts w:asciiTheme="majorBidi" w:hAnsiTheme="majorBidi" w:cstheme="majorBidi"/>
          <w:szCs w:val="24"/>
        </w:rPr>
        <w:t xml:space="preserve">Fisher </w:t>
      </w:r>
      <w:r w:rsidRPr="00CB6744">
        <w:rPr>
          <w:rFonts w:asciiTheme="majorBidi" w:hAnsiTheme="majorBidi" w:cstheme="majorBidi"/>
          <w:szCs w:val="24"/>
        </w:rPr>
        <w:t xml:space="preserve">Scientific, Waltham, MA, USA). Libraries were prepared using the NEBNext RNA library prep kit (module E7530-E7490). cDNA was quantified using a Qubit HS DNA kit (Thermo </w:t>
      </w:r>
      <w:r>
        <w:rPr>
          <w:rFonts w:asciiTheme="majorBidi" w:hAnsiTheme="majorBidi" w:cstheme="majorBidi"/>
          <w:szCs w:val="24"/>
        </w:rPr>
        <w:t xml:space="preserve">Fisher </w:t>
      </w:r>
      <w:r w:rsidRPr="00CB6744">
        <w:rPr>
          <w:rFonts w:asciiTheme="majorBidi" w:hAnsiTheme="majorBidi" w:cstheme="majorBidi"/>
          <w:szCs w:val="24"/>
        </w:rPr>
        <w:t>Scientific, Waltham, MA, USA, Q32854) and analyzed on a BioAnalyzer or TapeStation. Libraries were sequenced on an Illumina HiSeq 2500 sequencer, and</w:t>
      </w:r>
      <w:r>
        <w:rPr>
          <w:rFonts w:asciiTheme="majorBidi" w:hAnsiTheme="majorBidi" w:cstheme="majorBidi"/>
          <w:szCs w:val="24"/>
        </w:rPr>
        <w:t xml:space="preserve"> single-end</w:t>
      </w:r>
      <w:r w:rsidRPr="00CB6744">
        <w:rPr>
          <w:rFonts w:asciiTheme="majorBidi" w:hAnsiTheme="majorBidi" w:cstheme="majorBidi"/>
          <w:szCs w:val="24"/>
        </w:rPr>
        <w:t xml:space="preserve"> 61 bp were sequenced.</w:t>
      </w:r>
    </w:p>
    <w:p w14:paraId="0DBB3B2E" w14:textId="77777777" w:rsidR="00B010B5" w:rsidRDefault="00B010B5" w:rsidP="00B010B5">
      <w:pPr>
        <w:rPr>
          <w:rFonts w:asciiTheme="majorBidi" w:hAnsiTheme="majorBidi" w:cstheme="majorBidi"/>
          <w:b/>
          <w:bCs/>
          <w:szCs w:val="24"/>
        </w:rPr>
      </w:pPr>
    </w:p>
    <w:p w14:paraId="62DA10A1" w14:textId="77777777" w:rsidR="00B010B5" w:rsidRDefault="00B010B5" w:rsidP="00B010B5">
      <w:pPr>
        <w:rPr>
          <w:rFonts w:asciiTheme="majorBidi" w:hAnsiTheme="majorBidi" w:cstheme="majorBidi"/>
          <w:b/>
          <w:bCs/>
          <w:szCs w:val="24"/>
        </w:rPr>
      </w:pPr>
    </w:p>
    <w:p w14:paraId="62BCC950" w14:textId="186B7ED4" w:rsidR="00B010B5" w:rsidRPr="00CB6744" w:rsidRDefault="00B010B5" w:rsidP="00B010B5">
      <w:pPr>
        <w:rPr>
          <w:rFonts w:asciiTheme="majorBidi" w:hAnsiTheme="majorBidi" w:cstheme="majorBidi"/>
          <w:b/>
          <w:bCs/>
          <w:szCs w:val="24"/>
        </w:rPr>
      </w:pPr>
      <w:r>
        <w:rPr>
          <w:rFonts w:asciiTheme="majorBidi" w:hAnsiTheme="majorBidi" w:cstheme="majorBidi"/>
          <w:b/>
          <w:bCs/>
          <w:szCs w:val="24"/>
        </w:rPr>
        <w:lastRenderedPageBreak/>
        <w:t xml:space="preserve">2.3 </w:t>
      </w:r>
      <w:r w:rsidRPr="00CB6744">
        <w:rPr>
          <w:rFonts w:asciiTheme="majorBidi" w:hAnsiTheme="majorBidi" w:cstheme="majorBidi"/>
          <w:b/>
          <w:bCs/>
          <w:szCs w:val="24"/>
        </w:rPr>
        <w:t>RNA-seq</w:t>
      </w:r>
      <w:r>
        <w:rPr>
          <w:rFonts w:asciiTheme="majorBidi" w:hAnsiTheme="majorBidi" w:cstheme="majorBidi"/>
          <w:b/>
          <w:bCs/>
          <w:szCs w:val="24"/>
        </w:rPr>
        <w:t xml:space="preserve"> and ChIP-seq</w:t>
      </w:r>
      <w:r w:rsidRPr="00CB6744">
        <w:rPr>
          <w:rFonts w:asciiTheme="majorBidi" w:hAnsiTheme="majorBidi" w:cstheme="majorBidi"/>
          <w:b/>
          <w:bCs/>
          <w:szCs w:val="24"/>
        </w:rPr>
        <w:t xml:space="preserve"> analysis</w:t>
      </w:r>
    </w:p>
    <w:p w14:paraId="7F83FBE4" w14:textId="77777777" w:rsidR="00B010B5" w:rsidRDefault="00B010B5" w:rsidP="00B010B5">
      <w:pPr>
        <w:rPr>
          <w:rFonts w:asciiTheme="majorBidi" w:hAnsiTheme="majorBidi" w:cstheme="majorBidi"/>
          <w:szCs w:val="24"/>
        </w:rPr>
      </w:pPr>
      <w:r w:rsidRPr="00CB6744">
        <w:rPr>
          <w:rFonts w:asciiTheme="majorBidi" w:hAnsiTheme="majorBidi" w:cstheme="majorBidi"/>
        </w:rPr>
        <w:t xml:space="preserve">Reads from RNA-seq were aligned to the TAIR10 </w:t>
      </w:r>
      <w:r w:rsidRPr="00CB6744">
        <w:rPr>
          <w:rFonts w:asciiTheme="majorBidi" w:hAnsiTheme="majorBidi" w:cstheme="majorBidi"/>
          <w:i/>
          <w:iCs/>
        </w:rPr>
        <w:t>Arabidopsis thaliana</w:t>
      </w:r>
      <w:r w:rsidRPr="00CB6744">
        <w:rPr>
          <w:rFonts w:asciiTheme="majorBidi" w:hAnsiTheme="majorBidi" w:cstheme="majorBidi"/>
        </w:rPr>
        <w:t xml:space="preserve"> genome using STAR with Araport11 annotations. To calculate the number of reads on each gene, HT-</w:t>
      </w:r>
      <w:r>
        <w:rPr>
          <w:rFonts w:asciiTheme="majorBidi" w:hAnsiTheme="majorBidi" w:cstheme="majorBidi"/>
        </w:rPr>
        <w:t>seq was used followed by DEseq2</w:t>
      </w:r>
      <w:r w:rsidRPr="00CB6744">
        <w:rPr>
          <w:rFonts w:asciiTheme="majorBidi" w:hAnsiTheme="majorBidi" w:cstheme="majorBidi"/>
          <w:szCs w:val="24"/>
        </w:rPr>
        <w:t>. GO analysis was performed using the GO Ontology database (PANTHER Overrepresentation Test, release 20200728).</w:t>
      </w:r>
    </w:p>
    <w:p w14:paraId="0563675F" w14:textId="6885BAE1" w:rsidR="00B010B5" w:rsidRDefault="00B010B5" w:rsidP="00B010B5">
      <w:pPr>
        <w:rPr>
          <w:rFonts w:asciiTheme="majorBidi" w:hAnsiTheme="majorBidi" w:cstheme="majorBidi"/>
        </w:rPr>
      </w:pPr>
      <w:r w:rsidRPr="00CB6744">
        <w:rPr>
          <w:rFonts w:asciiTheme="majorBidi" w:hAnsiTheme="majorBidi" w:cstheme="majorBidi"/>
        </w:rPr>
        <w:t xml:space="preserve">Polymerase V ChIP-seq data from GSE38464 </w:t>
      </w:r>
      <w:r>
        <w:rPr>
          <w:rFonts w:asciiTheme="majorBidi" w:hAnsiTheme="majorBidi" w:cstheme="majorBidi"/>
        </w:rPr>
        <w:t>was</w:t>
      </w:r>
      <w:r w:rsidRPr="00CB6744">
        <w:rPr>
          <w:rFonts w:asciiTheme="majorBidi" w:hAnsiTheme="majorBidi" w:cstheme="majorBidi"/>
        </w:rPr>
        <w:t xml:space="preserve"> mapped to the TAIR10 Arabidopsis genome using bowtie2, retaining only uniquely mapped reads. MACS2 was used to call peaks using the parameters used above. List of pol V stabilized nucleosomes was </w:t>
      </w:r>
      <w:r>
        <w:rPr>
          <w:rFonts w:asciiTheme="majorBidi" w:hAnsiTheme="majorBidi" w:cstheme="majorBidi"/>
        </w:rPr>
        <w:t>retrieved</w:t>
      </w:r>
      <w:r w:rsidRPr="00CB6744">
        <w:rPr>
          <w:rFonts w:asciiTheme="majorBidi" w:hAnsiTheme="majorBidi" w:cstheme="majorBidi"/>
        </w:rPr>
        <w:t xml:space="preserve"> from </w:t>
      </w:r>
      <w:r w:rsidRPr="00CB6744">
        <w:rPr>
          <w:rFonts w:asciiTheme="majorBidi" w:hAnsiTheme="majorBidi" w:cstheme="majorBidi"/>
        </w:rPr>
        <w:fldChar w:fldCharType="begin" w:fldLock="1"/>
      </w:r>
      <w:r w:rsidR="00AB1145">
        <w:rPr>
          <w:rFonts w:asciiTheme="majorBidi" w:hAnsiTheme="majorBidi" w:cstheme="majorBidi"/>
        </w:rPr>
        <w:instrText>ADDIN CSL_CITATION {"citationItems":[{"id":"ITEM-1","itemData":{"DOI":"10.1016/j.molcel.2012.11.011","ISSN":"10972765","PMID":"23246435","abstract":"RNA-mediated transcriptional silencing prevents deleterious effects of transposon activity and controls the expression of protein-coding genes. It involves long noncoding RNAs (lncRNAs). In Arabidopsis thaliana, some of those lncRNAs are produced by a specialized RNA Polymerase V (Pol V). The mechanism by which lncRNAs affect chromatin structure and mRNA production remains mostly unknown. Here we identify the SWI/SNF ATP-dependent nucleosome-remodeling complex as a component of the RNA-mediated transcriptional silencing pathway. We found that SWI3B, an essential subunit of the SWI/SNF complex, physically interacts with a lncRNA-binding protein, IDN2. SWI/SNF subunits contribute to lncRNA-mediated transcriptional silencing. Moreover, Pol V mediates stabilization of nucleosomes on silenced regions. We propose that Pol V-produced lncRNAs mediate transcriptional silencing by guiding the SWI/SNF complex and establishing positioned nucleosomes on specific genomic loci. We further propose that guiding ATP-dependent chromatin-remodeling complexes may be a more general function of lncRNAs. © 2013 Elsevier Inc.","author":[{"dropping-particle":"","family":"Zhu","given":"Yongyou","non-dropping-particle":"","parse-names":false,"suffix":""},{"dropping-particle":"","family":"Rowley","given":"M. Jordan","non-dropping-particle":"","parse-names":false,"suffix":""},{"dropping-particle":"","family":"Böhmdorfer","given":"Gudrun","non-dropping-particle":"","parse-names":false,"suffix":""},{"dropping-particle":"","family":"Wierzbicki","given":"Andrzej T.","non-dropping-particle":"","parse-names":false,"suffix":""}],"container-title":"Molecular Cell","id":"ITEM-1","issue":"2","issued":{"date-parts":[["2013","1","24"]]},"page":"298-309","publisher":"Cell Press","title":"A SWI/SNF Chromatin-Remodeling Complex Acts in Noncoding RNA-Mediated Transcriptional Silencing","type":"article-journal","volume":"49"},"uris":["http://www.mendeley.com/documents/?uuid=196164c1-0618-49f1-8726-595be557aec0"]}],"mendeley":{"formattedCitation":"[28]","plainTextFormattedCitation":"[28]","previouslyFormattedCitation":"[28]"},"properties":{"noteIndex":0},"schema":"https://github.com/citation-style-language/schema/raw/master/csl-citation.json"}</w:instrText>
      </w:r>
      <w:r w:rsidRPr="00CB6744">
        <w:rPr>
          <w:rFonts w:asciiTheme="majorBidi" w:hAnsiTheme="majorBidi" w:cstheme="majorBidi"/>
        </w:rPr>
        <w:fldChar w:fldCharType="separate"/>
      </w:r>
      <w:r w:rsidR="00AB1145" w:rsidRPr="00AB1145">
        <w:rPr>
          <w:rFonts w:asciiTheme="majorBidi" w:hAnsiTheme="majorBidi" w:cstheme="majorBidi"/>
          <w:noProof/>
        </w:rPr>
        <w:t>[28]</w:t>
      </w:r>
      <w:r w:rsidRPr="00CB6744">
        <w:rPr>
          <w:rFonts w:asciiTheme="majorBidi" w:hAnsiTheme="majorBidi" w:cstheme="majorBidi"/>
        </w:rPr>
        <w:fldChar w:fldCharType="end"/>
      </w:r>
      <w:r w:rsidRPr="00CB6744">
        <w:rPr>
          <w:rFonts w:asciiTheme="majorBidi" w:hAnsiTheme="majorBidi" w:cstheme="majorBidi"/>
        </w:rPr>
        <w:t>.</w:t>
      </w:r>
    </w:p>
    <w:p w14:paraId="51815FA2" w14:textId="0E1988C8" w:rsidR="00B010B5" w:rsidRPr="00CB6744" w:rsidRDefault="00B010B5" w:rsidP="00B010B5">
      <w:pPr>
        <w:rPr>
          <w:rFonts w:asciiTheme="majorBidi" w:hAnsiTheme="majorBidi" w:cstheme="majorBidi"/>
          <w:b/>
          <w:bCs/>
          <w:szCs w:val="24"/>
        </w:rPr>
      </w:pPr>
      <w:r>
        <w:rPr>
          <w:rFonts w:asciiTheme="majorBidi" w:hAnsiTheme="majorBidi" w:cstheme="majorBidi"/>
          <w:b/>
          <w:bCs/>
          <w:szCs w:val="24"/>
        </w:rPr>
        <w:t xml:space="preserve">2.4 </w:t>
      </w:r>
      <w:r w:rsidRPr="00CB6744">
        <w:rPr>
          <w:rFonts w:asciiTheme="majorBidi" w:hAnsiTheme="majorBidi" w:cstheme="majorBidi"/>
          <w:b/>
          <w:bCs/>
          <w:szCs w:val="24"/>
        </w:rPr>
        <w:t>Nuclei purification</w:t>
      </w:r>
    </w:p>
    <w:p w14:paraId="6B3EA590" w14:textId="63ED8389" w:rsidR="00B010B5" w:rsidRPr="00CB6744" w:rsidRDefault="00B010B5" w:rsidP="00F16B0D">
      <w:pPr>
        <w:rPr>
          <w:rFonts w:asciiTheme="majorBidi" w:hAnsiTheme="majorBidi" w:cstheme="majorBidi"/>
          <w:szCs w:val="24"/>
        </w:rPr>
      </w:pPr>
      <w:r w:rsidRPr="00CB6744">
        <w:rPr>
          <w:rFonts w:asciiTheme="majorBidi" w:hAnsiTheme="majorBidi" w:cstheme="majorBidi"/>
          <w:szCs w:val="24"/>
        </w:rPr>
        <w:t xml:space="preserve">14-day old roots were harvested into </w:t>
      </w:r>
      <w:r w:rsidRPr="00CB6744">
        <w:rPr>
          <w:rFonts w:asciiTheme="majorBidi" w:hAnsiTheme="majorBidi" w:cstheme="majorBidi"/>
        </w:rPr>
        <w:t xml:space="preserve">liquid nitrogen. Nuclei were isolated and ATAC-seq was performed as described previously </w:t>
      </w:r>
      <w:r w:rsidRPr="00CB6744">
        <w:rPr>
          <w:rFonts w:asciiTheme="majorBidi" w:hAnsiTheme="majorBidi" w:cstheme="majorBidi"/>
        </w:rPr>
        <w:fldChar w:fldCharType="begin" w:fldLock="1"/>
      </w:r>
      <w:r w:rsidR="00AB1145">
        <w:rPr>
          <w:rFonts w:asciiTheme="majorBidi" w:hAnsiTheme="majorBidi" w:cstheme="majorBidi"/>
        </w:rPr>
        <w:instrText>ADDIN CSL_CITATION {"citationItems":[{"id":"ITEM-1","itemData":{"DOI":"10.1186/s13007-018-0381-9","ISSN":"1746-4811","abstract":"There is a growing interest in the role of chromatin in acquiring and maintaining cell identity. Despite the ever-growing availability of genome-wide gene expression data, understanding how transcription programs are established and regulated to define cell identity remains a puzzle. An important mechanism of gene regulation is the binding of transcription factors (TFs) to specific DNA sequence motifs across the genome. However, these sequences are hindered by the packaging of DNA to chromatin. Thus, the accessibility of these loci for TF binding is highly regulated and determines where and when TFs bind. We present a workflow for measuring chromatin accessibility in Arabidopsis thaliana and define organ-specific regulatory sites and binding motifs of TFs at these sites. We coupled the recently described isolation of nuclei tagged in specific cell types (INTACT) and assay for transposase-accessible chromatin with high-throughput sequencing (ATAC-seq) as a genome-wide strategy to uncover accessible regulatory sites in Arabidopsis based on their accessibility to nuclease digestion. By applying this pipeline in Arabidopsis roots, we revealed 41,419 accessible sites, of which approximately half are found in gene promoters and contain the H3K4me3 active histone mark. The root-unique accessible sites from this group are enriched for root processes. Interestingly, most of the root-unique accessible sites are found in nongenic regions but are correlated with root-specific expression of distant genes. Importantly, these gene-distant sites are enriched for binding motifs of TFs important for root development as well as motifs for TFs that may play a role as novel transcriptional regulators in roots, suggesting that these accessible loci are functional novel gene-distant regulatory elements. By coupling INTACT with ATAC-seq methods, we present a feasible pipeline to profile accessible chromatin in plants. We also introduce a rapid measure of the experiment quality. We find that chromatin accessibility at promoter regions is strongly associated with transcription and active histone marks. However, root-specific chromatin accessibility is primarily found at intergenic regions, suggesting their predominance in defining organ identity possibly via long-range chromatin interactions. This workflow can be rapidly applied to study the regulatory landscape in other cell types, plant species and conditions.","author":[{"dropping-particle":"","family":"Tannenbaum","given":"Miriam","non-dropping-particle":"","parse-names":false,"suffix":""},{"dropping-particle":"","family":"Sarusi-Portuguez","given":"Avital","non-dropping-particle":"","parse-names":false,"suffix":""},{"dropping-particle":"","family":"Krispil","given":"Ronen","non-dropping-particle":"","parse-names":false,"suffix":""},{"dropping-particle":"","family":"Schwartz","given":"Michal","non-dropping-particle":"","parse-names":false,"suffix":""},{"dropping-particle":"","family":"Loza","given":"Olga","non-dropping-particle":"","parse-names":false,"suffix":""},{"dropping-particle":"","family":"Benichou","given":"Jennifer I. C.","non-dropping-particle":"","parse-names":false,"suffix":""},{"dropping-particle":"","family":"Mosquna","given":"Assaf","non-dropping-particle":"","parse-names":false,"suffix":""},{"dropping-particle":"","family":"Hakim","given":"Ofir","non-dropping-particle":"","parse-names":false,"suffix":""}],"container-title":"Plant Methods","id":"ITEM-1","issue":"1","issued":{"date-parts":[["2018","12","20"]]},"page":"113","publisher":"BioMed Central","title":"Regulatory chromatin landscape in Arabidopsis thaliana roots uncovered by coupling INTACT and ATAC-seq","type":"article-journal","volume":"14"},"uris":["http://www.mendeley.com/documents/?uuid=425b5224-6793-34ca-be52-d7bdf1761042"]}],"mendeley":{"formattedCitation":"[26]","plainTextFormattedCitation":"[26]","previouslyFormattedCitation":"[26]"},"properties":{"noteIndex":0},"schema":"https://github.com/citation-style-language/schema/raw/master/csl-citation.json"}</w:instrText>
      </w:r>
      <w:r w:rsidRPr="00CB6744">
        <w:rPr>
          <w:rFonts w:asciiTheme="majorBidi" w:hAnsiTheme="majorBidi" w:cstheme="majorBidi"/>
        </w:rPr>
        <w:fldChar w:fldCharType="separate"/>
      </w:r>
      <w:r w:rsidR="00AB1145" w:rsidRPr="00AB1145">
        <w:rPr>
          <w:rFonts w:asciiTheme="majorBidi" w:hAnsiTheme="majorBidi" w:cstheme="majorBidi"/>
          <w:noProof/>
        </w:rPr>
        <w:t>[26]</w:t>
      </w:r>
      <w:r w:rsidRPr="00CB6744">
        <w:rPr>
          <w:rFonts w:asciiTheme="majorBidi" w:hAnsiTheme="majorBidi" w:cstheme="majorBidi"/>
        </w:rPr>
        <w:fldChar w:fldCharType="end"/>
      </w:r>
      <w:r w:rsidRPr="00CB6744">
        <w:rPr>
          <w:rFonts w:asciiTheme="majorBidi" w:hAnsiTheme="majorBidi" w:cstheme="majorBidi"/>
        </w:rPr>
        <w:t>. Briefly, roots were grinded to fine powder with mortar and pestle, and transferred to ice-cold NPB buffer (Nuclear purification Buffer containing 20 mM MOPS, 40 mM NaCl, 90 mM KCl, 2 mM EDTA pH 8, 0.5 mM EGTA, 0.2 mM Spermine, 0.5 mM Spermidine and pro- tease inhibitor × 1 (Sigma, P2714)) and rotated for 20 minutes at 4°C. Sample was then filtered with a 40-µm mesh and centrifuged for 10 minutes, 1000g, 4°C.</w:t>
      </w:r>
      <w:r w:rsidRPr="00CB6744">
        <w:rPr>
          <w:rFonts w:asciiTheme="majorBidi" w:hAnsiTheme="majorBidi" w:cstheme="majorBidi"/>
          <w:szCs w:val="24"/>
        </w:rPr>
        <w:t xml:space="preserve"> The pellet was resuspended gently in 7 mL NPBt (NPB supplemented with 0.1% Triton X-100), and nuclei were captured using streptavidin-coated Dynabeads (Invitrogen, M-280 Strepavidin) according to the manufacturer’s protocol. After incubation, beads were washed 4-5 times with 1 mL NPBt, and resuspended in 1 mL NPB. To count nuclei, a 20-µl suspension was loaded to a Marienfeld hemocytometer (Neubauer-improved, chamber depth of 0.1 mm, 0630010). The nuclei were then used for ATA</w:t>
      </w:r>
      <w:r w:rsidR="00F16B0D">
        <w:rPr>
          <w:rFonts w:asciiTheme="majorBidi" w:hAnsiTheme="majorBidi" w:cstheme="majorBidi"/>
          <w:szCs w:val="24"/>
        </w:rPr>
        <w:t>C</w:t>
      </w:r>
      <w:r w:rsidRPr="00CB6744">
        <w:rPr>
          <w:rFonts w:asciiTheme="majorBidi" w:hAnsiTheme="majorBidi" w:cstheme="majorBidi"/>
          <w:szCs w:val="24"/>
        </w:rPr>
        <w:t>-seq or 4C-seq.</w:t>
      </w:r>
    </w:p>
    <w:p w14:paraId="5D626BBD" w14:textId="77777777" w:rsidR="00B010B5" w:rsidRDefault="00B010B5" w:rsidP="00B010B5">
      <w:pPr>
        <w:rPr>
          <w:rFonts w:asciiTheme="majorBidi" w:hAnsiTheme="majorBidi" w:cstheme="majorBidi"/>
          <w:b/>
          <w:bCs/>
          <w:szCs w:val="24"/>
        </w:rPr>
      </w:pPr>
    </w:p>
    <w:p w14:paraId="23CC1731" w14:textId="454FEC48" w:rsidR="00B010B5" w:rsidRPr="00CB6744" w:rsidRDefault="00B010B5" w:rsidP="00B010B5">
      <w:pPr>
        <w:rPr>
          <w:rFonts w:asciiTheme="majorBidi" w:hAnsiTheme="majorBidi" w:cstheme="majorBidi"/>
          <w:szCs w:val="24"/>
        </w:rPr>
      </w:pPr>
      <w:r>
        <w:rPr>
          <w:rFonts w:asciiTheme="majorBidi" w:hAnsiTheme="majorBidi" w:cstheme="majorBidi"/>
          <w:b/>
          <w:bCs/>
          <w:szCs w:val="24"/>
        </w:rPr>
        <w:lastRenderedPageBreak/>
        <w:t xml:space="preserve">2.5 </w:t>
      </w:r>
      <w:r w:rsidRPr="00CB6744">
        <w:rPr>
          <w:rFonts w:asciiTheme="majorBidi" w:hAnsiTheme="majorBidi" w:cstheme="majorBidi"/>
          <w:b/>
          <w:bCs/>
          <w:szCs w:val="24"/>
        </w:rPr>
        <w:t>ATAC-seq</w:t>
      </w:r>
    </w:p>
    <w:p w14:paraId="67A26AFF" w14:textId="77777777" w:rsidR="00B010B5" w:rsidRPr="00CB6744" w:rsidRDefault="00B010B5" w:rsidP="00B010B5">
      <w:pPr>
        <w:rPr>
          <w:rFonts w:asciiTheme="majorBidi" w:hAnsiTheme="majorBidi" w:cstheme="majorBidi"/>
          <w:szCs w:val="24"/>
        </w:rPr>
      </w:pPr>
      <w:r w:rsidRPr="00CB6744">
        <w:rPr>
          <w:rFonts w:asciiTheme="majorBidi" w:hAnsiTheme="majorBidi" w:cstheme="majorBidi"/>
          <w:szCs w:val="24"/>
        </w:rPr>
        <w:t>Prior to transposition reaction, nuclei were washed with TDX buffer (Illumina, FC-121-1030). Transposition was carried using 2.5 µl of Tn5 enzyme in a</w:t>
      </w:r>
      <w:r>
        <w:rPr>
          <w:rFonts w:asciiTheme="majorBidi" w:hAnsiTheme="majorBidi" w:cstheme="majorBidi"/>
          <w:szCs w:val="24"/>
        </w:rPr>
        <w:t xml:space="preserve"> 50 µl reaction and incubated at</w:t>
      </w:r>
      <w:r w:rsidRPr="00CB6744">
        <w:rPr>
          <w:rFonts w:asciiTheme="majorBidi" w:hAnsiTheme="majorBidi" w:cstheme="majorBidi"/>
          <w:szCs w:val="24"/>
        </w:rPr>
        <w:t xml:space="preserve"> 37°C</w:t>
      </w:r>
      <w:r>
        <w:rPr>
          <w:rFonts w:asciiTheme="majorBidi" w:hAnsiTheme="majorBidi" w:cstheme="majorBidi"/>
          <w:szCs w:val="24"/>
        </w:rPr>
        <w:t xml:space="preserve"> for 30 minutes</w:t>
      </w:r>
      <w:r w:rsidRPr="00CB6744">
        <w:rPr>
          <w:rFonts w:asciiTheme="majorBidi" w:hAnsiTheme="majorBidi" w:cstheme="majorBidi"/>
          <w:szCs w:val="24"/>
        </w:rPr>
        <w:t xml:space="preserve">. DNA was purified using an Expin CleanUp kit (GeneAll, #112-102) and amplified using NEBNext High-Fidelity 2X PCR Master Mix (New England Biolabs, M0541). After amplification libraries were size-selected by a gel-free double-sided size-selection using Agencourt AMPure XP beads (Beckman, 63881), at 0.5X and 1.2X, and quantified by Qubit HS DNA kit (Thermo </w:t>
      </w:r>
      <w:r>
        <w:rPr>
          <w:rFonts w:asciiTheme="majorBidi" w:hAnsiTheme="majorBidi" w:cstheme="majorBidi"/>
          <w:szCs w:val="24"/>
        </w:rPr>
        <w:t xml:space="preserve">Fisher </w:t>
      </w:r>
      <w:r w:rsidRPr="00CB6744">
        <w:rPr>
          <w:rFonts w:asciiTheme="majorBidi" w:hAnsiTheme="majorBidi" w:cstheme="majorBidi"/>
          <w:szCs w:val="24"/>
        </w:rPr>
        <w:t>Scientific, Waltham, MA, USA, Q32854).</w:t>
      </w:r>
    </w:p>
    <w:p w14:paraId="5CEF9B51" w14:textId="223B9EA1" w:rsidR="00B010B5" w:rsidRPr="00CB6744" w:rsidRDefault="00B010B5" w:rsidP="00B010B5">
      <w:pPr>
        <w:rPr>
          <w:rFonts w:asciiTheme="majorBidi" w:hAnsiTheme="majorBidi" w:cstheme="majorBidi"/>
        </w:rPr>
      </w:pPr>
      <w:r w:rsidRPr="00CB6744">
        <w:rPr>
          <w:rFonts w:asciiTheme="majorBidi" w:hAnsiTheme="majorBidi" w:cstheme="majorBidi"/>
          <w:szCs w:val="24"/>
        </w:rPr>
        <w:t xml:space="preserve">Quality of the ATAC-seq libraries was measured using the method we introduced </w:t>
      </w:r>
      <w:r w:rsidRPr="00CB6744">
        <w:rPr>
          <w:rFonts w:asciiTheme="majorBidi" w:hAnsiTheme="majorBidi" w:cstheme="majorBidi"/>
        </w:rPr>
        <w:t xml:space="preserve">previously </w:t>
      </w:r>
      <w:r w:rsidRPr="00CB6744">
        <w:rPr>
          <w:rFonts w:asciiTheme="majorBidi" w:hAnsiTheme="majorBidi" w:cstheme="majorBidi"/>
        </w:rPr>
        <w:fldChar w:fldCharType="begin" w:fldLock="1"/>
      </w:r>
      <w:r w:rsidR="00AB1145">
        <w:rPr>
          <w:rFonts w:asciiTheme="majorBidi" w:hAnsiTheme="majorBidi" w:cstheme="majorBidi"/>
        </w:rPr>
        <w:instrText>ADDIN CSL_CITATION {"citationItems":[{"id":"ITEM-1","itemData":{"DOI":"10.1186/s13007-018-0381-9","ISSN":"1746-4811","abstract":"There is a growing interest in the role of chromatin in acquiring and maintaining cell identity. Despite the ever-growing availability of genome-wide gene expression data, understanding how transcription programs are established and regulated to define cell identity remains a puzzle. An important mechanism of gene regulation is the binding of transcription factors (TFs) to specific DNA sequence motifs across the genome. However, these sequences are hindered by the packaging of DNA to chromatin. Thus, the accessibility of these loci for TF binding is highly regulated and determines where and when TFs bind. We present a workflow for measuring chromatin accessibility in Arabidopsis thaliana and define organ-specific regulatory sites and binding motifs of TFs at these sites. We coupled the recently described isolation of nuclei tagged in specific cell types (INTACT) and assay for transposase-accessible chromatin with high-throughput sequencing (ATAC-seq) as a genome-wide strategy to uncover accessible regulatory sites in Arabidopsis based on their accessibility to nuclease digestion. By applying this pipeline in Arabidopsis roots, we revealed 41,419 accessible sites, of which approximately half are found in gene promoters and contain the H3K4me3 active histone mark. The root-unique accessible sites from this group are enriched for root processes. Interestingly, most of the root-unique accessible sites are found in nongenic regions but are correlated with root-specific expression of distant genes. Importantly, these gene-distant sites are enriched for binding motifs of TFs important for root development as well as motifs for TFs that may play a role as novel transcriptional regulators in roots, suggesting that these accessible loci are functional novel gene-distant regulatory elements. By coupling INTACT with ATAC-seq methods, we present a feasible pipeline to profile accessible chromatin in plants. We also introduce a rapid measure of the experiment quality. We find that chromatin accessibility at promoter regions is strongly associated with transcription and active histone marks. However, root-specific chromatin accessibility is primarily found at intergenic regions, suggesting their predominance in defining organ identity possibly via long-range chromatin interactions. This workflow can be rapidly applied to study the regulatory landscape in other cell types, plant species and conditions.","author":[{"dropping-particle":"","family":"Tannenbaum","given":"Miriam","non-dropping-particle":"","parse-names":false,"suffix":""},{"dropping-particle":"","family":"Sarusi-Portuguez","given":"Avital","non-dropping-particle":"","parse-names":false,"suffix":""},{"dropping-particle":"","family":"Krispil","given":"Ronen","non-dropping-particle":"","parse-names":false,"suffix":""},{"dropping-particle":"","family":"Schwartz","given":"Michal","non-dropping-particle":"","parse-names":false,"suffix":""},{"dropping-particle":"","family":"Loza","given":"Olga","non-dropping-particle":"","parse-names":false,"suffix":""},{"dropping-particle":"","family":"Benichou","given":"Jennifer I. C.","non-dropping-particle":"","parse-names":false,"suffix":""},{"dropping-particle":"","family":"Mosquna","given":"Assaf","non-dropping-particle":"","parse-names":false,"suffix":""},{"dropping-particle":"","family":"Hakim","given":"Ofir","non-dropping-particle":"","parse-names":false,"suffix":""}],"container-title":"Plant Methods","id":"ITEM-1","issue":"1","issued":{"date-parts":[["2018","12","20"]]},"page":"113","publisher":"BioMed Central","title":"Regulatory chromatin landscape in Arabidopsis thaliana roots uncovered by coupling INTACT and ATAC-seq","type":"article-journal","volume":"14"},"uris":["http://www.mendeley.com/documents/?uuid=425b5224-6793-34ca-be52-d7bdf1761042"]}],"mendeley":{"formattedCitation":"[26]","plainTextFormattedCitation":"[26]","previouslyFormattedCitation":"[26]"},"properties":{"noteIndex":0},"schema":"https://github.com/citation-style-language/schema/raw/master/csl-citation.json"}</w:instrText>
      </w:r>
      <w:r w:rsidRPr="00CB6744">
        <w:rPr>
          <w:rFonts w:asciiTheme="majorBidi" w:hAnsiTheme="majorBidi" w:cstheme="majorBidi"/>
        </w:rPr>
        <w:fldChar w:fldCharType="separate"/>
      </w:r>
      <w:r w:rsidR="00AB1145" w:rsidRPr="00AB1145">
        <w:rPr>
          <w:rFonts w:asciiTheme="majorBidi" w:hAnsiTheme="majorBidi" w:cstheme="majorBidi"/>
          <w:noProof/>
        </w:rPr>
        <w:t>[26]</w:t>
      </w:r>
      <w:r w:rsidRPr="00CB6744">
        <w:rPr>
          <w:rFonts w:asciiTheme="majorBidi" w:hAnsiTheme="majorBidi" w:cstheme="majorBidi"/>
        </w:rPr>
        <w:fldChar w:fldCharType="end"/>
      </w:r>
      <w:r w:rsidRPr="00CB6744">
        <w:rPr>
          <w:rFonts w:asciiTheme="majorBidi" w:hAnsiTheme="majorBidi" w:cstheme="majorBidi"/>
        </w:rPr>
        <w:t xml:space="preserve">, of measuring relative amplification at loci expected to be constantly accessible or inaccessible. </w:t>
      </w:r>
      <w:r>
        <w:rPr>
          <w:rFonts w:asciiTheme="majorBidi" w:hAnsiTheme="majorBidi" w:cstheme="majorBidi"/>
        </w:rPr>
        <w:t xml:space="preserve">In addition to primers in the publication, additional two negative controls regions were used, with the following primers (5’ to 3’): </w:t>
      </w:r>
      <w:r w:rsidRPr="00744560">
        <w:rPr>
          <w:rFonts w:asciiTheme="majorBidi" w:hAnsiTheme="majorBidi" w:cstheme="majorBidi"/>
        </w:rPr>
        <w:t>TTTGCGGACGTGACTTGATTT</w:t>
      </w:r>
      <w:r>
        <w:rPr>
          <w:rFonts w:asciiTheme="majorBidi" w:hAnsiTheme="majorBidi" w:cstheme="majorBidi"/>
        </w:rPr>
        <w:t xml:space="preserve">, </w:t>
      </w:r>
      <w:r w:rsidRPr="00744560">
        <w:rPr>
          <w:rFonts w:asciiTheme="majorBidi" w:hAnsiTheme="majorBidi" w:cstheme="majorBidi"/>
        </w:rPr>
        <w:t>CGGTATAGACACACACAGCAAC</w:t>
      </w:r>
      <w:r>
        <w:rPr>
          <w:rFonts w:asciiTheme="majorBidi" w:hAnsiTheme="majorBidi" w:cstheme="majorBidi"/>
        </w:rPr>
        <w:t xml:space="preserve">, and additional two positive controls regions were used, with the following primers (5’ to 3’): </w:t>
      </w:r>
      <w:r w:rsidRPr="00744560">
        <w:rPr>
          <w:rFonts w:asciiTheme="majorBidi" w:hAnsiTheme="majorBidi" w:cstheme="majorBidi"/>
        </w:rPr>
        <w:t>GGGTATCTGAGAAAGCCCTGC</w:t>
      </w:r>
      <w:r>
        <w:rPr>
          <w:rFonts w:asciiTheme="majorBidi" w:hAnsiTheme="majorBidi" w:cstheme="majorBidi"/>
        </w:rPr>
        <w:t xml:space="preserve">, </w:t>
      </w:r>
      <w:r>
        <w:t>TGCCACGTGTCAAAGGCGTA.</w:t>
      </w:r>
    </w:p>
    <w:p w14:paraId="6F2654BB" w14:textId="3D7D4382" w:rsidR="00B010B5" w:rsidRPr="00CB6744" w:rsidRDefault="00B010B5" w:rsidP="00B010B5">
      <w:pPr>
        <w:rPr>
          <w:rFonts w:asciiTheme="majorBidi" w:hAnsiTheme="majorBidi" w:cstheme="majorBidi"/>
          <w:szCs w:val="24"/>
        </w:rPr>
      </w:pPr>
      <w:r>
        <w:rPr>
          <w:rFonts w:asciiTheme="majorBidi" w:hAnsiTheme="majorBidi" w:cstheme="majorBidi"/>
          <w:b/>
          <w:bCs/>
          <w:szCs w:val="24"/>
        </w:rPr>
        <w:t xml:space="preserve">2.6 </w:t>
      </w:r>
      <w:r w:rsidRPr="00CB6744">
        <w:rPr>
          <w:rFonts w:asciiTheme="majorBidi" w:hAnsiTheme="majorBidi" w:cstheme="majorBidi"/>
          <w:b/>
          <w:bCs/>
          <w:szCs w:val="24"/>
        </w:rPr>
        <w:t>ATAC-seq data analysis</w:t>
      </w:r>
    </w:p>
    <w:p w14:paraId="2C8D6FC3" w14:textId="08892E9C" w:rsidR="00B010B5" w:rsidRPr="00CB6744" w:rsidRDefault="00B010B5" w:rsidP="00B010B5">
      <w:pPr>
        <w:rPr>
          <w:rFonts w:asciiTheme="majorBidi" w:hAnsiTheme="majorBidi" w:cstheme="majorBidi"/>
        </w:rPr>
      </w:pPr>
      <w:r w:rsidRPr="00CB6744">
        <w:rPr>
          <w:rFonts w:asciiTheme="majorBidi" w:hAnsiTheme="majorBidi" w:cstheme="majorBidi"/>
          <w:szCs w:val="24"/>
        </w:rPr>
        <w:t xml:space="preserve">Reads from </w:t>
      </w:r>
      <w:r>
        <w:rPr>
          <w:rFonts w:asciiTheme="majorBidi" w:hAnsiTheme="majorBidi" w:cstheme="majorBidi"/>
          <w:szCs w:val="24"/>
        </w:rPr>
        <w:t xml:space="preserve">two repeats of </w:t>
      </w:r>
      <w:r w:rsidRPr="00CB6744">
        <w:rPr>
          <w:rFonts w:asciiTheme="majorBidi" w:hAnsiTheme="majorBidi" w:cstheme="majorBidi"/>
          <w:szCs w:val="24"/>
        </w:rPr>
        <w:t xml:space="preserve">ATAC-seq data were aligned to the </w:t>
      </w:r>
      <w:r w:rsidRPr="00CB6744">
        <w:rPr>
          <w:rFonts w:asciiTheme="majorBidi" w:hAnsiTheme="majorBidi" w:cstheme="majorBidi"/>
        </w:rPr>
        <w:t xml:space="preserve">TAIR10 </w:t>
      </w:r>
      <w:r w:rsidRPr="00CB6744">
        <w:rPr>
          <w:rFonts w:asciiTheme="majorBidi" w:hAnsiTheme="majorBidi" w:cstheme="majorBidi"/>
          <w:i/>
          <w:iCs/>
        </w:rPr>
        <w:t>Arabidopsis thaliana</w:t>
      </w:r>
      <w:r w:rsidRPr="00CB6744">
        <w:rPr>
          <w:rFonts w:asciiTheme="majorBidi" w:hAnsiTheme="majorBidi" w:cstheme="majorBidi"/>
        </w:rPr>
        <w:t xml:space="preserve"> genome using bowtie2 </w:t>
      </w:r>
      <w:r w:rsidRPr="00CB6744">
        <w:rPr>
          <w:rFonts w:asciiTheme="majorBidi" w:hAnsiTheme="majorBidi" w:cstheme="majorBidi"/>
        </w:rPr>
        <w:fldChar w:fldCharType="begin" w:fldLock="1"/>
      </w:r>
      <w:r w:rsidR="00AB1145">
        <w:rPr>
          <w:rFonts w:asciiTheme="majorBidi" w:hAnsiTheme="majorBidi" w:cstheme="majorBidi"/>
        </w:rPr>
        <w:instrText>ADDIN CSL_CITATION {"citationItems":[{"id":"ITEM-1","itemData":{"DOI":"10.1038/nmeth.1923","ISSN":"1548-7105","PMID":"22388286","abstract":"As the rate of sequencing increases, greater throughput is demanded from read aligners. The full-text minute index is often used to make alignment very fast and memory-efficient, but the approach is ill-suited to finding longer, gapped alignments. Bowtie 2 combines the strengths of the full-text minute index with the flexibility and speed of hardware-accelerated dynamic programming algorithms to achieve a combination of high speed, sensitivity and accuracy.","author":[{"dropping-particle":"","family":"Langmead","given":"Ben","non-dropping-particle":"","parse-names":false,"suffix":""},{"dropping-particle":"","family":"Salzberg","given":"Steven L","non-dropping-particle":"","parse-names":false,"suffix":""}],"container-title":"Nature methods","id":"ITEM-1","issue":"4","issued":{"date-parts":[["2012","3","4"]]},"page":"357-9","title":"Fast gapped-read alignment with Bowtie 2.","type":"article-journal","volume":"9"},"uris":["http://www.mendeley.com/documents/?uuid=7d9a3fd8-d9d7-4ecc-a9e8-d9593ffd6512"]}],"mendeley":{"formattedCitation":"[29]","plainTextFormattedCitation":"[29]","previouslyFormattedCitation":"[29]"},"properties":{"noteIndex":0},"schema":"https://github.com/citation-style-language/schema/raw/master/csl-citation.json"}</w:instrText>
      </w:r>
      <w:r w:rsidRPr="00CB6744">
        <w:rPr>
          <w:rFonts w:asciiTheme="majorBidi" w:hAnsiTheme="majorBidi" w:cstheme="majorBidi"/>
        </w:rPr>
        <w:fldChar w:fldCharType="separate"/>
      </w:r>
      <w:r w:rsidR="00AB1145" w:rsidRPr="00AB1145">
        <w:rPr>
          <w:rFonts w:asciiTheme="majorBidi" w:hAnsiTheme="majorBidi" w:cstheme="majorBidi"/>
          <w:noProof/>
        </w:rPr>
        <w:t>[29]</w:t>
      </w:r>
      <w:r w:rsidRPr="00CB6744">
        <w:rPr>
          <w:rFonts w:asciiTheme="majorBidi" w:hAnsiTheme="majorBidi" w:cstheme="majorBidi"/>
        </w:rPr>
        <w:fldChar w:fldCharType="end"/>
      </w:r>
      <w:r w:rsidRPr="00CB6744">
        <w:rPr>
          <w:rFonts w:asciiTheme="majorBidi" w:hAnsiTheme="majorBidi" w:cstheme="majorBidi"/>
        </w:rPr>
        <w:t xml:space="preserve">, keeping only uniquely mapped reads. PCR duplicates were removed using rmdup. Peaks were called by applying MACS2 with the following parameters: -g 135000000–nomodel–extsize 143. Number of reads in each repeat in each peak were used as input for DEseq2 to measure differentially accessible loci. Accessibility heat maps </w:t>
      </w:r>
      <w:r>
        <w:rPr>
          <w:rFonts w:asciiTheme="majorBidi" w:hAnsiTheme="majorBidi" w:cstheme="majorBidi"/>
        </w:rPr>
        <w:t xml:space="preserve">and profiles </w:t>
      </w:r>
      <w:r w:rsidRPr="00CB6744">
        <w:rPr>
          <w:rFonts w:asciiTheme="majorBidi" w:hAnsiTheme="majorBidi" w:cstheme="majorBidi"/>
        </w:rPr>
        <w:t xml:space="preserve">were generated with deepTools2 </w:t>
      </w:r>
      <w:r w:rsidRPr="00CB6744">
        <w:rPr>
          <w:rFonts w:asciiTheme="majorBidi" w:hAnsiTheme="majorBidi" w:cstheme="majorBidi"/>
        </w:rPr>
        <w:fldChar w:fldCharType="begin" w:fldLock="1"/>
      </w:r>
      <w:r w:rsidR="00AB1145">
        <w:rPr>
          <w:rFonts w:asciiTheme="majorBidi" w:hAnsiTheme="majorBidi" w:cstheme="majorBidi"/>
        </w:rPr>
        <w:instrText>ADDIN CSL_CITATION {"citationItems":[{"id":"ITEM-1","itemData":{"DOI":"10.1093/nar/gkw257","ISSN":"0305-1048","PMID":"27079975","abstract":"We present an update to our Galaxy-based web server for processing and visualizing deeply sequenced data. Its core tool set, deepTools, allows users to perform complete bioinformatic workflows ranging from quality controls and normalizations of aligned reads to integrative analyses, including clustering and visualization approaches. Since we first described our deepTools Galaxy server in 2014, we have implemented new solutions for many requests from the community and our users. Here, we introduce significant enhancements and new tools to further improve data visualization and interpretation. deepTools continue to be open to all users and freely available as a web service at deeptools.ie-freiburg.mpg.de The new deepTools2 suite can be easily deployed within any Galaxy framework via the toolshed repository, and we also provide source code for command line usage under Linux and Mac OS X. A public and documented API for access to deepTools functionality is also available.","author":[{"dropping-particle":"","family":"Ramírez","given":"Fidel","non-dropping-particle":"","parse-names":false,"suffix":""},{"dropping-particle":"","family":"Ryan","given":"Devon P","non-dropping-particle":"","parse-names":false,"suffix":""},{"dropping-particle":"","family":"Grüning","given":"Björn","non-dropping-particle":"","parse-names":false,"suffix":""},{"dropping-particle":"","family":"Bhardwaj","given":"Vivek","non-dropping-particle":"","parse-names":false,"suffix":""},{"dropping-particle":"","family":"Kilpert","given":"Fabian","non-dropping-particle":"","parse-names":false,"suffix":""},{"dropping-particle":"","family":"Richter","given":"Andreas S","non-dropping-particle":"","parse-names":false,"suffix":""},{"dropping-particle":"","family":"Heyne","given":"Steffen","non-dropping-particle":"","parse-names":false,"suffix":""},{"dropping-particle":"","family":"Dündar","given":"Friederike","non-dropping-particle":"","parse-names":false,"suffix":""},{"dropping-particle":"","family":"Manke","given":"Thomas","non-dropping-particle":"","parse-names":false,"suffix":""}],"container-title":"Nucleic Acids Research","id":"ITEM-1","issue":"W1","issued":{"date-parts":[["2016","7","8"]]},"page":"W160-W165","title":"deepTools2: a next generation web server for deep-sequencing data analysis","type":"article-journal","volume":"44"},"uris":["http://www.mendeley.com/documents/?uuid=90f1fb18-f3f7-475b-9c1c-47b8fb5edca4"]}],"mendeley":{"formattedCitation":"[30]","plainTextFormattedCitation":"[30]","previouslyFormattedCitation":"[30]"},"properties":{"noteIndex":0},"schema":"https://github.com/citation-style-language/schema/raw/master/csl-citation.json"}</w:instrText>
      </w:r>
      <w:r w:rsidRPr="00CB6744">
        <w:rPr>
          <w:rFonts w:asciiTheme="majorBidi" w:hAnsiTheme="majorBidi" w:cstheme="majorBidi"/>
        </w:rPr>
        <w:fldChar w:fldCharType="separate"/>
      </w:r>
      <w:r w:rsidR="00AB1145" w:rsidRPr="00AB1145">
        <w:rPr>
          <w:rFonts w:asciiTheme="majorBidi" w:hAnsiTheme="majorBidi" w:cstheme="majorBidi"/>
          <w:noProof/>
        </w:rPr>
        <w:t>[30]</w:t>
      </w:r>
      <w:r w:rsidRPr="00CB6744">
        <w:rPr>
          <w:rFonts w:asciiTheme="majorBidi" w:hAnsiTheme="majorBidi" w:cstheme="majorBidi"/>
        </w:rPr>
        <w:fldChar w:fldCharType="end"/>
      </w:r>
      <w:r w:rsidRPr="00CB6744">
        <w:rPr>
          <w:rFonts w:asciiTheme="majorBidi" w:hAnsiTheme="majorBidi" w:cstheme="majorBidi"/>
        </w:rPr>
        <w:t>.</w:t>
      </w:r>
    </w:p>
    <w:p w14:paraId="49055FFC" w14:textId="0073FF8D" w:rsidR="00B010B5" w:rsidRPr="00A30EC5" w:rsidRDefault="00B010B5" w:rsidP="00B010B5">
      <w:pPr>
        <w:rPr>
          <w:rFonts w:asciiTheme="majorBidi" w:hAnsiTheme="majorBidi" w:cstheme="majorBidi"/>
          <w:b/>
          <w:bCs/>
          <w:szCs w:val="24"/>
        </w:rPr>
      </w:pPr>
      <w:r>
        <w:rPr>
          <w:rFonts w:asciiTheme="majorBidi" w:hAnsiTheme="majorBidi" w:cstheme="majorBidi"/>
          <w:b/>
          <w:bCs/>
          <w:szCs w:val="24"/>
        </w:rPr>
        <w:lastRenderedPageBreak/>
        <w:t xml:space="preserve">2.7 </w:t>
      </w:r>
      <w:r w:rsidRPr="00A30EC5">
        <w:rPr>
          <w:rFonts w:asciiTheme="majorBidi" w:hAnsiTheme="majorBidi" w:cstheme="majorBidi"/>
          <w:b/>
          <w:bCs/>
          <w:szCs w:val="24"/>
        </w:rPr>
        <w:t xml:space="preserve">BS-Seq </w:t>
      </w:r>
      <w:r>
        <w:rPr>
          <w:rFonts w:asciiTheme="majorBidi" w:hAnsiTheme="majorBidi" w:cstheme="majorBidi"/>
          <w:b/>
          <w:bCs/>
          <w:szCs w:val="24"/>
        </w:rPr>
        <w:t>d</w:t>
      </w:r>
      <w:r w:rsidRPr="00A30EC5">
        <w:rPr>
          <w:rFonts w:asciiTheme="majorBidi" w:hAnsiTheme="majorBidi" w:cstheme="majorBidi"/>
          <w:b/>
          <w:bCs/>
          <w:szCs w:val="24"/>
        </w:rPr>
        <w:t xml:space="preserve">ata </w:t>
      </w:r>
      <w:r>
        <w:rPr>
          <w:rFonts w:asciiTheme="majorBidi" w:hAnsiTheme="majorBidi" w:cstheme="majorBidi"/>
          <w:b/>
          <w:bCs/>
          <w:szCs w:val="24"/>
        </w:rPr>
        <w:t>a</w:t>
      </w:r>
      <w:r w:rsidRPr="00A30EC5">
        <w:rPr>
          <w:rFonts w:asciiTheme="majorBidi" w:hAnsiTheme="majorBidi" w:cstheme="majorBidi"/>
          <w:b/>
          <w:bCs/>
          <w:szCs w:val="24"/>
        </w:rPr>
        <w:t>nalysis</w:t>
      </w:r>
    </w:p>
    <w:p w14:paraId="6E401FB6" w14:textId="11104A9D" w:rsidR="00B010B5" w:rsidRPr="004A230D" w:rsidRDefault="00B010B5" w:rsidP="00B010B5">
      <w:pPr>
        <w:rPr>
          <w:rFonts w:asciiTheme="majorBidi" w:hAnsiTheme="majorBidi" w:cstheme="majorBidi"/>
        </w:rPr>
      </w:pPr>
      <w:r>
        <w:rPr>
          <w:rFonts w:asciiTheme="majorBidi" w:hAnsiTheme="majorBidi" w:cstheme="majorBidi"/>
        </w:rPr>
        <w:t xml:space="preserve">Wig files of methylation data from </w:t>
      </w:r>
      <w:r w:rsidRPr="006B264A">
        <w:rPr>
          <w:rFonts w:asciiTheme="majorBidi" w:hAnsiTheme="majorBidi" w:cstheme="majorBidi"/>
        </w:rPr>
        <w:t>GSE39901</w:t>
      </w:r>
      <w:r>
        <w:rPr>
          <w:rFonts w:asciiTheme="majorBidi" w:hAnsiTheme="majorBidi" w:cstheme="majorBidi"/>
        </w:rPr>
        <w:t xml:space="preserve"> of WT plants were downloaded.</w:t>
      </w:r>
      <w:r w:rsidRPr="004A230D">
        <w:rPr>
          <w:rFonts w:asciiTheme="majorBidi" w:hAnsiTheme="majorBidi" w:cstheme="majorBidi"/>
        </w:rPr>
        <w:t xml:space="preserve"> </w:t>
      </w:r>
      <w:r>
        <w:rPr>
          <w:rFonts w:asciiTheme="majorBidi" w:hAnsiTheme="majorBidi" w:cstheme="majorBidi"/>
        </w:rPr>
        <w:t xml:space="preserve">Values were transformed to absolute, and plots were created with deepTools </w:t>
      </w:r>
      <w:r>
        <w:rPr>
          <w:rFonts w:asciiTheme="majorBidi" w:hAnsiTheme="majorBidi" w:cstheme="majorBidi"/>
        </w:rPr>
        <w:fldChar w:fldCharType="begin" w:fldLock="1"/>
      </w:r>
      <w:r w:rsidR="00AB1145">
        <w:rPr>
          <w:rFonts w:asciiTheme="majorBidi" w:hAnsiTheme="majorBidi" w:cstheme="majorBidi"/>
        </w:rPr>
        <w:instrText>ADDIN CSL_CITATION {"citationItems":[{"id":"ITEM-1","itemData":{"DOI":"10.1093/nar/gkw257","ISSN":"0305-1048","PMID":"27079975","abstract":"We present an update to our Galaxy-based web server for processing and visualizing deeply sequenced data. Its core tool set, deepTools, allows users to perform complete bioinformatic workflows ranging from quality controls and normalizations of aligned reads to integrative analyses, including clustering and visualization approaches. Since we first described our deepTools Galaxy server in 2014, we have implemented new solutions for many requests from the community and our users. Here, we introduce significant enhancements and new tools to further improve data visualization and interpretation. deepTools continue to be open to all users and freely available as a web service at deeptools.ie-freiburg.mpg.de The new deepTools2 suite can be easily deployed within any Galaxy framework via the toolshed repository, and we also provide source code for command line usage under Linux and Mac OS X. A public and documented API for access to deepTools functionality is also available.","author":[{"dropping-particle":"","family":"Ramírez","given":"Fidel","non-dropping-particle":"","parse-names":false,"suffix":""},{"dropping-particle":"","family":"Ryan","given":"Devon P","non-dropping-particle":"","parse-names":false,"suffix":""},{"dropping-particle":"","family":"Grüning","given":"Björn","non-dropping-particle":"","parse-names":false,"suffix":""},{"dropping-particle":"","family":"Bhardwaj","given":"Vivek","non-dropping-particle":"","parse-names":false,"suffix":""},{"dropping-particle":"","family":"Kilpert","given":"Fabian","non-dropping-particle":"","parse-names":false,"suffix":""},{"dropping-particle":"","family":"Richter","given":"Andreas S","non-dropping-particle":"","parse-names":false,"suffix":""},{"dropping-particle":"","family":"Heyne","given":"Steffen","non-dropping-particle":"","parse-names":false,"suffix":""},{"dropping-particle":"","family":"Dündar","given":"Friederike","non-dropping-particle":"","parse-names":false,"suffix":""},{"dropping-particle":"","family":"Manke","given":"Thomas","non-dropping-particle":"","parse-names":false,"suffix":""}],"container-title":"Nucleic Acids Research","id":"ITEM-1","issue":"W1","issued":{"date-parts":[["2016","7","8"]]},"page":"W160-W165","title":"deepTools2: a next generation web server for deep-sequencing data analysis","type":"article-journal","volume":"44"},"uris":["http://www.mendeley.com/documents/?uuid=90f1fb18-f3f7-475b-9c1c-47b8fb5edca4"]}],"mendeley":{"formattedCitation":"[30]","plainTextFormattedCitation":"[30]","previouslyFormattedCitation":"[30]"},"properties":{"noteIndex":0},"schema":"https://github.com/citation-style-language/schema/raw/master/csl-citation.json"}</w:instrText>
      </w:r>
      <w:r>
        <w:rPr>
          <w:rFonts w:asciiTheme="majorBidi" w:hAnsiTheme="majorBidi" w:cstheme="majorBidi"/>
        </w:rPr>
        <w:fldChar w:fldCharType="separate"/>
      </w:r>
      <w:r w:rsidR="00AB1145" w:rsidRPr="00AB1145">
        <w:rPr>
          <w:rFonts w:asciiTheme="majorBidi" w:hAnsiTheme="majorBidi" w:cstheme="majorBidi"/>
          <w:noProof/>
        </w:rPr>
        <w:t>[30]</w:t>
      </w:r>
      <w:r>
        <w:rPr>
          <w:rFonts w:asciiTheme="majorBidi" w:hAnsiTheme="majorBidi" w:cstheme="majorBidi"/>
        </w:rPr>
        <w:fldChar w:fldCharType="end"/>
      </w:r>
      <w:r>
        <w:rPr>
          <w:rFonts w:asciiTheme="majorBidi" w:hAnsiTheme="majorBidi" w:cstheme="majorBidi"/>
        </w:rPr>
        <w:t>.</w:t>
      </w:r>
    </w:p>
    <w:p w14:paraId="2D0D68CD" w14:textId="009C6737" w:rsidR="00B010B5" w:rsidRPr="00CB6744" w:rsidRDefault="00B010B5" w:rsidP="00B010B5">
      <w:pPr>
        <w:rPr>
          <w:rFonts w:asciiTheme="majorBidi" w:hAnsiTheme="majorBidi" w:cstheme="majorBidi"/>
          <w:b/>
          <w:bCs/>
          <w:szCs w:val="24"/>
        </w:rPr>
      </w:pPr>
      <w:r>
        <w:rPr>
          <w:rFonts w:asciiTheme="majorBidi" w:hAnsiTheme="majorBidi" w:cstheme="majorBidi"/>
          <w:b/>
          <w:bCs/>
          <w:szCs w:val="24"/>
        </w:rPr>
        <w:t xml:space="preserve">2.8 </w:t>
      </w:r>
      <w:r w:rsidRPr="00CB6744">
        <w:rPr>
          <w:rFonts w:asciiTheme="majorBidi" w:hAnsiTheme="majorBidi" w:cstheme="majorBidi"/>
          <w:b/>
          <w:bCs/>
          <w:szCs w:val="24"/>
        </w:rPr>
        <w:t xml:space="preserve">4C-seq </w:t>
      </w:r>
    </w:p>
    <w:p w14:paraId="767A58A9" w14:textId="31773658" w:rsidR="00B010B5" w:rsidRPr="00CB6744" w:rsidRDefault="00B010B5" w:rsidP="00B010B5">
      <w:pPr>
        <w:rPr>
          <w:rFonts w:asciiTheme="majorBidi" w:hAnsiTheme="majorBidi" w:cstheme="majorBidi"/>
          <w:szCs w:val="24"/>
        </w:rPr>
      </w:pPr>
      <w:r w:rsidRPr="00CB6744">
        <w:rPr>
          <w:rFonts w:asciiTheme="majorBidi" w:hAnsiTheme="majorBidi" w:cstheme="majorBidi"/>
          <w:szCs w:val="24"/>
        </w:rPr>
        <w:t xml:space="preserve">4C-seq was performed as described before </w:t>
      </w:r>
      <w:r w:rsidRPr="00CB6744">
        <w:rPr>
          <w:rFonts w:asciiTheme="majorBidi" w:hAnsiTheme="majorBidi" w:cstheme="majorBidi"/>
          <w:szCs w:val="24"/>
        </w:rPr>
        <w:fldChar w:fldCharType="begin" w:fldLock="1"/>
      </w:r>
      <w:r w:rsidR="00AB1145">
        <w:rPr>
          <w:rFonts w:asciiTheme="majorBidi" w:hAnsiTheme="majorBidi" w:cstheme="majorBidi"/>
          <w:szCs w:val="24"/>
        </w:rPr>
        <w:instrText>ADDIN CSL_CITATION {"citationItems":[{"id":"ITEM-1","itemData":{"DOI":"10.3390/ijms21072373","ISSN":"1422-0067","abstract":"&lt;p&gt;The integration of T-DNA in plant genomes is widely used for basic research and agriculture. The high heterogeneity in the number of integration events per genome, their configuration, and their impact on genome integrity highlight the critical need to detect the genomic locations of T-DNA insertions and their associated chromosomal rearrangements, and the great challenge in doing so. Here, we present 4SEE, a circular chromosome conformation capture (4C)-based method for robust, rapid, and cost-efficient detection of the entire scope of T-DNA locations. Moreover, by measuring the chromosomal architecture of the plant genome flanking the T-DNA insertions, 4SEE outlines their associated complex chromosomal aberrations. Applying 4SEE to a collection of confirmed T-DNA lines revealed previously unmapped T-DNA insertions and chromosomal rearrangements such as inversions and translocations. Uncovering such events in a feasible, robust, and cost-effective manner by 4SEE in any plant of interest has implications for accurate annotation and phenotypic characterization of T-DNA insertion mutants and transgene expression in basic science applications as well as for plant biotechnology.&lt;/p&gt;","author":[{"dropping-particle":"","family":"Krispil","given":"Ronen","non-dropping-particle":"","parse-names":false,"suffix":""},{"dropping-particle":"","family":"Tannenbaum","given":"Miriam","non-dropping-particle":"","parse-names":false,"suffix":""},{"dropping-particle":"","family":"Sarusi-Portuguez","given":"Avital","non-dropping-particle":"","parse-names":false,"suffix":""},{"dropping-particle":"","family":"Loza","given":"Olga","non-dropping-particle":"","parse-names":false,"suffix":""},{"dropping-particle":"","family":"Raskina","given":"Olga","non-dropping-particle":"","parse-names":false,"suffix":""},{"dropping-particle":"","family":"Hakim","given":"Ofir","non-dropping-particle":"","parse-names":false,"suffix":""}],"container-title":"International Journal of Molecular Sciences","id":"ITEM-1","issue":"7","issued":{"date-parts":[["2020","3","30"]]},"page":"2373","publisher":"Multidisciplinary Digital Publishing Institute","title":"The Position and Complex Genomic Architecture of Plant T-DNA Insertions Revealed by 4SEE","type":"article-journal","volume":"21"},"uris":["http://www.mendeley.com/documents/?uuid=92d8e96d-ec14-3608-a5e1-3de202b35745"]}],"mendeley":{"formattedCitation":"[31]","plainTextFormattedCitation":"[31]","previouslyFormattedCitation":"[31]"},"properties":{"noteIndex":0},"schema":"https://github.com/citation-style-language/schema/raw/master/csl-citation.json"}</w:instrText>
      </w:r>
      <w:r w:rsidRPr="00CB6744">
        <w:rPr>
          <w:rFonts w:asciiTheme="majorBidi" w:hAnsiTheme="majorBidi" w:cstheme="majorBidi"/>
          <w:szCs w:val="24"/>
        </w:rPr>
        <w:fldChar w:fldCharType="separate"/>
      </w:r>
      <w:r w:rsidR="00AB1145" w:rsidRPr="00AB1145">
        <w:rPr>
          <w:rFonts w:asciiTheme="majorBidi" w:hAnsiTheme="majorBidi" w:cstheme="majorBidi"/>
          <w:noProof/>
          <w:szCs w:val="24"/>
        </w:rPr>
        <w:t>[31]</w:t>
      </w:r>
      <w:r w:rsidRPr="00CB6744">
        <w:rPr>
          <w:rFonts w:asciiTheme="majorBidi" w:hAnsiTheme="majorBidi" w:cstheme="majorBidi"/>
          <w:szCs w:val="24"/>
        </w:rPr>
        <w:fldChar w:fldCharType="end"/>
      </w:r>
      <w:r w:rsidRPr="00CB6744">
        <w:rPr>
          <w:rFonts w:asciiTheme="majorBidi" w:hAnsiTheme="majorBidi" w:cstheme="majorBidi"/>
          <w:szCs w:val="24"/>
        </w:rPr>
        <w:t xml:space="preserve">. Nuclei were fixed using 1% formaldehyde for 10 minutes at room temperature, which was quenched with 125 mM glycine for five minutes. The cross-linked nuclei were washed twice with Csp6I RE buffer and resuspended in the same buffer (Thermo Scientific, Waltham, MA, USA, #ER0211). The samples were incubated with 0.3% SDS (V/V) for 35 minutes at 65°C, and then 1.8% Triton X-100 was added and the samples were transferred to 37°C for 1 hour. Next, they were digested overnight with 100 units of Csp6I (Thermo Scientific, Waltham, MA, USA, #ER0211) at 37°C. The next day the RE was inactivated by incubating at 65°C for 25 minutes. Ligation reaction was performed in 0.4 mL of 1X ligase buffer with 25 units of T4 ligase (Roche, Rotkreuz, Switzerland, #EL0011) and incubated overnight at 4 °C. To reverse cross-links, samples were treated with proteinase K (Invitrogen, Waltham, MA, USA, #25530049) for 4 hours at 65°C followed by RNAse (Thermo Scientific, Waltham, MA, USA, #EN0551) for 45 min at 37°C. DNA was purified with phenol–chloroform followed by ethanol precipitation, and the resulting DNA was resuspended in TE buffer. Generation of circular products was achieved by adding 100 units of DPNII (NEB, Ipswich, MA, USA, #R0543T) and incubating overnight at 37°C, followed by ligation before, phenol–chloroform extraction of the DNA and ethanol precipitation. The DNA was further cleaned using an Expin CleanUp kit (GeneAll, Seoul, South Korea, #112-102), and amplified </w:t>
      </w:r>
      <w:r>
        <w:rPr>
          <w:rFonts w:asciiTheme="majorBidi" w:hAnsiTheme="majorBidi" w:cstheme="majorBidi"/>
          <w:szCs w:val="24"/>
        </w:rPr>
        <w:t>with</w:t>
      </w:r>
      <w:r w:rsidRPr="00CB6744">
        <w:rPr>
          <w:rFonts w:asciiTheme="majorBidi" w:hAnsiTheme="majorBidi" w:cstheme="majorBidi"/>
          <w:szCs w:val="24"/>
        </w:rPr>
        <w:t xml:space="preserve"> Phusion hot-start high-fidelity Taq (Thermo Scientific, Waltham, MA, USA, #F-549)</w:t>
      </w:r>
      <w:r>
        <w:rPr>
          <w:rFonts w:asciiTheme="majorBidi" w:hAnsiTheme="majorBidi" w:cstheme="majorBidi"/>
          <w:szCs w:val="24"/>
        </w:rPr>
        <w:t xml:space="preserve"> </w:t>
      </w:r>
      <w:r w:rsidRPr="00CB6744">
        <w:rPr>
          <w:rFonts w:asciiTheme="majorBidi" w:hAnsiTheme="majorBidi" w:cstheme="majorBidi"/>
          <w:szCs w:val="24"/>
        </w:rPr>
        <w:t xml:space="preserve">by inverse PCR with </w:t>
      </w:r>
      <w:r>
        <w:rPr>
          <w:rFonts w:asciiTheme="majorBidi" w:hAnsiTheme="majorBidi" w:cstheme="majorBidi"/>
          <w:szCs w:val="24"/>
        </w:rPr>
        <w:t xml:space="preserve">the following </w:t>
      </w:r>
      <w:r w:rsidRPr="00CB6744">
        <w:rPr>
          <w:rFonts w:asciiTheme="majorBidi" w:hAnsiTheme="majorBidi" w:cstheme="majorBidi"/>
          <w:szCs w:val="24"/>
        </w:rPr>
        <w:t xml:space="preserve">viewpoint </w:t>
      </w:r>
      <w:r w:rsidRPr="00CB6744">
        <w:rPr>
          <w:rFonts w:asciiTheme="majorBidi" w:hAnsiTheme="majorBidi" w:cstheme="majorBidi"/>
          <w:szCs w:val="24"/>
        </w:rPr>
        <w:lastRenderedPageBreak/>
        <w:t xml:space="preserve">primers </w:t>
      </w:r>
      <w:r>
        <w:rPr>
          <w:rFonts w:asciiTheme="majorBidi" w:hAnsiTheme="majorBidi" w:cstheme="majorBidi"/>
          <w:szCs w:val="24"/>
        </w:rPr>
        <w:t>in a multiplex reaction (all 5’ to 3’):</w:t>
      </w:r>
      <w:r w:rsidRPr="00CB6744">
        <w:rPr>
          <w:rFonts w:asciiTheme="majorBidi" w:hAnsiTheme="majorBidi" w:cstheme="majorBidi"/>
          <w:szCs w:val="24"/>
        </w:rPr>
        <w:t xml:space="preserve"> </w:t>
      </w:r>
      <w:r w:rsidRPr="00C75CAA">
        <w:rPr>
          <w:rFonts w:asciiTheme="majorBidi" w:hAnsiTheme="majorBidi" w:cstheme="majorBidi"/>
          <w:szCs w:val="24"/>
        </w:rPr>
        <w:t>TGGAACACCTTTTCGAAAGCTC</w:t>
      </w:r>
      <w:r>
        <w:rPr>
          <w:rFonts w:asciiTheme="majorBidi" w:hAnsiTheme="majorBidi" w:cstheme="majorBidi"/>
          <w:szCs w:val="24"/>
        </w:rPr>
        <w:t xml:space="preserve">, </w:t>
      </w:r>
      <w:r w:rsidRPr="00C75CAA">
        <w:rPr>
          <w:rFonts w:asciiTheme="majorBidi" w:hAnsiTheme="majorBidi" w:cstheme="majorBidi"/>
          <w:szCs w:val="24"/>
        </w:rPr>
        <w:t>TGGTTAGGCTTGCTAGTGGG</w:t>
      </w:r>
      <w:r>
        <w:rPr>
          <w:rFonts w:asciiTheme="majorBidi" w:hAnsiTheme="majorBidi" w:cstheme="majorBidi"/>
          <w:szCs w:val="24"/>
        </w:rPr>
        <w:t xml:space="preserve">, </w:t>
      </w:r>
      <w:r w:rsidRPr="00C75CAA">
        <w:rPr>
          <w:rFonts w:asciiTheme="majorBidi" w:hAnsiTheme="majorBidi" w:cstheme="majorBidi"/>
          <w:szCs w:val="24"/>
        </w:rPr>
        <w:t>GATTATTTTCGTTGAGTTTGCCG</w:t>
      </w:r>
      <w:r>
        <w:rPr>
          <w:rFonts w:asciiTheme="majorBidi" w:hAnsiTheme="majorBidi" w:cstheme="majorBidi"/>
          <w:szCs w:val="24"/>
        </w:rPr>
        <w:t xml:space="preserve">, </w:t>
      </w:r>
      <w:r w:rsidRPr="00C75CAA">
        <w:rPr>
          <w:rFonts w:asciiTheme="majorBidi" w:hAnsiTheme="majorBidi" w:cstheme="majorBidi"/>
          <w:szCs w:val="24"/>
        </w:rPr>
        <w:t>CCATTACAAAATTAGGGTTTTGAG</w:t>
      </w:r>
      <w:r>
        <w:rPr>
          <w:rFonts w:asciiTheme="majorBidi" w:hAnsiTheme="majorBidi" w:cstheme="majorBidi"/>
          <w:szCs w:val="24"/>
        </w:rPr>
        <w:t>. The</w:t>
      </w:r>
      <w:r w:rsidRPr="00CB6744">
        <w:rPr>
          <w:rFonts w:asciiTheme="majorBidi" w:hAnsiTheme="majorBidi" w:cstheme="majorBidi"/>
          <w:szCs w:val="24"/>
        </w:rPr>
        <w:t xml:space="preserve"> products were purified using Expin columns. 4C-seq libraries were sequenced on Illumina </w:t>
      </w:r>
      <w:r>
        <w:rPr>
          <w:rFonts w:asciiTheme="majorBidi" w:hAnsiTheme="majorBidi" w:cstheme="majorBidi"/>
          <w:szCs w:val="24"/>
        </w:rPr>
        <w:t>NextSeq 550</w:t>
      </w:r>
      <w:r w:rsidRPr="00CB6744">
        <w:rPr>
          <w:rFonts w:asciiTheme="majorBidi" w:hAnsiTheme="majorBidi" w:cstheme="majorBidi"/>
          <w:szCs w:val="24"/>
        </w:rPr>
        <w:t xml:space="preserve"> platform.</w:t>
      </w:r>
    </w:p>
    <w:p w14:paraId="4EA84394" w14:textId="08577569" w:rsidR="00B010B5" w:rsidRPr="00CB6744" w:rsidRDefault="00B010B5" w:rsidP="00B010B5">
      <w:pPr>
        <w:rPr>
          <w:rFonts w:asciiTheme="majorBidi" w:hAnsiTheme="majorBidi" w:cstheme="majorBidi"/>
          <w:b/>
          <w:bCs/>
          <w:szCs w:val="24"/>
        </w:rPr>
      </w:pPr>
      <w:r>
        <w:rPr>
          <w:rFonts w:asciiTheme="majorBidi" w:hAnsiTheme="majorBidi" w:cstheme="majorBidi"/>
          <w:b/>
          <w:bCs/>
          <w:szCs w:val="24"/>
        </w:rPr>
        <w:t xml:space="preserve">2.9 </w:t>
      </w:r>
      <w:r w:rsidRPr="00CB6744">
        <w:rPr>
          <w:rFonts w:asciiTheme="majorBidi" w:hAnsiTheme="majorBidi" w:cstheme="majorBidi"/>
          <w:b/>
          <w:bCs/>
          <w:szCs w:val="24"/>
        </w:rPr>
        <w:t>4C-seq data analysis</w:t>
      </w:r>
    </w:p>
    <w:p w14:paraId="28356C18" w14:textId="2B076BCC" w:rsidR="00B010B5" w:rsidRDefault="00B010B5" w:rsidP="00B010B5">
      <w:pPr>
        <w:rPr>
          <w:rFonts w:asciiTheme="majorBidi" w:hAnsiTheme="majorBidi" w:cstheme="majorBidi"/>
        </w:rPr>
      </w:pPr>
      <w:r w:rsidRPr="00CB6744">
        <w:rPr>
          <w:rFonts w:asciiTheme="majorBidi" w:hAnsiTheme="majorBidi" w:cstheme="majorBidi"/>
          <w:szCs w:val="24"/>
        </w:rPr>
        <w:t>Reads from</w:t>
      </w:r>
      <w:r>
        <w:rPr>
          <w:rFonts w:asciiTheme="majorBidi" w:hAnsiTheme="majorBidi" w:cstheme="majorBidi"/>
          <w:szCs w:val="24"/>
        </w:rPr>
        <w:t xml:space="preserve"> three repeats of</w:t>
      </w:r>
      <w:r w:rsidRPr="00CB6744">
        <w:rPr>
          <w:rFonts w:asciiTheme="majorBidi" w:hAnsiTheme="majorBidi" w:cstheme="majorBidi"/>
          <w:szCs w:val="24"/>
        </w:rPr>
        <w:t xml:space="preserve"> 4C-seq were sorted according to their barcodes to different fastq files for each viewpoint. The sequence up to the RE site and low-quality nucleotides were trimmed with cutadapt </w:t>
      </w:r>
      <w:r w:rsidRPr="00CB6744">
        <w:rPr>
          <w:rFonts w:asciiTheme="majorBidi" w:hAnsiTheme="majorBidi" w:cstheme="majorBidi"/>
          <w:szCs w:val="24"/>
        </w:rPr>
        <w:fldChar w:fldCharType="begin" w:fldLock="1"/>
      </w:r>
      <w:r w:rsidR="00AB1145">
        <w:rPr>
          <w:rFonts w:asciiTheme="majorBidi" w:hAnsiTheme="majorBidi" w:cstheme="majorBidi"/>
          <w:szCs w:val="24"/>
        </w:rPr>
        <w:instrText>ADDIN CSL_CITATION {"citationItems":[{"id":"ITEM-1","itemData":{"DOI":"10.14806/ej.17.1.200","ISSN":"2226-6089","author":[{"dropping-particle":"","family":"Martin","given":"Marcel","non-dropping-particle":"","parse-names":false,"suffix":""}],"container-title":"EMBnet.journal","id":"ITEM-1","issue":"1","issued":{"date-parts":[["2011","5","2"]]},"page":"10","title":"Cutadapt removes adapter sequences from high-throughput sequencing reads","type":"article-journal","volume":"17"},"uris":["http://www.mendeley.com/documents/?uuid=a054d723-e87e-44c6-a672-7d7a84278003"]}],"mendeley":{"formattedCitation":"[32]","plainTextFormattedCitation":"[32]","previouslyFormattedCitation":"[32]"},"properties":{"noteIndex":0},"schema":"https://github.com/citation-style-language/schema/raw/master/csl-citation.json"}</w:instrText>
      </w:r>
      <w:r w:rsidRPr="00CB6744">
        <w:rPr>
          <w:rFonts w:asciiTheme="majorBidi" w:hAnsiTheme="majorBidi" w:cstheme="majorBidi"/>
          <w:szCs w:val="24"/>
        </w:rPr>
        <w:fldChar w:fldCharType="separate"/>
      </w:r>
      <w:r w:rsidR="00AB1145" w:rsidRPr="00AB1145">
        <w:rPr>
          <w:rFonts w:asciiTheme="majorBidi" w:hAnsiTheme="majorBidi" w:cstheme="majorBidi"/>
          <w:noProof/>
          <w:szCs w:val="24"/>
        </w:rPr>
        <w:t>[32]</w:t>
      </w:r>
      <w:r w:rsidRPr="00CB6744">
        <w:rPr>
          <w:rFonts w:asciiTheme="majorBidi" w:hAnsiTheme="majorBidi" w:cstheme="majorBidi"/>
          <w:szCs w:val="24"/>
        </w:rPr>
        <w:fldChar w:fldCharType="end"/>
      </w:r>
      <w:r w:rsidRPr="00CB6744">
        <w:rPr>
          <w:rFonts w:asciiTheme="majorBidi" w:hAnsiTheme="majorBidi" w:cstheme="majorBidi"/>
          <w:szCs w:val="24"/>
        </w:rPr>
        <w:t xml:space="preserve"> and aligned to the </w:t>
      </w:r>
      <w:r w:rsidRPr="00CB6744">
        <w:rPr>
          <w:rFonts w:asciiTheme="majorBidi" w:hAnsiTheme="majorBidi" w:cstheme="majorBidi"/>
        </w:rPr>
        <w:t xml:space="preserve">TAIR10 </w:t>
      </w:r>
      <w:r w:rsidRPr="00CB6744">
        <w:rPr>
          <w:rFonts w:asciiTheme="majorBidi" w:hAnsiTheme="majorBidi" w:cstheme="majorBidi"/>
          <w:i/>
          <w:iCs/>
        </w:rPr>
        <w:t>Arabidopsis thaliana</w:t>
      </w:r>
      <w:r w:rsidRPr="00CB6744">
        <w:rPr>
          <w:rFonts w:asciiTheme="majorBidi" w:hAnsiTheme="majorBidi" w:cstheme="majorBidi"/>
        </w:rPr>
        <w:t xml:space="preserve"> genome using bowtie2 </w:t>
      </w:r>
      <w:r w:rsidRPr="00CB6744">
        <w:rPr>
          <w:rFonts w:asciiTheme="majorBidi" w:hAnsiTheme="majorBidi" w:cstheme="majorBidi"/>
        </w:rPr>
        <w:fldChar w:fldCharType="begin" w:fldLock="1"/>
      </w:r>
      <w:r w:rsidR="00AB1145">
        <w:rPr>
          <w:rFonts w:asciiTheme="majorBidi" w:hAnsiTheme="majorBidi" w:cstheme="majorBidi"/>
        </w:rPr>
        <w:instrText>ADDIN CSL_CITATION {"citationItems":[{"id":"ITEM-1","itemData":{"DOI":"10.1038/nmeth.1923","ISSN":"1548-7105","PMID":"22388286","abstract":"As the rate of sequencing increases, greater throughput is demanded from read aligners. The full-text minute index is often used to make alignment very fast and memory-efficient, but the approach is ill-suited to finding longer, gapped alignments. Bowtie 2 combines the strengths of the full-text minute index with the flexibility and speed of hardware-accelerated dynamic programming algorithms to achieve a combination of high speed, sensitivity and accuracy.","author":[{"dropping-particle":"","family":"Langmead","given":"Ben","non-dropping-particle":"","parse-names":false,"suffix":""},{"dropping-particle":"","family":"Salzberg","given":"Steven L","non-dropping-particle":"","parse-names":false,"suffix":""}],"container-title":"Nature methods","id":"ITEM-1","issue":"4","issued":{"date-parts":[["2012","3","4"]]},"page":"357-9","title":"Fast gapped-read alignment with Bowtie 2.","type":"article-journal","volume":"9"},"uris":["http://www.mendeley.com/documents/?uuid=7d9a3fd8-d9d7-4ecc-a9e8-d9593ffd6512"]}],"mendeley":{"formattedCitation":"[29]","plainTextFormattedCitation":"[29]","previouslyFormattedCitation":"[29]"},"properties":{"noteIndex":0},"schema":"https://github.com/citation-style-language/schema/raw/master/csl-citation.json"}</w:instrText>
      </w:r>
      <w:r w:rsidRPr="00CB6744">
        <w:rPr>
          <w:rFonts w:asciiTheme="majorBidi" w:hAnsiTheme="majorBidi" w:cstheme="majorBidi"/>
        </w:rPr>
        <w:fldChar w:fldCharType="separate"/>
      </w:r>
      <w:r w:rsidR="00AB1145" w:rsidRPr="00AB1145">
        <w:rPr>
          <w:rFonts w:asciiTheme="majorBidi" w:hAnsiTheme="majorBidi" w:cstheme="majorBidi"/>
          <w:noProof/>
        </w:rPr>
        <w:t>[29]</w:t>
      </w:r>
      <w:r w:rsidRPr="00CB6744">
        <w:rPr>
          <w:rFonts w:asciiTheme="majorBidi" w:hAnsiTheme="majorBidi" w:cstheme="majorBidi"/>
        </w:rPr>
        <w:fldChar w:fldCharType="end"/>
      </w:r>
      <w:r w:rsidRPr="00CB6744">
        <w:rPr>
          <w:rFonts w:asciiTheme="majorBidi" w:hAnsiTheme="majorBidi" w:cstheme="majorBidi"/>
        </w:rPr>
        <w:t xml:space="preserve">, keeping only uniquely mapped reads. The mapped reads were trimmed to represent only the four nucleotides of the RE at the 5’ end of the fragment. Reads were then counted for each Csp6I site. </w:t>
      </w:r>
      <w:r>
        <w:rPr>
          <w:rFonts w:asciiTheme="majorBidi" w:hAnsiTheme="majorBidi" w:cstheme="majorBidi"/>
        </w:rPr>
        <w:t>The viewpoint and adjacent CSp6I sites were removed from the file (chr 1: the bait RE and one more from each side, chr 5: the bait, one upstream and four downstream), and using custom code in R language reads were normalized per million (CPM) in a sliding window of 10 kb or 10 RE sites.</w:t>
      </w:r>
    </w:p>
    <w:p w14:paraId="24809AB4" w14:textId="7CAF1FF2" w:rsidR="00B010B5" w:rsidRPr="00E93EA3" w:rsidRDefault="00B010B5" w:rsidP="00B010B5">
      <w:pPr>
        <w:rPr>
          <w:rFonts w:asciiTheme="majorBidi" w:hAnsiTheme="majorBidi" w:cstheme="majorBidi"/>
          <w:b/>
          <w:bCs/>
          <w:szCs w:val="24"/>
          <w:rtl/>
        </w:rPr>
      </w:pPr>
      <w:r>
        <w:rPr>
          <w:rFonts w:asciiTheme="majorBidi" w:hAnsiTheme="majorBidi" w:cstheme="majorBidi"/>
          <w:b/>
          <w:bCs/>
          <w:szCs w:val="24"/>
        </w:rPr>
        <w:t xml:space="preserve">2.10 </w:t>
      </w:r>
      <w:r w:rsidRPr="00E93EA3">
        <w:rPr>
          <w:rFonts w:asciiTheme="majorBidi" w:hAnsiTheme="majorBidi" w:cstheme="majorBidi"/>
          <w:b/>
          <w:bCs/>
          <w:szCs w:val="24"/>
        </w:rPr>
        <w:t>Reporter assay</w:t>
      </w:r>
    </w:p>
    <w:p w14:paraId="74BBB7E4" w14:textId="4A77CBAF" w:rsidR="00B010B5" w:rsidRDefault="00B010B5" w:rsidP="00B010B5">
      <w:pPr>
        <w:rPr>
          <w:rFonts w:asciiTheme="majorBidi" w:hAnsiTheme="majorBidi" w:cstheme="majorBidi"/>
        </w:rPr>
      </w:pPr>
      <w:r>
        <w:rPr>
          <w:rFonts w:asciiTheme="majorBidi" w:hAnsiTheme="majorBidi" w:cstheme="majorBidi"/>
        </w:rPr>
        <w:t xml:space="preserve">As a backbone the pEGAD vector </w:t>
      </w:r>
      <w:r>
        <w:rPr>
          <w:rFonts w:asciiTheme="majorBidi" w:hAnsiTheme="majorBidi" w:cstheme="majorBidi"/>
        </w:rPr>
        <w:fldChar w:fldCharType="begin" w:fldLock="1"/>
      </w:r>
      <w:r w:rsidR="00AB1145">
        <w:rPr>
          <w:rFonts w:asciiTheme="majorBidi" w:hAnsiTheme="majorBidi" w:cstheme="majorBidi"/>
        </w:rPr>
        <w:instrText>ADDIN CSL_CITATION {"citationItems":[{"id":"ITEM-1","itemData":{"DOI":"10.1073/PNAS.97.7.3718","ISSN":"0027-8424","PMID":"10737809","abstract":"We describe a general approach for identifying components of subcellular structures in a multicellular organism by exploiting the ability to generate thousands of independent transformants in Arabidopsis thaliana. A library of Arabidopsis cDNAs was constructed so that the cDNAs were inserted at the 3' end of the green fluorescent protein (GFP) coding sequence. The library was introduced en masse into Arabidopsis by Agrobacterium-mediated transformation. Fluorescence imaging of 5,700 transgenic plants indicated that approximately 2% of lines expressed a fusion protein with a different subcellular distribution than that of soluble GFP. About half of the markers identified were targeted to peroxisomes or other subcellular destinations by non-native coding sequence (i.e., out-of-frame cDNAs). This observation suggests that some targeting signals are of sufficiently low information content that they can be generated frequently by chance. The potential of the approach for identifying markers with unique dynamic processes is demonstrated by the identification of a GFP fusion protein that displays a cell-cycle regulated change in subcellular distribution. Our results indicate that screening GFP-fusion protein libraries is a useful approach for identifying and visualizing components of subcellular structures and their associated dynamics in higher plant cells.","author":[{"dropping-particle":"","family":"Cutler","given":"S R","non-dropping-particle":"","parse-names":false,"suffix":""},{"dropping-particle":"","family":"Ehrhardt","given":"D W","non-dropping-particle":"","parse-names":false,"suffix":""},{"dropping-particle":"","family":"Griffitts","given":"J S","non-dropping-particle":"","parse-names":false,"suffix":""},{"dropping-particle":"","family":"Somerville","given":"C R","non-dropping-particle":"","parse-names":false,"suffix":""}],"container-title":"Proceedings of the National Academy of Sciences of the United States of America","id":"ITEM-1","issue":"7","issued":{"date-parts":[["2000","3","28"]]},"page":"3718-23","publisher":"National Academy of Sciences","title":"Random GFP::cDNA fusions enable visualization of subcellular structures in cells of Arabidopsis at a high frequency.","type":"article-journal","volume":"97"},"uris":["http://www.mendeley.com/documents/?uuid=c485e3ed-ce3b-4e92-adae-84cfea8aebcf"]}],"mendeley":{"formattedCitation":"[33]","plainTextFormattedCitation":"[33]","previouslyFormattedCitation":"[33]"},"properties":{"noteIndex":0},"schema":"https://github.com/citation-style-language/schema/raw/master/csl-citation.json"}</w:instrText>
      </w:r>
      <w:r>
        <w:rPr>
          <w:rFonts w:asciiTheme="majorBidi" w:hAnsiTheme="majorBidi" w:cstheme="majorBidi"/>
        </w:rPr>
        <w:fldChar w:fldCharType="separate"/>
      </w:r>
      <w:r w:rsidR="00AB1145" w:rsidRPr="00AB1145">
        <w:rPr>
          <w:rFonts w:asciiTheme="majorBidi" w:hAnsiTheme="majorBidi" w:cstheme="majorBidi"/>
          <w:noProof/>
        </w:rPr>
        <w:t>[33]</w:t>
      </w:r>
      <w:r>
        <w:rPr>
          <w:rFonts w:asciiTheme="majorBidi" w:hAnsiTheme="majorBidi" w:cstheme="majorBidi"/>
        </w:rPr>
        <w:fldChar w:fldCharType="end"/>
      </w:r>
      <w:r>
        <w:rPr>
          <w:rFonts w:asciiTheme="majorBidi" w:hAnsiTheme="majorBidi" w:cstheme="majorBidi"/>
        </w:rPr>
        <w:t xml:space="preserve"> was digested with BamHI (</w:t>
      </w:r>
      <w:r w:rsidRPr="00CB6744">
        <w:rPr>
          <w:rFonts w:asciiTheme="majorBidi" w:hAnsiTheme="majorBidi" w:cstheme="majorBidi"/>
          <w:szCs w:val="24"/>
        </w:rPr>
        <w:t xml:space="preserve">NEB, Ipswich, MA, USA, </w:t>
      </w:r>
      <w:r>
        <w:rPr>
          <w:rFonts w:asciiTheme="majorBidi" w:hAnsiTheme="majorBidi" w:cstheme="majorBidi"/>
          <w:szCs w:val="24"/>
        </w:rPr>
        <w:t>#</w:t>
      </w:r>
      <w:r w:rsidRPr="00E93EA3">
        <w:rPr>
          <w:rFonts w:asciiTheme="majorBidi" w:hAnsiTheme="majorBidi" w:cstheme="majorBidi"/>
        </w:rPr>
        <w:t>R3136</w:t>
      </w:r>
      <w:r>
        <w:rPr>
          <w:rFonts w:asciiTheme="majorBidi" w:hAnsiTheme="majorBidi" w:cstheme="majorBidi"/>
        </w:rPr>
        <w:t>) and</w:t>
      </w:r>
      <w:r w:rsidRPr="00782CF8">
        <w:rPr>
          <w:rFonts w:asciiTheme="majorBidi" w:hAnsiTheme="majorBidi" w:cstheme="majorBidi"/>
        </w:rPr>
        <w:t xml:space="preserve"> ScaI</w:t>
      </w:r>
      <w:r>
        <w:rPr>
          <w:rFonts w:asciiTheme="majorBidi" w:hAnsiTheme="majorBidi" w:cstheme="majorBidi"/>
        </w:rPr>
        <w:t xml:space="preserve"> (</w:t>
      </w:r>
      <w:r w:rsidRPr="00CB6744">
        <w:rPr>
          <w:rFonts w:asciiTheme="majorBidi" w:hAnsiTheme="majorBidi" w:cstheme="majorBidi"/>
          <w:szCs w:val="24"/>
        </w:rPr>
        <w:t xml:space="preserve">NEB, Ipswich, MA, USA, </w:t>
      </w:r>
      <w:r>
        <w:rPr>
          <w:rFonts w:asciiTheme="majorBidi" w:hAnsiTheme="majorBidi" w:cstheme="majorBidi"/>
          <w:szCs w:val="24"/>
        </w:rPr>
        <w:t>#</w:t>
      </w:r>
      <w:r w:rsidRPr="00E93EA3">
        <w:rPr>
          <w:rFonts w:asciiTheme="majorBidi" w:hAnsiTheme="majorBidi" w:cstheme="majorBidi"/>
        </w:rPr>
        <w:t>R31</w:t>
      </w:r>
      <w:r>
        <w:rPr>
          <w:rFonts w:asciiTheme="majorBidi" w:hAnsiTheme="majorBidi" w:cstheme="majorBidi"/>
        </w:rPr>
        <w:t xml:space="preserve">22). A fragment from the </w:t>
      </w:r>
      <w:r w:rsidRPr="00E87D14">
        <w:rPr>
          <w:rFonts w:asciiTheme="majorBidi" w:hAnsiTheme="majorBidi" w:cstheme="majorBidi"/>
        </w:rPr>
        <w:t>pHGWFS7</w:t>
      </w:r>
      <w:r>
        <w:rPr>
          <w:rFonts w:asciiTheme="majorBidi" w:hAnsiTheme="majorBidi" w:cstheme="majorBidi"/>
        </w:rPr>
        <w:t xml:space="preserve"> (3938-6469bp) </w:t>
      </w:r>
      <w:r>
        <w:rPr>
          <w:rFonts w:asciiTheme="majorBidi" w:hAnsiTheme="majorBidi" w:cstheme="majorBidi"/>
        </w:rPr>
        <w:fldChar w:fldCharType="begin" w:fldLock="1"/>
      </w:r>
      <w:r w:rsidR="00AB1145">
        <w:rPr>
          <w:rFonts w:asciiTheme="majorBidi" w:hAnsiTheme="majorBidi" w:cstheme="majorBidi"/>
        </w:rPr>
        <w:instrText>ADDIN CSL_CITATION {"citationItems":[{"id":"ITEM-1","itemData":{"DOI":"10.1016/S1360-1385(02)02251-3","ISSN":"13601385","author":[{"dropping-particle":"","family":"Karimi","given":"Mansour","non-dropping-particle":"","parse-names":false,"suffix":""},{"dropping-particle":"","family":"Inzé","given":"Dirk","non-dropping-particle":"","parse-names":false,"suffix":""},{"dropping-particle":"","family":"Depicker","given":"Ann","non-dropping-particle":"","parse-names":false,"suffix":""}],"container-title":"Trends in Plant Science","id":"ITEM-1","issue":"5","issued":{"date-parts":[["2002","5"]]},"page":"193-195","title":"GATEWAY™ vectors for Agrobacterium-mediated plant transformation","type":"article-journal","volume":"7"},"uris":["http://www.mendeley.com/documents/?uuid=8ae3daf5-1350-4041-b698-2411b7051f85"]}],"mendeley":{"formattedCitation":"[34]","plainTextFormattedCitation":"[34]","previouslyFormattedCitation":"[34]"},"properties":{"noteIndex":0},"schema":"https://github.com/citation-style-language/schema/raw/master/csl-citation.json"}</w:instrText>
      </w:r>
      <w:r>
        <w:rPr>
          <w:rFonts w:asciiTheme="majorBidi" w:hAnsiTheme="majorBidi" w:cstheme="majorBidi"/>
        </w:rPr>
        <w:fldChar w:fldCharType="separate"/>
      </w:r>
      <w:r w:rsidR="00AB1145" w:rsidRPr="00AB1145">
        <w:rPr>
          <w:rFonts w:asciiTheme="majorBidi" w:hAnsiTheme="majorBidi" w:cstheme="majorBidi"/>
          <w:noProof/>
        </w:rPr>
        <w:t>[34]</w:t>
      </w:r>
      <w:r>
        <w:rPr>
          <w:rFonts w:asciiTheme="majorBidi" w:hAnsiTheme="majorBidi" w:cstheme="majorBidi"/>
        </w:rPr>
        <w:fldChar w:fldCharType="end"/>
      </w:r>
      <w:r>
        <w:rPr>
          <w:rFonts w:asciiTheme="majorBidi" w:hAnsiTheme="majorBidi" w:cstheme="majorBidi"/>
        </w:rPr>
        <w:t xml:space="preserve"> was amplified and fused to a SmaI recognition site and a 90bp minimal promoter (-90 to +1) in a pJET cloning vector (</w:t>
      </w:r>
      <w:r w:rsidRPr="00CB6744">
        <w:rPr>
          <w:rFonts w:asciiTheme="majorBidi" w:hAnsiTheme="majorBidi" w:cstheme="majorBidi"/>
          <w:szCs w:val="24"/>
        </w:rPr>
        <w:t xml:space="preserve">Thermo </w:t>
      </w:r>
      <w:r>
        <w:rPr>
          <w:rFonts w:asciiTheme="majorBidi" w:hAnsiTheme="majorBidi" w:cstheme="majorBidi"/>
          <w:szCs w:val="24"/>
        </w:rPr>
        <w:t xml:space="preserve">Fisher </w:t>
      </w:r>
      <w:r w:rsidRPr="00CB6744">
        <w:rPr>
          <w:rFonts w:asciiTheme="majorBidi" w:hAnsiTheme="majorBidi" w:cstheme="majorBidi"/>
          <w:szCs w:val="24"/>
        </w:rPr>
        <w:t>Scientific, Waltham, MA, USA,</w:t>
      </w:r>
      <w:r>
        <w:rPr>
          <w:rFonts w:asciiTheme="majorBidi" w:hAnsiTheme="majorBidi" w:cstheme="majorBidi"/>
        </w:rPr>
        <w:t xml:space="preserve"> K1231) and inserted to the pEGAD. By digesting this plasmid with SmaI (</w:t>
      </w:r>
      <w:r w:rsidRPr="00CB6744">
        <w:rPr>
          <w:rFonts w:asciiTheme="majorBidi" w:hAnsiTheme="majorBidi" w:cstheme="majorBidi"/>
          <w:szCs w:val="24"/>
        </w:rPr>
        <w:t xml:space="preserve">NEB, Ipswich, MA, USA, </w:t>
      </w:r>
      <w:r>
        <w:rPr>
          <w:rFonts w:asciiTheme="majorBidi" w:hAnsiTheme="majorBidi" w:cstheme="majorBidi"/>
          <w:szCs w:val="24"/>
        </w:rPr>
        <w:t>#</w:t>
      </w:r>
      <w:r w:rsidRPr="00E93EA3">
        <w:rPr>
          <w:rFonts w:asciiTheme="majorBidi" w:hAnsiTheme="majorBidi" w:cstheme="majorBidi"/>
        </w:rPr>
        <w:t>R</w:t>
      </w:r>
      <w:r>
        <w:rPr>
          <w:rFonts w:asciiTheme="majorBidi" w:hAnsiTheme="majorBidi" w:cstheme="majorBidi"/>
        </w:rPr>
        <w:t>0141), PCR-amplified fragments (</w:t>
      </w:r>
      <w:r w:rsidRPr="008812F8">
        <w:rPr>
          <w:rFonts w:asciiTheme="majorBidi" w:hAnsiTheme="majorBidi" w:cstheme="majorBidi"/>
        </w:rPr>
        <w:t>KAPA HiFi HotStart ReadyMix</w:t>
      </w:r>
      <w:r>
        <w:rPr>
          <w:rFonts w:asciiTheme="majorBidi" w:hAnsiTheme="majorBidi" w:cstheme="majorBidi"/>
        </w:rPr>
        <w:t xml:space="preserve">, </w:t>
      </w:r>
      <w:r w:rsidRPr="00CB6744">
        <w:rPr>
          <w:rFonts w:asciiTheme="majorBidi" w:hAnsiTheme="majorBidi" w:cstheme="majorBidi"/>
          <w:szCs w:val="24"/>
        </w:rPr>
        <w:t>Roche, Rotkreuz, Switzerland</w:t>
      </w:r>
      <w:r>
        <w:rPr>
          <w:rFonts w:asciiTheme="majorBidi" w:hAnsiTheme="majorBidi" w:cstheme="majorBidi"/>
          <w:szCs w:val="24"/>
        </w:rPr>
        <w:t xml:space="preserve"> #KR0370</w:t>
      </w:r>
      <w:r>
        <w:rPr>
          <w:rFonts w:asciiTheme="majorBidi" w:hAnsiTheme="majorBidi" w:cstheme="majorBidi"/>
        </w:rPr>
        <w:t xml:space="preserve">) were inserted using the following primers (all 5’ to 3’): pair #1: </w:t>
      </w:r>
      <w:r w:rsidRPr="008812F8">
        <w:rPr>
          <w:rFonts w:asciiTheme="majorBidi" w:hAnsiTheme="majorBidi" w:cstheme="majorBidi"/>
        </w:rPr>
        <w:lastRenderedPageBreak/>
        <w:t>CTGAATGCATTTCAAAAAAGTTACC</w:t>
      </w:r>
      <w:r>
        <w:rPr>
          <w:rFonts w:asciiTheme="majorBidi" w:hAnsiTheme="majorBidi" w:cstheme="majorBidi"/>
        </w:rPr>
        <w:t xml:space="preserve">, </w:t>
      </w:r>
      <w:r w:rsidRPr="008812F8">
        <w:rPr>
          <w:rFonts w:asciiTheme="majorBidi" w:hAnsiTheme="majorBidi" w:cstheme="majorBidi"/>
        </w:rPr>
        <w:t>CAAACGGGCGTTTAACAGGTC</w:t>
      </w:r>
      <w:r>
        <w:rPr>
          <w:rFonts w:asciiTheme="majorBidi" w:hAnsiTheme="majorBidi" w:cstheme="majorBidi"/>
        </w:rPr>
        <w:t xml:space="preserve">, pair #2: </w:t>
      </w:r>
      <w:r w:rsidRPr="008812F8">
        <w:rPr>
          <w:rFonts w:asciiTheme="majorBidi" w:hAnsiTheme="majorBidi" w:cstheme="majorBidi"/>
        </w:rPr>
        <w:t>CGGTTATTGGGTATAAATTAAATTCCGG</w:t>
      </w:r>
      <w:r>
        <w:rPr>
          <w:rFonts w:asciiTheme="majorBidi" w:hAnsiTheme="majorBidi" w:cstheme="majorBidi"/>
        </w:rPr>
        <w:t xml:space="preserve">, </w:t>
      </w:r>
      <w:r w:rsidRPr="00656D17">
        <w:rPr>
          <w:rFonts w:asciiTheme="majorBidi" w:hAnsiTheme="majorBidi" w:cstheme="majorBidi"/>
        </w:rPr>
        <w:t>AACCGAATTAAGGAGATCGAAC</w:t>
      </w:r>
      <w:r>
        <w:rPr>
          <w:rFonts w:asciiTheme="majorBidi" w:hAnsiTheme="majorBidi" w:cstheme="majorBidi"/>
        </w:rPr>
        <w:t xml:space="preserve">, pair #3: </w:t>
      </w:r>
      <w:r w:rsidRPr="00656D17">
        <w:rPr>
          <w:rFonts w:asciiTheme="majorBidi" w:hAnsiTheme="majorBidi" w:cstheme="majorBidi"/>
        </w:rPr>
        <w:t>GCAAGTCTCCTCTAACGAATTTGTTCC</w:t>
      </w:r>
      <w:r>
        <w:rPr>
          <w:rFonts w:asciiTheme="majorBidi" w:hAnsiTheme="majorBidi" w:cstheme="majorBidi"/>
        </w:rPr>
        <w:t xml:space="preserve">, </w:t>
      </w:r>
      <w:r w:rsidRPr="00656D17">
        <w:rPr>
          <w:rFonts w:asciiTheme="majorBidi" w:hAnsiTheme="majorBidi" w:cstheme="majorBidi"/>
        </w:rPr>
        <w:t>GCAAGTCTTCATCGATTTATCTTTAGGC</w:t>
      </w:r>
      <w:r>
        <w:rPr>
          <w:rFonts w:asciiTheme="majorBidi" w:hAnsiTheme="majorBidi" w:cstheme="majorBidi"/>
        </w:rPr>
        <w:t xml:space="preserve">, pair #4: </w:t>
      </w:r>
      <w:r w:rsidRPr="00656D17">
        <w:rPr>
          <w:rFonts w:asciiTheme="majorBidi" w:hAnsiTheme="majorBidi" w:cstheme="majorBidi"/>
        </w:rPr>
        <w:t>GACTTGCTCTGATGTTTGAGG</w:t>
      </w:r>
      <w:r>
        <w:rPr>
          <w:rFonts w:asciiTheme="majorBidi" w:hAnsiTheme="majorBidi" w:cstheme="majorBidi"/>
        </w:rPr>
        <w:t xml:space="preserve">, </w:t>
      </w:r>
      <w:r w:rsidRPr="00656D17">
        <w:rPr>
          <w:rFonts w:asciiTheme="majorBidi" w:hAnsiTheme="majorBidi" w:cstheme="majorBidi"/>
        </w:rPr>
        <w:t>GTCAAACAAAAAAAGTAGATCTGAAGA</w:t>
      </w:r>
      <w:r>
        <w:rPr>
          <w:rFonts w:asciiTheme="majorBidi" w:hAnsiTheme="majorBidi" w:cstheme="majorBidi"/>
        </w:rPr>
        <w:t xml:space="preserve">. The plasmids were transformed to agrobacterium and WT or </w:t>
      </w:r>
      <w:r w:rsidRPr="00656D17">
        <w:rPr>
          <w:rFonts w:asciiTheme="majorBidi" w:hAnsiTheme="majorBidi" w:cstheme="majorBidi"/>
          <w:i/>
          <w:iCs/>
        </w:rPr>
        <w:t>brm-5</w:t>
      </w:r>
      <w:r>
        <w:rPr>
          <w:rFonts w:asciiTheme="majorBidi" w:hAnsiTheme="majorBidi" w:cstheme="majorBidi"/>
        </w:rPr>
        <w:t xml:space="preserve"> plants were dipped in. For imaging, heterozygote T2 plants were sowed in a 24-well plate in liquid 1/8 MS media, pH 5.7 supplemented with BASTA {#}, except for WT which was used as a reference in each plate. Imaging was performed 8-10 days post sowing with a fluorescent s</w:t>
      </w:r>
      <w:r w:rsidRPr="00656D17">
        <w:rPr>
          <w:rFonts w:asciiTheme="majorBidi" w:hAnsiTheme="majorBidi" w:cstheme="majorBidi"/>
        </w:rPr>
        <w:t>tereoscope</w:t>
      </w:r>
      <w:r>
        <w:rPr>
          <w:rFonts w:asciiTheme="majorBidi" w:hAnsiTheme="majorBidi" w:cstheme="majorBidi"/>
        </w:rPr>
        <w:t xml:space="preserve"> (Leica, </w:t>
      </w:r>
      <w:r w:rsidRPr="001D4F27">
        <w:rPr>
          <w:rFonts w:asciiTheme="majorBidi" w:hAnsiTheme="majorBidi" w:cstheme="majorBidi"/>
        </w:rPr>
        <w:t>Wetzlar, Germany</w:t>
      </w:r>
      <w:r>
        <w:rPr>
          <w:rFonts w:asciiTheme="majorBidi" w:hAnsiTheme="majorBidi" w:cstheme="majorBidi"/>
        </w:rPr>
        <w:t xml:space="preserve">, #M205). GFP quantification was achieved by CellProfiler software </w:t>
      </w:r>
      <w:r>
        <w:rPr>
          <w:rFonts w:asciiTheme="majorBidi" w:hAnsiTheme="majorBidi" w:cstheme="majorBidi"/>
        </w:rPr>
        <w:fldChar w:fldCharType="begin" w:fldLock="1"/>
      </w:r>
      <w:r w:rsidR="00AB1145">
        <w:rPr>
          <w:rFonts w:asciiTheme="majorBidi" w:hAnsiTheme="majorBidi" w:cstheme="majorBidi"/>
        </w:rPr>
        <w:instrText>ADDIN CSL_CITATION {"citationItems":[{"id":"ITEM-1","itemData":{"DOI":"10.1186/1471-2105-9-482","ISSN":"1471-2105","author":[{"dropping-particle":"","family":"Jones","given":"Thouis R","non-dropping-particle":"","parse-names":false,"suffix":""},{"dropping-particle":"","family":"Kang","given":"In","non-dropping-particle":"","parse-names":false,"suffix":""},{"dropping-particle":"","family":"Wheeler","given":"Douglas B","non-dropping-particle":"","parse-names":false,"suffix":""},{"dropping-particle":"","family":"Lindquist","given":"Robert A","non-dropping-particle":"","parse-names":false,"suffix":""},{"dropping-particle":"","family":"Papallo","given":"Adam","non-dropping-particle":"","parse-names":false,"suffix":""},{"dropping-particle":"","family":"Sabatini","given":"David M","non-dropping-particle":"","parse-names":false,"suffix":""},{"dropping-particle":"","family":"Golland","given":"Polina","non-dropping-particle":"","parse-names":false,"suffix":""},{"dropping-particle":"","family":"Carpenter","given":"Anne E","non-dropping-particle":"","parse-names":false,"suffix":""}],"container-title":"BMC Bioinformatics","id":"ITEM-1","issue":"1","issued":{"date-parts":[["2008"]]},"page":"482","title":"CellProfiler Analyst: data exploration and analysis software for complex image-based screens","type":"article-journal","volume":"9"},"uris":["http://www.mendeley.com/documents/?uuid=a32ff037-3590-44c7-b29a-309e708520af"]}],"mendeley":{"formattedCitation":"[35]","plainTextFormattedCitation":"[35]","previouslyFormattedCitation":"[35]"},"properties":{"noteIndex":0},"schema":"https://github.com/citation-style-language/schema/raw/master/csl-citation.json"}</w:instrText>
      </w:r>
      <w:r>
        <w:rPr>
          <w:rFonts w:asciiTheme="majorBidi" w:hAnsiTheme="majorBidi" w:cstheme="majorBidi"/>
        </w:rPr>
        <w:fldChar w:fldCharType="separate"/>
      </w:r>
      <w:r w:rsidR="00AB1145" w:rsidRPr="00AB1145">
        <w:rPr>
          <w:rFonts w:asciiTheme="majorBidi" w:hAnsiTheme="majorBidi" w:cstheme="majorBidi"/>
          <w:noProof/>
        </w:rPr>
        <w:t>[35]</w:t>
      </w:r>
      <w:r>
        <w:rPr>
          <w:rFonts w:asciiTheme="majorBidi" w:hAnsiTheme="majorBidi" w:cstheme="majorBidi"/>
        </w:rPr>
        <w:fldChar w:fldCharType="end"/>
      </w:r>
      <w:r>
        <w:rPr>
          <w:rFonts w:asciiTheme="majorBidi" w:hAnsiTheme="majorBidi" w:cstheme="majorBidi"/>
        </w:rPr>
        <w:t>, reporting the GFP divided by marked region size. The average of the WT plants in each plate was used for normalization, and this value was subtracted from the raw values of each image from the corresponding 24-well plate.</w:t>
      </w:r>
    </w:p>
    <w:p w14:paraId="608A9120" w14:textId="32638186" w:rsidR="00B010B5" w:rsidRPr="00C94AFD" w:rsidRDefault="00B010B5" w:rsidP="00B010B5">
      <w:pPr>
        <w:rPr>
          <w:rFonts w:asciiTheme="majorBidi" w:hAnsiTheme="majorBidi" w:cstheme="majorBidi"/>
          <w:b/>
          <w:bCs/>
          <w:szCs w:val="24"/>
        </w:rPr>
      </w:pPr>
      <w:r>
        <w:rPr>
          <w:rFonts w:asciiTheme="majorBidi" w:hAnsiTheme="majorBidi" w:cstheme="majorBidi"/>
          <w:b/>
          <w:bCs/>
          <w:szCs w:val="24"/>
        </w:rPr>
        <w:t xml:space="preserve">2.11 </w:t>
      </w:r>
      <w:r w:rsidRPr="00C94AFD">
        <w:rPr>
          <w:rFonts w:asciiTheme="majorBidi" w:hAnsiTheme="majorBidi" w:cstheme="majorBidi"/>
          <w:b/>
          <w:bCs/>
          <w:szCs w:val="24"/>
        </w:rPr>
        <w:t>Data availability</w:t>
      </w:r>
    </w:p>
    <w:p w14:paraId="3EEE56A9" w14:textId="77777777" w:rsidR="00B010B5" w:rsidRPr="00CB6744" w:rsidRDefault="00B010B5" w:rsidP="00B010B5">
      <w:pPr>
        <w:rPr>
          <w:rFonts w:asciiTheme="majorBidi" w:hAnsiTheme="majorBidi" w:cstheme="majorBidi"/>
        </w:rPr>
      </w:pPr>
      <w:r>
        <w:rPr>
          <w:rFonts w:asciiTheme="majorBidi" w:hAnsiTheme="majorBidi" w:cstheme="majorBidi"/>
        </w:rPr>
        <w:t xml:space="preserve">The NGS datasets created for this research were deposited </w:t>
      </w:r>
      <w:r w:rsidRPr="00C94AFD">
        <w:rPr>
          <w:rFonts w:asciiTheme="majorBidi" w:hAnsiTheme="majorBidi" w:cstheme="majorBidi"/>
        </w:rPr>
        <w:t>to the NCBI Gene Expression Omnibus (GEO) under the accession number GSE</w:t>
      </w:r>
      <w:r>
        <w:rPr>
          <w:rFonts w:asciiTheme="majorBidi" w:hAnsiTheme="majorBidi" w:cstheme="majorBidi"/>
        </w:rPr>
        <w:t>XXXX.</w:t>
      </w:r>
      <w:r w:rsidRPr="00CB6744">
        <w:rPr>
          <w:rFonts w:asciiTheme="majorBidi" w:hAnsiTheme="majorBidi" w:cstheme="majorBidi"/>
        </w:rPr>
        <w:br w:type="page"/>
      </w:r>
    </w:p>
    <w:p w14:paraId="634D371D" w14:textId="7740B0B8" w:rsidR="000B2B37" w:rsidRPr="00CB6744" w:rsidRDefault="004E55F5" w:rsidP="00B010B5">
      <w:pPr>
        <w:pStyle w:val="Heading1"/>
        <w:numPr>
          <w:ilvl w:val="0"/>
          <w:numId w:val="4"/>
        </w:numPr>
      </w:pPr>
      <w:r w:rsidRPr="00CB6744">
        <w:rPr>
          <w:noProof/>
          <w:szCs w:val="24"/>
        </w:rPr>
        <w:lastRenderedPageBreak/>
        <mc:AlternateContent>
          <mc:Choice Requires="wps">
            <w:drawing>
              <wp:anchor distT="45720" distB="45720" distL="114300" distR="114300" simplePos="0" relativeHeight="251671552" behindDoc="1" locked="0" layoutInCell="1" allowOverlap="1" wp14:anchorId="743817B1" wp14:editId="26F1D045">
                <wp:simplePos x="0" y="0"/>
                <wp:positionH relativeFrom="margin">
                  <wp:posOffset>3943350</wp:posOffset>
                </wp:positionH>
                <wp:positionV relativeFrom="margin">
                  <wp:posOffset>834390</wp:posOffset>
                </wp:positionV>
                <wp:extent cx="2260600" cy="4309110"/>
                <wp:effectExtent l="0" t="0" r="25400" b="1524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0" cy="4309110"/>
                        </a:xfrm>
                        <a:prstGeom prst="rect">
                          <a:avLst/>
                        </a:prstGeom>
                        <a:solidFill>
                          <a:srgbClr val="FFFFFF"/>
                        </a:solidFill>
                        <a:ln w="9525">
                          <a:solidFill>
                            <a:srgbClr val="000000"/>
                          </a:solidFill>
                          <a:miter lim="800000"/>
                          <a:headEnd/>
                          <a:tailEnd/>
                        </a:ln>
                      </wps:spPr>
                      <wps:txbx>
                        <w:txbxContent>
                          <w:p w14:paraId="45F85276" w14:textId="77777777" w:rsidR="00671446" w:rsidRPr="00576B36" w:rsidRDefault="00671446" w:rsidP="00A5034E">
                            <w:pPr>
                              <w:pStyle w:val="NoSpacing"/>
                            </w:pPr>
                            <w:r>
                              <w:rPr>
                                <w:noProof/>
                              </w:rPr>
                              <w:drawing>
                                <wp:inline distT="0" distB="0" distL="0" distR="0" wp14:anchorId="2C7FA061" wp14:editId="37387F2F">
                                  <wp:extent cx="2068830" cy="3283888"/>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1.v4.png"/>
                                          <pic:cNvPicPr/>
                                        </pic:nvPicPr>
                                        <pic:blipFill rotWithShape="1">
                                          <a:blip r:embed="rId9" cstate="print">
                                            <a:extLst>
                                              <a:ext uri="{28A0092B-C50C-407E-A947-70E740481C1C}">
                                                <a14:useLocalDpi xmlns:a14="http://schemas.microsoft.com/office/drawing/2010/main" val="0"/>
                                              </a:ext>
                                            </a:extLst>
                                          </a:blip>
                                          <a:srcRect b="6954"/>
                                          <a:stretch/>
                                        </pic:blipFill>
                                        <pic:spPr bwMode="auto">
                                          <a:xfrm>
                                            <a:off x="0" y="0"/>
                                            <a:ext cx="2068830" cy="3283888"/>
                                          </a:xfrm>
                                          <a:prstGeom prst="rect">
                                            <a:avLst/>
                                          </a:prstGeom>
                                          <a:ln>
                                            <a:noFill/>
                                          </a:ln>
                                          <a:extLst>
                                            <a:ext uri="{53640926-AAD7-44D8-BBD7-CCE9431645EC}">
                                              <a14:shadowObscured xmlns:a14="http://schemas.microsoft.com/office/drawing/2010/main"/>
                                            </a:ext>
                                          </a:extLst>
                                        </pic:spPr>
                                      </pic:pic>
                                    </a:graphicData>
                                  </a:graphic>
                                </wp:inline>
                              </w:drawing>
                            </w:r>
                            <w:r>
                              <w:t xml:space="preserve">Figure 1. </w:t>
                            </w:r>
                            <w:r>
                              <w:rPr>
                                <w:rFonts w:hint="cs"/>
                              </w:rPr>
                              <w:t>E</w:t>
                            </w:r>
                            <w:r>
                              <w:t xml:space="preserve">xpression heatmap showing differential gene expression in </w:t>
                            </w:r>
                            <w:r>
                              <w:rPr>
                                <w:i/>
                                <w:iCs/>
                              </w:rPr>
                              <w:t xml:space="preserve">brm </w:t>
                            </w:r>
                            <w:r>
                              <w:t>and WT roots. Genes are ordered according to the log</w:t>
                            </w:r>
                            <w:r>
                              <w:rPr>
                                <w:vertAlign w:val="subscript"/>
                              </w:rPr>
                              <w:t>2</w:t>
                            </w:r>
                            <w:r>
                              <w:t xml:space="preserve">FC. Two biological replicas are shown.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3817B1" id="_x0000_t202" coordsize="21600,21600" o:spt="202" path="m,l,21600r21600,l21600,xe">
                <v:stroke joinstyle="miter"/>
                <v:path gradientshapeok="t" o:connecttype="rect"/>
              </v:shapetype>
              <v:shape id="Text Box 2" o:spid="_x0000_s1026" type="#_x0000_t202" style="position:absolute;left:0;text-align:left;margin-left:310.5pt;margin-top:65.7pt;width:178pt;height:339.3pt;z-index:-251644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">
                <v:textbox>
                  <w:txbxContent>
                    <w:p w14:paraId="45F85276" w14:textId="77777777" w:rsidR="00671446" w:rsidRPr="00576B36" w:rsidRDefault="00671446" w:rsidP="00A5034E">
                      <w:pPr>
                        <w:pStyle w:val="NoSpacing"/>
                      </w:pPr>
                      <w:r>
                        <w:rPr>
                          <w:noProof/>
                        </w:rPr>
                        <w:drawing>
                          <wp:inline distT="0" distB="0" distL="0" distR="0" wp14:anchorId="2C7FA061" wp14:editId="37387F2F">
                            <wp:extent cx="2068830" cy="3283888"/>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1.v4.png"/>
                                    <pic:cNvPicPr/>
                                  </pic:nvPicPr>
                                  <pic:blipFill rotWithShape="1">
                                    <a:blip r:embed="rId9" cstate="print">
                                      <a:extLst>
                                        <a:ext uri="{28A0092B-C50C-407E-A947-70E740481C1C}">
                                          <a14:useLocalDpi xmlns:a14="http://schemas.microsoft.com/office/drawing/2010/main" val="0"/>
                                        </a:ext>
                                      </a:extLst>
                                    </a:blip>
                                    <a:srcRect b="6954"/>
                                    <a:stretch/>
                                  </pic:blipFill>
                                  <pic:spPr bwMode="auto">
                                    <a:xfrm>
                                      <a:off x="0" y="0"/>
                                      <a:ext cx="2068830" cy="3283888"/>
                                    </a:xfrm>
                                    <a:prstGeom prst="rect">
                                      <a:avLst/>
                                    </a:prstGeom>
                                    <a:ln>
                                      <a:noFill/>
                                    </a:ln>
                                    <a:extLst>
                                      <a:ext uri="{53640926-AAD7-44D8-BBD7-CCE9431645EC}">
                                        <a14:shadowObscured xmlns:a14="http://schemas.microsoft.com/office/drawing/2010/main"/>
                                      </a:ext>
                                    </a:extLst>
                                  </pic:spPr>
                                </pic:pic>
                              </a:graphicData>
                            </a:graphic>
                          </wp:inline>
                        </w:drawing>
                      </w:r>
                      <w:r>
                        <w:t xml:space="preserve">Figure 1. </w:t>
                      </w:r>
                      <w:r>
                        <w:rPr>
                          <w:rFonts w:hint="cs"/>
                        </w:rPr>
                        <w:t>E</w:t>
                      </w:r>
                      <w:r>
                        <w:t xml:space="preserve">xpression heatmap showing differential gene expression in </w:t>
                      </w:r>
                      <w:r>
                        <w:rPr>
                          <w:i/>
                          <w:iCs/>
                        </w:rPr>
                        <w:t xml:space="preserve">brm </w:t>
                      </w:r>
                      <w:r>
                        <w:t>and WT roots. Genes are ordered according to the log</w:t>
                      </w:r>
                      <w:r>
                        <w:rPr>
                          <w:vertAlign w:val="subscript"/>
                        </w:rPr>
                        <w:t>2</w:t>
                      </w:r>
                      <w:r>
                        <w:t xml:space="preserve">FC. Two biological replicas are shown. </w:t>
                      </w:r>
                    </w:p>
                  </w:txbxContent>
                </v:textbox>
                <w10:wrap type="square" anchorx="margin" anchory="margin"/>
              </v:shape>
            </w:pict>
          </mc:Fallback>
        </mc:AlternateContent>
      </w:r>
      <w:r w:rsidR="000B2B37" w:rsidRPr="00CB6744">
        <w:t>Results</w:t>
      </w:r>
    </w:p>
    <w:p w14:paraId="244846ED" w14:textId="16B7B005" w:rsidR="00261FDA" w:rsidRPr="00DE01D1" w:rsidRDefault="00B010B5" w:rsidP="00261FDA">
      <w:pPr>
        <w:rPr>
          <w:rFonts w:asciiTheme="majorBidi" w:hAnsiTheme="majorBidi" w:cstheme="majorBidi"/>
          <w:b/>
          <w:bCs/>
          <w:i/>
          <w:iCs/>
        </w:rPr>
      </w:pPr>
      <w:r>
        <w:rPr>
          <w:rFonts w:asciiTheme="majorBidi" w:hAnsiTheme="majorBidi" w:cstheme="majorBidi"/>
          <w:b/>
          <w:bCs/>
        </w:rPr>
        <w:t xml:space="preserve">3.1 </w:t>
      </w:r>
      <w:r w:rsidR="00DE01D1">
        <w:rPr>
          <w:rFonts w:asciiTheme="majorBidi" w:hAnsiTheme="majorBidi" w:cstheme="majorBidi"/>
          <w:b/>
          <w:bCs/>
        </w:rPr>
        <w:t>E</w:t>
      </w:r>
      <w:r w:rsidR="00261FDA" w:rsidRPr="00DE01D1">
        <w:rPr>
          <w:rFonts w:asciiTheme="majorBidi" w:hAnsiTheme="majorBidi" w:cstheme="majorBidi"/>
          <w:b/>
          <w:bCs/>
        </w:rPr>
        <w:t>xpression</w:t>
      </w:r>
      <w:r w:rsidR="00DE01D1">
        <w:rPr>
          <w:rFonts w:asciiTheme="majorBidi" w:hAnsiTheme="majorBidi" w:cstheme="majorBidi"/>
          <w:b/>
          <w:bCs/>
        </w:rPr>
        <w:t xml:space="preserve"> profile of </w:t>
      </w:r>
      <w:r w:rsidR="00DE01D1">
        <w:rPr>
          <w:rFonts w:asciiTheme="majorBidi" w:hAnsiTheme="majorBidi" w:cstheme="majorBidi"/>
          <w:b/>
          <w:bCs/>
          <w:i/>
          <w:iCs/>
        </w:rPr>
        <w:t>brm</w:t>
      </w:r>
    </w:p>
    <w:p w14:paraId="03D5C173" w14:textId="45300B24" w:rsidR="00D23D82" w:rsidRDefault="00CB20C7" w:rsidP="00A5034E">
      <w:pPr>
        <w:rPr>
          <w:rFonts w:asciiTheme="majorBidi" w:hAnsiTheme="majorBidi" w:cstheme="majorBidi"/>
          <w:noProof/>
          <w:szCs w:val="24"/>
        </w:rPr>
      </w:pPr>
      <w:r>
        <w:rPr>
          <w:rFonts w:asciiTheme="majorBidi" w:hAnsiTheme="majorBidi" w:cstheme="majorBidi"/>
          <w:szCs w:val="24"/>
        </w:rPr>
        <w:t>The</w:t>
      </w:r>
      <w:r w:rsidR="006B0F86">
        <w:rPr>
          <w:rFonts w:asciiTheme="majorBidi" w:hAnsiTheme="majorBidi" w:cstheme="majorBidi"/>
          <w:szCs w:val="24"/>
        </w:rPr>
        <w:t xml:space="preserve"> Arabidopsis </w:t>
      </w:r>
      <w:r w:rsidRPr="00CB6744">
        <w:rPr>
          <w:rFonts w:asciiTheme="majorBidi" w:hAnsiTheme="majorBidi" w:cstheme="majorBidi"/>
          <w:i/>
          <w:iCs/>
          <w:szCs w:val="24"/>
        </w:rPr>
        <w:t>brm-5</w:t>
      </w:r>
      <w:r w:rsidRPr="00CB6744">
        <w:rPr>
          <w:rFonts w:asciiTheme="majorBidi" w:hAnsiTheme="majorBidi" w:cstheme="majorBidi"/>
          <w:szCs w:val="24"/>
        </w:rPr>
        <w:t xml:space="preserve"> </w:t>
      </w:r>
      <w:r>
        <w:rPr>
          <w:rFonts w:asciiTheme="majorBidi" w:hAnsiTheme="majorBidi" w:cstheme="majorBidi"/>
          <w:szCs w:val="24"/>
        </w:rPr>
        <w:t xml:space="preserve">mutant </w:t>
      </w:r>
      <w:r w:rsidR="006B0F86">
        <w:rPr>
          <w:rFonts w:asciiTheme="majorBidi" w:hAnsiTheme="majorBidi" w:cstheme="majorBidi"/>
          <w:szCs w:val="24"/>
        </w:rPr>
        <w:t>carr</w:t>
      </w:r>
      <w:r w:rsidR="00172D11">
        <w:rPr>
          <w:rFonts w:asciiTheme="majorBidi" w:hAnsiTheme="majorBidi" w:cstheme="majorBidi"/>
          <w:szCs w:val="24"/>
        </w:rPr>
        <w:t>ies</w:t>
      </w:r>
      <w:r w:rsidR="006B0F86">
        <w:rPr>
          <w:rFonts w:asciiTheme="majorBidi" w:hAnsiTheme="majorBidi" w:cstheme="majorBidi"/>
          <w:szCs w:val="24"/>
        </w:rPr>
        <w:t xml:space="preserve"> a missense mutation in the ATPase domain of the </w:t>
      </w:r>
      <w:r w:rsidR="00DF6D26">
        <w:rPr>
          <w:rFonts w:asciiTheme="majorBidi" w:hAnsiTheme="majorBidi" w:cstheme="majorBidi"/>
          <w:szCs w:val="24"/>
        </w:rPr>
        <w:t>BR</w:t>
      </w:r>
      <w:r w:rsidR="003B5163">
        <w:rPr>
          <w:rFonts w:asciiTheme="majorBidi" w:hAnsiTheme="majorBidi" w:cstheme="majorBidi"/>
          <w:szCs w:val="24"/>
        </w:rPr>
        <w:t>M</w:t>
      </w:r>
      <w:r w:rsidR="00DF6D26">
        <w:rPr>
          <w:rFonts w:asciiTheme="majorBidi" w:hAnsiTheme="majorBidi" w:cstheme="majorBidi"/>
          <w:szCs w:val="24"/>
        </w:rPr>
        <w:t xml:space="preserve"> </w:t>
      </w:r>
      <w:r w:rsidR="00064295">
        <w:rPr>
          <w:rFonts w:asciiTheme="majorBidi" w:hAnsiTheme="majorBidi" w:cstheme="majorBidi"/>
          <w:szCs w:val="24"/>
        </w:rPr>
        <w:t xml:space="preserve">ATP-dependent chromatin </w:t>
      </w:r>
      <w:r w:rsidR="00DF6D26">
        <w:rPr>
          <w:rFonts w:asciiTheme="majorBidi" w:hAnsiTheme="majorBidi" w:cstheme="majorBidi"/>
          <w:szCs w:val="24"/>
        </w:rPr>
        <w:t>remodeler</w:t>
      </w:r>
      <w:r w:rsidR="006B0F86">
        <w:rPr>
          <w:rFonts w:asciiTheme="majorBidi" w:hAnsiTheme="majorBidi" w:cstheme="majorBidi"/>
          <w:szCs w:val="24"/>
        </w:rPr>
        <w:t xml:space="preserve"> </w:t>
      </w:r>
      <w:r w:rsidR="006B0F86">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{"citationItems":[{"id":"ITEM-1","itemData":{"DOI":"10.1104/pp.108.121996","ISBN":"0032-0889 (Print)\\r0032-0889 (Linking)","ISSN":"0032-0889","PMID":"18508955","abstract":"Synthesis and accumulation of seed storage proteins (SSPs) is an important aspect of the seed maturation program. Genes encoding SSPs are specifically and highly expressed in the seed during maturation. However, the mechanisms that repress the expression of these genes in leaf tissue are not well understood. To gain insight into the repression mechanisms, we performed a genetic screen for mutants that express SSPs in leaves. Here, we show that mutations affecting BRAHMA (BRM), a SNF2 chromatin-remodeling ATPase, cause ectopic expression of a subset of SSPs and other embryogenesis-related genes in leaf tissue. Consistent with the notion that such SNF2-like ATPases form protein complexes in vivo, we observed similar phenotypes for mutations of AtSWI3C, a BRM-interacting partner, and BSH, a SNF5 homolog and essential SWI/SNF subunit. Chromatin immunoprecipitation experiments show that BRM is recruited to the promoters of a number of embryogenesis genes in wild-type leaves, including the 2S genes, expressed in brm leaves. Consistent with its role in nucleosome remodeling, BRM appears to affect the chromatin structure of the At2S2 promoter. Thus, the BRM-containing chromatin-remodeling ATPase complex involved in many aspects of plant development mediates the repression of SSPs in leaf tissue.","author":[{"dropping-particle":"","family":"Tang","given":"Xurong","non-dropping-particle":"","parse-names":false,"suffix":""},{"dropping-particle":"","family":"Hou","given":"Anfu","non-dropping-particle":"","parse-names":false,"suffix":""},{"dropping-particle":"","family":"Babu","given":"Mohan","non-dropping-particle":"","parse-names":false,"suffix":""},{"dropping-particle":"","family":"Nguyen","given":"Vi","non-dropping-particle":"","parse-names":false,"suffix":""},{"dropping-particle":"","family":"Hurtado","given":"Lidia","non-dropping-particle":"","parse-names":false,"suffix":""},{"dropping-particle":"","family":"Lu","given":"Qing","non-dropping-particle":"","parse-names":false,"suffix":""},{"dropping-particle":"","family":"Reyes","given":"Jose C","non-dropping-particle":"","parse-names":false,"suffix":""},{"dropping-particle":"","family":"Wang","given":"Aiming","non-dropping-particle":"","parse-names":false,"suffix":""},{"dropping-particle":"","family":"Keller","given":"Wilfred A","non-dropping-particle":"","parse-names":false,"suffix":""},{"dropping-particle":"","family":"Harada","given":"John J","non-dropping-particle":"","parse-names":false,"suffix":""},{"dropping-particle":"","family":"Tsang","given":"Edward W T","non-dropping-particle":"","parse-names":false,"suffix":""},{"dropping-particle":"","family":"Cui","given":"Yuhai","non-dropping-particle":"","parse-names":false,"suffix":""}],"container-title":"Plant physiology","id":"ITEM-1","issue":"3","issued":{"date-parts":[["2008","7"]]},"page":"1143-1157","title":"The Arabidopsis BRAHMA chromatin-remodeling ATPase is involved in repression of seed maturation genes in leaves.","type":"article-journal","volume":"147"},"uris":["http://www.mendeley.com/documents/?uuid=67d30b69-ec5f-4686-98cb-d060c8448aa7"]}],"mendeley":{"formattedCitation":"[10]","plainTextFormattedCitation":"[10]","previouslyFormattedCitation":"[10]"},"properties":{"noteIndex":0},"schema":"https://github.com/citation-style-language/schema/raw/master/csl-citation.json"}</w:instrText>
      </w:r>
      <w:r w:rsidR="006B0F86">
        <w:rPr>
          <w:rFonts w:asciiTheme="majorBidi" w:hAnsiTheme="majorBidi" w:cstheme="majorBidi"/>
          <w:szCs w:val="24"/>
        </w:rPr>
        <w:fldChar w:fldCharType="separate"/>
      </w:r>
      <w:r w:rsidR="002E23FE" w:rsidRPr="002E23FE">
        <w:rPr>
          <w:rFonts w:asciiTheme="majorBidi" w:hAnsiTheme="majorBidi" w:cstheme="majorBidi"/>
          <w:noProof/>
          <w:szCs w:val="24"/>
        </w:rPr>
        <w:t>[10]</w:t>
      </w:r>
      <w:r w:rsidR="006B0F86">
        <w:rPr>
          <w:rFonts w:asciiTheme="majorBidi" w:hAnsiTheme="majorBidi" w:cstheme="majorBidi"/>
          <w:szCs w:val="24"/>
        </w:rPr>
        <w:fldChar w:fldCharType="end"/>
      </w:r>
      <w:r w:rsidR="00DF6D26">
        <w:rPr>
          <w:rFonts w:asciiTheme="majorBidi" w:hAnsiTheme="majorBidi" w:cstheme="majorBidi"/>
          <w:szCs w:val="24"/>
        </w:rPr>
        <w:t>.</w:t>
      </w:r>
      <w:r w:rsidR="006B0F86">
        <w:rPr>
          <w:rFonts w:asciiTheme="majorBidi" w:hAnsiTheme="majorBidi" w:cstheme="majorBidi"/>
          <w:szCs w:val="24"/>
        </w:rPr>
        <w:t xml:space="preserve"> </w:t>
      </w:r>
      <w:r w:rsidR="009A46EB" w:rsidRPr="00CB6744">
        <w:rPr>
          <w:rFonts w:asciiTheme="majorBidi" w:hAnsiTheme="majorBidi" w:cstheme="majorBidi"/>
          <w:szCs w:val="24"/>
        </w:rPr>
        <w:t xml:space="preserve">To assess the effect of </w:t>
      </w:r>
      <w:r w:rsidR="003B5163">
        <w:rPr>
          <w:rFonts w:asciiTheme="majorBidi" w:hAnsiTheme="majorBidi" w:cstheme="majorBidi"/>
          <w:szCs w:val="24"/>
        </w:rPr>
        <w:t>BRM</w:t>
      </w:r>
      <w:r w:rsidR="009A46EB" w:rsidRPr="00CB6744">
        <w:rPr>
          <w:rFonts w:asciiTheme="majorBidi" w:hAnsiTheme="majorBidi" w:cstheme="majorBidi"/>
          <w:szCs w:val="24"/>
        </w:rPr>
        <w:t xml:space="preserve"> on </w:t>
      </w:r>
      <w:r w:rsidR="003B5163">
        <w:rPr>
          <w:rFonts w:asciiTheme="majorBidi" w:hAnsiTheme="majorBidi" w:cstheme="majorBidi"/>
          <w:szCs w:val="24"/>
        </w:rPr>
        <w:t>gene expression</w:t>
      </w:r>
      <w:r w:rsidR="009A46EB" w:rsidRPr="00CB6744">
        <w:rPr>
          <w:rFonts w:asciiTheme="majorBidi" w:hAnsiTheme="majorBidi" w:cstheme="majorBidi"/>
          <w:szCs w:val="24"/>
        </w:rPr>
        <w:t xml:space="preserve">, we performed RNA-seq </w:t>
      </w:r>
      <w:r w:rsidR="000A08EC" w:rsidRPr="00CB6744">
        <w:rPr>
          <w:rFonts w:asciiTheme="majorBidi" w:hAnsiTheme="majorBidi" w:cstheme="majorBidi"/>
          <w:szCs w:val="24"/>
        </w:rPr>
        <w:t xml:space="preserve">on 14-day old roots </w:t>
      </w:r>
      <w:r w:rsidR="009A46EB" w:rsidRPr="00CB6744">
        <w:rPr>
          <w:rFonts w:asciiTheme="majorBidi" w:hAnsiTheme="majorBidi" w:cstheme="majorBidi"/>
          <w:szCs w:val="24"/>
        </w:rPr>
        <w:t xml:space="preserve">from the </w:t>
      </w:r>
      <w:r w:rsidR="00A5034E">
        <w:rPr>
          <w:rFonts w:asciiTheme="majorBidi" w:hAnsiTheme="majorBidi" w:cstheme="majorBidi"/>
          <w:i/>
          <w:iCs/>
          <w:szCs w:val="24"/>
        </w:rPr>
        <w:t>brm</w:t>
      </w:r>
      <w:r w:rsidR="009A46EB" w:rsidRPr="00CB6744">
        <w:rPr>
          <w:rFonts w:asciiTheme="majorBidi" w:hAnsiTheme="majorBidi" w:cstheme="majorBidi"/>
          <w:szCs w:val="24"/>
        </w:rPr>
        <w:t xml:space="preserve"> mutant and WT plants. </w:t>
      </w:r>
      <w:r w:rsidR="00F705B8">
        <w:rPr>
          <w:rFonts w:asciiTheme="majorBidi" w:hAnsiTheme="majorBidi" w:cstheme="majorBidi"/>
          <w:szCs w:val="24"/>
        </w:rPr>
        <w:t xml:space="preserve">This revealed </w:t>
      </w:r>
      <w:r w:rsidR="00CD4DC0" w:rsidRPr="00CB6744">
        <w:rPr>
          <w:rFonts w:asciiTheme="majorBidi" w:hAnsiTheme="majorBidi" w:cstheme="majorBidi"/>
          <w:szCs w:val="24"/>
        </w:rPr>
        <w:t>592</w:t>
      </w:r>
      <w:r w:rsidR="009A46EB" w:rsidRPr="00CB6744">
        <w:rPr>
          <w:rFonts w:asciiTheme="majorBidi" w:hAnsiTheme="majorBidi" w:cstheme="majorBidi"/>
          <w:szCs w:val="24"/>
        </w:rPr>
        <w:t xml:space="preserve"> differentially expressed genes</w:t>
      </w:r>
      <w:r w:rsidR="009238C3" w:rsidRPr="00CB6744">
        <w:rPr>
          <w:rFonts w:asciiTheme="majorBidi" w:hAnsiTheme="majorBidi" w:cstheme="majorBidi"/>
          <w:szCs w:val="24"/>
        </w:rPr>
        <w:t xml:space="preserve"> (DEGs)</w:t>
      </w:r>
      <w:r w:rsidR="009A46EB" w:rsidRPr="00CB6744">
        <w:rPr>
          <w:rFonts w:asciiTheme="majorBidi" w:hAnsiTheme="majorBidi" w:cstheme="majorBidi"/>
          <w:szCs w:val="24"/>
        </w:rPr>
        <w:t xml:space="preserve">, </w:t>
      </w:r>
      <w:r w:rsidR="009238C3" w:rsidRPr="00CB6744">
        <w:rPr>
          <w:rFonts w:asciiTheme="majorBidi" w:hAnsiTheme="majorBidi" w:cstheme="majorBidi"/>
          <w:szCs w:val="24"/>
        </w:rPr>
        <w:t xml:space="preserve">309 </w:t>
      </w:r>
      <w:r w:rsidR="009238C3" w:rsidRPr="00CB6744">
        <w:rPr>
          <w:rFonts w:asciiTheme="majorBidi" w:hAnsiTheme="majorBidi" w:cstheme="majorBidi"/>
          <w:i/>
          <w:iCs/>
          <w:szCs w:val="24"/>
        </w:rPr>
        <w:t>brm</w:t>
      </w:r>
      <w:r w:rsidR="009238C3" w:rsidRPr="00CB6744">
        <w:rPr>
          <w:rFonts w:asciiTheme="majorBidi" w:hAnsiTheme="majorBidi" w:cstheme="majorBidi"/>
          <w:szCs w:val="24"/>
        </w:rPr>
        <w:t>-specific and 283 WT-specific genes</w:t>
      </w:r>
      <w:r w:rsidR="00F705B8">
        <w:rPr>
          <w:rFonts w:asciiTheme="majorBidi" w:hAnsiTheme="majorBidi" w:cstheme="majorBidi"/>
          <w:szCs w:val="24"/>
        </w:rPr>
        <w:t xml:space="preserve"> </w:t>
      </w:r>
      <w:r w:rsidR="00F705B8" w:rsidRPr="00CB6744">
        <w:rPr>
          <w:rFonts w:asciiTheme="majorBidi" w:hAnsiTheme="majorBidi" w:cstheme="majorBidi"/>
          <w:szCs w:val="24"/>
        </w:rPr>
        <w:t>(log</w:t>
      </w:r>
      <w:r w:rsidR="00F705B8" w:rsidRPr="00CB6744">
        <w:rPr>
          <w:rFonts w:asciiTheme="majorBidi" w:hAnsiTheme="majorBidi" w:cstheme="majorBidi"/>
          <w:szCs w:val="24"/>
          <w:vertAlign w:val="subscript"/>
        </w:rPr>
        <w:t>2</w:t>
      </w:r>
      <w:r w:rsidR="00F705B8" w:rsidRPr="00CB6744">
        <w:rPr>
          <w:rFonts w:asciiTheme="majorBidi" w:hAnsiTheme="majorBidi" w:cstheme="majorBidi"/>
          <w:szCs w:val="24"/>
        </w:rPr>
        <w:t>FC&gt;|1|, adjusted p</w:t>
      </w:r>
      <w:r w:rsidR="00F705B8" w:rsidRPr="00CB6744">
        <w:rPr>
          <w:rFonts w:asciiTheme="majorBidi" w:hAnsiTheme="majorBidi" w:cstheme="majorBidi"/>
        </w:rPr>
        <w:t>Val</w:t>
      </w:r>
      <w:r w:rsidR="00F705B8" w:rsidRPr="00CB6744">
        <w:rPr>
          <w:rFonts w:asciiTheme="majorBidi" w:hAnsiTheme="majorBidi" w:cstheme="majorBidi"/>
          <w:szCs w:val="24"/>
        </w:rPr>
        <w:t>&lt;0.05</w:t>
      </w:r>
      <w:r w:rsidR="00EA4D12" w:rsidRPr="00CB6744">
        <w:rPr>
          <w:rFonts w:asciiTheme="majorBidi" w:hAnsiTheme="majorBidi" w:cstheme="majorBidi"/>
          <w:szCs w:val="24"/>
        </w:rPr>
        <w:t xml:space="preserve"> (Figure 1A)</w:t>
      </w:r>
      <w:r w:rsidR="009238C3" w:rsidRPr="00CB6744">
        <w:rPr>
          <w:rFonts w:asciiTheme="majorBidi" w:hAnsiTheme="majorBidi" w:cstheme="majorBidi"/>
          <w:szCs w:val="24"/>
        </w:rPr>
        <w:t xml:space="preserve">. </w:t>
      </w:r>
      <w:r w:rsidR="00366730" w:rsidRPr="00CB6744">
        <w:rPr>
          <w:rFonts w:asciiTheme="majorBidi" w:hAnsiTheme="majorBidi" w:cstheme="majorBidi"/>
          <w:szCs w:val="24"/>
        </w:rPr>
        <w:t>P</w:t>
      </w:r>
      <w:r w:rsidR="00CD4DC0" w:rsidRPr="00CB6744">
        <w:rPr>
          <w:rFonts w:asciiTheme="majorBidi" w:hAnsiTheme="majorBidi" w:cstheme="majorBidi"/>
          <w:szCs w:val="24"/>
        </w:rPr>
        <w:t xml:space="preserve">athway </w:t>
      </w:r>
      <w:r w:rsidR="009238C3" w:rsidRPr="00CB6744">
        <w:rPr>
          <w:rFonts w:asciiTheme="majorBidi" w:hAnsiTheme="majorBidi" w:cstheme="majorBidi"/>
          <w:szCs w:val="24"/>
        </w:rPr>
        <w:t>analys</w:t>
      </w:r>
      <w:r w:rsidR="0045687B" w:rsidRPr="00CB6744">
        <w:rPr>
          <w:rFonts w:asciiTheme="majorBidi" w:hAnsiTheme="majorBidi" w:cstheme="majorBidi"/>
          <w:szCs w:val="24"/>
        </w:rPr>
        <w:t>is of these</w:t>
      </w:r>
      <w:r w:rsidR="00EA4D12" w:rsidRPr="00CB6744">
        <w:rPr>
          <w:rFonts w:asciiTheme="majorBidi" w:hAnsiTheme="majorBidi" w:cstheme="majorBidi"/>
          <w:szCs w:val="24"/>
        </w:rPr>
        <w:t xml:space="preserve"> </w:t>
      </w:r>
      <w:r w:rsidR="00CD4DC0" w:rsidRPr="00CB6744">
        <w:rPr>
          <w:rFonts w:asciiTheme="majorBidi" w:hAnsiTheme="majorBidi" w:cstheme="majorBidi"/>
          <w:szCs w:val="24"/>
        </w:rPr>
        <w:t>592</w:t>
      </w:r>
      <w:r w:rsidR="0045687B" w:rsidRPr="00CB6744">
        <w:rPr>
          <w:rFonts w:asciiTheme="majorBidi" w:hAnsiTheme="majorBidi" w:cstheme="majorBidi"/>
          <w:szCs w:val="24"/>
        </w:rPr>
        <w:t xml:space="preserve"> DEGs </w:t>
      </w:r>
      <w:r w:rsidR="00BC3B80" w:rsidRPr="00CB6744">
        <w:rPr>
          <w:rFonts w:asciiTheme="majorBidi" w:hAnsiTheme="majorBidi" w:cstheme="majorBidi"/>
          <w:szCs w:val="24"/>
        </w:rPr>
        <w:t>revealed that the most enriched biological process in the</w:t>
      </w:r>
      <w:r w:rsidR="006C6D73">
        <w:rPr>
          <w:rFonts w:asciiTheme="majorBidi" w:hAnsiTheme="majorBidi" w:cstheme="majorBidi"/>
          <w:szCs w:val="24"/>
        </w:rPr>
        <w:t xml:space="preserve"> </w:t>
      </w:r>
      <w:r w:rsidR="00A5034E">
        <w:rPr>
          <w:rFonts w:asciiTheme="majorBidi" w:hAnsiTheme="majorBidi" w:cstheme="majorBidi"/>
          <w:i/>
          <w:iCs/>
          <w:szCs w:val="24"/>
        </w:rPr>
        <w:t>brm</w:t>
      </w:r>
      <w:r w:rsidR="006C6D73" w:rsidRPr="00CB6744">
        <w:rPr>
          <w:rFonts w:asciiTheme="majorBidi" w:hAnsiTheme="majorBidi" w:cstheme="majorBidi"/>
          <w:szCs w:val="24"/>
        </w:rPr>
        <w:t xml:space="preserve"> </w:t>
      </w:r>
      <w:r w:rsidR="00BC3B80" w:rsidRPr="00CB6744">
        <w:rPr>
          <w:rFonts w:asciiTheme="majorBidi" w:hAnsiTheme="majorBidi" w:cstheme="majorBidi"/>
          <w:szCs w:val="24"/>
        </w:rPr>
        <w:t xml:space="preserve">up-regulated </w:t>
      </w:r>
      <w:r w:rsidR="006C6D73">
        <w:rPr>
          <w:rFonts w:asciiTheme="majorBidi" w:hAnsiTheme="majorBidi" w:cstheme="majorBidi"/>
          <w:szCs w:val="24"/>
        </w:rPr>
        <w:t>genes</w:t>
      </w:r>
      <w:r w:rsidR="00BC3B80" w:rsidRPr="00CB6744">
        <w:rPr>
          <w:rFonts w:asciiTheme="majorBidi" w:hAnsiTheme="majorBidi" w:cstheme="majorBidi"/>
          <w:szCs w:val="24"/>
        </w:rPr>
        <w:t xml:space="preserve"> </w:t>
      </w:r>
      <w:r w:rsidR="004864BF">
        <w:rPr>
          <w:rFonts w:asciiTheme="majorBidi" w:hAnsiTheme="majorBidi" w:cstheme="majorBidi"/>
          <w:szCs w:val="24"/>
        </w:rPr>
        <w:t xml:space="preserve">are related to </w:t>
      </w:r>
      <w:r w:rsidR="00BC3B80" w:rsidRPr="00CB6744">
        <w:rPr>
          <w:rFonts w:asciiTheme="majorBidi" w:hAnsiTheme="majorBidi" w:cstheme="majorBidi"/>
          <w:szCs w:val="24"/>
        </w:rPr>
        <w:t xml:space="preserve">negative regulation </w:t>
      </w:r>
      <w:r w:rsidR="00C82DA1">
        <w:rPr>
          <w:rFonts w:asciiTheme="majorBidi" w:hAnsiTheme="majorBidi" w:cstheme="majorBidi"/>
          <w:szCs w:val="24"/>
        </w:rPr>
        <w:t xml:space="preserve">of </w:t>
      </w:r>
      <w:r w:rsidR="00BC3B80" w:rsidRPr="00CB6744">
        <w:rPr>
          <w:rFonts w:asciiTheme="majorBidi" w:hAnsiTheme="majorBidi" w:cstheme="majorBidi"/>
          <w:szCs w:val="24"/>
        </w:rPr>
        <w:t>transcription</w:t>
      </w:r>
      <w:r w:rsidR="004864BF">
        <w:rPr>
          <w:rFonts w:asciiTheme="majorBidi" w:hAnsiTheme="majorBidi" w:cstheme="majorBidi"/>
          <w:szCs w:val="24"/>
        </w:rPr>
        <w:t xml:space="preserve"> proces</w:t>
      </w:r>
      <w:r w:rsidR="004E55F5">
        <w:rPr>
          <w:rFonts w:asciiTheme="majorBidi" w:hAnsiTheme="majorBidi" w:cstheme="majorBidi"/>
          <w:szCs w:val="24"/>
        </w:rPr>
        <w:t>ses</w:t>
      </w:r>
      <w:r w:rsidR="00C82DA1">
        <w:rPr>
          <w:rFonts w:asciiTheme="majorBidi" w:hAnsiTheme="majorBidi" w:cstheme="majorBidi"/>
          <w:szCs w:val="24"/>
        </w:rPr>
        <w:t>, suggesting that BRM</w:t>
      </w:r>
      <w:r w:rsidR="006C6D73">
        <w:rPr>
          <w:rFonts w:asciiTheme="majorBidi" w:hAnsiTheme="majorBidi" w:cstheme="majorBidi"/>
          <w:szCs w:val="24"/>
        </w:rPr>
        <w:t xml:space="preserve"> controls general </w:t>
      </w:r>
      <w:r w:rsidR="00771C97">
        <w:rPr>
          <w:rFonts w:asciiTheme="majorBidi" w:hAnsiTheme="majorBidi" w:cstheme="majorBidi"/>
          <w:szCs w:val="24"/>
        </w:rPr>
        <w:t xml:space="preserve">transcription </w:t>
      </w:r>
      <w:r w:rsidR="006C6D73">
        <w:rPr>
          <w:rFonts w:asciiTheme="majorBidi" w:hAnsiTheme="majorBidi" w:cstheme="majorBidi"/>
          <w:szCs w:val="24"/>
        </w:rPr>
        <w:t>rather than</w:t>
      </w:r>
      <w:r w:rsidR="00C82DA1">
        <w:rPr>
          <w:rFonts w:asciiTheme="majorBidi" w:hAnsiTheme="majorBidi" w:cstheme="majorBidi"/>
          <w:szCs w:val="24"/>
        </w:rPr>
        <w:t xml:space="preserve"> root-specific processes </w:t>
      </w:r>
      <w:r w:rsidR="0045687B" w:rsidRPr="00CB6744">
        <w:rPr>
          <w:rFonts w:asciiTheme="majorBidi" w:hAnsiTheme="majorBidi" w:cstheme="majorBidi"/>
          <w:noProof/>
          <w:szCs w:val="24"/>
        </w:rPr>
        <w:t>(</w:t>
      </w:r>
      <w:r w:rsidR="001E18CB" w:rsidRPr="00CB6744">
        <w:rPr>
          <w:rFonts w:asciiTheme="majorBidi" w:hAnsiTheme="majorBidi" w:cstheme="majorBidi"/>
          <w:noProof/>
          <w:szCs w:val="24"/>
        </w:rPr>
        <w:t xml:space="preserve">Supplemental </w:t>
      </w:r>
      <w:r w:rsidR="00327620" w:rsidRPr="00CB6744">
        <w:rPr>
          <w:rFonts w:asciiTheme="majorBidi" w:hAnsiTheme="majorBidi" w:cstheme="majorBidi"/>
          <w:noProof/>
          <w:szCs w:val="24"/>
        </w:rPr>
        <w:t>Figure</w:t>
      </w:r>
      <w:r w:rsidR="00771C97">
        <w:rPr>
          <w:rFonts w:asciiTheme="majorBidi" w:hAnsiTheme="majorBidi" w:cstheme="majorBidi"/>
          <w:noProof/>
          <w:szCs w:val="24"/>
        </w:rPr>
        <w:t xml:space="preserve"> S1). These findings are in line with </w:t>
      </w:r>
      <w:r w:rsidR="00DE01D1">
        <w:rPr>
          <w:rFonts w:asciiTheme="majorBidi" w:hAnsiTheme="majorBidi" w:cstheme="majorBidi"/>
          <w:noProof/>
          <w:szCs w:val="24"/>
        </w:rPr>
        <w:t xml:space="preserve">previosly reported expression analysis of the </w:t>
      </w:r>
      <w:r w:rsidR="00DE01D1">
        <w:rPr>
          <w:rFonts w:asciiTheme="majorBidi" w:hAnsiTheme="majorBidi" w:cstheme="majorBidi"/>
          <w:i/>
          <w:iCs/>
          <w:noProof/>
          <w:szCs w:val="24"/>
        </w:rPr>
        <w:t>brm-1</w:t>
      </w:r>
      <w:r w:rsidR="00DE01D1">
        <w:rPr>
          <w:rFonts w:asciiTheme="majorBidi" w:hAnsiTheme="majorBidi" w:cstheme="majorBidi"/>
          <w:noProof/>
          <w:szCs w:val="24"/>
        </w:rPr>
        <w:t xml:space="preserve"> mutant </w:t>
      </w:r>
      <w:r w:rsidR="00DE01D1">
        <w:rPr>
          <w:rFonts w:asciiTheme="majorBidi" w:hAnsiTheme="majorBidi" w:cstheme="majorBidi"/>
          <w:noProof/>
          <w:szCs w:val="24"/>
        </w:rPr>
        <w:fldChar w:fldCharType="begin" w:fldLock="1"/>
      </w:r>
      <w:r w:rsidR="00C242AA">
        <w:rPr>
          <w:rFonts w:asciiTheme="majorBidi" w:hAnsiTheme="majorBidi" w:cstheme="majorBidi"/>
          <w:noProof/>
          <w:szCs w:val="24"/>
        </w:rPr>
        <w:instrText>ADDIN CSL_CITATION {"citationItems":[{"id":"ITEM-1","itemData":{"DOI":"10.1111/tpj.14281","ISSN":"0960-7412","PMID":"30742338","author":[{"dropping-particle":"","family":"Torres","given":"E. Shannon","non-dropping-particle":"","parse-names":false,"suffix":""},{"dropping-particle":"","family":"Deal","given":"Roger B.","non-dropping-particle":"","parse-names":false,"suffix":""}],"container-title":"The Plant Journal","id":"ITEM-1","issue":"1","issued":{"date-parts":[["2019","7","19"]]},"page":"144-162","publisher":"John Wiley &amp; Sons, Ltd (10.1111)","title":"The histone variant H2A.Z and chromatin remodeler &lt;scp&gt;BRAHMA&lt;/scp&gt; act coordinately and antagonistically to regulate transcription and nucleosome dynamics in Arabidopsis","type":"article-journal","volume":"99"},"uris":["http://www.mendeley.com/documents/?uuid=ff3ccc07-74f3-47b3-b974-2a76ffa613b4"]}],"mendeley":{"formattedCitation":"[17]","plainTextFormattedCitation":"[17]","previouslyFormattedCitation":"[17]"},"properties":{"noteIndex":0},"schema":"https://github.com/citation-style-language/schema/raw/master/csl-citation.json"}</w:instrText>
      </w:r>
      <w:r w:rsidR="00DE01D1">
        <w:rPr>
          <w:rFonts w:asciiTheme="majorBidi" w:hAnsiTheme="majorBidi" w:cstheme="majorBidi"/>
          <w:noProof/>
          <w:szCs w:val="24"/>
        </w:rPr>
        <w:fldChar w:fldCharType="separate"/>
      </w:r>
      <w:r w:rsidR="002E23FE" w:rsidRPr="002E23FE">
        <w:rPr>
          <w:rFonts w:asciiTheme="majorBidi" w:hAnsiTheme="majorBidi" w:cstheme="majorBidi"/>
          <w:noProof/>
          <w:szCs w:val="24"/>
        </w:rPr>
        <w:t>[17]</w:t>
      </w:r>
      <w:r w:rsidR="00DE01D1">
        <w:rPr>
          <w:rFonts w:asciiTheme="majorBidi" w:hAnsiTheme="majorBidi" w:cstheme="majorBidi"/>
          <w:noProof/>
          <w:szCs w:val="24"/>
        </w:rPr>
        <w:fldChar w:fldCharType="end"/>
      </w:r>
      <w:r w:rsidR="00DE01D1">
        <w:rPr>
          <w:rFonts w:asciiTheme="majorBidi" w:hAnsiTheme="majorBidi" w:cstheme="majorBidi"/>
          <w:noProof/>
          <w:szCs w:val="24"/>
        </w:rPr>
        <w:t>.</w:t>
      </w:r>
    </w:p>
    <w:p w14:paraId="3A6B19F7" w14:textId="77777777" w:rsidR="002E23FE" w:rsidRDefault="002E23FE" w:rsidP="00A5034E">
      <w:pPr>
        <w:rPr>
          <w:rFonts w:asciiTheme="majorBidi" w:hAnsiTheme="majorBidi" w:cstheme="majorBidi"/>
          <w:noProof/>
          <w:szCs w:val="24"/>
        </w:rPr>
      </w:pPr>
    </w:p>
    <w:p w14:paraId="39CFF39F" w14:textId="77777777" w:rsidR="002E23FE" w:rsidRDefault="002E23FE" w:rsidP="00A5034E">
      <w:pPr>
        <w:rPr>
          <w:rFonts w:asciiTheme="majorBidi" w:hAnsiTheme="majorBidi" w:cstheme="majorBidi"/>
          <w:noProof/>
          <w:szCs w:val="24"/>
        </w:rPr>
      </w:pPr>
    </w:p>
    <w:p w14:paraId="79C1DAE6" w14:textId="77777777" w:rsidR="002E23FE" w:rsidRDefault="002E23FE" w:rsidP="00A5034E">
      <w:pPr>
        <w:rPr>
          <w:rFonts w:asciiTheme="majorBidi" w:hAnsiTheme="majorBidi" w:cstheme="majorBidi"/>
          <w:noProof/>
          <w:szCs w:val="24"/>
        </w:rPr>
      </w:pPr>
    </w:p>
    <w:p w14:paraId="1CF795FA" w14:textId="77777777" w:rsidR="002E23FE" w:rsidRDefault="002E23FE" w:rsidP="00A5034E">
      <w:pPr>
        <w:rPr>
          <w:rFonts w:asciiTheme="majorBidi" w:hAnsiTheme="majorBidi" w:cstheme="majorBidi"/>
          <w:noProof/>
          <w:szCs w:val="24"/>
        </w:rPr>
      </w:pPr>
    </w:p>
    <w:p w14:paraId="61416B5D" w14:textId="77777777" w:rsidR="002E23FE" w:rsidRPr="00DE01D1" w:rsidRDefault="002E23FE" w:rsidP="00A5034E">
      <w:pPr>
        <w:rPr>
          <w:rFonts w:asciiTheme="majorBidi" w:hAnsiTheme="majorBidi" w:cstheme="majorBidi"/>
          <w:noProof/>
          <w:szCs w:val="24"/>
        </w:rPr>
      </w:pPr>
    </w:p>
    <w:p w14:paraId="25C0BCEF" w14:textId="5F5B33E1" w:rsidR="00261FDA" w:rsidRPr="00DE01D1" w:rsidRDefault="00B010B5" w:rsidP="00DE01D1">
      <w:pPr>
        <w:rPr>
          <w:rFonts w:asciiTheme="majorBidi" w:hAnsiTheme="majorBidi" w:cstheme="majorBidi"/>
          <w:b/>
          <w:bCs/>
          <w:i/>
          <w:iCs/>
        </w:rPr>
      </w:pPr>
      <w:r>
        <w:rPr>
          <w:rFonts w:asciiTheme="majorBidi" w:hAnsiTheme="majorBidi" w:cstheme="majorBidi"/>
          <w:b/>
          <w:bCs/>
        </w:rPr>
        <w:lastRenderedPageBreak/>
        <w:t xml:space="preserve">3.2 </w:t>
      </w:r>
      <w:r w:rsidR="00DE01D1">
        <w:rPr>
          <w:rFonts w:asciiTheme="majorBidi" w:hAnsiTheme="majorBidi" w:cstheme="majorBidi"/>
          <w:b/>
          <w:bCs/>
        </w:rPr>
        <w:t>Genome-wide c</w:t>
      </w:r>
      <w:r w:rsidR="00261FDA" w:rsidRPr="00DE01D1">
        <w:rPr>
          <w:rFonts w:asciiTheme="majorBidi" w:hAnsiTheme="majorBidi" w:cstheme="majorBidi"/>
          <w:b/>
          <w:bCs/>
        </w:rPr>
        <w:t>hromatin accessibility</w:t>
      </w:r>
      <w:r w:rsidR="00DE01D1">
        <w:rPr>
          <w:rFonts w:asciiTheme="majorBidi" w:hAnsiTheme="majorBidi" w:cstheme="majorBidi"/>
          <w:b/>
          <w:bCs/>
        </w:rPr>
        <w:t xml:space="preserve"> of </w:t>
      </w:r>
      <w:r w:rsidR="00DE01D1">
        <w:rPr>
          <w:rFonts w:asciiTheme="majorBidi" w:hAnsiTheme="majorBidi" w:cstheme="majorBidi"/>
          <w:b/>
          <w:bCs/>
          <w:i/>
          <w:iCs/>
        </w:rPr>
        <w:t>brm</w:t>
      </w:r>
    </w:p>
    <w:p w14:paraId="6E1CD0BF" w14:textId="6C8FD387" w:rsidR="003D14B8" w:rsidRPr="00CB6744" w:rsidRDefault="00EA4D12" w:rsidP="00A5034E">
      <w:pPr>
        <w:rPr>
          <w:rFonts w:asciiTheme="majorBidi" w:hAnsiTheme="majorBidi" w:cstheme="majorBidi"/>
          <w:szCs w:val="24"/>
        </w:rPr>
      </w:pPr>
      <w:r w:rsidRPr="00CB6744">
        <w:rPr>
          <w:rFonts w:asciiTheme="majorBidi" w:hAnsiTheme="majorBidi" w:cstheme="majorBidi"/>
          <w:noProof/>
        </w:rPr>
        <mc:AlternateContent>
          <mc:Choice Requires="wps">
            <w:drawing>
              <wp:anchor distT="0" distB="0" distL="114300" distR="114300" simplePos="0" relativeHeight="251669504" behindDoc="1" locked="0" layoutInCell="1" allowOverlap="1" wp14:anchorId="25CFC15B" wp14:editId="2E39952E">
                <wp:simplePos x="0" y="0"/>
                <wp:positionH relativeFrom="margin">
                  <wp:posOffset>19050</wp:posOffset>
                </wp:positionH>
                <wp:positionV relativeFrom="paragraph">
                  <wp:posOffset>4114800</wp:posOffset>
                </wp:positionV>
                <wp:extent cx="5899150" cy="3981450"/>
                <wp:effectExtent l="0" t="0" r="25400" b="1905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9150" cy="3981450"/>
                        </a:xfrm>
                        <a:prstGeom prst="rect">
                          <a:avLst/>
                        </a:prstGeom>
                        <a:solidFill>
                          <a:srgbClr val="FFFFFF"/>
                        </a:solidFill>
                        <a:ln w="9525">
                          <a:solidFill>
                            <a:srgbClr val="000000"/>
                          </a:solidFill>
                          <a:miter lim="800000"/>
                          <a:headEnd/>
                          <a:tailEnd/>
                        </a:ln>
                      </wps:spPr>
                      <wps:txbx>
                        <w:txbxContent>
                          <w:p w14:paraId="6D6258E9" w14:textId="77777777" w:rsidR="00671446" w:rsidRDefault="00671446" w:rsidP="009D1F3E">
                            <w:pPr>
                              <w:pStyle w:val="NoSpacing"/>
                            </w:pPr>
                            <w:r>
                              <w:rPr>
                                <w:noProof/>
                              </w:rPr>
                              <w:drawing>
                                <wp:inline distT="0" distB="0" distL="0" distR="0" wp14:anchorId="0D73EEAA" wp14:editId="3397B943">
                                  <wp:extent cx="5707380" cy="3210560"/>
                                  <wp:effectExtent l="0" t="0" r="762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2.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07380" cy="3210560"/>
                                          </a:xfrm>
                                          <a:prstGeom prst="rect">
                                            <a:avLst/>
                                          </a:prstGeom>
                                        </pic:spPr>
                                      </pic:pic>
                                    </a:graphicData>
                                  </a:graphic>
                                </wp:inline>
                              </w:drawing>
                            </w:r>
                          </w:p>
                          <w:p w14:paraId="70F9CEEA" w14:textId="77777777" w:rsidR="00671446" w:rsidRDefault="00671446" w:rsidP="00A4658E">
                            <w:pPr>
                              <w:pStyle w:val="NoSpacing"/>
                            </w:pPr>
                            <w:r>
                              <w:t>Figure 2. A-B representative browser views of accessible loci. C,</w:t>
                            </w:r>
                            <w:r>
                              <w:rPr>
                                <w:rFonts w:hint="cs"/>
                              </w:rPr>
                              <w:t xml:space="preserve"> </w:t>
                            </w:r>
                            <w:r>
                              <w:t xml:space="preserve">genic distribution of accessible sites in </w:t>
                            </w:r>
                            <w:r w:rsidRPr="00963999">
                              <w:rPr>
                                <w:i/>
                                <w:iCs/>
                              </w:rPr>
                              <w:t>brm-5</w:t>
                            </w:r>
                            <w:r>
                              <w:t xml:space="preserve"> and WT roots. D-E, heatmap of accessibility</w:t>
                            </w:r>
                            <w:r w:rsidRPr="00963999">
                              <w:t xml:space="preserve"> </w:t>
                            </w:r>
                            <w:r>
                              <w:t>around</w:t>
                            </w:r>
                            <w:r w:rsidRPr="00963999">
                              <w:t xml:space="preserve"> (± 1 kb) TSS of genes</w:t>
                            </w:r>
                            <w:r>
                              <w:t>,</w:t>
                            </w:r>
                            <w:r w:rsidRPr="00963999">
                              <w:t xml:space="preserve"> ranked according to their expression level</w:t>
                            </w:r>
                            <w:r>
                              <w:t xml:space="preserve">s in the </w:t>
                            </w:r>
                            <w:r w:rsidRPr="00963999">
                              <w:rPr>
                                <w:i/>
                                <w:iCs/>
                              </w:rPr>
                              <w:t>brm-5</w:t>
                            </w:r>
                            <w:r>
                              <w:t xml:space="preserve"> mutant (D) and WT (E) plants. F, profile of WT (left) and </w:t>
                            </w:r>
                            <w:r w:rsidRPr="00C562E4">
                              <w:rPr>
                                <w:i/>
                                <w:iCs/>
                              </w:rPr>
                              <w:t>brm-5</w:t>
                            </w:r>
                            <w:r>
                              <w:t xml:space="preserve"> (right) accessibility at specific genes.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FC15B" id="_x0000_s1027" type="#_x0000_t202" style="position:absolute;left:0;text-align:left;margin-left:1.5pt;margin-top:324pt;width:464.5pt;height:313.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">
                <v:textbox>
                  <w:txbxContent>
                    <w:p w14:paraId="6D6258E9" w14:textId="77777777" w:rsidR="00671446" w:rsidRDefault="00671446" w:rsidP="009D1F3E">
                      <w:pPr>
                        <w:pStyle w:val="NoSpacing"/>
                      </w:pPr>
                      <w:r>
                        <w:rPr>
                          <w:noProof/>
                        </w:rPr>
                        <w:drawing>
                          <wp:inline distT="0" distB="0" distL="0" distR="0" wp14:anchorId="0D73EEAA" wp14:editId="3397B943">
                            <wp:extent cx="5707380" cy="3210560"/>
                            <wp:effectExtent l="0" t="0" r="762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2.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07380" cy="3210560"/>
                                    </a:xfrm>
                                    <a:prstGeom prst="rect">
                                      <a:avLst/>
                                    </a:prstGeom>
                                  </pic:spPr>
                                </pic:pic>
                              </a:graphicData>
                            </a:graphic>
                          </wp:inline>
                        </w:drawing>
                      </w:r>
                    </w:p>
                    <w:p w14:paraId="70F9CEEA" w14:textId="77777777" w:rsidR="00671446" w:rsidRDefault="00671446" w:rsidP="00A4658E">
                      <w:pPr>
                        <w:pStyle w:val="NoSpacing"/>
                      </w:pPr>
                      <w:r>
                        <w:t>Figure 2. A-B representative browser views of accessible loci. C,</w:t>
                      </w:r>
                      <w:r>
                        <w:rPr>
                          <w:rFonts w:hint="cs"/>
                        </w:rPr>
                        <w:t xml:space="preserve"> </w:t>
                      </w:r>
                      <w:r>
                        <w:t xml:space="preserve">genic distribution of accessible sites in </w:t>
                      </w:r>
                      <w:r w:rsidRPr="00963999">
                        <w:rPr>
                          <w:i/>
                          <w:iCs/>
                        </w:rPr>
                        <w:t>brm-5</w:t>
                      </w:r>
                      <w:r>
                        <w:t xml:space="preserve"> and WT roots. D-E, heatmap of accessibility</w:t>
                      </w:r>
                      <w:r w:rsidRPr="00963999">
                        <w:t xml:space="preserve"> </w:t>
                      </w:r>
                      <w:r>
                        <w:t>around</w:t>
                      </w:r>
                      <w:r w:rsidRPr="00963999">
                        <w:t xml:space="preserve"> (± 1 kb) TSS of genes</w:t>
                      </w:r>
                      <w:r>
                        <w:t>,</w:t>
                      </w:r>
                      <w:r w:rsidRPr="00963999">
                        <w:t xml:space="preserve"> ranked according to their expression level</w:t>
                      </w:r>
                      <w:r>
                        <w:t xml:space="preserve">s in the </w:t>
                      </w:r>
                      <w:r w:rsidRPr="00963999">
                        <w:rPr>
                          <w:i/>
                          <w:iCs/>
                        </w:rPr>
                        <w:t>brm-5</w:t>
                      </w:r>
                      <w:r>
                        <w:t xml:space="preserve"> mutant (D) and WT (E) plants. F, profile of WT (left) and </w:t>
                      </w:r>
                      <w:r w:rsidRPr="00C562E4">
                        <w:rPr>
                          <w:i/>
                          <w:iCs/>
                        </w:rPr>
                        <w:t>brm-5</w:t>
                      </w:r>
                      <w:r>
                        <w:t xml:space="preserve"> (right) accessibility at specific genes.</w:t>
                      </w:r>
                    </w:p>
                  </w:txbxContent>
                </v:textbox>
                <w10:wrap type="topAndBottom" anchorx="margin"/>
              </v:shape>
            </w:pict>
          </mc:Fallback>
        </mc:AlternateContent>
      </w:r>
      <w:r w:rsidR="006F3008">
        <w:rPr>
          <w:rFonts w:asciiTheme="majorBidi" w:hAnsiTheme="majorBidi" w:cstheme="majorBidi"/>
          <w:szCs w:val="24"/>
        </w:rPr>
        <w:t xml:space="preserve">To assess the effect of BRM on chromatin accessibility ATAC-seq was applied in the roots of </w:t>
      </w:r>
      <w:r w:rsidR="00A5034E">
        <w:rPr>
          <w:rFonts w:asciiTheme="majorBidi" w:hAnsiTheme="majorBidi" w:cstheme="majorBidi"/>
          <w:i/>
          <w:iCs/>
          <w:szCs w:val="24"/>
        </w:rPr>
        <w:t>brm</w:t>
      </w:r>
      <w:r w:rsidR="006F3008">
        <w:rPr>
          <w:rFonts w:asciiTheme="majorBidi" w:hAnsiTheme="majorBidi" w:cstheme="majorBidi"/>
          <w:i/>
          <w:iCs/>
          <w:szCs w:val="24"/>
        </w:rPr>
        <w:t xml:space="preserve"> </w:t>
      </w:r>
      <w:r w:rsidR="006F3008" w:rsidRPr="00DE01D1">
        <w:rPr>
          <w:rFonts w:asciiTheme="majorBidi" w:hAnsiTheme="majorBidi" w:cstheme="majorBidi"/>
          <w:szCs w:val="24"/>
        </w:rPr>
        <w:t>and WT plants</w:t>
      </w:r>
      <w:r w:rsidR="00DE01D1">
        <w:rPr>
          <w:rFonts w:asciiTheme="majorBidi" w:hAnsiTheme="majorBidi" w:cstheme="majorBidi"/>
          <w:szCs w:val="24"/>
        </w:rPr>
        <w:t>.</w:t>
      </w:r>
      <w:r w:rsidR="000D1205" w:rsidRPr="00CB6744">
        <w:rPr>
          <w:rFonts w:asciiTheme="majorBidi" w:hAnsiTheme="majorBidi" w:cstheme="majorBidi"/>
          <w:szCs w:val="24"/>
        </w:rPr>
        <w:t xml:space="preserve"> High-quality ATAC-seq libraries were prepared from</w:t>
      </w:r>
      <w:r w:rsidR="004E55F5">
        <w:rPr>
          <w:rFonts w:asciiTheme="majorBidi" w:hAnsiTheme="majorBidi" w:cstheme="majorBidi"/>
          <w:szCs w:val="24"/>
        </w:rPr>
        <w:t xml:space="preserve"> roots of</w:t>
      </w:r>
      <w:r w:rsidR="000D1205" w:rsidRPr="00CB6744">
        <w:rPr>
          <w:rFonts w:asciiTheme="majorBidi" w:hAnsiTheme="majorBidi" w:cstheme="majorBidi"/>
          <w:szCs w:val="24"/>
        </w:rPr>
        <w:t xml:space="preserve"> both plants</w:t>
      </w:r>
      <w:r w:rsidR="00660B0A" w:rsidRPr="00CB6744">
        <w:rPr>
          <w:rFonts w:asciiTheme="majorBidi" w:hAnsiTheme="majorBidi" w:cstheme="majorBidi"/>
          <w:szCs w:val="24"/>
        </w:rPr>
        <w:t xml:space="preserve"> (Figure 2A,</w:t>
      </w:r>
      <w:r w:rsidR="00764B9E">
        <w:rPr>
          <w:rFonts w:asciiTheme="majorBidi" w:hAnsiTheme="majorBidi" w:cstheme="majorBidi"/>
          <w:szCs w:val="24"/>
        </w:rPr>
        <w:t xml:space="preserve"> </w:t>
      </w:r>
      <w:r w:rsidR="00660B0A" w:rsidRPr="00CB6744">
        <w:rPr>
          <w:rFonts w:asciiTheme="majorBidi" w:hAnsiTheme="majorBidi" w:cstheme="majorBidi"/>
          <w:szCs w:val="24"/>
        </w:rPr>
        <w:t>B</w:t>
      </w:r>
      <w:r w:rsidR="00FD23A7">
        <w:rPr>
          <w:rFonts w:asciiTheme="majorBidi" w:hAnsiTheme="majorBidi" w:cstheme="majorBidi"/>
          <w:szCs w:val="24"/>
        </w:rPr>
        <w:t xml:space="preserve">), and 36,860 accessible loci were uncovered in the WT and 28,644 in the </w:t>
      </w:r>
      <w:r w:rsidR="00FD23A7">
        <w:rPr>
          <w:rFonts w:asciiTheme="majorBidi" w:hAnsiTheme="majorBidi" w:cstheme="majorBidi"/>
          <w:i/>
          <w:iCs/>
          <w:szCs w:val="24"/>
        </w:rPr>
        <w:t xml:space="preserve">brm </w:t>
      </w:r>
      <w:r w:rsidR="00FD23A7">
        <w:rPr>
          <w:rFonts w:asciiTheme="majorBidi" w:hAnsiTheme="majorBidi" w:cstheme="majorBidi"/>
          <w:szCs w:val="24"/>
        </w:rPr>
        <w:t>mutant.</w:t>
      </w:r>
      <w:r w:rsidR="00660B0A" w:rsidRPr="00CB6744">
        <w:rPr>
          <w:rFonts w:asciiTheme="majorBidi" w:hAnsiTheme="majorBidi" w:cstheme="majorBidi"/>
          <w:szCs w:val="24"/>
        </w:rPr>
        <w:t xml:space="preserve"> Overall the genic distribution of accessible sites </w:t>
      </w:r>
      <w:r w:rsidR="00AA5293">
        <w:rPr>
          <w:rFonts w:asciiTheme="majorBidi" w:hAnsiTheme="majorBidi" w:cstheme="majorBidi"/>
          <w:szCs w:val="24"/>
        </w:rPr>
        <w:t xml:space="preserve">in the two plants </w:t>
      </w:r>
      <w:r w:rsidR="00660B0A" w:rsidRPr="00CB6744">
        <w:rPr>
          <w:rFonts w:asciiTheme="majorBidi" w:hAnsiTheme="majorBidi" w:cstheme="majorBidi"/>
          <w:szCs w:val="24"/>
        </w:rPr>
        <w:t xml:space="preserve">is highly similar (Figure 2C) as ~80% of the accessible loci are located in genic areas. </w:t>
      </w:r>
      <w:r w:rsidR="006F3008">
        <w:rPr>
          <w:rFonts w:asciiTheme="majorBidi" w:hAnsiTheme="majorBidi" w:cstheme="majorBidi"/>
          <w:szCs w:val="24"/>
        </w:rPr>
        <w:t xml:space="preserve">In agreement with previous reports by us and others </w:t>
      </w:r>
      <w:r w:rsidR="006F3008" w:rsidRPr="00CB6744">
        <w:rPr>
          <w:rFonts w:asciiTheme="majorBidi" w:hAnsiTheme="majorBidi" w:cstheme="majorBidi"/>
          <w:szCs w:val="24"/>
        </w:rPr>
        <w:fldChar w:fldCharType="begin" w:fldLock="1"/>
      </w:r>
      <w:r w:rsidR="00AB1145">
        <w:rPr>
          <w:rFonts w:asciiTheme="majorBidi" w:hAnsiTheme="majorBidi" w:cstheme="majorBidi"/>
          <w:szCs w:val="24"/>
        </w:rPr>
        <w:instrText>ADDIN CSL_CITATION {"citationItems":[{"id":"ITEM-1","itemData":{"DOI":"10.1159/000362827","ISSN":"1424859X","PMID":"24923879","abstract":"Sensitivity to DNase I digestion is an indicator of the accessibility and configuration of chromatin in eukaryotic genomes. Open chromatin exhibits high sensitivity to DNase I cleavage. DNase I hypersensitive sites (DHSs) in eukaryotic genomes can be identified through DNase I treatment followed by sequencing (DNase-seq). DHSs are most frequently associated with various cis-regulatory DNA elements, including promoters, enhancers, and silencers in both animal and plant genomes. Genome-wide identification of DHSs provides an efficient method to interpret previously un-annotated regulatory DNA sequences. In this review, we provide an overview of the historical perspective of DHS research in eukaryotes. We summarize the main achievements of DHS research in model animal species and review the recent progress of DHS research in plants. We finally discuss possible future directions of using DHS as a tool in plant genomics research. © 2014 S. Karger AG, Basel.","author":[{"dropping-particle":"","family":"Zhang","given":"Wenli","non-dropping-particle":"","parse-names":false,"suffix":""},{"dropping-particle":"","family":"Zhang","given":"Tao","non-dropping-particle":"","parse-names":false,"suffix":""},{"dropping-particle":"","family":"Wu","given":"Yufeng","non-dropping-particle":"","parse-names":false,"suffix":""},{"dropping-particle":"","family":"Jiang","given":"Jiming","non-dropping-particle":"","parse-names":false,"suffix":""}],"container-title":"Cytogenetic and Genome Research","id":"ITEM-1","issue":"1-3","issued":{"date-parts":[["2014"]]},"page":"18-27","publisher":"Karger Publishers","title":"Open chromatin in plant genomes","type":"article-journal","volume":"143"},"uris":["http://www.mendeley.com/documents/?uuid=4a5f8582-2b10-407a-80dd-958b5b6657d1"]},{"id":"ITEM-2","itemData":{"DOI":"10.1105/tpc.112.098061","ISBN":"1532-298X (Electronic)\\r1040-4651 (Linking)","ISSN":"1040-4651","PMID":"22773751","abstract":"Gene expression and regulation in eukaryotes is controlled by orchestrated binding of regulatory proteins, including both activators and repressors, to promoters and other cis-regulatory DNA elements. An increasing number of plant genomes have been sequenced; however, a similar effort to the ENCODE project, which aimed to identify all functional elements in the human genome, has yet to be initiated in plants. Here we report genome-wide high-resolution mapping of DNase I hypersensitive (DH) sites in the model plant Arabidopsis thaliana. We identified 38,290 and 41,193 DH sites in leaf and flower tissues, respectively. The DH sites were depleted of bulk nucleosomes and were tightly associated with RNA polymerase II binding sites. Approximately 90% of the binding sites of two well-characterized MADS domain transcription factors, APETALA1 and SEPALLATA3, were covered by the DH sites. We demonstrate that protein binding footprints within a specific genomic region can be revealed using the DH site data sets in combination with known or putative protein binding motifs and gene expression data sets. Thus, genome-wide DH site mapping will be an important tool for systematic identification of all cis-regulatory DNA elements in plants.","author":[{"dropping-particle":"","family":"Zhang","given":"W.","non-dropping-particle":"","parse-names":false,"suffix":""},{"dropping-particle":"","family":"Zhang","given":"Tao","non-dropping-particle":"","parse-names":false,"suffix":""},{"dropping-particle":"","family":"Wu","given":"Yufeng","non-dropping-particle":"","parse-names":false,"suffix":""},{"dropping-particle":"","family":"Jiang","given":"Jiming","non-dropping-particle":"","parse-names":false,"suffix":""}],"container-title":"The Plant Cell","id":"ITEM-2","issue":"7","issued":{"date-parts":[["2012","7"]]},"page":"2719-2731","title":"Genome-Wide Identification of Regulatory DNA Elements and Protein-Binding Footprints Using Signatures of Open Chromatin in Arabidopsis","type":"article","volume":"24"},"uris":["http://www.mendeley.com/documents/?uuid=0e51d112-e386-466b-8c4c-b50a890ca336"]},{"id":"ITEM-3","itemData":{"DOI":"10.1073/pnas.2023347118","ISSN":"0027-8424","abstract":"DNA methylation is a major epigenetic modification found across species and has a profound impact on many biological processes. However, its influence on chromatin accessibility and higher-order genome organization remains unclear, particularly in plants. Here, we present genome-wide chromatin accessibility profiles of 18 Arabidopsis mutants that are deficient in CG, CHG, or CHH DNA methylation. We find that DNA methylation in all three sequence contexts impacts chromatin accessibility in heterochromatin. Many chromatin regions maintain inaccessibility when DNA methylation is lost in only one or two sequence contexts, and signatures of accessibility are particularly affected when DNA methylation is reduced in all contexts, suggesting an interplay between different types of DNA methylation. In addition, we found that increased chromatin accessibility was not always accompanied by increased transcription, suggesting that DNA methylation can directly impact chromatin structure by other mechanisms. We also observed that an increase in chromatin accessibility was accompanied by enhanced long-range chromatin interactions. Together, these results provide a valuable resource for chromatin architecture and DNA methylation analyses and uncover a pivotal role for methylation in the maintenance of heterochromatin inaccessibility.","author":[{"dropping-particle":"","family":"Zhong","given":"Zhenhui","non-dropping-particle":"","parse-names":false,"suffix":""},{"dropping-particle":"","family":"Feng","given":"Suhua","non-dropping-particle":"","parse-names":false,"suffix":""},{"dropping-particle":"","family":"Duttke","given":"Sascha H.","non-dropping-particle":"","parse-names":false,"suffix":""},{"dropping-particle":"","family":"Potok","given":"Magdalena E.","non-dropping-particle":"","parse-names":false,"suffix":""},{"dropping-particle":"","family":"Zhang","given":"Yiwei","non-dropping-particle":"","parse-names":false,"suffix":""},{"dropping-particle":"","family":"Gallego-Bartolomé","given":"Javier","non-dropping-particle":"","parse-names":false,"suffix":""},{"dropping-particle":"","family":"Liu","given":"Wanlu","non-dropping-particle":"","parse-names":false,"suffix":""},{"dropping-particle":"","family":"Jacobsen","given":"Steven E.","non-dropping-particle":"","parse-names":false,"suffix":""}],"container-title":"Proceedings of the National Academy of Sciences","id":"ITEM-3","issue":"5","issued":{"date-parts":[["2021","2","2"]]},"page":"e2023347118","title":"DNA methylation-linked chromatin accessibility affects genomic architecture in Arabidopsis","type":"article-journal","volume":"118"},"uris":["http://www.mendeley.com/documents/?uuid=08cc8895-2b07-44ba-b765-373ad31bf4f0"]},{"id":"ITEM-4","itemData":{"DOI":"10.1186/s13007-018-0381-9","ISSN":"1746-4811","abstract":"There is a growing interest in the role of chromatin in acquiring and maintaining cell identity. Despite the ever-growing availability of genome-wide gene expression data, understanding how transcription programs are established and regulated to define cell identity remains a puzzle. An important mechanism of gene regulation is the binding of transcription factors (TFs) to specific DNA sequence motifs across the genome. However, these sequences are hindered by the packaging of DNA to chromatin. Thus, the accessibility of these loci for TF binding is highly regulated and determines where and when TFs bind. We present a workflow for measuring chromatin accessibility in Arabidopsis thaliana and define organ-specific regulatory sites and binding motifs of TFs at these sites. We coupled the recently described isolation of nuclei tagged in specific cell types (INTACT) and assay for transposase-accessible chromatin with high-throughput sequencing (ATAC-seq) as a genome-wide strategy to uncover accessible regulatory sites in Arabidopsis based on their accessibility to nuclease digestion. By applying this pipeline in Arabidopsis roots, we revealed 41,419 accessible sites, of which approximately half are found in gene promoters and contain the H3K4me3 active histone mark. The root-unique accessible sites from this group are enriched for root processes. Interestingly, most of the root-unique accessible sites are found in nongenic regions but are correlated with root-specific expression of distant genes. Importantly, these gene-distant sites are enriched for binding motifs of TFs important for root development as well as motifs for TFs that may play a role as novel transcriptional regulators in roots, suggesting that these accessible loci are functional novel gene-distant regulatory elements. By coupling INTACT with ATAC-seq methods, we present a feasible pipeline to profile accessible chromatin in plants. We also introduce a rapid measure of the experiment quality. We find that chromatin accessibility at promoter regions is strongly associated with transcription and active histone marks. However, root-specific chromatin accessibility is primarily found at intergenic regions, suggesting their predominance in defining organ identity possibly via long-range chromatin interactions. This workflow can be rapidly applied to study the regulatory landscape in other cell types, plant species and conditions.","author":[{"dropping-particle":"","family":"Tannenbaum","given":"Miriam","non-dropping-particle":"","parse-names":false,"suffix":""},{"dropping-particle":"","family":"Sarusi-Portuguez","given":"Avital","non-dropping-particle":"","parse-names":false,"suffix":""},{"dropping-particle":"","family":"Krispil","given":"Ronen","non-dropping-particle":"","parse-names":false,"suffix":""},{"dropping-particle":"","family":"Schwartz","given":"Michal","non-dropping-particle":"","parse-names":false,"suffix":""},{"dropping-particle":"","family":"Loza","given":"Olga","non-dropping-particle":"","parse-names":false,"suffix":""},{"dropping-particle":"","family":"Benichou","given":"Jennifer I. C.","non-dropping-particle":"","parse-names":false,"suffix":""},{"dropping-particle":"","family":"Mosquna","given":"Assaf","non-dropping-particle":"","parse-names":false,"suffix":""},{"dropping-particle":"","family":"Hakim","given":"Ofir","non-dropping-particle":"","parse-names":false,"suffix":""}],"container-title":"Plant Methods","id":"ITEM-4","issue":"1","issued":{"date-parts":[["2018","12","20"]]},"page":"113","publisher":"BioMed Central","title":"Regulatory chromatin landscape in Arabidopsis thaliana roots uncovered by coupling INTACT and ATAC-seq","type":"article-journal","volume":"14"},"uris":["http://www.mendeley.com/documents/?uuid=425b5224-6793-34ca-be52-d7bdf1761042"]}],"mendeley":{"formattedCitation":"[26,36–38]","plainTextFormattedCitation":"[26,36–38]","previouslyFormattedCitation":"[26,36–38]"},"properties":{"noteIndex":0},"schema":"https://github.com/citation-style-language/schema/raw/master/csl-citation.json"}</w:instrText>
      </w:r>
      <w:r w:rsidR="006F3008" w:rsidRPr="00CB6744">
        <w:rPr>
          <w:rFonts w:asciiTheme="majorBidi" w:hAnsiTheme="majorBidi" w:cstheme="majorBidi"/>
          <w:szCs w:val="24"/>
        </w:rPr>
        <w:fldChar w:fldCharType="separate"/>
      </w:r>
      <w:r w:rsidR="00AB1145" w:rsidRPr="00AB1145">
        <w:rPr>
          <w:rFonts w:asciiTheme="majorBidi" w:hAnsiTheme="majorBidi" w:cstheme="majorBidi"/>
          <w:noProof/>
          <w:szCs w:val="24"/>
        </w:rPr>
        <w:t>[26,36–38]</w:t>
      </w:r>
      <w:r w:rsidR="006F3008" w:rsidRPr="00CB6744">
        <w:rPr>
          <w:rFonts w:asciiTheme="majorBidi" w:hAnsiTheme="majorBidi" w:cstheme="majorBidi"/>
          <w:szCs w:val="24"/>
        </w:rPr>
        <w:fldChar w:fldCharType="end"/>
      </w:r>
      <w:r w:rsidR="006F3008" w:rsidRPr="00CB6744">
        <w:rPr>
          <w:rFonts w:asciiTheme="majorBidi" w:hAnsiTheme="majorBidi" w:cstheme="majorBidi"/>
          <w:szCs w:val="24"/>
        </w:rPr>
        <w:t>,</w:t>
      </w:r>
      <w:r w:rsidR="00DE01D1">
        <w:rPr>
          <w:rFonts w:asciiTheme="majorBidi" w:hAnsiTheme="majorBidi" w:cstheme="majorBidi"/>
          <w:szCs w:val="24"/>
        </w:rPr>
        <w:t xml:space="preserve"> </w:t>
      </w:r>
      <w:r w:rsidR="0030479F" w:rsidRPr="00CB6744">
        <w:rPr>
          <w:rFonts w:asciiTheme="majorBidi" w:hAnsiTheme="majorBidi" w:cstheme="majorBidi"/>
          <w:szCs w:val="24"/>
        </w:rPr>
        <w:t xml:space="preserve">highly expressed genes are </w:t>
      </w:r>
      <w:r w:rsidR="0027121B" w:rsidRPr="00CB6744">
        <w:rPr>
          <w:rFonts w:asciiTheme="majorBidi" w:hAnsiTheme="majorBidi" w:cstheme="majorBidi"/>
          <w:szCs w:val="24"/>
        </w:rPr>
        <w:t>accessible</w:t>
      </w:r>
      <w:r w:rsidR="0030479F" w:rsidRPr="00CB6744">
        <w:rPr>
          <w:rFonts w:asciiTheme="majorBidi" w:hAnsiTheme="majorBidi" w:cstheme="majorBidi"/>
          <w:szCs w:val="24"/>
        </w:rPr>
        <w:t xml:space="preserve"> upstream </w:t>
      </w:r>
      <w:r w:rsidR="00AA5293">
        <w:rPr>
          <w:rFonts w:asciiTheme="majorBidi" w:hAnsiTheme="majorBidi" w:cstheme="majorBidi"/>
          <w:szCs w:val="24"/>
        </w:rPr>
        <w:t>t</w:t>
      </w:r>
      <w:r w:rsidR="004E55F5">
        <w:rPr>
          <w:rFonts w:asciiTheme="majorBidi" w:hAnsiTheme="majorBidi" w:cstheme="majorBidi"/>
          <w:szCs w:val="24"/>
        </w:rPr>
        <w:t>o</w:t>
      </w:r>
      <w:r w:rsidR="00AA5293" w:rsidRPr="00CB6744">
        <w:rPr>
          <w:rFonts w:asciiTheme="majorBidi" w:hAnsiTheme="majorBidi" w:cstheme="majorBidi"/>
          <w:szCs w:val="24"/>
        </w:rPr>
        <w:t xml:space="preserve"> </w:t>
      </w:r>
      <w:r w:rsidR="0030479F" w:rsidRPr="00CB6744">
        <w:rPr>
          <w:rFonts w:asciiTheme="majorBidi" w:hAnsiTheme="majorBidi" w:cstheme="majorBidi"/>
          <w:szCs w:val="24"/>
        </w:rPr>
        <w:t xml:space="preserve">their transcription start sites (TSSs) </w:t>
      </w:r>
      <w:r w:rsidR="000D1205" w:rsidRPr="00CB6744">
        <w:rPr>
          <w:rFonts w:asciiTheme="majorBidi" w:hAnsiTheme="majorBidi" w:cstheme="majorBidi"/>
          <w:szCs w:val="24"/>
        </w:rPr>
        <w:t>(Figure 2</w:t>
      </w:r>
      <w:r w:rsidR="00660B0A" w:rsidRPr="00CB6744">
        <w:rPr>
          <w:rFonts w:asciiTheme="majorBidi" w:hAnsiTheme="majorBidi" w:cstheme="majorBidi"/>
          <w:szCs w:val="24"/>
        </w:rPr>
        <w:t>D</w:t>
      </w:r>
      <w:r w:rsidR="000D1205" w:rsidRPr="00CB6744">
        <w:rPr>
          <w:rFonts w:asciiTheme="majorBidi" w:hAnsiTheme="majorBidi" w:cstheme="majorBidi"/>
          <w:szCs w:val="24"/>
        </w:rPr>
        <w:t>,</w:t>
      </w:r>
      <w:r w:rsidR="00750523">
        <w:rPr>
          <w:rFonts w:asciiTheme="majorBidi" w:hAnsiTheme="majorBidi" w:cstheme="majorBidi"/>
          <w:szCs w:val="24"/>
        </w:rPr>
        <w:t xml:space="preserve"> </w:t>
      </w:r>
      <w:r w:rsidR="00660B0A" w:rsidRPr="00CB6744">
        <w:rPr>
          <w:rFonts w:asciiTheme="majorBidi" w:hAnsiTheme="majorBidi" w:cstheme="majorBidi"/>
          <w:szCs w:val="24"/>
        </w:rPr>
        <w:t>E</w:t>
      </w:r>
      <w:r w:rsidR="000D1205" w:rsidRPr="00CB6744">
        <w:rPr>
          <w:rFonts w:asciiTheme="majorBidi" w:hAnsiTheme="majorBidi" w:cstheme="majorBidi"/>
          <w:szCs w:val="24"/>
        </w:rPr>
        <w:t>).</w:t>
      </w:r>
      <w:r w:rsidR="00C562E4" w:rsidRPr="00CB6744">
        <w:rPr>
          <w:rFonts w:asciiTheme="majorBidi" w:hAnsiTheme="majorBidi" w:cstheme="majorBidi"/>
          <w:szCs w:val="24"/>
        </w:rPr>
        <w:t xml:space="preserve"> </w:t>
      </w:r>
      <w:r w:rsidR="00DE01D1">
        <w:rPr>
          <w:rFonts w:asciiTheme="majorBidi" w:hAnsiTheme="majorBidi" w:cstheme="majorBidi"/>
          <w:szCs w:val="24"/>
        </w:rPr>
        <w:t>Focusing on DEGs revealed that</w:t>
      </w:r>
      <w:r w:rsidR="00C562E4" w:rsidRPr="00CB6744">
        <w:rPr>
          <w:rFonts w:asciiTheme="majorBidi" w:hAnsiTheme="majorBidi" w:cstheme="majorBidi"/>
          <w:szCs w:val="24"/>
        </w:rPr>
        <w:t xml:space="preserve"> </w:t>
      </w:r>
      <w:r w:rsidR="008D5A2B">
        <w:rPr>
          <w:rFonts w:asciiTheme="majorBidi" w:hAnsiTheme="majorBidi" w:cstheme="majorBidi"/>
          <w:szCs w:val="24"/>
        </w:rPr>
        <w:t xml:space="preserve">in the </w:t>
      </w:r>
      <w:r w:rsidR="00C562E4" w:rsidRPr="00CB6744">
        <w:rPr>
          <w:rFonts w:asciiTheme="majorBidi" w:hAnsiTheme="majorBidi" w:cstheme="majorBidi"/>
          <w:szCs w:val="24"/>
        </w:rPr>
        <w:t xml:space="preserve">WT </w:t>
      </w:r>
      <w:r w:rsidR="008D5A2B">
        <w:rPr>
          <w:rFonts w:asciiTheme="majorBidi" w:hAnsiTheme="majorBidi" w:cstheme="majorBidi"/>
          <w:szCs w:val="24"/>
        </w:rPr>
        <w:t xml:space="preserve">genome higher expression (WT-specific genes) is mirrored in higher </w:t>
      </w:r>
      <w:r w:rsidR="00C562E4" w:rsidRPr="00CB6744">
        <w:rPr>
          <w:rFonts w:asciiTheme="majorBidi" w:hAnsiTheme="majorBidi" w:cstheme="majorBidi"/>
          <w:szCs w:val="24"/>
        </w:rPr>
        <w:t>accessibility</w:t>
      </w:r>
      <w:r w:rsidR="00604E2E">
        <w:rPr>
          <w:rFonts w:asciiTheme="majorBidi" w:hAnsiTheme="majorBidi" w:cstheme="majorBidi"/>
          <w:szCs w:val="24"/>
        </w:rPr>
        <w:t xml:space="preserve"> relative to the </w:t>
      </w:r>
      <w:r w:rsidR="00604E2E" w:rsidRPr="00CB6744">
        <w:rPr>
          <w:rFonts w:asciiTheme="majorBidi" w:hAnsiTheme="majorBidi" w:cstheme="majorBidi"/>
          <w:i/>
          <w:iCs/>
          <w:szCs w:val="24"/>
        </w:rPr>
        <w:t>brm</w:t>
      </w:r>
      <w:r w:rsidR="00604E2E">
        <w:rPr>
          <w:rFonts w:asciiTheme="majorBidi" w:hAnsiTheme="majorBidi" w:cstheme="majorBidi"/>
          <w:i/>
          <w:iCs/>
          <w:szCs w:val="24"/>
        </w:rPr>
        <w:t>-</w:t>
      </w:r>
      <w:r w:rsidR="00604E2E" w:rsidRPr="00DE01D1">
        <w:rPr>
          <w:rFonts w:asciiTheme="majorBidi" w:hAnsiTheme="majorBidi" w:cstheme="majorBidi"/>
          <w:szCs w:val="24"/>
        </w:rPr>
        <w:t>specific genes</w:t>
      </w:r>
      <w:r w:rsidR="00604E2E">
        <w:rPr>
          <w:rFonts w:asciiTheme="majorBidi" w:hAnsiTheme="majorBidi" w:cstheme="majorBidi"/>
          <w:i/>
          <w:iCs/>
          <w:szCs w:val="24"/>
        </w:rPr>
        <w:t>.</w:t>
      </w:r>
      <w:r w:rsidR="00604E2E">
        <w:rPr>
          <w:rFonts w:asciiTheme="majorBidi" w:hAnsiTheme="majorBidi" w:cstheme="majorBidi"/>
          <w:szCs w:val="24"/>
        </w:rPr>
        <w:t xml:space="preserve"> </w:t>
      </w:r>
      <w:r w:rsidR="00DE01D1">
        <w:rPr>
          <w:rFonts w:asciiTheme="majorBidi" w:hAnsiTheme="majorBidi" w:cstheme="majorBidi"/>
          <w:szCs w:val="24"/>
        </w:rPr>
        <w:t>However,</w:t>
      </w:r>
      <w:r w:rsidR="00604E2E">
        <w:rPr>
          <w:rFonts w:asciiTheme="majorBidi" w:hAnsiTheme="majorBidi" w:cstheme="majorBidi"/>
          <w:szCs w:val="24"/>
        </w:rPr>
        <w:t xml:space="preserve"> in</w:t>
      </w:r>
      <w:r w:rsidR="008D5A2B">
        <w:rPr>
          <w:rFonts w:asciiTheme="majorBidi" w:hAnsiTheme="majorBidi" w:cstheme="majorBidi"/>
          <w:szCs w:val="24"/>
        </w:rPr>
        <w:t xml:space="preserve"> the </w:t>
      </w:r>
      <w:r w:rsidR="00626F95">
        <w:rPr>
          <w:rFonts w:asciiTheme="majorBidi" w:hAnsiTheme="majorBidi" w:cstheme="majorBidi"/>
          <w:i/>
          <w:iCs/>
          <w:szCs w:val="24"/>
        </w:rPr>
        <w:t>brm</w:t>
      </w:r>
      <w:r w:rsidR="008D5A2B">
        <w:rPr>
          <w:rFonts w:asciiTheme="majorBidi" w:hAnsiTheme="majorBidi" w:cstheme="majorBidi"/>
          <w:szCs w:val="24"/>
        </w:rPr>
        <w:t xml:space="preserve"> genome similar accessibility was measured </w:t>
      </w:r>
      <w:r w:rsidR="00604E2E">
        <w:rPr>
          <w:rFonts w:asciiTheme="majorBidi" w:hAnsiTheme="majorBidi" w:cstheme="majorBidi"/>
          <w:szCs w:val="24"/>
        </w:rPr>
        <w:t xml:space="preserve">for </w:t>
      </w:r>
      <w:r w:rsidR="008D5A2B">
        <w:rPr>
          <w:rFonts w:asciiTheme="majorBidi" w:hAnsiTheme="majorBidi" w:cstheme="majorBidi"/>
          <w:szCs w:val="24"/>
        </w:rPr>
        <w:t>WT- and</w:t>
      </w:r>
      <w:r w:rsidR="008D5A2B" w:rsidRPr="008D5A2B">
        <w:rPr>
          <w:rFonts w:asciiTheme="majorBidi" w:hAnsiTheme="majorBidi" w:cstheme="majorBidi"/>
          <w:i/>
          <w:iCs/>
          <w:szCs w:val="24"/>
        </w:rPr>
        <w:t xml:space="preserve"> </w:t>
      </w:r>
      <w:r w:rsidR="008D5A2B" w:rsidRPr="00CB6744">
        <w:rPr>
          <w:rFonts w:asciiTheme="majorBidi" w:hAnsiTheme="majorBidi" w:cstheme="majorBidi"/>
          <w:i/>
          <w:iCs/>
          <w:szCs w:val="24"/>
        </w:rPr>
        <w:t>brm</w:t>
      </w:r>
      <w:r w:rsidR="008D5A2B">
        <w:rPr>
          <w:rFonts w:asciiTheme="majorBidi" w:hAnsiTheme="majorBidi" w:cstheme="majorBidi"/>
          <w:i/>
          <w:iCs/>
          <w:szCs w:val="24"/>
        </w:rPr>
        <w:t>-</w:t>
      </w:r>
      <w:r w:rsidR="00C562E4" w:rsidRPr="00CB6744">
        <w:rPr>
          <w:rFonts w:asciiTheme="majorBidi" w:hAnsiTheme="majorBidi" w:cstheme="majorBidi"/>
          <w:szCs w:val="24"/>
        </w:rPr>
        <w:t>specific genes (Figure 2F).</w:t>
      </w:r>
      <w:r w:rsidR="00327620" w:rsidRPr="00CB6744">
        <w:rPr>
          <w:rFonts w:asciiTheme="majorBidi" w:hAnsiTheme="majorBidi" w:cstheme="majorBidi"/>
          <w:szCs w:val="24"/>
        </w:rPr>
        <w:t xml:space="preserve"> </w:t>
      </w:r>
      <w:r w:rsidR="00D66344">
        <w:rPr>
          <w:rFonts w:asciiTheme="majorBidi" w:hAnsiTheme="majorBidi" w:cstheme="majorBidi"/>
          <w:szCs w:val="24"/>
        </w:rPr>
        <w:t>Notably</w:t>
      </w:r>
      <w:r w:rsidR="00301A90">
        <w:rPr>
          <w:rFonts w:asciiTheme="majorBidi" w:hAnsiTheme="majorBidi" w:cstheme="majorBidi"/>
          <w:szCs w:val="24"/>
        </w:rPr>
        <w:t xml:space="preserve"> this effect of increased accessibility at </w:t>
      </w:r>
      <w:r w:rsidR="00DE01D1">
        <w:rPr>
          <w:rFonts w:asciiTheme="majorBidi" w:hAnsiTheme="majorBidi" w:cstheme="majorBidi"/>
          <w:szCs w:val="24"/>
        </w:rPr>
        <w:t>the</w:t>
      </w:r>
      <w:r w:rsidR="00301A90">
        <w:rPr>
          <w:rFonts w:asciiTheme="majorBidi" w:hAnsiTheme="majorBidi" w:cstheme="majorBidi"/>
          <w:szCs w:val="24"/>
        </w:rPr>
        <w:t xml:space="preserve"> </w:t>
      </w:r>
      <w:r w:rsidR="00301A90" w:rsidRPr="00CB6744">
        <w:rPr>
          <w:rFonts w:asciiTheme="majorBidi" w:hAnsiTheme="majorBidi" w:cstheme="majorBidi"/>
          <w:i/>
          <w:iCs/>
          <w:szCs w:val="24"/>
        </w:rPr>
        <w:t>brm</w:t>
      </w:r>
      <w:r w:rsidR="00301A90">
        <w:rPr>
          <w:rFonts w:asciiTheme="majorBidi" w:hAnsiTheme="majorBidi" w:cstheme="majorBidi"/>
          <w:i/>
          <w:iCs/>
          <w:szCs w:val="24"/>
        </w:rPr>
        <w:t>-</w:t>
      </w:r>
      <w:r w:rsidR="00301A90" w:rsidRPr="00CB6744">
        <w:rPr>
          <w:rFonts w:asciiTheme="majorBidi" w:hAnsiTheme="majorBidi" w:cstheme="majorBidi"/>
          <w:szCs w:val="24"/>
        </w:rPr>
        <w:t>specific genes</w:t>
      </w:r>
      <w:r w:rsidR="00301A90">
        <w:rPr>
          <w:rFonts w:asciiTheme="majorBidi" w:hAnsiTheme="majorBidi" w:cstheme="majorBidi"/>
          <w:szCs w:val="24"/>
        </w:rPr>
        <w:t xml:space="preserve"> is not related t</w:t>
      </w:r>
      <w:r w:rsidR="00DE01D1">
        <w:rPr>
          <w:rFonts w:asciiTheme="majorBidi" w:hAnsiTheme="majorBidi" w:cstheme="majorBidi"/>
          <w:szCs w:val="24"/>
        </w:rPr>
        <w:t>o their expression level as</w:t>
      </w:r>
      <w:r w:rsidR="00D66344">
        <w:rPr>
          <w:rFonts w:asciiTheme="majorBidi" w:hAnsiTheme="majorBidi" w:cstheme="majorBidi"/>
          <w:szCs w:val="24"/>
        </w:rPr>
        <w:t xml:space="preserve"> </w:t>
      </w:r>
      <w:r w:rsidR="0041032D">
        <w:rPr>
          <w:rFonts w:asciiTheme="majorBidi" w:hAnsiTheme="majorBidi" w:cstheme="majorBidi"/>
          <w:szCs w:val="24"/>
        </w:rPr>
        <w:t>four</w:t>
      </w:r>
      <w:r w:rsidR="0041032D" w:rsidRPr="00CB6744">
        <w:rPr>
          <w:rFonts w:asciiTheme="majorBidi" w:hAnsiTheme="majorBidi" w:cstheme="majorBidi"/>
          <w:szCs w:val="24"/>
        </w:rPr>
        <w:t xml:space="preserve"> </w:t>
      </w:r>
      <w:r w:rsidR="0026496D" w:rsidRPr="00CB6744">
        <w:rPr>
          <w:rFonts w:asciiTheme="majorBidi" w:hAnsiTheme="majorBidi" w:cstheme="majorBidi"/>
          <w:szCs w:val="24"/>
        </w:rPr>
        <w:t>equal sized</w:t>
      </w:r>
      <w:r w:rsidR="001560A2">
        <w:rPr>
          <w:rFonts w:asciiTheme="majorBidi" w:hAnsiTheme="majorBidi" w:cstheme="majorBidi"/>
          <w:szCs w:val="24"/>
        </w:rPr>
        <w:t xml:space="preserve"> </w:t>
      </w:r>
      <w:r w:rsidR="00301A90">
        <w:rPr>
          <w:rFonts w:asciiTheme="majorBidi" w:hAnsiTheme="majorBidi" w:cstheme="majorBidi"/>
          <w:szCs w:val="24"/>
        </w:rPr>
        <w:t xml:space="preserve">control </w:t>
      </w:r>
      <w:r w:rsidR="00327620" w:rsidRPr="00CB6744">
        <w:rPr>
          <w:rFonts w:asciiTheme="majorBidi" w:hAnsiTheme="majorBidi" w:cstheme="majorBidi"/>
          <w:szCs w:val="24"/>
        </w:rPr>
        <w:t xml:space="preserve">groups of </w:t>
      </w:r>
      <w:r w:rsidR="00301A90">
        <w:rPr>
          <w:rFonts w:asciiTheme="majorBidi" w:hAnsiTheme="majorBidi" w:cstheme="majorBidi"/>
          <w:szCs w:val="24"/>
        </w:rPr>
        <w:t xml:space="preserve">genes </w:t>
      </w:r>
      <w:r w:rsidR="00327620" w:rsidRPr="00CB6744">
        <w:rPr>
          <w:rFonts w:asciiTheme="majorBidi" w:hAnsiTheme="majorBidi" w:cstheme="majorBidi"/>
          <w:szCs w:val="24"/>
        </w:rPr>
        <w:t>with similar expression levels</w:t>
      </w:r>
      <w:r w:rsidR="0026496D" w:rsidRPr="00CB6744">
        <w:rPr>
          <w:rFonts w:asciiTheme="majorBidi" w:hAnsiTheme="majorBidi" w:cstheme="majorBidi"/>
          <w:szCs w:val="24"/>
        </w:rPr>
        <w:t xml:space="preserve"> </w:t>
      </w:r>
      <w:r w:rsidR="0026496D" w:rsidRPr="00CB6744">
        <w:rPr>
          <w:rFonts w:asciiTheme="majorBidi" w:hAnsiTheme="majorBidi" w:cstheme="majorBidi"/>
          <w:szCs w:val="24"/>
        </w:rPr>
        <w:lastRenderedPageBreak/>
        <w:t xml:space="preserve">to the </w:t>
      </w:r>
      <w:r w:rsidR="00301A90">
        <w:rPr>
          <w:rFonts w:asciiTheme="majorBidi" w:hAnsiTheme="majorBidi" w:cstheme="majorBidi"/>
          <w:szCs w:val="24"/>
        </w:rPr>
        <w:t>plant</w:t>
      </w:r>
      <w:r w:rsidR="0041032D">
        <w:rPr>
          <w:rFonts w:asciiTheme="majorBidi" w:hAnsiTheme="majorBidi" w:cstheme="majorBidi"/>
          <w:szCs w:val="24"/>
        </w:rPr>
        <w:t>-</w:t>
      </w:r>
      <w:r w:rsidR="00301A90">
        <w:rPr>
          <w:rFonts w:asciiTheme="majorBidi" w:hAnsiTheme="majorBidi" w:cstheme="majorBidi"/>
          <w:szCs w:val="24"/>
        </w:rPr>
        <w:t>type-</w:t>
      </w:r>
      <w:r w:rsidR="0026496D" w:rsidRPr="00CB6744">
        <w:rPr>
          <w:rFonts w:asciiTheme="majorBidi" w:hAnsiTheme="majorBidi" w:cstheme="majorBidi"/>
          <w:szCs w:val="24"/>
        </w:rPr>
        <w:t>specific genes</w:t>
      </w:r>
      <w:r w:rsidR="0041032D">
        <w:rPr>
          <w:rFonts w:asciiTheme="majorBidi" w:hAnsiTheme="majorBidi" w:cstheme="majorBidi"/>
          <w:szCs w:val="24"/>
        </w:rPr>
        <w:t xml:space="preserve"> in both plants were accessible at the WT-specific genes</w:t>
      </w:r>
      <w:r w:rsidR="00A4658E" w:rsidRPr="00CB6744">
        <w:rPr>
          <w:rFonts w:asciiTheme="majorBidi" w:hAnsiTheme="majorBidi" w:cstheme="majorBidi"/>
          <w:szCs w:val="24"/>
        </w:rPr>
        <w:t xml:space="preserve"> (</w:t>
      </w:r>
      <w:r w:rsidR="00A4658E" w:rsidRPr="00CB6744">
        <w:rPr>
          <w:rFonts w:asciiTheme="majorBidi" w:hAnsiTheme="majorBidi" w:cstheme="majorBidi"/>
          <w:noProof/>
          <w:szCs w:val="24"/>
        </w:rPr>
        <w:t>Supplemental Figure S2)</w:t>
      </w:r>
      <w:r w:rsidR="00A4658E" w:rsidRPr="00CB6744">
        <w:rPr>
          <w:rFonts w:asciiTheme="majorBidi" w:hAnsiTheme="majorBidi" w:cstheme="majorBidi"/>
          <w:szCs w:val="24"/>
        </w:rPr>
        <w:t xml:space="preserve">. </w:t>
      </w:r>
      <w:r w:rsidR="00B27999">
        <w:rPr>
          <w:rFonts w:asciiTheme="majorBidi" w:hAnsiTheme="majorBidi" w:cstheme="majorBidi"/>
          <w:szCs w:val="24"/>
        </w:rPr>
        <w:t xml:space="preserve">Taken together, these results suggest that the increase in chromatin accessibility </w:t>
      </w:r>
      <w:r w:rsidR="00B27999" w:rsidRPr="00CB6744">
        <w:rPr>
          <w:rFonts w:asciiTheme="majorBidi" w:hAnsiTheme="majorBidi" w:cstheme="majorBidi"/>
          <w:szCs w:val="24"/>
        </w:rPr>
        <w:t>at these loci</w:t>
      </w:r>
      <w:r w:rsidR="00B27999">
        <w:rPr>
          <w:rFonts w:asciiTheme="majorBidi" w:hAnsiTheme="majorBidi" w:cstheme="majorBidi"/>
          <w:szCs w:val="24"/>
        </w:rPr>
        <w:t xml:space="preserve"> in the mutant plant is specifically linked to their increased expression</w:t>
      </w:r>
      <w:r w:rsidR="00DE01D1">
        <w:rPr>
          <w:rFonts w:asciiTheme="majorBidi" w:hAnsiTheme="majorBidi" w:cstheme="majorBidi"/>
          <w:szCs w:val="24"/>
        </w:rPr>
        <w:t xml:space="preserve"> and that</w:t>
      </w:r>
      <w:r w:rsidR="00B27999">
        <w:rPr>
          <w:rFonts w:asciiTheme="majorBidi" w:hAnsiTheme="majorBidi" w:cstheme="majorBidi"/>
          <w:szCs w:val="24"/>
        </w:rPr>
        <w:t xml:space="preserve"> </w:t>
      </w:r>
      <w:r w:rsidR="00A04C69" w:rsidRPr="00CB6744">
        <w:rPr>
          <w:rFonts w:asciiTheme="majorBidi" w:hAnsiTheme="majorBidi" w:cstheme="majorBidi"/>
          <w:szCs w:val="24"/>
        </w:rPr>
        <w:t>BRM</w:t>
      </w:r>
      <w:r w:rsidR="00B27999">
        <w:rPr>
          <w:rFonts w:asciiTheme="majorBidi" w:hAnsiTheme="majorBidi" w:cstheme="majorBidi"/>
          <w:szCs w:val="24"/>
        </w:rPr>
        <w:t xml:space="preserve"> repress chromatin accessibility.</w:t>
      </w:r>
    </w:p>
    <w:p w14:paraId="62812ADE" w14:textId="35EB2790" w:rsidR="00261FDA" w:rsidRPr="00A74C19" w:rsidRDefault="00B010B5" w:rsidP="00187D5A">
      <w:pPr>
        <w:rPr>
          <w:rFonts w:asciiTheme="majorBidi" w:hAnsiTheme="majorBidi" w:cstheme="majorBidi"/>
          <w:b/>
          <w:bCs/>
          <w:i/>
          <w:iCs/>
        </w:rPr>
      </w:pPr>
      <w:r>
        <w:rPr>
          <w:rFonts w:asciiTheme="majorBidi" w:hAnsiTheme="majorBidi" w:cstheme="majorBidi"/>
          <w:b/>
          <w:bCs/>
        </w:rPr>
        <w:t xml:space="preserve">3.3 </w:t>
      </w:r>
      <w:r w:rsidR="00A74C19">
        <w:rPr>
          <w:rFonts w:asciiTheme="majorBidi" w:hAnsiTheme="majorBidi" w:cstheme="majorBidi"/>
          <w:b/>
          <w:bCs/>
        </w:rPr>
        <w:t>T</w:t>
      </w:r>
      <w:r w:rsidR="00187D5A">
        <w:rPr>
          <w:rFonts w:asciiTheme="majorBidi" w:hAnsiTheme="majorBidi" w:cstheme="majorBidi"/>
          <w:b/>
          <w:bCs/>
        </w:rPr>
        <w:t>ransposable element genes</w:t>
      </w:r>
      <w:r w:rsidR="00A74C19">
        <w:rPr>
          <w:rFonts w:asciiTheme="majorBidi" w:hAnsiTheme="majorBidi" w:cstheme="majorBidi"/>
          <w:b/>
          <w:bCs/>
        </w:rPr>
        <w:t xml:space="preserve"> are upregulated in </w:t>
      </w:r>
      <w:r w:rsidR="00A74C19">
        <w:rPr>
          <w:rFonts w:asciiTheme="majorBidi" w:hAnsiTheme="majorBidi" w:cstheme="majorBidi"/>
          <w:b/>
          <w:bCs/>
          <w:i/>
          <w:iCs/>
        </w:rPr>
        <w:t>brm</w:t>
      </w:r>
    </w:p>
    <w:p w14:paraId="10566DAE" w14:textId="1B65C792" w:rsidR="00061C04" w:rsidRPr="00CB6744" w:rsidRDefault="00800586" w:rsidP="00A5034E">
      <w:pPr>
        <w:rPr>
          <w:rFonts w:asciiTheme="majorBidi" w:hAnsiTheme="majorBidi" w:cstheme="majorBidi"/>
          <w:szCs w:val="24"/>
        </w:rPr>
      </w:pPr>
      <w:r>
        <w:rPr>
          <w:rFonts w:asciiTheme="majorBidi" w:hAnsiTheme="majorBidi" w:cstheme="majorBidi"/>
          <w:szCs w:val="24"/>
        </w:rPr>
        <w:t>Notably</w:t>
      </w:r>
      <w:r w:rsidR="009359B0" w:rsidRPr="00CB6744">
        <w:rPr>
          <w:rFonts w:asciiTheme="majorBidi" w:hAnsiTheme="majorBidi" w:cstheme="majorBidi"/>
          <w:szCs w:val="24"/>
        </w:rPr>
        <w:t xml:space="preserve">, </w:t>
      </w:r>
      <w:r w:rsidR="00261FDA">
        <w:rPr>
          <w:rFonts w:asciiTheme="majorBidi" w:hAnsiTheme="majorBidi" w:cstheme="majorBidi"/>
          <w:szCs w:val="24"/>
        </w:rPr>
        <w:t xml:space="preserve">the </w:t>
      </w:r>
      <w:r w:rsidR="009359B0" w:rsidRPr="00CB6744">
        <w:rPr>
          <w:rFonts w:asciiTheme="majorBidi" w:hAnsiTheme="majorBidi" w:cstheme="majorBidi"/>
          <w:szCs w:val="24"/>
        </w:rPr>
        <w:t>proportion of non-coding genes</w:t>
      </w:r>
      <w:r w:rsidR="00790712">
        <w:rPr>
          <w:rFonts w:asciiTheme="majorBidi" w:hAnsiTheme="majorBidi" w:cstheme="majorBidi"/>
          <w:szCs w:val="24"/>
        </w:rPr>
        <w:t xml:space="preserve"> in the group of </w:t>
      </w:r>
      <w:r w:rsidR="00790712" w:rsidRPr="00187D5A">
        <w:rPr>
          <w:rFonts w:asciiTheme="majorBidi" w:hAnsiTheme="majorBidi" w:cstheme="majorBidi"/>
          <w:i/>
          <w:iCs/>
          <w:szCs w:val="24"/>
        </w:rPr>
        <w:t>brm</w:t>
      </w:r>
      <w:r w:rsidRPr="00CB6744">
        <w:rPr>
          <w:rFonts w:asciiTheme="majorBidi" w:hAnsiTheme="majorBidi" w:cstheme="majorBidi"/>
          <w:szCs w:val="24"/>
        </w:rPr>
        <w:t>-specific genes</w:t>
      </w:r>
      <w:r w:rsidR="00790712">
        <w:rPr>
          <w:rFonts w:asciiTheme="majorBidi" w:hAnsiTheme="majorBidi" w:cstheme="majorBidi"/>
          <w:szCs w:val="24"/>
        </w:rPr>
        <w:t xml:space="preserve"> is</w:t>
      </w:r>
      <w:r w:rsidRPr="00CB6744">
        <w:rPr>
          <w:rFonts w:asciiTheme="majorBidi" w:hAnsiTheme="majorBidi" w:cstheme="majorBidi"/>
          <w:szCs w:val="24"/>
          <w:rtl/>
        </w:rPr>
        <w:t xml:space="preserve"> </w:t>
      </w:r>
      <w:r w:rsidRPr="00CB6744">
        <w:rPr>
          <w:rFonts w:asciiTheme="majorBidi" w:hAnsiTheme="majorBidi" w:cstheme="majorBidi"/>
          <w:szCs w:val="24"/>
        </w:rPr>
        <w:t xml:space="preserve">higher </w:t>
      </w:r>
      <w:r w:rsidR="009359B0" w:rsidRPr="00CB6744">
        <w:rPr>
          <w:rFonts w:asciiTheme="majorBidi" w:hAnsiTheme="majorBidi" w:cstheme="majorBidi"/>
          <w:szCs w:val="24"/>
        </w:rPr>
        <w:t>relative to the WT-specific genes</w:t>
      </w:r>
      <w:r w:rsidR="009359B0" w:rsidRPr="00CB6744">
        <w:rPr>
          <w:rFonts w:asciiTheme="majorBidi" w:hAnsiTheme="majorBidi" w:cstheme="majorBidi"/>
          <w:szCs w:val="24"/>
          <w:rtl/>
        </w:rPr>
        <w:t xml:space="preserve"> </w:t>
      </w:r>
      <w:r w:rsidR="009359B0" w:rsidRPr="00CB6744">
        <w:rPr>
          <w:rFonts w:asciiTheme="majorBidi" w:hAnsiTheme="majorBidi" w:cstheme="majorBidi"/>
          <w:szCs w:val="24"/>
        </w:rPr>
        <w:t>(</w:t>
      </w:r>
      <w:r w:rsidR="00F4657F" w:rsidRPr="00CB6744">
        <w:rPr>
          <w:rFonts w:asciiTheme="majorBidi" w:hAnsiTheme="majorBidi" w:cstheme="majorBidi"/>
          <w:szCs w:val="24"/>
        </w:rPr>
        <w:t>6.</w:t>
      </w:r>
      <w:r w:rsidR="00B343F1" w:rsidRPr="00CB6744">
        <w:rPr>
          <w:rFonts w:asciiTheme="majorBidi" w:hAnsiTheme="majorBidi" w:cstheme="majorBidi"/>
          <w:szCs w:val="24"/>
          <w:rtl/>
        </w:rPr>
        <w:t>47</w:t>
      </w:r>
      <w:r w:rsidR="00F4657F" w:rsidRPr="00CB6744">
        <w:rPr>
          <w:rFonts w:asciiTheme="majorBidi" w:hAnsiTheme="majorBidi" w:cstheme="majorBidi"/>
          <w:szCs w:val="24"/>
        </w:rPr>
        <w:t>% vs 3.5</w:t>
      </w:r>
      <w:r w:rsidR="00B343F1" w:rsidRPr="00CB6744">
        <w:rPr>
          <w:rFonts w:asciiTheme="majorBidi" w:hAnsiTheme="majorBidi" w:cstheme="majorBidi"/>
          <w:szCs w:val="24"/>
          <w:rtl/>
        </w:rPr>
        <w:t>3</w:t>
      </w:r>
      <w:r w:rsidR="00F4657F" w:rsidRPr="00CB6744">
        <w:rPr>
          <w:rFonts w:asciiTheme="majorBidi" w:hAnsiTheme="majorBidi" w:cstheme="majorBidi"/>
          <w:szCs w:val="24"/>
        </w:rPr>
        <w:t xml:space="preserve">% </w:t>
      </w:r>
      <w:r w:rsidR="009359B0" w:rsidRPr="00CB6744">
        <w:rPr>
          <w:rFonts w:asciiTheme="majorBidi" w:hAnsiTheme="majorBidi" w:cstheme="majorBidi"/>
          <w:szCs w:val="24"/>
        </w:rPr>
        <w:t xml:space="preserve">Figure </w:t>
      </w:r>
      <w:r w:rsidR="00EA6BD1" w:rsidRPr="00CB6744">
        <w:rPr>
          <w:rFonts w:asciiTheme="majorBidi" w:hAnsiTheme="majorBidi" w:cstheme="majorBidi"/>
          <w:szCs w:val="24"/>
        </w:rPr>
        <w:t>3</w:t>
      </w:r>
      <w:r w:rsidR="009359B0" w:rsidRPr="00CB6744">
        <w:rPr>
          <w:rFonts w:asciiTheme="majorBidi" w:hAnsiTheme="majorBidi" w:cstheme="majorBidi"/>
          <w:szCs w:val="24"/>
        </w:rPr>
        <w:t>A). This trend is further highlighted given that five of the</w:t>
      </w:r>
      <w:r w:rsidR="00DD445C" w:rsidRPr="00CB6744">
        <w:rPr>
          <w:rFonts w:asciiTheme="majorBidi" w:hAnsiTheme="majorBidi" w:cstheme="majorBidi"/>
          <w:szCs w:val="24"/>
        </w:rPr>
        <w:t xml:space="preserve"> </w:t>
      </w:r>
      <w:r w:rsidR="009359B0" w:rsidRPr="00CB6744">
        <w:rPr>
          <w:rFonts w:asciiTheme="majorBidi" w:hAnsiTheme="majorBidi" w:cstheme="majorBidi"/>
          <w:szCs w:val="24"/>
        </w:rPr>
        <w:t>ten</w:t>
      </w:r>
      <w:r w:rsidR="00F15327">
        <w:rPr>
          <w:rFonts w:asciiTheme="majorBidi" w:hAnsiTheme="majorBidi" w:cstheme="majorBidi"/>
          <w:szCs w:val="24"/>
        </w:rPr>
        <w:t xml:space="preserve"> genes with highest fold induction </w:t>
      </w:r>
      <w:r w:rsidR="009359B0" w:rsidRPr="00CB6744">
        <w:rPr>
          <w:rFonts w:asciiTheme="majorBidi" w:hAnsiTheme="majorBidi" w:cstheme="majorBidi"/>
          <w:szCs w:val="24"/>
        </w:rPr>
        <w:t xml:space="preserve">in the </w:t>
      </w:r>
      <w:r w:rsidR="00BC4A99" w:rsidRPr="00CB6744">
        <w:rPr>
          <w:rFonts w:asciiTheme="majorBidi" w:hAnsiTheme="majorBidi" w:cstheme="majorBidi"/>
          <w:szCs w:val="24"/>
        </w:rPr>
        <w:t>mutant</w:t>
      </w:r>
      <w:r w:rsidR="00F15327">
        <w:rPr>
          <w:rFonts w:asciiTheme="majorBidi" w:hAnsiTheme="majorBidi" w:cstheme="majorBidi"/>
          <w:szCs w:val="24"/>
        </w:rPr>
        <w:t xml:space="preserve"> plant </w:t>
      </w:r>
      <w:r w:rsidR="00005568" w:rsidRPr="00CB6744">
        <w:rPr>
          <w:rFonts w:asciiTheme="majorBidi" w:hAnsiTheme="majorBidi" w:cstheme="majorBidi"/>
          <w:szCs w:val="24"/>
        </w:rPr>
        <w:t xml:space="preserve">while none in the </w:t>
      </w:r>
      <w:r w:rsidR="00EA07F8" w:rsidRPr="00CB6744">
        <w:rPr>
          <w:rFonts w:asciiTheme="majorBidi" w:hAnsiTheme="majorBidi" w:cstheme="majorBidi"/>
          <w:szCs w:val="24"/>
        </w:rPr>
        <w:t xml:space="preserve">top ten </w:t>
      </w:r>
      <w:r w:rsidR="00005568" w:rsidRPr="00CB6744">
        <w:rPr>
          <w:rFonts w:asciiTheme="majorBidi" w:hAnsiTheme="majorBidi" w:cstheme="majorBidi"/>
          <w:szCs w:val="24"/>
        </w:rPr>
        <w:t>WT</w:t>
      </w:r>
      <w:r w:rsidR="00EA07F8" w:rsidRPr="00CB6744">
        <w:rPr>
          <w:rFonts w:asciiTheme="majorBidi" w:hAnsiTheme="majorBidi" w:cstheme="majorBidi"/>
          <w:szCs w:val="24"/>
        </w:rPr>
        <w:t>-specific</w:t>
      </w:r>
      <w:r w:rsidR="00DD445C" w:rsidRPr="00CB6744">
        <w:rPr>
          <w:rFonts w:asciiTheme="majorBidi" w:hAnsiTheme="majorBidi" w:cstheme="majorBidi"/>
          <w:szCs w:val="24"/>
        </w:rPr>
        <w:t xml:space="preserve"> genes</w:t>
      </w:r>
      <w:r w:rsidR="00005568" w:rsidRPr="00CB6744">
        <w:rPr>
          <w:rFonts w:asciiTheme="majorBidi" w:hAnsiTheme="majorBidi" w:cstheme="majorBidi"/>
          <w:szCs w:val="24"/>
        </w:rPr>
        <w:t xml:space="preserve"> </w:t>
      </w:r>
      <w:r w:rsidR="009359B0" w:rsidRPr="00CB6744">
        <w:rPr>
          <w:rFonts w:asciiTheme="majorBidi" w:hAnsiTheme="majorBidi" w:cstheme="majorBidi"/>
          <w:szCs w:val="24"/>
        </w:rPr>
        <w:t xml:space="preserve">are non-coding. </w:t>
      </w:r>
      <w:r w:rsidR="00373803" w:rsidRPr="00CB6744">
        <w:rPr>
          <w:rFonts w:asciiTheme="majorBidi" w:hAnsiTheme="majorBidi" w:cstheme="majorBidi"/>
          <w:szCs w:val="24"/>
        </w:rPr>
        <w:t>Genes related to transposable elements (</w:t>
      </w:r>
      <w:r w:rsidR="00B63170" w:rsidRPr="00CB6744">
        <w:rPr>
          <w:rFonts w:asciiTheme="majorBidi" w:hAnsiTheme="majorBidi" w:cstheme="majorBidi"/>
          <w:szCs w:val="24"/>
        </w:rPr>
        <w:t>TE genes</w:t>
      </w:r>
      <w:r w:rsidR="00373803" w:rsidRPr="00CB6744">
        <w:rPr>
          <w:rFonts w:asciiTheme="majorBidi" w:hAnsiTheme="majorBidi" w:cstheme="majorBidi"/>
          <w:szCs w:val="24"/>
        </w:rPr>
        <w:t>)</w:t>
      </w:r>
      <w:r w:rsidR="00B63170" w:rsidRPr="00CB6744">
        <w:rPr>
          <w:rFonts w:asciiTheme="majorBidi" w:hAnsiTheme="majorBidi" w:cstheme="majorBidi"/>
          <w:szCs w:val="24"/>
        </w:rPr>
        <w:t xml:space="preserve"> are the most dominant </w:t>
      </w:r>
      <w:r w:rsidR="003C15F1" w:rsidRPr="00CB6744">
        <w:rPr>
          <w:rFonts w:asciiTheme="majorBidi" w:hAnsiTheme="majorBidi" w:cstheme="majorBidi"/>
          <w:szCs w:val="24"/>
        </w:rPr>
        <w:t xml:space="preserve">group of </w:t>
      </w:r>
      <w:r w:rsidR="00B63170" w:rsidRPr="00CB6744">
        <w:rPr>
          <w:rFonts w:asciiTheme="majorBidi" w:hAnsiTheme="majorBidi" w:cstheme="majorBidi"/>
          <w:szCs w:val="24"/>
        </w:rPr>
        <w:t>non-coding transcripts in the</w:t>
      </w:r>
      <w:r w:rsidR="003C15F1" w:rsidRPr="00CB6744">
        <w:rPr>
          <w:rFonts w:asciiTheme="majorBidi" w:hAnsiTheme="majorBidi" w:cstheme="majorBidi"/>
          <w:szCs w:val="24"/>
        </w:rPr>
        <w:t xml:space="preserve"> list of</w:t>
      </w:r>
      <w:r w:rsidR="00B63170" w:rsidRPr="00CB6744">
        <w:rPr>
          <w:rFonts w:asciiTheme="majorBidi" w:hAnsiTheme="majorBidi" w:cstheme="majorBidi"/>
          <w:szCs w:val="24"/>
        </w:rPr>
        <w:t xml:space="preserve"> </w:t>
      </w:r>
      <w:r w:rsidR="009B59EC" w:rsidRPr="00CB6744">
        <w:rPr>
          <w:rFonts w:asciiTheme="majorBidi" w:hAnsiTheme="majorBidi" w:cstheme="majorBidi"/>
          <w:i/>
          <w:iCs/>
          <w:szCs w:val="24"/>
        </w:rPr>
        <w:t>b</w:t>
      </w:r>
      <w:r w:rsidR="00B63170" w:rsidRPr="00CB6744">
        <w:rPr>
          <w:rFonts w:asciiTheme="majorBidi" w:hAnsiTheme="majorBidi" w:cstheme="majorBidi"/>
          <w:i/>
          <w:iCs/>
          <w:szCs w:val="24"/>
        </w:rPr>
        <w:t>rm</w:t>
      </w:r>
      <w:r w:rsidR="003C15F1" w:rsidRPr="00CB6744">
        <w:rPr>
          <w:rFonts w:asciiTheme="majorBidi" w:hAnsiTheme="majorBidi" w:cstheme="majorBidi"/>
          <w:szCs w:val="24"/>
        </w:rPr>
        <w:t>-specific genes</w:t>
      </w:r>
      <w:r w:rsidR="00B63170" w:rsidRPr="00CB6744">
        <w:rPr>
          <w:rFonts w:asciiTheme="majorBidi" w:hAnsiTheme="majorBidi" w:cstheme="majorBidi"/>
          <w:szCs w:val="24"/>
        </w:rPr>
        <w:t xml:space="preserve"> (4.53%), while only 1.06% of the WT-specific genes</w:t>
      </w:r>
      <w:r w:rsidR="00374DAD">
        <w:rPr>
          <w:rFonts w:asciiTheme="majorBidi" w:hAnsiTheme="majorBidi" w:cstheme="majorBidi"/>
          <w:szCs w:val="24"/>
        </w:rPr>
        <w:t xml:space="preserve">, and are significantly enriched in the </w:t>
      </w:r>
      <w:r w:rsidR="00374DAD">
        <w:rPr>
          <w:rFonts w:asciiTheme="majorBidi" w:hAnsiTheme="majorBidi" w:cstheme="majorBidi"/>
          <w:i/>
          <w:iCs/>
          <w:szCs w:val="24"/>
        </w:rPr>
        <w:t>brm</w:t>
      </w:r>
      <w:r w:rsidR="00374DAD">
        <w:rPr>
          <w:rFonts w:asciiTheme="majorBidi" w:hAnsiTheme="majorBidi" w:cstheme="majorBidi"/>
          <w:szCs w:val="24"/>
        </w:rPr>
        <w:t>-specific genes (p-value&lt;0.05, Chi-squared test)</w:t>
      </w:r>
      <w:r w:rsidR="00377A27" w:rsidRPr="00CB6744">
        <w:rPr>
          <w:rFonts w:asciiTheme="majorBidi" w:hAnsiTheme="majorBidi" w:cstheme="majorBidi"/>
          <w:szCs w:val="24"/>
        </w:rPr>
        <w:t xml:space="preserve">. </w:t>
      </w:r>
      <w:r w:rsidR="00005568" w:rsidRPr="00CB6744">
        <w:rPr>
          <w:rFonts w:asciiTheme="majorBidi" w:hAnsiTheme="majorBidi" w:cstheme="majorBidi"/>
          <w:szCs w:val="24"/>
        </w:rPr>
        <w:t xml:space="preserve">Given that the transcript levels of </w:t>
      </w:r>
      <w:r w:rsidR="00373803" w:rsidRPr="00CB6744">
        <w:rPr>
          <w:rFonts w:asciiTheme="majorBidi" w:hAnsiTheme="majorBidi" w:cstheme="majorBidi"/>
          <w:szCs w:val="24"/>
        </w:rPr>
        <w:t>TE</w:t>
      </w:r>
      <w:r w:rsidR="00005568" w:rsidRPr="00CB6744">
        <w:rPr>
          <w:rFonts w:asciiTheme="majorBidi" w:hAnsiTheme="majorBidi" w:cstheme="majorBidi"/>
          <w:szCs w:val="24"/>
        </w:rPr>
        <w:t xml:space="preserve"> genes</w:t>
      </w:r>
      <w:r w:rsidR="00E37221" w:rsidRPr="00CB6744">
        <w:rPr>
          <w:rFonts w:asciiTheme="majorBidi" w:hAnsiTheme="majorBidi" w:cstheme="majorBidi"/>
          <w:szCs w:val="24"/>
        </w:rPr>
        <w:t xml:space="preserve"> and </w:t>
      </w:r>
      <w:r w:rsidR="00F15327">
        <w:rPr>
          <w:rFonts w:asciiTheme="majorBidi" w:hAnsiTheme="majorBidi" w:cstheme="majorBidi"/>
          <w:szCs w:val="24"/>
        </w:rPr>
        <w:t>thus their</w:t>
      </w:r>
      <w:r w:rsidR="00E37221" w:rsidRPr="00CB6744">
        <w:rPr>
          <w:rFonts w:asciiTheme="majorBidi" w:hAnsiTheme="majorBidi" w:cstheme="majorBidi"/>
          <w:szCs w:val="24"/>
        </w:rPr>
        <w:t xml:space="preserve"> variation</w:t>
      </w:r>
      <w:r w:rsidR="00005568" w:rsidRPr="00CB6744">
        <w:rPr>
          <w:rFonts w:asciiTheme="majorBidi" w:hAnsiTheme="majorBidi" w:cstheme="majorBidi"/>
          <w:szCs w:val="24"/>
        </w:rPr>
        <w:t xml:space="preserve"> is overall </w:t>
      </w:r>
      <w:r w:rsidR="00314557">
        <w:rPr>
          <w:rFonts w:asciiTheme="majorBidi" w:hAnsiTheme="majorBidi" w:cstheme="majorBidi"/>
          <w:szCs w:val="24"/>
        </w:rPr>
        <w:t xml:space="preserve">are </w:t>
      </w:r>
      <w:r w:rsidR="00005568" w:rsidRPr="00CB6744">
        <w:rPr>
          <w:rFonts w:asciiTheme="majorBidi" w:hAnsiTheme="majorBidi" w:cstheme="majorBidi"/>
          <w:szCs w:val="24"/>
        </w:rPr>
        <w:t>lower than</w:t>
      </w:r>
      <w:r w:rsidR="00314557">
        <w:rPr>
          <w:rFonts w:asciiTheme="majorBidi" w:hAnsiTheme="majorBidi" w:cstheme="majorBidi"/>
          <w:szCs w:val="24"/>
        </w:rPr>
        <w:t xml:space="preserve"> those of</w:t>
      </w:r>
      <w:r w:rsidR="00005568" w:rsidRPr="00CB6744">
        <w:rPr>
          <w:rFonts w:asciiTheme="majorBidi" w:hAnsiTheme="majorBidi" w:cstheme="majorBidi"/>
          <w:szCs w:val="24"/>
        </w:rPr>
        <w:t xml:space="preserve"> </w:t>
      </w:r>
      <w:r w:rsidR="00373803" w:rsidRPr="00CB6744">
        <w:rPr>
          <w:rFonts w:asciiTheme="majorBidi" w:hAnsiTheme="majorBidi" w:cstheme="majorBidi"/>
          <w:szCs w:val="24"/>
        </w:rPr>
        <w:t>protein-</w:t>
      </w:r>
      <w:r w:rsidR="00005568" w:rsidRPr="00CB6744">
        <w:rPr>
          <w:rFonts w:asciiTheme="majorBidi" w:hAnsiTheme="majorBidi" w:cstheme="majorBidi"/>
          <w:szCs w:val="24"/>
        </w:rPr>
        <w:t>coding genes</w:t>
      </w:r>
      <w:r w:rsidR="00030B50" w:rsidRPr="00CB6744">
        <w:rPr>
          <w:rFonts w:asciiTheme="majorBidi" w:hAnsiTheme="majorBidi" w:cstheme="majorBidi"/>
          <w:szCs w:val="24"/>
        </w:rPr>
        <w:t xml:space="preserve"> </w:t>
      </w:r>
      <w:r w:rsidR="00030B50" w:rsidRPr="00CB6744">
        <w:rPr>
          <w:rFonts w:asciiTheme="majorBidi" w:hAnsiTheme="majorBidi" w:cstheme="majorBidi"/>
          <w:szCs w:val="24"/>
        </w:rPr>
        <w:fldChar w:fldCharType="begin" w:fldLock="1"/>
      </w:r>
      <w:r w:rsidR="00AB1145">
        <w:rPr>
          <w:rFonts w:asciiTheme="majorBidi" w:hAnsiTheme="majorBidi" w:cstheme="majorBidi"/>
          <w:szCs w:val="24"/>
        </w:rPr>
        <w:instrText>ADDIN CSL_CITATION {"citationItems":[{"id":"ITEM-1","itemData":{"DOI":"10.1016/j.cell.2008.12.038","ISSN":"00928674","author":[{"dropping-particle":"","family":"Slotkin","given":"R. Keith","non-dropping-particle":"","parse-names":false,"suffix":""},{"dropping-particle":"","family":"Vaughn","given":"Matthew","non-dropping-particle":"","parse-names":false,"suffix":""},{"dropping-particle":"","family":"Borges","given":"Filipe","non-dropping-particle":"","parse-names":false,"suffix":""},{"dropping-particle":"","family":"Tanurdžić","given":"Miloš","non-dropping-particle":"","parse-names":false,"suffix":""},{"dropping-particle":"","family":"Becker","given":"Jörg D.","non-dropping-particle":"","parse-names":false,"suffix":""},{"dropping-particle":"","family":"Feijó","given":"José A.","non-dropping-particle":"","parse-names":false,"suffix":""},{"dropping-particle":"","family":"Martienssen","given":"Robert A.","non-dropping-particle":"","parse-names":false,"suffix":""}],"container-title":"Cell","id":"ITEM-1","issue":"3","issued":{"date-parts":[["2009","2"]]},"page":"461-472","title":"Epigenetic Reprogramming and Small RNA Silencing of Transposable Elements in Pollen","type":"article-journal","volume":"136"},"uris":["http://www.mendeley.com/documents/?uuid=f75ef5d5-37c2-4605-b1fe-18e29ef62ed1"]}],"mendeley":{"formattedCitation":"[39]","plainTextFormattedCitation":"[39]","previouslyFormattedCitation":"[39]"},"properties":{"noteIndex":0},"schema":"https://github.com/citation-style-language/schema/raw/master/csl-citation.json"}</w:instrText>
      </w:r>
      <w:r w:rsidR="00030B50" w:rsidRPr="00CB6744">
        <w:rPr>
          <w:rFonts w:asciiTheme="majorBidi" w:hAnsiTheme="majorBidi" w:cstheme="majorBidi"/>
          <w:szCs w:val="24"/>
        </w:rPr>
        <w:fldChar w:fldCharType="separate"/>
      </w:r>
      <w:r w:rsidR="00AB1145" w:rsidRPr="00AB1145">
        <w:rPr>
          <w:rFonts w:asciiTheme="majorBidi" w:hAnsiTheme="majorBidi" w:cstheme="majorBidi"/>
          <w:noProof/>
          <w:szCs w:val="24"/>
        </w:rPr>
        <w:t>[39]</w:t>
      </w:r>
      <w:r w:rsidR="00030B50" w:rsidRPr="00CB6744">
        <w:rPr>
          <w:rFonts w:asciiTheme="majorBidi" w:hAnsiTheme="majorBidi" w:cstheme="majorBidi"/>
          <w:szCs w:val="24"/>
        </w:rPr>
        <w:fldChar w:fldCharType="end"/>
      </w:r>
      <w:r w:rsidR="00005568" w:rsidRPr="00CB6744">
        <w:rPr>
          <w:rFonts w:asciiTheme="majorBidi" w:hAnsiTheme="majorBidi" w:cstheme="majorBidi"/>
          <w:szCs w:val="24"/>
        </w:rPr>
        <w:t xml:space="preserve">, we looked at the </w:t>
      </w:r>
      <w:r w:rsidR="00182780" w:rsidRPr="00CB6744">
        <w:rPr>
          <w:rFonts w:asciiTheme="majorBidi" w:hAnsiTheme="majorBidi" w:cstheme="majorBidi"/>
          <w:szCs w:val="24"/>
        </w:rPr>
        <w:t xml:space="preserve">global trends of differential expression </w:t>
      </w:r>
      <w:r w:rsidR="00005568" w:rsidRPr="00CB6744">
        <w:rPr>
          <w:rFonts w:asciiTheme="majorBidi" w:hAnsiTheme="majorBidi" w:cstheme="majorBidi"/>
          <w:szCs w:val="24"/>
        </w:rPr>
        <w:t xml:space="preserve">without filtering for </w:t>
      </w:r>
      <w:r w:rsidR="00F15327">
        <w:rPr>
          <w:rFonts w:asciiTheme="majorBidi" w:hAnsiTheme="majorBidi" w:cstheme="majorBidi"/>
          <w:szCs w:val="24"/>
        </w:rPr>
        <w:t>a</w:t>
      </w:r>
      <w:r w:rsidR="00F15327" w:rsidRPr="00CB6744">
        <w:rPr>
          <w:rFonts w:asciiTheme="majorBidi" w:hAnsiTheme="majorBidi" w:cstheme="majorBidi"/>
          <w:szCs w:val="24"/>
        </w:rPr>
        <w:t xml:space="preserve"> </w:t>
      </w:r>
      <w:r w:rsidR="00005568" w:rsidRPr="00CB6744">
        <w:rPr>
          <w:rFonts w:asciiTheme="majorBidi" w:hAnsiTheme="majorBidi" w:cstheme="majorBidi"/>
          <w:szCs w:val="24"/>
        </w:rPr>
        <w:t xml:space="preserve">statistical cutoff. </w:t>
      </w:r>
      <w:r w:rsidR="00F15327">
        <w:rPr>
          <w:rFonts w:asciiTheme="majorBidi" w:hAnsiTheme="majorBidi" w:cstheme="majorBidi"/>
          <w:szCs w:val="24"/>
        </w:rPr>
        <w:t xml:space="preserve">This revealed that </w:t>
      </w:r>
      <w:r w:rsidR="009359B0" w:rsidRPr="00CB6744">
        <w:rPr>
          <w:rFonts w:asciiTheme="majorBidi" w:hAnsiTheme="majorBidi" w:cstheme="majorBidi"/>
          <w:szCs w:val="24"/>
        </w:rPr>
        <w:t xml:space="preserve">23.5% </w:t>
      </w:r>
      <w:r w:rsidR="00F15327" w:rsidRPr="00CB6744">
        <w:rPr>
          <w:rFonts w:asciiTheme="majorBidi" w:hAnsiTheme="majorBidi" w:cstheme="majorBidi"/>
          <w:szCs w:val="24"/>
        </w:rPr>
        <w:t xml:space="preserve">of the 3,901 annotated TE genes </w:t>
      </w:r>
      <w:r w:rsidR="00223032">
        <w:rPr>
          <w:rFonts w:asciiTheme="majorBidi" w:hAnsiTheme="majorBidi" w:cstheme="majorBidi"/>
          <w:szCs w:val="24"/>
        </w:rPr>
        <w:t xml:space="preserve">showed higher transcript count in </w:t>
      </w:r>
      <w:r w:rsidR="00223032" w:rsidRPr="00CB6744">
        <w:rPr>
          <w:rFonts w:asciiTheme="majorBidi" w:hAnsiTheme="majorBidi" w:cstheme="majorBidi"/>
          <w:i/>
          <w:iCs/>
          <w:szCs w:val="24"/>
        </w:rPr>
        <w:t>brm</w:t>
      </w:r>
      <w:r w:rsidR="00223032">
        <w:rPr>
          <w:rFonts w:asciiTheme="majorBidi" w:hAnsiTheme="majorBidi" w:cstheme="majorBidi"/>
          <w:szCs w:val="24"/>
        </w:rPr>
        <w:t xml:space="preserve">, </w:t>
      </w:r>
      <w:r w:rsidR="00E37221" w:rsidRPr="00CB6744">
        <w:rPr>
          <w:rFonts w:asciiTheme="majorBidi" w:hAnsiTheme="majorBidi" w:cstheme="majorBidi"/>
          <w:szCs w:val="24"/>
        </w:rPr>
        <w:t xml:space="preserve">while </w:t>
      </w:r>
      <w:r w:rsidR="00662F93" w:rsidRPr="00CB6744">
        <w:rPr>
          <w:rFonts w:asciiTheme="majorBidi" w:hAnsiTheme="majorBidi" w:cstheme="majorBidi"/>
          <w:szCs w:val="24"/>
        </w:rPr>
        <w:t>15.1%</w:t>
      </w:r>
      <w:r w:rsidR="00E37221" w:rsidRPr="00CB6744">
        <w:rPr>
          <w:rFonts w:asciiTheme="majorBidi" w:hAnsiTheme="majorBidi" w:cstheme="majorBidi"/>
          <w:szCs w:val="24"/>
        </w:rPr>
        <w:t xml:space="preserve"> were </w:t>
      </w:r>
      <w:r w:rsidR="006D5B48" w:rsidRPr="00CB6744">
        <w:rPr>
          <w:rFonts w:asciiTheme="majorBidi" w:hAnsiTheme="majorBidi" w:cstheme="majorBidi"/>
          <w:szCs w:val="24"/>
        </w:rPr>
        <w:t>downregulated</w:t>
      </w:r>
      <w:r w:rsidR="00374DAD">
        <w:rPr>
          <w:rFonts w:asciiTheme="majorBidi" w:hAnsiTheme="majorBidi" w:cstheme="majorBidi"/>
          <w:szCs w:val="24"/>
        </w:rPr>
        <w:t xml:space="preserve"> (p-value</w:t>
      </w:r>
      <w:r w:rsidR="00374DAD" w:rsidRPr="00374DAD">
        <w:rPr>
          <w:rFonts w:asciiTheme="majorBidi" w:hAnsiTheme="majorBidi" w:cstheme="majorBidi"/>
          <w:szCs w:val="24"/>
        </w:rPr>
        <w:t xml:space="preserve"> &lt; 2.2e-16</w:t>
      </w:r>
      <w:r w:rsidR="00374DAD">
        <w:rPr>
          <w:rFonts w:asciiTheme="majorBidi" w:hAnsiTheme="majorBidi" w:cstheme="majorBidi"/>
          <w:szCs w:val="24"/>
        </w:rPr>
        <w:t>, Chi-squared test)</w:t>
      </w:r>
      <w:r w:rsidR="00374DAD" w:rsidRPr="00CB6744">
        <w:rPr>
          <w:rFonts w:asciiTheme="majorBidi" w:hAnsiTheme="majorBidi" w:cstheme="majorBidi"/>
          <w:szCs w:val="24"/>
        </w:rPr>
        <w:t>.</w:t>
      </w:r>
    </w:p>
    <w:p w14:paraId="5EBA5652" w14:textId="315686B3" w:rsidR="00261FDA" w:rsidRDefault="00061C04" w:rsidP="000E6693">
      <w:pPr>
        <w:rPr>
          <w:rFonts w:asciiTheme="majorBidi" w:hAnsiTheme="majorBidi" w:cstheme="majorBidi"/>
        </w:rPr>
      </w:pPr>
      <w:r w:rsidRPr="00CB6744">
        <w:rPr>
          <w:rFonts w:asciiTheme="majorBidi" w:hAnsiTheme="majorBidi" w:cstheme="majorBidi"/>
          <w:szCs w:val="24"/>
        </w:rPr>
        <w:t>Aside from the TE genes</w:t>
      </w:r>
      <w:r w:rsidR="00CF6957">
        <w:rPr>
          <w:rFonts w:asciiTheme="majorBidi" w:hAnsiTheme="majorBidi" w:cstheme="majorBidi"/>
          <w:szCs w:val="24"/>
        </w:rPr>
        <w:t xml:space="preserve"> which are </w:t>
      </w:r>
      <w:r w:rsidR="00CF6957">
        <w:t xml:space="preserve">genes encoded </w:t>
      </w:r>
      <w:r w:rsidR="00A74C19">
        <w:t>within</w:t>
      </w:r>
      <w:r w:rsidR="00CF6957">
        <w:t xml:space="preserve"> a transposable element</w:t>
      </w:r>
      <w:r w:rsidRPr="00CB6744">
        <w:rPr>
          <w:rFonts w:asciiTheme="majorBidi" w:hAnsiTheme="majorBidi" w:cstheme="majorBidi"/>
          <w:szCs w:val="24"/>
        </w:rPr>
        <w:t xml:space="preserve">, there are 31,189 transposable elements annotated in the Arabidopsis genome </w:t>
      </w:r>
      <w:r w:rsidR="009C722B">
        <w:rPr>
          <w:rFonts w:asciiTheme="majorBidi" w:hAnsiTheme="majorBidi" w:cstheme="majorBidi"/>
          <w:szCs w:val="24"/>
        </w:rPr>
        <w:t xml:space="preserve">which are not associated with genes </w:t>
      </w:r>
      <w:r w:rsidRPr="00CB6744">
        <w:rPr>
          <w:rFonts w:asciiTheme="majorBidi" w:hAnsiTheme="majorBidi" w:cstheme="majorBidi"/>
          <w:szCs w:val="24"/>
        </w:rPr>
        <w:fldChar w:fldCharType="begin" w:fldLock="1"/>
      </w:r>
      <w:r w:rsidR="00AB1145">
        <w:rPr>
          <w:rFonts w:asciiTheme="majorBidi" w:hAnsiTheme="majorBidi" w:cstheme="majorBidi"/>
          <w:szCs w:val="24"/>
        </w:rPr>
        <w:instrText>ADDIN CSL_CITATION {"citationItems":[{"id":"ITEM-1","itemData":{"DOI":"10.1093/nar/gkr1090","ISSN":"1362-4962","author":[{"dropping-particle":"","family":"Lamesch","given":"Philippe","non-dropping-particle":"","parse-names":false,"suffix":""},{"dropping-particle":"","family":"Berardini","given":"Tanya Z.","non-dropping-particle":"","parse-names":false,"suffix":""},{"dropping-particle":"","family":"Li","given":"Donghui","non-dropping-particle":"","parse-names":false,"suffix":""},{"dropping-particle":"","family":"Swarbreck","given":"David","non-dropping-particle":"","parse-names":false,"suffix":""},{"dropping-particle":"","family":"Wilks","given":"Christopher","non-dropping-particle":"","parse-names":false,"suffix":""},{"dropping-particle":"","family":"Sasidharan","given":"Rajkumar","non-dropping-particle":"","parse-names":false,"suffix":""},{"dropping-particle":"","family":"Muller","given":"Robert","non-dropping-particle":"","parse-names":false,"suffix":""},{"dropping-particle":"","family":"Dreher","given":"Kate","non-dropping-particle":"","parse-names":false,"suffix":""},{"dropping-particle":"","family":"Alexander","given":"Debbie L.","non-dropping-particle":"","parse-names":false,"suffix":""},{"dropping-particle":"","family":"Garcia-Hernandez","given":"Margarita","non-dropping-particle":"","parse-names":false,"suffix":""},{"dropping-particle":"","family":"Karthikeyan","given":"Athikkattuvalasu S.","non-dropping-particle":"","parse-names":false,"suffix":""},{"dropping-particle":"","family":"Lee","given":"Cynthia H.","non-dropping-particle":"","parse-names":false,"suffix":""},{"dropping-particle":"","family":"Nelson","given":"William D.","non-dropping-particle":"","parse-names":false,"suffix":""},{"dropping-particle":"","family":"Ploetz","given":"Larry","non-dropping-particle":"","parse-names":false,"suffix":""},{"dropping-particle":"","family":"Singh","given":"Shanker","non-dropping-particle":"","parse-names":false,"suffix":""},{"dropping-particle":"","family":"Wensel","given":"April","non-dropping-particle":"","parse-names":false,"suffix":""},{"dropping-particle":"","family":"Huala","given":"Eva","non-dropping-particle":"","parse-names":false,"suffix":""}],"container-title":"Nucleic Acids Research","id":"ITEM-1","issue":"D1","issued":{"date-parts":[["2012","1"]]},"page":"D1202-D1210","title":"The Arabidopsis Information Resource (TAIR): improved gene annotation and new tools","type":"article-journal","volume":"40"},"uris":["http://www.mendeley.com/documents/?uuid=ba339e42-2390-40ea-878b-a695e0cf04b5"]}],"mendeley":{"formattedCitation":"[40]","plainTextFormattedCitation":"[40]","previouslyFormattedCitation":"[40]"},"properties":{"noteIndex":0},"schema":"https://github.com/citation-style-language/schema/raw/master/csl-citation.json"}</w:instrText>
      </w:r>
      <w:r w:rsidRPr="00CB6744">
        <w:rPr>
          <w:rFonts w:asciiTheme="majorBidi" w:hAnsiTheme="majorBidi" w:cstheme="majorBidi"/>
          <w:szCs w:val="24"/>
        </w:rPr>
        <w:fldChar w:fldCharType="separate"/>
      </w:r>
      <w:r w:rsidR="00AB1145" w:rsidRPr="00AB1145">
        <w:rPr>
          <w:rFonts w:asciiTheme="majorBidi" w:hAnsiTheme="majorBidi" w:cstheme="majorBidi"/>
          <w:noProof/>
          <w:szCs w:val="24"/>
        </w:rPr>
        <w:t>[40]</w:t>
      </w:r>
      <w:r w:rsidRPr="00CB6744">
        <w:rPr>
          <w:rFonts w:asciiTheme="majorBidi" w:hAnsiTheme="majorBidi" w:cstheme="majorBidi"/>
          <w:szCs w:val="24"/>
        </w:rPr>
        <w:fldChar w:fldCharType="end"/>
      </w:r>
      <w:r w:rsidRPr="00CB6744">
        <w:rPr>
          <w:rFonts w:asciiTheme="majorBidi" w:hAnsiTheme="majorBidi" w:cstheme="majorBidi"/>
          <w:szCs w:val="24"/>
        </w:rPr>
        <w:t xml:space="preserve">. </w:t>
      </w:r>
      <w:r w:rsidR="00CF6957">
        <w:rPr>
          <w:rFonts w:asciiTheme="majorBidi" w:hAnsiTheme="majorBidi" w:cstheme="majorBidi"/>
          <w:szCs w:val="24"/>
        </w:rPr>
        <w:t>T</w:t>
      </w:r>
      <w:r w:rsidR="00241A22" w:rsidRPr="00CB6744">
        <w:rPr>
          <w:rFonts w:asciiTheme="majorBidi" w:hAnsiTheme="majorBidi" w:cstheme="majorBidi"/>
          <w:szCs w:val="24"/>
        </w:rPr>
        <w:t>hese elements</w:t>
      </w:r>
      <w:r w:rsidR="00794E53">
        <w:rPr>
          <w:rFonts w:asciiTheme="majorBidi" w:hAnsiTheme="majorBidi" w:cstheme="majorBidi"/>
          <w:szCs w:val="24"/>
        </w:rPr>
        <w:t xml:space="preserve"> </w:t>
      </w:r>
      <w:r w:rsidR="0078004E" w:rsidRPr="00CB6744">
        <w:rPr>
          <w:rFonts w:asciiTheme="majorBidi" w:hAnsiTheme="majorBidi" w:cstheme="majorBidi"/>
          <w:szCs w:val="24"/>
        </w:rPr>
        <w:t xml:space="preserve">were </w:t>
      </w:r>
      <w:r w:rsidR="008A1CF6" w:rsidRPr="00CB6744">
        <w:rPr>
          <w:rFonts w:asciiTheme="majorBidi" w:hAnsiTheme="majorBidi" w:cstheme="majorBidi"/>
          <w:szCs w:val="24"/>
        </w:rPr>
        <w:t xml:space="preserve">also </w:t>
      </w:r>
      <w:r w:rsidR="0078004E" w:rsidRPr="00CB6744">
        <w:rPr>
          <w:rFonts w:asciiTheme="majorBidi" w:hAnsiTheme="majorBidi" w:cstheme="majorBidi"/>
          <w:szCs w:val="24"/>
        </w:rPr>
        <w:t xml:space="preserve">upregulated to a greater extent in the </w:t>
      </w:r>
      <w:r w:rsidR="0078004E" w:rsidRPr="00CB6744">
        <w:rPr>
          <w:rFonts w:asciiTheme="majorBidi" w:hAnsiTheme="majorBidi" w:cstheme="majorBidi"/>
          <w:i/>
          <w:iCs/>
          <w:szCs w:val="24"/>
        </w:rPr>
        <w:t>brm</w:t>
      </w:r>
      <w:r w:rsidR="0078004E" w:rsidRPr="00CB6744">
        <w:rPr>
          <w:rFonts w:asciiTheme="majorBidi" w:hAnsiTheme="majorBidi" w:cstheme="majorBidi"/>
          <w:szCs w:val="24"/>
        </w:rPr>
        <w:t xml:space="preserve"> mutant </w:t>
      </w:r>
      <w:r w:rsidR="008A1CF6" w:rsidRPr="00CB6744">
        <w:rPr>
          <w:rFonts w:asciiTheme="majorBidi" w:hAnsiTheme="majorBidi" w:cstheme="majorBidi"/>
          <w:szCs w:val="24"/>
        </w:rPr>
        <w:t xml:space="preserve">than in the </w:t>
      </w:r>
      <w:r w:rsidR="0078004E" w:rsidRPr="00CB6744">
        <w:rPr>
          <w:rFonts w:asciiTheme="majorBidi" w:hAnsiTheme="majorBidi" w:cstheme="majorBidi"/>
          <w:szCs w:val="24"/>
        </w:rPr>
        <w:t>WT plants (</w:t>
      </w:r>
      <w:r w:rsidR="008A1CF6" w:rsidRPr="00CB6744">
        <w:rPr>
          <w:rFonts w:asciiTheme="majorBidi" w:hAnsiTheme="majorBidi" w:cstheme="majorBidi"/>
          <w:szCs w:val="24"/>
        </w:rPr>
        <w:t xml:space="preserve">20.14% and 13.92% DE, </w:t>
      </w:r>
      <w:r w:rsidR="0078004E" w:rsidRPr="00CB6744">
        <w:rPr>
          <w:rFonts w:asciiTheme="majorBidi" w:hAnsiTheme="majorBidi" w:cstheme="majorBidi"/>
          <w:szCs w:val="24"/>
        </w:rPr>
        <w:t>61 and 32</w:t>
      </w:r>
      <w:r w:rsidR="008A1CF6" w:rsidRPr="00CB6744">
        <w:rPr>
          <w:rFonts w:asciiTheme="majorBidi" w:hAnsiTheme="majorBidi" w:cstheme="majorBidi"/>
          <w:szCs w:val="24"/>
        </w:rPr>
        <w:t xml:space="preserve"> significant</w:t>
      </w:r>
      <w:r w:rsidR="00833DCC">
        <w:rPr>
          <w:rFonts w:asciiTheme="majorBidi" w:hAnsiTheme="majorBidi" w:cstheme="majorBidi"/>
          <w:szCs w:val="24"/>
        </w:rPr>
        <w:t>ly</w:t>
      </w:r>
      <w:r w:rsidR="008A1CF6" w:rsidRPr="00CB6744">
        <w:rPr>
          <w:rFonts w:asciiTheme="majorBidi" w:hAnsiTheme="majorBidi" w:cstheme="majorBidi"/>
          <w:szCs w:val="24"/>
        </w:rPr>
        <w:t xml:space="preserve"> DE (</w:t>
      </w:r>
      <w:r w:rsidR="002500A4" w:rsidRPr="00CB6744">
        <w:rPr>
          <w:rFonts w:asciiTheme="majorBidi" w:hAnsiTheme="majorBidi" w:cstheme="majorBidi"/>
          <w:szCs w:val="24"/>
        </w:rPr>
        <w:t xml:space="preserve">adjusted </w:t>
      </w:r>
      <w:r w:rsidR="0078004E" w:rsidRPr="00CB6744">
        <w:rPr>
          <w:rFonts w:asciiTheme="majorBidi" w:hAnsiTheme="majorBidi" w:cstheme="majorBidi"/>
        </w:rPr>
        <w:t>p</w:t>
      </w:r>
      <w:r w:rsidR="002500A4" w:rsidRPr="00CB6744">
        <w:rPr>
          <w:rFonts w:asciiTheme="majorBidi" w:hAnsiTheme="majorBidi" w:cstheme="majorBidi"/>
        </w:rPr>
        <w:t>Val</w:t>
      </w:r>
      <w:r w:rsidR="0078004E" w:rsidRPr="00CB6744">
        <w:rPr>
          <w:rFonts w:asciiTheme="majorBidi" w:hAnsiTheme="majorBidi" w:cstheme="majorBidi"/>
        </w:rPr>
        <w:t>&lt;0.05, log</w:t>
      </w:r>
      <w:r w:rsidR="0078004E" w:rsidRPr="00CB6744">
        <w:rPr>
          <w:rFonts w:asciiTheme="majorBidi" w:hAnsiTheme="majorBidi" w:cstheme="majorBidi"/>
          <w:vertAlign w:val="subscript"/>
        </w:rPr>
        <w:t>2</w:t>
      </w:r>
      <w:r w:rsidR="0078004E" w:rsidRPr="00CB6744">
        <w:rPr>
          <w:rFonts w:asciiTheme="majorBidi" w:hAnsiTheme="majorBidi" w:cstheme="majorBidi"/>
        </w:rPr>
        <w:t>FC&gt;|1|</w:t>
      </w:r>
      <w:r w:rsidR="008A1CF6" w:rsidRPr="00CB6744">
        <w:rPr>
          <w:rFonts w:asciiTheme="majorBidi" w:hAnsiTheme="majorBidi" w:cstheme="majorBidi"/>
        </w:rPr>
        <w:t>),</w:t>
      </w:r>
      <w:r w:rsidR="008A1CF6" w:rsidRPr="00CB6744">
        <w:rPr>
          <w:rFonts w:asciiTheme="majorBidi" w:hAnsiTheme="majorBidi" w:cstheme="majorBidi"/>
          <w:szCs w:val="24"/>
        </w:rPr>
        <w:t xml:space="preserve"> respectively</w:t>
      </w:r>
      <w:r w:rsidR="0078004E" w:rsidRPr="00CB6744">
        <w:rPr>
          <w:rFonts w:asciiTheme="majorBidi" w:hAnsiTheme="majorBidi" w:cstheme="majorBidi"/>
        </w:rPr>
        <w:t xml:space="preserve">). </w:t>
      </w:r>
      <w:r w:rsidR="00374DAD">
        <w:rPr>
          <w:rFonts w:asciiTheme="majorBidi" w:hAnsiTheme="majorBidi" w:cstheme="majorBidi"/>
        </w:rPr>
        <w:t xml:space="preserve">In both cases this is a significant enrichment </w:t>
      </w:r>
      <w:r w:rsidR="00374DAD">
        <w:rPr>
          <w:rFonts w:asciiTheme="majorBidi" w:hAnsiTheme="majorBidi" w:cstheme="majorBidi"/>
          <w:szCs w:val="24"/>
        </w:rPr>
        <w:t>(p-value</w:t>
      </w:r>
      <w:r w:rsidR="00374DAD" w:rsidRPr="00374DAD">
        <w:rPr>
          <w:rFonts w:asciiTheme="majorBidi" w:hAnsiTheme="majorBidi" w:cstheme="majorBidi"/>
          <w:szCs w:val="24"/>
        </w:rPr>
        <w:t xml:space="preserve"> &lt; 2.2e-16</w:t>
      </w:r>
      <w:r w:rsidR="00374DAD">
        <w:rPr>
          <w:rFonts w:asciiTheme="majorBidi" w:hAnsiTheme="majorBidi" w:cstheme="majorBidi"/>
          <w:szCs w:val="24"/>
        </w:rPr>
        <w:t>, Chi-squared test)</w:t>
      </w:r>
      <w:r w:rsidR="00374DAD" w:rsidRPr="00CB6744">
        <w:rPr>
          <w:rFonts w:asciiTheme="majorBidi" w:hAnsiTheme="majorBidi" w:cstheme="majorBidi"/>
          <w:szCs w:val="24"/>
        </w:rPr>
        <w:t>.</w:t>
      </w:r>
      <w:r w:rsidR="00374DAD">
        <w:rPr>
          <w:rFonts w:asciiTheme="majorBidi" w:hAnsiTheme="majorBidi" w:cstheme="majorBidi"/>
          <w:szCs w:val="24"/>
        </w:rPr>
        <w:t xml:space="preserve"> </w:t>
      </w:r>
    </w:p>
    <w:p w14:paraId="4ABCE9BA" w14:textId="4D5979DB" w:rsidR="009359B0" w:rsidRPr="00D720A4" w:rsidRDefault="00261FDA" w:rsidP="000E6693">
      <w:pPr>
        <w:rPr>
          <w:rFonts w:asciiTheme="majorBidi" w:hAnsiTheme="majorBidi" w:cstheme="majorBidi"/>
        </w:rPr>
      </w:pPr>
      <w:r>
        <w:rPr>
          <w:rFonts w:asciiTheme="majorBidi" w:hAnsiTheme="majorBidi" w:cstheme="majorBidi"/>
        </w:rPr>
        <w:lastRenderedPageBreak/>
        <w:t xml:space="preserve">A major component in the silencing of transposable elements is </w:t>
      </w:r>
      <w:r w:rsidR="00CF6957">
        <w:rPr>
          <w:rFonts w:asciiTheme="majorBidi" w:hAnsiTheme="majorBidi" w:cstheme="majorBidi"/>
        </w:rPr>
        <w:t>DNA methylation</w:t>
      </w:r>
      <w:r w:rsidR="00A74C19">
        <w:rPr>
          <w:rFonts w:asciiTheme="majorBidi" w:hAnsiTheme="majorBidi" w:cstheme="majorBidi"/>
        </w:rPr>
        <w:t>.</w:t>
      </w:r>
      <w:r w:rsidR="00CF6957">
        <w:rPr>
          <w:rFonts w:asciiTheme="majorBidi" w:hAnsiTheme="majorBidi" w:cstheme="majorBidi"/>
        </w:rPr>
        <w:t xml:space="preserve"> </w:t>
      </w:r>
      <w:r w:rsidR="00BB39BF">
        <w:rPr>
          <w:rFonts w:asciiTheme="majorBidi" w:hAnsiTheme="majorBidi" w:cstheme="majorBidi"/>
        </w:rPr>
        <w:t>In the WT plant</w:t>
      </w:r>
      <w:r w:rsidR="00A74C19">
        <w:rPr>
          <w:rFonts w:asciiTheme="majorBidi" w:hAnsiTheme="majorBidi" w:cstheme="majorBidi"/>
        </w:rPr>
        <w:t xml:space="preserve"> </w:t>
      </w:r>
      <w:r w:rsidR="00626F95">
        <w:rPr>
          <w:rFonts w:asciiTheme="majorBidi" w:hAnsiTheme="majorBidi" w:cstheme="majorBidi"/>
        </w:rPr>
        <w:fldChar w:fldCharType="begin" w:fldLock="1"/>
      </w:r>
      <w:r w:rsidR="00AB1145">
        <w:rPr>
          <w:rFonts w:asciiTheme="majorBidi" w:hAnsiTheme="majorBidi" w:cstheme="majorBidi"/>
        </w:rPr>
        <w:instrText>ADDIN CSL_CITATION {"citationItems":[{"id":"ITEM-1","itemData":{"DOI":"10.1016/j.cell.2012.10.054","ISSN":"00928674","author":[{"dropping-particle":"","family":"Stroud","given":"Hume","non-dropping-particle":"","parse-names":false,"suffix":""},{"dropping-particle":"","family":"Greenberg","given":"Maxim V.C.","non-dropping-particle":"","parse-names":false,"suffix":""},{"dropping-particle":"","family":"Feng","given":"Suhua","non-dropping-particle":"","parse-names":false,"suffix":""},{"dropping-particle":"V.","family":"Bernatavichute","given":"Yana","non-dropping-particle":"","parse-names":false,"suffix":""},{"dropping-particle":"","family":"Jacobsen","given":"Steven E.","non-dropping-particle":"","parse-names":false,"suffix":""}],"container-title":"Cell","id":"ITEM-1","issue":"1-2","issued":{"date-parts":[["2013","1"]]},"page":"352-364","title":"Comprehensive Analysis of Silencing Mutants Reveals Complex Regulation of the Arabidopsis Methylome","type":"article-journal","volume":"152"},"uris":["http://www.mendeley.com/documents/?uuid=c8d2cc56-e293-43b2-b760-fb561e5560e5"]}],"mendeley":{"formattedCitation":"[41]","plainTextFormattedCitation":"[41]","previouslyFormattedCitation":"[41]"},"properties":{"noteIndex":0},"schema":"https://github.com/citation-style-language/schema/raw/master/csl-citation.json"}</w:instrText>
      </w:r>
      <w:r w:rsidR="00626F95">
        <w:rPr>
          <w:rFonts w:asciiTheme="majorBidi" w:hAnsiTheme="majorBidi" w:cstheme="majorBidi"/>
        </w:rPr>
        <w:fldChar w:fldCharType="separate"/>
      </w:r>
      <w:r w:rsidR="00AB1145" w:rsidRPr="00AB1145">
        <w:rPr>
          <w:rFonts w:asciiTheme="majorBidi" w:hAnsiTheme="majorBidi" w:cstheme="majorBidi"/>
          <w:noProof/>
        </w:rPr>
        <w:t>[41]</w:t>
      </w:r>
      <w:r w:rsidR="00626F95">
        <w:rPr>
          <w:rFonts w:asciiTheme="majorBidi" w:hAnsiTheme="majorBidi" w:cstheme="majorBidi"/>
        </w:rPr>
        <w:fldChar w:fldCharType="end"/>
      </w:r>
      <w:r w:rsidR="00626F95">
        <w:rPr>
          <w:rFonts w:asciiTheme="majorBidi" w:hAnsiTheme="majorBidi" w:cstheme="majorBidi"/>
        </w:rPr>
        <w:t xml:space="preserve"> </w:t>
      </w:r>
      <w:r w:rsidR="00A5034E">
        <w:rPr>
          <w:rFonts w:asciiTheme="majorBidi" w:hAnsiTheme="majorBidi" w:cstheme="majorBidi"/>
          <w:i/>
          <w:iCs/>
        </w:rPr>
        <w:t>brm</w:t>
      </w:r>
      <w:r w:rsidR="00CF6957" w:rsidRPr="00C707A7">
        <w:rPr>
          <w:rFonts w:asciiTheme="majorBidi" w:hAnsiTheme="majorBidi" w:cstheme="majorBidi"/>
          <w:i/>
          <w:iCs/>
        </w:rPr>
        <w:t>-</w:t>
      </w:r>
      <w:r w:rsidR="00CF6957">
        <w:rPr>
          <w:rFonts w:asciiTheme="majorBidi" w:hAnsiTheme="majorBidi" w:cstheme="majorBidi"/>
        </w:rPr>
        <w:t xml:space="preserve">specific transposable elements are hypermethylated compared with the WT-specific </w:t>
      </w:r>
      <w:r w:rsidR="00A74C19">
        <w:rPr>
          <w:rFonts w:asciiTheme="majorBidi" w:hAnsiTheme="majorBidi" w:cstheme="majorBidi"/>
        </w:rPr>
        <w:t xml:space="preserve">transposable elements </w:t>
      </w:r>
      <w:r w:rsidR="00CF6957">
        <w:rPr>
          <w:rFonts w:asciiTheme="majorBidi" w:hAnsiTheme="majorBidi" w:cstheme="majorBidi"/>
        </w:rPr>
        <w:t xml:space="preserve">or </w:t>
      </w:r>
      <w:r w:rsidR="00DD15AD">
        <w:rPr>
          <w:rFonts w:asciiTheme="majorBidi" w:hAnsiTheme="majorBidi" w:cstheme="majorBidi"/>
        </w:rPr>
        <w:t xml:space="preserve">a </w:t>
      </w:r>
      <w:r>
        <w:rPr>
          <w:rFonts w:asciiTheme="majorBidi" w:hAnsiTheme="majorBidi" w:cstheme="majorBidi"/>
        </w:rPr>
        <w:t xml:space="preserve">stably expressed </w:t>
      </w:r>
      <w:r w:rsidR="00DD15AD">
        <w:rPr>
          <w:rFonts w:asciiTheme="majorBidi" w:hAnsiTheme="majorBidi" w:cstheme="majorBidi"/>
        </w:rPr>
        <w:t>cohort</w:t>
      </w:r>
      <w:r w:rsidR="00CF6957">
        <w:rPr>
          <w:rFonts w:asciiTheme="majorBidi" w:hAnsiTheme="majorBidi" w:cstheme="majorBidi"/>
        </w:rPr>
        <w:t xml:space="preserve"> (which are expressed</w:t>
      </w:r>
      <w:r w:rsidR="00A74C19">
        <w:rPr>
          <w:rFonts w:asciiTheme="majorBidi" w:hAnsiTheme="majorBidi" w:cstheme="majorBidi"/>
        </w:rPr>
        <w:t xml:space="preserve"> (</w:t>
      </w:r>
      <w:r w:rsidR="00A74C19">
        <w:t>RPKM&gt;1)</w:t>
      </w:r>
      <w:r w:rsidR="00CF6957">
        <w:rPr>
          <w:rFonts w:asciiTheme="majorBidi" w:hAnsiTheme="majorBidi" w:cstheme="majorBidi"/>
        </w:rPr>
        <w:t xml:space="preserve"> in </w:t>
      </w:r>
      <w:r w:rsidR="00CF6957" w:rsidRPr="00455199">
        <w:rPr>
          <w:rFonts w:asciiTheme="majorBidi" w:hAnsiTheme="majorBidi" w:cstheme="majorBidi"/>
          <w:i/>
          <w:iCs/>
        </w:rPr>
        <w:t>brm</w:t>
      </w:r>
      <w:r w:rsidR="00CF6957">
        <w:rPr>
          <w:rFonts w:asciiTheme="majorBidi" w:hAnsiTheme="majorBidi" w:cstheme="majorBidi"/>
        </w:rPr>
        <w:t xml:space="preserve"> or WT and have a log</w:t>
      </w:r>
      <w:r w:rsidR="00CF6957" w:rsidRPr="00455199">
        <w:rPr>
          <w:rFonts w:asciiTheme="majorBidi" w:hAnsiTheme="majorBidi" w:cstheme="majorBidi"/>
          <w:vertAlign w:val="subscript"/>
        </w:rPr>
        <w:t>2</w:t>
      </w:r>
      <w:r w:rsidR="00CF6957">
        <w:rPr>
          <w:rFonts w:asciiTheme="majorBidi" w:hAnsiTheme="majorBidi" w:cstheme="majorBidi"/>
        </w:rPr>
        <w:t xml:space="preserve">FC of |0-0.3|) </w:t>
      </w:r>
      <w:r>
        <w:rPr>
          <w:rFonts w:asciiTheme="majorBidi" w:hAnsiTheme="majorBidi" w:cstheme="majorBidi"/>
        </w:rPr>
        <w:t>in all three methylation contexts</w:t>
      </w:r>
      <w:r w:rsidR="00910EE9">
        <w:rPr>
          <w:rFonts w:asciiTheme="majorBidi" w:hAnsiTheme="majorBidi" w:cstheme="majorBidi"/>
        </w:rPr>
        <w:t xml:space="preserve"> (CG, CHG, </w:t>
      </w:r>
      <w:r w:rsidR="00A74C19">
        <w:rPr>
          <w:rFonts w:asciiTheme="majorBidi" w:hAnsiTheme="majorBidi" w:cstheme="majorBidi"/>
        </w:rPr>
        <w:t xml:space="preserve">and </w:t>
      </w:r>
      <w:r w:rsidR="00910EE9">
        <w:rPr>
          <w:rFonts w:asciiTheme="majorBidi" w:hAnsiTheme="majorBidi" w:cstheme="majorBidi"/>
        </w:rPr>
        <w:t>CHH</w:t>
      </w:r>
      <w:r w:rsidR="00A74C19">
        <w:rPr>
          <w:rFonts w:asciiTheme="majorBidi" w:hAnsiTheme="majorBidi" w:cstheme="majorBidi"/>
        </w:rPr>
        <w:t>)</w:t>
      </w:r>
      <w:r w:rsidR="00910EE9">
        <w:rPr>
          <w:rFonts w:asciiTheme="majorBidi" w:hAnsiTheme="majorBidi" w:cstheme="majorBidi"/>
        </w:rPr>
        <w:t xml:space="preserve"> </w:t>
      </w:r>
      <w:r w:rsidR="00A74C19">
        <w:rPr>
          <w:rFonts w:asciiTheme="majorBidi" w:hAnsiTheme="majorBidi" w:cstheme="majorBidi"/>
        </w:rPr>
        <w:t>(</w:t>
      </w:r>
      <w:r w:rsidR="00CF6957" w:rsidRPr="00CB6744">
        <w:rPr>
          <w:rFonts w:asciiTheme="majorBidi" w:hAnsiTheme="majorBidi" w:cstheme="majorBidi"/>
          <w:noProof/>
          <w:szCs w:val="24"/>
        </w:rPr>
        <w:t>Supple</w:t>
      </w:r>
      <w:r w:rsidR="00CF6957">
        <w:rPr>
          <w:rFonts w:asciiTheme="majorBidi" w:hAnsiTheme="majorBidi" w:cstheme="majorBidi"/>
          <w:noProof/>
          <w:szCs w:val="24"/>
        </w:rPr>
        <w:t>mental Figure S3</w:t>
      </w:r>
      <w:r w:rsidR="00CF6957" w:rsidRPr="00626F95">
        <w:rPr>
          <w:rFonts w:asciiTheme="majorBidi" w:hAnsiTheme="majorBidi" w:cstheme="majorBidi"/>
        </w:rPr>
        <w:t>)</w:t>
      </w:r>
      <w:r w:rsidR="000E6693">
        <w:rPr>
          <w:rFonts w:asciiTheme="majorBidi" w:hAnsiTheme="majorBidi" w:cstheme="majorBidi"/>
        </w:rPr>
        <w:t>.</w:t>
      </w:r>
      <w:r w:rsidR="000E6693" w:rsidRPr="000E6693">
        <w:rPr>
          <w:rFonts w:asciiTheme="majorBidi" w:hAnsiTheme="majorBidi" w:cstheme="majorBidi"/>
        </w:rPr>
        <w:t xml:space="preserve"> </w:t>
      </w:r>
      <w:r w:rsidR="000E6693" w:rsidRPr="00CB6744">
        <w:rPr>
          <w:rFonts w:asciiTheme="majorBidi" w:hAnsiTheme="majorBidi" w:cstheme="majorBidi"/>
        </w:rPr>
        <w:t>We conclude that BRM is involved in repression of transposable elements.</w:t>
      </w:r>
    </w:p>
    <w:p w14:paraId="4C5F70B1" w14:textId="137BF559" w:rsidR="00D64760" w:rsidRPr="00D64760" w:rsidRDefault="00B010B5" w:rsidP="00D64760">
      <w:pPr>
        <w:rPr>
          <w:rFonts w:asciiTheme="majorBidi" w:hAnsiTheme="majorBidi" w:cstheme="majorBidi"/>
          <w:b/>
          <w:bCs/>
        </w:rPr>
      </w:pPr>
      <w:r>
        <w:rPr>
          <w:rFonts w:asciiTheme="majorBidi" w:hAnsiTheme="majorBidi" w:cstheme="majorBidi"/>
          <w:b/>
          <w:bCs/>
        </w:rPr>
        <w:t xml:space="preserve">3.4 </w:t>
      </w:r>
      <w:r w:rsidR="00D64760" w:rsidRPr="00D64760">
        <w:rPr>
          <w:rFonts w:asciiTheme="majorBidi" w:hAnsiTheme="majorBidi" w:cstheme="majorBidi"/>
          <w:b/>
          <w:bCs/>
        </w:rPr>
        <w:t xml:space="preserve">Differential accessible sites are </w:t>
      </w:r>
      <w:r w:rsidR="00D64760">
        <w:rPr>
          <w:rFonts w:asciiTheme="majorBidi" w:hAnsiTheme="majorBidi" w:cstheme="majorBidi"/>
          <w:b/>
          <w:bCs/>
        </w:rPr>
        <w:t>associated with</w:t>
      </w:r>
      <w:r w:rsidR="00D64760" w:rsidRPr="00D64760">
        <w:rPr>
          <w:rFonts w:asciiTheme="majorBidi" w:hAnsiTheme="majorBidi" w:cstheme="majorBidi"/>
          <w:b/>
          <w:bCs/>
        </w:rPr>
        <w:t xml:space="preserve"> transposable elements</w:t>
      </w:r>
    </w:p>
    <w:p w14:paraId="04731444" w14:textId="051547F9" w:rsidR="00EA6BD1" w:rsidRPr="00CB6744" w:rsidRDefault="0028027D">
      <w:pPr>
        <w:rPr>
          <w:rFonts w:asciiTheme="majorBidi" w:hAnsiTheme="majorBidi" w:cstheme="majorBidi"/>
        </w:rPr>
      </w:pPr>
      <w:r w:rsidRPr="0028027D">
        <w:t>To better understand the link between variation in</w:t>
      </w:r>
      <w:r w:rsidR="00375979">
        <w:t xml:space="preserve"> BRM-regulated</w:t>
      </w:r>
      <w:r w:rsidRPr="0028027D">
        <w:t xml:space="preserve"> accessibility </w:t>
      </w:r>
      <w:r w:rsidR="00375979">
        <w:t>and</w:t>
      </w:r>
      <w:r>
        <w:t xml:space="preserve"> </w:t>
      </w:r>
      <w:r w:rsidR="00D64760">
        <w:t>transposable elements</w:t>
      </w:r>
      <w:r>
        <w:t xml:space="preserve"> regulation we</w:t>
      </w:r>
      <w:r w:rsidR="00394DA0" w:rsidRPr="00CB6744">
        <w:rPr>
          <w:rFonts w:asciiTheme="majorBidi" w:hAnsiTheme="majorBidi" w:cstheme="majorBidi"/>
          <w:szCs w:val="24"/>
        </w:rPr>
        <w:t xml:space="preserve"> </w:t>
      </w:r>
      <w:r w:rsidR="00D83751">
        <w:rPr>
          <w:rFonts w:asciiTheme="majorBidi" w:hAnsiTheme="majorBidi" w:cstheme="majorBidi"/>
          <w:szCs w:val="24"/>
        </w:rPr>
        <w:t xml:space="preserve">calculated differential </w:t>
      </w:r>
      <w:r w:rsidR="00394DA0" w:rsidRPr="00CB6744">
        <w:rPr>
          <w:rFonts w:asciiTheme="majorBidi" w:hAnsiTheme="majorBidi" w:cstheme="majorBidi"/>
          <w:szCs w:val="24"/>
        </w:rPr>
        <w:t>transposase hyper-sensitiv</w:t>
      </w:r>
      <w:r w:rsidR="00D83751">
        <w:rPr>
          <w:rFonts w:asciiTheme="majorBidi" w:hAnsiTheme="majorBidi" w:cstheme="majorBidi"/>
          <w:szCs w:val="24"/>
        </w:rPr>
        <w:t>ity</w:t>
      </w:r>
      <w:r w:rsidR="00394DA0" w:rsidRPr="00CB6744">
        <w:rPr>
          <w:rFonts w:asciiTheme="majorBidi" w:hAnsiTheme="majorBidi" w:cstheme="majorBidi"/>
          <w:szCs w:val="24"/>
        </w:rPr>
        <w:t xml:space="preserve"> (dTHSs). dTHSs were assigned with DEseq2 </w:t>
      </w:r>
      <w:r w:rsidR="00394DA0" w:rsidRPr="00CB6744">
        <w:rPr>
          <w:rFonts w:asciiTheme="majorBidi" w:hAnsiTheme="majorBidi" w:cstheme="majorBidi"/>
          <w:szCs w:val="24"/>
        </w:rPr>
        <w:fldChar w:fldCharType="begin" w:fldLock="1"/>
      </w:r>
      <w:r w:rsidR="00AB1145">
        <w:rPr>
          <w:rFonts w:asciiTheme="majorBidi" w:hAnsiTheme="majorBidi" w:cstheme="majorBidi"/>
          <w:szCs w:val="24"/>
        </w:rPr>
        <w:instrText>ADDIN CSL_CITATION {"citationItems":[{"id":"ITEM-1","itemData":{"DOI":"10.1186/s13059-014-0550-8","ISSN":"1474-760X","author":[{"dropping-particle":"","family":"Love","given":"Michael I","non-dropping-particle":"","parse-names":false,"suffix":""},{"dropping-particle":"","family":"Huber","given":"Wolfgang","non-dropping-particle":"","parse-names":false,"suffix":""},{"dropping-particle":"","family":"Anders","given":"Simon","non-dropping-particle":"","parse-names":false,"suffix":""}],"container-title":"Genome Biology","id":"ITEM-1","issue":"12","issued":{"date-parts":[["2014","12","5"]]},"page":"550","title":"Moderated estimation of fold change and dispersion for RNA-seq data with DESeq2","type":"article-journal","volume":"15"},"uris":["http://www.mendeley.com/documents/?uuid=d555ce43-cf4d-4506-88d9-ee0b04a1541f"]}],"mendeley":{"formattedCitation":"[42]","plainTextFormattedCitation":"[42]","previouslyFormattedCitation":"[42]"},"properties":{"noteIndex":0},"schema":"https://github.com/citation-style-language/schema/raw/master/csl-citation.json"}</w:instrText>
      </w:r>
      <w:r w:rsidR="00394DA0" w:rsidRPr="00CB6744">
        <w:rPr>
          <w:rFonts w:asciiTheme="majorBidi" w:hAnsiTheme="majorBidi" w:cstheme="majorBidi"/>
          <w:szCs w:val="24"/>
        </w:rPr>
        <w:fldChar w:fldCharType="separate"/>
      </w:r>
      <w:r w:rsidR="00AB1145" w:rsidRPr="00AB1145">
        <w:rPr>
          <w:rFonts w:asciiTheme="majorBidi" w:hAnsiTheme="majorBidi" w:cstheme="majorBidi"/>
          <w:noProof/>
          <w:szCs w:val="24"/>
        </w:rPr>
        <w:t>[42]</w:t>
      </w:r>
      <w:r w:rsidR="00394DA0" w:rsidRPr="00CB6744">
        <w:rPr>
          <w:rFonts w:asciiTheme="majorBidi" w:hAnsiTheme="majorBidi" w:cstheme="majorBidi"/>
          <w:szCs w:val="24"/>
        </w:rPr>
        <w:fldChar w:fldCharType="end"/>
      </w:r>
      <w:r w:rsidR="00394DA0" w:rsidRPr="00CB6744">
        <w:rPr>
          <w:rFonts w:asciiTheme="majorBidi" w:hAnsiTheme="majorBidi" w:cstheme="majorBidi"/>
          <w:szCs w:val="24"/>
        </w:rPr>
        <w:t xml:space="preserve">, by counting the reads at accessible loci in each repeat as input. The </w:t>
      </w:r>
      <w:r w:rsidR="00D83751">
        <w:rPr>
          <w:rFonts w:asciiTheme="majorBidi" w:hAnsiTheme="majorBidi" w:cstheme="majorBidi"/>
          <w:szCs w:val="24"/>
        </w:rPr>
        <w:t xml:space="preserve">analysis retrieved </w:t>
      </w:r>
      <w:r w:rsidR="00270E31">
        <w:rPr>
          <w:rFonts w:asciiTheme="majorBidi" w:hAnsiTheme="majorBidi" w:cstheme="majorBidi"/>
          <w:szCs w:val="24"/>
        </w:rPr>
        <w:t>21</w:t>
      </w:r>
      <w:r w:rsidR="00D83751">
        <w:rPr>
          <w:rFonts w:asciiTheme="majorBidi" w:hAnsiTheme="majorBidi" w:cstheme="majorBidi"/>
          <w:szCs w:val="24"/>
        </w:rPr>
        <w:t xml:space="preserve"> significant</w:t>
      </w:r>
      <w:r w:rsidR="00394DA0" w:rsidRPr="00CB6744">
        <w:rPr>
          <w:rFonts w:asciiTheme="majorBidi" w:hAnsiTheme="majorBidi" w:cstheme="majorBidi"/>
          <w:szCs w:val="24"/>
        </w:rPr>
        <w:t xml:space="preserve"> dTHSs</w:t>
      </w:r>
      <w:r w:rsidR="00270E31">
        <w:rPr>
          <w:rFonts w:asciiTheme="majorBidi" w:hAnsiTheme="majorBidi" w:cstheme="majorBidi"/>
          <w:szCs w:val="24"/>
        </w:rPr>
        <w:t xml:space="preserve"> </w:t>
      </w:r>
      <w:r w:rsidR="00A5034E">
        <w:rPr>
          <w:rFonts w:asciiTheme="majorBidi" w:hAnsiTheme="majorBidi" w:cstheme="majorBidi"/>
          <w:szCs w:val="24"/>
        </w:rPr>
        <w:t xml:space="preserve">which gained accessibility </w:t>
      </w:r>
      <w:r w:rsidR="00270E31">
        <w:rPr>
          <w:rFonts w:asciiTheme="majorBidi" w:hAnsiTheme="majorBidi" w:cstheme="majorBidi"/>
          <w:szCs w:val="24"/>
        </w:rPr>
        <w:t>for each plant type</w:t>
      </w:r>
      <w:r w:rsidR="00952E61">
        <w:rPr>
          <w:rFonts w:asciiTheme="majorBidi" w:hAnsiTheme="majorBidi" w:cstheme="majorBidi"/>
          <w:szCs w:val="24"/>
        </w:rPr>
        <w:t xml:space="preserve"> in </w:t>
      </w:r>
      <w:r w:rsidR="007257BF" w:rsidRPr="00CB6744">
        <w:rPr>
          <w:rFonts w:asciiTheme="majorBidi" w:hAnsiTheme="majorBidi" w:cstheme="majorBidi"/>
          <w:szCs w:val="24"/>
        </w:rPr>
        <w:t>log</w:t>
      </w:r>
      <w:r w:rsidR="007257BF" w:rsidRPr="00CB6744">
        <w:rPr>
          <w:rFonts w:asciiTheme="majorBidi" w:hAnsiTheme="majorBidi" w:cstheme="majorBidi"/>
          <w:szCs w:val="24"/>
          <w:vertAlign w:val="subscript"/>
        </w:rPr>
        <w:t>2</w:t>
      </w:r>
      <w:r w:rsidR="007257BF">
        <w:rPr>
          <w:rFonts w:asciiTheme="majorBidi" w:hAnsiTheme="majorBidi" w:cstheme="majorBidi"/>
          <w:szCs w:val="24"/>
        </w:rPr>
        <w:t>FC&gt;</w:t>
      </w:r>
      <w:r w:rsidR="007257BF" w:rsidRPr="00CB6744">
        <w:rPr>
          <w:rFonts w:asciiTheme="majorBidi" w:hAnsiTheme="majorBidi" w:cstheme="majorBidi"/>
          <w:szCs w:val="24"/>
        </w:rPr>
        <w:t>1</w:t>
      </w:r>
      <w:r w:rsidR="007257BF">
        <w:rPr>
          <w:rFonts w:asciiTheme="majorBidi" w:hAnsiTheme="majorBidi" w:cstheme="majorBidi"/>
          <w:szCs w:val="24"/>
        </w:rPr>
        <w:t xml:space="preserve"> and </w:t>
      </w:r>
      <w:r w:rsidR="007257BF" w:rsidRPr="00CB6744">
        <w:rPr>
          <w:rFonts w:asciiTheme="majorBidi" w:hAnsiTheme="majorBidi" w:cstheme="majorBidi"/>
          <w:szCs w:val="24"/>
        </w:rPr>
        <w:t>p</w:t>
      </w:r>
      <w:r w:rsidR="007257BF" w:rsidRPr="00CB6744">
        <w:rPr>
          <w:rFonts w:asciiTheme="majorBidi" w:hAnsiTheme="majorBidi" w:cstheme="majorBidi"/>
        </w:rPr>
        <w:t>Val</w:t>
      </w:r>
      <w:r w:rsidR="007257BF" w:rsidRPr="00CB6744">
        <w:rPr>
          <w:rFonts w:asciiTheme="majorBidi" w:hAnsiTheme="majorBidi" w:cstheme="majorBidi"/>
          <w:szCs w:val="24"/>
        </w:rPr>
        <w:t xml:space="preserve">&lt;0.05 </w:t>
      </w:r>
      <w:r w:rsidR="00952E61">
        <w:rPr>
          <w:rFonts w:asciiTheme="majorBidi" w:hAnsiTheme="majorBidi" w:cstheme="majorBidi"/>
          <w:szCs w:val="24"/>
        </w:rPr>
        <w:t>cutoff</w:t>
      </w:r>
      <w:r w:rsidR="00394DA0" w:rsidRPr="00CB6744">
        <w:rPr>
          <w:rFonts w:asciiTheme="majorBidi" w:hAnsiTheme="majorBidi" w:cstheme="majorBidi"/>
          <w:szCs w:val="24"/>
        </w:rPr>
        <w:t xml:space="preserve"> (Supplemental Table S</w:t>
      </w:r>
      <w:r w:rsidR="00E90AA1">
        <w:rPr>
          <w:rFonts w:asciiTheme="majorBidi" w:hAnsiTheme="majorBidi" w:cstheme="majorBidi"/>
          <w:szCs w:val="24"/>
        </w:rPr>
        <w:t>1</w:t>
      </w:r>
      <w:r w:rsidR="00394DA0" w:rsidRPr="00CB6744">
        <w:rPr>
          <w:rFonts w:asciiTheme="majorBidi" w:hAnsiTheme="majorBidi" w:cstheme="majorBidi"/>
          <w:szCs w:val="24"/>
        </w:rPr>
        <w:t>).</w:t>
      </w:r>
      <w:r w:rsidR="00D4566D">
        <w:rPr>
          <w:rFonts w:asciiTheme="majorBidi" w:hAnsiTheme="majorBidi" w:cstheme="majorBidi"/>
          <w:szCs w:val="24"/>
        </w:rPr>
        <w:t xml:space="preserve"> </w:t>
      </w:r>
      <w:r w:rsidR="007E432E">
        <w:t>I</w:t>
      </w:r>
      <w:r w:rsidR="007E432E">
        <w:rPr>
          <w:rFonts w:asciiTheme="majorBidi" w:hAnsiTheme="majorBidi" w:cstheme="majorBidi"/>
        </w:rPr>
        <w:t>n plants</w:t>
      </w:r>
      <w:r w:rsidR="007E432E">
        <w:t>, r</w:t>
      </w:r>
      <w:r w:rsidR="007E432E">
        <w:rPr>
          <w:rFonts w:asciiTheme="majorBidi" w:hAnsiTheme="majorBidi" w:cstheme="majorBidi"/>
        </w:rPr>
        <w:t xml:space="preserve">egulatory elements depicted by chromatin accessibility can be positioned far away from their gene targets </w:t>
      </w:r>
      <w:r w:rsidR="007E432E">
        <w:rPr>
          <w:rFonts w:asciiTheme="majorBidi" w:hAnsiTheme="majorBidi" w:cstheme="majorBidi"/>
        </w:rPr>
        <w:fldChar w:fldCharType="begin" w:fldLock="1"/>
      </w:r>
      <w:r w:rsidR="00AB1145">
        <w:rPr>
          <w:rFonts w:asciiTheme="majorBidi" w:hAnsiTheme="majorBidi" w:cstheme="majorBidi"/>
        </w:rPr>
        <w:instrText>ADDIN CSL_CITATION {"citationItems":[{"id":"ITEM-1","itemData":{"DOI":"10.1016/j.pbi.2015.01.005","ISSN":"13695266","PMID":"25625239","abstract":"Sequencing of complete plant genomes has become increasingly more routine since the advent of the next-generation sequencing technology. Identification and annotation of large amounts of noncoding but functional DNA sequences, including cis-regulatory DNA elements (CREs), have become a new frontier in plant genome research. Genomic regions containing active CREs bound to regulatory proteins are hypersensitive to DNase I digestion and are called DNase I hypersensitive sites (DHSs). Several recent DHS studies in plants illustrate that DHS datasets produced by DNase I digestion followed by next-generation sequencing (DNase-seq) are highly valuable for the identification and characterization of CREs associated with plant development and responses to environmental cues. DHS-based genomic profiling has opened a door to identify and annotate the 'dark matter' in sequenced plant genomes.","author":[{"dropping-particle":"","family":"Jiang","given":"Jiming","non-dropping-particle":"","parse-names":false,"suffix":""}],"container-title":"Current Opinion in Plant Biology","id":"ITEM-1","issued":{"date-parts":[["2015","1","24"]]},"page":"17-23","title":"The ‘dark matter’ in the plant genomes: non-coding and unannotated DNA sequences associated with open chromatin","type":"article-journal","volume":"24"},"uris":["http://www.mendeley.com/documents/?uuid=f20b3d53-f49f-4642-a0e7-86503d697eae"]},{"id":"ITEM-2","itemData":{"DOI":"10.1186/s13007-018-0381-9","ISSN":"1746-4811","abstract":"There is a growing interest in the role of chromatin in acquiring and maintaining cell identity. Despite the ever-growing availability of genome-wide gene expression data, understanding how transcription programs are established and regulated to define cell identity remains a puzzle. An important mechanism of gene regulation is the binding of transcription factors (TFs) to specific DNA sequence motifs across the genome. However, these sequences are hindered by the packaging of DNA to chromatin. Thus, the accessibility of these loci for TF binding is highly regulated and determines where and when TFs bind. We present a workflow for measuring chromatin accessibility in Arabidopsis thaliana and define organ-specific regulatory sites and binding motifs of TFs at these sites. We coupled the recently described isolation of nuclei tagged in specific cell types (INTACT) and assay for transposase-accessible chromatin with high-throughput sequencing (ATAC-seq) as a genome-wide strategy to uncover accessible regulatory sites in Arabidopsis based on their accessibility to nuclease digestion. By applying this pipeline in Arabidopsis roots, we revealed 41,419 accessible sites, of which approximately half are found in gene promoters and contain the H3K4me3 active histone mark. The root-unique accessible sites from this group are enriched for root processes. Interestingly, most of the root-unique accessible sites are found in nongenic regions but are correlated with root-specific expression of distant genes. Importantly, these gene-distant sites are enriched for binding motifs of TFs important for root development as well as motifs for TFs that may play a role as novel transcriptional regulators in roots, suggesting that these accessible loci are functional novel gene-distant regulatory elements. By coupling INTACT with ATAC-seq methods, we present a feasible pipeline to profile accessible chromatin in plants. We also introduce a rapid measure of the experiment quality. We find that chromatin accessibility at promoter regions is strongly associated with transcription and active histone marks. However, root-specific chromatin accessibility is primarily found at intergenic regions, suggesting their predominance in defining organ identity possibly via long-range chromatin interactions. This workflow can be rapidly applied to study the regulatory landscape in other cell types, plant species and conditions.","author":[{"dropping-particle":"","family":"Tannenbaum","given":"Miriam","non-dropping-particle":"","parse-names":false,"suffix":""},{"dropping-particle":"","family":"Sarusi-Portuguez","given":"Avital","non-dropping-particle":"","parse-names":false,"suffix":""},{"dropping-particle":"","family":"Krispil","given":"Ronen","non-dropping-particle":"","parse-names":false,"suffix":""},{"dropping-particle":"","family":"Schwartz","given":"Michal","non-dropping-particle":"","parse-names":false,"suffix":""},{"dropping-particle":"","family":"Loza","given":"Olga","non-dropping-particle":"","parse-names":false,"suffix":""},{"dropping-particle":"","family":"Benichou","given":"Jennifer I. C.","non-dropping-particle":"","parse-names":false,"suffix":""},{"dropping-particle":"","family":"Mosquna","given":"Assaf","non-dropping-particle":"","parse-names":false,"suffix":""},{"dropping-particle":"","family":"Hakim","given":"Ofir","non-dropping-particle":"","parse-names":false,"suffix":""}],"container-title":"Plant Methods","id":"ITEM-2","issue":"1","issued":{"date-parts":[["2018","12","20"]]},"page":"113","publisher":"BioMed Central","title":"Regulatory chromatin landscape in Arabidopsis thaliana roots uncovered by coupling INTACT and ATAC-seq","type":"article-journal","volume":"14"},"uris":["http://www.mendeley.com/documents/?uuid=425b5224-6793-34ca-be52-d7bdf1761042"]},{"id":"ITEM-3","itemData":{"DOI":"10.1016/j.tplants.2016.07.013","ISSN":"13601385","abstract":"Higher eukaryotes typically contain many different cell types, displaying different cellular functions that are influenced by biotic and abiotic cues. The different functions are characterized by specific gene expression patterns mediated by regulatory sequences such as transcriptional enhancers. Recent genome-wide approaches have identified thousands of enhancers in animals, reviving interest in enhancers in gene regulation. Although the regulatory roles of plant enhancers are as crucial as those in animals, genome-wide approaches have only very recently been applied to plants. Here we review characteristics of enhancers at the DNA and chromatin level in plants and other species, their similarities and differences, and techniques widely used for genome-wide discovery of enhancers in animal systems that can be implemented in plants.","author":[{"dropping-particle":"","family":"Weber","given":"Blaise","non-dropping-particle":"","parse-names":false,"suffix":""},{"dropping-particle":"","family":"Zicola","given":"Johan","non-dropping-particle":"","parse-names":false,"suffix":""},{"dropping-particle":"","family":"Oka","given":"Rurika","non-dropping-particle":"","parse-names":false,"suffix":""},{"dropping-particle":"","family":"Stam","given":"Maike","non-dropping-particle":"","parse-names":false,"suffix":""}],"container-title":"Trends in Plant Science","id":"ITEM-3","issue":"11","issued":{"date-parts":[["2016"]]},"page":"974-987","title":"Plant Enhancers: A Call for Discovery","type":"article-journal","volume":"21"},"uris":["http://www.mendeley.com/documents/?uuid=55ba94b8-adf3-3352-95c6-3ba75cdfeb2c"]}],"mendeley":{"formattedCitation":"[26,43,44]","plainTextFormattedCitation":"[26,43,44]","previouslyFormattedCitation":"[26,43,44]"},"properties":{"noteIndex":0},"schema":"https://github.com/citation-style-language/schema/raw/master/csl-citation.json"}</w:instrText>
      </w:r>
      <w:r w:rsidR="007E432E">
        <w:rPr>
          <w:rFonts w:asciiTheme="majorBidi" w:hAnsiTheme="majorBidi" w:cstheme="majorBidi"/>
        </w:rPr>
        <w:fldChar w:fldCharType="separate"/>
      </w:r>
      <w:r w:rsidR="00AB1145" w:rsidRPr="00AB1145">
        <w:rPr>
          <w:rFonts w:asciiTheme="majorBidi" w:hAnsiTheme="majorBidi" w:cstheme="majorBidi"/>
          <w:noProof/>
        </w:rPr>
        <w:t>[26,43,44]</w:t>
      </w:r>
      <w:r w:rsidR="007E432E">
        <w:rPr>
          <w:rFonts w:asciiTheme="majorBidi" w:hAnsiTheme="majorBidi" w:cstheme="majorBidi"/>
        </w:rPr>
        <w:fldChar w:fldCharType="end"/>
      </w:r>
      <w:r w:rsidR="007E432E">
        <w:rPr>
          <w:rFonts w:asciiTheme="majorBidi" w:hAnsiTheme="majorBidi" w:cstheme="majorBidi"/>
        </w:rPr>
        <w:t xml:space="preserve">. </w:t>
      </w:r>
      <w:r w:rsidR="00D4566D">
        <w:t>dTHS</w:t>
      </w:r>
      <w:r w:rsidR="003707E4">
        <w:t xml:space="preserve">s are located on average </w:t>
      </w:r>
      <w:r w:rsidR="00A9097D">
        <w:t>significantly</w:t>
      </w:r>
      <w:r w:rsidR="003707E4">
        <w:t xml:space="preserve"> closer to </w:t>
      </w:r>
      <w:r w:rsidR="00363544">
        <w:t>transposable element</w:t>
      </w:r>
      <w:r w:rsidR="007257BF">
        <w:t>s</w:t>
      </w:r>
      <w:r w:rsidR="003707E4">
        <w:t xml:space="preserve"> relative to the global trend of chromatin accessibility</w:t>
      </w:r>
      <w:r w:rsidR="00363544">
        <w:t xml:space="preserve"> sites</w:t>
      </w:r>
      <w:r w:rsidR="003707E4">
        <w:t xml:space="preserve"> as t</w:t>
      </w:r>
      <w:r w:rsidR="003707E4">
        <w:rPr>
          <w:rFonts w:asciiTheme="majorBidi" w:hAnsiTheme="majorBidi" w:cstheme="majorBidi"/>
          <w:szCs w:val="24"/>
        </w:rPr>
        <w:t xml:space="preserve">he </w:t>
      </w:r>
      <w:r w:rsidR="003707E4">
        <w:t xml:space="preserve">average distance of dTHSs to the nearest TE is </w:t>
      </w:r>
      <w:r w:rsidR="00363544" w:rsidRPr="00CB6744">
        <w:rPr>
          <w:rFonts w:asciiTheme="majorBidi" w:hAnsiTheme="majorBidi" w:cstheme="majorBidi"/>
        </w:rPr>
        <w:t xml:space="preserve">1347.27 </w:t>
      </w:r>
      <w:r w:rsidR="00363544">
        <w:rPr>
          <w:rFonts w:asciiTheme="majorBidi" w:hAnsiTheme="majorBidi" w:cstheme="majorBidi"/>
        </w:rPr>
        <w:t>bp</w:t>
      </w:r>
      <w:r w:rsidR="00363544">
        <w:t xml:space="preserve"> while t</w:t>
      </w:r>
      <w:r w:rsidR="00363544">
        <w:rPr>
          <w:rFonts w:asciiTheme="majorBidi" w:hAnsiTheme="majorBidi" w:cstheme="majorBidi"/>
          <w:szCs w:val="24"/>
        </w:rPr>
        <w:t xml:space="preserve">he </w:t>
      </w:r>
      <w:r w:rsidR="00363544">
        <w:t>average distance</w:t>
      </w:r>
      <w:r>
        <w:t xml:space="preserve"> </w:t>
      </w:r>
      <w:r w:rsidR="00363544">
        <w:t xml:space="preserve">of all </w:t>
      </w:r>
      <w:r w:rsidR="00D1709C">
        <w:t>THSs</w:t>
      </w:r>
      <w:r w:rsidR="00363544">
        <w:t xml:space="preserve"> is </w:t>
      </w:r>
      <w:r w:rsidR="00363544" w:rsidRPr="00CB6744">
        <w:rPr>
          <w:rFonts w:asciiTheme="majorBidi" w:hAnsiTheme="majorBidi" w:cstheme="majorBidi"/>
        </w:rPr>
        <w:t>5</w:t>
      </w:r>
      <w:r w:rsidR="007A5175">
        <w:rPr>
          <w:rFonts w:asciiTheme="majorBidi" w:hAnsiTheme="majorBidi" w:cstheme="majorBidi"/>
        </w:rPr>
        <w:t>648.22</w:t>
      </w:r>
      <w:r w:rsidR="00363544" w:rsidRPr="00CB6744">
        <w:rPr>
          <w:rFonts w:asciiTheme="majorBidi" w:hAnsiTheme="majorBidi" w:cstheme="majorBidi"/>
        </w:rPr>
        <w:t xml:space="preserve"> bp </w:t>
      </w:r>
      <w:r w:rsidR="00363544">
        <w:t xml:space="preserve">in the mutant, and 1188 bp from WT dTHSs compared with </w:t>
      </w:r>
      <w:r w:rsidR="00363544" w:rsidRPr="00CB6744">
        <w:rPr>
          <w:rFonts w:asciiTheme="majorBidi" w:hAnsiTheme="majorBidi" w:cstheme="majorBidi"/>
        </w:rPr>
        <w:t>5573.06 bp</w:t>
      </w:r>
      <w:r w:rsidR="00363544">
        <w:t xml:space="preserve"> average distance from all WT </w:t>
      </w:r>
      <w:r w:rsidR="00D1709C">
        <w:t>THSs</w:t>
      </w:r>
      <w:r w:rsidR="00A9097D">
        <w:t xml:space="preserve"> (p-value&lt;0.0001, Wilcox rank sum test)</w:t>
      </w:r>
      <w:r w:rsidR="00363544">
        <w:t xml:space="preserve">. </w:t>
      </w:r>
      <w:r w:rsidR="00C707A7" w:rsidRPr="00CB6744">
        <w:rPr>
          <w:rFonts w:asciiTheme="majorBidi" w:hAnsiTheme="majorBidi" w:cstheme="majorBidi"/>
        </w:rPr>
        <w:t>Furthermore</w:t>
      </w:r>
      <w:r w:rsidR="00344F8C" w:rsidRPr="00CB6744">
        <w:rPr>
          <w:rFonts w:asciiTheme="majorBidi" w:hAnsiTheme="majorBidi" w:cstheme="majorBidi"/>
        </w:rPr>
        <w:t>,</w:t>
      </w:r>
      <w:r w:rsidR="00936C9F" w:rsidRPr="00CB6744">
        <w:rPr>
          <w:rFonts w:asciiTheme="majorBidi" w:hAnsiTheme="majorBidi" w:cstheme="majorBidi"/>
        </w:rPr>
        <w:t xml:space="preserve"> variations in chromatin accessibility are linked to non-coding </w:t>
      </w:r>
      <w:r w:rsidR="00833DCC">
        <w:rPr>
          <w:rFonts w:asciiTheme="majorBidi" w:hAnsiTheme="majorBidi" w:cstheme="majorBidi"/>
        </w:rPr>
        <w:t>genes</w:t>
      </w:r>
      <w:r w:rsidR="00936C9F" w:rsidRPr="00CB6744">
        <w:rPr>
          <w:rFonts w:asciiTheme="majorBidi" w:hAnsiTheme="majorBidi" w:cstheme="majorBidi"/>
        </w:rPr>
        <w:t xml:space="preserve"> as they </w:t>
      </w:r>
      <w:r w:rsidR="007422DC" w:rsidRPr="00CB6744">
        <w:rPr>
          <w:rFonts w:asciiTheme="majorBidi" w:hAnsiTheme="majorBidi" w:cstheme="majorBidi"/>
        </w:rPr>
        <w:t>are over-rep</w:t>
      </w:r>
      <w:r w:rsidR="00344F8C" w:rsidRPr="00CB6744">
        <w:rPr>
          <w:rFonts w:asciiTheme="majorBidi" w:hAnsiTheme="majorBidi" w:cstheme="majorBidi"/>
        </w:rPr>
        <w:t xml:space="preserve">resented in the group of genes </w:t>
      </w:r>
      <w:r w:rsidR="007422DC" w:rsidRPr="00CB6744">
        <w:rPr>
          <w:rFonts w:asciiTheme="majorBidi" w:hAnsiTheme="majorBidi" w:cstheme="majorBidi"/>
        </w:rPr>
        <w:t xml:space="preserve">closest to </w:t>
      </w:r>
      <w:r w:rsidR="007C44F7" w:rsidRPr="00CB6744">
        <w:rPr>
          <w:rFonts w:asciiTheme="majorBidi" w:hAnsiTheme="majorBidi" w:cstheme="majorBidi"/>
        </w:rPr>
        <w:t>dTHSs</w:t>
      </w:r>
      <w:r w:rsidR="007422DC" w:rsidRPr="00CB6744">
        <w:rPr>
          <w:rFonts w:asciiTheme="majorBidi" w:hAnsiTheme="majorBidi" w:cstheme="majorBidi"/>
        </w:rPr>
        <w:t xml:space="preserve"> </w:t>
      </w:r>
      <w:r w:rsidR="00EA6BD1" w:rsidRPr="00CB6744">
        <w:rPr>
          <w:rFonts w:asciiTheme="majorBidi" w:hAnsiTheme="majorBidi" w:cstheme="majorBidi"/>
        </w:rPr>
        <w:t>(</w:t>
      </w:r>
      <w:r w:rsidR="00D90CE2" w:rsidRPr="00CB6744">
        <w:rPr>
          <w:rFonts w:asciiTheme="majorBidi" w:hAnsiTheme="majorBidi" w:cstheme="majorBidi"/>
        </w:rPr>
        <w:t>Figure</w:t>
      </w:r>
      <w:r w:rsidR="00D23D82" w:rsidRPr="00CB6744">
        <w:rPr>
          <w:rFonts w:asciiTheme="majorBidi" w:hAnsiTheme="majorBidi" w:cstheme="majorBidi"/>
        </w:rPr>
        <w:t xml:space="preserve"> 3B</w:t>
      </w:r>
      <w:r w:rsidR="00EA6BD1" w:rsidRPr="00CB6744">
        <w:rPr>
          <w:rFonts w:asciiTheme="majorBidi" w:hAnsiTheme="majorBidi" w:cstheme="majorBidi"/>
        </w:rPr>
        <w:t>)</w:t>
      </w:r>
      <w:r w:rsidR="00374DAD">
        <w:rPr>
          <w:rFonts w:asciiTheme="majorBidi" w:hAnsiTheme="majorBidi" w:cstheme="majorBidi"/>
        </w:rPr>
        <w:t xml:space="preserve"> significantly in the mutant data </w:t>
      </w:r>
      <w:r w:rsidR="00374DAD">
        <w:rPr>
          <w:rFonts w:asciiTheme="majorBidi" w:hAnsiTheme="majorBidi" w:cstheme="majorBidi"/>
          <w:szCs w:val="24"/>
        </w:rPr>
        <w:t>(p-value</w:t>
      </w:r>
      <w:r w:rsidR="00374DAD" w:rsidRPr="00374DAD">
        <w:rPr>
          <w:rFonts w:asciiTheme="majorBidi" w:hAnsiTheme="majorBidi" w:cstheme="majorBidi"/>
          <w:szCs w:val="24"/>
        </w:rPr>
        <w:t xml:space="preserve"> &lt; 2.2e-16</w:t>
      </w:r>
      <w:r w:rsidR="00374DAD">
        <w:rPr>
          <w:rFonts w:asciiTheme="majorBidi" w:hAnsiTheme="majorBidi" w:cstheme="majorBidi"/>
          <w:szCs w:val="24"/>
        </w:rPr>
        <w:t>, Chi-squared test)</w:t>
      </w:r>
      <w:r w:rsidR="00EA6BD1" w:rsidRPr="00CB6744">
        <w:rPr>
          <w:rFonts w:asciiTheme="majorBidi" w:hAnsiTheme="majorBidi" w:cstheme="majorBidi"/>
        </w:rPr>
        <w:t xml:space="preserve">. </w:t>
      </w:r>
      <w:r w:rsidR="00936C9F" w:rsidRPr="00CB6744">
        <w:rPr>
          <w:rFonts w:asciiTheme="majorBidi" w:hAnsiTheme="majorBidi" w:cstheme="majorBidi"/>
        </w:rPr>
        <w:t xml:space="preserve">In the same line, </w:t>
      </w:r>
      <w:r w:rsidR="004D3308" w:rsidRPr="00CB6744">
        <w:rPr>
          <w:rFonts w:asciiTheme="majorBidi" w:hAnsiTheme="majorBidi" w:cstheme="majorBidi"/>
        </w:rPr>
        <w:t xml:space="preserve">the </w:t>
      </w:r>
      <w:r w:rsidR="0026391F" w:rsidRPr="00CB6744">
        <w:rPr>
          <w:rFonts w:asciiTheme="majorBidi" w:hAnsiTheme="majorBidi" w:cstheme="majorBidi"/>
        </w:rPr>
        <w:t>dTHSs</w:t>
      </w:r>
      <w:r w:rsidR="0026391F">
        <w:rPr>
          <w:rFonts w:asciiTheme="majorBidi" w:hAnsiTheme="majorBidi" w:cstheme="majorBidi"/>
        </w:rPr>
        <w:t xml:space="preserve"> are more distant from </w:t>
      </w:r>
      <w:r w:rsidR="0026391F" w:rsidRPr="00CB6744">
        <w:rPr>
          <w:rFonts w:asciiTheme="majorBidi" w:hAnsiTheme="majorBidi" w:cstheme="majorBidi"/>
        </w:rPr>
        <w:t>coding gen</w:t>
      </w:r>
      <w:r w:rsidR="0026391F">
        <w:rPr>
          <w:rFonts w:asciiTheme="majorBidi" w:hAnsiTheme="majorBidi" w:cstheme="majorBidi"/>
        </w:rPr>
        <w:t xml:space="preserve">s compared to the global </w:t>
      </w:r>
      <w:r w:rsidR="0061408B">
        <w:rPr>
          <w:rFonts w:asciiTheme="majorBidi" w:hAnsiTheme="majorBidi" w:cstheme="majorBidi"/>
        </w:rPr>
        <w:t xml:space="preserve">genome-wide </w:t>
      </w:r>
      <w:r w:rsidR="0026391F">
        <w:rPr>
          <w:rFonts w:asciiTheme="majorBidi" w:hAnsiTheme="majorBidi" w:cstheme="majorBidi"/>
        </w:rPr>
        <w:t xml:space="preserve">trends </w:t>
      </w:r>
      <w:r w:rsidR="00EA6BD1" w:rsidRPr="00CB6744">
        <w:rPr>
          <w:rFonts w:asciiTheme="majorBidi" w:hAnsiTheme="majorBidi" w:cstheme="majorBidi"/>
        </w:rPr>
        <w:t>(</w:t>
      </w:r>
      <w:r w:rsidR="00E72FDF" w:rsidRPr="00CB6744">
        <w:rPr>
          <w:rFonts w:asciiTheme="majorBidi" w:hAnsiTheme="majorBidi" w:cstheme="majorBidi"/>
        </w:rPr>
        <w:t>average</w:t>
      </w:r>
      <w:r w:rsidR="0026391F">
        <w:rPr>
          <w:rFonts w:asciiTheme="majorBidi" w:hAnsiTheme="majorBidi" w:cstheme="majorBidi"/>
        </w:rPr>
        <w:t xml:space="preserve"> distance to the nearest gene </w:t>
      </w:r>
      <w:r w:rsidR="00A9097D">
        <w:rPr>
          <w:rFonts w:asciiTheme="majorBidi" w:hAnsiTheme="majorBidi" w:cstheme="majorBidi"/>
        </w:rPr>
        <w:t>362.31</w:t>
      </w:r>
      <w:r w:rsidR="00E72FDF" w:rsidRPr="00CB6744">
        <w:rPr>
          <w:rFonts w:asciiTheme="majorBidi" w:hAnsiTheme="majorBidi" w:cstheme="majorBidi"/>
        </w:rPr>
        <w:t xml:space="preserve"> bp </w:t>
      </w:r>
      <w:r w:rsidR="0026391F">
        <w:rPr>
          <w:rFonts w:asciiTheme="majorBidi" w:hAnsiTheme="majorBidi" w:cstheme="majorBidi"/>
        </w:rPr>
        <w:t xml:space="preserve">for </w:t>
      </w:r>
      <w:r w:rsidR="0026391F" w:rsidRPr="00CB6744">
        <w:rPr>
          <w:rFonts w:asciiTheme="majorBidi" w:hAnsiTheme="majorBidi" w:cstheme="majorBidi"/>
          <w:i/>
          <w:iCs/>
        </w:rPr>
        <w:t>brm</w:t>
      </w:r>
      <w:r w:rsidR="0026391F" w:rsidRPr="00CB6744">
        <w:rPr>
          <w:rFonts w:asciiTheme="majorBidi" w:hAnsiTheme="majorBidi" w:cstheme="majorBidi"/>
        </w:rPr>
        <w:t xml:space="preserve"> </w:t>
      </w:r>
      <w:r w:rsidR="0061408B">
        <w:rPr>
          <w:rFonts w:asciiTheme="majorBidi" w:hAnsiTheme="majorBidi" w:cstheme="majorBidi"/>
        </w:rPr>
        <w:t>specific vs</w:t>
      </w:r>
      <w:r w:rsidR="0026391F" w:rsidRPr="00CB6744">
        <w:rPr>
          <w:rFonts w:asciiTheme="majorBidi" w:hAnsiTheme="majorBidi" w:cstheme="majorBidi"/>
        </w:rPr>
        <w:t xml:space="preserve"> </w:t>
      </w:r>
      <w:r w:rsidR="00A9097D">
        <w:rPr>
          <w:rFonts w:asciiTheme="majorBidi" w:hAnsiTheme="majorBidi" w:cstheme="majorBidi"/>
        </w:rPr>
        <w:t>276</w:t>
      </w:r>
      <w:r w:rsidR="00A9097D" w:rsidRPr="00CB6744">
        <w:rPr>
          <w:rFonts w:asciiTheme="majorBidi" w:hAnsiTheme="majorBidi" w:cstheme="majorBidi"/>
        </w:rPr>
        <w:t>.</w:t>
      </w:r>
      <w:r w:rsidR="00A9097D">
        <w:rPr>
          <w:rFonts w:asciiTheme="majorBidi" w:hAnsiTheme="majorBidi" w:cstheme="majorBidi"/>
        </w:rPr>
        <w:t>3</w:t>
      </w:r>
      <w:r w:rsidR="00A9097D" w:rsidRPr="00CB6744">
        <w:rPr>
          <w:rFonts w:asciiTheme="majorBidi" w:hAnsiTheme="majorBidi" w:cstheme="majorBidi"/>
        </w:rPr>
        <w:t>3</w:t>
      </w:r>
      <w:r w:rsidR="00A9097D">
        <w:rPr>
          <w:rFonts w:asciiTheme="majorBidi" w:hAnsiTheme="majorBidi" w:cstheme="majorBidi"/>
        </w:rPr>
        <w:t xml:space="preserve"> </w:t>
      </w:r>
      <w:r w:rsidR="00EA6BD1" w:rsidRPr="00CB6744">
        <w:rPr>
          <w:rFonts w:asciiTheme="majorBidi" w:hAnsiTheme="majorBidi" w:cstheme="majorBidi"/>
        </w:rPr>
        <w:t xml:space="preserve">bp </w:t>
      </w:r>
      <w:r w:rsidR="0061408B">
        <w:rPr>
          <w:rFonts w:asciiTheme="majorBidi" w:hAnsiTheme="majorBidi" w:cstheme="majorBidi"/>
        </w:rPr>
        <w:t>genome-wide</w:t>
      </w:r>
      <w:r w:rsidR="00A9097D">
        <w:rPr>
          <w:rFonts w:asciiTheme="majorBidi" w:hAnsiTheme="majorBidi" w:cstheme="majorBidi"/>
        </w:rPr>
        <w:t xml:space="preserve"> </w:t>
      </w:r>
      <w:r w:rsidR="00A9097D">
        <w:t>(p-value&lt;</w:t>
      </w:r>
      <w:r w:rsidR="00A9097D" w:rsidRPr="00A9097D">
        <w:t>2.2E-16</w:t>
      </w:r>
      <w:r w:rsidR="00A9097D">
        <w:t>, Wilcox rank sum test)</w:t>
      </w:r>
      <w:r w:rsidR="00EA6BD1" w:rsidRPr="00CB6744">
        <w:rPr>
          <w:rFonts w:asciiTheme="majorBidi" w:hAnsiTheme="majorBidi" w:cstheme="majorBidi"/>
        </w:rPr>
        <w:t xml:space="preserve">, and </w:t>
      </w:r>
      <w:r w:rsidR="00A9097D">
        <w:rPr>
          <w:rFonts w:asciiTheme="majorBidi" w:hAnsiTheme="majorBidi" w:cstheme="majorBidi"/>
        </w:rPr>
        <w:t>640</w:t>
      </w:r>
      <w:r w:rsidR="00D01CF1">
        <w:rPr>
          <w:rFonts w:asciiTheme="majorBidi" w:hAnsiTheme="majorBidi" w:cstheme="majorBidi"/>
        </w:rPr>
        <w:t>.8</w:t>
      </w:r>
      <w:r w:rsidR="00A9097D">
        <w:rPr>
          <w:rFonts w:asciiTheme="majorBidi" w:hAnsiTheme="majorBidi" w:cstheme="majorBidi"/>
        </w:rPr>
        <w:t>2</w:t>
      </w:r>
      <w:r w:rsidR="00E72FDF" w:rsidRPr="00CB6744">
        <w:rPr>
          <w:rFonts w:asciiTheme="majorBidi" w:hAnsiTheme="majorBidi" w:cstheme="majorBidi"/>
        </w:rPr>
        <w:t xml:space="preserve"> bp </w:t>
      </w:r>
      <w:r w:rsidR="0026391F">
        <w:rPr>
          <w:rFonts w:asciiTheme="majorBidi" w:hAnsiTheme="majorBidi" w:cstheme="majorBidi"/>
        </w:rPr>
        <w:t xml:space="preserve">for </w:t>
      </w:r>
      <w:r w:rsidR="0026391F" w:rsidRPr="00CB6744">
        <w:rPr>
          <w:rFonts w:asciiTheme="majorBidi" w:hAnsiTheme="majorBidi" w:cstheme="majorBidi"/>
        </w:rPr>
        <w:t>WT</w:t>
      </w:r>
      <w:r w:rsidR="0026391F">
        <w:rPr>
          <w:rFonts w:asciiTheme="majorBidi" w:hAnsiTheme="majorBidi" w:cstheme="majorBidi"/>
        </w:rPr>
        <w:t>-</w:t>
      </w:r>
      <w:r w:rsidR="00A5034E">
        <w:rPr>
          <w:rFonts w:asciiTheme="majorBidi" w:hAnsiTheme="majorBidi" w:cstheme="majorBidi"/>
        </w:rPr>
        <w:t>specific</w:t>
      </w:r>
      <w:r w:rsidR="0026391F">
        <w:rPr>
          <w:rFonts w:asciiTheme="majorBidi" w:hAnsiTheme="majorBidi" w:cstheme="majorBidi"/>
        </w:rPr>
        <w:t xml:space="preserve"> vs </w:t>
      </w:r>
      <w:r w:rsidR="00A9097D">
        <w:rPr>
          <w:rFonts w:asciiTheme="majorBidi" w:hAnsiTheme="majorBidi" w:cstheme="majorBidi"/>
        </w:rPr>
        <w:t>288</w:t>
      </w:r>
      <w:r w:rsidR="00D01CF1">
        <w:rPr>
          <w:rFonts w:asciiTheme="majorBidi" w:hAnsiTheme="majorBidi" w:cstheme="majorBidi"/>
        </w:rPr>
        <w:t>.</w:t>
      </w:r>
      <w:r w:rsidR="00A9097D">
        <w:rPr>
          <w:rFonts w:asciiTheme="majorBidi" w:hAnsiTheme="majorBidi" w:cstheme="majorBidi"/>
        </w:rPr>
        <w:t>86</w:t>
      </w:r>
      <w:r w:rsidR="00EA6BD1" w:rsidRPr="00CB6744">
        <w:rPr>
          <w:rFonts w:asciiTheme="majorBidi" w:hAnsiTheme="majorBidi" w:cstheme="majorBidi"/>
        </w:rPr>
        <w:t xml:space="preserve"> bp</w:t>
      </w:r>
      <w:r w:rsidR="0026391F">
        <w:rPr>
          <w:rFonts w:asciiTheme="majorBidi" w:hAnsiTheme="majorBidi" w:cstheme="majorBidi"/>
        </w:rPr>
        <w:t xml:space="preserve"> </w:t>
      </w:r>
      <w:r w:rsidR="0061408B">
        <w:rPr>
          <w:rFonts w:asciiTheme="majorBidi" w:hAnsiTheme="majorBidi" w:cstheme="majorBidi"/>
        </w:rPr>
        <w:t>genome-wide</w:t>
      </w:r>
      <w:r w:rsidR="00A9097D">
        <w:rPr>
          <w:rFonts w:asciiTheme="majorBidi" w:hAnsiTheme="majorBidi" w:cstheme="majorBidi"/>
        </w:rPr>
        <w:t xml:space="preserve"> </w:t>
      </w:r>
      <w:r w:rsidR="00A9097D">
        <w:t>(p-value&lt;0.05, Wilcox rank sum test)</w:t>
      </w:r>
      <w:r w:rsidR="0026391F">
        <w:rPr>
          <w:rFonts w:asciiTheme="majorBidi" w:hAnsiTheme="majorBidi" w:cstheme="majorBidi"/>
        </w:rPr>
        <w:t>)</w:t>
      </w:r>
      <w:r w:rsidR="00EA6BD1" w:rsidRPr="00CB6744">
        <w:rPr>
          <w:rFonts w:asciiTheme="majorBidi" w:hAnsiTheme="majorBidi" w:cstheme="majorBidi"/>
        </w:rPr>
        <w:t xml:space="preserve">. </w:t>
      </w:r>
      <w:r w:rsidR="007E432E">
        <w:rPr>
          <w:rFonts w:asciiTheme="majorBidi" w:hAnsiTheme="majorBidi" w:cstheme="majorBidi"/>
        </w:rPr>
        <w:lastRenderedPageBreak/>
        <w:t>C</w:t>
      </w:r>
      <w:r w:rsidR="00971071">
        <w:rPr>
          <w:rFonts w:asciiTheme="majorBidi" w:hAnsiTheme="majorBidi" w:cstheme="majorBidi"/>
        </w:rPr>
        <w:t xml:space="preserve">onstraining the distance </w:t>
      </w:r>
      <w:r w:rsidR="007E432E">
        <w:rPr>
          <w:rFonts w:asciiTheme="majorBidi" w:hAnsiTheme="majorBidi" w:cstheme="majorBidi"/>
        </w:rPr>
        <w:t xml:space="preserve">between dTHS to genes </w:t>
      </w:r>
      <w:r w:rsidR="00971071">
        <w:rPr>
          <w:rFonts w:asciiTheme="majorBidi" w:hAnsiTheme="majorBidi" w:cstheme="majorBidi"/>
        </w:rPr>
        <w:t>to 1kb increases the like</w:t>
      </w:r>
      <w:r w:rsidR="0061408B">
        <w:rPr>
          <w:rFonts w:asciiTheme="majorBidi" w:hAnsiTheme="majorBidi" w:cstheme="majorBidi"/>
        </w:rPr>
        <w:t>lihood of their regulatory link</w:t>
      </w:r>
      <w:r w:rsidR="00971071">
        <w:rPr>
          <w:rFonts w:asciiTheme="majorBidi" w:hAnsiTheme="majorBidi" w:cstheme="majorBidi"/>
        </w:rPr>
        <w:t xml:space="preserve"> </w:t>
      </w:r>
      <w:r w:rsidR="00516D8E" w:rsidRPr="00CB6744">
        <w:rPr>
          <w:rFonts w:asciiTheme="majorBidi" w:hAnsiTheme="majorBidi" w:cstheme="majorBidi"/>
        </w:rPr>
        <w:fldChar w:fldCharType="begin" w:fldLock="1"/>
      </w:r>
      <w:r w:rsidR="00AB1145">
        <w:rPr>
          <w:rFonts w:asciiTheme="majorBidi" w:hAnsiTheme="majorBidi" w:cstheme="majorBidi"/>
        </w:rPr>
        <w:instrText>ADDIN CSL_CITATION {"citationItems":[{"id":"ITEM-1","itemData":{"DOI":"10.1038/srep32088","ISBN":"2045-2322 (Electronic)\r2045-2322 (Linking)","ISSN":"20452322","PMID":"27558448","abstract":"Functional characterization of open chromatin in bidirectional promoters of rice","author":[{"dropping-particle":"","family":"Fang","given":"Yuan","non-dropping-particle":"","parse-names":false,"suffix":""},{"dropping-particle":"","family":"Wang","given":"Xiu-e E. Ximeng","non-dropping-particle":"","parse-names":false,"suffix":""},{"dropping-particle":"","family":"Wang","given":"Lei","non-dropping-particle":"","parse-names":false,"suffix":""},{"dropping-particle":"","family":"Pan","given":"Xiucai","non-dropping-particle":"","parse-names":false,"suffix":""},{"dropping-particle":"","family":"Xiao","given":"Jin","non-dropping-particle":"","parse-names":false,"suffix":""},{"dropping-particle":"","family":"Wang","given":"Xiu-e E. Ximeng","non-dropping-particle":"","parse-names":false,"suffix":""},{"dropping-particle":"","family":"Wu","given":"Yufeng","non-dropping-particle":"","parse-names":false,"suffix":""},{"dropping-particle":"","family":"Zhang","given":"Wenli","non-dropping-particle":"","parse-names":false,"suffix":""}],"container-title":"Scientific Reports","id":"ITEM-1","issue":"1","issued":{"date-parts":[["2016","10","25"]]},"page":"32088","publisher":"Nature Publishing Group","title":"Functional characterization of open chromatin in bidirectional promoters of rice","type":"article-journal","volume":"6"},"uris":["http://www.mendeley.com/documents/?uuid=31328003-4c6b-4078-805b-bcf205d12221"]}],"mendeley":{"formattedCitation":"[45]","plainTextFormattedCitation":"[45]","previouslyFormattedCitation":"[45]"},"properties":{"noteIndex":0},"schema":"https://github.com/citation-style-language/schema/raw/master/csl-citation.json"}</w:instrText>
      </w:r>
      <w:r w:rsidR="00516D8E" w:rsidRPr="00CB6744">
        <w:rPr>
          <w:rFonts w:asciiTheme="majorBidi" w:hAnsiTheme="majorBidi" w:cstheme="majorBidi"/>
        </w:rPr>
        <w:fldChar w:fldCharType="separate"/>
      </w:r>
      <w:r w:rsidR="00AB1145" w:rsidRPr="00AB1145">
        <w:rPr>
          <w:rFonts w:asciiTheme="majorBidi" w:hAnsiTheme="majorBidi" w:cstheme="majorBidi"/>
          <w:noProof/>
        </w:rPr>
        <w:t>[45]</w:t>
      </w:r>
      <w:r w:rsidR="00516D8E" w:rsidRPr="00CB6744">
        <w:rPr>
          <w:rFonts w:asciiTheme="majorBidi" w:hAnsiTheme="majorBidi" w:cstheme="majorBidi"/>
        </w:rPr>
        <w:fldChar w:fldCharType="end"/>
      </w:r>
      <w:r w:rsidR="005A6447" w:rsidRPr="00CB6744">
        <w:rPr>
          <w:rFonts w:asciiTheme="majorBidi" w:hAnsiTheme="majorBidi" w:cstheme="majorBidi"/>
        </w:rPr>
        <w:t xml:space="preserve">. </w:t>
      </w:r>
      <w:r w:rsidR="0061408B">
        <w:t xml:space="preserve">The proportion of dTHS within 1kb of </w:t>
      </w:r>
      <w:r w:rsidR="0061408B" w:rsidRPr="00CB6744">
        <w:rPr>
          <w:rFonts w:asciiTheme="majorBidi" w:hAnsiTheme="majorBidi" w:cstheme="majorBidi"/>
        </w:rPr>
        <w:t>transposable elements</w:t>
      </w:r>
      <w:r w:rsidR="0061408B">
        <w:t xml:space="preserve"> or non-coding genes is double than the genome-wide accessibility profile, while </w:t>
      </w:r>
      <w:r w:rsidR="007E432E">
        <w:t>their proportion in proximity to coding</w:t>
      </w:r>
      <w:r w:rsidR="00DF773A">
        <w:t xml:space="preserve"> genes is lower than the global accessibility trend</w:t>
      </w:r>
      <w:r w:rsidR="00F10A9F" w:rsidRPr="00CB6744">
        <w:rPr>
          <w:rFonts w:asciiTheme="majorBidi" w:hAnsiTheme="majorBidi" w:cstheme="majorBidi"/>
        </w:rPr>
        <w:t xml:space="preserve">, suggesting that </w:t>
      </w:r>
      <w:r w:rsidR="00D74DBE" w:rsidRPr="00CB6744">
        <w:rPr>
          <w:rFonts w:asciiTheme="majorBidi" w:hAnsiTheme="majorBidi" w:cstheme="majorBidi"/>
        </w:rPr>
        <w:t xml:space="preserve">dTHSs </w:t>
      </w:r>
      <w:r w:rsidR="00516D8E" w:rsidRPr="00CB6744">
        <w:rPr>
          <w:rFonts w:asciiTheme="majorBidi" w:hAnsiTheme="majorBidi" w:cstheme="majorBidi"/>
        </w:rPr>
        <w:t xml:space="preserve">potentially </w:t>
      </w:r>
      <w:r w:rsidR="000E6693" w:rsidRPr="00CB6744">
        <w:rPr>
          <w:rFonts w:asciiTheme="majorBidi" w:hAnsiTheme="majorBidi" w:cstheme="majorBidi"/>
          <w:noProof/>
        </w:rPr>
        <mc:AlternateContent>
          <mc:Choice Requires="wps">
            <w:drawing>
              <wp:anchor distT="45720" distB="45720" distL="114300" distR="114300" simplePos="0" relativeHeight="251675648" behindDoc="0" locked="0" layoutInCell="1" allowOverlap="1" wp14:anchorId="721CC65F" wp14:editId="6E9AF034">
                <wp:simplePos x="0" y="0"/>
                <wp:positionH relativeFrom="margin">
                  <wp:align>center</wp:align>
                </wp:positionH>
                <wp:positionV relativeFrom="paragraph">
                  <wp:posOffset>1937868</wp:posOffset>
                </wp:positionV>
                <wp:extent cx="6429375" cy="4324350"/>
                <wp:effectExtent l="0" t="0" r="28575" b="1905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4324350"/>
                        </a:xfrm>
                        <a:prstGeom prst="rect">
                          <a:avLst/>
                        </a:prstGeom>
                        <a:solidFill>
                          <a:srgbClr val="FFFFFF"/>
                        </a:solidFill>
                        <a:ln w="9525">
                          <a:solidFill>
                            <a:srgbClr val="000000"/>
                          </a:solidFill>
                          <a:miter lim="800000"/>
                          <a:headEnd/>
                          <a:tailEnd/>
                        </a:ln>
                      </wps:spPr>
                      <wps:txbx>
                        <w:txbxContent>
                          <w:p w14:paraId="6E41B748" w14:textId="77777777" w:rsidR="00671446" w:rsidRDefault="00671446" w:rsidP="001C0C7E">
                            <w:pPr>
                              <w:pStyle w:val="NoSpacing"/>
                            </w:pPr>
                            <w:r>
                              <w:rPr>
                                <w:noProof/>
                              </w:rPr>
                              <w:drawing>
                                <wp:inline distT="0" distB="0" distL="0" distR="0" wp14:anchorId="5EAB2072" wp14:editId="66089ED6">
                                  <wp:extent cx="6237605" cy="35325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3.7.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37605" cy="3532505"/>
                                          </a:xfrm>
                                          <a:prstGeom prst="rect">
                                            <a:avLst/>
                                          </a:prstGeom>
                                        </pic:spPr>
                                      </pic:pic>
                                    </a:graphicData>
                                  </a:graphic>
                                </wp:inline>
                              </w:drawing>
                            </w:r>
                            <w:r>
                              <w:t xml:space="preserve">Figure 3. A, classification of differentially expressed genes. B, classification of nearest gene to ATAC-seq peaks. C, distance of nearest non-coding gene or transposable element or D, coding gene to ATAC-seq peaks, up to 1 kb (blue) or more (orange). E, F browser views of </w:t>
                            </w:r>
                            <w:r w:rsidRPr="00772C71">
                              <w:rPr>
                                <w:i/>
                                <w:iCs/>
                              </w:rPr>
                              <w:t>brm-5</w:t>
                            </w:r>
                            <w:r>
                              <w:t xml:space="preserve"> (E) and WT (F) specific accessible site. In blue, TE genes. ****p-value&lt;0.0001, NS non-significant, </w:t>
                            </w:r>
                            <w:r>
                              <w:rPr>
                                <w:rFonts w:asciiTheme="majorBidi" w:hAnsiTheme="majorBidi" w:cstheme="majorBidi"/>
                                <w:szCs w:val="24"/>
                              </w:rPr>
                              <w:t>Chi-squared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CC65F" id="_x0000_s1028" type="#_x0000_t202" style="position:absolute;left:0;text-align:left;margin-left:0;margin-top:152.6pt;width:506.25pt;height:340.5pt;z-index:2516756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">
                <v:textbox>
                  <w:txbxContent>
                    <w:p w14:paraId="6E41B748" w14:textId="77777777" w:rsidR="00671446" w:rsidRDefault="00671446" w:rsidP="001C0C7E">
                      <w:pPr>
                        <w:pStyle w:val="NoSpacing"/>
                      </w:pPr>
                      <w:r>
                        <w:rPr>
                          <w:noProof/>
                        </w:rPr>
                        <w:drawing>
                          <wp:inline distT="0" distB="0" distL="0" distR="0" wp14:anchorId="5EAB2072" wp14:editId="66089ED6">
                            <wp:extent cx="6237605" cy="35325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3.7.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37605" cy="3532505"/>
                                    </a:xfrm>
                                    <a:prstGeom prst="rect">
                                      <a:avLst/>
                                    </a:prstGeom>
                                  </pic:spPr>
                                </pic:pic>
                              </a:graphicData>
                            </a:graphic>
                          </wp:inline>
                        </w:drawing>
                      </w:r>
                      <w:r>
                        <w:t xml:space="preserve">Figure 3. A, classification of differentially expressed genes. B, classification of nearest gene to ATAC-seq peaks. C, distance of nearest non-coding gene or transposable element or D, coding gene to ATAC-seq peaks, up to 1 kb (blue) or more (orange). E, F browser views of </w:t>
                      </w:r>
                      <w:r w:rsidRPr="00772C71">
                        <w:rPr>
                          <w:i/>
                          <w:iCs/>
                        </w:rPr>
                        <w:t>brm-5</w:t>
                      </w:r>
                      <w:r>
                        <w:t xml:space="preserve"> (E) and WT (F) specific accessible site. In blue, TE genes. ****p-value&lt;0.0001, NS non-significant, </w:t>
                      </w:r>
                      <w:r>
                        <w:rPr>
                          <w:rFonts w:asciiTheme="majorBidi" w:hAnsiTheme="majorBidi" w:cstheme="majorBidi"/>
                          <w:szCs w:val="24"/>
                        </w:rPr>
                        <w:t>Chi-squared test.</w:t>
                      </w:r>
                    </w:p>
                  </w:txbxContent>
                </v:textbox>
                <w10:wrap type="square" anchorx="margin"/>
              </v:shape>
            </w:pict>
          </mc:Fallback>
        </mc:AlternateContent>
      </w:r>
      <w:r w:rsidR="00516D8E" w:rsidRPr="00CB6744">
        <w:rPr>
          <w:rFonts w:asciiTheme="majorBidi" w:hAnsiTheme="majorBidi" w:cstheme="majorBidi"/>
        </w:rPr>
        <w:t>regulate</w:t>
      </w:r>
      <w:r w:rsidR="005A6447" w:rsidRPr="00CB6744">
        <w:rPr>
          <w:rFonts w:asciiTheme="majorBidi" w:hAnsiTheme="majorBidi" w:cstheme="majorBidi"/>
        </w:rPr>
        <w:t xml:space="preserve"> </w:t>
      </w:r>
      <w:r w:rsidR="00D74DBE" w:rsidRPr="00CB6744">
        <w:rPr>
          <w:rFonts w:asciiTheme="majorBidi" w:hAnsiTheme="majorBidi" w:cstheme="majorBidi"/>
        </w:rPr>
        <w:t>non-coding elements</w:t>
      </w:r>
      <w:r w:rsidR="00E52AD3" w:rsidRPr="00CB6744">
        <w:rPr>
          <w:rFonts w:asciiTheme="majorBidi" w:hAnsiTheme="majorBidi" w:cstheme="majorBidi"/>
        </w:rPr>
        <w:t xml:space="preserve"> </w:t>
      </w:r>
      <w:r w:rsidR="00CA072F" w:rsidRPr="00CB6744">
        <w:rPr>
          <w:rFonts w:asciiTheme="majorBidi" w:hAnsiTheme="majorBidi" w:cstheme="majorBidi"/>
        </w:rPr>
        <w:t>(Figure 3</w:t>
      </w:r>
      <w:r w:rsidR="00772C71" w:rsidRPr="00CB6744">
        <w:rPr>
          <w:rFonts w:asciiTheme="majorBidi" w:hAnsiTheme="majorBidi" w:cstheme="majorBidi"/>
        </w:rPr>
        <w:t>C</w:t>
      </w:r>
      <w:r w:rsidR="00516D8E" w:rsidRPr="00CB6744">
        <w:rPr>
          <w:rFonts w:asciiTheme="majorBidi" w:hAnsiTheme="majorBidi" w:cstheme="majorBidi"/>
        </w:rPr>
        <w:t>-F</w:t>
      </w:r>
      <w:r w:rsidR="00CA072F" w:rsidRPr="00CB6744">
        <w:rPr>
          <w:rFonts w:asciiTheme="majorBidi" w:hAnsiTheme="majorBidi" w:cstheme="majorBidi"/>
        </w:rPr>
        <w:t>).</w:t>
      </w:r>
    </w:p>
    <w:p w14:paraId="70D13D61" w14:textId="34EFDFBE" w:rsidR="00D64760" w:rsidRPr="00D64760" w:rsidRDefault="00FC1C38" w:rsidP="00D64760">
      <w:pPr>
        <w:rPr>
          <w:rFonts w:asciiTheme="majorBidi" w:hAnsiTheme="majorBidi" w:cstheme="majorBidi"/>
          <w:b/>
          <w:bCs/>
          <w:szCs w:val="24"/>
        </w:rPr>
      </w:pPr>
      <w:r>
        <w:rPr>
          <w:rFonts w:asciiTheme="majorBidi" w:hAnsiTheme="majorBidi" w:cstheme="majorBidi"/>
          <w:b/>
          <w:bCs/>
          <w:szCs w:val="24"/>
        </w:rPr>
        <w:t xml:space="preserve">3.5 </w:t>
      </w:r>
      <w:bookmarkStart w:id="0" w:name="_GoBack"/>
      <w:bookmarkEnd w:id="0"/>
      <w:r w:rsidR="00D64760">
        <w:rPr>
          <w:rFonts w:asciiTheme="majorBidi" w:hAnsiTheme="majorBidi" w:cstheme="majorBidi"/>
          <w:b/>
          <w:bCs/>
          <w:szCs w:val="24"/>
        </w:rPr>
        <w:t xml:space="preserve">Chromosomal structure and regulatory capacity of dTHSs </w:t>
      </w:r>
    </w:p>
    <w:p w14:paraId="3412F7E0" w14:textId="77777777" w:rsidR="0082396E" w:rsidRDefault="0082396E" w:rsidP="0082396E">
      <w:pPr>
        <w:rPr>
          <w:rFonts w:asciiTheme="majorBidi" w:hAnsiTheme="majorBidi" w:cstheme="majorBidi"/>
          <w:b/>
          <w:bCs/>
          <w:szCs w:val="24"/>
        </w:rPr>
      </w:pPr>
      <w:r>
        <w:t xml:space="preserve">Interestingly, as most of the dTHS were spread across the genome, we found two loci in which highly dTHSs were found (Figure 4). One locus is on chromosome 1, overlapping an </w:t>
      </w:r>
      <w:r>
        <w:rPr>
          <w:i/>
          <w:iCs/>
        </w:rPr>
        <w:t>brm</w:t>
      </w:r>
      <w:r>
        <w:t>-specific gene (</w:t>
      </w:r>
      <w:r w:rsidRPr="005E205D">
        <w:t>AT1G75945</w:t>
      </w:r>
      <w:r>
        <w:t>,</w:t>
      </w:r>
      <w:r w:rsidRPr="0082396E">
        <w:t xml:space="preserve"> </w:t>
      </w:r>
      <w:r>
        <w:t>5.7 log</w:t>
      </w:r>
      <w:r w:rsidRPr="00C27DE6">
        <w:rPr>
          <w:vertAlign w:val="subscript"/>
        </w:rPr>
        <w:t>2</w:t>
      </w:r>
      <w:r>
        <w:t xml:space="preserve">FC) and two transposable elements. The second locus is located on chromosome 5, overlapping a TE gene which is </w:t>
      </w:r>
      <w:r>
        <w:rPr>
          <w:i/>
          <w:iCs/>
        </w:rPr>
        <w:t>brm</w:t>
      </w:r>
      <w:r>
        <w:t>-specific (AT5G35935, 5.32 log</w:t>
      </w:r>
      <w:r w:rsidRPr="00C27DE6">
        <w:rPr>
          <w:vertAlign w:val="subscript"/>
        </w:rPr>
        <w:t>2</w:t>
      </w:r>
      <w:r>
        <w:t>FC).</w:t>
      </w:r>
    </w:p>
    <w:p w14:paraId="1C562455" w14:textId="14E28F3C" w:rsidR="00647D12" w:rsidRPr="00CB6744" w:rsidRDefault="002E23FE" w:rsidP="00B010B5">
      <w:pPr>
        <w:rPr>
          <w:rFonts w:asciiTheme="majorBidi" w:hAnsiTheme="majorBidi" w:cstheme="majorBidi"/>
          <w:noProof/>
          <w:szCs w:val="24"/>
        </w:rPr>
      </w:pPr>
      <w:r w:rsidRPr="00DE31F7">
        <w:rPr>
          <w:rFonts w:asciiTheme="majorBidi" w:hAnsiTheme="majorBidi" w:cstheme="majorBidi"/>
          <w:noProof/>
          <w:szCs w:val="24"/>
        </w:rPr>
        <w:lastRenderedPageBreak/>
        <mc:AlternateContent>
          <mc:Choice Requires="wps">
            <w:drawing>
              <wp:anchor distT="45720" distB="45720" distL="114300" distR="114300" simplePos="0" relativeHeight="251683840" behindDoc="0" locked="0" layoutInCell="1" allowOverlap="1" wp14:anchorId="016AB39D" wp14:editId="3EBCF2AE">
                <wp:simplePos x="0" y="0"/>
                <wp:positionH relativeFrom="margin">
                  <wp:posOffset>-13647</wp:posOffset>
                </wp:positionH>
                <wp:positionV relativeFrom="paragraph">
                  <wp:posOffset>5247498</wp:posOffset>
                </wp:positionV>
                <wp:extent cx="5800725" cy="1978660"/>
                <wp:effectExtent l="0" t="0" r="28575" b="2159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1978660"/>
                        </a:xfrm>
                        <a:prstGeom prst="rect">
                          <a:avLst/>
                        </a:prstGeom>
                        <a:solidFill>
                          <a:srgbClr val="FFFFFF"/>
                        </a:solidFill>
                        <a:ln w="9525">
                          <a:solidFill>
                            <a:srgbClr val="000000"/>
                          </a:solidFill>
                          <a:miter lim="800000"/>
                          <a:headEnd/>
                          <a:tailEnd/>
                        </a:ln>
                      </wps:spPr>
                      <wps:txbx>
                        <w:txbxContent>
                          <w:p w14:paraId="6EBEF0A0" w14:textId="176A8E0A" w:rsidR="00671446" w:rsidRDefault="002127AC" w:rsidP="00CE2A86">
                            <w:pPr>
                              <w:pStyle w:val="NoSpacing"/>
                            </w:pPr>
                            <w:r>
                              <w:rPr>
                                <w:noProof/>
                              </w:rPr>
                              <w:drawing>
                                <wp:inline distT="0" distB="0" distL="0" distR="0" wp14:anchorId="6DD7C79C" wp14:editId="7184D739">
                                  <wp:extent cx="4680585" cy="1214650"/>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5.2.png"/>
                                          <pic:cNvPicPr/>
                                        </pic:nvPicPr>
                                        <pic:blipFill rotWithShape="1">
                                          <a:blip r:embed="rId12" cstate="print">
                                            <a:extLst>
                                              <a:ext uri="{28A0092B-C50C-407E-A947-70E740481C1C}">
                                                <a14:useLocalDpi xmlns:a14="http://schemas.microsoft.com/office/drawing/2010/main" val="0"/>
                                              </a:ext>
                                            </a:extLst>
                                          </a:blip>
                                          <a:srcRect r="16541" b="51580"/>
                                          <a:stretch/>
                                        </pic:blipFill>
                                        <pic:spPr bwMode="auto">
                                          <a:xfrm>
                                            <a:off x="0" y="0"/>
                                            <a:ext cx="4681182" cy="1214805"/>
                                          </a:xfrm>
                                          <a:prstGeom prst="rect">
                                            <a:avLst/>
                                          </a:prstGeom>
                                          <a:ln>
                                            <a:noFill/>
                                          </a:ln>
                                          <a:extLst>
                                            <a:ext uri="{53640926-AAD7-44D8-BBD7-CCE9431645EC}">
                                              <a14:shadowObscured xmlns:a14="http://schemas.microsoft.com/office/drawing/2010/main"/>
                                            </a:ext>
                                          </a:extLst>
                                        </pic:spPr>
                                      </pic:pic>
                                    </a:graphicData>
                                  </a:graphic>
                                </wp:inline>
                              </w:drawing>
                            </w:r>
                          </w:p>
                          <w:p w14:paraId="2E2215B9" w14:textId="11397F25" w:rsidR="00671446" w:rsidRDefault="00671446" w:rsidP="00CE2A86">
                            <w:pPr>
                              <w:pStyle w:val="NoSpacing"/>
                            </w:pPr>
                            <w:r>
                              <w:t>Figure 5. 3D chromosome confirmation of the cluster regions measured by 4C-seq. A, cluster 1. B, cluster 5. The viewpoint is highlighted in yellow. The raw read counts were normalized per million (CPM) in a sliding window of 10 kb</w:t>
                            </w:r>
                            <w:r w:rsidR="002127AC">
                              <w:t>.</w:t>
                            </w:r>
                            <w:r>
                              <w:t xml:space="preserve"> (top two tracks) or 10 restriction enzymes sites (bottom two tracks).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6AB39D" id="_x0000_s1029" type="#_x0000_t202" style="position:absolute;left:0;text-align:left;margin-left:-1.05pt;margin-top:413.2pt;width:456.75pt;height:155.8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">
                <v:textbox>
                  <w:txbxContent>
                    <w:p w14:paraId="6EBEF0A0" w14:textId="176A8E0A" w:rsidR="00671446" w:rsidRDefault="002127AC" w:rsidP="00CE2A86">
                      <w:pPr>
                        <w:pStyle w:val="NoSpacing"/>
                      </w:pPr>
                      <w:r>
                        <w:rPr>
                          <w:noProof/>
                        </w:rPr>
                        <w:drawing>
                          <wp:inline distT="0" distB="0" distL="0" distR="0" wp14:anchorId="6DD7C79C" wp14:editId="7184D739">
                            <wp:extent cx="4680585" cy="1214650"/>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5.2.png"/>
                                    <pic:cNvPicPr/>
                                  </pic:nvPicPr>
                                  <pic:blipFill rotWithShape="1">
                                    <a:blip r:embed="rId12" cstate="print">
                                      <a:extLst>
                                        <a:ext uri="{28A0092B-C50C-407E-A947-70E740481C1C}">
                                          <a14:useLocalDpi xmlns:a14="http://schemas.microsoft.com/office/drawing/2010/main" val="0"/>
                                        </a:ext>
                                      </a:extLst>
                                    </a:blip>
                                    <a:srcRect r="16541" b="51580"/>
                                    <a:stretch/>
                                  </pic:blipFill>
                                  <pic:spPr bwMode="auto">
                                    <a:xfrm>
                                      <a:off x="0" y="0"/>
                                      <a:ext cx="4681182" cy="1214805"/>
                                    </a:xfrm>
                                    <a:prstGeom prst="rect">
                                      <a:avLst/>
                                    </a:prstGeom>
                                    <a:ln>
                                      <a:noFill/>
                                    </a:ln>
                                    <a:extLst>
                                      <a:ext uri="{53640926-AAD7-44D8-BBD7-CCE9431645EC}">
                                        <a14:shadowObscured xmlns:a14="http://schemas.microsoft.com/office/drawing/2010/main"/>
                                      </a:ext>
                                    </a:extLst>
                                  </pic:spPr>
                                </pic:pic>
                              </a:graphicData>
                            </a:graphic>
                          </wp:inline>
                        </w:drawing>
                      </w:r>
                    </w:p>
                    <w:p w14:paraId="2E2215B9" w14:textId="11397F25" w:rsidR="00671446" w:rsidRDefault="00671446" w:rsidP="00CE2A86">
                      <w:pPr>
                        <w:pStyle w:val="NoSpacing"/>
                      </w:pPr>
                      <w:r>
                        <w:t>Figure 5. 3D chromosome confirmation of the cluster regions measured by 4C-seq. A, cluster 1. B, cluster 5. The viewpoint is highlighted in yellow. The raw read counts were normalized per million (CPM) in a sliding window of 10 kb</w:t>
                      </w:r>
                      <w:r w:rsidR="002127AC">
                        <w:t>.</w:t>
                      </w:r>
                      <w:r>
                        <w:t xml:space="preserve"> (top two tracks) or 10 restriction enzymes sites (bottom two tracks). </w:t>
                      </w:r>
                    </w:p>
                  </w:txbxContent>
                </v:textbox>
                <w10:wrap type="square" anchorx="margin"/>
              </v:shape>
            </w:pict>
          </mc:Fallback>
        </mc:AlternateContent>
      </w:r>
      <w:r w:rsidR="0082396E">
        <w:rPr>
          <w:rFonts w:asciiTheme="majorBidi" w:hAnsiTheme="majorBidi" w:cstheme="majorBidi"/>
          <w:noProof/>
          <w:szCs w:val="24"/>
        </w:rPr>
        <w:t>The fact</w:t>
      </w:r>
      <w:r w:rsidR="00D77CDC">
        <w:rPr>
          <w:rFonts w:asciiTheme="majorBidi" w:hAnsiTheme="majorBidi" w:cstheme="majorBidi"/>
          <w:noProof/>
          <w:szCs w:val="24"/>
        </w:rPr>
        <w:t xml:space="preserve"> that </w:t>
      </w:r>
      <w:r w:rsidR="00B36BB5">
        <w:rPr>
          <w:rFonts w:asciiTheme="majorBidi" w:hAnsiTheme="majorBidi" w:cstheme="majorBidi"/>
          <w:noProof/>
          <w:szCs w:val="24"/>
        </w:rPr>
        <w:t xml:space="preserve">a target gene </w:t>
      </w:r>
      <w:r w:rsidR="004842A6">
        <w:rPr>
          <w:rFonts w:asciiTheme="majorBidi" w:hAnsiTheme="majorBidi" w:cstheme="majorBidi"/>
          <w:noProof/>
          <w:szCs w:val="24"/>
        </w:rPr>
        <w:t xml:space="preserve">can </w:t>
      </w:r>
      <w:r w:rsidR="00B36BB5">
        <w:rPr>
          <w:rFonts w:asciiTheme="majorBidi" w:hAnsiTheme="majorBidi" w:cstheme="majorBidi"/>
          <w:noProof/>
          <w:szCs w:val="24"/>
        </w:rPr>
        <w:t xml:space="preserve">be </w:t>
      </w:r>
      <w:r w:rsidR="00D77CDC">
        <w:rPr>
          <w:rFonts w:asciiTheme="majorBidi" w:hAnsiTheme="majorBidi" w:cstheme="majorBidi"/>
          <w:noProof/>
          <w:szCs w:val="24"/>
        </w:rPr>
        <w:t>potentially regulate</w:t>
      </w:r>
      <w:r w:rsidR="00B36BB5">
        <w:rPr>
          <w:rFonts w:asciiTheme="majorBidi" w:hAnsiTheme="majorBidi" w:cstheme="majorBidi"/>
          <w:noProof/>
          <w:szCs w:val="24"/>
        </w:rPr>
        <w:t>d</w:t>
      </w:r>
      <w:r w:rsidR="00D77CDC">
        <w:rPr>
          <w:rFonts w:asciiTheme="majorBidi" w:hAnsiTheme="majorBidi" w:cstheme="majorBidi"/>
          <w:noProof/>
          <w:szCs w:val="24"/>
        </w:rPr>
        <w:t xml:space="preserve"> </w:t>
      </w:r>
      <w:r w:rsidR="00B36BB5">
        <w:rPr>
          <w:rFonts w:asciiTheme="majorBidi" w:hAnsiTheme="majorBidi" w:cstheme="majorBidi"/>
          <w:noProof/>
          <w:szCs w:val="24"/>
        </w:rPr>
        <w:t xml:space="preserve">by more than one </w:t>
      </w:r>
      <w:r w:rsidR="00B36BB5">
        <w:rPr>
          <w:rFonts w:asciiTheme="majorBidi" w:hAnsiTheme="majorBidi" w:cstheme="majorBidi"/>
          <w:szCs w:val="24"/>
        </w:rPr>
        <w:t>dTHS</w:t>
      </w:r>
      <w:r w:rsidR="009E33A9">
        <w:rPr>
          <w:rFonts w:asciiTheme="majorBidi" w:hAnsiTheme="majorBidi" w:cstheme="majorBidi"/>
          <w:noProof/>
          <w:szCs w:val="24"/>
        </w:rPr>
        <w:t xml:space="preserve"> (for example see F</w:t>
      </w:r>
      <w:r w:rsidR="00D77CDC">
        <w:rPr>
          <w:rFonts w:asciiTheme="majorBidi" w:hAnsiTheme="majorBidi" w:cstheme="majorBidi"/>
          <w:noProof/>
          <w:szCs w:val="24"/>
        </w:rPr>
        <w:t>ig</w:t>
      </w:r>
      <w:r w:rsidR="009E33A9">
        <w:rPr>
          <w:rFonts w:asciiTheme="majorBidi" w:hAnsiTheme="majorBidi" w:cstheme="majorBidi"/>
          <w:noProof/>
          <w:szCs w:val="24"/>
        </w:rPr>
        <w:t>ure 4)</w:t>
      </w:r>
      <w:r w:rsidR="00D77CDC">
        <w:rPr>
          <w:rFonts w:asciiTheme="majorBidi" w:hAnsiTheme="majorBidi" w:cstheme="majorBidi"/>
          <w:noProof/>
          <w:szCs w:val="24"/>
        </w:rPr>
        <w:t xml:space="preserve"> and that </w:t>
      </w:r>
      <w:r w:rsidR="00D77CDC" w:rsidRPr="00D77CDC">
        <w:rPr>
          <w:rFonts w:asciiTheme="majorBidi" w:hAnsiTheme="majorBidi" w:cstheme="majorBidi"/>
          <w:noProof/>
          <w:szCs w:val="24"/>
        </w:rPr>
        <w:t>dTHS</w:t>
      </w:r>
      <w:r w:rsidR="00D77CDC">
        <w:rPr>
          <w:rFonts w:asciiTheme="majorBidi" w:hAnsiTheme="majorBidi" w:cstheme="majorBidi"/>
          <w:noProof/>
          <w:szCs w:val="24"/>
        </w:rPr>
        <w:t xml:space="preserve"> </w:t>
      </w:r>
      <w:r w:rsidR="009E33A9">
        <w:rPr>
          <w:rFonts w:asciiTheme="majorBidi" w:hAnsiTheme="majorBidi" w:cstheme="majorBidi"/>
          <w:noProof/>
          <w:szCs w:val="24"/>
        </w:rPr>
        <w:t>may be</w:t>
      </w:r>
      <w:r w:rsidR="00D77CDC">
        <w:rPr>
          <w:rFonts w:asciiTheme="majorBidi" w:hAnsiTheme="majorBidi" w:cstheme="majorBidi"/>
          <w:noProof/>
          <w:szCs w:val="24"/>
        </w:rPr>
        <w:t xml:space="preserve"> </w:t>
      </w:r>
      <w:r w:rsidR="00B36BB5">
        <w:rPr>
          <w:rFonts w:asciiTheme="majorBidi" w:hAnsiTheme="majorBidi" w:cstheme="majorBidi"/>
          <w:noProof/>
          <w:szCs w:val="24"/>
        </w:rPr>
        <w:t>distant from genes</w:t>
      </w:r>
      <w:r w:rsidR="00B07B8E">
        <w:rPr>
          <w:rFonts w:asciiTheme="majorBidi" w:hAnsiTheme="majorBidi" w:cstheme="majorBidi"/>
          <w:noProof/>
          <w:szCs w:val="24"/>
        </w:rPr>
        <w:t xml:space="preserve"> (</w:t>
      </w:r>
      <w:r w:rsidR="009E33A9">
        <w:rPr>
          <w:rFonts w:asciiTheme="majorBidi" w:hAnsiTheme="majorBidi" w:cstheme="majorBidi"/>
          <w:noProof/>
          <w:szCs w:val="24"/>
        </w:rPr>
        <w:t>Figure 3C</w:t>
      </w:r>
      <w:r w:rsidR="00B07B8E">
        <w:rPr>
          <w:rFonts w:asciiTheme="majorBidi" w:hAnsiTheme="majorBidi" w:cstheme="majorBidi"/>
          <w:noProof/>
          <w:szCs w:val="24"/>
        </w:rPr>
        <w:t>)</w:t>
      </w:r>
      <w:r w:rsidR="00B36BB5">
        <w:rPr>
          <w:rFonts w:asciiTheme="majorBidi" w:hAnsiTheme="majorBidi" w:cstheme="majorBidi"/>
          <w:noProof/>
          <w:szCs w:val="24"/>
        </w:rPr>
        <w:t>, raise the possibility that regulatory elements commnicate with their gene targets by chromosomal looping.</w:t>
      </w:r>
      <w:r w:rsidR="00D77CDC">
        <w:rPr>
          <w:rFonts w:asciiTheme="majorBidi" w:hAnsiTheme="majorBidi" w:cstheme="majorBidi"/>
          <w:noProof/>
          <w:szCs w:val="24"/>
        </w:rPr>
        <w:t xml:space="preserve"> </w:t>
      </w:r>
      <w:r w:rsidR="007B7830" w:rsidRPr="007B7830">
        <w:rPr>
          <w:rFonts w:asciiTheme="majorBidi" w:hAnsiTheme="majorBidi" w:cstheme="majorBidi"/>
          <w:noProof/>
          <w:szCs w:val="24"/>
        </w:rPr>
        <w:t xml:space="preserve">To explore the </w:t>
      </w:r>
      <w:r w:rsidR="007B7830">
        <w:rPr>
          <w:rFonts w:asciiTheme="majorBidi" w:hAnsiTheme="majorBidi" w:cstheme="majorBidi"/>
          <w:noProof/>
          <w:szCs w:val="24"/>
        </w:rPr>
        <w:t xml:space="preserve">possible </w:t>
      </w:r>
      <w:r w:rsidR="007B7830" w:rsidRPr="007B7830">
        <w:rPr>
          <w:rFonts w:asciiTheme="majorBidi" w:hAnsiTheme="majorBidi" w:cstheme="majorBidi"/>
          <w:noProof/>
          <w:szCs w:val="24"/>
        </w:rPr>
        <w:t>extent of long-range activity</w:t>
      </w:r>
      <w:r w:rsidR="007B7830">
        <w:rPr>
          <w:rFonts w:asciiTheme="majorBidi" w:hAnsiTheme="majorBidi" w:cstheme="majorBidi"/>
          <w:noProof/>
          <w:szCs w:val="24"/>
        </w:rPr>
        <w:t xml:space="preserve"> of</w:t>
      </w:r>
      <w:r w:rsidR="00B07B8E">
        <w:rPr>
          <w:rFonts w:asciiTheme="majorBidi" w:hAnsiTheme="majorBidi" w:cstheme="majorBidi"/>
          <w:noProof/>
          <w:szCs w:val="24"/>
        </w:rPr>
        <w:t xml:space="preserve"> </w:t>
      </w:r>
      <w:r w:rsidR="00B07B8E" w:rsidRPr="00C242AA">
        <w:rPr>
          <w:rFonts w:asciiTheme="majorBidi" w:hAnsiTheme="majorBidi" w:cstheme="majorBidi"/>
          <w:i/>
          <w:iCs/>
          <w:noProof/>
          <w:szCs w:val="24"/>
        </w:rPr>
        <w:t>brm</w:t>
      </w:r>
      <w:r w:rsidR="00B07B8E">
        <w:rPr>
          <w:rFonts w:asciiTheme="majorBidi" w:hAnsiTheme="majorBidi" w:cstheme="majorBidi"/>
          <w:noProof/>
          <w:szCs w:val="24"/>
        </w:rPr>
        <w:t xml:space="preserve">-specific </w:t>
      </w:r>
      <w:r w:rsidR="00B07B8E" w:rsidRPr="00D77CDC">
        <w:rPr>
          <w:rFonts w:asciiTheme="majorBidi" w:hAnsiTheme="majorBidi" w:cstheme="majorBidi"/>
          <w:noProof/>
          <w:szCs w:val="24"/>
        </w:rPr>
        <w:t>dTHS</w:t>
      </w:r>
      <w:r w:rsidR="007B7830" w:rsidRPr="007B7830">
        <w:rPr>
          <w:rFonts w:asciiTheme="majorBidi" w:hAnsiTheme="majorBidi" w:cstheme="majorBidi"/>
          <w:noProof/>
          <w:szCs w:val="24"/>
        </w:rPr>
        <w:t>, we mapped the</w:t>
      </w:r>
      <w:r w:rsidR="00A16A47">
        <w:rPr>
          <w:rFonts w:asciiTheme="majorBidi" w:hAnsiTheme="majorBidi" w:cstheme="majorBidi"/>
          <w:noProof/>
          <w:szCs w:val="24"/>
        </w:rPr>
        <w:t>ir</w:t>
      </w:r>
      <w:r w:rsidR="00B07B8E">
        <w:rPr>
          <w:rFonts w:asciiTheme="majorBidi" w:hAnsiTheme="majorBidi" w:cstheme="majorBidi"/>
          <w:noProof/>
          <w:szCs w:val="24"/>
        </w:rPr>
        <w:t xml:space="preserve"> chromosomal </w:t>
      </w:r>
      <w:r w:rsidR="007B7830" w:rsidRPr="007B7830">
        <w:rPr>
          <w:rFonts w:asciiTheme="majorBidi" w:hAnsiTheme="majorBidi" w:cstheme="majorBidi"/>
          <w:noProof/>
          <w:szCs w:val="24"/>
        </w:rPr>
        <w:t>in</w:t>
      </w:r>
      <w:r w:rsidR="009E33A9">
        <w:rPr>
          <w:rFonts w:asciiTheme="majorBidi" w:hAnsiTheme="majorBidi" w:cstheme="majorBidi"/>
          <w:noProof/>
          <w:szCs w:val="24"/>
        </w:rPr>
        <w:t>teractome by</w:t>
      </w:r>
      <w:r w:rsidR="00D77CDC">
        <w:rPr>
          <w:rFonts w:asciiTheme="majorBidi" w:hAnsiTheme="majorBidi" w:cstheme="majorBidi"/>
          <w:noProof/>
          <w:szCs w:val="24"/>
        </w:rPr>
        <w:t xml:space="preserve"> </w:t>
      </w:r>
      <w:r w:rsidR="008357AF" w:rsidRPr="00CB6744">
        <w:rPr>
          <w:rFonts w:asciiTheme="majorBidi" w:hAnsiTheme="majorBidi" w:cstheme="majorBidi"/>
          <w:szCs w:val="24"/>
        </w:rPr>
        <w:t>4C</w:t>
      </w:r>
      <w:r w:rsidR="00AC4452">
        <w:rPr>
          <w:rFonts w:asciiTheme="majorBidi" w:hAnsiTheme="majorBidi" w:cstheme="majorBidi"/>
          <w:szCs w:val="24"/>
        </w:rPr>
        <w:t>-seq</w:t>
      </w:r>
      <w:r w:rsidR="008357AF" w:rsidRPr="00CB6744">
        <w:rPr>
          <w:rFonts w:asciiTheme="majorBidi" w:hAnsiTheme="majorBidi" w:cstheme="majorBidi"/>
          <w:szCs w:val="24"/>
        </w:rPr>
        <w:t xml:space="preserve"> </w:t>
      </w:r>
      <w:r w:rsidR="00207380">
        <w:rPr>
          <w:rFonts w:asciiTheme="majorBidi" w:hAnsiTheme="majorBidi" w:cstheme="majorBidi"/>
          <w:szCs w:val="24"/>
        </w:rPr>
        <w:t xml:space="preserve">that measures the chromosomal associations of a point of interest </w:t>
      </w:r>
      <w:r w:rsidR="00A16A47">
        <w:rPr>
          <w:rFonts w:asciiTheme="majorBidi" w:hAnsiTheme="majorBidi" w:cstheme="majorBidi"/>
          <w:szCs w:val="24"/>
        </w:rPr>
        <w:t xml:space="preserve">(bait) </w:t>
      </w:r>
      <w:r w:rsidR="00207380">
        <w:rPr>
          <w:rFonts w:asciiTheme="majorBidi" w:hAnsiTheme="majorBidi" w:cstheme="majorBidi"/>
          <w:szCs w:val="24"/>
        </w:rPr>
        <w:t>with the genome</w:t>
      </w:r>
      <w:r w:rsidR="00B07B8E">
        <w:rPr>
          <w:rFonts w:asciiTheme="majorBidi" w:hAnsiTheme="majorBidi" w:cstheme="majorBidi"/>
          <w:szCs w:val="24"/>
        </w:rPr>
        <w:t xml:space="preserve"> </w:t>
      </w:r>
      <w:r w:rsidR="008357AF" w:rsidRPr="00CB6744">
        <w:rPr>
          <w:rFonts w:asciiTheme="majorBidi" w:hAnsiTheme="majorBidi" w:cstheme="majorBidi"/>
          <w:szCs w:val="24"/>
        </w:rPr>
        <w:fldChar w:fldCharType="begin" w:fldLock="1"/>
      </w:r>
      <w:r w:rsidR="00AB1145">
        <w:rPr>
          <w:rFonts w:asciiTheme="majorBidi" w:hAnsiTheme="majorBidi" w:cstheme="majorBidi"/>
          <w:szCs w:val="24"/>
        </w:rPr>
        <w:instrText>ADDIN CSL_CITATION {"citationItems":[{"id":"ITEM-1","itemData":{"DOI":"10.3390/ijms21072373","ISSN":"1422-0067","abstract":"&lt;p&gt;The integration of T-DNA in plant genomes is widely used for basic research and agriculture. The high heterogeneity in the number of integration events per genome, their configuration, and their impact on genome integrity highlight the critical need to detect the genomic locations of T-DNA insertions and their associated chromosomal rearrangements, and the great challenge in doing so. Here, we present 4SEE, a circular chromosome conformation capture (4C)-based method for robust, rapid, and cost-efficient detection of the entire scope of T-DNA locations. Moreover, by measuring the chromosomal architecture of the plant genome flanking the T-DNA insertions, 4SEE outlines their associated complex chromosomal aberrations. Applying 4SEE to a collection of confirmed T-DNA lines revealed previously unmapped T-DNA insertions and chromosomal rearrangements such as inversions and translocations. Uncovering such events in a feasible, robust, and cost-effective manner by 4SEE in any plant of interest has implications for accurate annotation and phenotypic characterization of T-DNA insertion mutants and transgene expression in basic science applications as well as for plant biotechnology.&lt;/p&gt;","author":[{"dropping-particle":"","family":"Krispil","given":"Ronen","non-dropping-particle":"","parse-names":false,"suffix":""},{"dropping-particle":"","family":"Tannenbaum","given":"Miriam","non-dropping-particle":"","parse-names":false,"suffix":""},{"dropping-particle":"","family":"Sarusi-Portuguez","given":"Avital","non-dropping-particle":"","parse-names":false,"suffix":""},{"dropping-particle":"","family":"Loza","given":"Olga","non-dropping-particle":"","parse-names":false,"suffix":""},{"dropping-particle":"","family":"Raskina","given":"Olga","non-dropping-particle":"","parse-names":false,"suffix":""},{"dropping-particle":"","family":"Hakim","given":"Ofir","non-dropping-particle":"","parse-names":false,"suffix":""}],"container-title":"International Journal of Molecular Sciences","id":"ITEM-1","issue":"7","issued":{"date-parts":[["2020","3","30"]]},"page":"2373","publisher":"Multidisciplinary Digital Publishing Institute","title":"The Position and Complex Genomic Architecture of Plant T-DNA Insertions Revealed by 4SEE","type":"article-journal","volume":"21"},"uris":["http://www.mendeley.com/documents/?uuid=92d8e96d-ec14-3608-a5e1-3de202b35745"]},{"id":"ITEM-2","itemData":{"DOI":"10.1038/s42003-020-01398-y","ISSN":"2399-3642","PMID":"33239721","abstract":"Gene transcription is regulated by distant regulatory elements via combinatorial binding of transcription factors. It is increasingly recognized that alterations in chromatin state and transcription factor binding in these distant regulatory elements may have key roles in cancer development. Here we focused on the first stages of oncogene-induced carcinogenic transformation, and characterized the regulatory network underlying transcriptional changes associated with this process. Using Hi-C data, we observe spatial coupling between differentially expressed genes and their differentially accessible regulatory elements and reveal two candidate transcription factors, p53 and CTCF, as determinants of transcriptional alterations at the early stages of oncogenic HRas-induced transformation in human mammary epithelial cells. Strikingly, the malignant transcriptional reprograming is promoted by redistribution of chromatin binding of these factors without major variation in their expression level. Our results demonstrate that alterations in the regulatory landscape have a major role in driving oncogene-induced transcriptional reprogramming.","author":[{"dropping-particle":"","family":"Schwartz","given":"Michal","non-dropping-particle":"","parse-names":false,"suffix":""},{"dropping-particle":"","family":"Portugez","given":"Avital Sarusi","non-dropping-particle":"","parse-names":false,"suffix":""},{"dropping-particle":"","family":"Attia","given":"Bracha Zukerman","non-dropping-particle":"","parse-names":false,"suffix":""},{"dropping-particle":"","family":"Tannenbaum","given":"Miriam","non-dropping-particle":"","parse-names":false,"suffix":""},{"dropping-particle":"","family":"Cohen","given":"Leslie","non-dropping-particle":"","parse-names":false,"suffix":""},{"dropping-particle":"","family":"Loza","given":"Olga","non-dropping-particle":"","parse-names":false,"suffix":""},{"dropping-particle":"","family":"Chase","given":"Emily","non-dropping-particle":"","parse-names":false,"suffix":""},{"dropping-particle":"","family":"Turman","given":"Yousef","non-dropping-particle":"","parse-names":false,"suffix":""},{"dropping-particle":"","family":"Kaplan","given":"Tommy","non-dropping-particle":"","parse-names":false,"suffix":""},{"dropping-particle":"","family":"Salah","given":"Zaidoun","non-dropping-particle":"","parse-names":false,"suffix":""},{"dropping-particle":"","family":"Hakim","given":"Ofir","non-dropping-particle":"","parse-names":false,"suffix":""}],"container-title":"Communications Biology","id":"ITEM-2","issue":"1","issued":{"date-parts":[["2020","12","25"]]},"page":"696","title":"Genomic retargeting of p53 and CTCF is associated with transcriptional changes during oncogenic HRas-induced transformation","type":"article-journal","volume":"3"},"uris":["http://www.mendeley.com/documents/?uuid=9c727d67-d22f-494c-9371-6d797e150340"]}],"mendeley":{"formattedCitation":"[31,46]","plainTextFormattedCitation":"[31,46]","previouslyFormattedCitation":"[31,46]"},"properties":{"noteIndex":0},"schema":"https://github.com/citation-style-language/schema/raw/master/csl-citation.json"}</w:instrText>
      </w:r>
      <w:r w:rsidR="008357AF" w:rsidRPr="00CB6744">
        <w:rPr>
          <w:rFonts w:asciiTheme="majorBidi" w:hAnsiTheme="majorBidi" w:cstheme="majorBidi"/>
          <w:szCs w:val="24"/>
        </w:rPr>
        <w:fldChar w:fldCharType="separate"/>
      </w:r>
      <w:r w:rsidR="00AB1145" w:rsidRPr="00AB1145">
        <w:rPr>
          <w:rFonts w:asciiTheme="majorBidi" w:hAnsiTheme="majorBidi" w:cstheme="majorBidi"/>
          <w:noProof/>
          <w:szCs w:val="24"/>
        </w:rPr>
        <w:t>[31,46]</w:t>
      </w:r>
      <w:r w:rsidR="008357AF" w:rsidRPr="00CB6744">
        <w:rPr>
          <w:rFonts w:asciiTheme="majorBidi" w:hAnsiTheme="majorBidi" w:cstheme="majorBidi"/>
          <w:szCs w:val="24"/>
        </w:rPr>
        <w:fldChar w:fldCharType="end"/>
      </w:r>
      <w:r w:rsidR="008357AF" w:rsidRPr="00CB6744">
        <w:rPr>
          <w:rFonts w:asciiTheme="majorBidi" w:hAnsiTheme="majorBidi" w:cstheme="majorBidi"/>
          <w:szCs w:val="24"/>
        </w:rPr>
        <w:t>.</w:t>
      </w:r>
      <w:r w:rsidR="00C36F90">
        <w:rPr>
          <w:rFonts w:asciiTheme="majorBidi" w:hAnsiTheme="majorBidi" w:cstheme="majorBidi"/>
          <w:szCs w:val="24"/>
        </w:rPr>
        <w:t xml:space="preserve"> </w:t>
      </w:r>
      <w:r w:rsidR="00B07B8E" w:rsidRPr="007B7830">
        <w:rPr>
          <w:rFonts w:asciiTheme="majorBidi" w:hAnsiTheme="majorBidi" w:cstheme="majorBidi"/>
          <w:noProof/>
          <w:szCs w:val="24"/>
        </w:rPr>
        <w:t>As bait</w:t>
      </w:r>
      <w:r w:rsidR="00EB089C">
        <w:rPr>
          <w:rFonts w:asciiTheme="majorBidi" w:hAnsiTheme="majorBidi" w:cstheme="majorBidi"/>
          <w:noProof/>
          <w:szCs w:val="24"/>
        </w:rPr>
        <w:t>s</w:t>
      </w:r>
      <w:r w:rsidR="0082396E">
        <w:rPr>
          <w:rFonts w:asciiTheme="majorBidi" w:hAnsiTheme="majorBidi" w:cstheme="majorBidi"/>
          <w:noProof/>
          <w:szCs w:val="24"/>
        </w:rPr>
        <w:t>, we used</w:t>
      </w:r>
      <w:r w:rsidR="00B07B8E" w:rsidRPr="007B7830">
        <w:rPr>
          <w:rFonts w:asciiTheme="majorBidi" w:hAnsiTheme="majorBidi" w:cstheme="majorBidi"/>
          <w:noProof/>
          <w:szCs w:val="24"/>
        </w:rPr>
        <w:t xml:space="preserve"> DNA sequence</w:t>
      </w:r>
      <w:r w:rsidR="00451D85">
        <w:rPr>
          <w:rFonts w:asciiTheme="majorBidi" w:hAnsiTheme="majorBidi" w:cstheme="majorBidi"/>
          <w:noProof/>
          <w:szCs w:val="24"/>
        </w:rPr>
        <w:t>s</w:t>
      </w:r>
      <w:r w:rsidR="00B07B8E" w:rsidRPr="007B7830">
        <w:rPr>
          <w:rFonts w:asciiTheme="majorBidi" w:hAnsiTheme="majorBidi" w:cstheme="majorBidi"/>
          <w:noProof/>
          <w:szCs w:val="24"/>
        </w:rPr>
        <w:t xml:space="preserve"> within </w:t>
      </w:r>
      <w:r w:rsidR="0082396E">
        <w:rPr>
          <w:rFonts w:asciiTheme="majorBidi" w:hAnsiTheme="majorBidi" w:cstheme="majorBidi"/>
          <w:noProof/>
          <w:szCs w:val="24"/>
        </w:rPr>
        <w:t>the</w:t>
      </w:r>
      <w:r w:rsidR="00EB089C">
        <w:rPr>
          <w:rFonts w:asciiTheme="majorBidi" w:hAnsiTheme="majorBidi" w:cstheme="majorBidi"/>
          <w:noProof/>
          <w:szCs w:val="24"/>
        </w:rPr>
        <w:t xml:space="preserve"> </w:t>
      </w:r>
      <w:r w:rsidR="00EB089C" w:rsidRPr="00E45C95">
        <w:rPr>
          <w:rFonts w:asciiTheme="majorBidi" w:hAnsiTheme="majorBidi" w:cstheme="majorBidi"/>
          <w:i/>
          <w:iCs/>
          <w:noProof/>
          <w:szCs w:val="24"/>
        </w:rPr>
        <w:t>brm</w:t>
      </w:r>
      <w:r w:rsidR="00EB089C">
        <w:rPr>
          <w:rFonts w:asciiTheme="majorBidi" w:hAnsiTheme="majorBidi" w:cstheme="majorBidi"/>
          <w:noProof/>
          <w:szCs w:val="24"/>
        </w:rPr>
        <w:t xml:space="preserve">-specific </w:t>
      </w:r>
      <w:r w:rsidR="0082396E">
        <w:rPr>
          <w:rFonts w:asciiTheme="majorBidi" w:hAnsiTheme="majorBidi" w:cstheme="majorBidi"/>
          <w:noProof/>
          <w:szCs w:val="24"/>
        </w:rPr>
        <w:t>clusters decribed above (Figure 4)</w:t>
      </w:r>
      <w:r w:rsidR="00B07B8E">
        <w:rPr>
          <w:rFonts w:asciiTheme="majorBidi" w:hAnsiTheme="majorBidi" w:cstheme="majorBidi"/>
          <w:noProof/>
          <w:szCs w:val="24"/>
        </w:rPr>
        <w:t xml:space="preserve"> and constructed </w:t>
      </w:r>
      <w:r w:rsidR="00B07B8E" w:rsidRPr="007B7830">
        <w:rPr>
          <w:rFonts w:asciiTheme="majorBidi" w:hAnsiTheme="majorBidi" w:cstheme="majorBidi"/>
          <w:noProof/>
          <w:szCs w:val="24"/>
        </w:rPr>
        <w:t xml:space="preserve">4C libraries from </w:t>
      </w:r>
      <w:r w:rsidR="00B07B8E">
        <w:rPr>
          <w:rFonts w:asciiTheme="majorBidi" w:hAnsiTheme="majorBidi" w:cstheme="majorBidi"/>
          <w:noProof/>
          <w:szCs w:val="24"/>
        </w:rPr>
        <w:t>WT</w:t>
      </w:r>
      <w:r w:rsidR="00B07B8E" w:rsidRPr="007B7830">
        <w:rPr>
          <w:rFonts w:asciiTheme="majorBidi" w:hAnsiTheme="majorBidi" w:cstheme="majorBidi"/>
          <w:noProof/>
          <w:szCs w:val="24"/>
        </w:rPr>
        <w:t xml:space="preserve"> and </w:t>
      </w:r>
      <w:r w:rsidR="00C242AA">
        <w:rPr>
          <w:rFonts w:asciiTheme="majorBidi" w:hAnsiTheme="majorBidi" w:cstheme="majorBidi"/>
          <w:i/>
          <w:iCs/>
          <w:noProof/>
          <w:szCs w:val="24"/>
        </w:rPr>
        <w:t>brm</w:t>
      </w:r>
      <w:r w:rsidR="00B07B8E">
        <w:rPr>
          <w:rFonts w:asciiTheme="majorBidi" w:hAnsiTheme="majorBidi" w:cstheme="majorBidi"/>
          <w:noProof/>
          <w:szCs w:val="24"/>
        </w:rPr>
        <w:t xml:space="preserve"> roots</w:t>
      </w:r>
      <w:r w:rsidR="00B07B8E" w:rsidRPr="007B7830">
        <w:rPr>
          <w:rFonts w:asciiTheme="majorBidi" w:hAnsiTheme="majorBidi" w:cstheme="majorBidi"/>
          <w:noProof/>
          <w:szCs w:val="24"/>
        </w:rPr>
        <w:t xml:space="preserve">. </w:t>
      </w:r>
      <w:r w:rsidR="00EB089C">
        <w:rPr>
          <w:rFonts w:asciiTheme="majorBidi" w:hAnsiTheme="majorBidi" w:cstheme="majorBidi"/>
          <w:szCs w:val="24"/>
        </w:rPr>
        <w:t>In t</w:t>
      </w:r>
      <w:r w:rsidR="009E33A9">
        <w:rPr>
          <w:rFonts w:asciiTheme="majorBidi" w:hAnsiTheme="majorBidi" w:cstheme="majorBidi"/>
          <w:szCs w:val="24"/>
        </w:rPr>
        <w:t>he 4C-seq analysis we excluded RE sites</w:t>
      </w:r>
      <w:r w:rsidR="00EB089C">
        <w:rPr>
          <w:rFonts w:asciiTheme="majorBidi" w:hAnsiTheme="majorBidi" w:cstheme="majorBidi"/>
          <w:szCs w:val="24"/>
        </w:rPr>
        <w:t xml:space="preserve"> around the bait that have exceptionally high signal due to linear proxi</w:t>
      </w:r>
      <w:r w:rsidR="00C242AA">
        <w:rPr>
          <w:rFonts w:asciiTheme="majorBidi" w:hAnsiTheme="majorBidi" w:cstheme="majorBidi"/>
          <w:szCs w:val="24"/>
        </w:rPr>
        <w:t xml:space="preserve">mity and may bias the analysis </w:t>
      </w:r>
      <w:r w:rsidR="00467AF8">
        <w:rPr>
          <w:rFonts w:asciiTheme="majorBidi" w:hAnsiTheme="majorBidi" w:cstheme="majorBidi"/>
          <w:szCs w:val="24"/>
        </w:rPr>
        <w:fldChar w:fldCharType="begin" w:fldLock="1"/>
      </w:r>
      <w:r w:rsidR="00AB1145">
        <w:rPr>
          <w:rFonts w:asciiTheme="majorBidi" w:hAnsiTheme="majorBidi" w:cstheme="majorBidi"/>
          <w:szCs w:val="24"/>
        </w:rPr>
        <w:instrText>ADDIN CSL_CITATION {"citationItems":[{"id":"ITEM-1","itemData":{"DOI":"10.3390/ijms21072373","ISSN":"1422-0067","abstract":"&lt;p&gt;The integration of T-DNA in plant genomes is widely used for basic research and agriculture. The high heterogeneity in the number of integration events per genome, their configuration, and their impact on genome integrity highlight the critical need to detect the genomic locations of T-DNA insertions and their associated chromosomal rearrangements, and the great challenge in doing so. Here, we present 4SEE, a circular chromosome conformation capture (4C)-based method for robust, rapid, and cost-efficient detection of the entire scope of T-DNA locations. Moreover, by measuring the chromosomal architecture of the plant genome flanking the T-DNA insertions, 4SEE outlines their associated complex chromosomal aberrations. Applying 4SEE to a collection of confirmed T-DNA lines revealed previously unmapped T-DNA insertions and chromosomal rearrangements such as inversions and translocations. Uncovering such events in a feasible, robust, and cost-effective manner by 4SEE in any plant of interest has implications for accurate annotation and phenotypic characterization of T-DNA insertion mutants and transgene expression in basic science applications as well as for plant biotechnology.&lt;/p&gt;","author":[{"dropping-particle":"","family":"Krispil","given":"Ronen","non-dropping-particle":"","parse-names":false,"suffix":""},{"dropping-particle":"","family":"Tannenbaum","given":"Miriam","non-dropping-particle":"","parse-names":false,"suffix":""},{"dropping-particle":"","family":"Sarusi-Portuguez","given":"Avital","non-dropping-particle":"","parse-names":false,"suffix":""},{"dropping-particle":"","family":"Loza","given":"Olga","non-dropping-particle":"","parse-names":false,"suffix":""},{"dropping-particle":"","family":"Raskina","given":"Olga","non-dropping-particle":"","parse-names":false,"suffix":""},{"dropping-particle":"","family":"Hakim","given":"Ofir","non-dropping-particle":"","parse-names":false,"suffix":""}],"container-title":"International Journal of Molecular Sciences","id":"ITEM-1","issue":"7","issued":{"date-parts":[["2020","3","30"]]},"page":"2373","publisher":"Multidisciplinary Digital Publishing Institute","title":"The Position and Complex Genomic Architecture of Plant T-DNA Insertions Revealed by 4SEE","type":"article-journal","volume":"21"},"uris":["http://www.mendeley.com/documents/?uuid=92d8e96d-ec14-3608-a5e1-3de202b35745"]}],"mendeley":{"formattedCitation":"[31]","plainTextFormattedCitation":"[31]","previouslyFormattedCitation":"[31]"},"properties":{"noteIndex":0},"schema":"https://github.com/citation-style-language/schema/raw/master/csl-citation.json"}</w:instrText>
      </w:r>
      <w:r w:rsidR="00467AF8">
        <w:rPr>
          <w:rFonts w:asciiTheme="majorBidi" w:hAnsiTheme="majorBidi" w:cstheme="majorBidi"/>
          <w:szCs w:val="24"/>
        </w:rPr>
        <w:fldChar w:fldCharType="separate"/>
      </w:r>
      <w:r w:rsidR="00AB1145" w:rsidRPr="00AB1145">
        <w:rPr>
          <w:rFonts w:asciiTheme="majorBidi" w:hAnsiTheme="majorBidi" w:cstheme="majorBidi"/>
          <w:noProof/>
          <w:szCs w:val="24"/>
        </w:rPr>
        <w:t>[31]</w:t>
      </w:r>
      <w:r w:rsidR="00467AF8">
        <w:rPr>
          <w:rFonts w:asciiTheme="majorBidi" w:hAnsiTheme="majorBidi" w:cstheme="majorBidi"/>
          <w:szCs w:val="24"/>
        </w:rPr>
        <w:fldChar w:fldCharType="end"/>
      </w:r>
      <w:r w:rsidR="009E33A9">
        <w:rPr>
          <w:rFonts w:asciiTheme="majorBidi" w:hAnsiTheme="majorBidi" w:cstheme="majorBidi"/>
          <w:szCs w:val="24"/>
        </w:rPr>
        <w:t xml:space="preserve"> (see methods)</w:t>
      </w:r>
      <w:r w:rsidR="00EB089C">
        <w:rPr>
          <w:rFonts w:asciiTheme="majorBidi" w:hAnsiTheme="majorBidi" w:cstheme="majorBidi"/>
          <w:szCs w:val="24"/>
        </w:rPr>
        <w:t xml:space="preserve">. </w:t>
      </w:r>
      <w:r w:rsidR="009E33A9">
        <w:rPr>
          <w:rFonts w:asciiTheme="majorBidi" w:hAnsiTheme="majorBidi" w:cstheme="majorBidi"/>
          <w:noProof/>
          <w:szCs w:val="24"/>
        </w:rPr>
        <w:t>B</w:t>
      </w:r>
      <w:r w:rsidR="00467AF8">
        <w:rPr>
          <w:rFonts w:asciiTheme="majorBidi" w:hAnsiTheme="majorBidi" w:cstheme="majorBidi"/>
          <w:noProof/>
          <w:szCs w:val="24"/>
        </w:rPr>
        <w:t xml:space="preserve">oth </w:t>
      </w:r>
      <w:r w:rsidR="006B747C" w:rsidRPr="00467AF8">
        <w:rPr>
          <w:rFonts w:asciiTheme="majorBidi" w:hAnsiTheme="majorBidi" w:cstheme="majorBidi"/>
          <w:i/>
          <w:iCs/>
          <w:noProof/>
          <w:szCs w:val="24"/>
        </w:rPr>
        <w:t>brm</w:t>
      </w:r>
      <w:r w:rsidR="006B747C">
        <w:rPr>
          <w:rFonts w:asciiTheme="majorBidi" w:hAnsiTheme="majorBidi" w:cstheme="majorBidi"/>
          <w:noProof/>
          <w:szCs w:val="24"/>
        </w:rPr>
        <w:t xml:space="preserve"> and WT plants t</w:t>
      </w:r>
      <w:r w:rsidR="001910EA">
        <w:rPr>
          <w:rFonts w:asciiTheme="majorBidi" w:hAnsiTheme="majorBidi" w:cstheme="majorBidi"/>
          <w:szCs w:val="24"/>
        </w:rPr>
        <w:t xml:space="preserve">he dTHS loci show </w:t>
      </w:r>
      <w:r w:rsidR="00EB089C">
        <w:rPr>
          <w:rFonts w:asciiTheme="majorBidi" w:hAnsiTheme="majorBidi" w:cstheme="majorBidi"/>
          <w:szCs w:val="24"/>
        </w:rPr>
        <w:t xml:space="preserve">high contact probability </w:t>
      </w:r>
      <w:r w:rsidR="001910EA">
        <w:rPr>
          <w:rFonts w:asciiTheme="majorBidi" w:hAnsiTheme="majorBidi" w:cstheme="majorBidi"/>
          <w:szCs w:val="24"/>
        </w:rPr>
        <w:t>with a ~20kb proximal domain</w:t>
      </w:r>
      <w:r w:rsidR="00B010B5">
        <w:rPr>
          <w:rFonts w:asciiTheme="majorBidi" w:hAnsiTheme="majorBidi" w:cstheme="majorBidi"/>
          <w:szCs w:val="24"/>
        </w:rPr>
        <w:t xml:space="preserve">, </w:t>
      </w:r>
      <w:r w:rsidR="003F5382">
        <w:rPr>
          <w:rFonts w:asciiTheme="majorBidi" w:hAnsiTheme="majorBidi" w:cstheme="majorBidi"/>
          <w:szCs w:val="24"/>
        </w:rPr>
        <w:t>reflecting the</w:t>
      </w:r>
      <w:r w:rsidR="006B747C">
        <w:rPr>
          <w:rFonts w:asciiTheme="majorBidi" w:hAnsiTheme="majorBidi" w:cstheme="majorBidi"/>
          <w:szCs w:val="24"/>
        </w:rPr>
        <w:t xml:space="preserve">ir possible capacity to </w:t>
      </w:r>
      <w:r w:rsidR="006B747C" w:rsidRPr="00EB089C">
        <w:rPr>
          <w:rFonts w:asciiTheme="majorBidi" w:hAnsiTheme="majorBidi" w:cstheme="majorBidi"/>
          <w:szCs w:val="24"/>
        </w:rPr>
        <w:t>influenc</w:t>
      </w:r>
      <w:r w:rsidR="006B747C">
        <w:rPr>
          <w:rFonts w:asciiTheme="majorBidi" w:hAnsiTheme="majorBidi" w:cstheme="majorBidi"/>
          <w:szCs w:val="24"/>
        </w:rPr>
        <w:t xml:space="preserve">e gene expression over distance </w:t>
      </w:r>
      <w:r w:rsidR="00EB089C" w:rsidRPr="007B7830">
        <w:rPr>
          <w:rFonts w:asciiTheme="majorBidi" w:hAnsiTheme="majorBidi" w:cstheme="majorBidi"/>
          <w:noProof/>
          <w:szCs w:val="24"/>
        </w:rPr>
        <w:t xml:space="preserve">Remarkably, we found local interactions </w:t>
      </w:r>
      <w:r w:rsidR="006B747C">
        <w:rPr>
          <w:rFonts w:asciiTheme="majorBidi" w:hAnsiTheme="majorBidi" w:cstheme="majorBidi"/>
          <w:noProof/>
          <w:szCs w:val="24"/>
        </w:rPr>
        <w:t xml:space="preserve">of the </w:t>
      </w:r>
      <w:r w:rsidR="006B747C" w:rsidRPr="009E33A9">
        <w:rPr>
          <w:rFonts w:asciiTheme="majorBidi" w:hAnsiTheme="majorBidi" w:cstheme="majorBidi"/>
          <w:i/>
          <w:iCs/>
          <w:noProof/>
          <w:szCs w:val="24"/>
        </w:rPr>
        <w:t>brm</w:t>
      </w:r>
      <w:r w:rsidR="006B747C">
        <w:rPr>
          <w:rFonts w:asciiTheme="majorBidi" w:hAnsiTheme="majorBidi" w:cstheme="majorBidi"/>
          <w:noProof/>
          <w:szCs w:val="24"/>
        </w:rPr>
        <w:t>-specific dTHS</w:t>
      </w:r>
      <w:r w:rsidR="006B747C" w:rsidRPr="007B7830">
        <w:rPr>
          <w:rFonts w:asciiTheme="majorBidi" w:hAnsiTheme="majorBidi" w:cstheme="majorBidi"/>
          <w:noProof/>
          <w:szCs w:val="24"/>
        </w:rPr>
        <w:t xml:space="preserve"> </w:t>
      </w:r>
      <w:r w:rsidR="006B747C">
        <w:rPr>
          <w:rFonts w:asciiTheme="majorBidi" w:hAnsiTheme="majorBidi" w:cstheme="majorBidi"/>
          <w:noProof/>
          <w:szCs w:val="24"/>
        </w:rPr>
        <w:t xml:space="preserve">on chromosome 5 </w:t>
      </w:r>
      <w:r w:rsidR="00EB089C" w:rsidRPr="007B7830">
        <w:rPr>
          <w:rFonts w:asciiTheme="majorBidi" w:hAnsiTheme="majorBidi" w:cstheme="majorBidi"/>
          <w:noProof/>
          <w:szCs w:val="24"/>
        </w:rPr>
        <w:t>to be asymme</w:t>
      </w:r>
      <w:r w:rsidR="006B747C">
        <w:rPr>
          <w:rFonts w:asciiTheme="majorBidi" w:hAnsiTheme="majorBidi" w:cstheme="majorBidi"/>
          <w:noProof/>
          <w:szCs w:val="24"/>
        </w:rPr>
        <w:t xml:space="preserve">trically biased to 5′ sequence, </w:t>
      </w:r>
      <w:r w:rsidR="00F16B0D">
        <w:rPr>
          <w:rFonts w:asciiTheme="majorBidi" w:hAnsiTheme="majorBidi" w:cstheme="majorBidi"/>
          <w:szCs w:val="24"/>
        </w:rPr>
        <w:t>suggesting</w:t>
      </w:r>
      <w:r w:rsidR="00513909">
        <w:rPr>
          <w:rFonts w:asciiTheme="majorBidi" w:hAnsiTheme="majorBidi" w:cstheme="majorBidi"/>
          <w:szCs w:val="24"/>
        </w:rPr>
        <w:t xml:space="preserve"> a</w:t>
      </w:r>
      <w:r w:rsidR="00522DE6">
        <w:rPr>
          <w:rFonts w:asciiTheme="majorBidi" w:hAnsiTheme="majorBidi" w:cstheme="majorBidi"/>
          <w:szCs w:val="24"/>
        </w:rPr>
        <w:t xml:space="preserve"> </w:t>
      </w:r>
      <w:r w:rsidR="00373ECE">
        <w:rPr>
          <w:rFonts w:asciiTheme="majorBidi" w:hAnsiTheme="majorBidi" w:cstheme="majorBidi"/>
          <w:szCs w:val="24"/>
        </w:rPr>
        <w:t xml:space="preserve">non-random </w:t>
      </w:r>
      <w:r w:rsidR="00530864">
        <w:rPr>
          <w:rFonts w:asciiTheme="majorBidi" w:hAnsiTheme="majorBidi" w:cstheme="majorBidi"/>
          <w:szCs w:val="24"/>
        </w:rPr>
        <w:t xml:space="preserve">chromosomal structure </w:t>
      </w:r>
      <w:r w:rsidR="00A64E73">
        <w:rPr>
          <w:rFonts w:asciiTheme="majorBidi" w:hAnsiTheme="majorBidi" w:cstheme="majorBidi"/>
          <w:szCs w:val="24"/>
        </w:rPr>
        <w:t>(Figure 5</w:t>
      </w:r>
      <w:r w:rsidR="002127AC">
        <w:rPr>
          <w:rFonts w:asciiTheme="majorBidi" w:hAnsiTheme="majorBidi" w:cstheme="majorBidi"/>
          <w:szCs w:val="24"/>
        </w:rPr>
        <w:t xml:space="preserve">, </w:t>
      </w:r>
      <w:r w:rsidR="002127AC" w:rsidRPr="00CB6744">
        <w:rPr>
          <w:rFonts w:asciiTheme="majorBidi" w:hAnsiTheme="majorBidi" w:cstheme="majorBidi"/>
          <w:noProof/>
          <w:szCs w:val="24"/>
        </w:rPr>
        <w:t>Supple</w:t>
      </w:r>
      <w:r w:rsidR="002127AC">
        <w:rPr>
          <w:rFonts w:asciiTheme="majorBidi" w:hAnsiTheme="majorBidi" w:cstheme="majorBidi"/>
          <w:noProof/>
          <w:szCs w:val="24"/>
        </w:rPr>
        <w:t>mental Figure S4</w:t>
      </w:r>
      <w:r w:rsidR="00A64E73">
        <w:rPr>
          <w:rFonts w:asciiTheme="majorBidi" w:hAnsiTheme="majorBidi" w:cstheme="majorBidi"/>
          <w:szCs w:val="24"/>
        </w:rPr>
        <w:t>)</w:t>
      </w:r>
      <w:r w:rsidR="00A119C7">
        <w:rPr>
          <w:rFonts w:asciiTheme="majorBidi" w:hAnsiTheme="majorBidi" w:cstheme="majorBidi"/>
          <w:szCs w:val="24"/>
        </w:rPr>
        <w:t xml:space="preserve">. </w:t>
      </w:r>
      <w:r w:rsidR="007170BF">
        <w:rPr>
          <w:rFonts w:asciiTheme="majorBidi" w:hAnsiTheme="majorBidi" w:cstheme="majorBidi"/>
          <w:szCs w:val="24"/>
        </w:rPr>
        <w:t xml:space="preserve">The </w:t>
      </w:r>
      <w:r w:rsidR="00D64760">
        <w:rPr>
          <w:rFonts w:asciiTheme="majorBidi" w:hAnsiTheme="majorBidi" w:cstheme="majorBidi"/>
          <w:szCs w:val="24"/>
        </w:rPr>
        <w:t>non-random</w:t>
      </w:r>
      <w:r w:rsidR="007170BF">
        <w:rPr>
          <w:rFonts w:asciiTheme="majorBidi" w:hAnsiTheme="majorBidi" w:cstheme="majorBidi"/>
          <w:szCs w:val="24"/>
        </w:rPr>
        <w:t xml:space="preserve"> profiles suggest that the chromosomal structure in these loci is regulated or</w:t>
      </w:r>
      <w:r w:rsidR="00D64760">
        <w:rPr>
          <w:rFonts w:asciiTheme="majorBidi" w:hAnsiTheme="majorBidi" w:cstheme="majorBidi"/>
          <w:szCs w:val="24"/>
        </w:rPr>
        <w:t xml:space="preserve"> reflects regulatory processes.</w:t>
      </w:r>
    </w:p>
    <w:p w14:paraId="2FBCA300" w14:textId="4059732A" w:rsidR="005A72F6" w:rsidRDefault="00A119C7" w:rsidP="00F16B0D">
      <w:pPr>
        <w:rPr>
          <w:rFonts w:asciiTheme="majorBidi" w:hAnsiTheme="majorBidi" w:cstheme="majorBidi"/>
          <w:szCs w:val="24"/>
        </w:rPr>
      </w:pPr>
      <w:r>
        <w:rPr>
          <w:rFonts w:asciiTheme="majorBidi" w:hAnsiTheme="majorBidi" w:cstheme="majorBidi"/>
          <w:szCs w:val="24"/>
        </w:rPr>
        <w:t xml:space="preserve">Next, we </w:t>
      </w:r>
      <w:r w:rsidR="003D0092">
        <w:rPr>
          <w:rFonts w:asciiTheme="majorBidi" w:hAnsiTheme="majorBidi" w:cstheme="majorBidi"/>
          <w:szCs w:val="24"/>
        </w:rPr>
        <w:t>test</w:t>
      </w:r>
      <w:r w:rsidR="000B4C3A">
        <w:rPr>
          <w:rFonts w:asciiTheme="majorBidi" w:hAnsiTheme="majorBidi" w:cstheme="majorBidi"/>
          <w:szCs w:val="24"/>
        </w:rPr>
        <w:t>ed</w:t>
      </w:r>
      <w:r w:rsidR="003D0092">
        <w:rPr>
          <w:rFonts w:asciiTheme="majorBidi" w:hAnsiTheme="majorBidi" w:cstheme="majorBidi"/>
          <w:szCs w:val="24"/>
        </w:rPr>
        <w:t xml:space="preserve"> whether the </w:t>
      </w:r>
      <w:r w:rsidR="00A5034E">
        <w:rPr>
          <w:rFonts w:asciiTheme="majorBidi" w:hAnsiTheme="majorBidi" w:cstheme="majorBidi"/>
          <w:i/>
          <w:iCs/>
          <w:szCs w:val="24"/>
        </w:rPr>
        <w:t>brm</w:t>
      </w:r>
      <w:r w:rsidR="00A5034E">
        <w:rPr>
          <w:rFonts w:asciiTheme="majorBidi" w:hAnsiTheme="majorBidi" w:cstheme="majorBidi"/>
          <w:szCs w:val="24"/>
        </w:rPr>
        <w:t>-</w:t>
      </w:r>
      <w:r w:rsidR="00D74FC0">
        <w:rPr>
          <w:rFonts w:asciiTheme="majorBidi" w:hAnsiTheme="majorBidi" w:cstheme="majorBidi"/>
          <w:szCs w:val="24"/>
        </w:rPr>
        <w:t xml:space="preserve">specific accessible loci have a </w:t>
      </w:r>
      <w:r w:rsidR="00A5034E">
        <w:rPr>
          <w:rFonts w:asciiTheme="majorBidi" w:hAnsiTheme="majorBidi" w:cstheme="majorBidi"/>
          <w:i/>
          <w:iCs/>
          <w:szCs w:val="24"/>
        </w:rPr>
        <w:t>brm</w:t>
      </w:r>
      <w:r w:rsidR="00D74FC0">
        <w:rPr>
          <w:rFonts w:asciiTheme="majorBidi" w:hAnsiTheme="majorBidi" w:cstheme="majorBidi"/>
          <w:szCs w:val="24"/>
        </w:rPr>
        <w:t>-specific</w:t>
      </w:r>
      <w:r>
        <w:rPr>
          <w:rFonts w:asciiTheme="majorBidi" w:hAnsiTheme="majorBidi" w:cstheme="majorBidi"/>
          <w:szCs w:val="24"/>
        </w:rPr>
        <w:t xml:space="preserve"> regulatory </w:t>
      </w:r>
      <w:r w:rsidR="00D74FC0">
        <w:rPr>
          <w:rFonts w:asciiTheme="majorBidi" w:hAnsiTheme="majorBidi" w:cstheme="majorBidi"/>
          <w:szCs w:val="24"/>
        </w:rPr>
        <w:t>capability</w:t>
      </w:r>
      <w:r>
        <w:rPr>
          <w:rFonts w:asciiTheme="majorBidi" w:hAnsiTheme="majorBidi" w:cstheme="majorBidi"/>
          <w:szCs w:val="24"/>
        </w:rPr>
        <w:t xml:space="preserve">. </w:t>
      </w:r>
      <w:r w:rsidR="00E370F8">
        <w:rPr>
          <w:rFonts w:asciiTheme="majorBidi" w:hAnsiTheme="majorBidi" w:cstheme="majorBidi"/>
          <w:szCs w:val="24"/>
        </w:rPr>
        <w:t>DNA</w:t>
      </w:r>
      <w:r w:rsidR="005244D5" w:rsidRPr="00CB6744">
        <w:rPr>
          <w:rFonts w:asciiTheme="majorBidi" w:hAnsiTheme="majorBidi" w:cstheme="majorBidi"/>
          <w:szCs w:val="24"/>
        </w:rPr>
        <w:t xml:space="preserve"> </w:t>
      </w:r>
      <w:r>
        <w:rPr>
          <w:rFonts w:asciiTheme="majorBidi" w:hAnsiTheme="majorBidi" w:cstheme="majorBidi"/>
          <w:szCs w:val="24"/>
        </w:rPr>
        <w:t xml:space="preserve">fragments from </w:t>
      </w:r>
      <w:r w:rsidR="005244D5" w:rsidRPr="00CB6744">
        <w:rPr>
          <w:rFonts w:asciiTheme="majorBidi" w:hAnsiTheme="majorBidi" w:cstheme="majorBidi"/>
          <w:szCs w:val="24"/>
        </w:rPr>
        <w:t xml:space="preserve">the genomic sequence of </w:t>
      </w:r>
      <w:r w:rsidR="006B747C">
        <w:rPr>
          <w:rFonts w:asciiTheme="majorBidi" w:hAnsiTheme="majorBidi" w:cstheme="majorBidi"/>
          <w:szCs w:val="24"/>
        </w:rPr>
        <w:t xml:space="preserve">the dTHS </w:t>
      </w:r>
      <w:r w:rsidR="005244D5" w:rsidRPr="00CB6744">
        <w:rPr>
          <w:rFonts w:asciiTheme="majorBidi" w:hAnsiTheme="majorBidi" w:cstheme="majorBidi"/>
          <w:szCs w:val="24"/>
        </w:rPr>
        <w:t>cluster</w:t>
      </w:r>
      <w:r w:rsidR="006B747C">
        <w:rPr>
          <w:rFonts w:asciiTheme="majorBidi" w:hAnsiTheme="majorBidi" w:cstheme="majorBidi"/>
          <w:szCs w:val="24"/>
        </w:rPr>
        <w:t>s on chromosomes 1</w:t>
      </w:r>
      <w:r w:rsidR="00E370F8">
        <w:rPr>
          <w:rFonts w:asciiTheme="majorBidi" w:hAnsiTheme="majorBidi" w:cstheme="majorBidi"/>
          <w:szCs w:val="24"/>
        </w:rPr>
        <w:t xml:space="preserve"> </w:t>
      </w:r>
      <w:r w:rsidR="00F24D5C">
        <w:rPr>
          <w:rFonts w:asciiTheme="majorBidi" w:hAnsiTheme="majorBidi" w:cstheme="majorBidi"/>
          <w:szCs w:val="24"/>
        </w:rPr>
        <w:t xml:space="preserve">and 5 </w:t>
      </w:r>
      <w:r w:rsidR="00E370F8">
        <w:rPr>
          <w:rFonts w:asciiTheme="majorBidi" w:hAnsiTheme="majorBidi" w:cstheme="majorBidi"/>
          <w:szCs w:val="24"/>
        </w:rPr>
        <w:t xml:space="preserve">were cloned </w:t>
      </w:r>
      <w:r w:rsidR="003F1012">
        <w:rPr>
          <w:rFonts w:asciiTheme="majorBidi" w:hAnsiTheme="majorBidi" w:cstheme="majorBidi"/>
          <w:szCs w:val="24"/>
        </w:rPr>
        <w:t>in forward and reverse orientations</w:t>
      </w:r>
      <w:r w:rsidR="005244D5" w:rsidRPr="00CB6744">
        <w:rPr>
          <w:rFonts w:asciiTheme="majorBidi" w:hAnsiTheme="majorBidi" w:cstheme="majorBidi"/>
          <w:szCs w:val="24"/>
        </w:rPr>
        <w:t xml:space="preserve"> upstream to </w:t>
      </w:r>
      <w:r w:rsidR="00E370F8">
        <w:rPr>
          <w:rFonts w:asciiTheme="majorBidi" w:hAnsiTheme="majorBidi" w:cstheme="majorBidi"/>
          <w:szCs w:val="24"/>
        </w:rPr>
        <w:t>a</w:t>
      </w:r>
      <w:r w:rsidR="00E370F8" w:rsidRPr="00CB6744">
        <w:rPr>
          <w:rFonts w:asciiTheme="majorBidi" w:hAnsiTheme="majorBidi" w:cstheme="majorBidi"/>
          <w:szCs w:val="24"/>
        </w:rPr>
        <w:t xml:space="preserve"> </w:t>
      </w:r>
      <w:r w:rsidR="003F1012" w:rsidRPr="00CB6744">
        <w:rPr>
          <w:rFonts w:asciiTheme="majorBidi" w:hAnsiTheme="majorBidi" w:cstheme="majorBidi"/>
          <w:szCs w:val="24"/>
        </w:rPr>
        <w:t xml:space="preserve">35S </w:t>
      </w:r>
      <w:r w:rsidR="00F24D5C">
        <w:rPr>
          <w:rFonts w:asciiTheme="majorBidi" w:hAnsiTheme="majorBidi" w:cstheme="majorBidi"/>
          <w:szCs w:val="24"/>
        </w:rPr>
        <w:t xml:space="preserve">minimal </w:t>
      </w:r>
      <w:r w:rsidR="005244D5" w:rsidRPr="00CB6744">
        <w:rPr>
          <w:rFonts w:asciiTheme="majorBidi" w:hAnsiTheme="majorBidi" w:cstheme="majorBidi"/>
          <w:szCs w:val="24"/>
        </w:rPr>
        <w:t>promoter</w:t>
      </w:r>
      <w:r w:rsidR="0041018E" w:rsidRPr="0041018E">
        <w:rPr>
          <w:rFonts w:asciiTheme="majorBidi" w:hAnsiTheme="majorBidi" w:cstheme="majorBidi"/>
          <w:szCs w:val="24"/>
        </w:rPr>
        <w:t xml:space="preserve"> </w:t>
      </w:r>
      <w:r w:rsidR="0041018E">
        <w:rPr>
          <w:rFonts w:asciiTheme="majorBidi" w:hAnsiTheme="majorBidi" w:cstheme="majorBidi"/>
          <w:szCs w:val="24"/>
        </w:rPr>
        <w:t xml:space="preserve">followed by a GFP </w:t>
      </w:r>
      <w:r w:rsidR="0041018E">
        <w:rPr>
          <w:rFonts w:asciiTheme="majorBidi" w:hAnsiTheme="majorBidi" w:cstheme="majorBidi"/>
          <w:szCs w:val="24"/>
        </w:rPr>
        <w:lastRenderedPageBreak/>
        <w:t>reporter</w:t>
      </w:r>
      <w:r w:rsidR="005244D5" w:rsidRPr="00CB6744">
        <w:rPr>
          <w:rFonts w:asciiTheme="majorBidi" w:hAnsiTheme="majorBidi" w:cstheme="majorBidi"/>
          <w:szCs w:val="24"/>
        </w:rPr>
        <w:t xml:space="preserve">. </w:t>
      </w:r>
      <w:r w:rsidR="006C24A9">
        <w:rPr>
          <w:rFonts w:asciiTheme="majorBidi" w:hAnsiTheme="majorBidi" w:cstheme="majorBidi"/>
          <w:szCs w:val="24"/>
        </w:rPr>
        <w:t xml:space="preserve">Fragment 1 includes two peaks on the gene body and TES of the </w:t>
      </w:r>
      <w:r w:rsidR="006C24A9">
        <w:rPr>
          <w:rFonts w:asciiTheme="majorBidi" w:hAnsiTheme="majorBidi" w:cstheme="majorBidi"/>
          <w:i/>
          <w:iCs/>
          <w:szCs w:val="24"/>
        </w:rPr>
        <w:t xml:space="preserve">brm </w:t>
      </w:r>
      <w:r w:rsidR="006C24A9" w:rsidRPr="00467AF8">
        <w:rPr>
          <w:rFonts w:asciiTheme="majorBidi" w:hAnsiTheme="majorBidi" w:cstheme="majorBidi"/>
          <w:szCs w:val="24"/>
        </w:rPr>
        <w:t xml:space="preserve">upregulated gene </w:t>
      </w:r>
      <w:r w:rsidR="006C24A9" w:rsidRPr="005E205D">
        <w:t>AT1G75945</w:t>
      </w:r>
      <w:r w:rsidR="006C24A9">
        <w:t xml:space="preserve">, and fragment 2 includes the </w:t>
      </w:r>
      <w:r w:rsidR="009645EC">
        <w:t xml:space="preserve">same gene body accessible site </w:t>
      </w:r>
      <w:r w:rsidR="00AD01EA">
        <w:t>together</w:t>
      </w:r>
      <w:r w:rsidR="006C24A9">
        <w:t xml:space="preserve"> with the </w:t>
      </w:r>
      <w:r w:rsidR="00AD01EA">
        <w:t xml:space="preserve">accessible site on the </w:t>
      </w:r>
      <w:r w:rsidR="006C24A9">
        <w:t xml:space="preserve">TSS. </w:t>
      </w:r>
      <w:r w:rsidR="009645EC">
        <w:t xml:space="preserve">Fragment 3 is </w:t>
      </w:r>
      <w:r w:rsidR="00AD01EA">
        <w:t xml:space="preserve">located </w:t>
      </w:r>
      <w:r w:rsidR="009645EC">
        <w:t xml:space="preserve">on the gene body of </w:t>
      </w:r>
      <w:r w:rsidR="009645EC">
        <w:rPr>
          <w:rFonts w:asciiTheme="majorBidi" w:hAnsiTheme="majorBidi" w:cstheme="majorBidi"/>
          <w:szCs w:val="24"/>
        </w:rPr>
        <w:t xml:space="preserve">the </w:t>
      </w:r>
      <w:r w:rsidR="009645EC">
        <w:rPr>
          <w:rFonts w:asciiTheme="majorBidi" w:hAnsiTheme="majorBidi" w:cstheme="majorBidi"/>
          <w:i/>
          <w:iCs/>
          <w:szCs w:val="24"/>
        </w:rPr>
        <w:t xml:space="preserve">brm </w:t>
      </w:r>
      <w:r w:rsidR="009645EC" w:rsidRPr="005F61EA">
        <w:rPr>
          <w:rFonts w:asciiTheme="majorBidi" w:hAnsiTheme="majorBidi" w:cstheme="majorBidi"/>
          <w:szCs w:val="24"/>
        </w:rPr>
        <w:t xml:space="preserve">upregulated </w:t>
      </w:r>
      <w:r w:rsidR="005569A9">
        <w:rPr>
          <w:rFonts w:asciiTheme="majorBidi" w:hAnsiTheme="majorBidi" w:cstheme="majorBidi"/>
          <w:szCs w:val="24"/>
        </w:rPr>
        <w:t xml:space="preserve">TE </w:t>
      </w:r>
      <w:r w:rsidR="009645EC" w:rsidRPr="005F61EA">
        <w:rPr>
          <w:rFonts w:asciiTheme="majorBidi" w:hAnsiTheme="majorBidi" w:cstheme="majorBidi"/>
          <w:szCs w:val="24"/>
        </w:rPr>
        <w:t xml:space="preserve">gene </w:t>
      </w:r>
      <w:r w:rsidR="009645EC">
        <w:t>AT5G35935, and fragment 4 is on its TSS</w:t>
      </w:r>
      <w:r w:rsidR="006B747C">
        <w:t xml:space="preserve"> </w:t>
      </w:r>
      <w:r w:rsidR="006B747C">
        <w:rPr>
          <w:rFonts w:asciiTheme="majorBidi" w:hAnsiTheme="majorBidi" w:cstheme="majorBidi"/>
          <w:szCs w:val="24"/>
        </w:rPr>
        <w:t>(Figure 6</w:t>
      </w:r>
      <w:r w:rsidR="00641D4F">
        <w:rPr>
          <w:rFonts w:asciiTheme="majorBidi" w:hAnsiTheme="majorBidi" w:cstheme="majorBidi"/>
          <w:szCs w:val="24"/>
        </w:rPr>
        <w:t>A</w:t>
      </w:r>
      <w:r w:rsidR="006B747C">
        <w:rPr>
          <w:rFonts w:asciiTheme="majorBidi" w:hAnsiTheme="majorBidi" w:cstheme="majorBidi"/>
          <w:szCs w:val="24"/>
        </w:rPr>
        <w:t>)</w:t>
      </w:r>
      <w:r w:rsidR="009645EC">
        <w:t xml:space="preserve">. </w:t>
      </w:r>
      <w:r w:rsidR="005244D5" w:rsidRPr="00CB6744">
        <w:rPr>
          <w:rFonts w:asciiTheme="majorBidi" w:hAnsiTheme="majorBidi" w:cstheme="majorBidi"/>
          <w:szCs w:val="24"/>
        </w:rPr>
        <w:t>Th</w:t>
      </w:r>
      <w:r w:rsidR="003F1012">
        <w:rPr>
          <w:rFonts w:asciiTheme="majorBidi" w:hAnsiTheme="majorBidi" w:cstheme="majorBidi"/>
          <w:szCs w:val="24"/>
        </w:rPr>
        <w:t>e</w:t>
      </w:r>
      <w:r w:rsidR="005244D5" w:rsidRPr="00CB6744">
        <w:rPr>
          <w:rFonts w:asciiTheme="majorBidi" w:hAnsiTheme="majorBidi" w:cstheme="majorBidi"/>
          <w:szCs w:val="24"/>
        </w:rPr>
        <w:t>s</w:t>
      </w:r>
      <w:r w:rsidR="003F1012">
        <w:rPr>
          <w:rFonts w:asciiTheme="majorBidi" w:hAnsiTheme="majorBidi" w:cstheme="majorBidi"/>
          <w:szCs w:val="24"/>
        </w:rPr>
        <w:t>e</w:t>
      </w:r>
      <w:r w:rsidR="005244D5" w:rsidRPr="00CB6744">
        <w:rPr>
          <w:rFonts w:asciiTheme="majorBidi" w:hAnsiTheme="majorBidi" w:cstheme="majorBidi"/>
          <w:szCs w:val="24"/>
        </w:rPr>
        <w:t xml:space="preserve"> plasmid</w:t>
      </w:r>
      <w:r w:rsidR="003F1012">
        <w:rPr>
          <w:rFonts w:asciiTheme="majorBidi" w:hAnsiTheme="majorBidi" w:cstheme="majorBidi"/>
          <w:szCs w:val="24"/>
        </w:rPr>
        <w:t>s</w:t>
      </w:r>
      <w:r w:rsidR="005244D5" w:rsidRPr="00CB6744">
        <w:rPr>
          <w:rFonts w:asciiTheme="majorBidi" w:hAnsiTheme="majorBidi" w:cstheme="majorBidi"/>
          <w:szCs w:val="24"/>
        </w:rPr>
        <w:t xml:space="preserve"> </w:t>
      </w:r>
      <w:r w:rsidR="003F1012" w:rsidRPr="00CB6744">
        <w:rPr>
          <w:rFonts w:asciiTheme="majorBidi" w:hAnsiTheme="majorBidi" w:cstheme="majorBidi"/>
          <w:szCs w:val="24"/>
        </w:rPr>
        <w:t>w</w:t>
      </w:r>
      <w:r w:rsidR="003F1012">
        <w:rPr>
          <w:rFonts w:asciiTheme="majorBidi" w:hAnsiTheme="majorBidi" w:cstheme="majorBidi"/>
          <w:szCs w:val="24"/>
        </w:rPr>
        <w:t>ere</w:t>
      </w:r>
      <w:r w:rsidR="003F1012" w:rsidRPr="00CB6744">
        <w:rPr>
          <w:rFonts w:asciiTheme="majorBidi" w:hAnsiTheme="majorBidi" w:cstheme="majorBidi"/>
          <w:szCs w:val="24"/>
        </w:rPr>
        <w:t xml:space="preserve"> </w:t>
      </w:r>
      <w:r w:rsidR="005244D5" w:rsidRPr="00CB6744">
        <w:rPr>
          <w:rFonts w:asciiTheme="majorBidi" w:hAnsiTheme="majorBidi" w:cstheme="majorBidi"/>
          <w:szCs w:val="24"/>
        </w:rPr>
        <w:t xml:space="preserve">introduced </w:t>
      </w:r>
      <w:r w:rsidR="0041018E">
        <w:rPr>
          <w:rFonts w:asciiTheme="majorBidi" w:hAnsiTheme="majorBidi" w:cstheme="majorBidi"/>
          <w:szCs w:val="24"/>
        </w:rPr>
        <w:t>to</w:t>
      </w:r>
      <w:r w:rsidR="0041018E" w:rsidRPr="00CB6744">
        <w:rPr>
          <w:rFonts w:asciiTheme="majorBidi" w:hAnsiTheme="majorBidi" w:cstheme="majorBidi"/>
          <w:szCs w:val="24"/>
        </w:rPr>
        <w:t xml:space="preserve"> </w:t>
      </w:r>
      <w:r w:rsidR="005244D5" w:rsidRPr="00CB6744">
        <w:rPr>
          <w:rFonts w:asciiTheme="majorBidi" w:hAnsiTheme="majorBidi" w:cstheme="majorBidi"/>
          <w:szCs w:val="24"/>
        </w:rPr>
        <w:t xml:space="preserve">WT and </w:t>
      </w:r>
      <w:r w:rsidR="00A5034E">
        <w:rPr>
          <w:rFonts w:asciiTheme="majorBidi" w:hAnsiTheme="majorBidi" w:cstheme="majorBidi"/>
          <w:i/>
          <w:iCs/>
          <w:szCs w:val="24"/>
        </w:rPr>
        <w:t>brm</w:t>
      </w:r>
      <w:r w:rsidR="005244D5" w:rsidRPr="00CB6744">
        <w:rPr>
          <w:rFonts w:asciiTheme="majorBidi" w:hAnsiTheme="majorBidi" w:cstheme="majorBidi"/>
          <w:szCs w:val="24"/>
        </w:rPr>
        <w:t xml:space="preserve"> plants</w:t>
      </w:r>
      <w:r w:rsidR="00467AF8">
        <w:rPr>
          <w:rFonts w:asciiTheme="majorBidi" w:hAnsiTheme="majorBidi" w:cstheme="majorBidi"/>
          <w:szCs w:val="24"/>
        </w:rPr>
        <w:t>.</w:t>
      </w:r>
      <w:r w:rsidR="003F1012">
        <w:rPr>
          <w:rFonts w:asciiTheme="majorBidi" w:hAnsiTheme="majorBidi" w:cstheme="majorBidi"/>
          <w:szCs w:val="24"/>
        </w:rPr>
        <w:t xml:space="preserve"> Quantitative analysis </w:t>
      </w:r>
      <w:r w:rsidR="00127113">
        <w:rPr>
          <w:rFonts w:asciiTheme="majorBidi" w:hAnsiTheme="majorBidi" w:cstheme="majorBidi"/>
          <w:szCs w:val="24"/>
        </w:rPr>
        <w:t>of 1859 T</w:t>
      </w:r>
      <w:r w:rsidR="00127113" w:rsidRPr="00127113">
        <w:rPr>
          <w:rFonts w:asciiTheme="majorBidi" w:hAnsiTheme="majorBidi" w:cstheme="majorBidi"/>
          <w:szCs w:val="24"/>
          <w:vertAlign w:val="subscript"/>
        </w:rPr>
        <w:t>2</w:t>
      </w:r>
      <w:r w:rsidR="00127113">
        <w:rPr>
          <w:rFonts w:asciiTheme="majorBidi" w:hAnsiTheme="majorBidi" w:cstheme="majorBidi"/>
          <w:szCs w:val="24"/>
        </w:rPr>
        <w:t xml:space="preserve"> plants representing 174 individual lines </w:t>
      </w:r>
      <w:r w:rsidR="003F1012">
        <w:rPr>
          <w:rFonts w:asciiTheme="majorBidi" w:hAnsiTheme="majorBidi" w:cstheme="majorBidi"/>
          <w:szCs w:val="24"/>
        </w:rPr>
        <w:t>revealed that</w:t>
      </w:r>
      <w:r w:rsidR="005244D5" w:rsidRPr="00CB6744">
        <w:rPr>
          <w:rFonts w:asciiTheme="majorBidi" w:hAnsiTheme="majorBidi" w:cstheme="majorBidi"/>
          <w:szCs w:val="24"/>
        </w:rPr>
        <w:t xml:space="preserve"> </w:t>
      </w:r>
      <w:r w:rsidR="00551002" w:rsidRPr="00CB6744">
        <w:rPr>
          <w:rFonts w:asciiTheme="majorBidi" w:hAnsiTheme="majorBidi" w:cstheme="majorBidi"/>
          <w:szCs w:val="24"/>
        </w:rPr>
        <w:t xml:space="preserve">the GFP </w:t>
      </w:r>
      <w:r w:rsidR="00213155">
        <w:rPr>
          <w:rFonts w:asciiTheme="majorBidi" w:hAnsiTheme="majorBidi" w:cstheme="majorBidi"/>
          <w:szCs w:val="24"/>
        </w:rPr>
        <w:t xml:space="preserve">signal </w:t>
      </w:r>
      <w:r w:rsidR="00E97F76">
        <w:rPr>
          <w:rFonts w:asciiTheme="majorBidi" w:hAnsiTheme="majorBidi" w:cstheme="majorBidi"/>
          <w:szCs w:val="24"/>
        </w:rPr>
        <w:t xml:space="preserve">driven by the dTHS </w:t>
      </w:r>
      <w:r w:rsidR="00AD01EA">
        <w:rPr>
          <w:rFonts w:asciiTheme="majorBidi" w:hAnsiTheme="majorBidi" w:cstheme="majorBidi"/>
          <w:szCs w:val="24"/>
        </w:rPr>
        <w:t>on the</w:t>
      </w:r>
      <w:r w:rsidR="00CF500D">
        <w:rPr>
          <w:rFonts w:asciiTheme="majorBidi" w:hAnsiTheme="majorBidi" w:cstheme="majorBidi"/>
          <w:szCs w:val="24"/>
        </w:rPr>
        <w:t xml:space="preserve"> TSS and</w:t>
      </w:r>
      <w:r w:rsidR="00AD01EA">
        <w:rPr>
          <w:rFonts w:asciiTheme="majorBidi" w:hAnsiTheme="majorBidi" w:cstheme="majorBidi"/>
          <w:szCs w:val="24"/>
        </w:rPr>
        <w:t xml:space="preserve"> gene body of </w:t>
      </w:r>
      <w:r w:rsidR="00AD01EA" w:rsidRPr="005E205D">
        <w:t>AT1G75945</w:t>
      </w:r>
      <w:r w:rsidR="00AD01EA">
        <w:t xml:space="preserve"> (fragment 1)</w:t>
      </w:r>
      <w:r w:rsidR="00CF500D">
        <w:t xml:space="preserve"> was higher in </w:t>
      </w:r>
      <w:r w:rsidR="00CF500D" w:rsidRPr="00467AF8">
        <w:rPr>
          <w:i/>
          <w:iCs/>
        </w:rPr>
        <w:t>brm</w:t>
      </w:r>
      <w:r w:rsidR="00CF500D">
        <w:t xml:space="preserve"> relative to WT plants, indicating the increased accessibility in these loci in </w:t>
      </w:r>
      <w:r w:rsidR="00CF500D" w:rsidRPr="00467AF8">
        <w:rPr>
          <w:i/>
          <w:iCs/>
        </w:rPr>
        <w:t>brm</w:t>
      </w:r>
      <w:r w:rsidR="00CF500D">
        <w:t xml:space="preserve"> is linked to elevated expression</w:t>
      </w:r>
      <w:r w:rsidR="00641D4F">
        <w:t xml:space="preserve"> </w:t>
      </w:r>
      <w:r w:rsidR="00641D4F" w:rsidRPr="00CB6744">
        <w:rPr>
          <w:rFonts w:asciiTheme="majorBidi" w:hAnsiTheme="majorBidi" w:cstheme="majorBidi"/>
          <w:szCs w:val="24"/>
        </w:rPr>
        <w:t xml:space="preserve">(Figure </w:t>
      </w:r>
      <w:r w:rsidR="00641D4F">
        <w:rPr>
          <w:rFonts w:asciiTheme="majorBidi" w:hAnsiTheme="majorBidi" w:cstheme="majorBidi"/>
          <w:szCs w:val="24"/>
        </w:rPr>
        <w:t xml:space="preserve">6B, </w:t>
      </w:r>
      <w:r w:rsidR="00641D4F" w:rsidRPr="00CB6744">
        <w:rPr>
          <w:rFonts w:asciiTheme="majorBidi" w:hAnsiTheme="majorBidi" w:cstheme="majorBidi"/>
          <w:noProof/>
          <w:szCs w:val="24"/>
        </w:rPr>
        <w:t>Supple</w:t>
      </w:r>
      <w:r w:rsidR="00641D4F">
        <w:rPr>
          <w:rFonts w:asciiTheme="majorBidi" w:hAnsiTheme="majorBidi" w:cstheme="majorBidi"/>
          <w:noProof/>
          <w:szCs w:val="24"/>
        </w:rPr>
        <w:t>mental Figure S5</w:t>
      </w:r>
      <w:r w:rsidR="00641D4F">
        <w:rPr>
          <w:rFonts w:asciiTheme="majorBidi" w:hAnsiTheme="majorBidi" w:cstheme="majorBidi"/>
          <w:szCs w:val="24"/>
        </w:rPr>
        <w:t>)</w:t>
      </w:r>
      <w:r w:rsidR="00CF500D">
        <w:t xml:space="preserve">. Interestingly we observed </w:t>
      </w:r>
      <w:r w:rsidR="00CF500D" w:rsidRPr="00467AF8">
        <w:rPr>
          <w:i/>
          <w:iCs/>
        </w:rPr>
        <w:t>brm</w:t>
      </w:r>
      <w:r w:rsidR="00CF500D">
        <w:t>-dependent expression driven also by the dTHS in the gene body and TE</w:t>
      </w:r>
      <w:r w:rsidR="00F16B0D">
        <w:t>S</w:t>
      </w:r>
      <w:r w:rsidR="00CF500D">
        <w:t xml:space="preserve"> of </w:t>
      </w:r>
      <w:r w:rsidR="00CF500D" w:rsidRPr="005E205D">
        <w:t>AT1G75945</w:t>
      </w:r>
      <w:r w:rsidR="00CF500D">
        <w:t xml:space="preserve"> (fragment 2). In </w:t>
      </w:r>
      <w:r w:rsidR="005569A9">
        <w:t>the same line, brm-specific expression was driven by</w:t>
      </w:r>
      <w:r w:rsidR="00CF500D">
        <w:t xml:space="preserve"> </w:t>
      </w:r>
      <w:r w:rsidR="00E97F76">
        <w:rPr>
          <w:rFonts w:asciiTheme="majorBidi" w:hAnsiTheme="majorBidi" w:cstheme="majorBidi"/>
          <w:szCs w:val="24"/>
        </w:rPr>
        <w:t>fragment</w:t>
      </w:r>
      <w:r w:rsidR="005569A9">
        <w:rPr>
          <w:rFonts w:asciiTheme="majorBidi" w:hAnsiTheme="majorBidi" w:cstheme="majorBidi"/>
          <w:szCs w:val="24"/>
        </w:rPr>
        <w:t xml:space="preserve"> 4 from the TSS of </w:t>
      </w:r>
      <w:r w:rsidR="005569A9">
        <w:t>AT5G35935</w:t>
      </w:r>
      <w:r w:rsidR="00F24D5C">
        <w:rPr>
          <w:rFonts w:asciiTheme="majorBidi" w:hAnsiTheme="majorBidi" w:cstheme="majorBidi"/>
          <w:szCs w:val="24"/>
        </w:rPr>
        <w:t>.</w:t>
      </w:r>
      <w:r w:rsidR="00551002" w:rsidRPr="00CB6744">
        <w:rPr>
          <w:rFonts w:asciiTheme="majorBidi" w:hAnsiTheme="majorBidi" w:cstheme="majorBidi"/>
          <w:szCs w:val="24"/>
        </w:rPr>
        <w:t xml:space="preserve"> </w:t>
      </w:r>
      <w:r w:rsidR="00641D4F">
        <w:rPr>
          <w:rFonts w:asciiTheme="majorBidi" w:hAnsiTheme="majorBidi" w:cstheme="majorBidi"/>
          <w:szCs w:val="24"/>
        </w:rPr>
        <w:t>T</w:t>
      </w:r>
      <w:r w:rsidR="005569A9">
        <w:rPr>
          <w:rFonts w:asciiTheme="majorBidi" w:hAnsiTheme="majorBidi" w:cstheme="majorBidi"/>
          <w:szCs w:val="24"/>
        </w:rPr>
        <w:t xml:space="preserve">aken together these results </w:t>
      </w:r>
      <w:r w:rsidR="005569A9" w:rsidRPr="005569A9">
        <w:rPr>
          <w:rFonts w:asciiTheme="majorBidi" w:hAnsiTheme="majorBidi" w:cstheme="majorBidi"/>
          <w:szCs w:val="24"/>
        </w:rPr>
        <w:t>indicat</w:t>
      </w:r>
      <w:r w:rsidR="005569A9">
        <w:rPr>
          <w:rFonts w:asciiTheme="majorBidi" w:hAnsiTheme="majorBidi" w:cstheme="majorBidi"/>
          <w:szCs w:val="24"/>
        </w:rPr>
        <w:t>e</w:t>
      </w:r>
      <w:r w:rsidR="005569A9" w:rsidRPr="005569A9">
        <w:rPr>
          <w:rFonts w:asciiTheme="majorBidi" w:hAnsiTheme="majorBidi" w:cstheme="majorBidi"/>
          <w:szCs w:val="24"/>
        </w:rPr>
        <w:t xml:space="preserve"> a role for </w:t>
      </w:r>
      <w:r w:rsidR="005569A9">
        <w:rPr>
          <w:rFonts w:asciiTheme="majorBidi" w:hAnsiTheme="majorBidi" w:cstheme="majorBidi"/>
          <w:szCs w:val="24"/>
        </w:rPr>
        <w:t>BRM</w:t>
      </w:r>
      <w:r w:rsidR="005569A9" w:rsidRPr="005569A9">
        <w:rPr>
          <w:rFonts w:asciiTheme="majorBidi" w:hAnsiTheme="majorBidi" w:cstheme="majorBidi"/>
          <w:szCs w:val="24"/>
        </w:rPr>
        <w:t xml:space="preserve"> in the maintenance of </w:t>
      </w:r>
      <w:r w:rsidR="007F54D9">
        <w:rPr>
          <w:rFonts w:asciiTheme="majorBidi" w:hAnsiTheme="majorBidi" w:cstheme="majorBidi"/>
          <w:szCs w:val="24"/>
        </w:rPr>
        <w:t xml:space="preserve">regulatory </w:t>
      </w:r>
      <w:r w:rsidR="005569A9" w:rsidRPr="005569A9">
        <w:rPr>
          <w:rFonts w:asciiTheme="majorBidi" w:hAnsiTheme="majorBidi" w:cstheme="majorBidi"/>
          <w:szCs w:val="24"/>
        </w:rPr>
        <w:t>chromatin</w:t>
      </w:r>
      <w:r w:rsidR="007F54D9">
        <w:rPr>
          <w:rFonts w:asciiTheme="majorBidi" w:hAnsiTheme="majorBidi" w:cstheme="majorBidi"/>
          <w:szCs w:val="24"/>
        </w:rPr>
        <w:t>, that can act over long distances,</w:t>
      </w:r>
      <w:r w:rsidR="005569A9" w:rsidRPr="005569A9">
        <w:rPr>
          <w:rFonts w:asciiTheme="majorBidi" w:hAnsiTheme="majorBidi" w:cstheme="majorBidi"/>
          <w:szCs w:val="24"/>
        </w:rPr>
        <w:t xml:space="preserve"> in a closed state</w:t>
      </w:r>
      <w:r w:rsidR="007F54D9">
        <w:rPr>
          <w:rFonts w:asciiTheme="majorBidi" w:hAnsiTheme="majorBidi" w:cstheme="majorBidi"/>
          <w:szCs w:val="24"/>
        </w:rPr>
        <w:t>.</w:t>
      </w:r>
      <w:r w:rsidR="005569A9">
        <w:rPr>
          <w:rFonts w:asciiTheme="majorBidi" w:hAnsiTheme="majorBidi" w:cstheme="majorBidi"/>
          <w:szCs w:val="24"/>
        </w:rPr>
        <w:t xml:space="preserve"> </w:t>
      </w:r>
    </w:p>
    <w:p w14:paraId="410523A7" w14:textId="5168DD5B" w:rsidR="005A72F6" w:rsidRDefault="005A72F6">
      <w:pPr>
        <w:spacing w:line="276" w:lineRule="auto"/>
        <w:jc w:val="left"/>
        <w:rPr>
          <w:rFonts w:asciiTheme="majorBidi" w:hAnsiTheme="majorBidi" w:cstheme="majorBidi"/>
          <w:szCs w:val="24"/>
        </w:rPr>
      </w:pPr>
      <w:r w:rsidRPr="00DE31F7">
        <w:rPr>
          <w:noProof/>
          <w:szCs w:val="24"/>
        </w:rPr>
        <w:lastRenderedPageBreak/>
        <mc:AlternateContent>
          <mc:Choice Requires="wps">
            <w:drawing>
              <wp:anchor distT="45720" distB="45720" distL="114300" distR="114300" simplePos="0" relativeHeight="251685888" behindDoc="0" locked="0" layoutInCell="1" allowOverlap="1" wp14:anchorId="488DE7DB" wp14:editId="5E1E8807">
                <wp:simplePos x="0" y="0"/>
                <wp:positionH relativeFrom="page">
                  <wp:posOffset>687070</wp:posOffset>
                </wp:positionH>
                <wp:positionV relativeFrom="paragraph">
                  <wp:posOffset>782320</wp:posOffset>
                </wp:positionV>
                <wp:extent cx="6610350" cy="6071235"/>
                <wp:effectExtent l="0" t="0" r="19050" b="24765"/>
                <wp:wrapTopAndBottom/>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6071235"/>
                        </a:xfrm>
                        <a:prstGeom prst="rect">
                          <a:avLst/>
                        </a:prstGeom>
                        <a:solidFill>
                          <a:srgbClr val="FFFFFF"/>
                        </a:solidFill>
                        <a:ln w="9525">
                          <a:solidFill>
                            <a:srgbClr val="000000"/>
                          </a:solidFill>
                          <a:miter lim="800000"/>
                          <a:headEnd/>
                          <a:tailEnd/>
                        </a:ln>
                      </wps:spPr>
                      <wps:txbx>
                        <w:txbxContent>
                          <w:p w14:paraId="0AF00CE6" w14:textId="187FD73C" w:rsidR="00671446" w:rsidRDefault="00641D4F" w:rsidP="00F24D5C">
                            <w:pPr>
                              <w:pStyle w:val="NoSpacing"/>
                            </w:pPr>
                            <w:r>
                              <w:rPr>
                                <w:noProof/>
                              </w:rPr>
                              <w:drawing>
                                <wp:inline distT="0" distB="0" distL="0" distR="0" wp14:anchorId="7FF2B723" wp14:editId="1E577860">
                                  <wp:extent cx="5064760" cy="5149901"/>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FP_6.png"/>
                                          <pic:cNvPicPr/>
                                        </pic:nvPicPr>
                                        <pic:blipFill rotWithShape="1">
                                          <a:blip r:embed="rId13" cstate="print">
                                            <a:extLst>
                                              <a:ext uri="{28A0092B-C50C-407E-A947-70E740481C1C}">
                                                <a14:useLocalDpi xmlns:a14="http://schemas.microsoft.com/office/drawing/2010/main" val="0"/>
                                              </a:ext>
                                            </a:extLst>
                                          </a:blip>
                                          <a:srcRect b="37958"/>
                                          <a:stretch/>
                                        </pic:blipFill>
                                        <pic:spPr bwMode="auto">
                                          <a:xfrm>
                                            <a:off x="0" y="0"/>
                                            <a:ext cx="5064760" cy="5149901"/>
                                          </a:xfrm>
                                          <a:prstGeom prst="rect">
                                            <a:avLst/>
                                          </a:prstGeom>
                                          <a:ln>
                                            <a:noFill/>
                                          </a:ln>
                                          <a:extLst>
                                            <a:ext uri="{53640926-AAD7-44D8-BBD7-CCE9431645EC}">
                                              <a14:shadowObscured xmlns:a14="http://schemas.microsoft.com/office/drawing/2010/main"/>
                                            </a:ext>
                                          </a:extLst>
                                        </pic:spPr>
                                      </pic:pic>
                                    </a:graphicData>
                                  </a:graphic>
                                </wp:inline>
                              </w:drawing>
                            </w:r>
                          </w:p>
                          <w:p w14:paraId="362B87A1" w14:textId="1CA08FA0" w:rsidR="00671446" w:rsidRDefault="00671446" w:rsidP="005A72F6">
                            <w:pPr>
                              <w:pStyle w:val="NoSpacing"/>
                            </w:pPr>
                            <w:r>
                              <w:t xml:space="preserve">Figure 6. A, </w:t>
                            </w:r>
                            <w:r w:rsidR="005A72F6">
                              <w:t xml:space="preserve">schematic representation of the fragments used in B. B, </w:t>
                            </w:r>
                            <w:r>
                              <w:t xml:space="preserve">Normalized fluorescence levels in </w:t>
                            </w:r>
                            <w:r w:rsidRPr="00DE31F7">
                              <w:rPr>
                                <w:i/>
                                <w:iCs/>
                              </w:rPr>
                              <w:t>brm-5</w:t>
                            </w:r>
                            <w:r>
                              <w:t xml:space="preserve"> vs WT backgrounds of fragments from the two clusters upstream to a 35S minimal promoter and a GFP reporter. Minimal promoter, plasmid containing only the minimal 35S promoter upstream to the reporter gene. WT, no T-DNA insertion. *p value &lt;0.05, ****p value&lt;0.0001, NS, non-signif</w:t>
                            </w:r>
                            <w:r w:rsidR="005A72F6">
                              <w:t>icant (Wilcoxon rank sum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DE7DB" id="_x0000_s1030" type="#_x0000_t202" style="position:absolute;margin-left:54.1pt;margin-top:61.6pt;width:520.5pt;height:478.05pt;z-index:2516858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">
                <v:textbox>
                  <w:txbxContent>
                    <w:p w14:paraId="0AF00CE6" w14:textId="187FD73C" w:rsidR="00671446" w:rsidRDefault="00641D4F" w:rsidP="00F24D5C">
                      <w:pPr>
                        <w:pStyle w:val="NoSpacing"/>
                      </w:pPr>
                      <w:r>
                        <w:rPr>
                          <w:noProof/>
                        </w:rPr>
                        <w:drawing>
                          <wp:inline distT="0" distB="0" distL="0" distR="0" wp14:anchorId="7FF2B723" wp14:editId="1E577860">
                            <wp:extent cx="5064760" cy="5149901"/>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FP_6.png"/>
                                    <pic:cNvPicPr/>
                                  </pic:nvPicPr>
                                  <pic:blipFill rotWithShape="1">
                                    <a:blip r:embed="rId13" cstate="print">
                                      <a:extLst>
                                        <a:ext uri="{28A0092B-C50C-407E-A947-70E740481C1C}">
                                          <a14:useLocalDpi xmlns:a14="http://schemas.microsoft.com/office/drawing/2010/main" val="0"/>
                                        </a:ext>
                                      </a:extLst>
                                    </a:blip>
                                    <a:srcRect b="37958"/>
                                    <a:stretch/>
                                  </pic:blipFill>
                                  <pic:spPr bwMode="auto">
                                    <a:xfrm>
                                      <a:off x="0" y="0"/>
                                      <a:ext cx="5064760" cy="5149901"/>
                                    </a:xfrm>
                                    <a:prstGeom prst="rect">
                                      <a:avLst/>
                                    </a:prstGeom>
                                    <a:ln>
                                      <a:noFill/>
                                    </a:ln>
                                    <a:extLst>
                                      <a:ext uri="{53640926-AAD7-44D8-BBD7-CCE9431645EC}">
                                        <a14:shadowObscured xmlns:a14="http://schemas.microsoft.com/office/drawing/2010/main"/>
                                      </a:ext>
                                    </a:extLst>
                                  </pic:spPr>
                                </pic:pic>
                              </a:graphicData>
                            </a:graphic>
                          </wp:inline>
                        </w:drawing>
                      </w:r>
                    </w:p>
                    <w:p w14:paraId="362B87A1" w14:textId="1CA08FA0" w:rsidR="00671446" w:rsidRDefault="00671446" w:rsidP="005A72F6">
                      <w:pPr>
                        <w:pStyle w:val="NoSpacing"/>
                      </w:pPr>
                      <w:r>
                        <w:t xml:space="preserve">Figure 6. A, </w:t>
                      </w:r>
                      <w:r w:rsidR="005A72F6">
                        <w:t xml:space="preserve">schematic representation of the fragments used in B. B, </w:t>
                      </w:r>
                      <w:r>
                        <w:t xml:space="preserve">Normalized fluorescence levels in </w:t>
                      </w:r>
                      <w:r w:rsidRPr="00DE31F7">
                        <w:rPr>
                          <w:i/>
                          <w:iCs/>
                        </w:rPr>
                        <w:t>brm-5</w:t>
                      </w:r>
                      <w:r>
                        <w:t xml:space="preserve"> vs WT backgrounds of fragments from the two clusters upstream to a 35S minimal promoter and a GFP reporter. Minimal promoter, plasmid containing only the minimal 35S promoter upstream to the reporter gene. WT, no T-DNA insertion. *p value &lt;0.05, ****p value&lt;0.0001, NS, non-signif</w:t>
                      </w:r>
                      <w:r w:rsidR="005A72F6">
                        <w:t>icant (Wilcoxon rank sum test).</w:t>
                      </w:r>
                    </w:p>
                  </w:txbxContent>
                </v:textbox>
                <w10:wrap type="topAndBottom" anchorx="page"/>
              </v:shape>
            </w:pict>
          </mc:Fallback>
        </mc:AlternateContent>
      </w:r>
      <w:r>
        <w:rPr>
          <w:rFonts w:asciiTheme="majorBidi" w:hAnsiTheme="majorBidi" w:cstheme="majorBidi"/>
          <w:szCs w:val="24"/>
        </w:rPr>
        <w:br w:type="page"/>
      </w:r>
    </w:p>
    <w:p w14:paraId="1BA1F938" w14:textId="4EFD09B5" w:rsidR="00477FEC" w:rsidRPr="00CB6744" w:rsidRDefault="00207E5D" w:rsidP="00B010B5">
      <w:pPr>
        <w:pStyle w:val="Heading1"/>
        <w:numPr>
          <w:ilvl w:val="0"/>
          <w:numId w:val="4"/>
        </w:numPr>
      </w:pPr>
      <w:r w:rsidRPr="00CB6744">
        <w:lastRenderedPageBreak/>
        <w:t>Discussion</w:t>
      </w:r>
    </w:p>
    <w:p w14:paraId="2FE29EE1" w14:textId="5AE702B2" w:rsidR="004A230D" w:rsidRDefault="007D5BD8">
      <w:pPr>
        <w:rPr>
          <w:rFonts w:asciiTheme="majorBidi" w:hAnsiTheme="majorBidi" w:cstheme="majorBidi"/>
          <w:szCs w:val="24"/>
        </w:rPr>
      </w:pPr>
      <w:r w:rsidRPr="00CB6744">
        <w:rPr>
          <w:rFonts w:asciiTheme="majorBidi" w:hAnsiTheme="majorBidi" w:cstheme="majorBidi"/>
          <w:szCs w:val="24"/>
        </w:rPr>
        <w:t>In th</w:t>
      </w:r>
      <w:r w:rsidR="00412305">
        <w:rPr>
          <w:rFonts w:asciiTheme="majorBidi" w:hAnsiTheme="majorBidi" w:cstheme="majorBidi"/>
          <w:szCs w:val="24"/>
        </w:rPr>
        <w:t>is</w:t>
      </w:r>
      <w:r w:rsidRPr="00CB6744">
        <w:rPr>
          <w:rFonts w:asciiTheme="majorBidi" w:hAnsiTheme="majorBidi" w:cstheme="majorBidi"/>
          <w:szCs w:val="24"/>
        </w:rPr>
        <w:t xml:space="preserve"> study we present a genome-wide </w:t>
      </w:r>
      <w:r w:rsidR="005A59E5">
        <w:rPr>
          <w:rFonts w:asciiTheme="majorBidi" w:hAnsiTheme="majorBidi" w:cstheme="majorBidi"/>
          <w:szCs w:val="24"/>
        </w:rPr>
        <w:t xml:space="preserve">chromatin </w:t>
      </w:r>
      <w:r w:rsidRPr="00CB6744">
        <w:rPr>
          <w:rFonts w:asciiTheme="majorBidi" w:hAnsiTheme="majorBidi" w:cstheme="majorBidi"/>
          <w:szCs w:val="24"/>
        </w:rPr>
        <w:t xml:space="preserve">accessibility map of a plant mutated in </w:t>
      </w:r>
      <w:r w:rsidR="00606446" w:rsidRPr="00CB6744">
        <w:rPr>
          <w:rFonts w:asciiTheme="majorBidi" w:hAnsiTheme="majorBidi" w:cstheme="majorBidi"/>
          <w:szCs w:val="24"/>
        </w:rPr>
        <w:t>the BRM</w:t>
      </w:r>
      <w:r w:rsidRPr="00CB6744">
        <w:rPr>
          <w:rFonts w:asciiTheme="majorBidi" w:hAnsiTheme="majorBidi" w:cstheme="majorBidi"/>
          <w:szCs w:val="24"/>
        </w:rPr>
        <w:t xml:space="preserve"> chromatin remodeler, and </w:t>
      </w:r>
      <w:r w:rsidR="005A59E5">
        <w:rPr>
          <w:rFonts w:asciiTheme="majorBidi" w:hAnsiTheme="majorBidi" w:cstheme="majorBidi"/>
          <w:szCs w:val="24"/>
        </w:rPr>
        <w:t>combined it with</w:t>
      </w:r>
      <w:r w:rsidRPr="00CB6744">
        <w:rPr>
          <w:rFonts w:asciiTheme="majorBidi" w:hAnsiTheme="majorBidi" w:cstheme="majorBidi"/>
          <w:szCs w:val="24"/>
        </w:rPr>
        <w:t xml:space="preserve"> gene expression</w:t>
      </w:r>
      <w:r w:rsidR="005A59E5">
        <w:rPr>
          <w:rFonts w:asciiTheme="majorBidi" w:hAnsiTheme="majorBidi" w:cstheme="majorBidi"/>
          <w:szCs w:val="24"/>
        </w:rPr>
        <w:t xml:space="preserve"> profiling</w:t>
      </w:r>
      <w:r w:rsidRPr="00CB6744">
        <w:rPr>
          <w:rFonts w:asciiTheme="majorBidi" w:hAnsiTheme="majorBidi" w:cstheme="majorBidi"/>
          <w:szCs w:val="24"/>
        </w:rPr>
        <w:t xml:space="preserve"> and</w:t>
      </w:r>
      <w:r w:rsidR="005A59E5">
        <w:rPr>
          <w:rFonts w:asciiTheme="majorBidi" w:hAnsiTheme="majorBidi" w:cstheme="majorBidi"/>
          <w:szCs w:val="24"/>
        </w:rPr>
        <w:t xml:space="preserve"> </w:t>
      </w:r>
      <w:r w:rsidR="00E90AA1">
        <w:rPr>
          <w:rFonts w:asciiTheme="majorBidi" w:hAnsiTheme="majorBidi" w:cstheme="majorBidi"/>
          <w:szCs w:val="24"/>
        </w:rPr>
        <w:t>chromatin organization</w:t>
      </w:r>
      <w:r w:rsidRPr="00CB6744">
        <w:rPr>
          <w:rFonts w:asciiTheme="majorBidi" w:hAnsiTheme="majorBidi" w:cstheme="majorBidi"/>
          <w:szCs w:val="24"/>
        </w:rPr>
        <w:t xml:space="preserve">. </w:t>
      </w:r>
    </w:p>
    <w:p w14:paraId="23F5E6CC" w14:textId="42048A2C" w:rsidR="00E252EC" w:rsidRPr="00CB6744" w:rsidRDefault="004A230D" w:rsidP="004A230D">
      <w:pPr>
        <w:rPr>
          <w:rFonts w:asciiTheme="majorBidi" w:hAnsiTheme="majorBidi" w:cstheme="majorBidi"/>
          <w:szCs w:val="24"/>
        </w:rPr>
      </w:pPr>
      <w:r>
        <w:rPr>
          <w:rFonts w:asciiTheme="majorBidi" w:hAnsiTheme="majorBidi" w:cstheme="majorBidi"/>
          <w:szCs w:val="24"/>
        </w:rPr>
        <w:t xml:space="preserve">BRM is thought to play dual roles as both an activator and a repressor in various processes </w:t>
      </w:r>
      <w:r>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{"citationItems":[{"id":"ITEM-1","itemData":{"DOI":"10.3390/genes11010090","ISSN":"2073-4425","abstract":"&lt;p&gt;The ATP-dependent Switch/Sucrose non-fermenting (SWI/SNF) chromatin remodeling complex (CRC) regulates the transcription of many genes by destabilizing interactions between DNA and histones. In plants, BRAHMA (BRM), one of the two catalytic ATPase subunits of the complex, is the closest homolog of the yeast and animal SWI2/SNF2 ATPases. We summarize here the advances describing the roles of BRM in plant development as well as its recently reported chromatin-independent role in pri-miRNA processing in vitro and in vivo. We also enlighten the roles of plant-specific partners that physically interact with BRM. Three main types of partners can be distinguished: (i) DNA-binding proteins such as transcription factors which mostly cooperate with BRM in developmental processes, (ii) enzymes such as kinases or proteasome-related proteins that use BRM as substrate and are often involved in response to abiotic stress, and (iii) an RNA-binding protein which is involved with BRM in chromatin-independent pri-miRNA processing. This overview contributes to the understanding of the central position occupied by BRM within regulatory networks controlling fundamental biological processes in plants.&lt;/p&gt;","author":[{"dropping-particle":"","family":"Thouly","given":"Caroline","non-dropping-particle":"","parse-names":false,"suffix":""},{"dropping-particle":"","family":"Masson","given":"Marie","non-dropping-particle":"Le","parse-names":false,"suffix":""},{"dropping-particle":"","family":"Lai","given":"Xuelei","non-dropping-particle":"","parse-names":false,"suffix":""},{"dropping-particle":"","family":"Carles","given":"Cristel C.","non-dropping-particle":"","parse-names":false,"suffix":""},{"dropping-particle":"","family":"Vachon","given":"Gilles","non-dropping-particle":"","parse-names":false,"suffix":""}],"container-title":"Genes","id":"ITEM-1","issue":"1","issued":{"date-parts":[["2020","1","13"]]},"page":"90","publisher":"Multidisciplinary Digital Publishing Institute","title":"Unwinding BRAHMA Functions in Plants","type":"article-journal","volume":"11"},"uris":["http://www.mendeley.com/documents/?uuid=314843d5-1999-3b1d-a4a8-99d393204caf"]}],"mendeley":{"formattedCitation":"[16]","plainTextFormattedCitation":"[16]","previouslyFormattedCitation":"[16]"},"properties":{"noteIndex":0},"schema":"https://github.com/citation-style-language/schema/raw/master/csl-citation.json"}</w:instrText>
      </w:r>
      <w:r>
        <w:rPr>
          <w:rFonts w:asciiTheme="majorBidi" w:hAnsiTheme="majorBidi" w:cstheme="majorBidi"/>
          <w:szCs w:val="24"/>
        </w:rPr>
        <w:fldChar w:fldCharType="separate"/>
      </w:r>
      <w:r w:rsidR="002E23FE" w:rsidRPr="002E23FE">
        <w:rPr>
          <w:rFonts w:asciiTheme="majorBidi" w:hAnsiTheme="majorBidi" w:cstheme="majorBidi"/>
          <w:noProof/>
          <w:szCs w:val="24"/>
        </w:rPr>
        <w:t>[16]</w:t>
      </w:r>
      <w:r>
        <w:rPr>
          <w:rFonts w:asciiTheme="majorBidi" w:hAnsiTheme="majorBidi" w:cstheme="majorBidi"/>
          <w:szCs w:val="24"/>
        </w:rPr>
        <w:fldChar w:fldCharType="end"/>
      </w:r>
      <w:r>
        <w:rPr>
          <w:rFonts w:asciiTheme="majorBidi" w:hAnsiTheme="majorBidi" w:cstheme="majorBidi"/>
          <w:szCs w:val="24"/>
        </w:rPr>
        <w:t xml:space="preserve">. </w:t>
      </w:r>
      <w:r w:rsidR="00E252EC" w:rsidRPr="00CB6744">
        <w:rPr>
          <w:rFonts w:asciiTheme="majorBidi" w:hAnsiTheme="majorBidi" w:cstheme="majorBidi"/>
          <w:szCs w:val="24"/>
        </w:rPr>
        <w:t xml:space="preserve">Although a similar number of </w:t>
      </w:r>
      <w:r w:rsidR="00C340D8">
        <w:rPr>
          <w:rFonts w:asciiTheme="majorBidi" w:hAnsiTheme="majorBidi" w:cstheme="majorBidi"/>
          <w:szCs w:val="24"/>
        </w:rPr>
        <w:t xml:space="preserve">genes were </w:t>
      </w:r>
      <w:r w:rsidR="00E252EC" w:rsidRPr="00CB6744">
        <w:rPr>
          <w:rFonts w:asciiTheme="majorBidi" w:hAnsiTheme="majorBidi" w:cstheme="majorBidi"/>
          <w:szCs w:val="24"/>
        </w:rPr>
        <w:t xml:space="preserve">up- </w:t>
      </w:r>
      <w:r w:rsidR="00C340D8">
        <w:rPr>
          <w:rFonts w:asciiTheme="majorBidi" w:hAnsiTheme="majorBidi" w:cstheme="majorBidi"/>
          <w:szCs w:val="24"/>
        </w:rPr>
        <w:t>or</w:t>
      </w:r>
      <w:r w:rsidR="00C340D8" w:rsidRPr="00CB6744">
        <w:rPr>
          <w:rFonts w:asciiTheme="majorBidi" w:hAnsiTheme="majorBidi" w:cstheme="majorBidi"/>
          <w:szCs w:val="24"/>
        </w:rPr>
        <w:t xml:space="preserve"> </w:t>
      </w:r>
      <w:r w:rsidR="00E252EC" w:rsidRPr="00CB6744">
        <w:rPr>
          <w:rFonts w:asciiTheme="majorBidi" w:hAnsiTheme="majorBidi" w:cstheme="majorBidi"/>
          <w:szCs w:val="24"/>
        </w:rPr>
        <w:t xml:space="preserve">down- regulated in the </w:t>
      </w:r>
      <w:r w:rsidR="00C340D8" w:rsidRPr="004A230D">
        <w:rPr>
          <w:rFonts w:asciiTheme="majorBidi" w:hAnsiTheme="majorBidi" w:cstheme="majorBidi"/>
          <w:i/>
          <w:iCs/>
          <w:szCs w:val="24"/>
        </w:rPr>
        <w:t>brm</w:t>
      </w:r>
      <w:r w:rsidR="00C340D8">
        <w:rPr>
          <w:rFonts w:asciiTheme="majorBidi" w:hAnsiTheme="majorBidi" w:cstheme="majorBidi"/>
          <w:szCs w:val="24"/>
        </w:rPr>
        <w:t xml:space="preserve"> </w:t>
      </w:r>
      <w:r w:rsidR="00E252EC" w:rsidRPr="00CB6744">
        <w:rPr>
          <w:rFonts w:asciiTheme="majorBidi" w:hAnsiTheme="majorBidi" w:cstheme="majorBidi"/>
          <w:szCs w:val="24"/>
        </w:rPr>
        <w:t xml:space="preserve">mutant, </w:t>
      </w:r>
      <w:r w:rsidR="00C340D8">
        <w:rPr>
          <w:rFonts w:asciiTheme="majorBidi" w:hAnsiTheme="majorBidi" w:cstheme="majorBidi"/>
          <w:szCs w:val="24"/>
        </w:rPr>
        <w:t xml:space="preserve">increased accessibility at their TSS was depicted only for the </w:t>
      </w:r>
      <w:r w:rsidR="00C340D8" w:rsidRPr="004A230D">
        <w:rPr>
          <w:rFonts w:asciiTheme="majorBidi" w:hAnsiTheme="majorBidi" w:cstheme="majorBidi"/>
          <w:i/>
          <w:iCs/>
          <w:szCs w:val="24"/>
        </w:rPr>
        <w:t>brm</w:t>
      </w:r>
      <w:r w:rsidR="00C340D8">
        <w:rPr>
          <w:rFonts w:asciiTheme="majorBidi" w:hAnsiTheme="majorBidi" w:cstheme="majorBidi"/>
          <w:szCs w:val="24"/>
        </w:rPr>
        <w:t xml:space="preserve">-induced genes, suggesting </w:t>
      </w:r>
      <w:r w:rsidR="00592B89">
        <w:rPr>
          <w:rFonts w:asciiTheme="majorBidi" w:hAnsiTheme="majorBidi" w:cstheme="majorBidi"/>
          <w:szCs w:val="24"/>
        </w:rPr>
        <w:t xml:space="preserve">that </w:t>
      </w:r>
      <w:r w:rsidR="00E252EC" w:rsidRPr="00CB6744">
        <w:rPr>
          <w:rFonts w:asciiTheme="majorBidi" w:hAnsiTheme="majorBidi" w:cstheme="majorBidi"/>
          <w:szCs w:val="24"/>
        </w:rPr>
        <w:t>BRM</w:t>
      </w:r>
      <w:r w:rsidR="00592B89">
        <w:rPr>
          <w:rFonts w:asciiTheme="majorBidi" w:hAnsiTheme="majorBidi" w:cstheme="majorBidi"/>
          <w:szCs w:val="24"/>
        </w:rPr>
        <w:t xml:space="preserve"> has a repressive role</w:t>
      </w:r>
      <w:r w:rsidR="00E252EC" w:rsidRPr="00CB6744">
        <w:rPr>
          <w:rFonts w:asciiTheme="majorBidi" w:hAnsiTheme="majorBidi" w:cstheme="majorBidi"/>
          <w:szCs w:val="24"/>
        </w:rPr>
        <w:t xml:space="preserve"> </w:t>
      </w:r>
      <w:r w:rsidR="00592B89">
        <w:rPr>
          <w:rFonts w:asciiTheme="majorBidi" w:hAnsiTheme="majorBidi" w:cstheme="majorBidi"/>
          <w:szCs w:val="24"/>
        </w:rPr>
        <w:t>on</w:t>
      </w:r>
      <w:r w:rsidR="00592B89" w:rsidRPr="00CB6744">
        <w:rPr>
          <w:rFonts w:asciiTheme="majorBidi" w:hAnsiTheme="majorBidi" w:cstheme="majorBidi"/>
          <w:szCs w:val="24"/>
        </w:rPr>
        <w:t xml:space="preserve"> </w:t>
      </w:r>
      <w:r w:rsidR="00592B89">
        <w:rPr>
          <w:rFonts w:asciiTheme="majorBidi" w:hAnsiTheme="majorBidi" w:cstheme="majorBidi"/>
          <w:szCs w:val="24"/>
        </w:rPr>
        <w:t>chromatin accessibility and transcription</w:t>
      </w:r>
      <w:r w:rsidR="00E252EC" w:rsidRPr="00CB6744">
        <w:rPr>
          <w:rFonts w:asciiTheme="majorBidi" w:hAnsiTheme="majorBidi" w:cstheme="majorBidi"/>
          <w:szCs w:val="24"/>
        </w:rPr>
        <w:t>.</w:t>
      </w:r>
    </w:p>
    <w:p w14:paraId="2BA3D768" w14:textId="11FADAD8" w:rsidR="00592C66" w:rsidRPr="00CB6744" w:rsidRDefault="00617093" w:rsidP="0011554E">
      <w:pPr>
        <w:rPr>
          <w:rFonts w:asciiTheme="majorBidi" w:hAnsiTheme="majorBidi" w:cstheme="majorBidi"/>
          <w:szCs w:val="24"/>
        </w:rPr>
      </w:pPr>
      <w:r>
        <w:rPr>
          <w:rFonts w:asciiTheme="majorBidi" w:hAnsiTheme="majorBidi" w:cstheme="majorBidi"/>
          <w:szCs w:val="24"/>
        </w:rPr>
        <w:t>N</w:t>
      </w:r>
      <w:r w:rsidR="00592C66" w:rsidRPr="00CB6744">
        <w:rPr>
          <w:rFonts w:asciiTheme="majorBidi" w:hAnsiTheme="majorBidi" w:cstheme="majorBidi"/>
          <w:szCs w:val="24"/>
        </w:rPr>
        <w:t xml:space="preserve">on-coding </w:t>
      </w:r>
      <w:r w:rsidR="003912A3">
        <w:rPr>
          <w:rFonts w:asciiTheme="majorBidi" w:hAnsiTheme="majorBidi" w:cstheme="majorBidi"/>
          <w:szCs w:val="24"/>
        </w:rPr>
        <w:t xml:space="preserve">transcripts were over-represented </w:t>
      </w:r>
      <w:r w:rsidR="00592C66" w:rsidRPr="00CB6744">
        <w:rPr>
          <w:rFonts w:asciiTheme="majorBidi" w:hAnsiTheme="majorBidi" w:cstheme="majorBidi"/>
          <w:szCs w:val="24"/>
        </w:rPr>
        <w:t>in the</w:t>
      </w:r>
      <w:r w:rsidR="003912A3">
        <w:rPr>
          <w:rFonts w:asciiTheme="majorBidi" w:hAnsiTheme="majorBidi" w:cstheme="majorBidi"/>
          <w:szCs w:val="24"/>
        </w:rPr>
        <w:t xml:space="preserve"> group of</w:t>
      </w:r>
      <w:r w:rsidR="00592C66" w:rsidRPr="00CB6744">
        <w:rPr>
          <w:rFonts w:asciiTheme="majorBidi" w:hAnsiTheme="majorBidi" w:cstheme="majorBidi"/>
          <w:szCs w:val="24"/>
        </w:rPr>
        <w:t xml:space="preserve"> </w:t>
      </w:r>
      <w:r w:rsidR="00904F15">
        <w:rPr>
          <w:rFonts w:asciiTheme="majorBidi" w:hAnsiTheme="majorBidi" w:cstheme="majorBidi"/>
          <w:i/>
          <w:iCs/>
          <w:szCs w:val="24"/>
        </w:rPr>
        <w:t>brm</w:t>
      </w:r>
      <w:r w:rsidR="00592C66" w:rsidRPr="00CB6744">
        <w:rPr>
          <w:rFonts w:asciiTheme="majorBidi" w:hAnsiTheme="majorBidi" w:cstheme="majorBidi"/>
          <w:szCs w:val="24"/>
        </w:rPr>
        <w:t xml:space="preserve"> specific genes and also in </w:t>
      </w:r>
      <w:r w:rsidR="003912A3">
        <w:rPr>
          <w:rFonts w:asciiTheme="majorBidi" w:hAnsiTheme="majorBidi" w:cstheme="majorBidi"/>
          <w:szCs w:val="24"/>
        </w:rPr>
        <w:t>proximity</w:t>
      </w:r>
      <w:r w:rsidR="00592C66" w:rsidRPr="00CB6744">
        <w:rPr>
          <w:rFonts w:asciiTheme="majorBidi" w:hAnsiTheme="majorBidi" w:cstheme="majorBidi"/>
          <w:szCs w:val="24"/>
        </w:rPr>
        <w:t xml:space="preserve"> to </w:t>
      </w:r>
      <w:r w:rsidR="00904F15">
        <w:rPr>
          <w:rFonts w:asciiTheme="majorBidi" w:hAnsiTheme="majorBidi" w:cstheme="majorBidi"/>
          <w:i/>
          <w:iCs/>
          <w:szCs w:val="24"/>
        </w:rPr>
        <w:t>brm</w:t>
      </w:r>
      <w:r w:rsidR="005D4D22">
        <w:rPr>
          <w:rFonts w:asciiTheme="majorBidi" w:hAnsiTheme="majorBidi" w:cstheme="majorBidi"/>
          <w:szCs w:val="24"/>
        </w:rPr>
        <w:t xml:space="preserve"> dTHSs</w:t>
      </w:r>
      <w:r w:rsidR="005C556A">
        <w:rPr>
          <w:rFonts w:asciiTheme="majorBidi" w:hAnsiTheme="majorBidi" w:cstheme="majorBidi"/>
          <w:szCs w:val="24"/>
        </w:rPr>
        <w:t xml:space="preserve">. </w:t>
      </w:r>
      <w:r w:rsidR="00597F83">
        <w:rPr>
          <w:rFonts w:asciiTheme="majorBidi" w:hAnsiTheme="majorBidi" w:cstheme="majorBidi"/>
          <w:szCs w:val="24"/>
        </w:rPr>
        <w:t>The</w:t>
      </w:r>
      <w:r w:rsidR="005C556A">
        <w:rPr>
          <w:rFonts w:asciiTheme="majorBidi" w:hAnsiTheme="majorBidi" w:cstheme="majorBidi"/>
          <w:szCs w:val="24"/>
        </w:rPr>
        <w:t xml:space="preserve"> </w:t>
      </w:r>
      <w:r w:rsidR="00597F83">
        <w:rPr>
          <w:rFonts w:asciiTheme="majorBidi" w:hAnsiTheme="majorBidi" w:cstheme="majorBidi"/>
          <w:szCs w:val="24"/>
        </w:rPr>
        <w:t xml:space="preserve">up-regulated </w:t>
      </w:r>
      <w:r w:rsidR="005C556A">
        <w:rPr>
          <w:rFonts w:asciiTheme="majorBidi" w:hAnsiTheme="majorBidi" w:cstheme="majorBidi"/>
          <w:szCs w:val="24"/>
        </w:rPr>
        <w:t>transposable elements are highly methylated</w:t>
      </w:r>
      <w:r w:rsidR="00597F83">
        <w:rPr>
          <w:rFonts w:asciiTheme="majorBidi" w:hAnsiTheme="majorBidi" w:cstheme="majorBidi"/>
          <w:szCs w:val="24"/>
        </w:rPr>
        <w:t xml:space="preserve"> in the WT plants</w:t>
      </w:r>
      <w:r w:rsidR="005C556A">
        <w:rPr>
          <w:rFonts w:asciiTheme="majorBidi" w:hAnsiTheme="majorBidi" w:cstheme="majorBidi"/>
          <w:szCs w:val="24"/>
        </w:rPr>
        <w:t xml:space="preserve">. </w:t>
      </w:r>
      <w:r w:rsidR="006674F5">
        <w:rPr>
          <w:rFonts w:asciiTheme="majorBidi" w:hAnsiTheme="majorBidi" w:cstheme="majorBidi" w:hint="cs"/>
          <w:noProof/>
          <w:szCs w:val="24"/>
        </w:rPr>
        <w:t>U</w:t>
      </w:r>
      <w:r w:rsidR="006674F5">
        <w:rPr>
          <w:rFonts w:asciiTheme="majorBidi" w:hAnsiTheme="majorBidi" w:cstheme="majorBidi"/>
          <w:noProof/>
          <w:szCs w:val="24"/>
        </w:rPr>
        <w:t xml:space="preserve">nlike the notion that reduction in DNA methylation </w:t>
      </w:r>
      <w:r w:rsidR="00597F83">
        <w:rPr>
          <w:rFonts w:asciiTheme="majorBidi" w:hAnsiTheme="majorBidi" w:cstheme="majorBidi"/>
          <w:noProof/>
          <w:szCs w:val="24"/>
        </w:rPr>
        <w:t xml:space="preserve">leads to increase </w:t>
      </w:r>
      <w:r w:rsidR="006674F5">
        <w:rPr>
          <w:rFonts w:asciiTheme="majorBidi" w:hAnsiTheme="majorBidi" w:cstheme="majorBidi"/>
          <w:noProof/>
          <w:szCs w:val="24"/>
        </w:rPr>
        <w:t xml:space="preserve">in chromatin accessiblity </w:t>
      </w:r>
      <w:r w:rsidR="006674F5" w:rsidRPr="00CB6744">
        <w:rPr>
          <w:rFonts w:asciiTheme="majorBidi" w:hAnsiTheme="majorBidi" w:cstheme="majorBidi"/>
          <w:szCs w:val="24"/>
        </w:rPr>
        <w:fldChar w:fldCharType="begin" w:fldLock="1"/>
      </w:r>
      <w:r w:rsidR="00AB1145">
        <w:rPr>
          <w:rFonts w:asciiTheme="majorBidi" w:hAnsiTheme="majorBidi" w:cstheme="majorBidi"/>
          <w:szCs w:val="24"/>
        </w:rPr>
        <w:instrText>ADDIN CSL_CITATION {"citationItems":[{"id":"ITEM-1","itemData":{"DOI":"10.1073/pnas.2023347118","ISSN":"0027-8424","abstract":"DNA methylation is a major epigenetic modification found across species and has a profound impact on many biological processes. However, its influence on chromatin accessibility and higher-order genome organization remains unclear, particularly in plants. Here, we present genome-wide chromatin accessibility profiles of 18 Arabidopsis mutants that are deficient in CG, CHG, or CHH DNA methylation. We find that DNA methylation in all three sequence contexts impacts chromatin accessibility in heterochromatin. Many chromatin regions maintain inaccessibility when DNA methylation is lost in only one or two sequence contexts, and signatures of accessibility are particularly affected when DNA methylation is reduced in all contexts, suggesting an interplay between different types of DNA methylation. In addition, we found that increased chromatin accessibility was not always accompanied by increased transcription, suggesting that DNA methylation can directly impact chromatin structure by other mechanisms. We also observed that an increase in chromatin accessibility was accompanied by enhanced long-range chromatin interactions. Together, these results provide a valuable resource for chromatin architecture and DNA methylation analyses and uncover a pivotal role for methylation in the maintenance of heterochromatin inaccessibility.","author":[{"dropping-particle":"","family":"Zhong","given":"Zhenhui","non-dropping-particle":"","parse-names":false,"suffix":""},{"dropping-particle":"","family":"Feng","given":"Suhua","non-dropping-particle":"","parse-names":false,"suffix":""},{"dropping-particle":"","family":"Duttke","given":"Sascha H.","non-dropping-particle":"","parse-names":false,"suffix":""},{"dropping-particle":"","family":"Potok","given":"Magdalena E.","non-dropping-particle":"","parse-names":false,"suffix":""},{"dropping-particle":"","family":"Zhang","given":"Yiwei","non-dropping-particle":"","parse-names":false,"suffix":""},{"dropping-particle":"","family":"Gallego-Bartolomé","given":"Javier","non-dropping-particle":"","parse-names":false,"suffix":""},{"dropping-particle":"","family":"Liu","given":"Wanlu","non-dropping-particle":"","parse-names":false,"suffix":""},{"dropping-particle":"","family":"Jacobsen","given":"Steven E.","non-dropping-particle":"","parse-names":false,"suffix":""}],"container-title":"Proceedings of the National Academy of Sciences","id":"ITEM-1","issue":"5","issued":{"date-parts":[["2021","2","2"]]},"page":"e2023347118","title":"DNA methylation-linked chromatin accessibility affects genomic architecture in Arabidopsis","type":"article-journal","volume":"118"},"uris":["http://www.mendeley.com/documents/?uuid=08cc8895-2b07-44ba-b765-373ad31bf4f0"]}],"mendeley":{"formattedCitation":"[38]","plainTextFormattedCitation":"[38]","previouslyFormattedCitation":"[38]"},"properties":{"noteIndex":0},"schema":"https://github.com/citation-style-language/schema/raw/master/csl-citation.json"}</w:instrText>
      </w:r>
      <w:r w:rsidR="006674F5" w:rsidRPr="00CB6744">
        <w:rPr>
          <w:rFonts w:asciiTheme="majorBidi" w:hAnsiTheme="majorBidi" w:cstheme="majorBidi"/>
          <w:szCs w:val="24"/>
        </w:rPr>
        <w:fldChar w:fldCharType="separate"/>
      </w:r>
      <w:r w:rsidR="00AB1145" w:rsidRPr="00AB1145">
        <w:rPr>
          <w:rFonts w:asciiTheme="majorBidi" w:hAnsiTheme="majorBidi" w:cstheme="majorBidi"/>
          <w:noProof/>
          <w:szCs w:val="24"/>
        </w:rPr>
        <w:t>[38]</w:t>
      </w:r>
      <w:r w:rsidR="006674F5" w:rsidRPr="00CB6744">
        <w:rPr>
          <w:rFonts w:asciiTheme="majorBidi" w:hAnsiTheme="majorBidi" w:cstheme="majorBidi"/>
          <w:szCs w:val="24"/>
        </w:rPr>
        <w:fldChar w:fldCharType="end"/>
      </w:r>
      <w:r w:rsidR="006674F5">
        <w:rPr>
          <w:rFonts w:asciiTheme="majorBidi" w:hAnsiTheme="majorBidi" w:cstheme="majorBidi"/>
          <w:szCs w:val="24"/>
        </w:rPr>
        <w:t xml:space="preserve">, we observed the opposite trend: loss of accessibility led to lower DNA methylation. </w:t>
      </w:r>
      <w:r w:rsidR="005C556A">
        <w:rPr>
          <w:rFonts w:asciiTheme="majorBidi" w:hAnsiTheme="majorBidi" w:cstheme="majorBidi"/>
          <w:szCs w:val="24"/>
        </w:rPr>
        <w:t>Altogether, these findings imply</w:t>
      </w:r>
      <w:r w:rsidR="00592C66" w:rsidRPr="00CB6744">
        <w:rPr>
          <w:rFonts w:asciiTheme="majorBidi" w:hAnsiTheme="majorBidi" w:cstheme="majorBidi"/>
          <w:szCs w:val="24"/>
        </w:rPr>
        <w:t xml:space="preserve"> an involvement of BRM in silencing these elements</w:t>
      </w:r>
      <w:r w:rsidR="00E7410E">
        <w:rPr>
          <w:rFonts w:asciiTheme="majorBidi" w:hAnsiTheme="majorBidi" w:cstheme="majorBidi"/>
          <w:szCs w:val="24"/>
        </w:rPr>
        <w:t>, by regulating their accessibility and transcription</w:t>
      </w:r>
      <w:r w:rsidR="00592C66" w:rsidRPr="00CB6744">
        <w:rPr>
          <w:rFonts w:asciiTheme="majorBidi" w:hAnsiTheme="majorBidi" w:cstheme="majorBidi"/>
          <w:szCs w:val="24"/>
        </w:rPr>
        <w:t xml:space="preserve">. </w:t>
      </w:r>
    </w:p>
    <w:p w14:paraId="478B8C91" w14:textId="4FB4B0E4" w:rsidR="00260864" w:rsidRPr="00EE76B9" w:rsidRDefault="00617093" w:rsidP="0011554E">
      <w:pPr>
        <w:rPr>
          <w:rFonts w:asciiTheme="majorBidi" w:hAnsiTheme="majorBidi" w:cstheme="majorBidi"/>
          <w:color w:val="000000"/>
          <w:shd w:val="clear" w:color="auto" w:fill="FFFFFF"/>
        </w:rPr>
      </w:pPr>
      <w:r>
        <w:rPr>
          <w:rFonts w:asciiTheme="majorBidi" w:hAnsiTheme="majorBidi" w:cstheme="majorBidi"/>
          <w:szCs w:val="24"/>
        </w:rPr>
        <w:t>We identified several loci which show strong variation in chromatin accessibility.</w:t>
      </w:r>
      <w:r w:rsidRPr="00617093">
        <w:t xml:space="preserve"> </w:t>
      </w:r>
      <w:r>
        <w:rPr>
          <w:rFonts w:asciiTheme="majorBidi" w:hAnsiTheme="majorBidi" w:cstheme="majorBidi"/>
          <w:szCs w:val="24"/>
        </w:rPr>
        <w:t>However, the large majority of accessible sites showed invariable chromatin accessibility</w:t>
      </w:r>
      <w:r w:rsidR="00AC12CF" w:rsidRPr="00CB6744">
        <w:rPr>
          <w:rFonts w:asciiTheme="majorBidi" w:hAnsiTheme="majorBidi" w:cstheme="majorBidi"/>
          <w:szCs w:val="24"/>
        </w:rPr>
        <w:t xml:space="preserve">. </w:t>
      </w:r>
      <w:r w:rsidR="00EE76B9">
        <w:rPr>
          <w:rFonts w:asciiTheme="majorBidi" w:hAnsiTheme="majorBidi" w:cstheme="majorBidi"/>
          <w:szCs w:val="24"/>
        </w:rPr>
        <w:t xml:space="preserve">This may be due to the specificity of BRM. </w:t>
      </w:r>
      <w:r w:rsidR="005C556A">
        <w:rPr>
          <w:rFonts w:asciiTheme="majorBidi" w:hAnsiTheme="majorBidi" w:cstheme="majorBidi"/>
          <w:szCs w:val="24"/>
        </w:rPr>
        <w:t>B</w:t>
      </w:r>
      <w:r w:rsidR="0079154F" w:rsidRPr="00CB6744">
        <w:rPr>
          <w:rFonts w:asciiTheme="majorBidi" w:hAnsiTheme="majorBidi" w:cstheme="majorBidi"/>
          <w:szCs w:val="24"/>
        </w:rPr>
        <w:t xml:space="preserve">ased on studies </w:t>
      </w:r>
      <w:r w:rsidR="0079154F" w:rsidRPr="00CB6744">
        <w:rPr>
          <w:rFonts w:asciiTheme="majorBidi" w:hAnsiTheme="majorBidi" w:cstheme="majorBidi"/>
          <w:color w:val="000000"/>
          <w:shd w:val="clear" w:color="auto" w:fill="FFFFFF"/>
        </w:rPr>
        <w:t xml:space="preserve">describing the roles of BRM in flowering induction, inflorescence and flower development, it was suggested that </w:t>
      </w:r>
      <w:r w:rsidR="0079154F" w:rsidRPr="00CB6744">
        <w:rPr>
          <w:rFonts w:asciiTheme="majorBidi" w:hAnsiTheme="majorBidi" w:cstheme="majorBidi"/>
          <w:szCs w:val="24"/>
        </w:rPr>
        <w:t xml:space="preserve">it acts as a specific </w:t>
      </w:r>
      <w:r w:rsidR="0011554E">
        <w:rPr>
          <w:rFonts w:asciiTheme="majorBidi" w:hAnsiTheme="majorBidi" w:cstheme="majorBidi"/>
          <w:szCs w:val="24"/>
        </w:rPr>
        <w:t>f</w:t>
      </w:r>
      <w:r w:rsidR="0079154F" w:rsidRPr="00CB6744">
        <w:rPr>
          <w:rFonts w:asciiTheme="majorBidi" w:hAnsiTheme="majorBidi" w:cstheme="majorBidi"/>
          <w:szCs w:val="24"/>
        </w:rPr>
        <w:t xml:space="preserve">actor in the processes rather than a broad remodeler </w:t>
      </w:r>
      <w:r w:rsidR="0079154F"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{"citationItems":[{"id":"ITEM-1","itemData":{"DOI":"10.3390/genes11010090","ISSN":"2073-4425","abstract":"&lt;p&gt;The ATP-dependent Switch/Sucrose non-fermenting (SWI/SNF) chromatin remodeling complex (CRC) regulates the transcription of many genes by destabilizing interactions between DNA and histones. In plants, BRAHMA (BRM), one of the two catalytic ATPase subunits of the complex, is the closest homolog of the yeast and animal SWI2/SNF2 ATPases. We summarize here the advances describing the roles of BRM in plant development as well as its recently reported chromatin-independent role in pri-miRNA processing in vitro and in vivo. We also enlighten the roles of plant-specific partners that physically interact with BRM. Three main types of partners can be distinguished: (i) DNA-binding proteins such as transcription factors which mostly cooperate with BRM in developmental processes, (ii) enzymes such as kinases or proteasome-related proteins that use BRM as substrate and are often involved in response to abiotic stress, and (iii) an RNA-binding protein which is involved with BRM in chromatin-independent pri-miRNA processing. This overview contributes to the understanding of the central position occupied by BRM within regulatory networks controlling fundamental biological processes in plants.&lt;/p&gt;","author":[{"dropping-particle":"","family":"Thouly","given":"Caroline","non-dropping-particle":"","parse-names":false,"suffix":""},{"dropping-particle":"","family":"Masson","given":"Marie","non-dropping-particle":"Le","parse-names":false,"suffix":""},{"dropping-particle":"","family":"Lai","given":"Xuelei","non-dropping-particle":"","parse-names":false,"suffix":""},{"dropping-particle":"","family":"Carles","given":"Cristel C.","non-dropping-particle":"","parse-names":false,"suffix":""},{"dropping-particle":"","family":"Vachon","given":"Gilles","non-dropping-particle":"","parse-names":false,"suffix":""}],"container-title":"Genes","id":"ITEM-1","issue":"1","issued":{"date-parts":[["2020","1","13"]]},"page":"90","publisher":"Multidisciplinary Digital Publishing Institute","title":"Unwinding BRAHMA Functions in Plants","type":"article-journal","volume":"11"},"uris":["http://www.mendeley.com/documents/?uuid=314843d5-1999-3b1d-a4a8-99d393204caf"]}],"mendeley":{"formattedCitation":"[16]","plainTextFormattedCitation":"[16]","previouslyFormattedCitation":"[16]"},"properties":{"noteIndex":0},"schema":"https://github.com/citation-style-language/schema/raw/master/csl-citation.json"}</w:instrText>
      </w:r>
      <w:r w:rsidR="0079154F" w:rsidRPr="00CB6744">
        <w:rPr>
          <w:rFonts w:asciiTheme="majorBidi" w:hAnsiTheme="majorBidi" w:cstheme="majorBidi"/>
          <w:szCs w:val="24"/>
        </w:rPr>
        <w:fldChar w:fldCharType="separate"/>
      </w:r>
      <w:r w:rsidR="002E23FE" w:rsidRPr="002E23FE">
        <w:rPr>
          <w:rFonts w:asciiTheme="majorBidi" w:hAnsiTheme="majorBidi" w:cstheme="majorBidi"/>
          <w:noProof/>
          <w:szCs w:val="24"/>
        </w:rPr>
        <w:t>[16]</w:t>
      </w:r>
      <w:r w:rsidR="0079154F" w:rsidRPr="00CB6744">
        <w:rPr>
          <w:rFonts w:asciiTheme="majorBidi" w:hAnsiTheme="majorBidi" w:cstheme="majorBidi"/>
          <w:szCs w:val="24"/>
        </w:rPr>
        <w:fldChar w:fldCharType="end"/>
      </w:r>
      <w:r w:rsidR="0079154F" w:rsidRPr="00CB6744">
        <w:rPr>
          <w:rFonts w:asciiTheme="majorBidi" w:hAnsiTheme="majorBidi" w:cstheme="majorBidi"/>
          <w:szCs w:val="24"/>
        </w:rPr>
        <w:t>.</w:t>
      </w:r>
      <w:r w:rsidR="00E81A80" w:rsidRPr="00CB6744">
        <w:rPr>
          <w:rFonts w:asciiTheme="majorBidi" w:hAnsiTheme="majorBidi" w:cstheme="majorBidi"/>
          <w:szCs w:val="24"/>
        </w:rPr>
        <w:t xml:space="preserve"> </w:t>
      </w:r>
      <w:r w:rsidR="00EE76B9">
        <w:rPr>
          <w:rFonts w:asciiTheme="majorBidi" w:hAnsiTheme="majorBidi" w:cstheme="majorBidi"/>
          <w:color w:val="000000"/>
          <w:shd w:val="clear" w:color="auto" w:fill="FFFFFF"/>
        </w:rPr>
        <w:t xml:space="preserve">In addition, this phenomenon may reflect the redundancy of CHRs. </w:t>
      </w:r>
      <w:r w:rsidR="0079154F" w:rsidRPr="00CB6744">
        <w:rPr>
          <w:rFonts w:asciiTheme="majorBidi" w:hAnsiTheme="majorBidi" w:cstheme="majorBidi"/>
          <w:szCs w:val="24"/>
        </w:rPr>
        <w:t xml:space="preserve">There are tens of </w:t>
      </w:r>
      <w:r w:rsidR="00EE76B9">
        <w:rPr>
          <w:rFonts w:asciiTheme="majorBidi" w:hAnsiTheme="majorBidi" w:cstheme="majorBidi"/>
          <w:szCs w:val="24"/>
        </w:rPr>
        <w:t>CHR</w:t>
      </w:r>
      <w:r w:rsidR="0079154F" w:rsidRPr="00CB6744">
        <w:rPr>
          <w:rFonts w:asciiTheme="majorBidi" w:hAnsiTheme="majorBidi" w:cstheme="majorBidi"/>
          <w:szCs w:val="24"/>
        </w:rPr>
        <w:t xml:space="preserve">s in Arabidopsis </w:t>
      </w:r>
      <w:r w:rsidR="0079154F"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{"citationItems":[{"id":"ITEM-1","itemData":{"DOI":"10.1101/cshperspect.a019315","ISSN":"1943-0264","author":[{"dropping-particle":"","family":"Pikaard","given":"C. S.","non-dropping-particle":"","parse-names":false,"suffix":""},{"dropping-particle":"","family":"Mittelsten Scheid","given":"O.","non-dropping-particle":"","parse-names":false,"suffix":""}],"container-title":"Cold Spring Harbor Perspectives in Biology","id":"ITEM-1","issue":"12","issued":{"date-parts":[["2014","12","1"]]},"page":"a019315-a019315","title":"Epigenetic Regulation in Plants","type":"article-journal","volume":"6"},"uris":["http://www.mendeley.com/documents/?uuid=7c42b41e-6cca-486f-a0d9-c7b76e8796c0"]}],"mendeley":{"formattedCitation":"[47]","plainTextFormattedCitation":"[47]","previouslyFormattedCitation":"[47]"},"properties":{"noteIndex":0},"schema":"https://github.com/citation-style-language/schema/raw/master/csl-citation.json"}</w:instrText>
      </w:r>
      <w:r w:rsidR="0079154F" w:rsidRPr="00CB6744">
        <w:rPr>
          <w:rFonts w:asciiTheme="majorBidi" w:hAnsiTheme="majorBidi" w:cstheme="majorBidi"/>
          <w:szCs w:val="24"/>
        </w:rPr>
        <w:fldChar w:fldCharType="separate"/>
      </w:r>
      <w:r w:rsidR="002E23FE" w:rsidRPr="002E23FE">
        <w:rPr>
          <w:rFonts w:asciiTheme="majorBidi" w:hAnsiTheme="majorBidi" w:cstheme="majorBidi"/>
          <w:noProof/>
          <w:szCs w:val="24"/>
        </w:rPr>
        <w:t>[47]</w:t>
      </w:r>
      <w:r w:rsidR="0079154F" w:rsidRPr="00CB6744">
        <w:rPr>
          <w:rFonts w:asciiTheme="majorBidi" w:hAnsiTheme="majorBidi" w:cstheme="majorBidi"/>
          <w:szCs w:val="24"/>
        </w:rPr>
        <w:fldChar w:fldCharType="end"/>
      </w:r>
      <w:r w:rsidR="0079154F" w:rsidRPr="00CB6744">
        <w:rPr>
          <w:rFonts w:asciiTheme="majorBidi" w:hAnsiTheme="majorBidi" w:cstheme="majorBidi"/>
          <w:szCs w:val="24"/>
        </w:rPr>
        <w:t>, are t</w:t>
      </w:r>
      <w:r w:rsidR="005C556A">
        <w:rPr>
          <w:rFonts w:asciiTheme="majorBidi" w:hAnsiTheme="majorBidi" w:cstheme="majorBidi"/>
          <w:szCs w:val="24"/>
        </w:rPr>
        <w:t>here is redundancy in their role</w:t>
      </w:r>
      <w:r w:rsidR="0079154F" w:rsidRPr="00CB6744">
        <w:rPr>
          <w:rFonts w:asciiTheme="majorBidi" w:hAnsiTheme="majorBidi" w:cstheme="majorBidi"/>
          <w:szCs w:val="24"/>
        </w:rPr>
        <w:t xml:space="preserve">s. Specifically, it has been shown that a chromatin remodeler related to BRM, SYD, has both shared and unique functions </w:t>
      </w:r>
      <w:r w:rsidR="0079154F"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{"citationItems":[{"id":"ITEM-1","itemData":{"DOI":"10.1105/TPC.106.048272","ISSN":"1040-4651","PMID":"17293567","abstract":"Chromatin remodeling is emerging as a central mechanism for patterning and differentiation in multicellular eukaryotes. SWI/SNF chromatin remodeling ATPases are conserved in the animal and plant kingdom and regulate transcriptional programs in response to endogenous and exogenous cues. In contrast with their metazoan orthologs, null mutants in two Arabidopsis thaliana SWI/SNF ATPases, BRAHMA (BRM) and SPLAYED (SYD), are viable, facilitating investigation of their role in the organism. Previous analyses revealed that syd and brm null mutants exhibit both similar and distinct developmental defects, yet the functional relationship between the two closely related ATPases is not understood. Another central question is whether these proteins act as general or specific transcriptional regulators. Using global expression studies, double mutant analysis, and protein interaction assays, we find overlapping functions for the two SWI/SNF ATPases. This partial diversification may have allowed expansion of the SWI/SNF ATPase regulatory repertoire, while preserving essential ancestral functions. Moreover, only a small fraction of all genes depends on SYD or BRM for expression, indicating that these SWI/SNF ATPases exhibit remarkable regulatory specificity. Our studies provide a conceptual framework for understanding the role of SWI/SNF chromatin remodeling in regulation of Arabidopsis development.","author":[{"dropping-particle":"","family":"Bezhani","given":"Staver","non-dropping-particle":"","parse-names":false,"suffix":""},{"dropping-particle":"","family":"Winter","given":"Cara","non-dropping-particle":"","parse-names":false,"suffix":""},{"dropping-particle":"","family":"Hershman","given":"Steve","non-dropping-particle":"","parse-names":false,"suffix":""},{"dropping-particle":"","family":"Wagner","given":"John D.","non-dropping-particle":"","parse-names":false,"suffix":""},{"dropping-particle":"","family":"Kennedy","given":"John F.","non-dropping-particle":"","parse-names":false,"suffix":""},{"dropping-particle":"","family":"Kwon","given":"Chang Seob","non-dropping-particle":"","parse-names":false,"suffix":""},{"dropping-particle":"","family":"Pfluger","given":"Jennifer","non-dropping-particle":"","parse-names":false,"suffix":""},{"dropping-particle":"","family":"Su","given":"Yanhui","non-dropping-particle":"","parse-names":false,"suffix":""},{"dropping-particle":"","family":"Wagner","given":"Doris","non-dropping-particle":"","parse-names":false,"suffix":""}],"container-title":"The Plant Cell","id":"ITEM-1","issue":"2","issued":{"date-parts":[["2007","2","1"]]},"page":"403-416","publisher":"American Society of Plant Biologists","title":"Unique, Shared, and Redundant Roles for the Arabidopsis SWI/SNF Chromatin Remodeling ATPases BRAHMA and SPLAYED","type":"article-journal","volume":"19"},"uris":["http://www.mendeley.com/documents/?uuid=cf07861d-6bce-349b-b420-27839b8c6d44"]},{"id":"ITEM-2","itemData":{"DOI":"10.1111/tpj.15159","ISSN":"1365-313X","PMID":"33432631","abstract":"SPLAYED (SYD) is a SWItch/Sucrose Non-Fermentable (SWI/SNF)-type chromatin remodeler identified in Arabidopsis thaliana (Arabidopsis). It is believed to play both redundant and differential roles with its closest homolog BRAHMA (BRM) in diverse plant growth and development processes. To better understand how SYD functions, we profiled the genome-wide occupancy of SYD and its impact on the global transcriptome and trimethylation of histone H3 on lysine 27 (H3K27me3). To map the global occupancy of SYD, we generated a GFP-tagged transgenic line and used it for chromatin immunoprecipitation experiments followed by next-generation sequencing, by which more than 6000 SYD target genes were identified. Through integrating SYD occupancy and transcriptome profiles, we found that SYD preferentially targets to nucleosome-free regions of expressed genes. Further analysis revealed that SYD occupancy peaks exhibit five distinct patterns, which were also shared by BRM and BAF60, a conserved SWI/SNF complex component, indicating the common target sites of these SWI/SNF chromatin remodelers and the functional relevance of such distinct patterns. To investigate the interplay between SYD and Polycomb-group (PcG) proteins, we performed a genome-wide analysis of H3K27me3 in syd-5. We observed both increases and decreases in H3K27me3 levels at a few hundred genes in syd-5 compared to wild type. Our results imply that SYD can act antagonistically or synergistically with PcG at specific genes. Together, our SYD genome-wide occupancy data and the transcriptome and H3K27me3 profiles provide a much-needed resource for dissecting SYD's crucial roles in the regulation of plant growth and development.","author":[{"dropping-particle":"","family":"Shu","given":"Jie","non-dropping-particle":"","parse-names":false,"suffix":""},{"dropping-particle":"","family":"Chen","given":"Chen","non-dropping-particle":"","parse-names":false,"suffix":""},{"dropping-particle":"","family":"Li","given":"Chenlong","non-dropping-particle":"","parse-names":false,"suffix":""},{"dropping-particle":"","family":"Thapa","given":"Raj K","non-dropping-particle":"","parse-names":false,"suffix":""},{"dropping-particle":"","family":"Song","given":"Jingpu","non-dropping-particle":"","parse-names":false,"suffix":""},{"dropping-particle":"","family":"Xie","given":"Xin","non-dropping-particle":"","parse-names":false,"suffix":""},{"dropping-particle":"","family":"Nguyen","given":"Vi","non-dropping-particle":"","parse-names":false,"suffix":""},{"dropping-particle":"","family":"Bian","given":"Shaomin","non-dropping-particle":"","parse-names":false,"suffix":""},{"dropping-particle":"","family":"Liu","given":"Jun","non-dropping-particle":"","parse-names":false,"suffix":""},{"dropping-particle":"","family":"Kohalmi","given":"Susanne E","non-dropping-particle":"","parse-names":false,"suffix":""},{"dropping-particle":"","family":"Cui","given":"Yuhai","non-dropping-particle":"","parse-names":false,"suffix":""}],"container-title":"The Plant journal : for cell and molecular biology","id":"ITEM-2","issued":{"date-parts":[["2021","1","11"]]},"title":"Genome-wide occupancy of Arabidopsis SWI/SNF chromatin remodeler SPLAYED provides insights into its interplay with its close homolog BRAHMA and Polycomb proteins.","type":"article-journal"},"uris":["http://www.mendeley.com/documents/?uuid=25a52ca1-29ad-4c0d-aa1a-55fdbe6015f6"]}],"mendeley":{"formattedCitation":"[48,49]","plainTextFormattedCitation":"[48,49]","previouslyFormattedCitation":"[48,49]"},"properties":{"noteIndex":0},"schema":"https://github.com/citation-style-language/schema/raw/master/csl-citation.json"}</w:instrText>
      </w:r>
      <w:r w:rsidR="0079154F" w:rsidRPr="00CB6744">
        <w:rPr>
          <w:rFonts w:asciiTheme="majorBidi" w:hAnsiTheme="majorBidi" w:cstheme="majorBidi"/>
          <w:szCs w:val="24"/>
        </w:rPr>
        <w:fldChar w:fldCharType="separate"/>
      </w:r>
      <w:r w:rsidR="002E23FE" w:rsidRPr="002E23FE">
        <w:rPr>
          <w:rFonts w:asciiTheme="majorBidi" w:hAnsiTheme="majorBidi" w:cstheme="majorBidi"/>
          <w:noProof/>
          <w:szCs w:val="24"/>
        </w:rPr>
        <w:t>[48,49]</w:t>
      </w:r>
      <w:r w:rsidR="0079154F" w:rsidRPr="00CB6744">
        <w:rPr>
          <w:rFonts w:asciiTheme="majorBidi" w:hAnsiTheme="majorBidi" w:cstheme="majorBidi"/>
          <w:szCs w:val="24"/>
        </w:rPr>
        <w:fldChar w:fldCharType="end"/>
      </w:r>
      <w:r w:rsidR="0079154F" w:rsidRPr="00CB6744">
        <w:rPr>
          <w:rFonts w:asciiTheme="majorBidi" w:hAnsiTheme="majorBidi" w:cstheme="majorBidi"/>
          <w:szCs w:val="24"/>
        </w:rPr>
        <w:t>.</w:t>
      </w:r>
      <w:r w:rsidR="00807E07" w:rsidRPr="00CB6744">
        <w:rPr>
          <w:rFonts w:asciiTheme="majorBidi" w:hAnsiTheme="majorBidi" w:cstheme="majorBidi"/>
          <w:szCs w:val="24"/>
        </w:rPr>
        <w:t xml:space="preserve"> </w:t>
      </w:r>
      <w:r w:rsidR="00EE76B9" w:rsidRPr="00CB6744">
        <w:rPr>
          <w:rFonts w:asciiTheme="majorBidi" w:hAnsiTheme="majorBidi" w:cstheme="majorBidi"/>
          <w:szCs w:val="24"/>
        </w:rPr>
        <w:t>Moreover</w:t>
      </w:r>
      <w:r w:rsidR="00E81A80" w:rsidRPr="00CB6744">
        <w:rPr>
          <w:rFonts w:asciiTheme="majorBidi" w:hAnsiTheme="majorBidi" w:cstheme="majorBidi"/>
          <w:szCs w:val="24"/>
        </w:rPr>
        <w:t xml:space="preserve">, it has been shown in mammalians that the vast majority of genes that occupied by SWI/SNF chromatin remodelers do not show altered expression </w:t>
      </w:r>
      <w:r w:rsidR="00E81A80" w:rsidRPr="00CB6744">
        <w:rPr>
          <w:rFonts w:asciiTheme="majorBidi" w:hAnsiTheme="majorBidi" w:cstheme="majorBidi"/>
          <w:szCs w:val="24"/>
        </w:rPr>
        <w:lastRenderedPageBreak/>
        <w:t xml:space="preserve">in SWI/SNF knock-outs. </w:t>
      </w:r>
      <w:r w:rsidR="00E81A80"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{"citationItems":[{"id":"ITEM-1","itemData":{"DOI":"10.1371/journal.pgen.1002008","ISSN":"1553-7404","author":[{"dropping-particle":"","family":"Euskirchen","given":"Ghia M.","non-dropping-particle":"","parse-names":false,"suffix":""},{"dropping-particle":"","family":"Auerbach","given":"Raymond K.","non-dropping-particle":"","parse-names":false,"suffix":""},{"dropping-particle":"","family":"Davidov","given":"Eugene","non-dropping-particle":"","parse-names":false,"suffix":""},{"dropping-particle":"","family":"Gianoulis","given":"Tara A.","non-dropping-particle":"","parse-names":false,"suffix":""},{"dropping-particle":"","family":"Zhong","given":"Guoneng","non-dropping-particle":"","parse-names":false,"suffix":""},{"dropping-particle":"","family":"Rozowsky","given":"Joel","non-dropping-particle":"","parse-names":false,"suffix":""},{"dropping-particle":"","family":"Bhardwaj","given":"Nitin","non-dropping-particle":"","parse-names":false,"suffix":""},{"dropping-particle":"","family":"Gerstein","given":"Mark B.","non-dropping-particle":"","parse-names":false,"suffix":""},{"dropping-particle":"","family":"Snyder","given":"Michael","non-dropping-particle":"","parse-names":false,"suffix":""}],"container-title":"PLoS Genetics","editor":[{"dropping-particle":"","family":"Copenhaver","given":"Gregory P.","non-dropping-particle":"","parse-names":false,"suffix":""}],"id":"ITEM-1","issue":"3","issued":{"date-parts":[["2011","3","3"]]},"page":"e1002008","title":"Diverse Roles and Interactions of the SWI/SNF Chromatin Remodeling Complex Revealed Using Global Approaches","type":"article-journal","volume":"7"},"uris":["http://www.mendeley.com/documents/?uuid=6e49b705-3ad5-4975-9ff0-42feae360f52"]}],"mendeley":{"formattedCitation":"[50]","plainTextFormattedCitation":"[50]","previouslyFormattedCitation":"[50]"},"properties":{"noteIndex":0},"schema":"https://github.com/citation-style-language/schema/raw/master/csl-citation.json"}</w:instrText>
      </w:r>
      <w:r w:rsidR="00E81A80" w:rsidRPr="00CB6744">
        <w:rPr>
          <w:rFonts w:asciiTheme="majorBidi" w:hAnsiTheme="majorBidi" w:cstheme="majorBidi"/>
          <w:szCs w:val="24"/>
        </w:rPr>
        <w:fldChar w:fldCharType="separate"/>
      </w:r>
      <w:r w:rsidR="002E23FE" w:rsidRPr="002E23FE">
        <w:rPr>
          <w:rFonts w:asciiTheme="majorBidi" w:hAnsiTheme="majorBidi" w:cstheme="majorBidi"/>
          <w:noProof/>
          <w:szCs w:val="24"/>
        </w:rPr>
        <w:t>[50]</w:t>
      </w:r>
      <w:r w:rsidR="00E81A80" w:rsidRPr="00CB6744">
        <w:rPr>
          <w:rFonts w:asciiTheme="majorBidi" w:hAnsiTheme="majorBidi" w:cstheme="majorBidi"/>
          <w:szCs w:val="24"/>
        </w:rPr>
        <w:fldChar w:fldCharType="end"/>
      </w:r>
      <w:r w:rsidR="00E81A80" w:rsidRPr="00CB6744">
        <w:rPr>
          <w:rFonts w:asciiTheme="majorBidi" w:hAnsiTheme="majorBidi" w:cstheme="majorBidi"/>
          <w:szCs w:val="24"/>
        </w:rPr>
        <w:t>.</w:t>
      </w:r>
      <w:r w:rsidR="00EE76B9">
        <w:rPr>
          <w:rFonts w:asciiTheme="majorBidi" w:hAnsiTheme="majorBidi" w:cstheme="majorBidi"/>
          <w:color w:val="000000"/>
          <w:shd w:val="clear" w:color="auto" w:fill="FFFFFF"/>
        </w:rPr>
        <w:t xml:space="preserve"> Another reason may be the</w:t>
      </w:r>
      <w:r w:rsidR="0079154F" w:rsidRPr="00CB6744">
        <w:rPr>
          <w:rFonts w:asciiTheme="majorBidi" w:hAnsiTheme="majorBidi" w:cstheme="majorBidi"/>
          <w:szCs w:val="24"/>
        </w:rPr>
        <w:t xml:space="preserve"> mutant</w:t>
      </w:r>
      <w:r w:rsidR="00EE76B9">
        <w:rPr>
          <w:rFonts w:asciiTheme="majorBidi" w:hAnsiTheme="majorBidi" w:cstheme="majorBidi"/>
          <w:szCs w:val="24"/>
        </w:rPr>
        <w:t xml:space="preserve"> used in this study.</w:t>
      </w:r>
      <w:r w:rsidR="0079154F" w:rsidRPr="00CB6744">
        <w:rPr>
          <w:rFonts w:asciiTheme="majorBidi" w:hAnsiTheme="majorBidi" w:cstheme="majorBidi"/>
          <w:szCs w:val="24"/>
        </w:rPr>
        <w:t xml:space="preserve"> </w:t>
      </w:r>
      <w:r w:rsidR="0079154F" w:rsidRPr="00CB6744">
        <w:rPr>
          <w:rFonts w:asciiTheme="majorBidi" w:hAnsiTheme="majorBidi" w:cstheme="majorBidi"/>
          <w:i/>
          <w:iCs/>
          <w:szCs w:val="24"/>
        </w:rPr>
        <w:t>brm-5</w:t>
      </w:r>
      <w:r w:rsidR="0079154F" w:rsidRPr="00CB6744">
        <w:rPr>
          <w:rFonts w:asciiTheme="majorBidi" w:hAnsiTheme="majorBidi" w:cstheme="majorBidi"/>
          <w:szCs w:val="24"/>
        </w:rPr>
        <w:t xml:space="preserve"> is an EMS mutant line which contains a point mutation at a highly conserved amino acid in the ATPase domain of the chromatin remodeler, and was shown to effect chromatin accessibility at a specific locus in leaves </w:t>
      </w:r>
      <w:r w:rsidR="0079154F"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{"citationItems":[{"id":"ITEM-1","itemData":{"DOI":"10.1104/pp.108.121996","ISBN":"0032-0889 (Print)\\r0032-0889 (Linking)","ISSN":"0032-0889","PMID":"18508955","abstract":"Synthesis and accumulation of seed storage proteins (SSPs) is an important aspect of the seed maturation program. Genes encoding SSPs are specifically and highly expressed in the seed during maturation. However, the mechanisms that repress the expression of these genes in leaf tissue are not well understood. To gain insight into the repression mechanisms, we performed a genetic screen for mutants that express SSPs in leaves. Here, we show that mutations affecting BRAHMA (BRM), a SNF2 chromatin-remodeling ATPase, cause ectopic expression of a subset of SSPs and other embryogenesis-related genes in leaf tissue. Consistent with the notion that such SNF2-like ATPases form protein complexes in vivo, we observed similar phenotypes for mutations of AtSWI3C, a BRM-interacting partner, and BSH, a SNF5 homolog and essential SWI/SNF subunit. Chromatin immunoprecipitation experiments show that BRM is recruited to the promoters of a number of embryogenesis genes in wild-type leaves, including the 2S genes, expressed in brm leaves. Consistent with its role in nucleosome remodeling, BRM appears to affect the chromatin structure of the At2S2 promoter. Thus, the BRM-containing chromatin-remodeling ATPase complex involved in many aspects of plant development mediates the repression of SSPs in leaf tissue.","author":[{"dropping-particle":"","family":"Tang","given":"Xurong","non-dropping-particle":"","parse-names":false,"suffix":""},{"dropping-particle":"","family":"Hou","given":"Anfu","non-dropping-particle":"","parse-names":false,"suffix":""},{"dropping-particle":"","family":"Babu","given":"Mohan","non-dropping-particle":"","parse-names":false,"suffix":""},{"dropping-particle":"","family":"Nguyen","given":"Vi","non-dropping-particle":"","parse-names":false,"suffix":""},{"dropping-particle":"","family":"Hurtado","given":"Lidia","non-dropping-particle":"","parse-names":false,"suffix":""},{"dropping-particle":"","family":"Lu","given":"Qing","non-dropping-particle":"","parse-names":false,"suffix":""},{"dropping-particle":"","family":"Reyes","given":"Jose C","non-dropping-particle":"","parse-names":false,"suffix":""},{"dropping-particle":"","family":"Wang","given":"Aiming","non-dropping-particle":"","parse-names":false,"suffix":""},{"dropping-particle":"","family":"Keller","given":"Wilfred A","non-dropping-particle":"","parse-names":false,"suffix":""},{"dropping-particle":"","family":"Harada","given":"John J","non-dropping-particle":"","parse-names":false,"suffix":""},{"dropping-particle":"","family":"Tsang","given":"Edward W T","non-dropping-particle":"","parse-names":false,"suffix":""},{"dropping-particle":"","family":"Cui","given":"Yuhai","non-dropping-particle":"","parse-names":false,"suffix":""}],"container-title":"Plant physiology","id":"ITEM-1","issue":"3","issued":{"date-parts":[["2008","7"]]},"page":"1143-1157","title":"The Arabidopsis BRAHMA chromatin-remodeling ATPase is involved in repression of seed maturation genes in leaves.","type":"article-journal","volume":"147"},"uris":["http://www.mendeley.com/documents/?uuid=67d30b69-ec5f-4686-98cb-d060c8448aa7"]}],"mendeley":{"formattedCitation":"[10]","plainTextFormattedCitation":"[10]","previouslyFormattedCitation":"[10]"},"properties":{"noteIndex":0},"schema":"https://github.com/citation-style-language/schema/raw/master/csl-citation.json"}</w:instrText>
      </w:r>
      <w:r w:rsidR="0079154F" w:rsidRPr="00CB6744">
        <w:rPr>
          <w:rFonts w:asciiTheme="majorBidi" w:hAnsiTheme="majorBidi" w:cstheme="majorBidi"/>
          <w:szCs w:val="24"/>
        </w:rPr>
        <w:fldChar w:fldCharType="separate"/>
      </w:r>
      <w:r w:rsidR="002E23FE" w:rsidRPr="002E23FE">
        <w:rPr>
          <w:rFonts w:asciiTheme="majorBidi" w:hAnsiTheme="majorBidi" w:cstheme="majorBidi"/>
          <w:noProof/>
          <w:szCs w:val="24"/>
        </w:rPr>
        <w:t>[10]</w:t>
      </w:r>
      <w:r w:rsidR="0079154F" w:rsidRPr="00CB6744">
        <w:rPr>
          <w:rFonts w:asciiTheme="majorBidi" w:hAnsiTheme="majorBidi" w:cstheme="majorBidi"/>
          <w:szCs w:val="24"/>
        </w:rPr>
        <w:fldChar w:fldCharType="end"/>
      </w:r>
      <w:r w:rsidR="0079154F" w:rsidRPr="00CB6744">
        <w:rPr>
          <w:rFonts w:asciiTheme="majorBidi" w:hAnsiTheme="majorBidi" w:cstheme="majorBidi"/>
          <w:szCs w:val="24"/>
        </w:rPr>
        <w:t>. The relatively low amount of dTHSs may reflect the mild phenotype of this mutant, as other lines which were used in various studies are T-DNA lines (</w:t>
      </w:r>
      <w:r w:rsidR="0079154F" w:rsidRPr="00CB6744">
        <w:rPr>
          <w:rFonts w:asciiTheme="majorBidi" w:hAnsiTheme="majorBidi" w:cstheme="majorBidi"/>
          <w:i/>
          <w:iCs/>
          <w:szCs w:val="24"/>
        </w:rPr>
        <w:t>brm-1,</w:t>
      </w:r>
      <w:r w:rsidR="0079154F" w:rsidRPr="00CB6744">
        <w:rPr>
          <w:rFonts w:asciiTheme="majorBidi" w:hAnsiTheme="majorBidi" w:cstheme="majorBidi"/>
          <w:szCs w:val="24"/>
        </w:rPr>
        <w:t xml:space="preserve"> </w:t>
      </w:r>
      <w:r w:rsidR="0079154F" w:rsidRPr="00CB6744">
        <w:rPr>
          <w:rFonts w:asciiTheme="majorBidi" w:hAnsiTheme="majorBidi" w:cstheme="majorBidi"/>
          <w:i/>
          <w:iCs/>
          <w:szCs w:val="24"/>
        </w:rPr>
        <w:t>brm-2</w:t>
      </w:r>
      <w:r w:rsidR="0079154F" w:rsidRPr="00CB6744">
        <w:rPr>
          <w:rFonts w:asciiTheme="majorBidi" w:hAnsiTheme="majorBidi" w:cstheme="majorBidi"/>
          <w:szCs w:val="24"/>
        </w:rPr>
        <w:t xml:space="preserve"> and </w:t>
      </w:r>
      <w:r w:rsidR="0079154F" w:rsidRPr="00CB6744">
        <w:rPr>
          <w:rFonts w:asciiTheme="majorBidi" w:hAnsiTheme="majorBidi" w:cstheme="majorBidi"/>
          <w:i/>
          <w:iCs/>
          <w:szCs w:val="24"/>
        </w:rPr>
        <w:t>brm-4</w:t>
      </w:r>
      <w:r w:rsidR="0079154F" w:rsidRPr="00CB6744">
        <w:rPr>
          <w:rFonts w:asciiTheme="majorBidi" w:hAnsiTheme="majorBidi" w:cstheme="majorBidi"/>
          <w:szCs w:val="24"/>
        </w:rPr>
        <w:t xml:space="preserve">) which are completely sterile and with more severe phenotypes </w:t>
      </w:r>
      <w:r w:rsidR="0079154F"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{"citationItems":[{"id":"ITEM-1","itemData":{"DOI":"10.1007/s11103-006-9021-2","ISBN":"0167-4412","ISSN":"0167-4412","PMID":"16845477","abstract":"Arabidopsis thaliana BRAHMA (BRM, also called AtBRM) is a SNF2 family protein homolog of Brahma, the ATPase of the Drosophila SWI/SNF complex involved in chromatin remodeling during transcription. Here we show that, in contrast to its Drosophila counterpart, BRM is not an essential gene. Thus, homozygous BRM loss of function mutants are viable but exhibit numerous defects including dwarfism, altered leaf and root development and several reproduction defects. The analysis of the progeny of self-fertilized heterozygous brm plants and reciprocal crosses between heterozygous and wild type plants indicated that disruption of BRM reduced both male and female gametophyte transmission. This was consistent with the presence of aborted ovules in the self-fertilized heterozygous flowers that contained arrested embryos predominantly at the two terminal cells stage. Furthermore, brm homozygous mutants were completely sterile. Flowers of brm loss-of-function mutants have several developmental abnormalities, including homeotic transformations in the second and third floral whorls. In accordance with these results, brm mutants present reduced levels of APETALA2, APETALA3, PISTILLATA and NAC-LIKE, ACTIVATED BY AP3/PI. We have previously shown that BRM strongly interacts with AtSWI3C. Now we extend our interaction studies demonstrating that BRM interacts weakly with AtSWI3B but not with AtSWI3A or AtSWI3D. In agreement with these results, the phenotype described in this study for brm plants is very similar to that previously described for the AtSWI3C mutant plants, suggesting that both proteins participate in the same genetic pathway or form a molecular complex.","author":[{"dropping-particle":"","family":"Hurtado","given":"Lidia","non-dropping-particle":"","parse-names":false,"suffix":""},{"dropping-particle":"","family":"Farrona","given":"Sara","non-dropping-particle":"","parse-names":false,"suffix":""},{"dropping-particle":"","family":"Reyes","given":"Jose C.","non-dropping-particle":"","parse-names":false,"suffix":""}],"container-title":"Plant molecular biology","id":"ITEM-1","issue":"1-2","issued":{"date-parts":[["2006","9"]]},"page":"291-304","title":"The putative SWI/SNF complex subunit BRAHMA activates flower homeotic genes in Arabidopsis thaliana.","type":"article-journal","volume":"62"},"uris":["http://www.mendeley.com/documents/?uuid=52d40240-0b5b-361f-b6d0-6b5027da23c2"]},{"id":"ITEM-2","itemData":{"DOI":"10.1104/pp.108.121996","ISBN":"0032-0889 (Print)\\r0032-0889 (Linking)","ISSN":"0032-0889","PMID":"18508955","abstract":"Synthesis and accumulation of seed storage proteins (SSPs) is an important aspect of the seed maturation program. Genes encoding SSPs are specifically and highly expressed in the seed during maturation. However, the mechanisms that repress the expression of these genes in leaf tissue are not well understood. To gain insight into the repression mechanisms, we performed a genetic screen for mutants that express SSPs in leaves. Here, we show that mutations affecting BRAHMA (BRM), a SNF2 chromatin-remodeling ATPase, cause ectopic expression of a subset of SSPs and other embryogenesis-related genes in leaf tissue. Consistent with the notion that such SNF2-like ATPases form protein complexes in vivo, we observed similar phenotypes for mutations of AtSWI3C, a BRM-interacting partner, and BSH, a SNF5 homolog and essential SWI/SNF subunit. Chromatin immunoprecipitation experiments show that BRM is recruited to the promoters of a number of embryogenesis genes in wild-type leaves, including the 2S genes, expressed in brm leaves. Consistent with its role in nucleosome remodeling, BRM appears to affect the chromatin structure of the At2S2 promoter. Thus, the BRM-containing chromatin-remodeling ATPase complex involved in many aspects of plant development mediates the repression of SSPs in leaf tissue.","author":[{"dropping-particle":"","family":"Tang","given":"Xurong","non-dropping-particle":"","parse-names":false,"suffix":""},{"dropping-particle":"","family":"Hou","given":"Anfu","non-dropping-particle":"","parse-names":false,"suffix":""},{"dropping-particle":"","family":"Babu","given":"Mohan","non-dropping-particle":"","parse-names":false,"suffix":""},{"dropping-particle":"","family":"Nguyen","given":"Vi","non-dropping-particle":"","parse-names":false,"suffix":""},{"dropping-particle":"","family":"Hurtado","given":"Lidia","non-dropping-particle":"","parse-names":false,"suffix":""},{"dropping-particle":"","family":"Lu","given":"Qing","non-dropping-particle":"","parse-names":false,"suffix":""},{"dropping-particle":"","family":"Reyes","given":"Jose C","non-dropping-particle":"","parse-names":false,"suffix":""},{"dropping-particle":"","family":"Wang","given":"Aiming","non-dropping-particle":"","parse-names":false,"suffix":""},{"dropping-particle":"","family":"Keller","given":"Wilfred A","non-dropping-particle":"","parse-names":false,"suffix":""},{"dropping-particle":"","family":"Harada","given":"John J","non-dropping-particle":"","parse-names":false,"suffix":""},{"dropping-particle":"","family":"Tsang","given":"Edward W T","non-dropping-particle":"","parse-names":false,"suffix":""},{"dropping-particle":"","family":"Cui","given":"Yuhai","non-dropping-particle":"","parse-names":false,"suffix":""}],"container-title":"Plant physiology","id":"ITEM-2","issue":"3","issued":{"date-parts":[["2008","7"]]},"page":"1143-1157","title":"The Arabidopsis BRAHMA chromatin-remodeling ATPase is involved in repression of seed maturation genes in leaves.","type":"article-journal","volume":"147"},"uris":["http://www.mendeley.com/documents/?uuid=67d30b69-ec5f-4686-98cb-d060c8448aa7"]}],"mendeley":{"formattedCitation":"[8,10]","plainTextFormattedCitation":"[8,10]","previouslyFormattedCitation":"[8,10]"},"properties":{"noteIndex":0},"schema":"https://github.com/citation-style-language/schema/raw/master/csl-citation.json"}</w:instrText>
      </w:r>
      <w:r w:rsidR="0079154F" w:rsidRPr="00CB6744">
        <w:rPr>
          <w:rFonts w:asciiTheme="majorBidi" w:hAnsiTheme="majorBidi" w:cstheme="majorBidi"/>
          <w:szCs w:val="24"/>
        </w:rPr>
        <w:fldChar w:fldCharType="separate"/>
      </w:r>
      <w:r w:rsidR="002E23FE" w:rsidRPr="002E23FE">
        <w:rPr>
          <w:rFonts w:asciiTheme="majorBidi" w:hAnsiTheme="majorBidi" w:cstheme="majorBidi"/>
          <w:noProof/>
          <w:szCs w:val="24"/>
        </w:rPr>
        <w:t>[8,10]</w:t>
      </w:r>
      <w:r w:rsidR="0079154F" w:rsidRPr="00CB6744">
        <w:rPr>
          <w:rFonts w:asciiTheme="majorBidi" w:hAnsiTheme="majorBidi" w:cstheme="majorBidi"/>
          <w:szCs w:val="24"/>
        </w:rPr>
        <w:fldChar w:fldCharType="end"/>
      </w:r>
      <w:r w:rsidR="0079154F" w:rsidRPr="00CB6744">
        <w:rPr>
          <w:rFonts w:asciiTheme="majorBidi" w:hAnsiTheme="majorBidi" w:cstheme="majorBidi"/>
          <w:szCs w:val="24"/>
        </w:rPr>
        <w:t>.</w:t>
      </w:r>
      <w:r w:rsidR="0079154F" w:rsidRPr="00CB6744">
        <w:rPr>
          <w:rFonts w:asciiTheme="majorBidi" w:hAnsiTheme="majorBidi" w:cstheme="majorBidi"/>
          <w:szCs w:val="24"/>
          <w:rtl/>
        </w:rPr>
        <w:t xml:space="preserve"> </w:t>
      </w:r>
      <w:r w:rsidR="0079154F" w:rsidRPr="00CB6744">
        <w:rPr>
          <w:rFonts w:asciiTheme="majorBidi" w:hAnsiTheme="majorBidi" w:cstheme="majorBidi"/>
          <w:szCs w:val="24"/>
        </w:rPr>
        <w:t>However, the</w:t>
      </w:r>
      <w:r w:rsidR="00D23D82" w:rsidRPr="00CB6744">
        <w:rPr>
          <w:rFonts w:asciiTheme="majorBidi" w:hAnsiTheme="majorBidi" w:cstheme="majorBidi"/>
          <w:szCs w:val="24"/>
        </w:rPr>
        <w:t xml:space="preserve"> magnitude of differentially expressed genes </w:t>
      </w:r>
      <w:r w:rsidR="0079154F" w:rsidRPr="00CB6744">
        <w:rPr>
          <w:rFonts w:asciiTheme="majorBidi" w:hAnsiTheme="majorBidi" w:cstheme="majorBidi"/>
          <w:szCs w:val="24"/>
        </w:rPr>
        <w:t xml:space="preserve">we discovered </w:t>
      </w:r>
      <w:r w:rsidR="00D23D82" w:rsidRPr="00CB6744">
        <w:rPr>
          <w:rFonts w:asciiTheme="majorBidi" w:hAnsiTheme="majorBidi" w:cstheme="majorBidi"/>
          <w:szCs w:val="24"/>
        </w:rPr>
        <w:t xml:space="preserve">is in line with variations reported previously in leaves of T-DNA mutated </w:t>
      </w:r>
      <w:r w:rsidR="00D23D82" w:rsidRPr="00CB6744">
        <w:rPr>
          <w:rFonts w:asciiTheme="majorBidi" w:hAnsiTheme="majorBidi" w:cstheme="majorBidi"/>
          <w:i/>
          <w:iCs/>
          <w:szCs w:val="24"/>
        </w:rPr>
        <w:t>brm</w:t>
      </w:r>
      <w:r w:rsidR="00D23D82" w:rsidRPr="00CB6744">
        <w:rPr>
          <w:rFonts w:asciiTheme="majorBidi" w:hAnsiTheme="majorBidi" w:cstheme="majorBidi"/>
          <w:szCs w:val="24"/>
        </w:rPr>
        <w:t xml:space="preserve"> mutants </w:t>
      </w:r>
      <w:r w:rsidR="00D23D82"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{"citationItems":[{"id":"ITEM-1","itemData":{"DOI":"10.1007/s11103-006-9021-2","ISBN":"0167-4412","ISSN":"0167-4412","PMID":"16845477","abstract":"Arabidopsis thaliana BRAHMA (BRM, also called AtBRM) is a SNF2 family protein homolog of Brahma, the ATPase of the Drosophila SWI/SNF complex involved in chromatin remodeling during transcription. Here we show that, in contrast to its Drosophila counterpart, BRM is not an essential gene. Thus, homozygous BRM loss of function mutants are viable but exhibit numerous defects including dwarfism, altered leaf and root development and several reproduction defects. The analysis of the progeny of self-fertilized heterozygous brm plants and reciprocal crosses between heterozygous and wild type plants indicated that disruption of BRM reduced both male and female gametophyte transmission. This was consistent with the presence of aborted ovules in the self-fertilized heterozygous flowers that contained arrested embryos predominantly at the two terminal cells stage. Furthermore, brm homozygous mutants were completely sterile. Flowers of brm loss-of-function mutants have several developmental abnormalities, including homeotic transformations in the second and third floral whorls. In accordance with these results, brm mutants present reduced levels of APETALA2, APETALA3, PISTILLATA and NAC-LIKE, ACTIVATED BY AP3/PI. We have previously shown that BRM strongly interacts with AtSWI3C. Now we extend our interaction studies demonstrating that BRM interacts weakly with AtSWI3B but not with AtSWI3A or AtSWI3D. In agreement with these results, the phenotype described in this study for brm plants is very similar to that previously described for the AtSWI3C mutant plants, suggesting that both proteins participate in the same genetic pathway or form a molecular complex.","author":[{"dropping-particle":"","family":"Hurtado","given":"Lidia","non-dropping-particle":"","parse-names":false,"suffix":""},{"dropping-particle":"","family":"Farrona","given":"Sara","non-dropping-particle":"","parse-names":false,"suffix":""},{"dropping-particle":"","family":"Reyes","given":"Jose C.","non-dropping-particle":"","parse-names":false,"suffix":""}],"container-title":"Plant molecular biology","id":"ITEM-1","issue":"1-2","issued":{"date-parts":[["2006","9"]]},"page":"291-304","title":"The putative SWI/SNF complex subunit BRAHMA activates flower homeotic genes in Arabidopsis thaliana.","type":"article-journal","volume":"62"},"uris":["http://www.mendeley.com/documents/?uuid=52d40240-0b5b-361f-b6d0-6b5027da23c2"]}],"mendeley":{"formattedCitation":"[8]","plainTextFormattedCitation":"[8]","previouslyFormattedCitation":"[8]"},"properties":{"noteIndex":0},"schema":"https://github.com/citation-style-language/schema/raw/master/csl-citation.json"}</w:instrText>
      </w:r>
      <w:r w:rsidR="00D23D82" w:rsidRPr="00CB6744">
        <w:rPr>
          <w:rFonts w:asciiTheme="majorBidi" w:hAnsiTheme="majorBidi" w:cstheme="majorBidi"/>
          <w:szCs w:val="24"/>
        </w:rPr>
        <w:fldChar w:fldCharType="separate"/>
      </w:r>
      <w:r w:rsidR="002E23FE" w:rsidRPr="002E23FE">
        <w:rPr>
          <w:rFonts w:asciiTheme="majorBidi" w:hAnsiTheme="majorBidi" w:cstheme="majorBidi"/>
          <w:noProof/>
          <w:szCs w:val="24"/>
        </w:rPr>
        <w:t>[8]</w:t>
      </w:r>
      <w:r w:rsidR="00D23D82" w:rsidRPr="00CB6744">
        <w:rPr>
          <w:rFonts w:asciiTheme="majorBidi" w:hAnsiTheme="majorBidi" w:cstheme="majorBidi"/>
          <w:szCs w:val="24"/>
        </w:rPr>
        <w:fldChar w:fldCharType="end"/>
      </w:r>
      <w:r w:rsidR="00D23D82" w:rsidRPr="00CB6744">
        <w:rPr>
          <w:rFonts w:asciiTheme="majorBidi" w:hAnsiTheme="majorBidi" w:cstheme="majorBidi"/>
          <w:szCs w:val="24"/>
        </w:rPr>
        <w:t xml:space="preserve"> and leaves of </w:t>
      </w:r>
      <w:r w:rsidR="00D23D82" w:rsidRPr="00CB6744">
        <w:rPr>
          <w:rFonts w:asciiTheme="majorBidi" w:hAnsiTheme="majorBidi" w:cstheme="majorBidi"/>
          <w:i/>
          <w:iCs/>
          <w:szCs w:val="24"/>
        </w:rPr>
        <w:t xml:space="preserve">brm-5 </w:t>
      </w:r>
      <w:r w:rsidR="00D23D82" w:rsidRPr="00CB6744">
        <w:rPr>
          <w:rFonts w:asciiTheme="majorBidi" w:hAnsiTheme="majorBidi" w:cstheme="majorBidi"/>
          <w:szCs w:val="24"/>
        </w:rPr>
        <w:t>detected</w:t>
      </w:r>
      <w:r w:rsidR="00C25038">
        <w:rPr>
          <w:rFonts w:asciiTheme="majorBidi" w:hAnsiTheme="majorBidi" w:cstheme="majorBidi"/>
          <w:szCs w:val="24"/>
        </w:rPr>
        <w:t xml:space="preserve"> </w:t>
      </w:r>
      <w:r w:rsidR="00D23D82" w:rsidRPr="00CB6744">
        <w:rPr>
          <w:rFonts w:asciiTheme="majorBidi" w:hAnsiTheme="majorBidi" w:cstheme="majorBidi"/>
          <w:szCs w:val="24"/>
        </w:rPr>
        <w:t xml:space="preserve">by microarray of RNA extracted from 14 day old leaves of the </w:t>
      </w:r>
      <w:r w:rsidR="00D23D82" w:rsidRPr="00CB6744">
        <w:rPr>
          <w:rFonts w:asciiTheme="majorBidi" w:hAnsiTheme="majorBidi" w:cstheme="majorBidi"/>
          <w:i/>
          <w:iCs/>
          <w:szCs w:val="24"/>
        </w:rPr>
        <w:t>brm-5</w:t>
      </w:r>
      <w:r w:rsidR="00D23D82" w:rsidRPr="00CB6744">
        <w:rPr>
          <w:rFonts w:asciiTheme="majorBidi" w:hAnsiTheme="majorBidi" w:cstheme="majorBidi"/>
          <w:szCs w:val="24"/>
        </w:rPr>
        <w:t xml:space="preserve"> mutant vs a control of βCGpro:GUS transgene plant </w:t>
      </w:r>
      <w:r w:rsidR="00D23D82" w:rsidRPr="00CB6744">
        <w:rPr>
          <w:rFonts w:asciiTheme="majorBidi" w:hAnsiTheme="majorBidi" w:cstheme="majorBidi"/>
          <w:szCs w:val="24"/>
        </w:rPr>
        <w:fldChar w:fldCharType="begin" w:fldLock="1"/>
      </w:r>
      <w:r w:rsidR="00C242AA">
        <w:rPr>
          <w:rFonts w:asciiTheme="majorBidi" w:hAnsiTheme="majorBidi" w:cstheme="majorBidi"/>
          <w:szCs w:val="24"/>
        </w:rPr>
        <w:instrText>ADDIN CSL_CITATION {"citationItems":[{"id":"ITEM-1","itemData":{"DOI":"10.1104/pp.108.121996","ISBN":"0032-0889 (Print)\\r0032-0889 (Linking)","ISSN":"0032-0889","PMID":"18508955","abstract":"Synthesis and accumulation of seed storage proteins (SSPs) is an important aspect of the seed maturation program. Genes encoding SSPs are specifically and highly expressed in the seed during maturation. However, the mechanisms that repress the expression of these genes in leaf tissue are not well understood. To gain insight into the repression mechanisms, we performed a genetic screen for mutants that express SSPs in leaves. Here, we show that mutations affecting BRAHMA (BRM), a SNF2 chromatin-remodeling ATPase, cause ectopic expression of a subset of SSPs and other embryogenesis-related genes in leaf tissue. Consistent with the notion that such SNF2-like ATPases form protein complexes in vivo, we observed similar phenotypes for mutations of AtSWI3C, a BRM-interacting partner, and BSH, a SNF5 homolog and essential SWI/SNF subunit. Chromatin immunoprecipitation experiments show that BRM is recruited to the promoters of a number of embryogenesis genes in wild-type leaves, including the 2S genes, expressed in brm leaves. Consistent with its role in nucleosome remodeling, BRM appears to affect the chromatin structure of the At2S2 promoter. Thus, the BRM-containing chromatin-remodeling ATPase complex involved in many aspects of plant development mediates the repression of SSPs in leaf tissue.","author":[{"dropping-particle":"","family":"Tang","given":"Xurong","non-dropping-particle":"","parse-names":false,"suffix":""},{"dropping-particle":"","family":"Hou","given":"Anfu","non-dropping-particle":"","parse-names":false,"suffix":""},{"dropping-particle":"","family":"Babu","given":"Mohan","non-dropping-particle":"","parse-names":false,"suffix":""},{"dropping-particle":"","family":"Nguyen","given":"Vi","non-dropping-particle":"","parse-names":false,"suffix":""},{"dropping-particle":"","family":"Hurtado","given":"Lidia","non-dropping-particle":"","parse-names":false,"suffix":""},{"dropping-particle":"","family":"Lu","given":"Qing","non-dropping-particle":"","parse-names":false,"suffix":""},{"dropping-particle":"","family":"Reyes","given":"Jose C","non-dropping-particle":"","parse-names":false,"suffix":""},{"dropping-particle":"","family":"Wang","given":"Aiming","non-dropping-particle":"","parse-names":false,"suffix":""},{"dropping-particle":"","family":"Keller","given":"Wilfred A","non-dropping-particle":"","parse-names":false,"suffix":""},{"dropping-particle":"","family":"Harada","given":"John J","non-dropping-particle":"","parse-names":false,"suffix":""},{"dropping-particle":"","family":"Tsang","given":"Edward W T","non-dropping-particle":"","parse-names":false,"suffix":""},{"dropping-particle":"","family":"Cui","given":"Yuhai","non-dropping-particle":"","parse-names":false,"suffix":""}],"container-title":"Plant physiology","id":"ITEM-1","issue":"3","issued":{"date-parts":[["2008","7"]]},"page":"1143-1157","title":"The Arabidopsis BRAHMA chromatin-remodeling ATPase is involved in repression of seed maturation genes in leaves.","type":"article-journal","volume":"147"},"uris":["http://www.mendeley.com/documents/?uuid=67d30b69-ec5f-4686-98cb-d060c8448aa7"]}],"mendeley":{"formattedCitation":"[10]","plainTextFormattedCitation":"[10]","previouslyFormattedCitation":"[10]"},"properties":{"noteIndex":0},"schema":"https://github.com/citation-style-language/schema/raw/master/csl-citation.json"}</w:instrText>
      </w:r>
      <w:r w:rsidR="00D23D82" w:rsidRPr="00CB6744">
        <w:rPr>
          <w:rFonts w:asciiTheme="majorBidi" w:hAnsiTheme="majorBidi" w:cstheme="majorBidi"/>
          <w:szCs w:val="24"/>
        </w:rPr>
        <w:fldChar w:fldCharType="separate"/>
      </w:r>
      <w:r w:rsidR="002E23FE" w:rsidRPr="002E23FE">
        <w:rPr>
          <w:rFonts w:asciiTheme="majorBidi" w:hAnsiTheme="majorBidi" w:cstheme="majorBidi"/>
          <w:noProof/>
          <w:szCs w:val="24"/>
        </w:rPr>
        <w:t>[10]</w:t>
      </w:r>
      <w:r w:rsidR="00D23D82" w:rsidRPr="00CB6744">
        <w:rPr>
          <w:rFonts w:asciiTheme="majorBidi" w:hAnsiTheme="majorBidi" w:cstheme="majorBidi"/>
          <w:szCs w:val="24"/>
        </w:rPr>
        <w:fldChar w:fldCharType="end"/>
      </w:r>
      <w:r w:rsidR="00D23D82" w:rsidRPr="00CB6744">
        <w:rPr>
          <w:rFonts w:asciiTheme="majorBidi" w:hAnsiTheme="majorBidi" w:cstheme="majorBidi"/>
          <w:szCs w:val="24"/>
        </w:rPr>
        <w:t>. The overlap between the D</w:t>
      </w:r>
      <w:r w:rsidR="005C556A">
        <w:rPr>
          <w:rFonts w:asciiTheme="majorBidi" w:hAnsiTheme="majorBidi" w:cstheme="majorBidi"/>
          <w:szCs w:val="24"/>
        </w:rPr>
        <w:t>EGs in both datasets is low (3-</w:t>
      </w:r>
      <w:r w:rsidR="00D23D82" w:rsidRPr="00CB6744">
        <w:rPr>
          <w:rFonts w:asciiTheme="majorBidi" w:hAnsiTheme="majorBidi" w:cstheme="majorBidi"/>
          <w:szCs w:val="24"/>
        </w:rPr>
        <w:t xml:space="preserve">6% </w:t>
      </w:r>
      <w:r w:rsidR="005C556A">
        <w:rPr>
          <w:rFonts w:asciiTheme="majorBidi" w:hAnsiTheme="majorBidi" w:cstheme="majorBidi"/>
          <w:szCs w:val="24"/>
        </w:rPr>
        <w:t>overlap</w:t>
      </w:r>
      <w:r w:rsidR="00D23D82" w:rsidRPr="00CB6744">
        <w:rPr>
          <w:rFonts w:asciiTheme="majorBidi" w:hAnsiTheme="majorBidi" w:cstheme="majorBidi"/>
          <w:szCs w:val="24"/>
        </w:rPr>
        <w:t>), reflecting the distinct transcriptional program of the two organs.</w:t>
      </w:r>
      <w:r w:rsidR="00505557">
        <w:rPr>
          <w:rFonts w:asciiTheme="majorBidi" w:hAnsiTheme="majorBidi" w:cstheme="majorBidi"/>
          <w:szCs w:val="24"/>
        </w:rPr>
        <w:t xml:space="preserve"> </w:t>
      </w:r>
    </w:p>
    <w:p w14:paraId="4F9C8412" w14:textId="61AB8D20" w:rsidR="00117F4F" w:rsidRDefault="00260864" w:rsidP="00117F4F">
      <w:pPr>
        <w:rPr>
          <w:rFonts w:asciiTheme="majorBidi" w:hAnsiTheme="majorBidi" w:cstheme="majorBidi"/>
          <w:szCs w:val="24"/>
        </w:rPr>
      </w:pPr>
      <w:r>
        <w:rPr>
          <w:rFonts w:asciiTheme="majorBidi" w:hAnsiTheme="majorBidi" w:cstheme="majorBidi"/>
          <w:szCs w:val="24"/>
        </w:rPr>
        <w:t xml:space="preserve">Furthermore, </w:t>
      </w:r>
      <w:r w:rsidR="00117F4F">
        <w:rPr>
          <w:rFonts w:asciiTheme="majorBidi" w:hAnsiTheme="majorBidi" w:cstheme="majorBidi"/>
          <w:szCs w:val="24"/>
        </w:rPr>
        <w:t>meta-analysis of chromatin accessibility studies in Arabidopsis showed that</w:t>
      </w:r>
      <w:r w:rsidR="00117F4F">
        <w:rPr>
          <w:rFonts w:asciiTheme="majorBidi" w:hAnsiTheme="majorBidi" w:cstheme="majorBidi"/>
        </w:rPr>
        <w:t xml:space="preserve"> although environmental factors such as </w:t>
      </w:r>
      <w:r w:rsidR="00117F4F" w:rsidRPr="001D48CB">
        <w:rPr>
          <w:rFonts w:asciiTheme="majorBidi" w:hAnsiTheme="majorBidi" w:cstheme="majorBidi"/>
        </w:rPr>
        <w:t xml:space="preserve">heat stress and response to plant hormones </w:t>
      </w:r>
      <w:r w:rsidR="00117F4F">
        <w:rPr>
          <w:rFonts w:asciiTheme="majorBidi" w:hAnsiTheme="majorBidi" w:cstheme="majorBidi"/>
        </w:rPr>
        <w:t>(</w:t>
      </w:r>
      <w:r w:rsidR="00117F4F" w:rsidRPr="001D48CB">
        <w:rPr>
          <w:rFonts w:asciiTheme="majorBidi" w:hAnsiTheme="majorBidi" w:cstheme="majorBidi"/>
        </w:rPr>
        <w:t>auxin and brassinazole</w:t>
      </w:r>
      <w:r w:rsidR="00117F4F">
        <w:rPr>
          <w:rFonts w:asciiTheme="majorBidi" w:hAnsiTheme="majorBidi" w:cstheme="majorBidi"/>
        </w:rPr>
        <w:t>)</w:t>
      </w:r>
      <w:r w:rsidR="00117F4F" w:rsidRPr="001D48CB">
        <w:rPr>
          <w:rFonts w:asciiTheme="majorBidi" w:hAnsiTheme="majorBidi" w:cstheme="majorBidi"/>
        </w:rPr>
        <w:t xml:space="preserve"> cause a major change in expression</w:t>
      </w:r>
      <w:r w:rsidR="00117F4F">
        <w:rPr>
          <w:rFonts w:asciiTheme="majorBidi" w:hAnsiTheme="majorBidi" w:cstheme="majorBidi"/>
        </w:rPr>
        <w:t>,</w:t>
      </w:r>
      <w:r w:rsidR="00117F4F" w:rsidRPr="001D48CB">
        <w:rPr>
          <w:rFonts w:asciiTheme="majorBidi" w:hAnsiTheme="majorBidi" w:cstheme="majorBidi"/>
        </w:rPr>
        <w:t xml:space="preserve"> </w:t>
      </w:r>
      <w:r w:rsidR="00117F4F">
        <w:rPr>
          <w:rFonts w:asciiTheme="majorBidi" w:hAnsiTheme="majorBidi" w:cstheme="majorBidi"/>
        </w:rPr>
        <w:t xml:space="preserve">what causes a strong effect on chromatin accessibility is </w:t>
      </w:r>
      <w:r w:rsidR="00117F4F" w:rsidRPr="001D48CB">
        <w:rPr>
          <w:rFonts w:asciiTheme="majorBidi" w:hAnsiTheme="majorBidi" w:cstheme="majorBidi"/>
        </w:rPr>
        <w:t xml:space="preserve">cell linage and developmental </w:t>
      </w:r>
      <w:r w:rsidR="00117F4F">
        <w:rPr>
          <w:rFonts w:asciiTheme="majorBidi" w:hAnsiTheme="majorBidi" w:cstheme="majorBidi"/>
        </w:rPr>
        <w:t xml:space="preserve">stage </w:t>
      </w:r>
      <w:r w:rsidR="00117F4F" w:rsidRPr="001D48CB">
        <w:rPr>
          <w:rFonts w:asciiTheme="majorBidi" w:hAnsiTheme="majorBidi" w:cstheme="majorBidi"/>
        </w:rPr>
        <w:fldChar w:fldCharType="begin" w:fldLock="1"/>
      </w:r>
      <w:r w:rsidR="00C242AA">
        <w:rPr>
          <w:rFonts w:asciiTheme="majorBidi" w:hAnsiTheme="majorBidi" w:cstheme="majorBidi"/>
        </w:rPr>
        <w:instrText>ADDIN CSL_CITATION {"citationItems":[{"id":"ITEM-1","itemData":{"DOI":"10.3389/fpls.2019.01434","ISSN":"1664-462X","abstract":"The genome is reprogrammed during development to produce diverse cell types, largely through altered expression and activity of key transcription factors. The accessibility and critical functions of epidermal cells have made them a model for connecting transcriptional events to development in a range of model systems. In Arabidopsis thaliana and many other plants, fertilization triggers differentiation of specialized epidermal seed coat cells that have a unique morphology caused by large extracellular deposits of polysaccharides. Here, we used DNase I-seq to generate regulatory landscapes of A. thaliana seeds at two critical time points in seed coat maturation (4DPA and 7DPA), enriching for seed coat cells with the INTACT method. We found over 3000 developmentally dynamic regulatory DNA elements and explored their relationship with nearby gene expression. The dynamic regulatory elements were enriched for motifs for several transcription factors families; most notably the TCP family at the earlier time point and the MYB family at the later one. To assess the extent to which the observed regulatory sites in seeds added to previously known regulatory sites in A. thaliana, we compared our data to 11 other data sets generated with seven-day-old seedlings for diverse tissues and conditions. Surprisingly, over a quarter of the regulatory, i.e. accessible, bases observed in seeds were novel. Notably, plant regulatory landscapes from different tissues, cell types or developmental stages were more dynamic than those generated from bulk tissue in response to environmental perturbations, highlighting the importance of extending studies of regulatory DNA to single tissues and cell types during development.","author":[{"dropping-particle":"","family":"Sullivan","given":"Alessandra M.","non-dropping-particle":"","parse-names":false,"suffix":""},{"dropping-particle":"","family":"Arsovski","given":"Andrej A.","non-dropping-particle":"","parse-names":false,"suffix":""},{"dropping-particle":"","family":"Thompson","given":"Agnieszka","non-dropping-particle":"","parse-names":false,"suffix":""},{"dropping-particle":"","family":"Sandstrom","given":"Richard","non-dropping-particle":"","parse-names":false,"suffix":""},{"dropping-particle":"","family":"Thurman","given":"Robert E.","non-dropping-particle":"","parse-names":false,"suffix":""},{"dropping-particle":"","family":"Neph","given":"Shane","non-dropping-particle":"","parse-names":false,"suffix":""},{"dropping-particle":"","family":"Johnson","given":"Audra K.","non-dropping-particle":"","parse-names":false,"suffix":""},{"dropping-particle":"","family":"Sullivan","given":"Shawn T.","non-dropping-particle":"","parse-names":false,"suffix":""},{"dropping-particle":"","family":"Sabo","given":"Peter J.","non-dropping-particle":"","parse-names":false,"suffix":""},{"dropping-particle":"V.","family":"Neri","given":"Fidencio","non-dropping-particle":"","parse-names":false,"suffix":""},{"dropping-particle":"","family":"Weaver","given":"Molly","non-dropping-particle":"","parse-names":false,"suffix":""},{"dropping-particle":"","family":"Diegel","given":"Morgan","non-dropping-particle":"","parse-names":false,"suffix":""},{"dropping-particle":"","family":"Nemhauser","given":"Jennifer L.","non-dropping-particle":"","parse-names":false,"suffix":""},{"dropping-particle":"","family":"Stamatoyannopoulos","given":"John A.","non-dropping-particle":"","parse-names":false,"suffix":""},{"dropping-particle":"","family":"Bubb","given":"Kerry L.","non-dropping-particle":"","parse-names":false,"suffix":""},{"dropping-particle":"","family":"Queitsch","given":"Christine","non-dropping-particle":"","parse-names":false,"suffix":""}],"container-title":"Frontiers in Plant Science","id":"ITEM-1","issued":{"date-parts":[["2019","11","14"]]},"page":"1434","publisher":"Frontiers","title":"Mapping and Dynamics of Regulatory DNA in Maturing Arabidopsis thaliana Siliques","type":"article-journal","volume":"10"},"uris":["http://www.mendeley.com/documents/?uuid=e107b88a-769a-362c-9245-d712acb0631a"]}],"mendeley":{"formattedCitation":"[51]","plainTextFormattedCitation":"[51]","previouslyFormattedCitation":"[51]"},"properties":{"noteIndex":0},"schema":"https://github.com/citation-style-language/schema/raw/master/csl-citation.json"}</w:instrText>
      </w:r>
      <w:r w:rsidR="00117F4F" w:rsidRPr="001D48CB">
        <w:rPr>
          <w:rFonts w:asciiTheme="majorBidi" w:hAnsiTheme="majorBidi" w:cstheme="majorBidi"/>
        </w:rPr>
        <w:fldChar w:fldCharType="separate"/>
      </w:r>
      <w:r w:rsidR="002E23FE" w:rsidRPr="002E23FE">
        <w:rPr>
          <w:rFonts w:asciiTheme="majorBidi" w:hAnsiTheme="majorBidi" w:cstheme="majorBidi"/>
          <w:noProof/>
        </w:rPr>
        <w:t>[51]</w:t>
      </w:r>
      <w:r w:rsidR="00117F4F" w:rsidRPr="001D48CB">
        <w:rPr>
          <w:rFonts w:asciiTheme="majorBidi" w:hAnsiTheme="majorBidi" w:cstheme="majorBidi"/>
        </w:rPr>
        <w:fldChar w:fldCharType="end"/>
      </w:r>
      <w:r w:rsidR="00117F4F">
        <w:rPr>
          <w:rFonts w:asciiTheme="majorBidi" w:hAnsiTheme="majorBidi" w:cstheme="majorBidi"/>
        </w:rPr>
        <w:t>. Moreover, a model predicting condition specific regulatory genes using machine learning found that the use of chromatin accessibility data</w:t>
      </w:r>
      <w:r w:rsidR="00117F4F" w:rsidRPr="00260864">
        <w:rPr>
          <w:rFonts w:asciiTheme="majorBidi" w:hAnsiTheme="majorBidi" w:cstheme="majorBidi"/>
        </w:rPr>
        <w:t xml:space="preserve"> </w:t>
      </w:r>
      <w:r w:rsidR="00117F4F">
        <w:rPr>
          <w:rFonts w:asciiTheme="majorBidi" w:hAnsiTheme="majorBidi" w:cstheme="majorBidi"/>
        </w:rPr>
        <w:t xml:space="preserve">significantly improved its performance regardless of the experimental conditions </w:t>
      </w:r>
      <w:r w:rsidR="00117F4F">
        <w:rPr>
          <w:rFonts w:asciiTheme="majorBidi" w:hAnsiTheme="majorBidi" w:cstheme="majorBidi"/>
        </w:rPr>
        <w:fldChar w:fldCharType="begin" w:fldLock="1"/>
      </w:r>
      <w:r w:rsidR="00C242AA">
        <w:rPr>
          <w:rFonts w:asciiTheme="majorBidi" w:hAnsiTheme="majorBidi" w:cstheme="majorBidi"/>
        </w:rPr>
        <w:instrText>ADDIN CSL_CITATION {"citationItems":[{"id":"ITEM-1","itemData":{"DOI":"10.1093/nar/gkaa264","ISSN":"0305-1048","abstract":"Recent advances in genomic technologies have generated data on large-scale protein–DNA interactions and open chromatin regions for many eukaryotic species. How to identify condition-specific functions of transcription factors using these data has become a major challenge in genomic research. To solve this problem, we have developed a method called ConSReg, which provides a novel approach to integrate regulatory genomic data into predictive machine learning models of key regulatory genes. Using Arabidopsis as a model system, we tested our approach to identify regulatory genes in data sets from single cell gene expression and from abiotic stress treatments. Our results showed that ConSReg accurately predicted transcription factors that regulate differentially expressed genes with an average auROC of 0.84, which is 23.5–25% better than enrichment-based approaches. To further validate the performance of ConSReg, we analyzed an independent data set related to plant nitrogen responses. ConSReg provided better rankings of the correct transcription factors in 61.7% of cases, which is three times better than other plant tools. We applied ConSReg to Arabidopsis single cell RNA-seq data, successfully identifying candidate regulatory genes that control cell wall formation. Our methods provide a new approach to define candidate regulatory genes using integrated genomic data in plants.","author":[{"dropping-particle":"","family":"Song","given":"Qi","non-dropping-particle":"","parse-names":false,"suffix":""},{"dropping-particle":"","family":"Lee","given":"Jiyoung","non-dropping-particle":"","parse-names":false,"suffix":""},{"dropping-particle":"","family":"Akter","given":"Shamima","non-dropping-particle":"","parse-names":false,"suffix":""},{"dropping-particle":"","family":"Rogers","given":"Matthew","non-dropping-particle":"","parse-names":false,"suffix":""},{"dropping-particle":"","family":"Grene","given":"Ruth","non-dropping-particle":"","parse-names":false,"suffix":""},{"dropping-particle":"","family":"Li","given":"Song","non-dropping-particle":"","parse-names":false,"suffix":""}],"container-title":"Nucleic Acids Research","id":"ITEM-1","issue":"11","issued":{"date-parts":[["2020","6","19"]]},"page":"e62-e62","title":"Prediction of condition-specific regulatory genes using machine learning","type":"article-journal","volume":"48"},"uris":["http://www.mendeley.com/documents/?uuid=323eb445-6ff0-4f4e-a318-f0b4c601452b"]}],"mendeley":{"formattedCitation":"[52]","plainTextFormattedCitation":"[52]","previouslyFormattedCitation":"[52]"},"properties":{"noteIndex":0},"schema":"https://github.com/citation-style-language/schema/raw/master/csl-citation.json"}</w:instrText>
      </w:r>
      <w:r w:rsidR="00117F4F">
        <w:rPr>
          <w:rFonts w:asciiTheme="majorBidi" w:hAnsiTheme="majorBidi" w:cstheme="majorBidi"/>
        </w:rPr>
        <w:fldChar w:fldCharType="separate"/>
      </w:r>
      <w:r w:rsidR="002E23FE" w:rsidRPr="002E23FE">
        <w:rPr>
          <w:rFonts w:asciiTheme="majorBidi" w:hAnsiTheme="majorBidi" w:cstheme="majorBidi"/>
          <w:noProof/>
        </w:rPr>
        <w:t>[52]</w:t>
      </w:r>
      <w:r w:rsidR="00117F4F">
        <w:rPr>
          <w:rFonts w:asciiTheme="majorBidi" w:hAnsiTheme="majorBidi" w:cstheme="majorBidi"/>
        </w:rPr>
        <w:fldChar w:fldCharType="end"/>
      </w:r>
      <w:r w:rsidR="00117F4F">
        <w:rPr>
          <w:rFonts w:asciiTheme="majorBidi" w:hAnsiTheme="majorBidi" w:cstheme="majorBidi"/>
        </w:rPr>
        <w:t>. These notions support</w:t>
      </w:r>
      <w:r w:rsidR="00117F4F" w:rsidRPr="001D48CB">
        <w:rPr>
          <w:rFonts w:asciiTheme="majorBidi" w:hAnsiTheme="majorBidi" w:cstheme="majorBidi"/>
        </w:rPr>
        <w:t xml:space="preserve"> a </w:t>
      </w:r>
      <w:r w:rsidR="00117F4F">
        <w:rPr>
          <w:rFonts w:asciiTheme="majorBidi" w:hAnsiTheme="majorBidi" w:cstheme="majorBidi"/>
        </w:rPr>
        <w:t xml:space="preserve">non-dynamic cell- type and stage specific </w:t>
      </w:r>
      <w:r w:rsidR="00117F4F" w:rsidRPr="001D48CB">
        <w:rPr>
          <w:rFonts w:asciiTheme="majorBidi" w:hAnsiTheme="majorBidi" w:cstheme="majorBidi"/>
        </w:rPr>
        <w:t>transcription-poised state</w:t>
      </w:r>
      <w:r w:rsidR="00117F4F">
        <w:rPr>
          <w:rFonts w:asciiTheme="majorBidi" w:hAnsiTheme="majorBidi" w:cstheme="majorBidi"/>
        </w:rPr>
        <w:t>, in which genes remain accessible despite expression status</w:t>
      </w:r>
      <w:r w:rsidR="00117F4F" w:rsidRPr="001D48CB">
        <w:rPr>
          <w:rFonts w:asciiTheme="majorBidi" w:hAnsiTheme="majorBidi" w:cstheme="majorBidi"/>
        </w:rPr>
        <w:t xml:space="preserve"> </w:t>
      </w:r>
      <w:r w:rsidR="00117F4F" w:rsidRPr="001D48CB">
        <w:rPr>
          <w:rFonts w:asciiTheme="majorBidi" w:hAnsiTheme="majorBidi" w:cstheme="majorBidi"/>
        </w:rPr>
        <w:fldChar w:fldCharType="begin" w:fldLock="1"/>
      </w:r>
      <w:r w:rsidR="00C242AA">
        <w:rPr>
          <w:rFonts w:asciiTheme="majorBidi" w:hAnsiTheme="majorBidi" w:cstheme="majorBidi"/>
        </w:rPr>
        <w:instrText>ADDIN CSL_CITATION {"citationItems":[{"id":"ITEM-1","itemData":{"DOI":"10.3389/fpls.2019.01434","ISSN":"1664-462X","abstract":"The genome is reprogrammed during development to produce diverse cell types, largely through altered expression and activity of key transcription factors. The accessibility and critical functions of epidermal cells have made them a model for connecting transcriptional events to development in a range of model systems. In Arabidopsis thaliana and many other plants, fertilization triggers differentiation of specialized epidermal seed coat cells that have a unique morphology caused by large extracellular deposits of polysaccharides. Here, we used DNase I-seq to generate regulatory landscapes of A. thaliana seeds at two critical time points in seed coat maturation (4DPA and 7DPA), enriching for seed coat cells with the INTACT method. We found over 3000 developmentally dynamic regulatory DNA elements and explored their relationship with nearby gene expression. The dynamic regulatory elements were enriched for motifs for several transcription factors families; most notably the TCP family at the earlier time point and the MYB family at the later one. To assess the extent to which the observed regulatory sites in seeds added to previously known regulatory sites in A. thaliana, we compared our data to 11 other data sets generated with seven-day-old seedlings for diverse tissues and conditions. Surprisingly, over a quarter of the regulatory, i.e. accessible, bases observed in seeds were novel. Notably, plant regulatory landscapes from different tissues, cell types or developmental stages were more dynamic than those generated from bulk tissue in response to environmental perturbations, highlighting the importance of extending studies of regulatory DNA to single tissues and cell types during development.","author":[{"dropping-particle":"","family":"Sullivan","given":"Alessandra M.","non-dropping-particle":"","parse-names":false,"suffix":""},{"dropping-particle":"","family":"Arsovski","given":"Andrej A.","non-dropping-particle":"","parse-names":false,"suffix":""},{"dropping-particle":"","family":"Thompson","given":"Agnieszka","non-dropping-particle":"","parse-names":false,"suffix":""},{"dropping-particle":"","family":"Sandstrom","given":"Richard","non-dropping-particle":"","parse-names":false,"suffix":""},{"dropping-particle":"","family":"Thurman","given":"Robert E.","non-dropping-particle":"","parse-names":false,"suffix":""},{"dropping-particle":"","family":"Neph","given":"Shane","non-dropping-particle":"","parse-names":false,"suffix":""},{"dropping-particle":"","family":"Johnson","given":"Audra K.","non-dropping-particle":"","parse-names":false,"suffix":""},{"dropping-particle":"","family":"Sullivan","given":"Shawn T.","non-dropping-particle":"","parse-names":false,"suffix":""},{"dropping-particle":"","family":"Sabo","given":"Peter J.","non-dropping-particle":"","parse-names":false,"suffix":""},{"dropping-particle":"V.","family":"Neri","given":"Fidencio","non-dropping-particle":"","parse-names":false,"suffix":""},{"dropping-particle":"","family":"Weaver","given":"Molly","non-dropping-particle":"","parse-names":false,"suffix":""},{"dropping-particle":"","family":"Diegel","given":"Morgan","non-dropping-particle":"","parse-names":false,"suffix":""},{"dropping-particle":"","family":"Nemhauser","given":"Jennifer L.","non-dropping-particle":"","parse-names":false,"suffix":""},{"dropping-particle":"","family":"Stamatoyannopoulos","given":"John A.","non-dropping-particle":"","parse-names":false,"suffix":""},{"dropping-particle":"","family":"Bubb","given":"Kerry L.","non-dropping-particle":"","parse-names":false,"suffix":""},{"dropping-particle":"","family":"Queitsch","given":"Christine","non-dropping-particle":"","parse-names":false,"suffix":""}],"container-title":"Frontiers in Plant Science","id":"ITEM-1","issued":{"date-parts":[["2019","11","14"]]},"page":"1434","publisher":"Frontiers","title":"Mapping and Dynamics of Regulatory DNA in Maturing Arabidopsis thaliana Siliques","type":"article-journal","volume":"10"},"uris":["http://www.mendeley.com/documents/?uuid=e107b88a-769a-362c-9245-d712acb0631a"]}],"mendeley":{"formattedCitation":"[51]","plainTextFormattedCitation":"[51]","previouslyFormattedCitation":"[51]"},"properties":{"noteIndex":0},"schema":"https://github.com/citation-style-language/schema/raw/master/csl-citation.json"}</w:instrText>
      </w:r>
      <w:r w:rsidR="00117F4F" w:rsidRPr="001D48CB">
        <w:rPr>
          <w:rFonts w:asciiTheme="majorBidi" w:hAnsiTheme="majorBidi" w:cstheme="majorBidi"/>
        </w:rPr>
        <w:fldChar w:fldCharType="separate"/>
      </w:r>
      <w:r w:rsidR="002E23FE" w:rsidRPr="002E23FE">
        <w:rPr>
          <w:rFonts w:asciiTheme="majorBidi" w:hAnsiTheme="majorBidi" w:cstheme="majorBidi"/>
          <w:noProof/>
        </w:rPr>
        <w:t>[51]</w:t>
      </w:r>
      <w:r w:rsidR="00117F4F" w:rsidRPr="001D48CB">
        <w:rPr>
          <w:rFonts w:asciiTheme="majorBidi" w:hAnsiTheme="majorBidi" w:cstheme="majorBidi"/>
        </w:rPr>
        <w:fldChar w:fldCharType="end"/>
      </w:r>
      <w:r w:rsidR="00117F4F" w:rsidRPr="001D48CB">
        <w:rPr>
          <w:rFonts w:asciiTheme="majorBidi" w:hAnsiTheme="majorBidi" w:cstheme="majorBidi"/>
        </w:rPr>
        <w:t>.</w:t>
      </w:r>
    </w:p>
    <w:p w14:paraId="428387DF" w14:textId="2596FB3C" w:rsidR="00065247" w:rsidRDefault="00260864" w:rsidP="007856F1">
      <w:pPr>
        <w:rPr>
          <w:rFonts w:asciiTheme="majorBidi" w:hAnsiTheme="majorBidi" w:cstheme="majorBidi"/>
          <w:szCs w:val="24"/>
        </w:rPr>
      </w:pPr>
      <w:r>
        <w:rPr>
          <w:rFonts w:asciiTheme="majorBidi" w:hAnsiTheme="majorBidi" w:cstheme="majorBidi"/>
          <w:szCs w:val="24"/>
        </w:rPr>
        <w:t>Albeit, t</w:t>
      </w:r>
      <w:r w:rsidR="000134F1" w:rsidRPr="00CB6744">
        <w:rPr>
          <w:rFonts w:asciiTheme="majorBidi" w:hAnsiTheme="majorBidi" w:cstheme="majorBidi"/>
          <w:szCs w:val="24"/>
        </w:rPr>
        <w:t>his suggests that the dTHSs uncovered represent the most dominant regions regulated by BRM, particularly those located in the two clusters on chr 1 and chr 5. Indeed, these loci</w:t>
      </w:r>
      <w:r w:rsidR="002C25E8" w:rsidRPr="00CB6744">
        <w:rPr>
          <w:rFonts w:asciiTheme="majorBidi" w:hAnsiTheme="majorBidi" w:cstheme="majorBidi"/>
          <w:szCs w:val="24"/>
        </w:rPr>
        <w:t xml:space="preserve"> were used in other studies as loci to test BRM effect </w:t>
      </w:r>
      <w:r w:rsidR="002C25E8" w:rsidRPr="00CB6744">
        <w:rPr>
          <w:rFonts w:asciiTheme="majorBidi" w:hAnsiTheme="majorBidi" w:cstheme="majorBidi"/>
          <w:szCs w:val="24"/>
        </w:rPr>
        <w:fldChar w:fldCharType="begin" w:fldLock="1"/>
      </w:r>
      <w:r w:rsidR="00AB1145">
        <w:rPr>
          <w:rFonts w:asciiTheme="majorBidi" w:hAnsiTheme="majorBidi" w:cstheme="majorBidi"/>
          <w:szCs w:val="24"/>
        </w:rPr>
        <w:instrText>ADDIN CSL_CITATION {"citationItems":[{"id":"ITEM-1","itemData":{"DOI":"10.1016/j.molcel.2012.11.011","ISSN":"10972765","PMID":"23246435","abstract":"RNA-mediated transcriptional silencing prevents deleterious effects of transposon activity and controls the expression of protein-coding genes. It involves long noncoding RNAs (lncRNAs). In Arabidopsis thaliana, some of those lncRNAs are produced by a specialized RNA Polymerase V (Pol V). The mechanism by which lncRNAs affect chromatin structure and mRNA production remains mostly unknown. Here we identify the SWI/SNF ATP-dependent nucleosome-remodeling complex as a component of the RNA-mediated transcriptional silencing pathway. We found that SWI3B, an essential subunit of the SWI/SNF complex, physically interacts with a lncRNA-binding protein, IDN2. SWI/SNF subunits contribute to lncRNA-mediated transcriptional silencing. Moreover, Pol V mediates stabilization of nucleosomes on silenced regions. We propose that Pol V-produced lncRNAs mediate transcriptional silencing by guiding the SWI/SNF complex and establishing positioned nucleosomes on specific genomic loci. We further propose that guiding ATP-dependent chromatin-remodeling complexes may be a more general function of lncRNAs. © 2013 Elsevier Inc.","author":[{"dropping-particle":"","family":"Zhu","given":"Yongyou","non-dropping-particle":"","parse-names":false,"suffix":""},{"dropping-particle":"","family":"Rowley","given":"M. Jordan","non-dropping-particle":"","parse-names":false,"suffix":""},{"dropping-particle":"","family":"Böhmdorfer","given":"Gudrun","non-dropping-particle":"","parse-names":false,"suffix":""},{"dropping-particle":"","family":"Wierzbicki","given":"Andrzej T.","non-dropping-particle":"","parse-names":false,"suffix":""}],"container-title":"Molecular Cell","id":"ITEM-1","issue":"2","issued":{"date-parts":[["2013","1","24"]]},"page":"298-309","publisher":"Cell Press","title":"A SWI/SNF Chromatin-Remodeling Complex Acts in Noncoding RNA-Mediated Transcriptional Silencing","type":"article-journal","volume":"49"},"uris":["http://www.mendeley.com/documents/?uuid=196164c1-0618-49f1-8726-595be557aec0"]}],"mendeley":{"formattedCitation":"[28]","plainTextFormattedCitation":"[28]","previouslyFormattedCitation":"[28]"},"properties":{"noteIndex":0},"schema":"https://github.com/citation-style-language/schema/raw/master/csl-citation.json"}</w:instrText>
      </w:r>
      <w:r w:rsidR="002C25E8" w:rsidRPr="00CB6744">
        <w:rPr>
          <w:rFonts w:asciiTheme="majorBidi" w:hAnsiTheme="majorBidi" w:cstheme="majorBidi"/>
          <w:szCs w:val="24"/>
        </w:rPr>
        <w:fldChar w:fldCharType="separate"/>
      </w:r>
      <w:r w:rsidR="00AB1145" w:rsidRPr="00AB1145">
        <w:rPr>
          <w:rFonts w:asciiTheme="majorBidi" w:hAnsiTheme="majorBidi" w:cstheme="majorBidi"/>
          <w:noProof/>
          <w:szCs w:val="24"/>
        </w:rPr>
        <w:t>[28]</w:t>
      </w:r>
      <w:r w:rsidR="002C25E8" w:rsidRPr="00CB6744">
        <w:rPr>
          <w:rFonts w:asciiTheme="majorBidi" w:hAnsiTheme="majorBidi" w:cstheme="majorBidi"/>
          <w:szCs w:val="24"/>
        </w:rPr>
        <w:fldChar w:fldCharType="end"/>
      </w:r>
      <w:r w:rsidR="002C25E8" w:rsidRPr="00CB6744">
        <w:rPr>
          <w:rFonts w:asciiTheme="majorBidi" w:hAnsiTheme="majorBidi" w:cstheme="majorBidi"/>
          <w:szCs w:val="24"/>
        </w:rPr>
        <w:t>.</w:t>
      </w:r>
      <w:r w:rsidR="000134F1" w:rsidRPr="00CB6744">
        <w:rPr>
          <w:rFonts w:asciiTheme="majorBidi" w:hAnsiTheme="majorBidi" w:cstheme="majorBidi"/>
          <w:szCs w:val="24"/>
        </w:rPr>
        <w:t xml:space="preserve"> </w:t>
      </w:r>
      <w:r>
        <w:rPr>
          <w:rFonts w:asciiTheme="majorBidi" w:hAnsiTheme="majorBidi" w:cstheme="majorBidi"/>
          <w:szCs w:val="24"/>
        </w:rPr>
        <w:t xml:space="preserve">We demonstrated the </w:t>
      </w:r>
      <w:r w:rsidR="004367C3" w:rsidRPr="00C40001">
        <w:rPr>
          <w:rFonts w:asciiTheme="majorBidi" w:hAnsiTheme="majorBidi" w:cstheme="majorBidi"/>
          <w:i/>
          <w:iCs/>
          <w:szCs w:val="24"/>
        </w:rPr>
        <w:t>brm</w:t>
      </w:r>
      <w:r w:rsidR="004367C3">
        <w:rPr>
          <w:rFonts w:asciiTheme="majorBidi" w:hAnsiTheme="majorBidi" w:cstheme="majorBidi"/>
          <w:szCs w:val="24"/>
        </w:rPr>
        <w:t xml:space="preserve">-specific </w:t>
      </w:r>
      <w:r>
        <w:rPr>
          <w:rFonts w:asciiTheme="majorBidi" w:hAnsiTheme="majorBidi" w:cstheme="majorBidi"/>
          <w:szCs w:val="24"/>
        </w:rPr>
        <w:t xml:space="preserve">regulatory </w:t>
      </w:r>
      <w:r>
        <w:rPr>
          <w:rFonts w:asciiTheme="majorBidi" w:hAnsiTheme="majorBidi" w:cstheme="majorBidi"/>
          <w:szCs w:val="24"/>
        </w:rPr>
        <w:lastRenderedPageBreak/>
        <w:t xml:space="preserve">capacity of these regions, hence </w:t>
      </w:r>
      <w:r w:rsidR="004C2B73">
        <w:rPr>
          <w:rFonts w:asciiTheme="majorBidi" w:hAnsiTheme="majorBidi" w:cstheme="majorBidi"/>
          <w:szCs w:val="24"/>
        </w:rPr>
        <w:t>w</w:t>
      </w:r>
      <w:r w:rsidR="00505557">
        <w:rPr>
          <w:rFonts w:asciiTheme="majorBidi" w:hAnsiTheme="majorBidi" w:cstheme="majorBidi"/>
          <w:szCs w:val="24"/>
        </w:rPr>
        <w:t>e conclude that the BRAHMA CHR plays a negative role in preventing specific TE accessibility and expression.</w:t>
      </w:r>
    </w:p>
    <w:p w14:paraId="1ABDED93" w14:textId="77777777" w:rsidR="00846EB2" w:rsidRPr="00846EB2" w:rsidRDefault="00846EB2" w:rsidP="00846EB2">
      <w:pPr>
        <w:rPr>
          <w:rFonts w:asciiTheme="majorBidi" w:hAnsiTheme="majorBidi" w:cstheme="majorBidi"/>
          <w:b/>
          <w:bCs/>
          <w:szCs w:val="24"/>
        </w:rPr>
      </w:pPr>
      <w:r w:rsidRPr="00846EB2">
        <w:rPr>
          <w:rFonts w:asciiTheme="majorBidi" w:hAnsiTheme="majorBidi" w:cstheme="majorBidi"/>
          <w:b/>
          <w:bCs/>
          <w:szCs w:val="24"/>
        </w:rPr>
        <w:t>Declaration of interests</w:t>
      </w:r>
    </w:p>
    <w:p w14:paraId="746F7546" w14:textId="715E4770" w:rsidR="00846EB2" w:rsidRDefault="00846EB2" w:rsidP="00846EB2">
      <w:pPr>
        <w:rPr>
          <w:rFonts w:asciiTheme="majorBidi" w:hAnsiTheme="majorBidi" w:cstheme="majorBidi"/>
          <w:szCs w:val="24"/>
        </w:rPr>
      </w:pPr>
      <w:r w:rsidRPr="00846EB2">
        <w:rPr>
          <w:rFonts w:asciiTheme="majorBidi" w:hAnsiTheme="majorBidi" w:cstheme="majorBidi"/>
          <w:szCs w:val="24"/>
        </w:rPr>
        <w:t>The authors declare that they have no known competing financial interests or personal relationships that could have appeared to influence the work reported in this paper.</w:t>
      </w:r>
    </w:p>
    <w:p w14:paraId="48E79474" w14:textId="2C61D2C5" w:rsidR="00F16B0D" w:rsidRDefault="00F16B0D" w:rsidP="00846EB2">
      <w:pPr>
        <w:rPr>
          <w:rFonts w:asciiTheme="majorBidi" w:hAnsiTheme="majorBidi" w:cstheme="majorBidi"/>
          <w:b/>
          <w:bCs/>
          <w:szCs w:val="24"/>
        </w:rPr>
      </w:pPr>
      <w:r w:rsidRPr="00657D30">
        <w:rPr>
          <w:rFonts w:asciiTheme="majorBidi" w:hAnsiTheme="majorBidi" w:cstheme="majorBidi"/>
          <w:b/>
          <w:bCs/>
          <w:szCs w:val="24"/>
        </w:rPr>
        <w:t>Acknowledgements</w:t>
      </w:r>
    </w:p>
    <w:p w14:paraId="3FDFA00A" w14:textId="7D68872F" w:rsidR="00657D30" w:rsidRPr="00657D30" w:rsidRDefault="00657D30" w:rsidP="00657D30">
      <w:pPr>
        <w:rPr>
          <w:rFonts w:asciiTheme="majorBidi" w:hAnsiTheme="majorBidi" w:cstheme="majorBidi"/>
          <w:szCs w:val="24"/>
        </w:rPr>
      </w:pPr>
      <w:r>
        <w:rPr>
          <w:rFonts w:asciiTheme="majorBidi" w:hAnsiTheme="majorBidi" w:cstheme="majorBidi"/>
          <w:szCs w:val="24"/>
        </w:rPr>
        <w:t>We thank</w:t>
      </w:r>
      <w:r>
        <w:rPr>
          <w:rFonts w:asciiTheme="majorBidi" w:hAnsiTheme="majorBidi" w:cstheme="majorBidi"/>
          <w:szCs w:val="24"/>
        </w:rPr>
        <w:t xml:space="preserve"> Avi Jacob</w:t>
      </w:r>
      <w:r>
        <w:rPr>
          <w:rFonts w:asciiTheme="majorBidi" w:hAnsiTheme="majorBidi" w:cstheme="majorBidi"/>
          <w:szCs w:val="24"/>
        </w:rPr>
        <w:t xml:space="preserve"> </w:t>
      </w:r>
      <w:r>
        <w:rPr>
          <w:rFonts w:asciiTheme="majorBidi" w:hAnsiTheme="majorBidi" w:cstheme="majorBidi"/>
          <w:szCs w:val="24"/>
        </w:rPr>
        <w:t>of the BIU</w:t>
      </w:r>
      <w:r w:rsidRPr="00657D30">
        <w:t xml:space="preserve"> </w:t>
      </w:r>
      <w:r>
        <w:t>l</w:t>
      </w:r>
      <w:r>
        <w:rPr>
          <w:rFonts w:asciiTheme="majorBidi" w:hAnsiTheme="majorBidi" w:cstheme="majorBidi"/>
          <w:szCs w:val="24"/>
        </w:rPr>
        <w:t>ight m</w:t>
      </w:r>
      <w:r w:rsidRPr="00657D30">
        <w:rPr>
          <w:rFonts w:asciiTheme="majorBidi" w:hAnsiTheme="majorBidi" w:cstheme="majorBidi"/>
          <w:szCs w:val="24"/>
        </w:rPr>
        <w:t xml:space="preserve">icroscopy </w:t>
      </w:r>
      <w:r>
        <w:rPr>
          <w:rFonts w:asciiTheme="majorBidi" w:hAnsiTheme="majorBidi" w:cstheme="majorBidi"/>
          <w:szCs w:val="24"/>
        </w:rPr>
        <w:t>u</w:t>
      </w:r>
      <w:r w:rsidRPr="00657D30">
        <w:rPr>
          <w:rFonts w:asciiTheme="majorBidi" w:hAnsiTheme="majorBidi" w:cstheme="majorBidi"/>
          <w:szCs w:val="24"/>
        </w:rPr>
        <w:t>nit</w:t>
      </w:r>
      <w:r>
        <w:rPr>
          <w:rFonts w:asciiTheme="majorBidi" w:hAnsiTheme="majorBidi" w:cstheme="majorBidi"/>
          <w:szCs w:val="24"/>
        </w:rPr>
        <w:t xml:space="preserve"> for helping with the reporter assay. We thank </w:t>
      </w:r>
      <w:r w:rsidRPr="00657D30">
        <w:rPr>
          <w:rFonts w:asciiTheme="majorBidi" w:hAnsiTheme="majorBidi" w:cstheme="majorBidi"/>
          <w:szCs w:val="24"/>
        </w:rPr>
        <w:t>Jennifer I. C. Benichou</w:t>
      </w:r>
      <w:r>
        <w:rPr>
          <w:rFonts w:asciiTheme="majorBidi" w:hAnsiTheme="majorBidi" w:cstheme="majorBidi"/>
          <w:szCs w:val="24"/>
        </w:rPr>
        <w:t xml:space="preserve"> of the BIU statistics unit</w:t>
      </w:r>
      <w:r>
        <w:rPr>
          <w:rFonts w:asciiTheme="majorBidi" w:hAnsiTheme="majorBidi" w:cstheme="majorBidi"/>
          <w:szCs w:val="24"/>
        </w:rPr>
        <w:t xml:space="preserve"> for assisting with the statistical </w:t>
      </w:r>
      <w:r>
        <w:rPr>
          <w:rFonts w:asciiTheme="majorBidi" w:hAnsiTheme="majorBidi" w:cstheme="majorBidi"/>
          <w:szCs w:val="24"/>
        </w:rPr>
        <w:t>analysis.</w:t>
      </w:r>
      <w:r w:rsidRPr="00657D30">
        <w:rPr>
          <w:rFonts w:asciiTheme="majorBidi" w:hAnsiTheme="majorBidi" w:cstheme="majorBidi"/>
          <w:szCs w:val="24"/>
        </w:rPr>
        <w:t xml:space="preserve"> We thank Orly Yaron and Sarit Lampert of the BIU sequencing facility for helping with Illumina sequencing.</w:t>
      </w:r>
      <w:r>
        <w:rPr>
          <w:rFonts w:asciiTheme="majorBidi" w:hAnsiTheme="majorBidi" w:cstheme="majorBidi"/>
          <w:szCs w:val="24"/>
        </w:rPr>
        <w:t xml:space="preserve"> </w:t>
      </w:r>
    </w:p>
    <w:p w14:paraId="1A491F06" w14:textId="6D46613D" w:rsidR="00657D30" w:rsidRPr="00657D30" w:rsidRDefault="00657D30" w:rsidP="00846EB2">
      <w:pPr>
        <w:rPr>
          <w:rFonts w:asciiTheme="majorBidi" w:hAnsiTheme="majorBidi" w:cstheme="majorBidi"/>
          <w:b/>
          <w:bCs/>
          <w:szCs w:val="24"/>
        </w:rPr>
      </w:pPr>
      <w:r w:rsidRPr="00657D30">
        <w:rPr>
          <w:rFonts w:asciiTheme="majorBidi" w:hAnsiTheme="majorBidi" w:cstheme="majorBidi"/>
          <w:b/>
          <w:bCs/>
          <w:szCs w:val="24"/>
        </w:rPr>
        <w:t>Funding</w:t>
      </w:r>
    </w:p>
    <w:p w14:paraId="400D5ED1" w14:textId="31C6A2D7" w:rsidR="00657D30" w:rsidRDefault="00657D30" w:rsidP="00846EB2">
      <w:pPr>
        <w:rPr>
          <w:rFonts w:asciiTheme="majorBidi" w:hAnsiTheme="majorBidi" w:cstheme="majorBidi"/>
          <w:szCs w:val="24"/>
        </w:rPr>
      </w:pPr>
      <w:r w:rsidRPr="00657D30">
        <w:rPr>
          <w:rFonts w:asciiTheme="majorBidi" w:hAnsiTheme="majorBidi" w:cstheme="majorBidi"/>
          <w:szCs w:val="24"/>
        </w:rPr>
        <w:t>R.K. and M.T. were supported by the Mordecai and Monique Katz Graduate Fellowship Program.</w:t>
      </w:r>
    </w:p>
    <w:p w14:paraId="4B004DFA" w14:textId="77777777" w:rsidR="00A82C07" w:rsidRPr="00CB6744" w:rsidRDefault="00A82C07" w:rsidP="00E7410E">
      <w:pPr>
        <w:rPr>
          <w:rFonts w:asciiTheme="majorBidi" w:hAnsiTheme="majorBidi" w:cstheme="majorBidi"/>
          <w:szCs w:val="24"/>
        </w:rPr>
      </w:pPr>
      <w:r w:rsidRPr="00CB6744">
        <w:rPr>
          <w:rFonts w:asciiTheme="majorBidi" w:hAnsiTheme="majorBidi" w:cstheme="majorBidi"/>
          <w:szCs w:val="24"/>
        </w:rPr>
        <w:br w:type="page"/>
      </w:r>
    </w:p>
    <w:p w14:paraId="65BC5319" w14:textId="740F043D" w:rsidR="00BC3B80" w:rsidRPr="00CB6744" w:rsidRDefault="00BC3B80" w:rsidP="00AB1145">
      <w:pPr>
        <w:pStyle w:val="Heading1"/>
        <w:numPr>
          <w:ilvl w:val="0"/>
          <w:numId w:val="4"/>
        </w:numPr>
      </w:pPr>
      <w:r w:rsidRPr="00CB6744">
        <w:lastRenderedPageBreak/>
        <w:t>Bibliography</w:t>
      </w:r>
    </w:p>
    <w:p w14:paraId="4727F19A" w14:textId="51F8BE8D" w:rsidR="00AB1145" w:rsidRPr="00AB1145" w:rsidRDefault="00A82C07" w:rsidP="00AB1145">
      <w:pPr>
        <w:widowControl w:val="0"/>
        <w:autoSpaceDE w:val="0"/>
        <w:autoSpaceDN w:val="0"/>
        <w:adjustRightInd w:val="0"/>
        <w:ind w:left="640" w:hanging="640"/>
        <w:rPr>
          <w:rFonts w:cs="Times New Roman"/>
          <w:noProof/>
          <w:szCs w:val="24"/>
        </w:rPr>
      </w:pPr>
      <w:r w:rsidRPr="00CB6744">
        <w:rPr>
          <w:rFonts w:asciiTheme="majorBidi" w:hAnsiTheme="majorBidi" w:cstheme="majorBidi"/>
          <w:szCs w:val="24"/>
        </w:rPr>
        <w:fldChar w:fldCharType="begin" w:fldLock="1"/>
      </w:r>
      <w:r w:rsidRPr="00CB6744">
        <w:rPr>
          <w:rFonts w:asciiTheme="majorBidi" w:hAnsiTheme="majorBidi" w:cstheme="majorBidi"/>
          <w:szCs w:val="24"/>
        </w:rPr>
        <w:instrText xml:space="preserve">ADDIN Mendeley Bibliography CSL_BIBLIOGRAPHY </w:instrText>
      </w:r>
      <w:r w:rsidRPr="00CB6744">
        <w:rPr>
          <w:rFonts w:asciiTheme="majorBidi" w:hAnsiTheme="majorBidi" w:cstheme="majorBidi"/>
          <w:szCs w:val="24"/>
        </w:rPr>
        <w:fldChar w:fldCharType="separate"/>
      </w:r>
      <w:r w:rsidR="00AB1145" w:rsidRPr="00AB1145">
        <w:rPr>
          <w:rFonts w:cs="Times New Roman"/>
          <w:noProof/>
          <w:szCs w:val="24"/>
        </w:rPr>
        <w:t>[1]</w:t>
      </w:r>
      <w:r w:rsidR="00AB1145" w:rsidRPr="00AB1145">
        <w:rPr>
          <w:rFonts w:cs="Times New Roman"/>
          <w:noProof/>
          <w:szCs w:val="24"/>
        </w:rPr>
        <w:tab/>
        <w:t>G. Längst, L. Manelyte, Chromatin Remodelers: From Function to Dysfunction., Genes (Basel). 6 (2015) 299–324. https://doi.org/10.3390/genes6020299.</w:t>
      </w:r>
    </w:p>
    <w:p w14:paraId="626C87D2"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[2]</w:t>
      </w:r>
      <w:r w:rsidRPr="00AB1145">
        <w:rPr>
          <w:rFonts w:cs="Times New Roman"/>
          <w:noProof/>
          <w:szCs w:val="24"/>
        </w:rPr>
        <w:tab/>
        <w:t>S.L. Klemm, Z. Shipony, W.J. Greenleaf, Chromatin accessibility and the regulatory epigenome, Nat. Rev. Genet. (2019) 1. https://doi.org/10.1038/s41576-018-0089-8.</w:t>
      </w:r>
    </w:p>
    <w:p w14:paraId="78A36C2F"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[3]</w:t>
      </w:r>
      <w:r w:rsidRPr="00AB1145">
        <w:rPr>
          <w:rFonts w:cs="Times New Roman"/>
          <w:noProof/>
          <w:szCs w:val="24"/>
        </w:rPr>
        <w:tab/>
        <w:t>J.D. Buenrostro, P.G. Giresi, L.C. Zaba, H.Y. Chang, W.J. Greenleaf, Transposition of native chromatin for fast and sensitive epigenomic profiling of open chromatin, DNA-binding proteins and nucleosome position., Nat. Methods. 10 (2013) 1213–8. https://doi.org/10.1038/nmeth.2688.</w:t>
      </w:r>
    </w:p>
    <w:p w14:paraId="307A52AB"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[4]</w:t>
      </w:r>
      <w:r w:rsidRPr="00AB1145">
        <w:rPr>
          <w:rFonts w:cs="Times New Roman"/>
          <w:noProof/>
          <w:szCs w:val="24"/>
        </w:rPr>
        <w:tab/>
        <w:t>J.D. Buenrostro, B. Wu, H.Y. Chang, W.J. Greenleaf, ATAC-seq: A Method for Assaying Chromatin Accessibility Genome-Wide, in: Curr. Protoc. Mol. Biol., John Wiley &amp; Sons, Inc., Hoboken, NJ, USA, 2015: pp. 21.29.1-21.29.9. https://doi.org/10.1002/0471142727.mb2129s109.</w:t>
      </w:r>
    </w:p>
    <w:p w14:paraId="5FC22CE1"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[5]</w:t>
      </w:r>
      <w:r w:rsidRPr="00AB1145">
        <w:rPr>
          <w:rFonts w:cs="Times New Roman"/>
          <w:noProof/>
          <w:szCs w:val="24"/>
        </w:rPr>
        <w:tab/>
        <w:t>M. Tsompana, M.J. Buck, Chromatin accessibility: a window into the genome, Epigenetics Chromatin. 7 (2014) 33. https://doi.org/10.1186/1756-8935-7-33.</w:t>
      </w:r>
    </w:p>
    <w:p w14:paraId="3740ADDF"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[6]</w:t>
      </w:r>
      <w:r w:rsidRPr="00AB1145">
        <w:rPr>
          <w:rFonts w:cs="Times New Roman"/>
          <w:noProof/>
          <w:szCs w:val="24"/>
        </w:rPr>
        <w:tab/>
        <w:t>S.-K. Han, M.-F. Wu, S. Cui, D. Wagner, Roles and activities of chromatin remodeling ATPases in plants., Plant J. 83 (2015) 62–77. https://doi.org/10.1111/tpj.12877.</w:t>
      </w:r>
    </w:p>
    <w:p w14:paraId="475B20B3"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[7]</w:t>
      </w:r>
      <w:r w:rsidRPr="00AB1145">
        <w:rPr>
          <w:rFonts w:cs="Times New Roman"/>
          <w:noProof/>
          <w:szCs w:val="24"/>
        </w:rPr>
        <w:tab/>
        <w:t xml:space="preserve">D.M. Gratkowska-Zmuda, S. Kubala, E. Sarnowska, P. Cwiek, P. Oksinska, J. Steciuk, A.T. Rolicka, M. Zaborowska, E. Bucior, A. Maassen, R. Franzen, C. Koncz, T.J. Sarnowski, The SWI/SNF ATP-Dependent Chromatin Remodeling Complex in Arabidopsis Responds to Environmental Changes in Temperature-Dependent Manner, Int. J. Mol. Sci. 21 (2020) </w:t>
      </w:r>
      <w:r w:rsidRPr="00AB1145">
        <w:rPr>
          <w:rFonts w:cs="Times New Roman"/>
          <w:noProof/>
          <w:szCs w:val="24"/>
        </w:rPr>
        <w:lastRenderedPageBreak/>
        <w:t>762. https://doi.org/10.3390/ijms21030762.</w:t>
      </w:r>
    </w:p>
    <w:p w14:paraId="0E0240F5"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[8]</w:t>
      </w:r>
      <w:r w:rsidRPr="00AB1145">
        <w:rPr>
          <w:rFonts w:cs="Times New Roman"/>
          <w:noProof/>
          <w:szCs w:val="24"/>
        </w:rPr>
        <w:tab/>
        <w:t>L. Hurtado, S. Farrona, J.C. Reyes, The putative SWI/SNF complex subunit BRAHMA activates flower homeotic genes in Arabidopsis thaliana., Plant Mol. Biol. 62 (2006) 291–304. https://doi.org/10.1007/s11103-006-9021-2.</w:t>
      </w:r>
    </w:p>
    <w:p w14:paraId="0782A6E3"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[9]</w:t>
      </w:r>
      <w:r w:rsidRPr="00AB1145">
        <w:rPr>
          <w:rFonts w:cs="Times New Roman"/>
          <w:noProof/>
          <w:szCs w:val="24"/>
        </w:rPr>
        <w:tab/>
        <w:t>S. Farrona, L. Hurtado, J.L. Bowman, J.C. Reyes, G.N. Drews, J.L. Bowman, The Arabidopsis thaliana SNF2 homolog AtBRM controls shoot development and flowering., Development. 131 (2004) 4965–75. https://doi.org/10.1242/dev.01363.</w:t>
      </w:r>
    </w:p>
    <w:p w14:paraId="3A490890"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[10]</w:t>
      </w:r>
      <w:r w:rsidRPr="00AB1145">
        <w:rPr>
          <w:rFonts w:cs="Times New Roman"/>
          <w:noProof/>
          <w:szCs w:val="24"/>
        </w:rPr>
        <w:tab/>
        <w:t>X. Tang, A. Hou, M. Babu, V. Nguyen, L. Hurtado, Q. Lu, J.C. Reyes, A. Wang, W.A. Keller, J.J. Harada, E.W.T. Tsang, Y. Cui, The Arabidopsis BRAHMA chromatin-remodeling ATPase is involved in repression of seed maturation genes in leaves., Plant Physiol. 147 (2008) 1143–1157. https://doi.org/10.1104/pp.108.121996.</w:t>
      </w:r>
    </w:p>
    <w:p w14:paraId="1EDA5BB3"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[11]</w:t>
      </w:r>
      <w:r w:rsidRPr="00AB1145">
        <w:rPr>
          <w:rFonts w:cs="Times New Roman"/>
          <w:noProof/>
          <w:szCs w:val="24"/>
        </w:rPr>
        <w:tab/>
        <w:t>Y. Xu, C. Guo, B. Zhou, C. Li, H. Wang, B. Zheng, H. Ding, Z. Zhu, A. Peragine, Y. Cui, S. Poethig, G. Wu, Regulation of Vegetative Phase Change by SWI2/SNF2 Chromatin Remodeling ATPase BRAHMA, Plant Physiol. 172 (2016) 2416–2428. https://doi.org/10.1104/pp.16.01588.</w:t>
      </w:r>
    </w:p>
    <w:p w14:paraId="39FC9E45"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[12]</w:t>
      </w:r>
      <w:r w:rsidRPr="00AB1145">
        <w:rPr>
          <w:rFonts w:cs="Times New Roman"/>
          <w:noProof/>
          <w:szCs w:val="24"/>
        </w:rPr>
        <w:tab/>
        <w:t>M. Zhao, S. Yang, C.-Y. Chen, C. Li, W. Shan, W. Lu, Y. Cui, X. Liu, K. Wu, Arabidopsis BREVIPEDICELLUS Interacts with the SWI2/SNF2 Chromatin Remodeling ATPase BRAHMA to Regulate KNAT2 and KNAT6 Expression in Control of Inflorescence Architecture, PLOS Genet. 11 (2015) e1005125. https://doi.org/10.1371/journal.pgen.1005125.</w:t>
      </w:r>
    </w:p>
    <w:p w14:paraId="2B509868"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[13]</w:t>
      </w:r>
      <w:r w:rsidRPr="00AB1145">
        <w:rPr>
          <w:rFonts w:cs="Times New Roman"/>
          <w:noProof/>
          <w:szCs w:val="24"/>
        </w:rPr>
        <w:tab/>
        <w:t xml:space="preserve">C. Li, C. Chen, L. Gao, S. Yang, V. Nguyen, X. Shi, K. Siminovitch, S.E. Kohalmi, S. </w:t>
      </w:r>
      <w:r w:rsidRPr="00AB1145">
        <w:rPr>
          <w:rFonts w:cs="Times New Roman"/>
          <w:noProof/>
          <w:szCs w:val="24"/>
        </w:rPr>
        <w:lastRenderedPageBreak/>
        <w:t>Huang, K. Wu, X. Chen, Y. Cui, The Arabidopsis SWI2/SNF2 chromatin Remodeler BRAHMA regulates polycomb function during vegetative development and directly activates the flowering repressor gene SVP., PLoS Genet. 11 (2015) e1004944. https://doi.org/10.1371/journal.pgen.1004944.</w:t>
      </w:r>
    </w:p>
    <w:p w14:paraId="4DF3915E"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[14]</w:t>
      </w:r>
      <w:r w:rsidRPr="00AB1145">
        <w:rPr>
          <w:rFonts w:cs="Times New Roman"/>
          <w:noProof/>
          <w:szCs w:val="24"/>
        </w:rPr>
        <w:tab/>
        <w:t>C.S. Kwon, K. Hibara, J. Pfluger, S. Bezhani, H. Metha, M. Aida, M. Tasaka, D. Wagner, A role for chromatin remodeling in regulation of CUC gene expression in the Arabidopsis cotyledon boundary., Development. 133 (2006) 3223–30. https://doi.org/10.1242/dev.02508.</w:t>
      </w:r>
    </w:p>
    <w:p w14:paraId="141C96D9"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[15]</w:t>
      </w:r>
      <w:r w:rsidRPr="00AB1145">
        <w:rPr>
          <w:rFonts w:cs="Times New Roman"/>
          <w:noProof/>
          <w:szCs w:val="24"/>
        </w:rPr>
        <w:tab/>
        <w:t>S. Yang, C. Li, L. Zhao, S. Gao, J. Lu, M. Zhao, C.-Y. Chen, X. Liu, M. Luo, Y. Cui, C. Yang, K. Wu, The Arabidopsis SWI2/SNF2 Chromatin Remodeling ATPase BRAHMA Targets Directly to PINs and Is Required for Root Stem Cell Niche Maintenance., Plant Cell. 27 (2015) 1670–80. https://doi.org/10.1105/tpc.15.00091.</w:t>
      </w:r>
    </w:p>
    <w:p w14:paraId="27D3B230"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[16]</w:t>
      </w:r>
      <w:r w:rsidRPr="00AB1145">
        <w:rPr>
          <w:rFonts w:cs="Times New Roman"/>
          <w:noProof/>
          <w:szCs w:val="24"/>
        </w:rPr>
        <w:tab/>
        <w:t>C. Thouly, M. Le Masson, X. Lai, C.C. Carles, G. Vachon, Unwinding BRAHMA Functions in Plants, Genes (Basel). 11 (2020) 90. https://doi.org/10.3390/genes11010090.</w:t>
      </w:r>
    </w:p>
    <w:p w14:paraId="7F67AD7B"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[17]</w:t>
      </w:r>
      <w:r w:rsidRPr="00AB1145">
        <w:rPr>
          <w:rFonts w:cs="Times New Roman"/>
          <w:noProof/>
          <w:szCs w:val="24"/>
        </w:rPr>
        <w:tab/>
        <w:t>E.S. Torres, R.B. Deal, The histone variant H2A.Z and chromatin remodeler &lt;scp&gt;BRAHMA&lt;/scp&gt; act coordinately and antagonistically to regulate transcription and nucleosome dynamics in Arabidopsis, Plant J. 99 (2019) 144–162. https://doi.org/10.1111/tpj.14281.</w:t>
      </w:r>
    </w:p>
    <w:p w14:paraId="477743EA"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[18]</w:t>
      </w:r>
      <w:r w:rsidRPr="00AB1145">
        <w:rPr>
          <w:rFonts w:cs="Times New Roman"/>
          <w:noProof/>
          <w:szCs w:val="24"/>
        </w:rPr>
        <w:tab/>
        <w:t>N.M. Springer, D. Lisch, Q. Li, Creating Order from Chaos: Epigenome Dynamics in Plants with Complex Genomes., Plant Cell. 28 (2016) 314–25. https://doi.org/10.1105/tpc.15.00911.</w:t>
      </w:r>
    </w:p>
    <w:p w14:paraId="45754824"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lastRenderedPageBreak/>
        <w:t>[19]</w:t>
      </w:r>
      <w:r w:rsidRPr="00AB1145">
        <w:rPr>
          <w:rFonts w:cs="Times New Roman"/>
          <w:noProof/>
          <w:szCs w:val="24"/>
        </w:rPr>
        <w:tab/>
        <w:t>L. Quadrana, A. Bortolini Silveira, G.F. Mayhew, C. LeBlanc, R.A. Martienssen, J.A. Jeddeloh, V. Colot, The Arabidopsis thaliana mobilome and its impact at the species level., Elife. 5 (2016). https://doi.org/10.7554/eLife.15716.</w:t>
      </w:r>
    </w:p>
    <w:p w14:paraId="3F5D68A4"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[20]</w:t>
      </w:r>
      <w:r w:rsidRPr="00AB1145">
        <w:rPr>
          <w:rFonts w:cs="Times New Roman"/>
          <w:noProof/>
          <w:szCs w:val="24"/>
        </w:rPr>
        <w:tab/>
        <w:t>B. McClintock, Controlling Elements and the Gene, Cold Spring Harb. Symp. Quant. Biol. 21 (1956) 197–216. https://doi.org/10.1101/SQB.1956.021.01.017.</w:t>
      </w:r>
    </w:p>
    <w:p w14:paraId="7D843411"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[21]</w:t>
      </w:r>
      <w:r w:rsidRPr="00AB1145">
        <w:rPr>
          <w:rFonts w:cs="Times New Roman"/>
          <w:noProof/>
          <w:szCs w:val="24"/>
        </w:rPr>
        <w:tab/>
        <w:t>D. Lisch, Epigenetic Regulation of Transposable Elements in Plants, Annu. Rev. Plant Biol. 60 (2009) 43–66. https://doi.org/10.1146/annurev.arplant.59.032607.092744.</w:t>
      </w:r>
    </w:p>
    <w:p w14:paraId="53CE5DDF"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[22]</w:t>
      </w:r>
      <w:r w:rsidRPr="00AB1145">
        <w:rPr>
          <w:rFonts w:cs="Times New Roman"/>
          <w:noProof/>
          <w:szCs w:val="24"/>
        </w:rPr>
        <w:tab/>
        <w:t>X. Cui, X. Cao, Epigenetic regulation and functional exaptation of transposable elements in higher plants, Curr. Opin. Plant Biol. 21 (2014) 83–88. https://doi.org/10.1016/j.pbi.2014.07.001.</w:t>
      </w:r>
    </w:p>
    <w:p w14:paraId="2EF40ADB"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[23]</w:t>
      </w:r>
      <w:r w:rsidRPr="00AB1145">
        <w:rPr>
          <w:rFonts w:cs="Times New Roman"/>
          <w:noProof/>
          <w:szCs w:val="24"/>
        </w:rPr>
        <w:tab/>
        <w:t>C.J. Underwood, I.R. Henderson, R.A. Martienssen, Genetic and epigenetic variation of transposable elements in Arabidopsis, Curr. Opin. Plant Biol. 36 (2017) 135–141. https://doi.org/10.1016/j.pbi.2017.03.002.</w:t>
      </w:r>
    </w:p>
    <w:p w14:paraId="63513B0A"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[24]</w:t>
      </w:r>
      <w:r w:rsidRPr="00AB1145">
        <w:rPr>
          <w:rFonts w:cs="Times New Roman"/>
          <w:noProof/>
          <w:szCs w:val="24"/>
        </w:rPr>
        <w:tab/>
        <w:t>R.B. Deal, S. Henikoff, A Simple Method for Gene Expression and Chromatin Profiling of Individual Cell Types within a Tissue, Dev. Cell. 18 (2010) 1030–1040. https://doi.org/10.1016/j.devcel.2010.05.013.</w:t>
      </w:r>
    </w:p>
    <w:p w14:paraId="3E52D369"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[25]</w:t>
      </w:r>
      <w:r w:rsidRPr="00AB1145">
        <w:rPr>
          <w:rFonts w:cs="Times New Roman"/>
          <w:noProof/>
          <w:szCs w:val="24"/>
        </w:rPr>
        <w:tab/>
        <w:t>R.B. Deal, S. Henikoff, The INTACT method for cell type–specific gene expression and chromatin profiling in Arabidopsis thaliana, Nat. Protoc. 6 (2011) 56–68. https://doi.org/10.1038/nprot.2010.175.</w:t>
      </w:r>
    </w:p>
    <w:p w14:paraId="0A8548C0"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[26]</w:t>
      </w:r>
      <w:r w:rsidRPr="00AB1145">
        <w:rPr>
          <w:rFonts w:cs="Times New Roman"/>
          <w:noProof/>
          <w:szCs w:val="24"/>
        </w:rPr>
        <w:tab/>
        <w:t xml:space="preserve">M. Tannenbaum, A. Sarusi-Portuguez, R. Krispil, M. Schwartz, O. Loza, J.I.C. Benichou, A. Mosquna, O. Hakim, Regulatory chromatin landscape in Arabidopsis thaliana roots </w:t>
      </w:r>
      <w:r w:rsidRPr="00AB1145">
        <w:rPr>
          <w:rFonts w:cs="Times New Roman"/>
          <w:noProof/>
          <w:szCs w:val="24"/>
        </w:rPr>
        <w:lastRenderedPageBreak/>
        <w:t>uncovered by coupling INTACT and ATAC-seq, Plant Methods. 14 (2018) 113. https://doi.org/10.1186/s13007-018-0381-9.</w:t>
      </w:r>
    </w:p>
    <w:p w14:paraId="3644ACEA"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[27]</w:t>
      </w:r>
      <w:r w:rsidRPr="00AB1145">
        <w:rPr>
          <w:rFonts w:cs="Times New Roman"/>
          <w:noProof/>
          <w:szCs w:val="24"/>
        </w:rPr>
        <w:tab/>
        <w:t>T. Murashige, F. Skoog, A Revised Medium for Rapid Growth and Bio Assays with Tobacco Tissue Cultures, Physiol. Plant. 15 (1962) 473–497. https://doi.org/10.1111/j.1399-3054.1962.tb08052.x.</w:t>
      </w:r>
    </w:p>
    <w:p w14:paraId="03AA6B92"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[28]</w:t>
      </w:r>
      <w:r w:rsidRPr="00AB1145">
        <w:rPr>
          <w:rFonts w:cs="Times New Roman"/>
          <w:noProof/>
          <w:szCs w:val="24"/>
        </w:rPr>
        <w:tab/>
        <w:t>Y. Zhu, M.J. Rowley, G. Böhmdorfer, A.T. Wierzbicki, A SWI/SNF Chromatin-Remodeling Complex Acts in Noncoding RNA-Mediated Transcriptional Silencing, Mol. Cell. 49 (2013) 298–309. https://doi.org/10.1016/j.molcel.2012.11.011.</w:t>
      </w:r>
    </w:p>
    <w:p w14:paraId="3BED7C5B"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[29]</w:t>
      </w:r>
      <w:r w:rsidRPr="00AB1145">
        <w:rPr>
          <w:rFonts w:cs="Times New Roman"/>
          <w:noProof/>
          <w:szCs w:val="24"/>
        </w:rPr>
        <w:tab/>
        <w:t>B. Langmead, S.L. Salzberg, Fast gapped-read alignment with Bowtie 2., Nat. Methods. 9 (2012) 357–9. https://doi.org/10.1038/nmeth.1923.</w:t>
      </w:r>
    </w:p>
    <w:p w14:paraId="20C8915E"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[30]</w:t>
      </w:r>
      <w:r w:rsidRPr="00AB1145">
        <w:rPr>
          <w:rFonts w:cs="Times New Roman"/>
          <w:noProof/>
          <w:szCs w:val="24"/>
        </w:rPr>
        <w:tab/>
        <w:t>F. Ramírez, D.P. Ryan, B. Grüning, V. Bhardwaj, F. Kilpert, A.S. Richter, S. Heyne, F. Dündar, T. Manke, deepTools2: a next generation web server for deep-sequencing data analysis, Nucleic Acids Res. 44 (2016) W160–W165. https://doi.org/10.1093/nar/gkw257.</w:t>
      </w:r>
    </w:p>
    <w:p w14:paraId="497D829D"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[31]</w:t>
      </w:r>
      <w:r w:rsidRPr="00AB1145">
        <w:rPr>
          <w:rFonts w:cs="Times New Roman"/>
          <w:noProof/>
          <w:szCs w:val="24"/>
        </w:rPr>
        <w:tab/>
        <w:t>R. Krispil, M. Tannenbaum, A. Sarusi-Portuguez, O. Loza, O. Raskina, O. Hakim, The Position and Complex Genomic Architecture of Plant T-DNA Insertions Revealed by 4SEE, Int. J. Mol. Sci. 21 (2020) 2373. https://doi.org/10.3390/ijms21072373.</w:t>
      </w:r>
    </w:p>
    <w:p w14:paraId="6F08951A"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[32]</w:t>
      </w:r>
      <w:r w:rsidRPr="00AB1145">
        <w:rPr>
          <w:rFonts w:cs="Times New Roman"/>
          <w:noProof/>
          <w:szCs w:val="24"/>
        </w:rPr>
        <w:tab/>
        <w:t>M. Martin, Cutadapt removes adapter sequences from high-throughput sequencing reads, EMBnet.Journal. 17 (2011) 10. https://doi.org/10.14806/ej.17.1.200.</w:t>
      </w:r>
    </w:p>
    <w:p w14:paraId="374CFF01"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[33]</w:t>
      </w:r>
      <w:r w:rsidRPr="00AB1145">
        <w:rPr>
          <w:rFonts w:cs="Times New Roman"/>
          <w:noProof/>
          <w:szCs w:val="24"/>
        </w:rPr>
        <w:tab/>
        <w:t xml:space="preserve">S.R. Cutler, D.W. Ehrhardt, J.S. Griffitts, C.R. Somerville, Random GFP::cDNA fusions enable visualization of subcellular structures in cells of Arabidopsis at a high frequency., Proc. Natl. Acad. Sci. U. S. A. 97 (2000) 3718–23. </w:t>
      </w:r>
      <w:r w:rsidRPr="00AB1145">
        <w:rPr>
          <w:rFonts w:cs="Times New Roman"/>
          <w:noProof/>
          <w:szCs w:val="24"/>
        </w:rPr>
        <w:lastRenderedPageBreak/>
        <w:t>https://doi.org/10.1073/PNAS.97.7.3718.</w:t>
      </w:r>
    </w:p>
    <w:p w14:paraId="1FDFAD3F"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[34]</w:t>
      </w:r>
      <w:r w:rsidRPr="00AB1145">
        <w:rPr>
          <w:rFonts w:cs="Times New Roman"/>
          <w:noProof/>
          <w:szCs w:val="24"/>
        </w:rPr>
        <w:tab/>
        <w:t>M. Karimi, D. Inzé, A. Depicker, GATEWAY</w:t>
      </w:r>
      <w:r w:rsidRPr="00AB1145">
        <w:rPr>
          <w:rFonts w:cs="Times New Roman"/>
          <w:noProof/>
          <w:szCs w:val="24"/>
          <w:vertAlign w:val="superscript"/>
        </w:rPr>
        <w:t>TM</w:t>
      </w:r>
      <w:r w:rsidRPr="00AB1145">
        <w:rPr>
          <w:rFonts w:cs="Times New Roman"/>
          <w:noProof/>
          <w:szCs w:val="24"/>
        </w:rPr>
        <w:t xml:space="preserve"> vectors for Agrobacterium-mediated plant transformation, Trends Plant Sci. 7 (2002) 193–195. https://doi.org/10.1016/S1360-1385(02)02251-3.</w:t>
      </w:r>
    </w:p>
    <w:p w14:paraId="6306023B"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[35]</w:t>
      </w:r>
      <w:r w:rsidRPr="00AB1145">
        <w:rPr>
          <w:rFonts w:cs="Times New Roman"/>
          <w:noProof/>
          <w:szCs w:val="24"/>
        </w:rPr>
        <w:tab/>
        <w:t>T.R. Jones, I. Kang, D.B. Wheeler, R.A. Lindquist, A. Papallo, D.M. Sabatini, P. Golland, A.E. Carpenter, CellProfiler Analyst: data exploration and analysis software for complex image-based screens, BMC Bioinformatics. 9 (2008) 482. https://doi.org/10.1186/1471-2105-9-482.</w:t>
      </w:r>
    </w:p>
    <w:p w14:paraId="7890820C"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[36]</w:t>
      </w:r>
      <w:r w:rsidRPr="00AB1145">
        <w:rPr>
          <w:rFonts w:cs="Times New Roman"/>
          <w:noProof/>
          <w:szCs w:val="24"/>
        </w:rPr>
        <w:tab/>
        <w:t>W. Zhang, T. Zhang, Y. Wu, J. Jiang, Open chromatin in plant genomes, Cytogenet. Genome Res. 143 (2014) 18–27. https://doi.org/10.1159/000362827.</w:t>
      </w:r>
    </w:p>
    <w:p w14:paraId="5ADA06C9"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[37]</w:t>
      </w:r>
      <w:r w:rsidRPr="00AB1145">
        <w:rPr>
          <w:rFonts w:cs="Times New Roman"/>
          <w:noProof/>
          <w:szCs w:val="24"/>
        </w:rPr>
        <w:tab/>
        <w:t>W. Zhang, T. Zhang, Y. Wu, J. Jiang, Genome-Wide Identification of Regulatory DNA Elements and Protein-Binding Footprints Using Signatures of Open Chromatin in Arabidopsis, Plant Cell. 24 (2012) 2719–2731. https://doi.org/10.1105/tpc.112.098061.</w:t>
      </w:r>
    </w:p>
    <w:p w14:paraId="794333BE"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[38]</w:t>
      </w:r>
      <w:r w:rsidRPr="00AB1145">
        <w:rPr>
          <w:rFonts w:cs="Times New Roman"/>
          <w:noProof/>
          <w:szCs w:val="24"/>
        </w:rPr>
        <w:tab/>
        <w:t>Z. Zhong, S. Feng, S.H. Duttke, M.E. Potok, Y. Zhang, J. Gallego-Bartolomé, W. Liu, S.E. Jacobsen, DNA methylation-linked chromatin accessibility affects genomic architecture in Arabidopsis, Proc. Natl. Acad. Sci. 118 (2021) e2023347118. https://doi.org/10.1073/pnas.2023347118.</w:t>
      </w:r>
    </w:p>
    <w:p w14:paraId="2225015A"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[39]</w:t>
      </w:r>
      <w:r w:rsidRPr="00AB1145">
        <w:rPr>
          <w:rFonts w:cs="Times New Roman"/>
          <w:noProof/>
          <w:szCs w:val="24"/>
        </w:rPr>
        <w:tab/>
        <w:t>R.K. Slotkin, M. Vaughn, F. Borges, M. Tanurdžić, J.D. Becker, J.A. Feijó, R.A. Martienssen, Epigenetic Reprogramming and Small RNA Silencing of Transposable Elements in Pollen, Cell. 136 (2009) 461–472. https://doi.org/10.1016/j.cell.2008.12.038.</w:t>
      </w:r>
    </w:p>
    <w:p w14:paraId="00B1A0F5"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[40]</w:t>
      </w:r>
      <w:r w:rsidRPr="00AB1145">
        <w:rPr>
          <w:rFonts w:cs="Times New Roman"/>
          <w:noProof/>
          <w:szCs w:val="24"/>
        </w:rPr>
        <w:tab/>
        <w:t xml:space="preserve">P. Lamesch, T.Z. Berardini, D. Li, D. Swarbreck, C. Wilks, R. Sasidharan, R. Muller, K. </w:t>
      </w:r>
      <w:r w:rsidRPr="00AB1145">
        <w:rPr>
          <w:rFonts w:cs="Times New Roman"/>
          <w:noProof/>
          <w:szCs w:val="24"/>
        </w:rPr>
        <w:lastRenderedPageBreak/>
        <w:t>Dreher, D.L. Alexander, M. Garcia-Hernandez, A.S. Karthikeyan, C.H. Lee, W.D. Nelson, L. Ploetz, S. Singh, A. Wensel, E. Huala, The Arabidopsis Information Resource (TAIR): improved gene annotation and new tools, Nucleic Acids Res. 40 (2012) D1202–D1210. https://doi.org/10.1093/nar/gkr1090.</w:t>
      </w:r>
    </w:p>
    <w:p w14:paraId="39788084"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[41]</w:t>
      </w:r>
      <w:r w:rsidRPr="00AB1145">
        <w:rPr>
          <w:rFonts w:cs="Times New Roman"/>
          <w:noProof/>
          <w:szCs w:val="24"/>
        </w:rPr>
        <w:tab/>
        <w:t>H. Stroud, M.V.C. Greenberg, S. Feng, Y. V. Bernatavichute, S.E. Jacobsen, Comprehensive Analysis of Silencing Mutants Reveals Complex Regulation of the Arabidopsis Methylome, Cell. 152 (2013) 352–364. https://doi.org/10.1016/j.cell.2012.10.054.</w:t>
      </w:r>
    </w:p>
    <w:p w14:paraId="5EE7138E"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[42]</w:t>
      </w:r>
      <w:r w:rsidRPr="00AB1145">
        <w:rPr>
          <w:rFonts w:cs="Times New Roman"/>
          <w:noProof/>
          <w:szCs w:val="24"/>
        </w:rPr>
        <w:tab/>
        <w:t>M.I. Love, W. Huber, S. Anders, Moderated estimation of fold change and dispersion for RNA-seq data with DESeq2, Genome Biol. 15 (2014) 550. https://doi.org/10.1186/s13059-014-0550-8.</w:t>
      </w:r>
    </w:p>
    <w:p w14:paraId="61E61E74"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[43]</w:t>
      </w:r>
      <w:r w:rsidRPr="00AB1145">
        <w:rPr>
          <w:rFonts w:cs="Times New Roman"/>
          <w:noProof/>
          <w:szCs w:val="24"/>
        </w:rPr>
        <w:tab/>
        <w:t>J. Jiang, The ‘dark matter’ in the plant genomes: non-coding and unannotated DNA sequences associated with open chromatin, Curr. Opin. Plant Biol. 24 (2015) 17–23. https://doi.org/10.1016/j.pbi.2015.01.005.</w:t>
      </w:r>
    </w:p>
    <w:p w14:paraId="542B293F"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[44]</w:t>
      </w:r>
      <w:r w:rsidRPr="00AB1145">
        <w:rPr>
          <w:rFonts w:cs="Times New Roman"/>
          <w:noProof/>
          <w:szCs w:val="24"/>
        </w:rPr>
        <w:tab/>
        <w:t>B. Weber, J. Zicola, R. Oka, M. Stam, Plant Enhancers: A Call for Discovery, Trends Plant Sci. 21 (2016) 974–987. https://doi.org/10.1016/j.tplants.2016.07.013.</w:t>
      </w:r>
    </w:p>
    <w:p w14:paraId="16DA3F50"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[45]</w:t>
      </w:r>
      <w:r w:rsidRPr="00AB1145">
        <w:rPr>
          <w:rFonts w:cs="Times New Roman"/>
          <w:noProof/>
          <w:szCs w:val="24"/>
        </w:rPr>
        <w:tab/>
        <w:t>Y. Fang, X.E.X. Wang, L. Wang, X. Pan, J. Xiao, X.E.X. Wang, Y. Wu, W. Zhang, Functional characterization of open chromatin in bidirectional promoters of rice, Sci. Rep. 6 (2016) 32088. https://doi.org/10.1038/srep32088.</w:t>
      </w:r>
    </w:p>
    <w:p w14:paraId="4DBBA958"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[46]</w:t>
      </w:r>
      <w:r w:rsidRPr="00AB1145">
        <w:rPr>
          <w:rFonts w:cs="Times New Roman"/>
          <w:noProof/>
          <w:szCs w:val="24"/>
        </w:rPr>
        <w:tab/>
        <w:t xml:space="preserve">M. Schwartz, A.S. Portugez, B.Z. Attia, M. Tannenbaum, L. Cohen, O. Loza, E. Chase, Y. Turman, T. Kaplan, Z. Salah, O. Hakim, Genomic retargeting of p53 and CTCF is </w:t>
      </w:r>
      <w:r w:rsidRPr="00AB1145">
        <w:rPr>
          <w:rFonts w:cs="Times New Roman"/>
          <w:noProof/>
          <w:szCs w:val="24"/>
        </w:rPr>
        <w:lastRenderedPageBreak/>
        <w:t>associated with transcriptional changes during oncogenic HRas-induced transformation, Commun. Biol. 3 (2020) 696. https://doi.org/10.1038/s42003-020-01398-y.</w:t>
      </w:r>
    </w:p>
    <w:p w14:paraId="335C612C"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[47]</w:t>
      </w:r>
      <w:r w:rsidRPr="00AB1145">
        <w:rPr>
          <w:rFonts w:cs="Times New Roman"/>
          <w:noProof/>
          <w:szCs w:val="24"/>
        </w:rPr>
        <w:tab/>
        <w:t>C.S. Pikaard, O. Mittelsten Scheid, Epigenetic Regulation in Plants, Cold Spring Harb. Perspect. Biol. 6 (2014) a019315–a019315. https://doi.org/10.1101/cshperspect.a019315.</w:t>
      </w:r>
    </w:p>
    <w:p w14:paraId="7A08A468"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[48]</w:t>
      </w:r>
      <w:r w:rsidRPr="00AB1145">
        <w:rPr>
          <w:rFonts w:cs="Times New Roman"/>
          <w:noProof/>
          <w:szCs w:val="24"/>
        </w:rPr>
        <w:tab/>
        <w:t>S. Bezhani, C. Winter, S. Hershman, J.D. Wagner, J.F. Kennedy, C.S. Kwon, J. Pfluger, Y. Su, D. Wagner, Unique, Shared, and Redundant Roles for the Arabidopsis SWI/SNF Chromatin Remodeling ATPases BRAHMA and SPLAYED, Plant Cell. 19 (2007) 403–416. https://doi.org/10.1105/TPC.106.048272.</w:t>
      </w:r>
    </w:p>
    <w:p w14:paraId="3898184D"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[49]</w:t>
      </w:r>
      <w:r w:rsidRPr="00AB1145">
        <w:rPr>
          <w:rFonts w:cs="Times New Roman"/>
          <w:noProof/>
          <w:szCs w:val="24"/>
        </w:rPr>
        <w:tab/>
        <w:t>J. Shu, C. Chen, C. Li, R.K. Thapa, J. Song, X. Xie, V. Nguyen, S. Bian, J. Liu, S.E. Kohalmi, Y. Cui, Genome-wide occupancy of Arabidopsis SWI/SNF chromatin remodeler SPLAYED provides insights into its interplay with its close homolog BRAHMA and Polycomb proteins., Plant J. (2021). https://doi.org/10.1111/tpj.15159.</w:t>
      </w:r>
    </w:p>
    <w:p w14:paraId="3DE918D1"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[50]</w:t>
      </w:r>
      <w:r w:rsidRPr="00AB1145">
        <w:rPr>
          <w:rFonts w:cs="Times New Roman"/>
          <w:noProof/>
          <w:szCs w:val="24"/>
        </w:rPr>
        <w:tab/>
        <w:t>G.M. Euskirchen, R.K. Auerbach, E. Davidov, T.A. Gianoulis, G. Zhong, J. Rozowsky, N. Bhardwaj, M.B. Gerstein, M. Snyder, Diverse Roles and Interactions of the SWI/SNF Chromatin Remodeling Complex Revealed Using Global Approaches, PLoS Genet. 7 (2011) e1002008. https://doi.org/10.1371/journal.pgen.1002008.</w:t>
      </w:r>
    </w:p>
    <w:p w14:paraId="3269D169" w14:textId="77777777" w:rsidR="00AB1145" w:rsidRPr="00AB1145" w:rsidRDefault="00AB1145" w:rsidP="00AB1145">
      <w:pPr>
        <w:widowControl w:val="0"/>
        <w:autoSpaceDE w:val="0"/>
        <w:autoSpaceDN w:val="0"/>
        <w:adjustRightInd w:val="0"/>
        <w:ind w:left="640" w:hanging="640"/>
        <w:rPr>
          <w:rFonts w:cs="Times New Roman"/>
          <w:noProof/>
          <w:szCs w:val="24"/>
        </w:rPr>
      </w:pPr>
      <w:r w:rsidRPr="00AB1145">
        <w:rPr>
          <w:rFonts w:cs="Times New Roman"/>
          <w:noProof/>
          <w:szCs w:val="24"/>
        </w:rPr>
        <w:t>[51]</w:t>
      </w:r>
      <w:r w:rsidRPr="00AB1145">
        <w:rPr>
          <w:rFonts w:cs="Times New Roman"/>
          <w:noProof/>
          <w:szCs w:val="24"/>
        </w:rPr>
        <w:tab/>
        <w:t>A.M. Sullivan, A.A. Arsovski, A. Thompson, R. Sandstrom, R.E. Thurman, S. Neph, A.K. Johnson, S.T. Sullivan, P.J. Sabo, F. V. Neri, M. Weaver, M. Diegel, J.L. Nemhauser, J.A. Stamatoyannopoulos, K.L. Bubb, C. Queitsch, Mapping and Dynamics of Regulatory DNA in Maturing Arabidopsis thaliana Siliques, Front. Plant Sci. 10 (2019) 1434. https://doi.org/10.3389/fpls.2019.01434.</w:t>
      </w:r>
    </w:p>
    <w:p w14:paraId="20936790" w14:textId="77777777" w:rsidR="00AB1145" w:rsidRPr="00AB1145" w:rsidRDefault="00AB1145" w:rsidP="00AB1145">
      <w:pPr>
        <w:widowControl w:val="0"/>
        <w:autoSpaceDE w:val="0"/>
        <w:autoSpaceDN w:val="0"/>
        <w:adjustRightInd w:val="0"/>
        <w:ind w:left="640" w:hanging="640"/>
        <w:rPr>
          <w:rFonts w:cs="Times New Roman"/>
          <w:noProof/>
        </w:rPr>
      </w:pPr>
      <w:r w:rsidRPr="00AB1145">
        <w:rPr>
          <w:rFonts w:cs="Times New Roman"/>
          <w:noProof/>
          <w:szCs w:val="24"/>
        </w:rPr>
        <w:lastRenderedPageBreak/>
        <w:t>[52]</w:t>
      </w:r>
      <w:r w:rsidRPr="00AB1145">
        <w:rPr>
          <w:rFonts w:cs="Times New Roman"/>
          <w:noProof/>
          <w:szCs w:val="24"/>
        </w:rPr>
        <w:tab/>
        <w:t>Q. Song, J. Lee, S. Akter, M. Rogers, R. Grene, S. Li, Prediction of condition-specific regulatory genes using machine learning, Nucleic Acids Res. 48 (2020) e62–e62. https://doi.org/10.1093/nar/gkaa264.</w:t>
      </w:r>
    </w:p>
    <w:p w14:paraId="441A9F4A" w14:textId="77777777" w:rsidR="00DA2B0C" w:rsidRPr="00CB6744" w:rsidRDefault="00A82C07" w:rsidP="001E18CB">
      <w:pPr>
        <w:widowControl w:val="0"/>
        <w:autoSpaceDE w:val="0"/>
        <w:autoSpaceDN w:val="0"/>
        <w:adjustRightInd w:val="0"/>
        <w:rPr>
          <w:rFonts w:asciiTheme="majorBidi" w:hAnsiTheme="majorBidi" w:cstheme="majorBidi"/>
          <w:noProof/>
        </w:rPr>
      </w:pPr>
      <w:r w:rsidRPr="00CB6744">
        <w:rPr>
          <w:rFonts w:asciiTheme="majorBidi" w:hAnsiTheme="majorBidi" w:cstheme="majorBidi"/>
        </w:rPr>
        <w:fldChar w:fldCharType="end"/>
      </w:r>
    </w:p>
    <w:p w14:paraId="4C5DA2F0" w14:textId="77777777" w:rsidR="00DA2B0C" w:rsidRPr="00CB6744" w:rsidRDefault="00DA2B0C">
      <w:pPr>
        <w:spacing w:line="276" w:lineRule="auto"/>
        <w:rPr>
          <w:rFonts w:asciiTheme="majorBidi" w:eastAsiaTheme="majorEastAsia" w:hAnsiTheme="majorBidi" w:cstheme="majorBidi"/>
          <w:b/>
          <w:noProof/>
          <w:color w:val="000000" w:themeColor="text1"/>
          <w:sz w:val="32"/>
          <w:szCs w:val="32"/>
        </w:rPr>
      </w:pPr>
      <w:r w:rsidRPr="00CB6744">
        <w:rPr>
          <w:rFonts w:asciiTheme="majorBidi" w:hAnsiTheme="majorBidi" w:cstheme="majorBidi"/>
          <w:noProof/>
        </w:rPr>
        <w:br w:type="page"/>
      </w:r>
    </w:p>
    <w:p w14:paraId="3F40AED9" w14:textId="77777777" w:rsidR="00477FEC" w:rsidRPr="00CB6744" w:rsidRDefault="00BC3B80" w:rsidP="00BC3B80">
      <w:pPr>
        <w:pStyle w:val="Heading1"/>
        <w:rPr>
          <w:noProof/>
        </w:rPr>
      </w:pPr>
      <w:r w:rsidRPr="00CB6744">
        <w:rPr>
          <w:noProof/>
        </w:rPr>
        <w:lastRenderedPageBreak/>
        <w:t>Supplmental Matrieal</w:t>
      </w:r>
    </w:p>
    <w:p w14:paraId="2F80969F" w14:textId="77777777" w:rsidR="00BC3B80" w:rsidRPr="00CB6744" w:rsidRDefault="00893428" w:rsidP="00BC3B80">
      <w:pPr>
        <w:rPr>
          <w:rFonts w:asciiTheme="majorBidi" w:hAnsiTheme="majorBidi" w:cstheme="majorBidi"/>
          <w:noProof/>
          <w:szCs w:val="24"/>
        </w:rPr>
      </w:pPr>
      <w:r w:rsidRPr="00CB6744">
        <w:rPr>
          <w:rFonts w:asciiTheme="majorBidi" w:hAnsiTheme="majorBidi" w:cstheme="majorBidi"/>
          <w:noProof/>
          <w:szCs w:val="24"/>
        </w:rPr>
        <w:t>Suppl</w:t>
      </w:r>
      <w:r w:rsidR="00DA2B0C" w:rsidRPr="00CB6744">
        <w:rPr>
          <w:rFonts w:asciiTheme="majorBidi" w:hAnsiTheme="majorBidi" w:cstheme="majorBidi"/>
          <w:noProof/>
          <w:szCs w:val="24"/>
        </w:rPr>
        <w:t>e</w:t>
      </w:r>
      <w:r w:rsidRPr="00CB6744">
        <w:rPr>
          <w:rFonts w:asciiTheme="majorBidi" w:hAnsiTheme="majorBidi" w:cstheme="majorBidi"/>
          <w:noProof/>
          <w:szCs w:val="24"/>
        </w:rPr>
        <w:t>mental Figure S1.</w:t>
      </w:r>
    </w:p>
    <w:p w14:paraId="731F18CA" w14:textId="77777777" w:rsidR="00893428" w:rsidRPr="00CB6744" w:rsidRDefault="00661D52" w:rsidP="00BC3B80">
      <w:pPr>
        <w:rPr>
          <w:rFonts w:asciiTheme="majorBidi" w:hAnsiTheme="majorBidi" w:cstheme="majorBidi"/>
        </w:rPr>
      </w:pPr>
      <w:r w:rsidRPr="00CB6744">
        <w:rPr>
          <w:rFonts w:asciiTheme="majorBidi" w:hAnsiTheme="majorBidi" w:cstheme="majorBidi"/>
          <w:noProof/>
        </w:rPr>
        <w:drawing>
          <wp:inline distT="0" distB="0" distL="0" distR="0" wp14:anchorId="57D0C44B" wp14:editId="7F074BAE">
            <wp:extent cx="5943600" cy="22866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S1.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286635"/>
                    </a:xfrm>
                    <a:prstGeom prst="rect">
                      <a:avLst/>
                    </a:prstGeom>
                  </pic:spPr>
                </pic:pic>
              </a:graphicData>
            </a:graphic>
          </wp:inline>
        </w:drawing>
      </w:r>
    </w:p>
    <w:p w14:paraId="0B070515" w14:textId="77777777" w:rsidR="00893428" w:rsidRPr="00CB6744" w:rsidRDefault="00893428" w:rsidP="00893428">
      <w:pPr>
        <w:pStyle w:val="NoSpacing"/>
        <w:rPr>
          <w:rFonts w:asciiTheme="majorBidi" w:hAnsiTheme="majorBidi" w:cstheme="majorBidi"/>
        </w:rPr>
      </w:pPr>
      <w:r w:rsidRPr="00CB6744">
        <w:rPr>
          <w:rFonts w:asciiTheme="majorBidi" w:hAnsiTheme="majorBidi" w:cstheme="majorBidi"/>
        </w:rPr>
        <w:t>GO analysis of biological processes of highly expressed genes near root-unique accessible sites (p-value&lt;0.00001, FDR&lt;0.03).</w:t>
      </w:r>
    </w:p>
    <w:p w14:paraId="275AA84F" w14:textId="77777777" w:rsidR="00A4658E" w:rsidRDefault="00A4658E" w:rsidP="00A4658E">
      <w:pPr>
        <w:rPr>
          <w:rFonts w:asciiTheme="majorBidi" w:hAnsiTheme="majorBidi" w:cstheme="majorBidi"/>
          <w:noProof/>
        </w:rPr>
      </w:pPr>
    </w:p>
    <w:p w14:paraId="5BF7A295" w14:textId="77777777" w:rsidR="002E23FE" w:rsidRPr="00CB6744" w:rsidRDefault="002E23FE" w:rsidP="00A4658E">
      <w:pPr>
        <w:rPr>
          <w:rFonts w:asciiTheme="majorBidi" w:hAnsiTheme="majorBidi" w:cstheme="majorBidi"/>
          <w:noProof/>
        </w:rPr>
      </w:pPr>
    </w:p>
    <w:p w14:paraId="46251DB2" w14:textId="77777777" w:rsidR="00A4658E" w:rsidRPr="00CB6744" w:rsidRDefault="00A4658E" w:rsidP="00A4658E">
      <w:pPr>
        <w:rPr>
          <w:rFonts w:asciiTheme="majorBidi" w:hAnsiTheme="majorBidi" w:cstheme="majorBidi"/>
        </w:rPr>
      </w:pPr>
      <w:r w:rsidRPr="00CB6744">
        <w:rPr>
          <w:rFonts w:asciiTheme="majorBidi" w:hAnsiTheme="majorBidi" w:cstheme="majorBidi"/>
          <w:noProof/>
        </w:rPr>
        <w:t>Supplemental Figure S2</w:t>
      </w:r>
    </w:p>
    <w:p w14:paraId="18F12144" w14:textId="77777777" w:rsidR="00893428" w:rsidRPr="00CB6744" w:rsidRDefault="0026496D" w:rsidP="00BC3B80">
      <w:pPr>
        <w:rPr>
          <w:rFonts w:asciiTheme="majorBidi" w:hAnsiTheme="majorBidi" w:cstheme="majorBidi"/>
        </w:rPr>
      </w:pPr>
      <w:r w:rsidRPr="00CB6744">
        <w:rPr>
          <w:rFonts w:asciiTheme="majorBidi" w:hAnsiTheme="majorBidi" w:cstheme="majorBidi"/>
          <w:noProof/>
        </w:rPr>
        <w:drawing>
          <wp:inline distT="0" distB="0" distL="0" distR="0" wp14:anchorId="55EF5BA1" wp14:editId="5A9B0E6C">
            <wp:extent cx="4613275" cy="124514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ccessibility at de genes and close ranks.png"/>
                    <pic:cNvPicPr/>
                  </pic:nvPicPr>
                  <pic:blipFill rotWithShape="1">
                    <a:blip r:embed="rId15" cstate="print">
                      <a:extLst>
                        <a:ext uri="{28A0092B-C50C-407E-A947-70E740481C1C}">
                          <a14:useLocalDpi xmlns:a14="http://schemas.microsoft.com/office/drawing/2010/main" val="0"/>
                        </a:ext>
                      </a:extLst>
                    </a:blip>
                    <a:srcRect b="84870"/>
                    <a:stretch/>
                  </pic:blipFill>
                  <pic:spPr bwMode="auto">
                    <a:xfrm>
                      <a:off x="0" y="0"/>
                      <a:ext cx="4613275" cy="1245141"/>
                    </a:xfrm>
                    <a:prstGeom prst="rect">
                      <a:avLst/>
                    </a:prstGeom>
                    <a:ln>
                      <a:noFill/>
                    </a:ln>
                    <a:extLst>
                      <a:ext uri="{53640926-AAD7-44D8-BBD7-CCE9431645EC}">
                        <a14:shadowObscured xmlns:a14="http://schemas.microsoft.com/office/drawing/2010/main"/>
                      </a:ext>
                    </a:extLst>
                  </pic:spPr>
                </pic:pic>
              </a:graphicData>
            </a:graphic>
          </wp:inline>
        </w:drawing>
      </w:r>
    </w:p>
    <w:p w14:paraId="7595DAE2" w14:textId="77777777" w:rsidR="00CD688B" w:rsidRPr="00CB6744" w:rsidRDefault="00CD688B" w:rsidP="00CD688B">
      <w:pPr>
        <w:pStyle w:val="NoSpacing"/>
        <w:rPr>
          <w:rFonts w:asciiTheme="majorBidi" w:hAnsiTheme="majorBidi" w:cstheme="majorBidi"/>
        </w:rPr>
      </w:pPr>
      <w:r w:rsidRPr="00CB6744">
        <w:rPr>
          <w:rFonts w:asciiTheme="majorBidi" w:hAnsiTheme="majorBidi" w:cstheme="majorBidi"/>
        </w:rPr>
        <w:t xml:space="preserve">Profile of WT (left) and </w:t>
      </w:r>
      <w:r w:rsidRPr="00CB6744">
        <w:rPr>
          <w:rFonts w:asciiTheme="majorBidi" w:hAnsiTheme="majorBidi" w:cstheme="majorBidi"/>
          <w:i/>
          <w:iCs/>
        </w:rPr>
        <w:t>brm-5</w:t>
      </w:r>
      <w:r w:rsidRPr="00CB6744">
        <w:rPr>
          <w:rFonts w:asciiTheme="majorBidi" w:hAnsiTheme="majorBidi" w:cstheme="majorBidi"/>
        </w:rPr>
        <w:t xml:space="preserve"> (right) accessibility at specific </w:t>
      </w:r>
      <w:r w:rsidR="0026496D" w:rsidRPr="00CB6744">
        <w:rPr>
          <w:rFonts w:asciiTheme="majorBidi" w:hAnsiTheme="majorBidi" w:cstheme="majorBidi"/>
        </w:rPr>
        <w:t xml:space="preserve">and non-specific </w:t>
      </w:r>
      <w:r w:rsidRPr="00CB6744">
        <w:rPr>
          <w:rFonts w:asciiTheme="majorBidi" w:hAnsiTheme="majorBidi" w:cstheme="majorBidi"/>
        </w:rPr>
        <w:t>genes.</w:t>
      </w:r>
    </w:p>
    <w:p w14:paraId="10FAFE40" w14:textId="77777777" w:rsidR="00455199" w:rsidRDefault="00455199" w:rsidP="00BC3B80">
      <w:pPr>
        <w:rPr>
          <w:rFonts w:asciiTheme="majorBidi" w:hAnsiTheme="majorBidi" w:cstheme="majorBidi"/>
          <w:noProof/>
          <w:szCs w:val="24"/>
        </w:rPr>
      </w:pPr>
    </w:p>
    <w:p w14:paraId="07F89154" w14:textId="77777777" w:rsidR="002E23FE" w:rsidRDefault="002E23FE" w:rsidP="00BC3B80">
      <w:pPr>
        <w:rPr>
          <w:rFonts w:asciiTheme="majorBidi" w:hAnsiTheme="majorBidi" w:cstheme="majorBidi"/>
          <w:noProof/>
          <w:szCs w:val="24"/>
        </w:rPr>
      </w:pPr>
    </w:p>
    <w:p w14:paraId="65EC0035" w14:textId="77777777" w:rsidR="002E23FE" w:rsidRDefault="002E23FE" w:rsidP="00BC3B80">
      <w:pPr>
        <w:rPr>
          <w:rFonts w:asciiTheme="majorBidi" w:hAnsiTheme="majorBidi" w:cstheme="majorBidi"/>
          <w:noProof/>
          <w:szCs w:val="24"/>
        </w:rPr>
      </w:pPr>
    </w:p>
    <w:p w14:paraId="29D0D00A" w14:textId="77777777" w:rsidR="00A4658E" w:rsidRDefault="00455199" w:rsidP="00BC3B80">
      <w:pPr>
        <w:rPr>
          <w:rFonts w:asciiTheme="majorBidi" w:hAnsiTheme="majorBidi" w:cstheme="majorBidi"/>
          <w:noProof/>
          <w:szCs w:val="24"/>
        </w:rPr>
      </w:pPr>
      <w:r w:rsidRPr="00CB6744">
        <w:rPr>
          <w:rFonts w:asciiTheme="majorBidi" w:hAnsiTheme="majorBidi" w:cstheme="majorBidi"/>
          <w:noProof/>
          <w:szCs w:val="24"/>
        </w:rPr>
        <w:lastRenderedPageBreak/>
        <w:t>Supple</w:t>
      </w:r>
      <w:r>
        <w:rPr>
          <w:rFonts w:asciiTheme="majorBidi" w:hAnsiTheme="majorBidi" w:cstheme="majorBidi"/>
          <w:noProof/>
          <w:szCs w:val="24"/>
        </w:rPr>
        <w:t>mental Figure S3</w:t>
      </w:r>
    </w:p>
    <w:p w14:paraId="4AC9E0DB" w14:textId="77777777" w:rsidR="00455199" w:rsidRDefault="00DD15AD" w:rsidP="00BC3B80">
      <w:pPr>
        <w:rPr>
          <w:rFonts w:asciiTheme="majorBidi" w:hAnsiTheme="majorBidi" w:cstheme="majorBidi"/>
        </w:rPr>
      </w:pPr>
      <w:r>
        <w:rPr>
          <w:rFonts w:asciiTheme="majorBidi" w:hAnsiTheme="majorBidi" w:cstheme="majorBidi"/>
          <w:noProof/>
        </w:rPr>
        <w:drawing>
          <wp:inline distT="0" distB="0" distL="0" distR="0" wp14:anchorId="09852466" wp14:editId="53D20464">
            <wp:extent cx="2940286" cy="38726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6.5_wt.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3697" cy="3877124"/>
                    </a:xfrm>
                    <a:prstGeom prst="rect">
                      <a:avLst/>
                    </a:prstGeom>
                  </pic:spPr>
                </pic:pic>
              </a:graphicData>
            </a:graphic>
          </wp:inline>
        </w:drawing>
      </w:r>
    </w:p>
    <w:p w14:paraId="3DC40780" w14:textId="1A203AE8" w:rsidR="00455199" w:rsidRPr="00CB6744" w:rsidRDefault="00C707A7" w:rsidP="00455199">
      <w:pPr>
        <w:rPr>
          <w:rFonts w:asciiTheme="majorBidi" w:hAnsiTheme="majorBidi" w:cstheme="majorBidi"/>
          <w:rtl/>
        </w:rPr>
      </w:pPr>
      <w:r>
        <w:rPr>
          <w:rFonts w:asciiTheme="majorBidi" w:hAnsiTheme="majorBidi" w:cstheme="majorBidi"/>
        </w:rPr>
        <w:t>M</w:t>
      </w:r>
      <w:r w:rsidR="00455199">
        <w:rPr>
          <w:rFonts w:asciiTheme="majorBidi" w:hAnsiTheme="majorBidi" w:cstheme="majorBidi"/>
        </w:rPr>
        <w:t xml:space="preserve">ethylation </w:t>
      </w:r>
      <w:r>
        <w:rPr>
          <w:rFonts w:asciiTheme="majorBidi" w:hAnsiTheme="majorBidi" w:cstheme="majorBidi"/>
        </w:rPr>
        <w:t xml:space="preserve">profiles </w:t>
      </w:r>
      <w:r w:rsidR="00455199">
        <w:rPr>
          <w:rFonts w:asciiTheme="majorBidi" w:hAnsiTheme="majorBidi" w:cstheme="majorBidi"/>
        </w:rPr>
        <w:t xml:space="preserve">at transposable elements. </w:t>
      </w:r>
      <w:r>
        <w:rPr>
          <w:rFonts w:asciiTheme="majorBidi" w:hAnsiTheme="majorBidi" w:cstheme="majorBidi"/>
        </w:rPr>
        <w:t>TSS, transcription start site. TES, transcription end site. Specific transposable elements are significantly up- or down- regulated at a log</w:t>
      </w:r>
      <w:r w:rsidRPr="00C707A7">
        <w:rPr>
          <w:rFonts w:asciiTheme="majorBidi" w:hAnsiTheme="majorBidi" w:cstheme="majorBidi"/>
          <w:vertAlign w:val="subscript"/>
        </w:rPr>
        <w:t>2</w:t>
      </w:r>
      <w:r>
        <w:rPr>
          <w:rFonts w:asciiTheme="majorBidi" w:hAnsiTheme="majorBidi" w:cstheme="majorBidi"/>
        </w:rPr>
        <w:t>FC larger than |1|, non-specific transposable elements are not differentially expressed, and have a log</w:t>
      </w:r>
      <w:r w:rsidRPr="00C707A7">
        <w:rPr>
          <w:rFonts w:asciiTheme="majorBidi" w:hAnsiTheme="majorBidi" w:cstheme="majorBidi"/>
          <w:vertAlign w:val="subscript"/>
        </w:rPr>
        <w:t>2</w:t>
      </w:r>
      <w:r>
        <w:rPr>
          <w:rFonts w:asciiTheme="majorBidi" w:hAnsiTheme="majorBidi" w:cstheme="majorBidi"/>
        </w:rPr>
        <w:t xml:space="preserve">FC of |0-0.3|. </w:t>
      </w:r>
      <w:r w:rsidR="00455199">
        <w:rPr>
          <w:rFonts w:asciiTheme="majorBidi" w:hAnsiTheme="majorBidi" w:cstheme="majorBidi"/>
        </w:rPr>
        <w:t xml:space="preserve">Methylation data from </w:t>
      </w:r>
      <w:r w:rsidR="00455199">
        <w:rPr>
          <w:rFonts w:asciiTheme="majorBidi" w:hAnsiTheme="majorBidi" w:cstheme="majorBidi"/>
        </w:rPr>
        <w:fldChar w:fldCharType="begin" w:fldLock="1"/>
      </w:r>
      <w:r w:rsidR="00AB1145">
        <w:rPr>
          <w:rFonts w:asciiTheme="majorBidi" w:hAnsiTheme="majorBidi" w:cstheme="majorBidi"/>
        </w:rPr>
        <w:instrText>ADDIN CSL_CITATION {"citationItems":[{"id":"ITEM-1","itemData":{"DOI":"10.1016/j.cell.2012.10.054","ISSN":"00928674","author":[{"dropping-particle":"","family":"Stroud","given":"Hume","non-dropping-particle":"","parse-names":false,"suffix":""},{"dropping-particle":"","family":"Greenberg","given":"Maxim V.C.","non-dropping-particle":"","parse-names":false,"suffix":""},{"dropping-particle":"","family":"Feng","given":"Suhua","non-dropping-particle":"","parse-names":false,"suffix":""},{"dropping-particle":"V.","family":"Bernatavichute","given":"Yana","non-dropping-particle":"","parse-names":false,"suffix":""},{"dropping-particle":"","family":"Jacobsen","given":"Steven E.","non-dropping-particle":"","parse-names":false,"suffix":""}],"container-title":"Cell","id":"ITEM-1","issue":"1-2","issued":{"date-parts":[["2013","1"]]},"page":"352-364","title":"Comprehensive Analysis of Silencing Mutants Reveals Complex Regulation of the Arabidopsis Methylome","type":"article-journal","volume":"152"},"uris":["http://www.mendeley.com/documents/?uuid=c8d2cc56-e293-43b2-b760-fb561e5560e5"]}],"mendeley":{"formattedCitation":"[41]","plainTextFormattedCitation":"[41]","previouslyFormattedCitation":"[41]"},"properties":{"noteIndex":0},"schema":"https://github.com/citation-style-language/schema/raw/master/csl-citation.json"}</w:instrText>
      </w:r>
      <w:r w:rsidR="00455199">
        <w:rPr>
          <w:rFonts w:asciiTheme="majorBidi" w:hAnsiTheme="majorBidi" w:cstheme="majorBidi"/>
        </w:rPr>
        <w:fldChar w:fldCharType="separate"/>
      </w:r>
      <w:r w:rsidR="00AB1145" w:rsidRPr="00AB1145">
        <w:rPr>
          <w:rFonts w:asciiTheme="majorBidi" w:hAnsiTheme="majorBidi" w:cstheme="majorBidi"/>
          <w:noProof/>
        </w:rPr>
        <w:t>[41]</w:t>
      </w:r>
      <w:r w:rsidR="00455199">
        <w:rPr>
          <w:rFonts w:asciiTheme="majorBidi" w:hAnsiTheme="majorBidi" w:cstheme="majorBidi"/>
        </w:rPr>
        <w:fldChar w:fldCharType="end"/>
      </w:r>
    </w:p>
    <w:p w14:paraId="7C69E7EA" w14:textId="4D12462B" w:rsidR="002127AC" w:rsidRDefault="002127AC" w:rsidP="002127AC">
      <w:pPr>
        <w:rPr>
          <w:rFonts w:asciiTheme="majorBidi" w:hAnsiTheme="majorBidi" w:cstheme="majorBidi"/>
          <w:noProof/>
          <w:szCs w:val="24"/>
        </w:rPr>
      </w:pPr>
      <w:r w:rsidRPr="00CB6744">
        <w:rPr>
          <w:rFonts w:asciiTheme="majorBidi" w:hAnsiTheme="majorBidi" w:cstheme="majorBidi"/>
          <w:noProof/>
          <w:szCs w:val="24"/>
        </w:rPr>
        <w:t>Supple</w:t>
      </w:r>
      <w:r>
        <w:rPr>
          <w:rFonts w:asciiTheme="majorBidi" w:hAnsiTheme="majorBidi" w:cstheme="majorBidi"/>
          <w:noProof/>
          <w:szCs w:val="24"/>
        </w:rPr>
        <w:t>mental Figure S4</w:t>
      </w:r>
    </w:p>
    <w:p w14:paraId="511ABDBB" w14:textId="7973DC49" w:rsidR="002127AC" w:rsidRDefault="002127AC" w:rsidP="002127AC">
      <w:pPr>
        <w:rPr>
          <w:rFonts w:asciiTheme="majorBidi" w:hAnsiTheme="majorBidi" w:cstheme="majorBidi"/>
          <w:noProof/>
          <w:szCs w:val="24"/>
        </w:rPr>
      </w:pPr>
      <w:r>
        <w:rPr>
          <w:rFonts w:asciiTheme="majorBidi" w:hAnsiTheme="majorBidi" w:cstheme="majorBidi"/>
          <w:noProof/>
          <w:szCs w:val="24"/>
        </w:rPr>
        <w:drawing>
          <wp:inline distT="0" distB="0" distL="0" distR="0" wp14:anchorId="6CD6E676" wp14:editId="656E32BB">
            <wp:extent cx="4892675" cy="1231893"/>
            <wp:effectExtent l="0" t="0" r="317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5.2.png"/>
                    <pic:cNvPicPr/>
                  </pic:nvPicPr>
                  <pic:blipFill rotWithShape="1">
                    <a:blip r:embed="rId17" cstate="print">
                      <a:extLst>
                        <a:ext uri="{28A0092B-C50C-407E-A947-70E740481C1C}">
                          <a14:useLocalDpi xmlns:a14="http://schemas.microsoft.com/office/drawing/2010/main" val="0"/>
                        </a:ext>
                      </a:extLst>
                    </a:blip>
                    <a:srcRect t="53655" r="17681"/>
                    <a:stretch/>
                  </pic:blipFill>
                  <pic:spPr bwMode="auto">
                    <a:xfrm>
                      <a:off x="0" y="0"/>
                      <a:ext cx="4892722" cy="1231905"/>
                    </a:xfrm>
                    <a:prstGeom prst="rect">
                      <a:avLst/>
                    </a:prstGeom>
                    <a:ln>
                      <a:noFill/>
                    </a:ln>
                    <a:extLst>
                      <a:ext uri="{53640926-AAD7-44D8-BBD7-CCE9431645EC}">
                        <a14:shadowObscured xmlns:a14="http://schemas.microsoft.com/office/drawing/2010/main"/>
                      </a:ext>
                    </a:extLst>
                  </pic:spPr>
                </pic:pic>
              </a:graphicData>
            </a:graphic>
          </wp:inline>
        </w:drawing>
      </w:r>
    </w:p>
    <w:p w14:paraId="1523C58D" w14:textId="671A7778" w:rsidR="002127AC" w:rsidRDefault="002127AC" w:rsidP="002127AC">
      <w:pPr>
        <w:pStyle w:val="NoSpacing"/>
        <w:spacing w:line="480" w:lineRule="auto"/>
        <w:rPr>
          <w:rFonts w:asciiTheme="majorBidi" w:hAnsiTheme="majorBidi" w:cstheme="majorBidi"/>
          <w:sz w:val="24"/>
        </w:rPr>
      </w:pPr>
      <w:r w:rsidRPr="002127AC">
        <w:rPr>
          <w:rFonts w:asciiTheme="majorBidi" w:hAnsiTheme="majorBidi" w:cstheme="majorBidi"/>
          <w:sz w:val="24"/>
        </w:rPr>
        <w:lastRenderedPageBreak/>
        <w:t xml:space="preserve">3D chromosome confirmation of the cluster regions measured by 4C-seq. A, cluster 1. B, cluster 5. The viewpoint is highlighted in yellow. The raw read counts were normalized per million (CPM) in a sliding window of 10 restriction enzymes sites. </w:t>
      </w:r>
    </w:p>
    <w:p w14:paraId="7D6631FF" w14:textId="77777777" w:rsidR="005A72F6" w:rsidRPr="002127AC" w:rsidRDefault="005A72F6" w:rsidP="002127AC">
      <w:pPr>
        <w:pStyle w:val="NoSpacing"/>
        <w:spacing w:line="480" w:lineRule="auto"/>
        <w:rPr>
          <w:rFonts w:asciiTheme="majorBidi" w:hAnsiTheme="majorBidi" w:cstheme="majorBidi"/>
          <w:sz w:val="24"/>
        </w:rPr>
      </w:pPr>
    </w:p>
    <w:p w14:paraId="49DE100C" w14:textId="0B11605A" w:rsidR="005A72F6" w:rsidRDefault="005A72F6" w:rsidP="005A72F6">
      <w:pPr>
        <w:rPr>
          <w:rFonts w:asciiTheme="majorBidi" w:hAnsiTheme="majorBidi" w:cstheme="majorBidi"/>
          <w:noProof/>
          <w:szCs w:val="24"/>
        </w:rPr>
      </w:pPr>
      <w:r w:rsidRPr="00CB6744">
        <w:rPr>
          <w:rFonts w:asciiTheme="majorBidi" w:hAnsiTheme="majorBidi" w:cstheme="majorBidi"/>
          <w:noProof/>
          <w:szCs w:val="24"/>
        </w:rPr>
        <w:t>Supple</w:t>
      </w:r>
      <w:r>
        <w:rPr>
          <w:rFonts w:asciiTheme="majorBidi" w:hAnsiTheme="majorBidi" w:cstheme="majorBidi"/>
          <w:noProof/>
          <w:szCs w:val="24"/>
        </w:rPr>
        <w:t>mental Figure S5</w:t>
      </w:r>
    </w:p>
    <w:p w14:paraId="450BE7C9" w14:textId="3A54D2A4" w:rsidR="002E23FE" w:rsidRDefault="005A72F6" w:rsidP="001476AB">
      <w:pPr>
        <w:rPr>
          <w:rFonts w:asciiTheme="majorBidi" w:hAnsiTheme="majorBidi" w:cstheme="majorBidi"/>
        </w:rPr>
      </w:pPr>
      <w:r>
        <w:rPr>
          <w:rFonts w:asciiTheme="majorBidi" w:hAnsiTheme="majorBidi" w:cstheme="majorBidi"/>
          <w:noProof/>
        </w:rPr>
        <w:drawing>
          <wp:inline distT="0" distB="0" distL="0" distR="0" wp14:anchorId="4761C705" wp14:editId="6307B919">
            <wp:extent cx="5021121" cy="29915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FP_6.png"/>
                    <pic:cNvPicPr/>
                  </pic:nvPicPr>
                  <pic:blipFill rotWithShape="1">
                    <a:blip r:embed="rId18" cstate="print">
                      <a:extLst>
                        <a:ext uri="{28A0092B-C50C-407E-A947-70E740481C1C}">
                          <a14:useLocalDpi xmlns:a14="http://schemas.microsoft.com/office/drawing/2010/main" val="0"/>
                        </a:ext>
                      </a:extLst>
                    </a:blip>
                    <a:srcRect t="63647"/>
                    <a:stretch/>
                  </pic:blipFill>
                  <pic:spPr bwMode="auto">
                    <a:xfrm>
                      <a:off x="0" y="0"/>
                      <a:ext cx="5021580" cy="2991784"/>
                    </a:xfrm>
                    <a:prstGeom prst="rect">
                      <a:avLst/>
                    </a:prstGeom>
                    <a:ln>
                      <a:noFill/>
                    </a:ln>
                    <a:extLst>
                      <a:ext uri="{53640926-AAD7-44D8-BBD7-CCE9431645EC}">
                        <a14:shadowObscured xmlns:a14="http://schemas.microsoft.com/office/drawing/2010/main"/>
                      </a:ext>
                    </a:extLst>
                  </pic:spPr>
                </pic:pic>
              </a:graphicData>
            </a:graphic>
          </wp:inline>
        </w:drawing>
      </w:r>
    </w:p>
    <w:p w14:paraId="730403B8" w14:textId="14E6A82F" w:rsidR="005A72F6" w:rsidRPr="005A72F6" w:rsidRDefault="005A72F6" w:rsidP="005A72F6">
      <w:pPr>
        <w:pStyle w:val="NoSpacing"/>
        <w:spacing w:line="480" w:lineRule="auto"/>
        <w:rPr>
          <w:rFonts w:asciiTheme="majorBidi" w:hAnsiTheme="majorBidi" w:cstheme="majorBidi"/>
          <w:sz w:val="24"/>
        </w:rPr>
      </w:pPr>
      <w:r>
        <w:rPr>
          <w:rFonts w:asciiTheme="majorBidi" w:hAnsiTheme="majorBidi" w:cstheme="majorBidi"/>
          <w:sz w:val="24"/>
        </w:rPr>
        <w:t>R</w:t>
      </w:r>
      <w:r w:rsidRPr="005A72F6">
        <w:rPr>
          <w:rFonts w:asciiTheme="majorBidi" w:hAnsiTheme="majorBidi" w:cstheme="majorBidi"/>
          <w:sz w:val="24"/>
        </w:rPr>
        <w:t>epresentative images of a GFP signals of fragment 2</w:t>
      </w:r>
      <w:r>
        <w:rPr>
          <w:rFonts w:asciiTheme="majorBidi" w:hAnsiTheme="majorBidi" w:cstheme="majorBidi"/>
          <w:sz w:val="24"/>
        </w:rPr>
        <w:t xml:space="preserve"> (see Figure 6)</w:t>
      </w:r>
      <w:r w:rsidRPr="005A72F6">
        <w:rPr>
          <w:rFonts w:asciiTheme="majorBidi" w:hAnsiTheme="majorBidi" w:cstheme="majorBidi"/>
          <w:sz w:val="24"/>
        </w:rPr>
        <w:t xml:space="preserve">, in </w:t>
      </w:r>
      <w:r w:rsidRPr="005A72F6">
        <w:rPr>
          <w:rFonts w:asciiTheme="majorBidi" w:hAnsiTheme="majorBidi" w:cstheme="majorBidi"/>
          <w:i/>
          <w:iCs/>
          <w:sz w:val="24"/>
        </w:rPr>
        <w:t>brm-5</w:t>
      </w:r>
      <w:r w:rsidRPr="005A72F6">
        <w:rPr>
          <w:rFonts w:asciiTheme="majorBidi" w:hAnsiTheme="majorBidi" w:cstheme="majorBidi"/>
          <w:sz w:val="24"/>
        </w:rPr>
        <w:t xml:space="preserve"> (top) or WT (middle) background. Scale bar = 100µm.</w:t>
      </w:r>
    </w:p>
    <w:p w14:paraId="6C1B6BD0" w14:textId="77777777" w:rsidR="005A72F6" w:rsidRDefault="005A72F6" w:rsidP="001476AB">
      <w:pPr>
        <w:rPr>
          <w:rFonts w:asciiTheme="majorBidi" w:hAnsiTheme="majorBidi" w:cstheme="majorBidi"/>
        </w:rPr>
      </w:pPr>
    </w:p>
    <w:p w14:paraId="74C7D34C" w14:textId="77777777" w:rsidR="00903770" w:rsidRDefault="00D0491D" w:rsidP="001476AB">
      <w:pPr>
        <w:rPr>
          <w:rFonts w:asciiTheme="majorBidi" w:hAnsiTheme="majorBidi" w:cstheme="majorBidi"/>
        </w:rPr>
      </w:pPr>
      <w:r w:rsidRPr="00CB6744">
        <w:rPr>
          <w:rFonts w:asciiTheme="majorBidi" w:hAnsiTheme="majorBidi" w:cstheme="majorBidi"/>
        </w:rPr>
        <w:t>Supplemental Table S</w:t>
      </w:r>
      <w:r w:rsidR="001476AB">
        <w:rPr>
          <w:rFonts w:asciiTheme="majorBidi" w:hAnsiTheme="majorBidi" w:cstheme="majorBidi"/>
        </w:rPr>
        <w:t>1</w:t>
      </w:r>
      <w:r>
        <w:rPr>
          <w:rFonts w:asciiTheme="majorBidi" w:hAnsiTheme="majorBidi" w:cstheme="majorBidi"/>
        </w:rPr>
        <w:t>.</w:t>
      </w:r>
    </w:p>
    <w:tbl>
      <w:tblPr>
        <w:tblStyle w:val="TableGrid"/>
        <w:tblW w:w="0" w:type="auto"/>
        <w:tblLook w:val="04A0" w:firstRow="1" w:lastRow="0" w:firstColumn="1" w:lastColumn="0" w:noHBand="0" w:noVBand="1"/>
      </w:tblPr>
      <w:tblGrid>
        <w:gridCol w:w="1572"/>
        <w:gridCol w:w="2143"/>
        <w:gridCol w:w="2343"/>
      </w:tblGrid>
      <w:tr w:rsidR="001476AB" w:rsidRPr="00CB6744" w14:paraId="0640D70C" w14:textId="77777777" w:rsidTr="00114582">
        <w:tc>
          <w:tcPr>
            <w:tcW w:w="0" w:type="auto"/>
            <w:vAlign w:val="center"/>
          </w:tcPr>
          <w:p w14:paraId="3BA8AD92"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b/>
                <w:bCs/>
                <w:szCs w:val="24"/>
                <w:lang w:val="en-US"/>
              </w:rPr>
              <w:t>All peaks</w:t>
            </w:r>
          </w:p>
        </w:tc>
        <w:tc>
          <w:tcPr>
            <w:tcW w:w="0" w:type="auto"/>
            <w:vAlign w:val="center"/>
          </w:tcPr>
          <w:p w14:paraId="511783C5"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b/>
                <w:bCs/>
                <w:szCs w:val="24"/>
                <w:lang w:val="en-US"/>
              </w:rPr>
              <w:t>WT (36,860 peaks)</w:t>
            </w:r>
          </w:p>
        </w:tc>
        <w:tc>
          <w:tcPr>
            <w:tcW w:w="0" w:type="auto"/>
            <w:vAlign w:val="center"/>
          </w:tcPr>
          <w:p w14:paraId="0E26EC38"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b/>
                <w:bCs/>
                <w:i/>
                <w:iCs/>
                <w:szCs w:val="24"/>
                <w:lang w:val="en-US"/>
              </w:rPr>
              <w:t>brm-5</w:t>
            </w:r>
            <w:r w:rsidRPr="00CB6744">
              <w:rPr>
                <w:rFonts w:asciiTheme="majorBidi" w:hAnsiTheme="majorBidi" w:cstheme="majorBidi"/>
                <w:b/>
                <w:bCs/>
                <w:szCs w:val="24"/>
                <w:lang w:val="en-US"/>
              </w:rPr>
              <w:t xml:space="preserve"> (28,644 peaks)</w:t>
            </w:r>
          </w:p>
        </w:tc>
      </w:tr>
      <w:tr w:rsidR="001476AB" w:rsidRPr="00CB6744" w14:paraId="00BEF37A" w14:textId="77777777" w:rsidTr="00114582">
        <w:tc>
          <w:tcPr>
            <w:tcW w:w="0" w:type="auto"/>
            <w:vAlign w:val="center"/>
          </w:tcPr>
          <w:p w14:paraId="00868B67"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szCs w:val="24"/>
                <w:lang w:val="en-US"/>
              </w:rPr>
              <w:t>log</w:t>
            </w:r>
            <w:r w:rsidRPr="00CB6744">
              <w:rPr>
                <w:rFonts w:asciiTheme="majorBidi" w:hAnsiTheme="majorBidi" w:cstheme="majorBidi"/>
                <w:szCs w:val="24"/>
                <w:vertAlign w:val="subscript"/>
                <w:lang w:val="en-US"/>
              </w:rPr>
              <w:t>2</w:t>
            </w:r>
            <w:r w:rsidRPr="00CB6744">
              <w:rPr>
                <w:rFonts w:asciiTheme="majorBidi" w:hAnsiTheme="majorBidi" w:cstheme="majorBidi"/>
                <w:szCs w:val="24"/>
                <w:lang w:val="en-US"/>
              </w:rPr>
              <w:t>FC = 1</w:t>
            </w:r>
          </w:p>
        </w:tc>
        <w:tc>
          <w:tcPr>
            <w:tcW w:w="0" w:type="auto"/>
            <w:vAlign w:val="center"/>
          </w:tcPr>
          <w:p w14:paraId="449EB00E"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szCs w:val="24"/>
                <w:lang w:val="en-US"/>
              </w:rPr>
              <w:t xml:space="preserve">29 (21 h, </w:t>
            </w:r>
            <w:r w:rsidRPr="00CB6744">
              <w:rPr>
                <w:rFonts w:asciiTheme="majorBidi" w:hAnsiTheme="majorBidi" w:cstheme="majorBidi"/>
                <w:szCs w:val="24"/>
                <w:rtl/>
                <w:lang w:val="en-US"/>
              </w:rPr>
              <w:t>8</w:t>
            </w:r>
            <w:r w:rsidRPr="00CB6744">
              <w:rPr>
                <w:rFonts w:asciiTheme="majorBidi" w:hAnsiTheme="majorBidi" w:cstheme="majorBidi"/>
                <w:szCs w:val="24"/>
                <w:lang w:val="en-US"/>
              </w:rPr>
              <w:t xml:space="preserve"> l)</w:t>
            </w:r>
          </w:p>
        </w:tc>
        <w:tc>
          <w:tcPr>
            <w:tcW w:w="0" w:type="auto"/>
            <w:vAlign w:val="center"/>
          </w:tcPr>
          <w:p w14:paraId="16D4E76D"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szCs w:val="24"/>
                <w:lang w:val="en-US"/>
              </w:rPr>
              <w:t>21 (21 h, 0 l)</w:t>
            </w:r>
          </w:p>
        </w:tc>
      </w:tr>
      <w:tr w:rsidR="001476AB" w:rsidRPr="00CB6744" w14:paraId="30FE488C" w14:textId="77777777" w:rsidTr="00114582">
        <w:tc>
          <w:tcPr>
            <w:tcW w:w="0" w:type="auto"/>
            <w:vAlign w:val="center"/>
          </w:tcPr>
          <w:p w14:paraId="388F4F9C"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szCs w:val="24"/>
                <w:lang w:val="en-US"/>
              </w:rPr>
              <w:t>log</w:t>
            </w:r>
            <w:r w:rsidRPr="00CB6744">
              <w:rPr>
                <w:rFonts w:asciiTheme="majorBidi" w:hAnsiTheme="majorBidi" w:cstheme="majorBidi"/>
                <w:szCs w:val="24"/>
                <w:vertAlign w:val="subscript"/>
                <w:lang w:val="en-US"/>
              </w:rPr>
              <w:t>2</w:t>
            </w:r>
            <w:r w:rsidRPr="00CB6744">
              <w:rPr>
                <w:rFonts w:asciiTheme="majorBidi" w:hAnsiTheme="majorBidi" w:cstheme="majorBidi"/>
                <w:szCs w:val="24"/>
                <w:lang w:val="en-US"/>
              </w:rPr>
              <w:t>FC = 0.6</w:t>
            </w:r>
          </w:p>
        </w:tc>
        <w:tc>
          <w:tcPr>
            <w:tcW w:w="0" w:type="auto"/>
            <w:vAlign w:val="center"/>
          </w:tcPr>
          <w:p w14:paraId="6CEDE7AA"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szCs w:val="24"/>
                <w:lang w:val="en-US"/>
              </w:rPr>
              <w:t>82 (</w:t>
            </w:r>
            <w:r w:rsidRPr="00CB6744">
              <w:rPr>
                <w:rFonts w:asciiTheme="majorBidi" w:hAnsiTheme="majorBidi" w:cstheme="majorBidi"/>
                <w:szCs w:val="24"/>
                <w:rtl/>
                <w:lang w:val="en-US"/>
              </w:rPr>
              <w:t>5</w:t>
            </w:r>
            <w:r w:rsidRPr="00CB6744">
              <w:rPr>
                <w:rFonts w:asciiTheme="majorBidi" w:hAnsiTheme="majorBidi" w:cstheme="majorBidi"/>
                <w:szCs w:val="24"/>
                <w:lang w:val="en-US"/>
              </w:rPr>
              <w:t xml:space="preserve">1 h, </w:t>
            </w:r>
            <w:r w:rsidRPr="00CB6744">
              <w:rPr>
                <w:rFonts w:asciiTheme="majorBidi" w:hAnsiTheme="majorBidi" w:cstheme="majorBidi"/>
                <w:szCs w:val="24"/>
                <w:rtl/>
                <w:lang w:val="en-US"/>
              </w:rPr>
              <w:t>31</w:t>
            </w:r>
            <w:r w:rsidRPr="00CB6744">
              <w:rPr>
                <w:rFonts w:asciiTheme="majorBidi" w:hAnsiTheme="majorBidi" w:cstheme="majorBidi"/>
                <w:szCs w:val="24"/>
                <w:lang w:val="en-US"/>
              </w:rPr>
              <w:t xml:space="preserve"> l)</w:t>
            </w:r>
          </w:p>
        </w:tc>
        <w:tc>
          <w:tcPr>
            <w:tcW w:w="0" w:type="auto"/>
            <w:vAlign w:val="center"/>
          </w:tcPr>
          <w:p w14:paraId="7DDD61CF"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szCs w:val="24"/>
                <w:lang w:val="en-US"/>
              </w:rPr>
              <w:t>47 (36 h, 11 l)</w:t>
            </w:r>
          </w:p>
        </w:tc>
      </w:tr>
      <w:tr w:rsidR="001476AB" w:rsidRPr="00CB6744" w14:paraId="37D14240" w14:textId="77777777" w:rsidTr="00114582">
        <w:tc>
          <w:tcPr>
            <w:tcW w:w="0" w:type="auto"/>
            <w:vAlign w:val="center"/>
          </w:tcPr>
          <w:p w14:paraId="2631F090"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szCs w:val="24"/>
                <w:lang w:val="en-US"/>
              </w:rPr>
              <w:lastRenderedPageBreak/>
              <w:t>log</w:t>
            </w:r>
            <w:r w:rsidRPr="00CB6744">
              <w:rPr>
                <w:rFonts w:asciiTheme="majorBidi" w:hAnsiTheme="majorBidi" w:cstheme="majorBidi"/>
                <w:szCs w:val="24"/>
                <w:vertAlign w:val="subscript"/>
                <w:lang w:val="en-US"/>
              </w:rPr>
              <w:t>2</w:t>
            </w:r>
            <w:r w:rsidRPr="00CB6744">
              <w:rPr>
                <w:rFonts w:asciiTheme="majorBidi" w:hAnsiTheme="majorBidi" w:cstheme="majorBidi"/>
                <w:szCs w:val="24"/>
                <w:lang w:val="en-US"/>
              </w:rPr>
              <w:t>FC = 0.46</w:t>
            </w:r>
          </w:p>
        </w:tc>
        <w:tc>
          <w:tcPr>
            <w:tcW w:w="0" w:type="auto"/>
            <w:vAlign w:val="center"/>
          </w:tcPr>
          <w:p w14:paraId="64E685A6"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szCs w:val="24"/>
                <w:lang w:val="en-US"/>
              </w:rPr>
              <w:t>91 (</w:t>
            </w:r>
            <w:r w:rsidRPr="00CB6744">
              <w:rPr>
                <w:rFonts w:asciiTheme="majorBidi" w:hAnsiTheme="majorBidi" w:cstheme="majorBidi"/>
                <w:szCs w:val="24"/>
                <w:rtl/>
                <w:lang w:val="en-US"/>
              </w:rPr>
              <w:t>52</w:t>
            </w:r>
            <w:r w:rsidRPr="00CB6744">
              <w:rPr>
                <w:rFonts w:asciiTheme="majorBidi" w:hAnsiTheme="majorBidi" w:cstheme="majorBidi"/>
                <w:szCs w:val="24"/>
                <w:lang w:val="en-US"/>
              </w:rPr>
              <w:t xml:space="preserve"> h, </w:t>
            </w:r>
            <w:r w:rsidRPr="00CB6744">
              <w:rPr>
                <w:rFonts w:asciiTheme="majorBidi" w:hAnsiTheme="majorBidi" w:cstheme="majorBidi"/>
                <w:szCs w:val="24"/>
                <w:rtl/>
                <w:lang w:val="en-US"/>
              </w:rPr>
              <w:t>39</w:t>
            </w:r>
            <w:r w:rsidRPr="00CB6744">
              <w:rPr>
                <w:rFonts w:asciiTheme="majorBidi" w:hAnsiTheme="majorBidi" w:cstheme="majorBidi"/>
                <w:szCs w:val="24"/>
                <w:lang w:val="en-US"/>
              </w:rPr>
              <w:t xml:space="preserve"> l)</w:t>
            </w:r>
          </w:p>
        </w:tc>
        <w:tc>
          <w:tcPr>
            <w:tcW w:w="0" w:type="auto"/>
            <w:vAlign w:val="center"/>
          </w:tcPr>
          <w:p w14:paraId="7AA21A20" w14:textId="77777777" w:rsidR="001476AB" w:rsidRPr="00CB6744" w:rsidRDefault="001476AB" w:rsidP="00114582">
            <w:pPr>
              <w:jc w:val="center"/>
              <w:rPr>
                <w:rFonts w:asciiTheme="majorBidi" w:hAnsiTheme="majorBidi" w:cstheme="majorBidi"/>
                <w:szCs w:val="24"/>
                <w:lang w:val="en-US"/>
              </w:rPr>
            </w:pPr>
            <w:r w:rsidRPr="00CB6744">
              <w:rPr>
                <w:rFonts w:asciiTheme="majorBidi" w:hAnsiTheme="majorBidi" w:cstheme="majorBidi"/>
                <w:szCs w:val="24"/>
                <w:lang w:val="en-US"/>
              </w:rPr>
              <w:t>54 (41 h, 13 l)</w:t>
            </w:r>
          </w:p>
        </w:tc>
      </w:tr>
    </w:tbl>
    <w:p w14:paraId="71E75834" w14:textId="77777777" w:rsidR="001476AB" w:rsidRPr="00CB6744" w:rsidRDefault="001476AB" w:rsidP="001476AB">
      <w:pPr>
        <w:rPr>
          <w:rFonts w:asciiTheme="majorBidi" w:hAnsiTheme="majorBidi" w:cstheme="majorBidi"/>
        </w:rPr>
      </w:pPr>
      <w:r w:rsidRPr="00CB6744">
        <w:rPr>
          <w:rFonts w:asciiTheme="majorBidi" w:hAnsiTheme="majorBidi" w:cstheme="majorBidi"/>
        </w:rPr>
        <w:t>Number of dTHSs calculated by DEseq2, p-value&lt;0.05. h, high. l, low.</w:t>
      </w:r>
    </w:p>
    <w:p w14:paraId="532FC39E" w14:textId="77777777" w:rsidR="001476AB" w:rsidRPr="00D0491D" w:rsidRDefault="001476AB" w:rsidP="00D0491D">
      <w:pPr>
        <w:rPr>
          <w:rFonts w:asciiTheme="majorBidi" w:hAnsiTheme="majorBidi" w:cstheme="majorBidi"/>
        </w:rPr>
      </w:pPr>
    </w:p>
    <w:p w14:paraId="6A7060A2" w14:textId="77777777" w:rsidR="00903770" w:rsidRPr="00CB6744" w:rsidRDefault="00903770">
      <w:pPr>
        <w:spacing w:line="276" w:lineRule="auto"/>
        <w:jc w:val="left"/>
        <w:rPr>
          <w:rFonts w:asciiTheme="majorBidi" w:hAnsiTheme="majorBidi" w:cstheme="majorBidi"/>
          <w:noProof/>
        </w:rPr>
      </w:pPr>
    </w:p>
    <w:sectPr w:rsidR="00903770" w:rsidRPr="00CB6744">
      <w:footnotePr>
        <w:numFmt w:val="chicago"/>
      </w:footnotePr>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E614E91" w16cid:durableId="238F2627"/>
  <w16cid:commentId w16cid:paraId="41B99B53" w16cid:durableId="238F267D"/>
  <w16cid:commentId w16cid:paraId="140EB653" w16cid:durableId="238F27C6"/>
  <w16cid:commentId w16cid:paraId="06D23AFD" w16cid:durableId="238F2817"/>
  <w16cid:commentId w16cid:paraId="0BD69D1E" w16cid:durableId="238F2871"/>
  <w16cid:commentId w16cid:paraId="188A0A08" w16cid:durableId="238F2970"/>
  <w16cid:commentId w16cid:paraId="6E6D5992" w16cid:durableId="238F2A6D"/>
  <w16cid:commentId w16cid:paraId="69725B43" w16cid:durableId="238F2A57"/>
  <w16cid:commentId w16cid:paraId="0A7F33EA" w16cid:durableId="2391E872"/>
  <w16cid:commentId w16cid:paraId="1047C792" w16cid:durableId="238F4DEF"/>
  <w16cid:commentId w16cid:paraId="41F4D97A" w16cid:durableId="23908550"/>
  <w16cid:commentId w16cid:paraId="051C74DE" w16cid:durableId="23908791"/>
  <w16cid:commentId w16cid:paraId="2049994A" w16cid:durableId="2390A2F0"/>
  <w16cid:commentId w16cid:paraId="0485A6C9" w16cid:durableId="2391E8C6"/>
  <w16cid:commentId w16cid:paraId="2B8EB2F3" w16cid:durableId="2391E6CC"/>
  <w16cid:commentId w16cid:paraId="6AB10332" w16cid:durableId="2391EC8B"/>
  <w16cid:commentId w16cid:paraId="779A0A64" w16cid:durableId="2391F2E1"/>
  <w16cid:commentId w16cid:paraId="37175CAD" w16cid:durableId="2391F56E"/>
  <w16cid:commentId w16cid:paraId="43488B6A" w16cid:durableId="2391F0F7"/>
  <w16cid:commentId w16cid:paraId="2BA75C23" w16cid:durableId="2391F5DF"/>
  <w16cid:commentId w16cid:paraId="1FDB1BE8" w16cid:durableId="2391F6A0"/>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3894A8" w14:textId="77777777" w:rsidR="00DB6D2B" w:rsidRDefault="00DB6D2B" w:rsidP="009A46EB">
      <w:pPr>
        <w:spacing w:after="0" w:line="240" w:lineRule="auto"/>
      </w:pPr>
      <w:r>
        <w:separator/>
      </w:r>
    </w:p>
  </w:endnote>
  <w:endnote w:type="continuationSeparator" w:id="0">
    <w:p w14:paraId="00BCE346" w14:textId="77777777" w:rsidR="00DB6D2B" w:rsidRDefault="00DB6D2B" w:rsidP="009A46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David">
    <w:panose1 w:val="020E0502060401010101"/>
    <w:charset w:val="00"/>
    <w:family w:val="swiss"/>
    <w:pitch w:val="variable"/>
    <w:sig w:usb0="00000803" w:usb1="00000000" w:usb2="00000000" w:usb3="00000000" w:csb0="0000002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7996AD" w14:textId="77777777" w:rsidR="00DB6D2B" w:rsidRDefault="00DB6D2B" w:rsidP="009A46EB">
      <w:pPr>
        <w:spacing w:after="0" w:line="240" w:lineRule="auto"/>
      </w:pPr>
      <w:r>
        <w:separator/>
      </w:r>
    </w:p>
  </w:footnote>
  <w:footnote w:type="continuationSeparator" w:id="0">
    <w:p w14:paraId="4AECE493" w14:textId="77777777" w:rsidR="00DB6D2B" w:rsidRDefault="00DB6D2B" w:rsidP="009A46EB">
      <w:pPr>
        <w:spacing w:after="0" w:line="240" w:lineRule="auto"/>
      </w:pPr>
      <w:r>
        <w:continuationSeparator/>
      </w:r>
    </w:p>
  </w:footnote>
  <w:footnote w:id="1">
    <w:p w14:paraId="4EA46514" w14:textId="0150D3B2" w:rsidR="00F16B0D" w:rsidRDefault="00F16B0D" w:rsidP="00F16B0D">
      <w:pPr>
        <w:pStyle w:val="FootnoteText"/>
      </w:pPr>
      <w:r w:rsidRPr="00F16B0D">
        <w:rPr>
          <w:rStyle w:val="FootnoteReference"/>
          <w:vanish/>
        </w:rPr>
        <w:footnoteRef/>
      </w:r>
      <w:r>
        <w:t xml:space="preserve">Abbreviations: BRM, Brahma; CHR, </w:t>
      </w:r>
      <w:r>
        <w:rPr>
          <w:rFonts w:asciiTheme="majorBidi" w:hAnsiTheme="majorBidi" w:cstheme="majorBidi"/>
          <w:szCs w:val="24"/>
        </w:rPr>
        <w:t xml:space="preserve">chromatin remodeler; DEG, </w:t>
      </w:r>
      <w:r w:rsidRPr="00CB6744">
        <w:rPr>
          <w:rFonts w:asciiTheme="majorBidi" w:hAnsiTheme="majorBidi" w:cstheme="majorBidi"/>
          <w:szCs w:val="24"/>
        </w:rPr>
        <w:t>differentially expressed gene</w:t>
      </w:r>
      <w:r>
        <w:rPr>
          <w:rFonts w:asciiTheme="majorBidi" w:hAnsiTheme="majorBidi" w:cstheme="majorBidi"/>
          <w:szCs w:val="24"/>
        </w:rPr>
        <w:t>;</w:t>
      </w:r>
      <w:r>
        <w:t xml:space="preserve"> dTHS, </w:t>
      </w:r>
      <w:r>
        <w:rPr>
          <w:rFonts w:asciiTheme="majorBidi" w:hAnsiTheme="majorBidi" w:cstheme="majorBidi"/>
          <w:szCs w:val="24"/>
        </w:rPr>
        <w:t xml:space="preserve">differential </w:t>
      </w:r>
      <w:r w:rsidRPr="00CB6744">
        <w:rPr>
          <w:rFonts w:asciiTheme="majorBidi" w:hAnsiTheme="majorBidi" w:cstheme="majorBidi"/>
          <w:szCs w:val="24"/>
        </w:rPr>
        <w:t>transposase hyper-sensitiv</w:t>
      </w:r>
      <w:r>
        <w:rPr>
          <w:rFonts w:asciiTheme="majorBidi" w:hAnsiTheme="majorBidi" w:cstheme="majorBidi"/>
          <w:szCs w:val="24"/>
        </w:rPr>
        <w:t>ity</w:t>
      </w:r>
      <w:r>
        <w:rPr>
          <w:rFonts w:asciiTheme="majorBidi" w:hAnsiTheme="majorBidi" w:cstheme="majorBidi"/>
          <w:szCs w:val="24"/>
        </w:rPr>
        <w:t xml:space="preserve">; </w:t>
      </w:r>
      <w:r>
        <w:t xml:space="preserve">TF, </w:t>
      </w:r>
      <w:r>
        <w:rPr>
          <w:rFonts w:asciiTheme="majorBidi" w:hAnsiTheme="majorBidi" w:cstheme="majorBidi"/>
          <w:szCs w:val="24"/>
        </w:rPr>
        <w:t>transcription factor.</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6C0199"/>
    <w:multiLevelType w:val="hybridMultilevel"/>
    <w:tmpl w:val="54269E3E"/>
    <w:lvl w:ilvl="0" w:tplc="54F0DEDC">
      <w:start w:val="1"/>
      <w:numFmt w:val="decimal"/>
      <w:lvlText w:val="(%1)"/>
      <w:lvlJc w:val="left"/>
      <w:pPr>
        <w:ind w:left="720" w:hanging="360"/>
      </w:pPr>
      <w:rPr>
        <w:rFonts w:ascii="David" w:hAnsi="David" w:cs="David"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19561EE"/>
    <w:multiLevelType w:val="hybridMultilevel"/>
    <w:tmpl w:val="93CED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D0D5C93"/>
    <w:multiLevelType w:val="multilevel"/>
    <w:tmpl w:val="99BC7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CBD0EB5"/>
    <w:multiLevelType w:val="hybridMultilevel"/>
    <w:tmpl w:val="D430EB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2B37"/>
    <w:rsid w:val="0000120F"/>
    <w:rsid w:val="0000207E"/>
    <w:rsid w:val="00005568"/>
    <w:rsid w:val="00013297"/>
    <w:rsid w:val="000134F1"/>
    <w:rsid w:val="00013C12"/>
    <w:rsid w:val="00016733"/>
    <w:rsid w:val="00017E54"/>
    <w:rsid w:val="0002232B"/>
    <w:rsid w:val="0002257A"/>
    <w:rsid w:val="000230F9"/>
    <w:rsid w:val="0002570D"/>
    <w:rsid w:val="00027F24"/>
    <w:rsid w:val="00030B50"/>
    <w:rsid w:val="0003521E"/>
    <w:rsid w:val="0004189D"/>
    <w:rsid w:val="00051AB8"/>
    <w:rsid w:val="00061C04"/>
    <w:rsid w:val="0006357F"/>
    <w:rsid w:val="00063F7B"/>
    <w:rsid w:val="00064295"/>
    <w:rsid w:val="00065247"/>
    <w:rsid w:val="00073C37"/>
    <w:rsid w:val="00075EFB"/>
    <w:rsid w:val="00091306"/>
    <w:rsid w:val="000A08EC"/>
    <w:rsid w:val="000A3D95"/>
    <w:rsid w:val="000A5592"/>
    <w:rsid w:val="000B2B37"/>
    <w:rsid w:val="000B4C3A"/>
    <w:rsid w:val="000D1205"/>
    <w:rsid w:val="000D3016"/>
    <w:rsid w:val="000D6336"/>
    <w:rsid w:val="000E20C9"/>
    <w:rsid w:val="000E417D"/>
    <w:rsid w:val="000E6693"/>
    <w:rsid w:val="000E73AA"/>
    <w:rsid w:val="000F510E"/>
    <w:rsid w:val="0010191A"/>
    <w:rsid w:val="0011425A"/>
    <w:rsid w:val="00114582"/>
    <w:rsid w:val="0011554E"/>
    <w:rsid w:val="00115C48"/>
    <w:rsid w:val="00117EDD"/>
    <w:rsid w:val="00117F4F"/>
    <w:rsid w:val="00127113"/>
    <w:rsid w:val="00130B0E"/>
    <w:rsid w:val="00133EE5"/>
    <w:rsid w:val="001476AB"/>
    <w:rsid w:val="00150078"/>
    <w:rsid w:val="00153267"/>
    <w:rsid w:val="001560A2"/>
    <w:rsid w:val="00161489"/>
    <w:rsid w:val="00170C3F"/>
    <w:rsid w:val="00172D11"/>
    <w:rsid w:val="0017656D"/>
    <w:rsid w:val="00182780"/>
    <w:rsid w:val="001837B1"/>
    <w:rsid w:val="00187D5A"/>
    <w:rsid w:val="001910EA"/>
    <w:rsid w:val="001A4164"/>
    <w:rsid w:val="001A7536"/>
    <w:rsid w:val="001C098A"/>
    <w:rsid w:val="001C0C7E"/>
    <w:rsid w:val="001C21FE"/>
    <w:rsid w:val="001C2726"/>
    <w:rsid w:val="001C5F98"/>
    <w:rsid w:val="001D3776"/>
    <w:rsid w:val="001D4F27"/>
    <w:rsid w:val="001D7E04"/>
    <w:rsid w:val="001E18CB"/>
    <w:rsid w:val="001E518D"/>
    <w:rsid w:val="00200DD1"/>
    <w:rsid w:val="00201E4D"/>
    <w:rsid w:val="00207380"/>
    <w:rsid w:val="00207E5D"/>
    <w:rsid w:val="002127AC"/>
    <w:rsid w:val="00213155"/>
    <w:rsid w:val="002144D9"/>
    <w:rsid w:val="00217702"/>
    <w:rsid w:val="00222D33"/>
    <w:rsid w:val="00223032"/>
    <w:rsid w:val="00224C99"/>
    <w:rsid w:val="00241A22"/>
    <w:rsid w:val="002500A4"/>
    <w:rsid w:val="002520DE"/>
    <w:rsid w:val="00253D0A"/>
    <w:rsid w:val="00255888"/>
    <w:rsid w:val="00260864"/>
    <w:rsid w:val="00261FDA"/>
    <w:rsid w:val="0026391F"/>
    <w:rsid w:val="0026496D"/>
    <w:rsid w:val="00265C0B"/>
    <w:rsid w:val="00270E31"/>
    <w:rsid w:val="0027121B"/>
    <w:rsid w:val="002726E4"/>
    <w:rsid w:val="0028027D"/>
    <w:rsid w:val="00280CC9"/>
    <w:rsid w:val="00285482"/>
    <w:rsid w:val="002900CE"/>
    <w:rsid w:val="002A0E85"/>
    <w:rsid w:val="002A22B9"/>
    <w:rsid w:val="002A4C1D"/>
    <w:rsid w:val="002A7530"/>
    <w:rsid w:val="002B6345"/>
    <w:rsid w:val="002C25E8"/>
    <w:rsid w:val="002D1200"/>
    <w:rsid w:val="002D183B"/>
    <w:rsid w:val="002D2CEA"/>
    <w:rsid w:val="002D4B44"/>
    <w:rsid w:val="002D65F3"/>
    <w:rsid w:val="002D6EA1"/>
    <w:rsid w:val="002E19D2"/>
    <w:rsid w:val="002E23FE"/>
    <w:rsid w:val="002E29A2"/>
    <w:rsid w:val="002F0E3F"/>
    <w:rsid w:val="002F0F8C"/>
    <w:rsid w:val="002F518A"/>
    <w:rsid w:val="002F7FF7"/>
    <w:rsid w:val="00300E34"/>
    <w:rsid w:val="00301A90"/>
    <w:rsid w:val="0030479F"/>
    <w:rsid w:val="00314557"/>
    <w:rsid w:val="00315790"/>
    <w:rsid w:val="00321986"/>
    <w:rsid w:val="00322490"/>
    <w:rsid w:val="00327620"/>
    <w:rsid w:val="00334429"/>
    <w:rsid w:val="00344F8C"/>
    <w:rsid w:val="00344FB5"/>
    <w:rsid w:val="00346567"/>
    <w:rsid w:val="00362F4E"/>
    <w:rsid w:val="00363544"/>
    <w:rsid w:val="00366730"/>
    <w:rsid w:val="003707E4"/>
    <w:rsid w:val="00371AD8"/>
    <w:rsid w:val="00373803"/>
    <w:rsid w:val="00373ECE"/>
    <w:rsid w:val="00374DAD"/>
    <w:rsid w:val="00375979"/>
    <w:rsid w:val="00377A27"/>
    <w:rsid w:val="003842A4"/>
    <w:rsid w:val="003912A3"/>
    <w:rsid w:val="00394DA0"/>
    <w:rsid w:val="003A0D72"/>
    <w:rsid w:val="003A79E9"/>
    <w:rsid w:val="003B480A"/>
    <w:rsid w:val="003B5163"/>
    <w:rsid w:val="003C0871"/>
    <w:rsid w:val="003C15F1"/>
    <w:rsid w:val="003C1757"/>
    <w:rsid w:val="003D0092"/>
    <w:rsid w:val="003D14B8"/>
    <w:rsid w:val="003D36CB"/>
    <w:rsid w:val="003D7BE7"/>
    <w:rsid w:val="003D7EE2"/>
    <w:rsid w:val="003E3306"/>
    <w:rsid w:val="003E514C"/>
    <w:rsid w:val="003F1012"/>
    <w:rsid w:val="003F5124"/>
    <w:rsid w:val="003F5382"/>
    <w:rsid w:val="004012CB"/>
    <w:rsid w:val="004034A6"/>
    <w:rsid w:val="00403BC1"/>
    <w:rsid w:val="00407B13"/>
    <w:rsid w:val="0041018E"/>
    <w:rsid w:val="0041032D"/>
    <w:rsid w:val="00412305"/>
    <w:rsid w:val="00421164"/>
    <w:rsid w:val="004236A2"/>
    <w:rsid w:val="00427BE6"/>
    <w:rsid w:val="00431567"/>
    <w:rsid w:val="004367C3"/>
    <w:rsid w:val="004378AB"/>
    <w:rsid w:val="00440329"/>
    <w:rsid w:val="0045149C"/>
    <w:rsid w:val="00451D85"/>
    <w:rsid w:val="00452048"/>
    <w:rsid w:val="004536FB"/>
    <w:rsid w:val="00453ED6"/>
    <w:rsid w:val="00455199"/>
    <w:rsid w:val="0045687B"/>
    <w:rsid w:val="00456FAB"/>
    <w:rsid w:val="00462CCE"/>
    <w:rsid w:val="00467AF8"/>
    <w:rsid w:val="00472356"/>
    <w:rsid w:val="00472B6C"/>
    <w:rsid w:val="0047755E"/>
    <w:rsid w:val="00477FEC"/>
    <w:rsid w:val="004842A6"/>
    <w:rsid w:val="004843C6"/>
    <w:rsid w:val="00485212"/>
    <w:rsid w:val="004864BF"/>
    <w:rsid w:val="004870A3"/>
    <w:rsid w:val="004A0E2C"/>
    <w:rsid w:val="004A18AA"/>
    <w:rsid w:val="004A230D"/>
    <w:rsid w:val="004B11D1"/>
    <w:rsid w:val="004B1A5F"/>
    <w:rsid w:val="004B5784"/>
    <w:rsid w:val="004C2B73"/>
    <w:rsid w:val="004C4D62"/>
    <w:rsid w:val="004C7503"/>
    <w:rsid w:val="004D3308"/>
    <w:rsid w:val="004E0CF6"/>
    <w:rsid w:val="004E55F5"/>
    <w:rsid w:val="004E6BA0"/>
    <w:rsid w:val="00505557"/>
    <w:rsid w:val="005068BC"/>
    <w:rsid w:val="005070F8"/>
    <w:rsid w:val="00513909"/>
    <w:rsid w:val="00516D8E"/>
    <w:rsid w:val="00517477"/>
    <w:rsid w:val="00522DE6"/>
    <w:rsid w:val="005244D5"/>
    <w:rsid w:val="00526622"/>
    <w:rsid w:val="00526E30"/>
    <w:rsid w:val="0052731B"/>
    <w:rsid w:val="00530864"/>
    <w:rsid w:val="005333C3"/>
    <w:rsid w:val="00540D22"/>
    <w:rsid w:val="0054127A"/>
    <w:rsid w:val="00541F5E"/>
    <w:rsid w:val="00544213"/>
    <w:rsid w:val="00551002"/>
    <w:rsid w:val="00555E6D"/>
    <w:rsid w:val="005569A9"/>
    <w:rsid w:val="00557DF1"/>
    <w:rsid w:val="00560CAD"/>
    <w:rsid w:val="00562A08"/>
    <w:rsid w:val="00564D3A"/>
    <w:rsid w:val="00582296"/>
    <w:rsid w:val="00582793"/>
    <w:rsid w:val="00587C93"/>
    <w:rsid w:val="005907BB"/>
    <w:rsid w:val="00591A08"/>
    <w:rsid w:val="00592B89"/>
    <w:rsid w:val="00592C66"/>
    <w:rsid w:val="005946E6"/>
    <w:rsid w:val="00596AA1"/>
    <w:rsid w:val="00597F83"/>
    <w:rsid w:val="005A59E5"/>
    <w:rsid w:val="005A6447"/>
    <w:rsid w:val="005A72F6"/>
    <w:rsid w:val="005C11E3"/>
    <w:rsid w:val="005C5506"/>
    <w:rsid w:val="005C556A"/>
    <w:rsid w:val="005C76CB"/>
    <w:rsid w:val="005D1267"/>
    <w:rsid w:val="005D4D22"/>
    <w:rsid w:val="005E14F1"/>
    <w:rsid w:val="005E3E65"/>
    <w:rsid w:val="005E4A25"/>
    <w:rsid w:val="005E617B"/>
    <w:rsid w:val="005F1CF3"/>
    <w:rsid w:val="005F3062"/>
    <w:rsid w:val="005F34E7"/>
    <w:rsid w:val="005F3563"/>
    <w:rsid w:val="005F48B0"/>
    <w:rsid w:val="005F53C7"/>
    <w:rsid w:val="0060121E"/>
    <w:rsid w:val="00602D32"/>
    <w:rsid w:val="00604E2E"/>
    <w:rsid w:val="00606446"/>
    <w:rsid w:val="0061408B"/>
    <w:rsid w:val="00617093"/>
    <w:rsid w:val="00621150"/>
    <w:rsid w:val="00626F95"/>
    <w:rsid w:val="00641D4F"/>
    <w:rsid w:val="00642183"/>
    <w:rsid w:val="00642A13"/>
    <w:rsid w:val="00647D12"/>
    <w:rsid w:val="006510FF"/>
    <w:rsid w:val="00656D17"/>
    <w:rsid w:val="00657D30"/>
    <w:rsid w:val="00660B0A"/>
    <w:rsid w:val="00661D52"/>
    <w:rsid w:val="00662F93"/>
    <w:rsid w:val="0066459A"/>
    <w:rsid w:val="006674F5"/>
    <w:rsid w:val="00671446"/>
    <w:rsid w:val="00673AE5"/>
    <w:rsid w:val="00674FE4"/>
    <w:rsid w:val="00676B53"/>
    <w:rsid w:val="00677004"/>
    <w:rsid w:val="0067792B"/>
    <w:rsid w:val="0068497E"/>
    <w:rsid w:val="006A749F"/>
    <w:rsid w:val="006B0F86"/>
    <w:rsid w:val="006B264A"/>
    <w:rsid w:val="006B747C"/>
    <w:rsid w:val="006C24A9"/>
    <w:rsid w:val="006C4CC0"/>
    <w:rsid w:val="006C6D73"/>
    <w:rsid w:val="006D103B"/>
    <w:rsid w:val="006D46DE"/>
    <w:rsid w:val="006D5B48"/>
    <w:rsid w:val="006E33A1"/>
    <w:rsid w:val="006E4640"/>
    <w:rsid w:val="006F1AE1"/>
    <w:rsid w:val="006F3008"/>
    <w:rsid w:val="006F4CB3"/>
    <w:rsid w:val="0070461E"/>
    <w:rsid w:val="00710691"/>
    <w:rsid w:val="007170BF"/>
    <w:rsid w:val="00723B34"/>
    <w:rsid w:val="007257BF"/>
    <w:rsid w:val="0073204E"/>
    <w:rsid w:val="00734543"/>
    <w:rsid w:val="00734FEC"/>
    <w:rsid w:val="00735230"/>
    <w:rsid w:val="007354C2"/>
    <w:rsid w:val="00736E11"/>
    <w:rsid w:val="007422DC"/>
    <w:rsid w:val="00744560"/>
    <w:rsid w:val="00750523"/>
    <w:rsid w:val="007543D6"/>
    <w:rsid w:val="00760CC5"/>
    <w:rsid w:val="00764582"/>
    <w:rsid w:val="00764B9E"/>
    <w:rsid w:val="007658B4"/>
    <w:rsid w:val="00771C97"/>
    <w:rsid w:val="00772C71"/>
    <w:rsid w:val="0078004E"/>
    <w:rsid w:val="00782CF8"/>
    <w:rsid w:val="007856F1"/>
    <w:rsid w:val="0078615B"/>
    <w:rsid w:val="0079038D"/>
    <w:rsid w:val="00790712"/>
    <w:rsid w:val="0079154F"/>
    <w:rsid w:val="00794E53"/>
    <w:rsid w:val="007A0D60"/>
    <w:rsid w:val="007A10C0"/>
    <w:rsid w:val="007A2722"/>
    <w:rsid w:val="007A5175"/>
    <w:rsid w:val="007A7DE2"/>
    <w:rsid w:val="007B7830"/>
    <w:rsid w:val="007C44F7"/>
    <w:rsid w:val="007C4699"/>
    <w:rsid w:val="007C4C23"/>
    <w:rsid w:val="007D2916"/>
    <w:rsid w:val="007D5BD8"/>
    <w:rsid w:val="007E432E"/>
    <w:rsid w:val="007E5476"/>
    <w:rsid w:val="007F4355"/>
    <w:rsid w:val="007F54D9"/>
    <w:rsid w:val="00800586"/>
    <w:rsid w:val="00805DA1"/>
    <w:rsid w:val="008064BE"/>
    <w:rsid w:val="00807E07"/>
    <w:rsid w:val="00807E5C"/>
    <w:rsid w:val="008123D1"/>
    <w:rsid w:val="0082396E"/>
    <w:rsid w:val="00833DCC"/>
    <w:rsid w:val="008346B5"/>
    <w:rsid w:val="00834712"/>
    <w:rsid w:val="00835558"/>
    <w:rsid w:val="008357AF"/>
    <w:rsid w:val="0084053B"/>
    <w:rsid w:val="00843CD9"/>
    <w:rsid w:val="00846EB2"/>
    <w:rsid w:val="00865581"/>
    <w:rsid w:val="008812F8"/>
    <w:rsid w:val="00886A34"/>
    <w:rsid w:val="00893428"/>
    <w:rsid w:val="00893B49"/>
    <w:rsid w:val="00894174"/>
    <w:rsid w:val="008959FE"/>
    <w:rsid w:val="00897775"/>
    <w:rsid w:val="008A1CF6"/>
    <w:rsid w:val="008A1F1F"/>
    <w:rsid w:val="008A654D"/>
    <w:rsid w:val="008B0DF4"/>
    <w:rsid w:val="008B495E"/>
    <w:rsid w:val="008C23ED"/>
    <w:rsid w:val="008C4FC6"/>
    <w:rsid w:val="008C7503"/>
    <w:rsid w:val="008D5A2B"/>
    <w:rsid w:val="008E3F5D"/>
    <w:rsid w:val="008F7D1A"/>
    <w:rsid w:val="00903770"/>
    <w:rsid w:val="00904F15"/>
    <w:rsid w:val="0090587D"/>
    <w:rsid w:val="00910EE9"/>
    <w:rsid w:val="00912405"/>
    <w:rsid w:val="00912A5B"/>
    <w:rsid w:val="00913205"/>
    <w:rsid w:val="009238C3"/>
    <w:rsid w:val="00932C1A"/>
    <w:rsid w:val="009359B0"/>
    <w:rsid w:val="009369EF"/>
    <w:rsid w:val="00936C9F"/>
    <w:rsid w:val="0094211D"/>
    <w:rsid w:val="00952E61"/>
    <w:rsid w:val="0095355B"/>
    <w:rsid w:val="009569E1"/>
    <w:rsid w:val="00957C64"/>
    <w:rsid w:val="00961876"/>
    <w:rsid w:val="00963999"/>
    <w:rsid w:val="009645EC"/>
    <w:rsid w:val="00971071"/>
    <w:rsid w:val="00983058"/>
    <w:rsid w:val="0098671E"/>
    <w:rsid w:val="00991490"/>
    <w:rsid w:val="009939D9"/>
    <w:rsid w:val="009943DB"/>
    <w:rsid w:val="009A2839"/>
    <w:rsid w:val="009A46EB"/>
    <w:rsid w:val="009B1816"/>
    <w:rsid w:val="009B1A6C"/>
    <w:rsid w:val="009B47EB"/>
    <w:rsid w:val="009B4CA1"/>
    <w:rsid w:val="009B53FE"/>
    <w:rsid w:val="009B59EC"/>
    <w:rsid w:val="009B6249"/>
    <w:rsid w:val="009B7A03"/>
    <w:rsid w:val="009C1E86"/>
    <w:rsid w:val="009C4796"/>
    <w:rsid w:val="009C722B"/>
    <w:rsid w:val="009D1F3E"/>
    <w:rsid w:val="009D1FA7"/>
    <w:rsid w:val="009D2664"/>
    <w:rsid w:val="009E2D6E"/>
    <w:rsid w:val="009E33A9"/>
    <w:rsid w:val="009E713D"/>
    <w:rsid w:val="009F081C"/>
    <w:rsid w:val="00A04C69"/>
    <w:rsid w:val="00A119C7"/>
    <w:rsid w:val="00A16A47"/>
    <w:rsid w:val="00A27D12"/>
    <w:rsid w:val="00A27FDB"/>
    <w:rsid w:val="00A30EC5"/>
    <w:rsid w:val="00A36222"/>
    <w:rsid w:val="00A4658E"/>
    <w:rsid w:val="00A46FB1"/>
    <w:rsid w:val="00A5034E"/>
    <w:rsid w:val="00A61062"/>
    <w:rsid w:val="00A64E73"/>
    <w:rsid w:val="00A74C19"/>
    <w:rsid w:val="00A7726E"/>
    <w:rsid w:val="00A81257"/>
    <w:rsid w:val="00A82C07"/>
    <w:rsid w:val="00A9097D"/>
    <w:rsid w:val="00A93C18"/>
    <w:rsid w:val="00A94161"/>
    <w:rsid w:val="00AA36F8"/>
    <w:rsid w:val="00AA5293"/>
    <w:rsid w:val="00AA6954"/>
    <w:rsid w:val="00AB1145"/>
    <w:rsid w:val="00AB3B81"/>
    <w:rsid w:val="00AC12CF"/>
    <w:rsid w:val="00AC4452"/>
    <w:rsid w:val="00AD01EA"/>
    <w:rsid w:val="00AD519E"/>
    <w:rsid w:val="00AD75C2"/>
    <w:rsid w:val="00AE1267"/>
    <w:rsid w:val="00AE3DF7"/>
    <w:rsid w:val="00AE6532"/>
    <w:rsid w:val="00AF2671"/>
    <w:rsid w:val="00AF4316"/>
    <w:rsid w:val="00AF4FED"/>
    <w:rsid w:val="00B010B5"/>
    <w:rsid w:val="00B07B8E"/>
    <w:rsid w:val="00B10E80"/>
    <w:rsid w:val="00B149AF"/>
    <w:rsid w:val="00B21996"/>
    <w:rsid w:val="00B21E3B"/>
    <w:rsid w:val="00B23D8E"/>
    <w:rsid w:val="00B27999"/>
    <w:rsid w:val="00B343F1"/>
    <w:rsid w:val="00B348CB"/>
    <w:rsid w:val="00B36BB5"/>
    <w:rsid w:val="00B4184A"/>
    <w:rsid w:val="00B44EBA"/>
    <w:rsid w:val="00B537EF"/>
    <w:rsid w:val="00B60EA2"/>
    <w:rsid w:val="00B63170"/>
    <w:rsid w:val="00B74DB5"/>
    <w:rsid w:val="00B81183"/>
    <w:rsid w:val="00B83333"/>
    <w:rsid w:val="00B8454D"/>
    <w:rsid w:val="00B96438"/>
    <w:rsid w:val="00B96E79"/>
    <w:rsid w:val="00BA0C64"/>
    <w:rsid w:val="00BA207A"/>
    <w:rsid w:val="00BB39BF"/>
    <w:rsid w:val="00BB5C54"/>
    <w:rsid w:val="00BB6C04"/>
    <w:rsid w:val="00BC1F6B"/>
    <w:rsid w:val="00BC3B80"/>
    <w:rsid w:val="00BC4A99"/>
    <w:rsid w:val="00BC7A4A"/>
    <w:rsid w:val="00BD70E3"/>
    <w:rsid w:val="00BE35FB"/>
    <w:rsid w:val="00BE569F"/>
    <w:rsid w:val="00C00883"/>
    <w:rsid w:val="00C0292A"/>
    <w:rsid w:val="00C1189B"/>
    <w:rsid w:val="00C2002A"/>
    <w:rsid w:val="00C2297A"/>
    <w:rsid w:val="00C242AA"/>
    <w:rsid w:val="00C25038"/>
    <w:rsid w:val="00C26058"/>
    <w:rsid w:val="00C30C14"/>
    <w:rsid w:val="00C31295"/>
    <w:rsid w:val="00C340D8"/>
    <w:rsid w:val="00C36F90"/>
    <w:rsid w:val="00C3746C"/>
    <w:rsid w:val="00C40001"/>
    <w:rsid w:val="00C42469"/>
    <w:rsid w:val="00C554AC"/>
    <w:rsid w:val="00C55977"/>
    <w:rsid w:val="00C562E4"/>
    <w:rsid w:val="00C56C6D"/>
    <w:rsid w:val="00C61C79"/>
    <w:rsid w:val="00C61F7E"/>
    <w:rsid w:val="00C63D79"/>
    <w:rsid w:val="00C671C3"/>
    <w:rsid w:val="00C67C25"/>
    <w:rsid w:val="00C707A7"/>
    <w:rsid w:val="00C70F1D"/>
    <w:rsid w:val="00C75CAA"/>
    <w:rsid w:val="00C82DA1"/>
    <w:rsid w:val="00C85D8B"/>
    <w:rsid w:val="00C86AEA"/>
    <w:rsid w:val="00C925EB"/>
    <w:rsid w:val="00C94AFD"/>
    <w:rsid w:val="00C96EC2"/>
    <w:rsid w:val="00CA072F"/>
    <w:rsid w:val="00CA0E0F"/>
    <w:rsid w:val="00CA195D"/>
    <w:rsid w:val="00CA2CB2"/>
    <w:rsid w:val="00CA77F8"/>
    <w:rsid w:val="00CB20C7"/>
    <w:rsid w:val="00CB6744"/>
    <w:rsid w:val="00CB755F"/>
    <w:rsid w:val="00CC409A"/>
    <w:rsid w:val="00CD0881"/>
    <w:rsid w:val="00CD4DC0"/>
    <w:rsid w:val="00CD688B"/>
    <w:rsid w:val="00CE0A71"/>
    <w:rsid w:val="00CE2A86"/>
    <w:rsid w:val="00CF500D"/>
    <w:rsid w:val="00CF52C2"/>
    <w:rsid w:val="00CF6957"/>
    <w:rsid w:val="00CF734B"/>
    <w:rsid w:val="00D01CF1"/>
    <w:rsid w:val="00D048F0"/>
    <w:rsid w:val="00D0491D"/>
    <w:rsid w:val="00D1709C"/>
    <w:rsid w:val="00D170A9"/>
    <w:rsid w:val="00D23986"/>
    <w:rsid w:val="00D23D82"/>
    <w:rsid w:val="00D27C26"/>
    <w:rsid w:val="00D34CCB"/>
    <w:rsid w:val="00D35AC7"/>
    <w:rsid w:val="00D3742B"/>
    <w:rsid w:val="00D402C9"/>
    <w:rsid w:val="00D4566D"/>
    <w:rsid w:val="00D518FA"/>
    <w:rsid w:val="00D64760"/>
    <w:rsid w:val="00D65FED"/>
    <w:rsid w:val="00D66344"/>
    <w:rsid w:val="00D720A4"/>
    <w:rsid w:val="00D748FA"/>
    <w:rsid w:val="00D74DBE"/>
    <w:rsid w:val="00D74FC0"/>
    <w:rsid w:val="00D77CDC"/>
    <w:rsid w:val="00D81ADF"/>
    <w:rsid w:val="00D83751"/>
    <w:rsid w:val="00D86553"/>
    <w:rsid w:val="00D90CE2"/>
    <w:rsid w:val="00D9414B"/>
    <w:rsid w:val="00D966AC"/>
    <w:rsid w:val="00D97E58"/>
    <w:rsid w:val="00DA2B0C"/>
    <w:rsid w:val="00DB5C6E"/>
    <w:rsid w:val="00DB5FDF"/>
    <w:rsid w:val="00DB6D2B"/>
    <w:rsid w:val="00DD15AD"/>
    <w:rsid w:val="00DD445C"/>
    <w:rsid w:val="00DD47FD"/>
    <w:rsid w:val="00DD53CB"/>
    <w:rsid w:val="00DE01D1"/>
    <w:rsid w:val="00DE1859"/>
    <w:rsid w:val="00DE2299"/>
    <w:rsid w:val="00DE31F7"/>
    <w:rsid w:val="00DF05F6"/>
    <w:rsid w:val="00DF0701"/>
    <w:rsid w:val="00DF6B5B"/>
    <w:rsid w:val="00DF6D26"/>
    <w:rsid w:val="00DF773A"/>
    <w:rsid w:val="00E0014D"/>
    <w:rsid w:val="00E130FF"/>
    <w:rsid w:val="00E13326"/>
    <w:rsid w:val="00E22AA1"/>
    <w:rsid w:val="00E252EC"/>
    <w:rsid w:val="00E370F8"/>
    <w:rsid w:val="00E37221"/>
    <w:rsid w:val="00E448C3"/>
    <w:rsid w:val="00E47275"/>
    <w:rsid w:val="00E52AD3"/>
    <w:rsid w:val="00E55E09"/>
    <w:rsid w:val="00E56F39"/>
    <w:rsid w:val="00E62622"/>
    <w:rsid w:val="00E63D66"/>
    <w:rsid w:val="00E663EB"/>
    <w:rsid w:val="00E66F89"/>
    <w:rsid w:val="00E72FDF"/>
    <w:rsid w:val="00E7410E"/>
    <w:rsid w:val="00E752A2"/>
    <w:rsid w:val="00E75F18"/>
    <w:rsid w:val="00E81A80"/>
    <w:rsid w:val="00E87D14"/>
    <w:rsid w:val="00E90AA1"/>
    <w:rsid w:val="00E93EA3"/>
    <w:rsid w:val="00E97F76"/>
    <w:rsid w:val="00EA07F8"/>
    <w:rsid w:val="00EA4D12"/>
    <w:rsid w:val="00EA6BD1"/>
    <w:rsid w:val="00EB089C"/>
    <w:rsid w:val="00EB70D1"/>
    <w:rsid w:val="00EC2581"/>
    <w:rsid w:val="00EC3BD5"/>
    <w:rsid w:val="00EC6806"/>
    <w:rsid w:val="00ED164C"/>
    <w:rsid w:val="00ED31C5"/>
    <w:rsid w:val="00ED7BAF"/>
    <w:rsid w:val="00EE030B"/>
    <w:rsid w:val="00EE0D3F"/>
    <w:rsid w:val="00EE2590"/>
    <w:rsid w:val="00EE76B9"/>
    <w:rsid w:val="00EF7207"/>
    <w:rsid w:val="00F030CE"/>
    <w:rsid w:val="00F06B76"/>
    <w:rsid w:val="00F07EC6"/>
    <w:rsid w:val="00F10A9F"/>
    <w:rsid w:val="00F10C61"/>
    <w:rsid w:val="00F12A63"/>
    <w:rsid w:val="00F15327"/>
    <w:rsid w:val="00F16B0D"/>
    <w:rsid w:val="00F176C8"/>
    <w:rsid w:val="00F17FAD"/>
    <w:rsid w:val="00F24D5C"/>
    <w:rsid w:val="00F37ADF"/>
    <w:rsid w:val="00F44C58"/>
    <w:rsid w:val="00F4657F"/>
    <w:rsid w:val="00F54CA7"/>
    <w:rsid w:val="00F62DF4"/>
    <w:rsid w:val="00F667CD"/>
    <w:rsid w:val="00F705B8"/>
    <w:rsid w:val="00F7572E"/>
    <w:rsid w:val="00F768E9"/>
    <w:rsid w:val="00F81498"/>
    <w:rsid w:val="00F81B8D"/>
    <w:rsid w:val="00F863A8"/>
    <w:rsid w:val="00F915BC"/>
    <w:rsid w:val="00F96CF4"/>
    <w:rsid w:val="00FA2ABB"/>
    <w:rsid w:val="00FA2BE9"/>
    <w:rsid w:val="00FA61CD"/>
    <w:rsid w:val="00FC1382"/>
    <w:rsid w:val="00FC1C38"/>
    <w:rsid w:val="00FC509E"/>
    <w:rsid w:val="00FC66A8"/>
    <w:rsid w:val="00FD23A7"/>
    <w:rsid w:val="00FD7E4D"/>
    <w:rsid w:val="00FE50B4"/>
    <w:rsid w:val="00FE61B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80BDB4"/>
  <w15:docId w15:val="{091E3BD0-6B6D-47E7-B08E-54143A6589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204E"/>
    <w:pPr>
      <w:spacing w:line="480" w:lineRule="auto"/>
      <w:jc w:val="both"/>
    </w:pPr>
    <w:rPr>
      <w:rFonts w:ascii="Times New Roman" w:hAnsi="Times New Roman"/>
      <w:sz w:val="24"/>
    </w:rPr>
  </w:style>
  <w:style w:type="paragraph" w:styleId="Heading1">
    <w:name w:val="heading 1"/>
    <w:basedOn w:val="Normal"/>
    <w:next w:val="Normal"/>
    <w:link w:val="Heading1Char"/>
    <w:uiPriority w:val="9"/>
    <w:qFormat/>
    <w:rsid w:val="00BC3B80"/>
    <w:pPr>
      <w:keepNext/>
      <w:keepLines/>
      <w:spacing w:before="240" w:after="0"/>
      <w:outlineLvl w:val="0"/>
    </w:pPr>
    <w:rPr>
      <w:rFonts w:asciiTheme="majorBidi" w:eastAsiaTheme="majorEastAsia" w:hAnsiTheme="majorBidi" w:cstheme="majorBidi"/>
      <w:b/>
      <w:color w:val="000000" w:themeColor="text1"/>
      <w:sz w:val="32"/>
      <w:szCs w:val="32"/>
    </w:rPr>
  </w:style>
  <w:style w:type="paragraph" w:styleId="Heading3">
    <w:name w:val="heading 3"/>
    <w:basedOn w:val="Normal"/>
    <w:next w:val="Normal"/>
    <w:link w:val="Heading3Char"/>
    <w:uiPriority w:val="9"/>
    <w:semiHidden/>
    <w:unhideWhenUsed/>
    <w:qFormat/>
    <w:rsid w:val="000E20C9"/>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2B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2B37"/>
    <w:rPr>
      <w:rFonts w:ascii="Tahoma" w:hAnsi="Tahoma" w:cs="Tahoma"/>
      <w:sz w:val="16"/>
      <w:szCs w:val="16"/>
    </w:rPr>
  </w:style>
  <w:style w:type="paragraph" w:styleId="ListParagraph">
    <w:name w:val="List Paragraph"/>
    <w:basedOn w:val="Normal"/>
    <w:uiPriority w:val="34"/>
    <w:qFormat/>
    <w:rsid w:val="000B2B37"/>
    <w:pPr>
      <w:ind w:left="720"/>
      <w:contextualSpacing/>
    </w:pPr>
  </w:style>
  <w:style w:type="paragraph" w:styleId="FootnoteText">
    <w:name w:val="footnote text"/>
    <w:basedOn w:val="Normal"/>
    <w:link w:val="FootnoteTextChar"/>
    <w:uiPriority w:val="99"/>
    <w:semiHidden/>
    <w:unhideWhenUsed/>
    <w:rsid w:val="009A46E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A46EB"/>
    <w:rPr>
      <w:sz w:val="20"/>
      <w:szCs w:val="20"/>
    </w:rPr>
  </w:style>
  <w:style w:type="character" w:styleId="FootnoteReference">
    <w:name w:val="footnote reference"/>
    <w:basedOn w:val="DefaultParagraphFont"/>
    <w:uiPriority w:val="99"/>
    <w:semiHidden/>
    <w:unhideWhenUsed/>
    <w:rsid w:val="009A46EB"/>
    <w:rPr>
      <w:vertAlign w:val="superscript"/>
    </w:rPr>
  </w:style>
  <w:style w:type="character" w:customStyle="1" w:styleId="Heading1Char">
    <w:name w:val="Heading 1 Char"/>
    <w:basedOn w:val="DefaultParagraphFont"/>
    <w:link w:val="Heading1"/>
    <w:uiPriority w:val="9"/>
    <w:rsid w:val="00BC3B80"/>
    <w:rPr>
      <w:rFonts w:asciiTheme="majorBidi" w:eastAsiaTheme="majorEastAsia" w:hAnsiTheme="majorBidi" w:cstheme="majorBidi"/>
      <w:b/>
      <w:color w:val="000000" w:themeColor="text1"/>
      <w:sz w:val="32"/>
      <w:szCs w:val="32"/>
    </w:rPr>
  </w:style>
  <w:style w:type="paragraph" w:styleId="NoSpacing">
    <w:name w:val="No Spacing"/>
    <w:uiPriority w:val="1"/>
    <w:qFormat/>
    <w:rsid w:val="00893428"/>
    <w:pPr>
      <w:spacing w:after="0" w:line="240" w:lineRule="auto"/>
      <w:jc w:val="both"/>
    </w:pPr>
    <w:rPr>
      <w:rFonts w:ascii="Times New Roman" w:hAnsi="Times New Roman"/>
    </w:rPr>
  </w:style>
  <w:style w:type="character" w:styleId="CommentReference">
    <w:name w:val="annotation reference"/>
    <w:basedOn w:val="DefaultParagraphFont"/>
    <w:uiPriority w:val="99"/>
    <w:semiHidden/>
    <w:unhideWhenUsed/>
    <w:rsid w:val="007E5476"/>
    <w:rPr>
      <w:sz w:val="16"/>
      <w:szCs w:val="16"/>
    </w:rPr>
  </w:style>
  <w:style w:type="paragraph" w:styleId="CommentText">
    <w:name w:val="annotation text"/>
    <w:basedOn w:val="Normal"/>
    <w:link w:val="CommentTextChar"/>
    <w:uiPriority w:val="99"/>
    <w:semiHidden/>
    <w:unhideWhenUsed/>
    <w:rsid w:val="007E5476"/>
    <w:pPr>
      <w:spacing w:line="240" w:lineRule="auto"/>
    </w:pPr>
    <w:rPr>
      <w:sz w:val="20"/>
      <w:szCs w:val="20"/>
    </w:rPr>
  </w:style>
  <w:style w:type="character" w:customStyle="1" w:styleId="CommentTextChar">
    <w:name w:val="Comment Text Char"/>
    <w:basedOn w:val="DefaultParagraphFont"/>
    <w:link w:val="CommentText"/>
    <w:uiPriority w:val="99"/>
    <w:semiHidden/>
    <w:rsid w:val="007E5476"/>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7E5476"/>
    <w:rPr>
      <w:b/>
      <w:bCs/>
    </w:rPr>
  </w:style>
  <w:style w:type="character" w:customStyle="1" w:styleId="CommentSubjectChar">
    <w:name w:val="Comment Subject Char"/>
    <w:basedOn w:val="CommentTextChar"/>
    <w:link w:val="CommentSubject"/>
    <w:uiPriority w:val="99"/>
    <w:semiHidden/>
    <w:rsid w:val="007E5476"/>
    <w:rPr>
      <w:rFonts w:ascii="Times New Roman" w:hAnsi="Times New Roman"/>
      <w:b/>
      <w:bCs/>
      <w:sz w:val="20"/>
      <w:szCs w:val="20"/>
    </w:rPr>
  </w:style>
  <w:style w:type="table" w:styleId="TableGrid">
    <w:name w:val="Table Grid"/>
    <w:basedOn w:val="TableNormal"/>
    <w:uiPriority w:val="59"/>
    <w:rsid w:val="00DA2B0C"/>
    <w:pPr>
      <w:spacing w:after="0" w:line="240" w:lineRule="auto"/>
    </w:pPr>
    <w:rPr>
      <w:lang w:val="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93C18"/>
    <w:rPr>
      <w:color w:val="0000FF" w:themeColor="hyperlink"/>
      <w:u w:val="single"/>
    </w:rPr>
  </w:style>
  <w:style w:type="character" w:customStyle="1" w:styleId="UnresolvedMention">
    <w:name w:val="Unresolved Mention"/>
    <w:basedOn w:val="DefaultParagraphFont"/>
    <w:uiPriority w:val="99"/>
    <w:semiHidden/>
    <w:unhideWhenUsed/>
    <w:rsid w:val="00A93C18"/>
    <w:rPr>
      <w:color w:val="605E5C"/>
      <w:shd w:val="clear" w:color="auto" w:fill="E1DFDD"/>
    </w:rPr>
  </w:style>
  <w:style w:type="character" w:customStyle="1" w:styleId="cit-auth">
    <w:name w:val="cit-auth"/>
    <w:basedOn w:val="DefaultParagraphFont"/>
    <w:rsid w:val="003B5163"/>
  </w:style>
  <w:style w:type="character" w:customStyle="1" w:styleId="cit-name-surname">
    <w:name w:val="cit-name-surname"/>
    <w:basedOn w:val="DefaultParagraphFont"/>
    <w:rsid w:val="003B5163"/>
  </w:style>
  <w:style w:type="character" w:customStyle="1" w:styleId="cit-name-given-names">
    <w:name w:val="cit-name-given-names"/>
    <w:basedOn w:val="DefaultParagraphFont"/>
    <w:rsid w:val="003B5163"/>
  </w:style>
  <w:style w:type="character" w:styleId="HTMLCite">
    <w:name w:val="HTML Cite"/>
    <w:basedOn w:val="DefaultParagraphFont"/>
    <w:uiPriority w:val="99"/>
    <w:semiHidden/>
    <w:unhideWhenUsed/>
    <w:rsid w:val="003B5163"/>
    <w:rPr>
      <w:i/>
      <w:iCs/>
    </w:rPr>
  </w:style>
  <w:style w:type="character" w:customStyle="1" w:styleId="cit-pub-date">
    <w:name w:val="cit-pub-date"/>
    <w:basedOn w:val="DefaultParagraphFont"/>
    <w:rsid w:val="003B5163"/>
  </w:style>
  <w:style w:type="character" w:customStyle="1" w:styleId="cit-article-title">
    <w:name w:val="cit-article-title"/>
    <w:basedOn w:val="DefaultParagraphFont"/>
    <w:rsid w:val="003B5163"/>
  </w:style>
  <w:style w:type="character" w:customStyle="1" w:styleId="cit-vol">
    <w:name w:val="cit-vol"/>
    <w:basedOn w:val="DefaultParagraphFont"/>
    <w:rsid w:val="003B5163"/>
  </w:style>
  <w:style w:type="character" w:customStyle="1" w:styleId="cit-issue">
    <w:name w:val="cit-issue"/>
    <w:basedOn w:val="DefaultParagraphFont"/>
    <w:rsid w:val="003B5163"/>
  </w:style>
  <w:style w:type="character" w:customStyle="1" w:styleId="cit-fpage">
    <w:name w:val="cit-fpage"/>
    <w:basedOn w:val="DefaultParagraphFont"/>
    <w:rsid w:val="003B5163"/>
  </w:style>
  <w:style w:type="character" w:customStyle="1" w:styleId="cit-lpage">
    <w:name w:val="cit-lpage"/>
    <w:basedOn w:val="DefaultParagraphFont"/>
    <w:rsid w:val="003B5163"/>
  </w:style>
  <w:style w:type="character" w:customStyle="1" w:styleId="Heading3Char">
    <w:name w:val="Heading 3 Char"/>
    <w:basedOn w:val="DefaultParagraphFont"/>
    <w:link w:val="Heading3"/>
    <w:uiPriority w:val="9"/>
    <w:semiHidden/>
    <w:rsid w:val="000E20C9"/>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semiHidden/>
    <w:unhideWhenUsed/>
    <w:rsid w:val="000E20C9"/>
    <w:pPr>
      <w:spacing w:before="100" w:beforeAutospacing="1" w:after="100" w:afterAutospacing="1" w:line="240" w:lineRule="auto"/>
      <w:jc w:val="left"/>
    </w:pPr>
    <w:rPr>
      <w:rFonts w:eastAsia="Times New Roman" w:cs="Times New Roman"/>
      <w:szCs w:val="24"/>
    </w:rPr>
  </w:style>
  <w:style w:type="character" w:styleId="Emphasis">
    <w:name w:val="Emphasis"/>
    <w:basedOn w:val="DefaultParagraphFont"/>
    <w:uiPriority w:val="20"/>
    <w:qFormat/>
    <w:rsid w:val="000E20C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702390">
      <w:bodyDiv w:val="1"/>
      <w:marLeft w:val="0"/>
      <w:marRight w:val="0"/>
      <w:marTop w:val="0"/>
      <w:marBottom w:val="0"/>
      <w:divBdr>
        <w:top w:val="none" w:sz="0" w:space="0" w:color="auto"/>
        <w:left w:val="none" w:sz="0" w:space="0" w:color="auto"/>
        <w:bottom w:val="none" w:sz="0" w:space="0" w:color="auto"/>
        <w:right w:val="none" w:sz="0" w:space="0" w:color="auto"/>
      </w:divBdr>
    </w:div>
    <w:div w:id="415053051">
      <w:bodyDiv w:val="1"/>
      <w:marLeft w:val="0"/>
      <w:marRight w:val="0"/>
      <w:marTop w:val="0"/>
      <w:marBottom w:val="0"/>
      <w:divBdr>
        <w:top w:val="none" w:sz="0" w:space="0" w:color="auto"/>
        <w:left w:val="none" w:sz="0" w:space="0" w:color="auto"/>
        <w:bottom w:val="none" w:sz="0" w:space="0" w:color="auto"/>
        <w:right w:val="none" w:sz="0" w:space="0" w:color="auto"/>
      </w:divBdr>
    </w:div>
    <w:div w:id="446776673">
      <w:bodyDiv w:val="1"/>
      <w:marLeft w:val="0"/>
      <w:marRight w:val="0"/>
      <w:marTop w:val="0"/>
      <w:marBottom w:val="0"/>
      <w:divBdr>
        <w:top w:val="none" w:sz="0" w:space="0" w:color="auto"/>
        <w:left w:val="none" w:sz="0" w:space="0" w:color="auto"/>
        <w:bottom w:val="none" w:sz="0" w:space="0" w:color="auto"/>
        <w:right w:val="none" w:sz="0" w:space="0" w:color="auto"/>
      </w:divBdr>
    </w:div>
    <w:div w:id="722753201">
      <w:bodyDiv w:val="1"/>
      <w:marLeft w:val="0"/>
      <w:marRight w:val="0"/>
      <w:marTop w:val="0"/>
      <w:marBottom w:val="0"/>
      <w:divBdr>
        <w:top w:val="none" w:sz="0" w:space="0" w:color="auto"/>
        <w:left w:val="none" w:sz="0" w:space="0" w:color="auto"/>
        <w:bottom w:val="none" w:sz="0" w:space="0" w:color="auto"/>
        <w:right w:val="none" w:sz="0" w:space="0" w:color="auto"/>
      </w:divBdr>
    </w:div>
    <w:div w:id="871190968">
      <w:bodyDiv w:val="1"/>
      <w:marLeft w:val="0"/>
      <w:marRight w:val="0"/>
      <w:marTop w:val="0"/>
      <w:marBottom w:val="0"/>
      <w:divBdr>
        <w:top w:val="none" w:sz="0" w:space="0" w:color="auto"/>
        <w:left w:val="none" w:sz="0" w:space="0" w:color="auto"/>
        <w:bottom w:val="none" w:sz="0" w:space="0" w:color="auto"/>
        <w:right w:val="none" w:sz="0" w:space="0" w:color="auto"/>
      </w:divBdr>
    </w:div>
    <w:div w:id="973169868">
      <w:bodyDiv w:val="1"/>
      <w:marLeft w:val="0"/>
      <w:marRight w:val="0"/>
      <w:marTop w:val="0"/>
      <w:marBottom w:val="0"/>
      <w:divBdr>
        <w:top w:val="none" w:sz="0" w:space="0" w:color="auto"/>
        <w:left w:val="none" w:sz="0" w:space="0" w:color="auto"/>
        <w:bottom w:val="none" w:sz="0" w:space="0" w:color="auto"/>
        <w:right w:val="none" w:sz="0" w:space="0" w:color="auto"/>
      </w:divBdr>
      <w:divsChild>
        <w:div w:id="956258700">
          <w:marLeft w:val="0"/>
          <w:marRight w:val="0"/>
          <w:marTop w:val="0"/>
          <w:marBottom w:val="0"/>
          <w:divBdr>
            <w:top w:val="none" w:sz="0" w:space="0" w:color="auto"/>
            <w:left w:val="none" w:sz="0" w:space="0" w:color="auto"/>
            <w:bottom w:val="none" w:sz="0" w:space="0" w:color="auto"/>
            <w:right w:val="none" w:sz="0" w:space="0" w:color="auto"/>
          </w:divBdr>
        </w:div>
        <w:div w:id="1726371394">
          <w:marLeft w:val="0"/>
          <w:marRight w:val="0"/>
          <w:marTop w:val="0"/>
          <w:marBottom w:val="0"/>
          <w:divBdr>
            <w:top w:val="none" w:sz="0" w:space="0" w:color="auto"/>
            <w:left w:val="none" w:sz="0" w:space="0" w:color="auto"/>
            <w:bottom w:val="none" w:sz="0" w:space="0" w:color="auto"/>
            <w:right w:val="none" w:sz="0" w:space="0" w:color="auto"/>
          </w:divBdr>
        </w:div>
      </w:divsChild>
    </w:div>
    <w:div w:id="1199316911">
      <w:bodyDiv w:val="1"/>
      <w:marLeft w:val="0"/>
      <w:marRight w:val="0"/>
      <w:marTop w:val="0"/>
      <w:marBottom w:val="0"/>
      <w:divBdr>
        <w:top w:val="none" w:sz="0" w:space="0" w:color="auto"/>
        <w:left w:val="none" w:sz="0" w:space="0" w:color="auto"/>
        <w:bottom w:val="none" w:sz="0" w:space="0" w:color="auto"/>
        <w:right w:val="none" w:sz="0" w:space="0" w:color="auto"/>
      </w:divBdr>
    </w:div>
    <w:div w:id="1656717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Ofr.Hakim@biu.ac.il"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30"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24964E-F287-4EF7-A9E4-4C1E15301F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35</Pages>
  <Words>38199</Words>
  <Characters>217739</Characters>
  <Application>Microsoft Office Word</Application>
  <DocSecurity>0</DocSecurity>
  <Lines>1814</Lines>
  <Paragraphs>510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limor kliker</dc:creator>
  <cp:lastModifiedBy>Miriam  Tannenbaum</cp:lastModifiedBy>
  <cp:revision>6</cp:revision>
  <cp:lastPrinted>2021-04-04T20:15:00Z</cp:lastPrinted>
  <dcterms:created xsi:type="dcterms:W3CDTF">2021-08-01T12:36:00Z</dcterms:created>
  <dcterms:modified xsi:type="dcterms:W3CDTF">2021-08-01T13:31:00Z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http://www.zotero.org/styles/international-journal-of-molecular-sciences</vt:lpwstr>
  </property>
  <property fmtid="{D5CDD505-2E9C-101B-9397-08002B2CF9AE}" pid="13" name="Mendeley Recent Style Name 5_1">
    <vt:lpwstr>International Journal of Molecular Sciences</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http://www.zotero.org/styles/plant-science</vt:lpwstr>
  </property>
  <property fmtid="{D5CDD505-2E9C-101B-9397-08002B2CF9AE}" pid="19" name="Mendeley Recent Style Name 8_1">
    <vt:lpwstr>Plant Science</vt:lpwstr>
  </property>
  <property fmtid="{D5CDD505-2E9C-101B-9397-08002B2CF9AE}" pid="20" name="Mendeley Recent Style Id 9_1">
    <vt:lpwstr>http://www.zotero.org/styles/the-plant-journal</vt:lpwstr>
  </property>
  <property fmtid="{D5CDD505-2E9C-101B-9397-08002B2CF9AE}" pid="21" name="Mendeley Recent Style Name 9_1">
    <vt:lpwstr>The Plant Journal</vt:lpwstr>
  </property>
  <property fmtid="{D5CDD505-2E9C-101B-9397-08002B2CF9AE}" pid="22" name="Mendeley Document_1">
    <vt:lpwstr>True</vt:lpwstr>
  </property>
  <property fmtid="{D5CDD505-2E9C-101B-9397-08002B2CF9AE}" pid="23" name="Mendeley Unique User Id_1">
    <vt:lpwstr>5597ee82-5dd9-3b7c-9169-707c9f3f92f4</vt:lpwstr>
  </property>
  <property fmtid="{D5CDD505-2E9C-101B-9397-08002B2CF9AE}" pid="24" name="Mendeley Citation Style_1">
    <vt:lpwstr>http://www.zotero.org/styles/plant-science</vt:lpwstr>
  </property>
</Properties>
</file>