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3014" w14:textId="2797ED0F" w:rsidR="00B86A14" w:rsidRPr="003F2B1D" w:rsidRDefault="00B86A14" w:rsidP="003F2B1D">
      <w:pPr>
        <w:pStyle w:val="Default"/>
        <w:rPr>
          <w:rFonts w:asciiTheme="minorHAnsi" w:hAnsiTheme="minorHAnsi"/>
          <w:b/>
          <w:bCs/>
          <w:sz w:val="22"/>
          <w:szCs w:val="22"/>
        </w:rPr>
      </w:pPr>
      <w:r w:rsidRPr="00B86A14">
        <w:rPr>
          <w:rFonts w:asciiTheme="minorHAnsi" w:hAnsiTheme="minorHAnsi"/>
          <w:b/>
          <w:bCs/>
          <w:sz w:val="22"/>
          <w:szCs w:val="22"/>
        </w:rPr>
        <w:t>Part B-2 Section 5</w:t>
      </w:r>
      <w:r w:rsidR="00313C16">
        <w:rPr>
          <w:rFonts w:asciiTheme="minorHAnsi" w:hAnsiTheme="minorHAnsi"/>
          <w:b/>
          <w:bCs/>
          <w:sz w:val="22"/>
          <w:szCs w:val="22"/>
        </w:rPr>
        <w:t>B</w:t>
      </w:r>
      <w:r w:rsidRPr="00B86A14">
        <w:rPr>
          <w:rFonts w:asciiTheme="minorHAnsi" w:hAnsiTheme="minorHAnsi"/>
          <w:b/>
          <w:bCs/>
          <w:sz w:val="22"/>
          <w:szCs w:val="22"/>
        </w:rPr>
        <w:t xml:space="preserve"> - Capacity of the Participating </w:t>
      </w:r>
      <w:r w:rsidR="003F2B1D" w:rsidRPr="00B86A14">
        <w:rPr>
          <w:rFonts w:asciiTheme="minorHAnsi" w:hAnsiTheme="minorHAnsi"/>
          <w:b/>
          <w:bCs/>
          <w:sz w:val="22"/>
          <w:szCs w:val="22"/>
        </w:rPr>
        <w:t>Organizations</w:t>
      </w:r>
      <w:r w:rsidRPr="00B86A14">
        <w:rPr>
          <w:rFonts w:asciiTheme="minorHAnsi" w:hAnsiTheme="minorHAnsi"/>
          <w:b/>
          <w:bCs/>
          <w:sz w:val="22"/>
          <w:szCs w:val="22"/>
        </w:rPr>
        <w:t xml:space="preserve"> </w:t>
      </w:r>
      <w:r>
        <w:rPr>
          <w:rFonts w:asciiTheme="minorHAnsi" w:hAnsiTheme="minorHAnsi"/>
          <w:b/>
          <w:bCs/>
          <w:sz w:val="22"/>
          <w:szCs w:val="22"/>
        </w:rPr>
        <w:tab/>
      </w:r>
    </w:p>
    <w:tbl>
      <w:tblPr>
        <w:tblStyle w:val="TableGrid"/>
        <w:tblW w:w="9985" w:type="dxa"/>
        <w:tblLook w:val="04A0" w:firstRow="1" w:lastRow="0" w:firstColumn="1" w:lastColumn="0" w:noHBand="0" w:noVBand="1"/>
      </w:tblPr>
      <w:tblGrid>
        <w:gridCol w:w="2245"/>
        <w:gridCol w:w="7740"/>
      </w:tblGrid>
      <w:tr w:rsidR="00B86A14" w14:paraId="28937D7E" w14:textId="77777777" w:rsidTr="009A4EA6">
        <w:tc>
          <w:tcPr>
            <w:tcW w:w="9985" w:type="dxa"/>
            <w:gridSpan w:val="2"/>
          </w:tcPr>
          <w:p w14:paraId="1DF70550" w14:textId="2EB69496" w:rsidR="00B86A14" w:rsidRDefault="00B86A14" w:rsidP="00B86A14">
            <w:pPr>
              <w:pStyle w:val="Default"/>
              <w:jc w:val="center"/>
              <w:rPr>
                <w:rFonts w:asciiTheme="minorHAnsi" w:hAnsiTheme="minorHAnsi"/>
                <w:b/>
                <w:bCs/>
                <w:sz w:val="22"/>
                <w:szCs w:val="22"/>
              </w:rPr>
            </w:pPr>
            <w:r>
              <w:rPr>
                <w:rFonts w:asciiTheme="minorHAnsi" w:hAnsiTheme="minorHAnsi"/>
                <w:b/>
                <w:bCs/>
                <w:sz w:val="22"/>
                <w:szCs w:val="22"/>
              </w:rPr>
              <w:t>University of Haifa /</w:t>
            </w:r>
            <w:r w:rsidR="00C13776">
              <w:rPr>
                <w:rFonts w:asciiTheme="minorHAnsi" w:hAnsiTheme="minorHAnsi"/>
                <w:b/>
                <w:bCs/>
                <w:sz w:val="22"/>
                <w:szCs w:val="22"/>
              </w:rPr>
              <w:t xml:space="preserve"> HU </w:t>
            </w:r>
            <w:proofErr w:type="gramStart"/>
            <w:r w:rsidR="00C13776">
              <w:rPr>
                <w:rFonts w:asciiTheme="minorHAnsi" w:hAnsiTheme="minorHAnsi"/>
                <w:b/>
                <w:bCs/>
                <w:sz w:val="22"/>
                <w:szCs w:val="22"/>
              </w:rPr>
              <w:t xml:space="preserve">/ </w:t>
            </w:r>
            <w:r>
              <w:rPr>
                <w:rFonts w:asciiTheme="minorHAnsi" w:hAnsiTheme="minorHAnsi"/>
                <w:b/>
                <w:bCs/>
                <w:sz w:val="22"/>
                <w:szCs w:val="22"/>
              </w:rPr>
              <w:t xml:space="preserve"> Israel</w:t>
            </w:r>
            <w:proofErr w:type="gramEnd"/>
          </w:p>
        </w:tc>
      </w:tr>
      <w:tr w:rsidR="00B86A14" w14:paraId="68E7A858" w14:textId="77777777" w:rsidTr="009A4EA6">
        <w:tc>
          <w:tcPr>
            <w:tcW w:w="2245" w:type="dxa"/>
          </w:tcPr>
          <w:p w14:paraId="3D4223CA" w14:textId="35D3726E" w:rsidR="00B86A14" w:rsidRDefault="00B86A14" w:rsidP="00B86A14">
            <w:pPr>
              <w:pStyle w:val="Default"/>
              <w:rPr>
                <w:rFonts w:asciiTheme="minorHAnsi" w:hAnsiTheme="minorHAnsi"/>
                <w:b/>
                <w:bCs/>
                <w:sz w:val="22"/>
                <w:szCs w:val="22"/>
              </w:rPr>
            </w:pPr>
            <w:r>
              <w:rPr>
                <w:rFonts w:asciiTheme="minorHAnsi" w:hAnsiTheme="minorHAnsi"/>
                <w:b/>
                <w:bCs/>
                <w:sz w:val="22"/>
                <w:szCs w:val="22"/>
              </w:rPr>
              <w:t>General Description</w:t>
            </w:r>
          </w:p>
        </w:tc>
        <w:tc>
          <w:tcPr>
            <w:tcW w:w="7740" w:type="dxa"/>
          </w:tcPr>
          <w:p w14:paraId="2D63CE22" w14:textId="2F3C3D1F" w:rsidR="00F10058" w:rsidRPr="00B47768" w:rsidRDefault="00B86A14" w:rsidP="00F10058">
            <w:pPr>
              <w:pStyle w:val="Default"/>
              <w:rPr>
                <w:rFonts w:asciiTheme="majorBidi" w:hAnsiTheme="majorBidi" w:cstheme="majorBidi"/>
                <w:sz w:val="18"/>
                <w:szCs w:val="18"/>
              </w:rPr>
            </w:pPr>
            <w:r w:rsidRPr="00B47768">
              <w:rPr>
                <w:rFonts w:asciiTheme="majorBidi" w:hAnsiTheme="majorBidi" w:cstheme="majorBidi"/>
                <w:sz w:val="18"/>
                <w:szCs w:val="18"/>
              </w:rPr>
              <w:t>The University of Haifa</w:t>
            </w:r>
            <w:r w:rsidR="00F10058" w:rsidRPr="00B47768">
              <w:rPr>
                <w:rFonts w:asciiTheme="majorBidi" w:hAnsiTheme="majorBidi" w:cstheme="majorBidi"/>
                <w:sz w:val="18"/>
                <w:szCs w:val="18"/>
              </w:rPr>
              <w:t xml:space="preserve"> is</w:t>
            </w:r>
            <w:r w:rsidRPr="00B47768">
              <w:rPr>
                <w:rFonts w:asciiTheme="majorBidi" w:hAnsiTheme="majorBidi" w:cstheme="majorBidi"/>
                <w:sz w:val="18"/>
                <w:szCs w:val="18"/>
              </w:rPr>
              <w:t xml:space="preserve"> the largest comprehensive research university in northern Israel, and the most pluralist</w:t>
            </w:r>
            <w:r w:rsidR="00F10058" w:rsidRPr="00B47768">
              <w:rPr>
                <w:rFonts w:asciiTheme="majorBidi" w:hAnsiTheme="majorBidi" w:cstheme="majorBidi"/>
                <w:sz w:val="18"/>
                <w:szCs w:val="18"/>
              </w:rPr>
              <w:t>ic institution of higher education in the country. Founded in 1963, the University of Haifa received full academic accreditation in 1972, and, since then, has created and developed a world-class academic institution dedicated to academic and research excellence. Through an accelerated growth strategy, the university has established Israel’s first “Multiversity”- a multi-campus institution that promotes extensive interdisciplinary studies and partnerships. https://www.haifa.ac.il/index.php/en/about-top-blue-3/about-the-university.html</w:t>
            </w:r>
          </w:p>
        </w:tc>
      </w:tr>
      <w:tr w:rsidR="00B86A14" w14:paraId="49CC4662" w14:textId="77777777" w:rsidTr="009A4EA6">
        <w:tc>
          <w:tcPr>
            <w:tcW w:w="2245" w:type="dxa"/>
          </w:tcPr>
          <w:p w14:paraId="1A322870" w14:textId="18018833" w:rsidR="00B86A14" w:rsidRDefault="00B86A14" w:rsidP="00B86A14">
            <w:pPr>
              <w:pStyle w:val="Default"/>
              <w:rPr>
                <w:rFonts w:asciiTheme="minorHAnsi" w:hAnsiTheme="minorHAnsi"/>
                <w:b/>
                <w:bCs/>
                <w:sz w:val="22"/>
                <w:szCs w:val="22"/>
              </w:rPr>
            </w:pPr>
            <w:r>
              <w:rPr>
                <w:rFonts w:asciiTheme="minorHAnsi" w:hAnsiTheme="minorHAnsi"/>
                <w:b/>
                <w:bCs/>
                <w:sz w:val="22"/>
                <w:szCs w:val="22"/>
              </w:rPr>
              <w:t>Academic Organization</w:t>
            </w:r>
          </w:p>
        </w:tc>
        <w:tc>
          <w:tcPr>
            <w:tcW w:w="7740" w:type="dxa"/>
          </w:tcPr>
          <w:p w14:paraId="11461CD1" w14:textId="048989E2" w:rsidR="00B86A14" w:rsidRPr="00B47768" w:rsidRDefault="00F10058" w:rsidP="00B86A14">
            <w:pPr>
              <w:pStyle w:val="Default"/>
              <w:rPr>
                <w:rFonts w:asciiTheme="majorBidi" w:hAnsiTheme="majorBidi" w:cstheme="majorBidi"/>
                <w:sz w:val="18"/>
                <w:szCs w:val="18"/>
              </w:rPr>
            </w:pPr>
            <w:r w:rsidRPr="00B47768">
              <w:rPr>
                <w:rFonts w:asciiTheme="majorBidi" w:hAnsiTheme="majorBidi" w:cstheme="majorBidi"/>
                <w:sz w:val="18"/>
                <w:szCs w:val="18"/>
              </w:rPr>
              <w:t>YES</w:t>
            </w:r>
          </w:p>
        </w:tc>
      </w:tr>
      <w:tr w:rsidR="00B86A14" w14:paraId="751F6362" w14:textId="77777777" w:rsidTr="009A4EA6">
        <w:tc>
          <w:tcPr>
            <w:tcW w:w="2245" w:type="dxa"/>
          </w:tcPr>
          <w:p w14:paraId="3CB4E9E1" w14:textId="1CB22762" w:rsidR="00B86A14" w:rsidRDefault="00B86A14" w:rsidP="00B86A14">
            <w:pPr>
              <w:pStyle w:val="Default"/>
              <w:rPr>
                <w:rFonts w:asciiTheme="minorHAnsi" w:hAnsiTheme="minorHAnsi"/>
                <w:b/>
                <w:bCs/>
                <w:sz w:val="22"/>
                <w:szCs w:val="22"/>
              </w:rPr>
            </w:pPr>
            <w:r>
              <w:rPr>
                <w:rFonts w:asciiTheme="minorHAnsi" w:hAnsiTheme="minorHAnsi"/>
                <w:b/>
                <w:bCs/>
                <w:sz w:val="22"/>
                <w:szCs w:val="22"/>
              </w:rPr>
              <w:t>Role and Profile of key persons (supervisor)</w:t>
            </w:r>
          </w:p>
        </w:tc>
        <w:tc>
          <w:tcPr>
            <w:tcW w:w="7740" w:type="dxa"/>
          </w:tcPr>
          <w:p w14:paraId="037D3322" w14:textId="58945BFB" w:rsidR="00B86A14" w:rsidRPr="00B47768" w:rsidRDefault="0023284A" w:rsidP="006C0C34">
            <w:pPr>
              <w:jc w:val="both"/>
              <w:rPr>
                <w:rFonts w:asciiTheme="majorBidi" w:hAnsiTheme="majorBidi" w:cstheme="majorBidi"/>
                <w:sz w:val="18"/>
                <w:szCs w:val="18"/>
              </w:rPr>
            </w:pPr>
            <w:r w:rsidRPr="006C0C34">
              <w:rPr>
                <w:rFonts w:asciiTheme="majorBidi" w:hAnsiTheme="majorBidi" w:cstheme="majorBidi"/>
                <w:sz w:val="18"/>
                <w:szCs w:val="18"/>
              </w:rPr>
              <w:t xml:space="preserve">Dr. </w:t>
            </w:r>
            <w:r w:rsidR="007E1571">
              <w:rPr>
                <w:rFonts w:asciiTheme="majorBidi" w:hAnsiTheme="majorBidi" w:cstheme="majorBidi"/>
                <w:sz w:val="18"/>
                <w:szCs w:val="18"/>
              </w:rPr>
              <w:t>Cohen-</w:t>
            </w:r>
            <w:proofErr w:type="spellStart"/>
            <w:r w:rsidRPr="006C0C34">
              <w:rPr>
                <w:rFonts w:asciiTheme="majorBidi" w:hAnsiTheme="majorBidi" w:cstheme="majorBidi"/>
                <w:sz w:val="18"/>
                <w:szCs w:val="18"/>
              </w:rPr>
              <w:t>Skalli</w:t>
            </w:r>
            <w:proofErr w:type="spellEnd"/>
            <w:r w:rsidRPr="006C0C34">
              <w:rPr>
                <w:rFonts w:asciiTheme="majorBidi" w:hAnsiTheme="majorBidi" w:cstheme="majorBidi"/>
                <w:sz w:val="18"/>
                <w:szCs w:val="18"/>
              </w:rPr>
              <w:t xml:space="preserve"> has a PhD from the School of Philosophy at Tel Aviv University. He teaches early modern and modern Jewish Philosophy at the Dept. of Jewish History at the University of Haifa. He is an expert in Jewish political philosophy and in modern Jewish thought and has published extensively about these topics in leading refereed journals. Dr. </w:t>
            </w:r>
            <w:r w:rsidR="007E1571">
              <w:rPr>
                <w:rFonts w:asciiTheme="majorBidi" w:hAnsiTheme="majorBidi" w:cstheme="majorBidi"/>
                <w:sz w:val="18"/>
                <w:szCs w:val="18"/>
              </w:rPr>
              <w:t>Cohen-</w:t>
            </w:r>
            <w:proofErr w:type="spellStart"/>
            <w:r w:rsidRPr="006C0C34">
              <w:rPr>
                <w:rFonts w:asciiTheme="majorBidi" w:hAnsiTheme="majorBidi" w:cstheme="majorBidi"/>
                <w:sz w:val="18"/>
                <w:szCs w:val="18"/>
              </w:rPr>
              <w:t>Skalli</w:t>
            </w:r>
            <w:proofErr w:type="spellEnd"/>
            <w:r w:rsidRPr="006C0C34">
              <w:rPr>
                <w:rFonts w:asciiTheme="majorBidi" w:hAnsiTheme="majorBidi" w:cstheme="majorBidi"/>
                <w:sz w:val="18"/>
                <w:szCs w:val="18"/>
              </w:rPr>
              <w:t xml:space="preserve"> published and edited several books—most recently, </w:t>
            </w:r>
            <w:r w:rsidRPr="006C0C34">
              <w:rPr>
                <w:rFonts w:asciiTheme="majorBidi" w:hAnsiTheme="majorBidi" w:cstheme="majorBidi"/>
                <w:i/>
                <w:iCs/>
                <w:sz w:val="18"/>
                <w:szCs w:val="18"/>
              </w:rPr>
              <w:t>Don Isaac Abravanel: An Intellectual Biography</w:t>
            </w:r>
            <w:r w:rsidRPr="006C0C34">
              <w:rPr>
                <w:rFonts w:asciiTheme="majorBidi" w:hAnsiTheme="majorBidi" w:cstheme="majorBidi"/>
                <w:sz w:val="18"/>
                <w:szCs w:val="18"/>
              </w:rPr>
              <w:t xml:space="preserve"> (Waltham MA: Brandeis University Press, 2020), and with Libera Pisano: </w:t>
            </w:r>
            <w:r w:rsidRPr="006C0C34">
              <w:rPr>
                <w:rFonts w:asciiTheme="majorBidi" w:hAnsiTheme="majorBidi" w:cstheme="majorBidi"/>
                <w:i/>
                <w:iCs/>
                <w:sz w:val="18"/>
                <w:szCs w:val="18"/>
              </w:rPr>
              <w:t xml:space="preserve">Skepsis and </w:t>
            </w:r>
            <w:proofErr w:type="spellStart"/>
            <w:r w:rsidRPr="006C0C34">
              <w:rPr>
                <w:rFonts w:asciiTheme="majorBidi" w:hAnsiTheme="majorBidi" w:cstheme="majorBidi"/>
                <w:i/>
                <w:iCs/>
                <w:sz w:val="18"/>
                <w:szCs w:val="18"/>
              </w:rPr>
              <w:t>Antipolitics</w:t>
            </w:r>
            <w:proofErr w:type="spellEnd"/>
            <w:r w:rsidRPr="006C0C34">
              <w:rPr>
                <w:rFonts w:asciiTheme="majorBidi" w:hAnsiTheme="majorBidi" w:cstheme="majorBidi"/>
                <w:i/>
                <w:iCs/>
                <w:sz w:val="18"/>
                <w:szCs w:val="18"/>
              </w:rPr>
              <w:t>. The Alternative of Gustav Landauer</w:t>
            </w:r>
            <w:r w:rsidRPr="006C0C34">
              <w:rPr>
                <w:rFonts w:asciiTheme="majorBidi" w:hAnsiTheme="majorBidi" w:cstheme="majorBidi"/>
                <w:sz w:val="18"/>
                <w:szCs w:val="18"/>
              </w:rPr>
              <w:t xml:space="preserve"> (Leiden: Brill, 2021). </w:t>
            </w:r>
            <w:r w:rsidRPr="006C0C34">
              <w:rPr>
                <w:rFonts w:asciiTheme="majorBidi" w:hAnsiTheme="majorBidi" w:cstheme="majorBidi"/>
                <w:color w:val="000000"/>
                <w:sz w:val="18"/>
                <w:szCs w:val="18"/>
                <w:shd w:val="clear" w:color="auto" w:fill="FFFFFF"/>
              </w:rPr>
              <w:t xml:space="preserve">Dr. </w:t>
            </w:r>
            <w:r w:rsidR="007E1571">
              <w:rPr>
                <w:rFonts w:asciiTheme="majorBidi" w:hAnsiTheme="majorBidi" w:cstheme="majorBidi"/>
                <w:color w:val="000000"/>
                <w:sz w:val="18"/>
                <w:szCs w:val="18"/>
                <w:shd w:val="clear" w:color="auto" w:fill="FFFFFF"/>
              </w:rPr>
              <w:t>Cohen-</w:t>
            </w:r>
            <w:proofErr w:type="spellStart"/>
            <w:r w:rsidRPr="006C0C34">
              <w:rPr>
                <w:rFonts w:asciiTheme="majorBidi" w:hAnsiTheme="majorBidi" w:cstheme="majorBidi"/>
                <w:color w:val="000000"/>
                <w:sz w:val="18"/>
                <w:szCs w:val="18"/>
                <w:shd w:val="clear" w:color="auto" w:fill="FFFFFF"/>
              </w:rPr>
              <w:t>Skalli</w:t>
            </w:r>
            <w:proofErr w:type="spellEnd"/>
            <w:r w:rsidRPr="006C0C34">
              <w:rPr>
                <w:rFonts w:asciiTheme="majorBidi" w:hAnsiTheme="majorBidi" w:cstheme="majorBidi"/>
                <w:color w:val="000000"/>
                <w:sz w:val="18"/>
                <w:szCs w:val="18"/>
                <w:shd w:val="clear" w:color="auto" w:fill="FFFFFF"/>
              </w:rPr>
              <w:t xml:space="preserve"> has extensive experience in supervising MA and PhD students, In the last few years, he supervised 5 postdoc projects.</w:t>
            </w:r>
            <w:r w:rsidRPr="006C0C34">
              <w:rPr>
                <w:rFonts w:asciiTheme="majorBidi" w:hAnsiTheme="majorBidi" w:cstheme="majorBidi"/>
                <w:sz w:val="18"/>
                <w:szCs w:val="18"/>
              </w:rPr>
              <w:t xml:space="preserve"> </w:t>
            </w:r>
            <w:r w:rsidR="00210C97">
              <w:rPr>
                <w:rFonts w:asciiTheme="majorBidi" w:hAnsiTheme="majorBidi" w:cstheme="majorBidi"/>
                <w:sz w:val="18"/>
                <w:szCs w:val="18"/>
              </w:rPr>
              <w:t xml:space="preserve">Dr. </w:t>
            </w:r>
            <w:r w:rsidR="007E1571">
              <w:rPr>
                <w:rFonts w:asciiTheme="majorBidi" w:hAnsiTheme="majorBidi" w:cstheme="majorBidi"/>
                <w:sz w:val="18"/>
                <w:szCs w:val="18"/>
              </w:rPr>
              <w:t>Cohen-</w:t>
            </w:r>
            <w:proofErr w:type="spellStart"/>
            <w:r w:rsidR="00210C97">
              <w:rPr>
                <w:rFonts w:asciiTheme="majorBidi" w:hAnsiTheme="majorBidi" w:cstheme="majorBidi"/>
                <w:sz w:val="18"/>
                <w:szCs w:val="18"/>
              </w:rPr>
              <w:t>Skalli</w:t>
            </w:r>
            <w:proofErr w:type="spellEnd"/>
            <w:r w:rsidR="00210C97">
              <w:rPr>
                <w:rFonts w:asciiTheme="majorBidi" w:hAnsiTheme="majorBidi" w:cstheme="majorBidi"/>
                <w:sz w:val="18"/>
                <w:szCs w:val="18"/>
              </w:rPr>
              <w:t xml:space="preserve"> had recently visiting professorships in the </w:t>
            </w:r>
            <w:r w:rsidR="00210C97" w:rsidRPr="00210C97">
              <w:rPr>
                <w:rFonts w:asciiTheme="majorBidi" w:hAnsiTheme="majorBidi" w:cstheme="majorBidi"/>
                <w:sz w:val="18"/>
                <w:szCs w:val="18"/>
              </w:rPr>
              <w:t>University of Salzburg</w:t>
            </w:r>
            <w:r w:rsidR="00210C97">
              <w:rPr>
                <w:rFonts w:asciiTheme="majorBidi" w:hAnsiTheme="majorBidi" w:cstheme="majorBidi"/>
                <w:sz w:val="18"/>
                <w:szCs w:val="18"/>
              </w:rPr>
              <w:t>, the</w:t>
            </w:r>
            <w:r w:rsidR="00210C97">
              <w:t xml:space="preserve"> </w:t>
            </w:r>
            <w:r w:rsidR="00210C97" w:rsidRPr="00210C97">
              <w:rPr>
                <w:rFonts w:asciiTheme="majorBidi" w:hAnsiTheme="majorBidi" w:cstheme="majorBidi"/>
                <w:sz w:val="18"/>
                <w:szCs w:val="18"/>
              </w:rPr>
              <w:t>University of Potsdam</w:t>
            </w:r>
            <w:r w:rsidR="00210C97">
              <w:rPr>
                <w:rFonts w:asciiTheme="majorBidi" w:hAnsiTheme="majorBidi" w:cstheme="majorBidi"/>
                <w:sz w:val="18"/>
                <w:szCs w:val="18"/>
              </w:rPr>
              <w:t xml:space="preserve">, and the </w:t>
            </w:r>
            <w:r w:rsidR="00210C97" w:rsidRPr="00210C97">
              <w:rPr>
                <w:rFonts w:asciiTheme="majorBidi" w:hAnsiTheme="majorBidi" w:cstheme="majorBidi"/>
                <w:sz w:val="18"/>
                <w:szCs w:val="18"/>
              </w:rPr>
              <w:t>University Sciences Politiques Bordeaux.</w:t>
            </w:r>
          </w:p>
        </w:tc>
      </w:tr>
      <w:tr w:rsidR="00B86A14" w14:paraId="261F966D" w14:textId="77777777" w:rsidTr="009A4EA6">
        <w:tc>
          <w:tcPr>
            <w:tcW w:w="2245" w:type="dxa"/>
          </w:tcPr>
          <w:p w14:paraId="5034A41B" w14:textId="03CA913F" w:rsidR="00B86A14" w:rsidRDefault="00B86A14" w:rsidP="00B86A14">
            <w:pPr>
              <w:pStyle w:val="Default"/>
              <w:rPr>
                <w:rFonts w:asciiTheme="minorHAnsi" w:hAnsiTheme="minorHAnsi"/>
                <w:b/>
                <w:bCs/>
                <w:sz w:val="22"/>
                <w:szCs w:val="22"/>
              </w:rPr>
            </w:pPr>
            <w:r>
              <w:rPr>
                <w:rFonts w:asciiTheme="minorHAnsi" w:hAnsiTheme="minorHAnsi"/>
                <w:b/>
                <w:bCs/>
                <w:sz w:val="22"/>
                <w:szCs w:val="22"/>
              </w:rPr>
              <w:t>Dept./Division</w:t>
            </w:r>
          </w:p>
        </w:tc>
        <w:tc>
          <w:tcPr>
            <w:tcW w:w="7740" w:type="dxa"/>
          </w:tcPr>
          <w:p w14:paraId="0E88833E" w14:textId="09B014D9" w:rsidR="00B86A14" w:rsidRPr="00B47768" w:rsidRDefault="00F10058" w:rsidP="00B86A14">
            <w:pPr>
              <w:pStyle w:val="Default"/>
              <w:rPr>
                <w:rFonts w:asciiTheme="majorBidi" w:hAnsiTheme="majorBidi" w:cstheme="majorBidi"/>
                <w:sz w:val="18"/>
                <w:szCs w:val="18"/>
              </w:rPr>
            </w:pPr>
            <w:r w:rsidRPr="00B47768">
              <w:rPr>
                <w:rFonts w:asciiTheme="majorBidi" w:hAnsiTheme="majorBidi" w:cstheme="majorBidi"/>
                <w:sz w:val="18"/>
                <w:szCs w:val="18"/>
              </w:rPr>
              <w:t>Faculty of the Humanities / The Bucerius Institute for Research of Contemporary German History and Society</w:t>
            </w:r>
          </w:p>
        </w:tc>
      </w:tr>
      <w:tr w:rsidR="00B86A14" w14:paraId="4EDD1874" w14:textId="77777777" w:rsidTr="009A4EA6">
        <w:tc>
          <w:tcPr>
            <w:tcW w:w="2245" w:type="dxa"/>
          </w:tcPr>
          <w:p w14:paraId="24DA9037" w14:textId="0ACE4E62" w:rsidR="00B86A14" w:rsidRDefault="00B86A14" w:rsidP="00B86A14">
            <w:pPr>
              <w:pStyle w:val="Default"/>
              <w:rPr>
                <w:rFonts w:asciiTheme="minorHAnsi" w:hAnsiTheme="minorHAnsi"/>
                <w:b/>
                <w:bCs/>
                <w:sz w:val="22"/>
                <w:szCs w:val="22"/>
              </w:rPr>
            </w:pPr>
            <w:r>
              <w:rPr>
                <w:rFonts w:asciiTheme="minorHAnsi" w:hAnsiTheme="minorHAnsi"/>
                <w:b/>
                <w:bCs/>
                <w:sz w:val="22"/>
                <w:szCs w:val="22"/>
              </w:rPr>
              <w:t>Key Research Facilities, Infrastructure, Equipment</w:t>
            </w:r>
          </w:p>
        </w:tc>
        <w:tc>
          <w:tcPr>
            <w:tcW w:w="7740" w:type="dxa"/>
          </w:tcPr>
          <w:p w14:paraId="6FDB65CB" w14:textId="381F6A89" w:rsidR="00B86A14" w:rsidRPr="00B47768" w:rsidRDefault="00F10058" w:rsidP="00B86A14">
            <w:pPr>
              <w:pStyle w:val="Default"/>
              <w:rPr>
                <w:rFonts w:asciiTheme="majorBidi" w:hAnsiTheme="majorBidi" w:cstheme="majorBidi"/>
                <w:sz w:val="18"/>
                <w:szCs w:val="18"/>
              </w:rPr>
            </w:pPr>
            <w:r w:rsidRPr="00B47768">
              <w:rPr>
                <w:rFonts w:asciiTheme="majorBidi" w:hAnsiTheme="majorBidi" w:cstheme="majorBidi"/>
                <w:sz w:val="18"/>
                <w:szCs w:val="18"/>
              </w:rPr>
              <w:t xml:space="preserve">A thriving academic institution, the university comprises six faculties, 56 departments, eight schools, and 69 research center and institutes. The Bucerius Institute </w:t>
            </w:r>
            <w:r w:rsidR="007E1571">
              <w:rPr>
                <w:rFonts w:asciiTheme="majorBidi" w:hAnsiTheme="majorBidi" w:cstheme="majorBidi"/>
                <w:sz w:val="18"/>
                <w:szCs w:val="18"/>
              </w:rPr>
              <w:t xml:space="preserve">will </w:t>
            </w:r>
            <w:r w:rsidR="002B6961">
              <w:rPr>
                <w:rFonts w:asciiTheme="majorBidi" w:hAnsiTheme="majorBidi" w:cstheme="majorBidi"/>
                <w:sz w:val="18"/>
                <w:szCs w:val="18"/>
              </w:rPr>
              <w:t>provide</w:t>
            </w:r>
            <w:r w:rsidRPr="00B47768">
              <w:rPr>
                <w:rFonts w:asciiTheme="majorBidi" w:hAnsiTheme="majorBidi" w:cstheme="majorBidi"/>
                <w:sz w:val="18"/>
                <w:szCs w:val="18"/>
              </w:rPr>
              <w:t xml:space="preserve"> the required infrastructure for </w:t>
            </w:r>
            <w:r w:rsidR="002B6961">
              <w:rPr>
                <w:rFonts w:asciiTheme="majorBidi" w:hAnsiTheme="majorBidi" w:cstheme="majorBidi"/>
                <w:sz w:val="18"/>
                <w:szCs w:val="18"/>
              </w:rPr>
              <w:t xml:space="preserve">the </w:t>
            </w:r>
            <w:r w:rsidRPr="00B47768">
              <w:rPr>
                <w:rFonts w:asciiTheme="majorBidi" w:hAnsiTheme="majorBidi" w:cstheme="majorBidi"/>
                <w:sz w:val="18"/>
                <w:szCs w:val="18"/>
              </w:rPr>
              <w:t xml:space="preserve">research. </w:t>
            </w:r>
            <w:r w:rsidR="007E1571">
              <w:rPr>
                <w:rFonts w:asciiTheme="majorBidi" w:hAnsiTheme="majorBidi" w:cstheme="majorBidi"/>
                <w:sz w:val="18"/>
                <w:szCs w:val="18"/>
              </w:rPr>
              <w:t xml:space="preserve">This </w:t>
            </w:r>
            <w:r w:rsidRPr="00B47768">
              <w:rPr>
                <w:rFonts w:asciiTheme="majorBidi" w:hAnsiTheme="majorBidi" w:cstheme="majorBidi"/>
                <w:sz w:val="18"/>
                <w:szCs w:val="18"/>
              </w:rPr>
              <w:t>include</w:t>
            </w:r>
            <w:r w:rsidR="007E1571">
              <w:rPr>
                <w:rFonts w:asciiTheme="majorBidi" w:hAnsiTheme="majorBidi" w:cstheme="majorBidi"/>
                <w:sz w:val="18"/>
                <w:szCs w:val="18"/>
              </w:rPr>
              <w:t>s</w:t>
            </w:r>
            <w:r w:rsidRPr="00B47768">
              <w:rPr>
                <w:rFonts w:asciiTheme="majorBidi" w:hAnsiTheme="majorBidi" w:cstheme="majorBidi"/>
                <w:sz w:val="18"/>
                <w:szCs w:val="18"/>
              </w:rPr>
              <w:t xml:space="preserve"> an office, a computer, printing facilities, and full library access. The Bucerius Institute would also be able to </w:t>
            </w:r>
            <w:r w:rsidR="007E1571">
              <w:rPr>
                <w:rFonts w:asciiTheme="majorBidi" w:hAnsiTheme="majorBidi" w:cstheme="majorBidi"/>
                <w:sz w:val="18"/>
                <w:szCs w:val="18"/>
              </w:rPr>
              <w:t xml:space="preserve">offer the help of </w:t>
            </w:r>
            <w:r w:rsidRPr="00B47768">
              <w:rPr>
                <w:rFonts w:asciiTheme="majorBidi" w:hAnsiTheme="majorBidi" w:cstheme="majorBidi"/>
                <w:sz w:val="18"/>
                <w:szCs w:val="18"/>
              </w:rPr>
              <w:t>a research assistant for evaluating archival material and transliterating</w:t>
            </w:r>
            <w:r w:rsidR="002B6961">
              <w:rPr>
                <w:rFonts w:asciiTheme="majorBidi" w:hAnsiTheme="majorBidi" w:cstheme="majorBidi"/>
                <w:sz w:val="18"/>
                <w:szCs w:val="18"/>
              </w:rPr>
              <w:t xml:space="preserve"> other</w:t>
            </w:r>
            <w:r w:rsidRPr="00B47768">
              <w:rPr>
                <w:rFonts w:asciiTheme="majorBidi" w:hAnsiTheme="majorBidi" w:cstheme="majorBidi"/>
                <w:sz w:val="18"/>
                <w:szCs w:val="18"/>
              </w:rPr>
              <w:t xml:space="preserve"> material</w:t>
            </w:r>
            <w:r w:rsidR="007E1571">
              <w:rPr>
                <w:rFonts w:asciiTheme="majorBidi" w:hAnsiTheme="majorBidi" w:cstheme="majorBidi"/>
                <w:sz w:val="18"/>
                <w:szCs w:val="18"/>
              </w:rPr>
              <w:t>s</w:t>
            </w:r>
            <w:r w:rsidRPr="00B47768">
              <w:rPr>
                <w:rFonts w:asciiTheme="majorBidi" w:hAnsiTheme="majorBidi" w:cstheme="majorBidi"/>
                <w:sz w:val="18"/>
                <w:szCs w:val="18"/>
              </w:rPr>
              <w:t>.</w:t>
            </w:r>
          </w:p>
        </w:tc>
      </w:tr>
      <w:tr w:rsidR="00B86A14" w14:paraId="07C94213" w14:textId="77777777" w:rsidTr="009A4EA6">
        <w:tc>
          <w:tcPr>
            <w:tcW w:w="2245" w:type="dxa"/>
          </w:tcPr>
          <w:p w14:paraId="12FFEFC9" w14:textId="05AF1D36" w:rsidR="00B86A14" w:rsidRDefault="00B86A14" w:rsidP="00B86A14">
            <w:pPr>
              <w:pStyle w:val="Default"/>
              <w:rPr>
                <w:rFonts w:asciiTheme="minorHAnsi" w:hAnsiTheme="minorHAnsi"/>
                <w:b/>
                <w:bCs/>
                <w:sz w:val="22"/>
                <w:szCs w:val="22"/>
              </w:rPr>
            </w:pPr>
            <w:r>
              <w:rPr>
                <w:rFonts w:asciiTheme="minorHAnsi" w:hAnsiTheme="minorHAnsi"/>
                <w:b/>
                <w:bCs/>
                <w:sz w:val="22"/>
                <w:szCs w:val="22"/>
              </w:rPr>
              <w:t>Independent Research Premises</w:t>
            </w:r>
          </w:p>
        </w:tc>
        <w:tc>
          <w:tcPr>
            <w:tcW w:w="7740" w:type="dxa"/>
          </w:tcPr>
          <w:p w14:paraId="7F9EBD18" w14:textId="3958237F" w:rsidR="00B86A14" w:rsidRPr="00B47768" w:rsidRDefault="008F37B8" w:rsidP="00B86A14">
            <w:pPr>
              <w:pStyle w:val="Default"/>
              <w:rPr>
                <w:rFonts w:asciiTheme="majorBidi" w:hAnsiTheme="majorBidi" w:cstheme="majorBidi"/>
                <w:sz w:val="18"/>
                <w:szCs w:val="18"/>
              </w:rPr>
            </w:pPr>
            <w:r w:rsidRPr="00B47768">
              <w:rPr>
                <w:rFonts w:asciiTheme="majorBidi" w:hAnsiTheme="majorBidi" w:cstheme="majorBidi"/>
                <w:sz w:val="18"/>
                <w:szCs w:val="18"/>
              </w:rPr>
              <w:t xml:space="preserve">The </w:t>
            </w:r>
            <w:r w:rsidR="00925197" w:rsidRPr="00B47768">
              <w:rPr>
                <w:rFonts w:asciiTheme="majorBidi" w:hAnsiTheme="majorBidi" w:cstheme="majorBidi"/>
                <w:sz w:val="18"/>
                <w:szCs w:val="18"/>
              </w:rPr>
              <w:t xml:space="preserve">Research </w:t>
            </w:r>
            <w:r w:rsidRPr="00B47768">
              <w:rPr>
                <w:rFonts w:asciiTheme="majorBidi" w:hAnsiTheme="majorBidi" w:cstheme="majorBidi"/>
                <w:sz w:val="18"/>
                <w:szCs w:val="18"/>
              </w:rPr>
              <w:t xml:space="preserve">Authority </w:t>
            </w:r>
            <w:r w:rsidR="00925197" w:rsidRPr="00B47768">
              <w:rPr>
                <w:rFonts w:asciiTheme="majorBidi" w:hAnsiTheme="majorBidi" w:cstheme="majorBidi"/>
                <w:sz w:val="18"/>
                <w:szCs w:val="18"/>
              </w:rPr>
              <w:t xml:space="preserve">(RA) </w:t>
            </w:r>
            <w:r w:rsidRPr="00B47768">
              <w:rPr>
                <w:rFonts w:asciiTheme="majorBidi" w:hAnsiTheme="majorBidi" w:cstheme="majorBidi"/>
                <w:sz w:val="18"/>
                <w:szCs w:val="18"/>
              </w:rPr>
              <w:t xml:space="preserve">serves as the administrative and financial framework for research activities, scientific experiments and technical analysis carried out by university faculty and visiting fellows. The </w:t>
            </w:r>
            <w:r w:rsidR="00925197" w:rsidRPr="00B47768">
              <w:rPr>
                <w:rFonts w:asciiTheme="majorBidi" w:hAnsiTheme="majorBidi" w:cstheme="majorBidi"/>
                <w:sz w:val="18"/>
                <w:szCs w:val="18"/>
              </w:rPr>
              <w:t>RA</w:t>
            </w:r>
            <w:r w:rsidRPr="00B47768">
              <w:rPr>
                <w:rFonts w:asciiTheme="majorBidi" w:hAnsiTheme="majorBidi" w:cstheme="majorBidi"/>
                <w:sz w:val="18"/>
                <w:szCs w:val="18"/>
              </w:rPr>
              <w:t xml:space="preserve"> </w:t>
            </w:r>
            <w:r w:rsidR="00925197" w:rsidRPr="00B47768">
              <w:rPr>
                <w:rFonts w:asciiTheme="majorBidi" w:hAnsiTheme="majorBidi" w:cstheme="majorBidi"/>
                <w:sz w:val="18"/>
                <w:szCs w:val="18"/>
              </w:rPr>
              <w:t xml:space="preserve">insures the independence of the research and the academic freedom of the researchers. Each researcher is responsible for all academic and administrative aspects of his </w:t>
            </w:r>
            <w:r w:rsidR="002B6961">
              <w:rPr>
                <w:rFonts w:asciiTheme="majorBidi" w:hAnsiTheme="majorBidi" w:cstheme="majorBidi"/>
                <w:sz w:val="18"/>
                <w:szCs w:val="18"/>
              </w:rPr>
              <w:t xml:space="preserve">or her </w:t>
            </w:r>
            <w:r w:rsidR="00925197" w:rsidRPr="00B47768">
              <w:rPr>
                <w:rFonts w:asciiTheme="majorBidi" w:hAnsiTheme="majorBidi" w:cstheme="majorBidi"/>
                <w:sz w:val="18"/>
                <w:szCs w:val="18"/>
              </w:rPr>
              <w:t>research and is assisted by a staff of professional research administrators. The RA has extensive experience in managing thousands of research projects including many of the EU programs</w:t>
            </w:r>
            <w:r w:rsidR="002B6961">
              <w:rPr>
                <w:rFonts w:asciiTheme="majorBidi" w:hAnsiTheme="majorBidi" w:cstheme="majorBidi"/>
                <w:sz w:val="18"/>
                <w:szCs w:val="18"/>
              </w:rPr>
              <w:t xml:space="preserve">. </w:t>
            </w:r>
            <w:r w:rsidR="00925197" w:rsidRPr="00B47768">
              <w:rPr>
                <w:rFonts w:asciiTheme="majorBidi" w:hAnsiTheme="majorBidi" w:cstheme="majorBidi"/>
                <w:sz w:val="18"/>
                <w:szCs w:val="18"/>
              </w:rPr>
              <w:t>For more, see: https://resau.haifa.ac.il/index.php/en/</w:t>
            </w:r>
          </w:p>
        </w:tc>
      </w:tr>
      <w:tr w:rsidR="00B86A14" w14:paraId="12FEEF82" w14:textId="77777777" w:rsidTr="009A4EA6">
        <w:tc>
          <w:tcPr>
            <w:tcW w:w="2245" w:type="dxa"/>
          </w:tcPr>
          <w:p w14:paraId="2641677F" w14:textId="25209C2A" w:rsidR="00B86A14" w:rsidRDefault="00B86A14" w:rsidP="00B86A14">
            <w:pPr>
              <w:pStyle w:val="Default"/>
              <w:rPr>
                <w:rFonts w:asciiTheme="minorHAnsi" w:hAnsiTheme="minorHAnsi"/>
                <w:b/>
                <w:bCs/>
                <w:sz w:val="22"/>
                <w:szCs w:val="22"/>
              </w:rPr>
            </w:pPr>
            <w:r>
              <w:rPr>
                <w:rFonts w:asciiTheme="minorHAnsi" w:hAnsiTheme="minorHAnsi"/>
                <w:b/>
                <w:bCs/>
                <w:sz w:val="22"/>
                <w:szCs w:val="22"/>
              </w:rPr>
              <w:t>Previous/current involvement in research and training programs</w:t>
            </w:r>
            <w:r w:rsidR="00B47768">
              <w:rPr>
                <w:rFonts w:asciiTheme="minorHAnsi" w:hAnsiTheme="minorHAnsi"/>
                <w:b/>
                <w:bCs/>
                <w:sz w:val="22"/>
                <w:szCs w:val="22"/>
              </w:rPr>
              <w:t xml:space="preserve"> (Bucerius Institute) </w:t>
            </w:r>
          </w:p>
          <w:p w14:paraId="57310270" w14:textId="77777777" w:rsidR="00B47768" w:rsidRDefault="00B47768" w:rsidP="00B86A14">
            <w:pPr>
              <w:pStyle w:val="Default"/>
              <w:rPr>
                <w:rFonts w:asciiTheme="minorHAnsi" w:hAnsiTheme="minorHAnsi"/>
                <w:b/>
                <w:bCs/>
                <w:sz w:val="22"/>
                <w:szCs w:val="22"/>
              </w:rPr>
            </w:pPr>
          </w:p>
          <w:p w14:paraId="4EF88C39" w14:textId="6CCF8294" w:rsidR="00B47768" w:rsidRDefault="00B47768" w:rsidP="00B86A14">
            <w:pPr>
              <w:pStyle w:val="Default"/>
              <w:rPr>
                <w:rFonts w:asciiTheme="minorHAnsi" w:hAnsiTheme="minorHAnsi"/>
                <w:b/>
                <w:bCs/>
                <w:sz w:val="22"/>
                <w:szCs w:val="22"/>
              </w:rPr>
            </w:pPr>
          </w:p>
        </w:tc>
        <w:tc>
          <w:tcPr>
            <w:tcW w:w="7740" w:type="dxa"/>
          </w:tcPr>
          <w:p w14:paraId="1DCDDE05" w14:textId="0DA68ECA" w:rsidR="006C0C34" w:rsidRDefault="002B6961" w:rsidP="006C0C34">
            <w:pPr>
              <w:autoSpaceDE w:val="0"/>
              <w:autoSpaceDN w:val="0"/>
              <w:adjustRightInd w:val="0"/>
              <w:spacing w:after="120"/>
              <w:jc w:val="both"/>
              <w:rPr>
                <w:rFonts w:asciiTheme="majorBidi" w:hAnsiTheme="majorBidi" w:cstheme="majorBidi"/>
                <w:sz w:val="18"/>
                <w:szCs w:val="18"/>
              </w:rPr>
            </w:pPr>
            <w:r>
              <w:rPr>
                <w:rFonts w:asciiTheme="majorBidi" w:hAnsiTheme="majorBidi" w:cstheme="majorBidi"/>
                <w:sz w:val="18"/>
                <w:szCs w:val="18"/>
              </w:rPr>
              <w:t xml:space="preserve">The following are major research project that are currently active in the </w:t>
            </w:r>
            <w:r w:rsidRPr="00B47768">
              <w:rPr>
                <w:rFonts w:asciiTheme="majorBidi" w:hAnsiTheme="majorBidi" w:cstheme="majorBidi"/>
                <w:sz w:val="18"/>
                <w:szCs w:val="18"/>
              </w:rPr>
              <w:t>Bucerius Institute</w:t>
            </w:r>
            <w:r>
              <w:rPr>
                <w:rFonts w:asciiTheme="majorBidi" w:hAnsiTheme="majorBidi" w:cstheme="majorBidi"/>
                <w:sz w:val="18"/>
                <w:szCs w:val="18"/>
              </w:rPr>
              <w:t>.</w:t>
            </w:r>
            <w:r w:rsidR="009A4EA6">
              <w:rPr>
                <w:rFonts w:asciiTheme="majorBidi" w:hAnsiTheme="majorBidi" w:cstheme="majorBidi"/>
                <w:sz w:val="18"/>
                <w:szCs w:val="18"/>
              </w:rPr>
              <w:t xml:space="preserve"> I was invited to take part in the projects that engage with Jewish political philosophy.</w:t>
            </w:r>
          </w:p>
          <w:p w14:paraId="30283ED3" w14:textId="69464853" w:rsidR="00B86A14" w:rsidRPr="006C0C34" w:rsidRDefault="00B47768" w:rsidP="006C0C34">
            <w:pPr>
              <w:autoSpaceDE w:val="0"/>
              <w:autoSpaceDN w:val="0"/>
              <w:adjustRightInd w:val="0"/>
              <w:spacing w:after="120"/>
              <w:jc w:val="both"/>
              <w:rPr>
                <w:rFonts w:asciiTheme="majorBidi" w:hAnsiTheme="majorBidi" w:cstheme="majorBidi"/>
                <w:color w:val="000000"/>
                <w:sz w:val="18"/>
                <w:szCs w:val="18"/>
                <w:shd w:val="clear" w:color="auto" w:fill="FFFFFF"/>
              </w:rPr>
            </w:pPr>
            <w:r w:rsidRPr="006C0C34">
              <w:rPr>
                <w:rFonts w:asciiTheme="majorBidi" w:hAnsiTheme="majorBidi" w:cstheme="majorBidi"/>
                <w:b/>
                <w:bCs/>
                <w:color w:val="000000"/>
                <w:sz w:val="18"/>
                <w:szCs w:val="18"/>
                <w:shd w:val="clear" w:color="auto" w:fill="FFFFFF"/>
              </w:rPr>
              <w:t xml:space="preserve">The Skepsis and </w:t>
            </w:r>
            <w:proofErr w:type="spellStart"/>
            <w:r w:rsidRPr="006C0C34">
              <w:rPr>
                <w:rFonts w:asciiTheme="majorBidi" w:hAnsiTheme="majorBidi" w:cstheme="majorBidi"/>
                <w:b/>
                <w:bCs/>
                <w:color w:val="000000"/>
                <w:sz w:val="18"/>
                <w:szCs w:val="18"/>
                <w:shd w:val="clear" w:color="auto" w:fill="FFFFFF"/>
              </w:rPr>
              <w:t>Antipolitik</w:t>
            </w:r>
            <w:proofErr w:type="spellEnd"/>
            <w:r w:rsidRPr="006C0C34">
              <w:rPr>
                <w:rFonts w:asciiTheme="majorBidi" w:hAnsiTheme="majorBidi" w:cstheme="majorBidi"/>
                <w:b/>
                <w:bCs/>
                <w:color w:val="000000"/>
                <w:sz w:val="18"/>
                <w:szCs w:val="18"/>
                <w:shd w:val="clear" w:color="auto" w:fill="FFFFFF"/>
              </w:rPr>
              <w:t xml:space="preserve"> of Gustav Landauer, </w:t>
            </w:r>
            <w:r w:rsidRPr="006C0C34">
              <w:rPr>
                <w:rFonts w:asciiTheme="majorBidi" w:hAnsiTheme="majorBidi" w:cstheme="majorBidi"/>
                <w:color w:val="000000"/>
                <w:sz w:val="18"/>
                <w:szCs w:val="18"/>
                <w:shd w:val="clear" w:color="auto" w:fill="FFFFFF"/>
              </w:rPr>
              <w:t>in collaboration with Maimonides Center at the University of Hamburg</w:t>
            </w:r>
            <w:r w:rsidR="006C0C34">
              <w:rPr>
                <w:rFonts w:asciiTheme="majorBidi" w:hAnsiTheme="majorBidi" w:cstheme="majorBidi"/>
                <w:color w:val="000000"/>
                <w:sz w:val="18"/>
                <w:szCs w:val="18"/>
                <w:shd w:val="clear" w:color="auto" w:fill="FFFFFF"/>
              </w:rPr>
              <w:t xml:space="preserve">; </w:t>
            </w:r>
            <w:r w:rsidRPr="006C0C34">
              <w:rPr>
                <w:rFonts w:asciiTheme="majorBidi" w:hAnsiTheme="majorBidi" w:cstheme="majorBidi"/>
                <w:b/>
                <w:bCs/>
                <w:color w:val="000000"/>
                <w:sz w:val="18"/>
                <w:szCs w:val="18"/>
                <w:shd w:val="clear" w:color="auto" w:fill="FFFFFF"/>
              </w:rPr>
              <w:t xml:space="preserve">The Rediscovery of Jewish Political Thought by Jewish German Émigrés in the 1930s, </w:t>
            </w:r>
            <w:r w:rsidRPr="006C0C34">
              <w:rPr>
                <w:rFonts w:asciiTheme="majorBidi" w:hAnsiTheme="majorBidi" w:cstheme="majorBidi"/>
                <w:color w:val="000000"/>
                <w:sz w:val="18"/>
                <w:szCs w:val="18"/>
                <w:shd w:val="clear" w:color="auto" w:fill="FFFFFF"/>
              </w:rPr>
              <w:t>in collaboration with the Marc Bloch Institute at the Humboldt University, and the EHESS in Paris</w:t>
            </w:r>
            <w:r w:rsidR="006C0C34">
              <w:rPr>
                <w:rFonts w:asciiTheme="majorBidi" w:hAnsiTheme="majorBidi" w:cstheme="majorBidi"/>
                <w:color w:val="000000"/>
                <w:sz w:val="18"/>
                <w:szCs w:val="18"/>
                <w:shd w:val="clear" w:color="auto" w:fill="FFFFFF"/>
              </w:rPr>
              <w:t xml:space="preserve">; </w:t>
            </w:r>
            <w:r w:rsidRPr="006C0C34">
              <w:rPr>
                <w:rFonts w:asciiTheme="majorBidi" w:hAnsiTheme="majorBidi" w:cstheme="majorBidi"/>
                <w:b/>
                <w:bCs/>
                <w:color w:val="000000"/>
                <w:sz w:val="18"/>
                <w:szCs w:val="18"/>
                <w:shd w:val="clear" w:color="auto" w:fill="FFFFFF"/>
              </w:rPr>
              <w:t>The Rebirth of Jewish Political Philosophy in a Time of World War: The Legacy of Hermann Cohen (1842-1918), i</w:t>
            </w:r>
            <w:r w:rsidRPr="006C0C34">
              <w:rPr>
                <w:rFonts w:asciiTheme="majorBidi" w:hAnsiTheme="majorBidi" w:cstheme="majorBidi"/>
                <w:color w:val="000000"/>
                <w:sz w:val="18"/>
                <w:szCs w:val="18"/>
                <w:shd w:val="clear" w:color="auto" w:fill="FFFFFF"/>
              </w:rPr>
              <w:t>n collaboration with the University of Greifswald</w:t>
            </w:r>
            <w:bookmarkStart w:id="0" w:name="OLE_LINK3"/>
            <w:bookmarkStart w:id="1" w:name="OLE_LINK4"/>
            <w:r w:rsidR="006C0C34">
              <w:rPr>
                <w:rFonts w:asciiTheme="majorBidi" w:hAnsiTheme="majorBidi" w:cstheme="majorBidi"/>
                <w:color w:val="000000"/>
                <w:sz w:val="18"/>
                <w:szCs w:val="18"/>
                <w:shd w:val="clear" w:color="auto" w:fill="FFFFFF"/>
              </w:rPr>
              <w:t xml:space="preserve">; </w:t>
            </w:r>
            <w:r w:rsidRPr="006C0C34">
              <w:rPr>
                <w:rFonts w:asciiTheme="majorBidi" w:hAnsiTheme="majorBidi" w:cstheme="majorBidi"/>
                <w:b/>
                <w:bCs/>
                <w:color w:val="000000"/>
                <w:sz w:val="18"/>
                <w:szCs w:val="18"/>
                <w:shd w:val="clear" w:color="auto" w:fill="FFFFFF"/>
              </w:rPr>
              <w:t>The Question of Translation among Twentieth Century German-Speaking Thinkers</w:t>
            </w:r>
            <w:bookmarkEnd w:id="0"/>
            <w:bookmarkEnd w:id="1"/>
            <w:r w:rsidR="006C0C34" w:rsidRPr="006C0C34">
              <w:rPr>
                <w:rFonts w:asciiTheme="majorBidi" w:hAnsiTheme="majorBidi" w:cstheme="majorBidi"/>
                <w:color w:val="000000"/>
                <w:sz w:val="18"/>
                <w:szCs w:val="18"/>
                <w:shd w:val="clear" w:color="auto" w:fill="FFFFFF"/>
              </w:rPr>
              <w:t>;</w:t>
            </w:r>
            <w:r w:rsidR="006C0C34">
              <w:rPr>
                <w:rFonts w:asciiTheme="majorBidi" w:hAnsiTheme="majorBidi" w:cstheme="majorBidi"/>
                <w:color w:val="000000"/>
                <w:sz w:val="18"/>
                <w:szCs w:val="18"/>
                <w:shd w:val="clear" w:color="auto" w:fill="FFFFFF"/>
              </w:rPr>
              <w:t xml:space="preserve"> </w:t>
            </w:r>
            <w:r w:rsidRPr="006C0C34">
              <w:rPr>
                <w:rFonts w:asciiTheme="majorBidi" w:hAnsiTheme="majorBidi" w:cstheme="majorBidi"/>
                <w:b/>
                <w:bCs/>
                <w:color w:val="000000"/>
                <w:sz w:val="18"/>
                <w:szCs w:val="18"/>
                <w:shd w:val="clear" w:color="auto" w:fill="FFFFFF"/>
              </w:rPr>
              <w:t>Jewish Art, the History and the Politics of</w:t>
            </w:r>
            <w:r w:rsidRPr="006C0C34">
              <w:rPr>
                <w:rFonts w:asciiTheme="majorBidi" w:hAnsiTheme="majorBidi" w:cstheme="majorBidi"/>
                <w:b/>
                <w:bCs/>
                <w:color w:val="000000"/>
                <w:sz w:val="18"/>
                <w:szCs w:val="18"/>
                <w:shd w:val="clear" w:color="auto" w:fill="FFFFFF"/>
                <w:rtl/>
              </w:rPr>
              <w:t xml:space="preserve"> </w:t>
            </w:r>
            <w:r w:rsidRPr="006C0C34">
              <w:rPr>
                <w:rFonts w:asciiTheme="majorBidi" w:hAnsiTheme="majorBidi" w:cstheme="majorBidi"/>
                <w:b/>
                <w:bCs/>
                <w:color w:val="000000"/>
                <w:sz w:val="18"/>
                <w:szCs w:val="18"/>
                <w:shd w:val="clear" w:color="auto" w:fill="FFFFFF"/>
              </w:rPr>
              <w:t>a Concept, i</w:t>
            </w:r>
            <w:r w:rsidRPr="006C0C34">
              <w:rPr>
                <w:rFonts w:asciiTheme="majorBidi" w:hAnsiTheme="majorBidi" w:cstheme="majorBidi"/>
                <w:color w:val="000000"/>
                <w:sz w:val="18"/>
                <w:szCs w:val="18"/>
                <w:shd w:val="clear" w:color="auto" w:fill="FFFFFF"/>
              </w:rPr>
              <w:t>n collaboration with the University of Potsdam and the University of Osnabrück and the Felix Nussbaum Museum to study the archives of painter Felix Nussbaum</w:t>
            </w:r>
            <w:r w:rsidR="006C0C34">
              <w:rPr>
                <w:rFonts w:asciiTheme="majorBidi" w:hAnsiTheme="majorBidi" w:cstheme="majorBidi"/>
                <w:color w:val="000000"/>
                <w:sz w:val="18"/>
                <w:szCs w:val="18"/>
                <w:shd w:val="clear" w:color="auto" w:fill="FFFFFF"/>
              </w:rPr>
              <w:t xml:space="preserve">; </w:t>
            </w:r>
            <w:r w:rsidRPr="006C0C34">
              <w:rPr>
                <w:rFonts w:asciiTheme="majorBidi" w:hAnsiTheme="majorBidi" w:cstheme="majorBidi"/>
                <w:b/>
                <w:bCs/>
                <w:color w:val="000000"/>
                <w:sz w:val="18"/>
                <w:szCs w:val="18"/>
                <w:shd w:val="clear" w:color="auto" w:fill="FFFFFF"/>
              </w:rPr>
              <w:t xml:space="preserve">The Jewish Communities of </w:t>
            </w:r>
            <w:proofErr w:type="spellStart"/>
            <w:r w:rsidRPr="006C0C34">
              <w:rPr>
                <w:rFonts w:asciiTheme="majorBidi" w:hAnsiTheme="majorBidi" w:cstheme="majorBidi"/>
                <w:b/>
                <w:bCs/>
                <w:color w:val="000000"/>
                <w:sz w:val="18"/>
                <w:szCs w:val="18"/>
                <w:shd w:val="clear" w:color="auto" w:fill="FFFFFF"/>
              </w:rPr>
              <w:t>Niedersachen</w:t>
            </w:r>
            <w:proofErr w:type="spellEnd"/>
            <w:r w:rsidRPr="006C0C34">
              <w:rPr>
                <w:rFonts w:asciiTheme="majorBidi" w:hAnsiTheme="majorBidi" w:cstheme="majorBidi"/>
                <w:b/>
                <w:bCs/>
                <w:color w:val="000000"/>
                <w:sz w:val="18"/>
                <w:szCs w:val="18"/>
                <w:shd w:val="clear" w:color="auto" w:fill="FFFFFF"/>
              </w:rPr>
              <w:t xml:space="preserve"> between Germany and Israel (1949-1970): Rebuilding Jewish Life between Migration and Return, </w:t>
            </w:r>
            <w:r w:rsidRPr="006C0C34">
              <w:rPr>
                <w:rFonts w:asciiTheme="majorBidi" w:hAnsiTheme="majorBidi" w:cstheme="majorBidi"/>
                <w:color w:val="000000"/>
                <w:sz w:val="18"/>
                <w:szCs w:val="18"/>
                <w:shd w:val="clear" w:color="auto" w:fill="FFFFFF"/>
              </w:rPr>
              <w:t>in collaboration University of Osnabrück.</w:t>
            </w:r>
          </w:p>
        </w:tc>
      </w:tr>
      <w:tr w:rsidR="00B86A14" w14:paraId="2D79861D" w14:textId="77777777" w:rsidTr="009A4EA6">
        <w:tc>
          <w:tcPr>
            <w:tcW w:w="2245" w:type="dxa"/>
          </w:tcPr>
          <w:p w14:paraId="3C1B6424" w14:textId="3BEAF452" w:rsidR="00B86A14" w:rsidRDefault="00B86A14" w:rsidP="00B86A14">
            <w:pPr>
              <w:pStyle w:val="Default"/>
              <w:rPr>
                <w:rFonts w:asciiTheme="minorHAnsi" w:hAnsiTheme="minorHAnsi"/>
                <w:b/>
                <w:bCs/>
                <w:sz w:val="22"/>
                <w:szCs w:val="22"/>
              </w:rPr>
            </w:pPr>
            <w:r>
              <w:rPr>
                <w:rFonts w:asciiTheme="minorHAnsi" w:hAnsiTheme="minorHAnsi"/>
                <w:b/>
                <w:bCs/>
                <w:sz w:val="22"/>
                <w:szCs w:val="22"/>
              </w:rPr>
              <w:t>Relevant publications, and/or research/innovation products</w:t>
            </w:r>
          </w:p>
        </w:tc>
        <w:tc>
          <w:tcPr>
            <w:tcW w:w="7740" w:type="dxa"/>
          </w:tcPr>
          <w:p w14:paraId="2E147AA8" w14:textId="12455459" w:rsidR="00B47768" w:rsidRDefault="00B47768" w:rsidP="00B47768">
            <w:pPr>
              <w:autoSpaceDE w:val="0"/>
              <w:autoSpaceDN w:val="0"/>
              <w:adjustRightInd w:val="0"/>
              <w:spacing w:after="120"/>
              <w:jc w:val="both"/>
              <w:rPr>
                <w:rFonts w:asciiTheme="majorBidi" w:hAnsiTheme="majorBidi" w:cstheme="majorBidi"/>
                <w:sz w:val="18"/>
                <w:szCs w:val="18"/>
              </w:rPr>
            </w:pPr>
            <w:r>
              <w:rPr>
                <w:rFonts w:asciiTheme="majorBidi" w:hAnsiTheme="majorBidi" w:cstheme="majorBidi"/>
                <w:sz w:val="18"/>
                <w:szCs w:val="18"/>
              </w:rPr>
              <w:t xml:space="preserve">Recent relevant contributions of the supervisor </w:t>
            </w:r>
            <w:r w:rsidR="003F2B1D">
              <w:rPr>
                <w:rFonts w:asciiTheme="majorBidi" w:hAnsiTheme="majorBidi" w:cstheme="majorBidi"/>
                <w:sz w:val="18"/>
                <w:szCs w:val="18"/>
              </w:rPr>
              <w:t xml:space="preserve">and other institute members </w:t>
            </w:r>
            <w:r>
              <w:rPr>
                <w:rFonts w:asciiTheme="majorBidi" w:hAnsiTheme="majorBidi" w:cstheme="majorBidi"/>
                <w:sz w:val="18"/>
                <w:szCs w:val="18"/>
              </w:rPr>
              <w:t>include:</w:t>
            </w:r>
          </w:p>
          <w:p w14:paraId="3E489431" w14:textId="77777777" w:rsidR="0023284A" w:rsidRDefault="0023284A" w:rsidP="00B47768">
            <w:pPr>
              <w:autoSpaceDE w:val="0"/>
              <w:autoSpaceDN w:val="0"/>
              <w:adjustRightInd w:val="0"/>
              <w:spacing w:after="120"/>
              <w:jc w:val="both"/>
              <w:rPr>
                <w:rFonts w:asciiTheme="majorBidi" w:hAnsiTheme="majorBidi" w:cstheme="majorBidi"/>
                <w:sz w:val="18"/>
                <w:szCs w:val="18"/>
              </w:rPr>
            </w:pPr>
            <w:r w:rsidRPr="0023284A">
              <w:rPr>
                <w:rFonts w:asciiTheme="majorBidi" w:hAnsiTheme="majorBidi" w:cstheme="majorBidi"/>
                <w:sz w:val="18"/>
                <w:szCs w:val="18"/>
              </w:rPr>
              <w:t xml:space="preserve">Cedric Cohen </w:t>
            </w:r>
            <w:proofErr w:type="spellStart"/>
            <w:r w:rsidRPr="0023284A">
              <w:rPr>
                <w:rFonts w:asciiTheme="majorBidi" w:hAnsiTheme="majorBidi" w:cstheme="majorBidi"/>
                <w:sz w:val="18"/>
                <w:szCs w:val="18"/>
              </w:rPr>
              <w:t>Skalli</w:t>
            </w:r>
            <w:proofErr w:type="spellEnd"/>
            <w:r w:rsidRPr="0023284A">
              <w:rPr>
                <w:rFonts w:asciiTheme="majorBidi" w:hAnsiTheme="majorBidi" w:cstheme="majorBidi"/>
                <w:sz w:val="18"/>
                <w:szCs w:val="18"/>
              </w:rPr>
              <w:t xml:space="preserve">, </w:t>
            </w:r>
            <w:r w:rsidRPr="0023284A">
              <w:rPr>
                <w:rFonts w:asciiTheme="majorBidi" w:hAnsiTheme="majorBidi" w:cstheme="majorBidi"/>
                <w:i/>
                <w:iCs/>
                <w:sz w:val="18"/>
                <w:szCs w:val="18"/>
              </w:rPr>
              <w:t>Don Isaac Abravanel: An Intellectual Biography</w:t>
            </w:r>
            <w:r w:rsidRPr="0023284A">
              <w:rPr>
                <w:rFonts w:asciiTheme="majorBidi" w:hAnsiTheme="majorBidi" w:cstheme="majorBidi"/>
                <w:sz w:val="18"/>
                <w:szCs w:val="18"/>
              </w:rPr>
              <w:t xml:space="preserve"> </w:t>
            </w:r>
            <w:r>
              <w:rPr>
                <w:rFonts w:asciiTheme="majorBidi" w:hAnsiTheme="majorBidi" w:cstheme="majorBidi"/>
                <w:sz w:val="18"/>
                <w:szCs w:val="18"/>
              </w:rPr>
              <w:t>(</w:t>
            </w:r>
            <w:r w:rsidRPr="0023284A">
              <w:rPr>
                <w:rFonts w:asciiTheme="majorBidi" w:hAnsiTheme="majorBidi" w:cstheme="majorBidi"/>
                <w:sz w:val="18"/>
                <w:szCs w:val="18"/>
              </w:rPr>
              <w:t>Waltham MA: Brandeis University Press, 2020).</w:t>
            </w:r>
          </w:p>
          <w:p w14:paraId="75D55068" w14:textId="1AB574A5" w:rsidR="00B47768" w:rsidRPr="00B47768" w:rsidRDefault="00B47768" w:rsidP="00B47768">
            <w:pPr>
              <w:autoSpaceDE w:val="0"/>
              <w:autoSpaceDN w:val="0"/>
              <w:adjustRightInd w:val="0"/>
              <w:spacing w:after="120"/>
              <w:jc w:val="both"/>
              <w:rPr>
                <w:rFonts w:asciiTheme="majorBidi" w:hAnsiTheme="majorBidi" w:cstheme="majorBidi"/>
                <w:sz w:val="18"/>
                <w:szCs w:val="18"/>
              </w:rPr>
            </w:pPr>
            <w:r w:rsidRPr="00B47768">
              <w:rPr>
                <w:rFonts w:asciiTheme="majorBidi" w:hAnsiTheme="majorBidi" w:cstheme="majorBidi"/>
                <w:sz w:val="18"/>
                <w:szCs w:val="18"/>
              </w:rPr>
              <w:t xml:space="preserve">Cedric Cohen </w:t>
            </w:r>
            <w:proofErr w:type="spellStart"/>
            <w:r w:rsidRPr="00B47768">
              <w:rPr>
                <w:rFonts w:asciiTheme="majorBidi" w:hAnsiTheme="majorBidi" w:cstheme="majorBidi"/>
                <w:sz w:val="18"/>
                <w:szCs w:val="18"/>
              </w:rPr>
              <w:t>Skalli</w:t>
            </w:r>
            <w:proofErr w:type="spellEnd"/>
            <w:r w:rsidRPr="00B47768">
              <w:rPr>
                <w:rFonts w:asciiTheme="majorBidi" w:hAnsiTheme="majorBidi" w:cstheme="majorBidi"/>
                <w:sz w:val="18"/>
                <w:szCs w:val="18"/>
              </w:rPr>
              <w:t xml:space="preserve"> and Libera Pisano (eds.), </w:t>
            </w:r>
            <w:r w:rsidRPr="00B47768">
              <w:rPr>
                <w:rFonts w:asciiTheme="majorBidi" w:hAnsiTheme="majorBidi" w:cstheme="majorBidi"/>
                <w:i/>
                <w:iCs/>
                <w:sz w:val="18"/>
                <w:szCs w:val="18"/>
              </w:rPr>
              <w:t xml:space="preserve">Skepsis and </w:t>
            </w:r>
            <w:proofErr w:type="spellStart"/>
            <w:r w:rsidRPr="00B47768">
              <w:rPr>
                <w:rFonts w:asciiTheme="majorBidi" w:hAnsiTheme="majorBidi" w:cstheme="majorBidi"/>
                <w:i/>
                <w:iCs/>
                <w:sz w:val="18"/>
                <w:szCs w:val="18"/>
              </w:rPr>
              <w:t>Antipolitics</w:t>
            </w:r>
            <w:proofErr w:type="spellEnd"/>
            <w:r w:rsidRPr="00B47768">
              <w:rPr>
                <w:rFonts w:asciiTheme="majorBidi" w:hAnsiTheme="majorBidi" w:cstheme="majorBidi"/>
                <w:i/>
                <w:iCs/>
                <w:sz w:val="18"/>
                <w:szCs w:val="18"/>
              </w:rPr>
              <w:t>. The Alternative of Gustav Landauer</w:t>
            </w:r>
            <w:r w:rsidRPr="00B47768">
              <w:rPr>
                <w:rFonts w:asciiTheme="majorBidi" w:hAnsiTheme="majorBidi" w:cstheme="majorBidi"/>
                <w:sz w:val="18"/>
                <w:szCs w:val="18"/>
              </w:rPr>
              <w:t>, Leiden: Brill (Forthcoming 2021).</w:t>
            </w:r>
          </w:p>
          <w:p w14:paraId="1D41FB2D" w14:textId="77777777" w:rsidR="00B86A14" w:rsidRDefault="003F2B1D" w:rsidP="003F2B1D">
            <w:pPr>
              <w:spacing w:after="120"/>
              <w:jc w:val="both"/>
              <w:outlineLvl w:val="0"/>
              <w:rPr>
                <w:rFonts w:asciiTheme="majorBidi" w:hAnsiTheme="majorBidi" w:cstheme="majorBidi"/>
                <w:sz w:val="18"/>
                <w:szCs w:val="18"/>
              </w:rPr>
            </w:pPr>
            <w:proofErr w:type="spellStart"/>
            <w:r>
              <w:rPr>
                <w:rFonts w:asciiTheme="majorBidi" w:hAnsiTheme="majorBidi" w:cstheme="majorBidi"/>
                <w:sz w:val="18"/>
                <w:szCs w:val="18"/>
              </w:rPr>
              <w:t>Yotam</w:t>
            </w:r>
            <w:proofErr w:type="spellEnd"/>
            <w:r>
              <w:rPr>
                <w:rFonts w:asciiTheme="majorBidi" w:hAnsiTheme="majorBidi" w:cstheme="majorBidi"/>
                <w:sz w:val="18"/>
                <w:szCs w:val="18"/>
              </w:rPr>
              <w:t xml:space="preserve"> </w:t>
            </w:r>
            <w:proofErr w:type="spellStart"/>
            <w:r w:rsidRPr="003F2B1D">
              <w:rPr>
                <w:rFonts w:asciiTheme="majorBidi" w:hAnsiTheme="majorBidi" w:cstheme="majorBidi"/>
                <w:sz w:val="18"/>
                <w:szCs w:val="18"/>
              </w:rPr>
              <w:t>Hotam</w:t>
            </w:r>
            <w:proofErr w:type="spellEnd"/>
            <w:r w:rsidRPr="003F2B1D">
              <w:rPr>
                <w:rFonts w:asciiTheme="majorBidi" w:hAnsiTheme="majorBidi" w:cstheme="majorBidi"/>
                <w:sz w:val="18"/>
                <w:szCs w:val="18"/>
              </w:rPr>
              <w:t xml:space="preserve"> </w:t>
            </w:r>
            <w:r w:rsidRPr="003F2B1D">
              <w:rPr>
                <w:rFonts w:asciiTheme="majorBidi" w:hAnsiTheme="majorBidi" w:cstheme="majorBidi"/>
                <w:i/>
                <w:iCs/>
                <w:sz w:val="18"/>
                <w:szCs w:val="18"/>
              </w:rPr>
              <w:t>Modern Gnosis and Zionism: The Crisis of Culture, Life Philosophy and Jewish National Thought</w:t>
            </w:r>
            <w:r>
              <w:rPr>
                <w:rFonts w:asciiTheme="majorBidi" w:hAnsiTheme="majorBidi" w:cstheme="majorBidi"/>
                <w:i/>
                <w:iCs/>
                <w:sz w:val="18"/>
                <w:szCs w:val="18"/>
              </w:rPr>
              <w:t xml:space="preserve"> </w:t>
            </w:r>
            <w:r>
              <w:rPr>
                <w:rFonts w:asciiTheme="majorBidi" w:hAnsiTheme="majorBidi" w:cstheme="majorBidi"/>
                <w:sz w:val="18"/>
                <w:szCs w:val="18"/>
              </w:rPr>
              <w:t>(L</w:t>
            </w:r>
            <w:r w:rsidRPr="003F2B1D">
              <w:rPr>
                <w:rFonts w:asciiTheme="majorBidi" w:hAnsiTheme="majorBidi" w:cstheme="majorBidi"/>
                <w:sz w:val="18"/>
                <w:szCs w:val="18"/>
              </w:rPr>
              <w:t>ondon: Routledge</w:t>
            </w:r>
            <w:r>
              <w:rPr>
                <w:rFonts w:asciiTheme="majorBidi" w:hAnsiTheme="majorBidi" w:cstheme="majorBidi"/>
                <w:sz w:val="18"/>
                <w:szCs w:val="18"/>
              </w:rPr>
              <w:t>, 2013)</w:t>
            </w:r>
            <w:r w:rsidRPr="003F2B1D">
              <w:rPr>
                <w:rFonts w:asciiTheme="majorBidi" w:hAnsiTheme="majorBidi" w:cstheme="majorBidi"/>
                <w:sz w:val="18"/>
                <w:szCs w:val="18"/>
              </w:rPr>
              <w:t>.</w:t>
            </w:r>
          </w:p>
          <w:p w14:paraId="01DD9A6A" w14:textId="76157AF2" w:rsidR="003F2B1D" w:rsidRPr="00B47768" w:rsidRDefault="003F2B1D" w:rsidP="003F2B1D">
            <w:pPr>
              <w:spacing w:after="120"/>
              <w:jc w:val="both"/>
              <w:outlineLvl w:val="0"/>
              <w:rPr>
                <w:rFonts w:asciiTheme="majorBidi" w:hAnsiTheme="majorBidi" w:cstheme="majorBidi"/>
                <w:sz w:val="18"/>
                <w:szCs w:val="18"/>
              </w:rPr>
            </w:pPr>
            <w:r>
              <w:rPr>
                <w:rFonts w:asciiTheme="majorBidi" w:hAnsiTheme="majorBidi" w:cstheme="majorBidi"/>
                <w:sz w:val="18"/>
                <w:szCs w:val="18"/>
              </w:rPr>
              <w:t xml:space="preserve">Orr Scharf, </w:t>
            </w:r>
            <w:r w:rsidRPr="003F2B1D">
              <w:rPr>
                <w:rFonts w:asciiTheme="majorBidi" w:hAnsiTheme="majorBidi" w:cstheme="majorBidi"/>
                <w:i/>
                <w:iCs/>
                <w:sz w:val="18"/>
                <w:szCs w:val="18"/>
              </w:rPr>
              <w:t>Thinking in Translation: Scripture and Redemption in the Thought of Franz Rosenzweig</w:t>
            </w:r>
            <w:r>
              <w:rPr>
                <w:rFonts w:asciiTheme="majorBidi" w:hAnsiTheme="majorBidi" w:cstheme="majorBidi"/>
                <w:sz w:val="18"/>
                <w:szCs w:val="18"/>
              </w:rPr>
              <w:t xml:space="preserve"> (</w:t>
            </w:r>
            <w:r w:rsidRPr="003F2B1D">
              <w:rPr>
                <w:rFonts w:asciiTheme="majorBidi" w:hAnsiTheme="majorBidi" w:cstheme="majorBidi"/>
                <w:sz w:val="18"/>
                <w:szCs w:val="18"/>
              </w:rPr>
              <w:t>Berlin: De Gruyter 2019</w:t>
            </w:r>
            <w:r>
              <w:rPr>
                <w:rFonts w:asciiTheme="majorBidi" w:hAnsiTheme="majorBidi" w:cstheme="majorBidi"/>
                <w:sz w:val="18"/>
                <w:szCs w:val="18"/>
              </w:rPr>
              <w:t>)</w:t>
            </w:r>
          </w:p>
        </w:tc>
      </w:tr>
    </w:tbl>
    <w:p w14:paraId="4C7FE3DB" w14:textId="77777777" w:rsidR="00B86A14" w:rsidRDefault="00B86A14"/>
    <w:sectPr w:rsidR="00B86A14" w:rsidSect="000D1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193"/>
    <w:multiLevelType w:val="hybridMultilevel"/>
    <w:tmpl w:val="587E7058"/>
    <w:lvl w:ilvl="0" w:tplc="CACA66A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3622"/>
    <w:multiLevelType w:val="hybridMultilevel"/>
    <w:tmpl w:val="5860E7A0"/>
    <w:lvl w:ilvl="0" w:tplc="04090015">
      <w:start w:val="1"/>
      <w:numFmt w:val="upperLetter"/>
      <w:lvlText w:val="%1."/>
      <w:lvlJc w:val="left"/>
      <w:pPr>
        <w:ind w:left="1110" w:hanging="360"/>
      </w:pPr>
      <w:rPr>
        <w:rFonts w:cs="Times New Roman"/>
      </w:rPr>
    </w:lvl>
    <w:lvl w:ilvl="1" w:tplc="205EFDF0">
      <w:start w:val="1"/>
      <w:numFmt w:val="decimal"/>
      <w:lvlText w:val="%2."/>
      <w:lvlJc w:val="left"/>
      <w:pPr>
        <w:ind w:left="360" w:hanging="360"/>
      </w:pPr>
      <w:rPr>
        <w:rFonts w:cs="Times New Roman"/>
        <w:color w:val="auto"/>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2" w15:restartNumberingAfterBreak="0">
    <w:nsid w:val="1FB933E1"/>
    <w:multiLevelType w:val="hybridMultilevel"/>
    <w:tmpl w:val="55BC8C72"/>
    <w:lvl w:ilvl="0" w:tplc="9CB8CEB4">
      <w:start w:val="1"/>
      <w:numFmt w:val="decimal"/>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E6A2721"/>
    <w:multiLevelType w:val="hybridMultilevel"/>
    <w:tmpl w:val="D1EC04CE"/>
    <w:lvl w:ilvl="0" w:tplc="AE4AD070">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4"/>
    <w:rsid w:val="000D12E8"/>
    <w:rsid w:val="00210C97"/>
    <w:rsid w:val="0023284A"/>
    <w:rsid w:val="002428DB"/>
    <w:rsid w:val="002B6961"/>
    <w:rsid w:val="00313C16"/>
    <w:rsid w:val="003F2B1D"/>
    <w:rsid w:val="00607423"/>
    <w:rsid w:val="006C0C34"/>
    <w:rsid w:val="007E1571"/>
    <w:rsid w:val="008F37B8"/>
    <w:rsid w:val="00925197"/>
    <w:rsid w:val="009A4EA6"/>
    <w:rsid w:val="00B47768"/>
    <w:rsid w:val="00B86A14"/>
    <w:rsid w:val="00C13776"/>
    <w:rsid w:val="00EF2D0F"/>
    <w:rsid w:val="00F10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9BEBD39"/>
  <w15:chartTrackingRefBased/>
  <w15:docId w15:val="{0081E280-11DA-0446-8C47-E15CD380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A14"/>
    <w:pPr>
      <w:spacing w:before="100" w:beforeAutospacing="1" w:after="100" w:afterAutospacing="1"/>
    </w:pPr>
    <w:rPr>
      <w:rFonts w:ascii="Times New Roman" w:eastAsia="Times New Roman" w:hAnsi="Times New Roman" w:cs="Times New Roman"/>
      <w:lang w:bidi="he-IL"/>
    </w:rPr>
  </w:style>
  <w:style w:type="paragraph" w:customStyle="1" w:styleId="Default">
    <w:name w:val="Default"/>
    <w:rsid w:val="00B86A14"/>
    <w:pPr>
      <w:autoSpaceDE w:val="0"/>
      <w:autoSpaceDN w:val="0"/>
      <w:adjustRightInd w:val="0"/>
    </w:pPr>
    <w:rPr>
      <w:rFonts w:ascii="Times New Roman" w:hAnsi="Times New Roman" w:cs="Times New Roman"/>
      <w:color w:val="000000"/>
      <w:lang w:bidi="he-IL"/>
    </w:rPr>
  </w:style>
  <w:style w:type="table" w:styleId="TableGrid">
    <w:name w:val="Table Grid"/>
    <w:basedOn w:val="TableNormal"/>
    <w:uiPriority w:val="39"/>
    <w:rsid w:val="00B8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0058"/>
    <w:rPr>
      <w:color w:val="0563C1" w:themeColor="hyperlink"/>
      <w:u w:val="single"/>
    </w:rPr>
  </w:style>
  <w:style w:type="character" w:styleId="UnresolvedMention">
    <w:name w:val="Unresolved Mention"/>
    <w:basedOn w:val="DefaultParagraphFont"/>
    <w:uiPriority w:val="99"/>
    <w:semiHidden/>
    <w:unhideWhenUsed/>
    <w:rsid w:val="00F10058"/>
    <w:rPr>
      <w:color w:val="605E5C"/>
      <w:shd w:val="clear" w:color="auto" w:fill="E1DFDD"/>
    </w:rPr>
  </w:style>
  <w:style w:type="paragraph" w:styleId="ListParagraph">
    <w:name w:val="List Paragraph"/>
    <w:basedOn w:val="Normal"/>
    <w:uiPriority w:val="99"/>
    <w:qFormat/>
    <w:rsid w:val="00B47768"/>
    <w:pPr>
      <w:spacing w:after="200" w:line="276" w:lineRule="auto"/>
      <w:ind w:left="720"/>
      <w:contextualSpacing/>
    </w:pPr>
    <w:rPr>
      <w:rFonts w:ascii="Calibri" w:eastAsia="Calibri" w:hAnsi="Calibri" w:cs="Arial"/>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924710">
      <w:bodyDiv w:val="1"/>
      <w:marLeft w:val="0"/>
      <w:marRight w:val="0"/>
      <w:marTop w:val="0"/>
      <w:marBottom w:val="0"/>
      <w:divBdr>
        <w:top w:val="none" w:sz="0" w:space="0" w:color="auto"/>
        <w:left w:val="none" w:sz="0" w:space="0" w:color="auto"/>
        <w:bottom w:val="none" w:sz="0" w:space="0" w:color="auto"/>
        <w:right w:val="none" w:sz="0" w:space="0" w:color="auto"/>
      </w:divBdr>
    </w:div>
    <w:div w:id="1653673668">
      <w:bodyDiv w:val="1"/>
      <w:marLeft w:val="0"/>
      <w:marRight w:val="0"/>
      <w:marTop w:val="0"/>
      <w:marBottom w:val="0"/>
      <w:divBdr>
        <w:top w:val="none" w:sz="0" w:space="0" w:color="auto"/>
        <w:left w:val="none" w:sz="0" w:space="0" w:color="auto"/>
        <w:bottom w:val="none" w:sz="0" w:space="0" w:color="auto"/>
        <w:right w:val="none" w:sz="0" w:space="0" w:color="auto"/>
      </w:divBdr>
      <w:divsChild>
        <w:div w:id="822965949">
          <w:marLeft w:val="0"/>
          <w:marRight w:val="0"/>
          <w:marTop w:val="0"/>
          <w:marBottom w:val="0"/>
          <w:divBdr>
            <w:top w:val="none" w:sz="0" w:space="0" w:color="auto"/>
            <w:left w:val="none" w:sz="0" w:space="0" w:color="auto"/>
            <w:bottom w:val="none" w:sz="0" w:space="0" w:color="auto"/>
            <w:right w:val="none" w:sz="0" w:space="0" w:color="auto"/>
          </w:divBdr>
          <w:divsChild>
            <w:div w:id="1282882816">
              <w:marLeft w:val="0"/>
              <w:marRight w:val="0"/>
              <w:marTop w:val="0"/>
              <w:marBottom w:val="0"/>
              <w:divBdr>
                <w:top w:val="none" w:sz="0" w:space="0" w:color="auto"/>
                <w:left w:val="none" w:sz="0" w:space="0" w:color="auto"/>
                <w:bottom w:val="none" w:sz="0" w:space="0" w:color="auto"/>
                <w:right w:val="none" w:sz="0" w:space="0" w:color="auto"/>
              </w:divBdr>
              <w:divsChild>
                <w:div w:id="2536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3A4D-6E5D-694D-844D-11E6581A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 sharvit</dc:creator>
  <cp:keywords/>
  <dc:description/>
  <cp:lastModifiedBy>gilad sharvit</cp:lastModifiedBy>
  <cp:revision>6</cp:revision>
  <dcterms:created xsi:type="dcterms:W3CDTF">2020-08-27T12:01:00Z</dcterms:created>
  <dcterms:modified xsi:type="dcterms:W3CDTF">2020-09-02T08:06:00Z</dcterms:modified>
</cp:coreProperties>
</file>