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BD8C9" w14:textId="469E8CDC" w:rsidR="00E67E67" w:rsidRPr="00471E15" w:rsidRDefault="00EE5659" w:rsidP="00E67E67">
      <w:pPr>
        <w:pStyle w:val="ArticleTitle"/>
        <w:rPr>
          <w:sz w:val="28"/>
          <w:szCs w:val="28"/>
        </w:rPr>
      </w:pPr>
      <w:bookmarkStart w:id="0" w:name="_GoBack"/>
      <w:bookmarkEnd w:id="0"/>
      <w:r>
        <w:rPr>
          <w:sz w:val="28"/>
          <w:szCs w:val="28"/>
        </w:rPr>
        <w:t>discriminatory</w:t>
      </w:r>
      <w:r w:rsidR="00BB020E">
        <w:rPr>
          <w:sz w:val="28"/>
          <w:szCs w:val="28"/>
        </w:rPr>
        <w:t xml:space="preserve"> enforcement </w:t>
      </w:r>
      <w:r>
        <w:rPr>
          <w:sz w:val="28"/>
          <w:szCs w:val="28"/>
        </w:rPr>
        <w:t>of consumer contracts</w:t>
      </w:r>
      <w:r w:rsidR="008F151E">
        <w:rPr>
          <w:sz w:val="28"/>
          <w:szCs w:val="28"/>
        </w:rPr>
        <w:t xml:space="preserve">: evidence from </w:t>
      </w:r>
      <w:r w:rsidR="00F739D7">
        <w:rPr>
          <w:sz w:val="28"/>
          <w:szCs w:val="28"/>
        </w:rPr>
        <w:t>product returns</w:t>
      </w:r>
    </w:p>
    <w:p w14:paraId="71886E4F" w14:textId="77777777" w:rsidR="00E67E67" w:rsidRDefault="00E67E67" w:rsidP="00E67E67">
      <w:pPr>
        <w:rPr>
          <w:caps/>
        </w:rPr>
      </w:pPr>
    </w:p>
    <w:p w14:paraId="19FCBDFE" w14:textId="46DC1D4B" w:rsidR="00E67E67" w:rsidRPr="00DE478D" w:rsidRDefault="008F151E" w:rsidP="00E67E67">
      <w:pPr>
        <w:pStyle w:val="YourName"/>
        <w:rPr>
          <w:i w:val="0"/>
          <w:sz w:val="26"/>
          <w:szCs w:val="26"/>
        </w:rPr>
      </w:pPr>
      <w:r>
        <w:rPr>
          <w:sz w:val="26"/>
          <w:szCs w:val="26"/>
        </w:rPr>
        <w:t>Meirav Furth-Matzkin</w:t>
      </w:r>
      <w:r w:rsidR="00E67E67" w:rsidRPr="00DE478D">
        <w:rPr>
          <w:rStyle w:val="FootnoteReference"/>
          <w:sz w:val="26"/>
          <w:szCs w:val="26"/>
        </w:rPr>
        <w:footnoteReference w:customMarkFollows="1" w:id="1"/>
        <w:t>*</w:t>
      </w:r>
    </w:p>
    <w:p w14:paraId="10118554" w14:textId="6F447427" w:rsidR="00E67E67" w:rsidRPr="0094765E" w:rsidRDefault="00E67E67" w:rsidP="00E67E67">
      <w:pPr>
        <w:rPr>
          <w:i/>
          <w:iCs/>
        </w:rPr>
      </w:pPr>
    </w:p>
    <w:p w14:paraId="495C16EE" w14:textId="77777777" w:rsidR="0094765E" w:rsidRPr="0094765E" w:rsidRDefault="0094765E" w:rsidP="0094765E">
      <w:pPr>
        <w:shd w:val="clear" w:color="auto" w:fill="FFFFFF"/>
        <w:rPr>
          <w:rFonts w:asciiTheme="majorBidi" w:hAnsiTheme="majorBidi" w:cstheme="majorBidi"/>
          <w:i/>
          <w:iCs/>
          <w:color w:val="222222"/>
          <w:szCs w:val="24"/>
        </w:rPr>
      </w:pPr>
      <w:r w:rsidRPr="0094765E">
        <w:rPr>
          <w:rFonts w:asciiTheme="majorBidi" w:hAnsiTheme="majorBidi" w:cstheme="majorBidi"/>
          <w:i/>
          <w:iCs/>
          <w:color w:val="222222"/>
          <w:szCs w:val="24"/>
        </w:rPr>
        <w:t>Recent evidence suggests that sellers often selectively enforce standardized contract terms, authorizing employees to deviate from these terms on a case-by-case basis. This Article reports on a field experiment designed to test whether discretionary enforcement of consumer contracts leads to racial or gender discrimination. Nineteen testers of different races and genders were recruited and trained to return non-receipted clothing items to Chicago-based retail stores with formal receipt requirements for returns. The findings reveal that sellers are significantly more likely to treat white female customers more favorably than required by their return policies than they do African-American or male customers who use identical bargaining strategies. In particular, African-American male testers attempting to make a non-receipted return were 28 percent less likely to be offered a refund or store credit than were white female testers returning the same item and following an identical script. The results also show that store clerks are more likely to deviate from the formal policy to the detriment of African-American customers compared to white customers (for example, by refusing to accept a return even when the policy so allows). The results suggest that discretionary enforcement of consumer contracts facilitates on-the-ground discrimination.</w:t>
      </w:r>
    </w:p>
    <w:p w14:paraId="1254F9B8" w14:textId="77777777" w:rsidR="0071639E" w:rsidRDefault="0071639E" w:rsidP="00E67E67"/>
    <w:p w14:paraId="1F811DDC" w14:textId="0B579F97" w:rsidR="00E67E67" w:rsidRDefault="00E67E67" w:rsidP="008756FD">
      <w:pPr>
        <w:pStyle w:val="Heading1"/>
        <w:rPr>
          <w:rtl/>
        </w:rPr>
      </w:pPr>
      <w:r>
        <w:t>Introduction</w:t>
      </w:r>
      <w:r w:rsidR="00017D0A">
        <w:t xml:space="preserve"> </w:t>
      </w:r>
    </w:p>
    <w:p w14:paraId="3B922498" w14:textId="77777777" w:rsidR="0094765E" w:rsidRPr="0094765E" w:rsidRDefault="0094765E" w:rsidP="0094765E"/>
    <w:p w14:paraId="5CC7F4A2" w14:textId="3AB41F14" w:rsidR="0023650E" w:rsidRDefault="0023650E" w:rsidP="0088461D">
      <w:pPr>
        <w:ind w:firstLine="720"/>
      </w:pPr>
      <w:r>
        <w:rPr>
          <w:rFonts w:hint="cs"/>
        </w:rPr>
        <w:t>R</w:t>
      </w:r>
      <w:r>
        <w:t xml:space="preserve">acial and gender discrimination has been extensively documented in multiple contexts around the globe, including in housing, employment, adjudication and policing </w:t>
      </w:r>
      <w:r w:rsidRPr="00FC63FF">
        <w:t>(</w:t>
      </w:r>
      <w:r>
        <w:rPr>
          <w:i/>
          <w:iCs/>
        </w:rPr>
        <w:t xml:space="preserve">see, </w:t>
      </w:r>
      <w:r w:rsidRPr="00FC63FF">
        <w:t xml:space="preserve">e.g., </w:t>
      </w:r>
      <w:proofErr w:type="spellStart"/>
      <w:r>
        <w:t>Riach</w:t>
      </w:r>
      <w:proofErr w:type="spellEnd"/>
      <w:r>
        <w:t xml:space="preserve"> &amp; Rich, 2002; Pager, 2007; </w:t>
      </w:r>
      <w:proofErr w:type="spellStart"/>
      <w:r>
        <w:t>Bertnard</w:t>
      </w:r>
      <w:proofErr w:type="spellEnd"/>
      <w:r>
        <w:t xml:space="preserve"> &amp; </w:t>
      </w:r>
      <w:proofErr w:type="spellStart"/>
      <w:r>
        <w:t>Duflo</w:t>
      </w:r>
      <w:proofErr w:type="spellEnd"/>
      <w:r>
        <w:t>, 2017</w:t>
      </w:r>
      <w:r w:rsidRPr="00FC63FF">
        <w:t>)</w:t>
      </w:r>
      <w:r>
        <w:t xml:space="preserve">. Yet, to date, </w:t>
      </w:r>
      <w:r w:rsidR="00303286">
        <w:t xml:space="preserve">despite significant progress in the field, </w:t>
      </w:r>
      <w:r w:rsidRPr="002549E6">
        <w:t xml:space="preserve">far too little </w:t>
      </w:r>
      <w:r>
        <w:t xml:space="preserve">is known </w:t>
      </w:r>
      <w:r w:rsidRPr="002549E6">
        <w:t xml:space="preserve">about </w:t>
      </w:r>
      <w:r>
        <w:t xml:space="preserve">discrimination in </w:t>
      </w:r>
      <w:r w:rsidR="00784F1B">
        <w:t>business-to-</w:t>
      </w:r>
      <w:r>
        <w:t xml:space="preserve">consumer </w:t>
      </w:r>
      <w:r w:rsidR="00784F1B">
        <w:t>transactions</w:t>
      </w:r>
      <w:r>
        <w:t>.</w:t>
      </w:r>
      <w:r w:rsidR="0053291B">
        <w:t xml:space="preserve"> </w:t>
      </w:r>
      <w:r w:rsidR="00E1299E">
        <w:t>Particularly missing is research on the role of race and gender in determining market outcomes.</w:t>
      </w:r>
      <w:r w:rsidR="0088461D">
        <w:t xml:space="preserve"> </w:t>
      </w:r>
      <w:r w:rsidR="0053291B">
        <w:t xml:space="preserve">This paucity in the literature mirrors a legal lacuna. While race and gender discrimination in employment and </w:t>
      </w:r>
      <w:r w:rsidR="0053291B">
        <w:lastRenderedPageBreak/>
        <w:t>housing is explicitly prohibited under the various civil rights laws of the 1960s, discrimination</w:t>
      </w:r>
      <w:r w:rsidR="0088461D">
        <w:t xml:space="preserve"> of minorities</w:t>
      </w:r>
      <w:r w:rsidR="0053291B">
        <w:t xml:space="preserve"> in consumer markets is left largely uncovered by these laws.</w:t>
      </w:r>
    </w:p>
    <w:p w14:paraId="508C26BB" w14:textId="2BB6C06E" w:rsidR="00935C2C" w:rsidRDefault="00935C2C" w:rsidP="00B36BA8">
      <w:pPr>
        <w:ind w:firstLine="0"/>
      </w:pPr>
    </w:p>
    <w:p w14:paraId="4DC52A1C" w14:textId="202AE3D2" w:rsidR="00935C2C" w:rsidRPr="00946D35" w:rsidRDefault="00935C2C" w:rsidP="00935C2C">
      <w:pPr>
        <w:rPr>
          <w:b/>
          <w:bCs/>
          <w:i/>
          <w:iCs/>
        </w:rPr>
      </w:pPr>
      <w:r>
        <w:t>The few studies to address discrimination against consumers by sellers have focused on only a handful of industries (</w:t>
      </w:r>
      <w:r w:rsidRPr="001651E7">
        <w:t>e.g</w:t>
      </w:r>
      <w:r w:rsidRPr="009A393F">
        <w:rPr>
          <w:i/>
          <w:iCs/>
        </w:rPr>
        <w:t>.</w:t>
      </w:r>
      <w:r>
        <w:t xml:space="preserve">, car sales, credit, and vacation rentals), using differential pricing or refusals to offer the good or service altogether as the main or sole measure of discrimination (e.g., Ayres &amp; </w:t>
      </w:r>
      <w:proofErr w:type="spellStart"/>
      <w:r>
        <w:t>Siegleman</w:t>
      </w:r>
      <w:proofErr w:type="spellEnd"/>
      <w:r>
        <w:t xml:space="preserve">, 1995; Goldberg, 1996; </w:t>
      </w:r>
      <w:proofErr w:type="spellStart"/>
      <w:r>
        <w:t>Zussman</w:t>
      </w:r>
      <w:proofErr w:type="spellEnd"/>
      <w:r>
        <w:t>, 2013; Hanson et al., 2016; Edelman et al., 2017). Even fewer studies have documented more subtle and covert forms of differential treatment of certain consumer groups, such as longer waiting times and lower-quality service (e.g., Lee, 2000; Davidson, 2007; Ge et al., 2016), and the bulk of this work has relied on qualitative interviews rather than on quantitative techniqu</w:t>
      </w:r>
      <w:r w:rsidRPr="006C6782">
        <w:t>es.</w:t>
      </w:r>
      <w:r>
        <w:t xml:space="preserve"> This Article contributes to discrimination scholarship by investigating a potentially overlooked form of marketplace discrimination: selective enforcement of sellers’ formal terms and conditions. </w:t>
      </w:r>
    </w:p>
    <w:p w14:paraId="1D011667" w14:textId="43173D5D" w:rsidR="00935C2C" w:rsidRDefault="00935C2C" w:rsidP="00B36BA8">
      <w:pPr>
        <w:ind w:firstLine="0"/>
      </w:pPr>
    </w:p>
    <w:p w14:paraId="6D99FA6A" w14:textId="4AAF3380" w:rsidR="00B4347C" w:rsidRDefault="00B4347C" w:rsidP="00B36BA8">
      <w:pPr>
        <w:ind w:firstLine="0"/>
      </w:pPr>
      <w:r>
        <w:tab/>
      </w:r>
      <w:r w:rsidR="00111BB6">
        <w:t xml:space="preserve">As detailed in Section </w:t>
      </w:r>
      <w:r w:rsidR="00111BB6" w:rsidRPr="00111BB6">
        <w:rPr>
          <w:highlight w:val="yellow"/>
        </w:rPr>
        <w:t>I</w:t>
      </w:r>
      <w:r w:rsidR="00111BB6">
        <w:t xml:space="preserve"> below, both theory and anecdotal evidence suggest </w:t>
      </w:r>
      <w:r w:rsidR="00702808">
        <w:t xml:space="preserve">that businesses may </w:t>
      </w:r>
      <w:r w:rsidR="00111BB6" w:rsidRPr="004B35AD">
        <w:t xml:space="preserve">use rigid, clear-cut terms in their standardized agreements, but authorize their employees to exercise discretion when applying these terms </w:t>
      </w:r>
      <w:r w:rsidR="00111BB6">
        <w:t xml:space="preserve">in their interactions with consumers </w:t>
      </w:r>
      <w:r w:rsidR="00111BB6" w:rsidRPr="004B35AD">
        <w:t xml:space="preserve">on the ground. Key insights from economic theories of incomplete contracting suggest that sellers may use this strategy, rather than </w:t>
      </w:r>
      <w:r w:rsidR="00111BB6">
        <w:t>referring to</w:t>
      </w:r>
      <w:r w:rsidR="00111BB6" w:rsidRPr="004B35AD">
        <w:t xml:space="preserve"> all the contingencies in the contract, because </w:t>
      </w:r>
      <w:r w:rsidR="00111BB6">
        <w:t>it allows</w:t>
      </w:r>
      <w:r w:rsidR="00111BB6" w:rsidRPr="004B35AD">
        <w:t xml:space="preserve"> them to </w:t>
      </w:r>
      <w:r w:rsidR="00274088">
        <w:t>stir</w:t>
      </w:r>
      <w:r w:rsidR="00111BB6">
        <w:t xml:space="preserve"> away</w:t>
      </w:r>
      <w:r w:rsidR="00111BB6" w:rsidRPr="004B35AD">
        <w:t xml:space="preserve"> opportunistic buyers, who could exploit a more detailed and </w:t>
      </w:r>
      <w:r w:rsidR="00111BB6">
        <w:t>complete</w:t>
      </w:r>
      <w:r w:rsidR="00111BB6" w:rsidRPr="004B35AD">
        <w:t xml:space="preserve"> contract to </w:t>
      </w:r>
      <w:r w:rsidR="0061762E">
        <w:t>their advantage</w:t>
      </w:r>
      <w:r w:rsidR="00111BB6">
        <w:t xml:space="preserve"> (e.g., Gillette, 2005; </w:t>
      </w:r>
      <w:proofErr w:type="spellStart"/>
      <w:r w:rsidR="00111BB6">
        <w:t>Bebchuk</w:t>
      </w:r>
      <w:proofErr w:type="spellEnd"/>
      <w:r w:rsidR="00111BB6">
        <w:t xml:space="preserve"> &amp; Posner, 2006; </w:t>
      </w:r>
      <w:proofErr w:type="spellStart"/>
      <w:r w:rsidR="00111BB6">
        <w:t>Johston</w:t>
      </w:r>
      <w:proofErr w:type="spellEnd"/>
      <w:r w:rsidR="00111BB6">
        <w:t>, 2006)</w:t>
      </w:r>
      <w:r w:rsidR="00111BB6" w:rsidRPr="004B35AD">
        <w:t>.</w:t>
      </w:r>
    </w:p>
    <w:p w14:paraId="4A1AD91A" w14:textId="03078B99" w:rsidR="00A33CA1" w:rsidRDefault="00A33CA1" w:rsidP="00B36BA8">
      <w:pPr>
        <w:ind w:firstLine="0"/>
      </w:pPr>
    </w:p>
    <w:p w14:paraId="53831531" w14:textId="3463332F" w:rsidR="00A33CA1" w:rsidRDefault="00A33CA1" w:rsidP="00A33CA1">
      <w:pPr>
        <w:ind w:firstLine="720"/>
      </w:pPr>
      <w:r w:rsidRPr="004B35AD">
        <w:t>Indeed, overcoming consumer misbehavior in this manner may be the main driver behind sellers’ selective enforcement of their formal terms and conditions. Yet, empirical evidence from other domains,</w:t>
      </w:r>
      <w:r w:rsidRPr="004B35AD">
        <w:rPr>
          <w:rFonts w:asciiTheme="majorBidi" w:hAnsiTheme="majorBidi" w:cstheme="majorBidi"/>
        </w:rPr>
        <w:t xml:space="preserve"> </w:t>
      </w:r>
      <w:r w:rsidRPr="004B35AD">
        <w:t>including policing, prosecution, adjudication, and employment,</w:t>
      </w:r>
      <w:r w:rsidRPr="004B35AD">
        <w:rPr>
          <w:rFonts w:asciiTheme="majorBidi" w:hAnsiTheme="majorBidi" w:cstheme="majorBidi"/>
        </w:rPr>
        <w:t xml:space="preserve"> suggests that decision makers often exercise their discretionary powers discriminatorily across gender and racial lines</w:t>
      </w:r>
      <w:r>
        <w:rPr>
          <w:rFonts w:asciiTheme="majorBidi" w:hAnsiTheme="majorBidi" w:cstheme="majorBidi"/>
        </w:rPr>
        <w:t xml:space="preserve"> (e.g., Paternoster, 1984; Holmberg, 2000; </w:t>
      </w:r>
      <w:proofErr w:type="spellStart"/>
      <w:r>
        <w:rPr>
          <w:rFonts w:asciiTheme="majorBidi" w:hAnsiTheme="majorBidi" w:cstheme="majorBidi"/>
        </w:rPr>
        <w:t>Bushway</w:t>
      </w:r>
      <w:proofErr w:type="spellEnd"/>
      <w:r>
        <w:rPr>
          <w:rFonts w:asciiTheme="majorBidi" w:hAnsiTheme="majorBidi" w:cstheme="majorBidi"/>
        </w:rPr>
        <w:t xml:space="preserve"> &amp; Morrison </w:t>
      </w:r>
      <w:proofErr w:type="spellStart"/>
      <w:r>
        <w:rPr>
          <w:rFonts w:asciiTheme="majorBidi" w:hAnsiTheme="majorBidi" w:cstheme="majorBidi"/>
        </w:rPr>
        <w:t>Piehl</w:t>
      </w:r>
      <w:proofErr w:type="spellEnd"/>
      <w:r>
        <w:rPr>
          <w:rFonts w:asciiTheme="majorBidi" w:hAnsiTheme="majorBidi" w:cstheme="majorBidi"/>
        </w:rPr>
        <w:t>, 2001; Price, 2009)</w:t>
      </w:r>
      <w:r w:rsidRPr="004B35AD">
        <w:rPr>
          <w:rFonts w:asciiTheme="majorBidi" w:hAnsiTheme="majorBidi" w:cstheme="majorBidi"/>
        </w:rPr>
        <w:t>.</w:t>
      </w:r>
      <w:r w:rsidR="00B420B1" w:rsidRPr="00B420B1">
        <w:t xml:space="preserve"> </w:t>
      </w:r>
      <w:r w:rsidR="00B420B1">
        <w:t xml:space="preserve">For example, studies have found that women, African-American, and other minority job applicants are significantly less likely to receive a call-back from potential employers (e.g., </w:t>
      </w:r>
      <w:proofErr w:type="spellStart"/>
      <w:r w:rsidR="00B420B1">
        <w:t>Neumark</w:t>
      </w:r>
      <w:proofErr w:type="spellEnd"/>
      <w:r w:rsidR="00B420B1">
        <w:t xml:space="preserve"> et al., 1996; Pager, 2003), and that </w:t>
      </w:r>
      <w:r w:rsidR="00A37749">
        <w:t>residential landlords are significantly more likely to refuse to rent out ap</w:t>
      </w:r>
      <w:r w:rsidR="003854B0">
        <w:t xml:space="preserve">artments to </w:t>
      </w:r>
      <w:r w:rsidR="00B420B1">
        <w:t xml:space="preserve">minority tenants (e.g., </w:t>
      </w:r>
      <w:proofErr w:type="spellStart"/>
      <w:r w:rsidR="00B420B1">
        <w:t>Ewens</w:t>
      </w:r>
      <w:proofErr w:type="spellEnd"/>
      <w:r w:rsidR="00B420B1">
        <w:t xml:space="preserve"> et al., 2014; Hanson and Hawley, 2011; </w:t>
      </w:r>
      <w:proofErr w:type="spellStart"/>
      <w:r w:rsidR="00B420B1">
        <w:t>Carpusor</w:t>
      </w:r>
      <w:proofErr w:type="spellEnd"/>
      <w:r w:rsidR="00B420B1">
        <w:t xml:space="preserve"> and Loges, 2006). </w:t>
      </w:r>
      <w:r w:rsidRPr="004B35AD">
        <w:rPr>
          <w:rFonts w:asciiTheme="majorBidi" w:hAnsiTheme="majorBidi" w:cstheme="majorBidi"/>
        </w:rPr>
        <w:t xml:space="preserve">This evidence raises the concern that sellers’ </w:t>
      </w:r>
      <w:r w:rsidRPr="004B35AD">
        <w:t xml:space="preserve">discretionary authority to depart from their formal agreements may be applied inconsistently, to the </w:t>
      </w:r>
      <w:r w:rsidRPr="004B35AD">
        <w:lastRenderedPageBreak/>
        <w:t>disadvantage of certain consumer groups, such as African-American and female customers.</w:t>
      </w:r>
    </w:p>
    <w:p w14:paraId="032C9670" w14:textId="77777777" w:rsidR="0023650E" w:rsidRDefault="0023650E" w:rsidP="00B36BA8">
      <w:pPr>
        <w:ind w:firstLine="0"/>
      </w:pPr>
    </w:p>
    <w:p w14:paraId="78775B2C" w14:textId="77777777" w:rsidR="005A0C02" w:rsidRDefault="00A33917" w:rsidP="00C756D9">
      <w:r>
        <w:t xml:space="preserve">Building on </w:t>
      </w:r>
      <w:r w:rsidR="00A16FCD">
        <w:t xml:space="preserve">this </w:t>
      </w:r>
      <w:r>
        <w:t xml:space="preserve">evidence, this Article </w:t>
      </w:r>
      <w:r w:rsidR="008839F7">
        <w:t xml:space="preserve">uses an </w:t>
      </w:r>
      <w:r w:rsidR="0025423F">
        <w:t>audit study</w:t>
      </w:r>
      <w:r w:rsidR="008839F7">
        <w:t xml:space="preserve"> to </w:t>
      </w:r>
      <w:r>
        <w:t xml:space="preserve">test whether selective enforcement of </w:t>
      </w:r>
      <w:r w:rsidR="005A0C02">
        <w:t>retailers’ return policies</w:t>
      </w:r>
      <w:r>
        <w:t xml:space="preserve"> leads to race or gender discrimination. </w:t>
      </w:r>
    </w:p>
    <w:p w14:paraId="7B031585" w14:textId="77777777" w:rsidR="0017739A" w:rsidRDefault="0017739A" w:rsidP="005A0C02"/>
    <w:p w14:paraId="41A35973" w14:textId="7BF32D03" w:rsidR="005A0C02" w:rsidRDefault="005A0C02" w:rsidP="005A0C02">
      <w:r>
        <w:t xml:space="preserve">I focused on discriminatory enforcement of return policies for two main reasons. First, sellers’ implementation of their return policies is both discretionary and potentially observable through an audit study. Second, product returns are an area of substantial economic importance to consumers and sellers. </w:t>
      </w:r>
      <w:r w:rsidRPr="00110AC5">
        <w:t xml:space="preserve">The </w:t>
      </w:r>
      <w:r>
        <w:t xml:space="preserve">ability to withdraw from consumer transactions is </w:t>
      </w:r>
      <w:r>
        <w:rPr>
          <w:lang w:bidi="he-IL"/>
        </w:rPr>
        <w:t>valuable</w:t>
      </w:r>
      <w:r>
        <w:t xml:space="preserve"> to consumers, as they frequently come to regret their purchases after the fact.</w:t>
      </w:r>
      <w:r>
        <w:rPr>
          <w:rStyle w:val="FootnoteReference"/>
        </w:rPr>
        <w:footnoteReference w:id="2"/>
      </w:r>
      <w:r w:rsidRPr="00B86D12">
        <w:t xml:space="preserve"> </w:t>
      </w:r>
      <w:r>
        <w:t>About twenty percent of all purchases made in retail stores are ultimately returned to sellers, resulting in hundreds of billions of lost profits because of returned merchandise each year.</w:t>
      </w:r>
      <w:r>
        <w:rPr>
          <w:rStyle w:val="FootnoteReference"/>
        </w:rPr>
        <w:footnoteReference w:id="3"/>
      </w:r>
      <w:r w:rsidR="00896C92">
        <w:t xml:space="preserve"> I hope that this study of product returns </w:t>
      </w:r>
      <w:r w:rsidR="007767D1">
        <w:t>will encourage other researchers</w:t>
      </w:r>
      <w:r w:rsidR="00400DDF">
        <w:t>, and possibly regulators or civil rights advocates,</w:t>
      </w:r>
      <w:r w:rsidR="007767D1">
        <w:t xml:space="preserve"> to test for discriminatory enforcement of contracts in other </w:t>
      </w:r>
      <w:r w:rsidR="00B41420">
        <w:t xml:space="preserve">settings—and particularly in other business-to-consumers contexts. </w:t>
      </w:r>
    </w:p>
    <w:p w14:paraId="47632586" w14:textId="77777777" w:rsidR="005A0C02" w:rsidRDefault="005A0C02" w:rsidP="00C53977">
      <w:pPr>
        <w:ind w:firstLine="0"/>
      </w:pPr>
    </w:p>
    <w:p w14:paraId="4748D08C" w14:textId="17E68884" w:rsidR="00655226" w:rsidRDefault="0099330B" w:rsidP="003B0432">
      <w:r>
        <w:t xml:space="preserve">Data collection took place in Chicago, Illinois, in 2019. </w:t>
      </w:r>
      <w:r w:rsidR="00F739D7">
        <w:t>N</w:t>
      </w:r>
      <w:r w:rsidR="00CB07A5" w:rsidRPr="00257BD4">
        <w:t>ineteen t</w:t>
      </w:r>
      <w:r w:rsidR="00BC4194" w:rsidRPr="00257BD4">
        <w:t>esters</w:t>
      </w:r>
      <w:r w:rsidR="00A470D7" w:rsidRPr="00257BD4">
        <w:t xml:space="preserve"> (</w:t>
      </w:r>
      <w:r w:rsidR="00257BD4">
        <w:t xml:space="preserve">5 </w:t>
      </w:r>
      <w:r w:rsidR="00A470D7" w:rsidRPr="00257BD4">
        <w:t>African</w:t>
      </w:r>
      <w:r w:rsidR="00A470D7">
        <w:t xml:space="preserve">-American male, </w:t>
      </w:r>
      <w:r w:rsidR="00257BD4">
        <w:t xml:space="preserve">4 </w:t>
      </w:r>
      <w:r w:rsidR="00A470D7">
        <w:t xml:space="preserve">African-American female, </w:t>
      </w:r>
      <w:r w:rsidR="00257BD4">
        <w:t xml:space="preserve">5 </w:t>
      </w:r>
      <w:r w:rsidR="00A470D7">
        <w:t xml:space="preserve">white male and </w:t>
      </w:r>
      <w:r w:rsidR="00257BD4">
        <w:t xml:space="preserve">5 </w:t>
      </w:r>
      <w:r w:rsidR="00A470D7">
        <w:t>white female</w:t>
      </w:r>
      <w:r w:rsidR="00257BD4">
        <w:t xml:space="preserve"> testers</w:t>
      </w:r>
      <w:r w:rsidR="00A470D7">
        <w:t xml:space="preserve">) </w:t>
      </w:r>
      <w:r w:rsidR="00BC4194">
        <w:t xml:space="preserve">were recruited and trained to return non-receipted clothing items to retail stores </w:t>
      </w:r>
      <w:r w:rsidR="00917180">
        <w:t>which formally require receipts</w:t>
      </w:r>
      <w:r w:rsidR="00BC4194">
        <w:t xml:space="preserve"> for </w:t>
      </w:r>
      <w:r w:rsidR="00885C4B">
        <w:t>refunds</w:t>
      </w:r>
      <w:r w:rsidR="00BC4194">
        <w:t xml:space="preserve">. The testers followed a uniform script and returned the items, unused and in their original packaging, to each of the audited stores. </w:t>
      </w:r>
      <w:r w:rsidR="00347CA6">
        <w:t xml:space="preserve">Overall, 203 audits of 59 stores were included in the </w:t>
      </w:r>
      <w:r w:rsidR="00D527ED">
        <w:t>study</w:t>
      </w:r>
      <w:r w:rsidR="00347CA6">
        <w:t xml:space="preserve">. </w:t>
      </w:r>
      <w:r w:rsidR="00655226">
        <w:t>I find that retail sellers often deviate from</w:t>
      </w:r>
      <w:r w:rsidR="00655226" w:rsidRPr="004B35AD">
        <w:t xml:space="preserve"> </w:t>
      </w:r>
      <w:r w:rsidR="00655226">
        <w:t>the formal terms</w:t>
      </w:r>
      <w:r w:rsidR="00655226" w:rsidRPr="004B35AD">
        <w:t xml:space="preserve"> and conditions governing </w:t>
      </w:r>
      <w:r w:rsidR="00655226">
        <w:t xml:space="preserve">product returns, and that selective enforcement of return policies often leads to </w:t>
      </w:r>
      <w:r w:rsidR="00F55D0C">
        <w:t xml:space="preserve">racial and gender disparities. </w:t>
      </w:r>
    </w:p>
    <w:p w14:paraId="020FF45E" w14:textId="3166E313" w:rsidR="003B0432" w:rsidRDefault="003B0432" w:rsidP="003B0432"/>
    <w:p w14:paraId="5E2A0C67" w14:textId="77777777" w:rsidR="00C12A5B" w:rsidRDefault="00C12A5B" w:rsidP="00C12A5B">
      <w:r>
        <w:t xml:space="preserve">Sellers selectively enforced their contracts, deviating from the formal policy in roughly half (54%) of the audits. They deviated in favor of consumers in 34% of the audits, while deviating to consumers’ detriment in 20% of the audits. </w:t>
      </w:r>
    </w:p>
    <w:p w14:paraId="707AF561" w14:textId="38FDCFFE" w:rsidR="00007AEA" w:rsidRDefault="00007AEA" w:rsidP="00C12A5B">
      <w:pPr>
        <w:ind w:firstLine="0"/>
      </w:pPr>
    </w:p>
    <w:p w14:paraId="1E91A5C2" w14:textId="3047FE2D" w:rsidR="00007AEA" w:rsidRDefault="00007AEA" w:rsidP="00007AEA">
      <w:r>
        <w:t xml:space="preserve">Three types of racial disparities are particularly striking: (1) African-American consumers were 10 percentage points less likely to experience a more lenient treatment compared to the formal policy than were white </w:t>
      </w:r>
      <w:r>
        <w:lastRenderedPageBreak/>
        <w:t>consumers (28% v. 38%).</w:t>
      </w:r>
      <w:r>
        <w:rPr>
          <w:rStyle w:val="FootnoteReference"/>
        </w:rPr>
        <w:footnoteReference w:id="4"/>
      </w:r>
      <w:r>
        <w:t xml:space="preserve"> (2) African-American consumers were 7 percentage points more likely to be treated worse than the policy requires compared to white testers (24% v. 17%)</w:t>
      </w:r>
      <w:r w:rsidR="006368A6">
        <w:t>,</w:t>
      </w:r>
      <w:r>
        <w:rPr>
          <w:rStyle w:val="FootnoteReference"/>
        </w:rPr>
        <w:footnoteReference w:id="5"/>
      </w:r>
      <w:r w:rsidR="006368A6">
        <w:t xml:space="preserve"> and (3)</w:t>
      </w:r>
      <w:r>
        <w:t xml:space="preserve"> African-American consumers </w:t>
      </w:r>
      <w:r w:rsidR="006368A6">
        <w:t>were</w:t>
      </w:r>
      <w:r>
        <w:t xml:space="preserve"> 23 percentage points less likely to see a manager upon request (59% v. 82%)</w:t>
      </w:r>
      <w:r w:rsidR="00427D64">
        <w:t>, and 15 percentage points less likely to obtain an improved outcome after speaking with a manager, than were white consumers (</w:t>
      </w:r>
      <w:r w:rsidR="00D01D39">
        <w:t>19% v. 34%).</w:t>
      </w:r>
      <w:r w:rsidR="00D01D39">
        <w:rPr>
          <w:rStyle w:val="FootnoteReference"/>
        </w:rPr>
        <w:footnoteReference w:id="6"/>
      </w:r>
    </w:p>
    <w:p w14:paraId="4BFCA17C" w14:textId="77777777" w:rsidR="00C73FCE" w:rsidRDefault="00C73FCE" w:rsidP="00C12A5B">
      <w:pPr>
        <w:ind w:firstLine="0"/>
      </w:pPr>
    </w:p>
    <w:p w14:paraId="675FD188" w14:textId="44E86AF3" w:rsidR="00C12A5B" w:rsidRDefault="00242DB0" w:rsidP="00C12A5B">
      <w:r>
        <w:t xml:space="preserve">Sellers’ selective enforcement of contracts disproportionately benefited white </w:t>
      </w:r>
      <w:r w:rsidR="00C73FCE">
        <w:t xml:space="preserve">consumers. </w:t>
      </w:r>
      <w:r w:rsidR="00C12A5B">
        <w:t>African-American consumers</w:t>
      </w:r>
      <w:r w:rsidR="00C12A5B" w:rsidRPr="00B27AEA">
        <w:t xml:space="preserve"> </w:t>
      </w:r>
      <w:r w:rsidR="00C12A5B">
        <w:t>were</w:t>
      </w:r>
      <w:r w:rsidR="00C12A5B" w:rsidRPr="00B27AEA">
        <w:t xml:space="preserve"> </w:t>
      </w:r>
      <w:r w:rsidR="00C12A5B">
        <w:t>roughly</w:t>
      </w:r>
      <w:r w:rsidR="00C12A5B" w:rsidRPr="006C5AF2">
        <w:t xml:space="preserve"> 22 percentage points less likely</w:t>
      </w:r>
      <w:r w:rsidR="00C12A5B" w:rsidRPr="00B27AEA">
        <w:t xml:space="preserve"> to have their non-receipted return accepted</w:t>
      </w:r>
      <w:r w:rsidR="00C12A5B">
        <w:t xml:space="preserve"> (for either refund or store credit)</w:t>
      </w:r>
      <w:r w:rsidR="00C12A5B" w:rsidRPr="00B27AEA">
        <w:t xml:space="preserve"> compared to </w:t>
      </w:r>
      <w:r w:rsidR="00C12A5B">
        <w:t xml:space="preserve">similarly-situated </w:t>
      </w:r>
      <w:r w:rsidR="00C12A5B" w:rsidRPr="00B27AEA">
        <w:t>white consumers</w:t>
      </w:r>
      <w:r w:rsidR="00C12A5B">
        <w:t xml:space="preserve"> seeking to return an identical product and following an identical script</w:t>
      </w:r>
      <w:r w:rsidR="00C12A5B" w:rsidRPr="00B27AEA">
        <w:t>.</w:t>
      </w:r>
      <w:r w:rsidR="00C12A5B">
        <w:rPr>
          <w:rStyle w:val="FootnoteReference"/>
        </w:rPr>
        <w:footnoteReference w:id="7"/>
      </w:r>
      <w:r w:rsidR="00C12A5B">
        <w:t xml:space="preserve"> </w:t>
      </w:r>
    </w:p>
    <w:p w14:paraId="05480A7B" w14:textId="77777777" w:rsidR="00C31C7F" w:rsidRDefault="00C31C7F" w:rsidP="00DF4DBB">
      <w:pPr>
        <w:ind w:firstLine="0"/>
      </w:pPr>
    </w:p>
    <w:p w14:paraId="10E3948F" w14:textId="77777777" w:rsidR="00355803" w:rsidRDefault="00DF4DBB" w:rsidP="00987870">
      <w:r>
        <w:t>Gender disparities were also observed</w:t>
      </w:r>
      <w:r w:rsidR="00471A3F">
        <w:t>, albeit pointing into somewhat conflicting directions</w:t>
      </w:r>
      <w:r>
        <w:t>.</w:t>
      </w:r>
      <w:r w:rsidR="006F3D00">
        <w:t xml:space="preserve"> </w:t>
      </w:r>
      <w:r w:rsidR="00471A3F">
        <w:t xml:space="preserve">While </w:t>
      </w:r>
      <w:r w:rsidR="006F3D00">
        <w:t xml:space="preserve">male testers were </w:t>
      </w:r>
      <w:r w:rsidR="00DC385B">
        <w:t>1</w:t>
      </w:r>
      <w:r w:rsidR="00FA01A1">
        <w:t>3</w:t>
      </w:r>
      <w:r w:rsidR="00DC385B">
        <w:t xml:space="preserve"> percentage points less likely to experience a more lenient treatment than were</w:t>
      </w:r>
      <w:r w:rsidR="00BC4194">
        <w:t xml:space="preserve"> </w:t>
      </w:r>
      <w:r w:rsidR="00BA157B">
        <w:t>female testers</w:t>
      </w:r>
      <w:r w:rsidR="004C15CC">
        <w:t xml:space="preserve"> (</w:t>
      </w:r>
      <w:r w:rsidR="00FA01A1">
        <w:t>27% v. 40%)</w:t>
      </w:r>
      <w:r w:rsidR="00D3786C">
        <w:t>,</w:t>
      </w:r>
      <w:r w:rsidR="00DC385B">
        <w:rPr>
          <w:rStyle w:val="FootnoteReference"/>
        </w:rPr>
        <w:footnoteReference w:id="8"/>
      </w:r>
      <w:r w:rsidR="00D3786C">
        <w:t xml:space="preserve"> and </w:t>
      </w:r>
      <w:r w:rsidR="004C15CC">
        <w:t>9</w:t>
      </w:r>
      <w:r w:rsidR="00D3786C">
        <w:t xml:space="preserve"> percentage points more likely to </w:t>
      </w:r>
      <w:r w:rsidR="008F4EFB">
        <w:t xml:space="preserve">be treated worse than the policy requires </w:t>
      </w:r>
      <w:r w:rsidR="00471A3F">
        <w:t>than</w:t>
      </w:r>
      <w:r w:rsidR="008F4EFB">
        <w:t xml:space="preserve"> female testers (</w:t>
      </w:r>
      <w:r w:rsidR="004C15CC">
        <w:t>25</w:t>
      </w:r>
      <w:r w:rsidR="008F4EFB">
        <w:t xml:space="preserve">% v. </w:t>
      </w:r>
      <w:r w:rsidR="004C15CC">
        <w:t>16</w:t>
      </w:r>
      <w:r w:rsidR="008F4EFB">
        <w:t>%)</w:t>
      </w:r>
      <w:r w:rsidR="00471A3F">
        <w:t>,</w:t>
      </w:r>
      <w:r w:rsidR="008F4EFB">
        <w:rPr>
          <w:rStyle w:val="FootnoteReference"/>
        </w:rPr>
        <w:footnoteReference w:id="9"/>
      </w:r>
      <w:r w:rsidR="008F4EFB">
        <w:t xml:space="preserve"> </w:t>
      </w:r>
      <w:r w:rsidR="007645C9">
        <w:t xml:space="preserve">women were significantly less likely to see a manager upon request than men (58% v. </w:t>
      </w:r>
      <w:r w:rsidR="00965C43">
        <w:t>84%)</w:t>
      </w:r>
      <w:r w:rsidR="00BC4194">
        <w:t xml:space="preserve">. </w:t>
      </w:r>
    </w:p>
    <w:p w14:paraId="3BCC47B7" w14:textId="77777777" w:rsidR="00355803" w:rsidRDefault="00355803" w:rsidP="00987870"/>
    <w:p w14:paraId="23276A99" w14:textId="7207A6E0" w:rsidR="005C0B14" w:rsidRDefault="008A7CA3" w:rsidP="00987870">
      <w:r>
        <w:t>M</w:t>
      </w:r>
      <w:r w:rsidR="00987870">
        <w:t xml:space="preserve">ale and white customers </w:t>
      </w:r>
      <w:r>
        <w:t>were</w:t>
      </w:r>
      <w:r w:rsidR="00987870">
        <w:t xml:space="preserve"> significantly more likely to benefit from complaining and negotiating the terms at the post-contract stage than African-American and female customers. </w:t>
      </w:r>
      <w:r>
        <w:t>These findings suggest that w</w:t>
      </w:r>
      <w:r w:rsidR="00987870">
        <w:t>hile members of the majority benefit from complaining, minority consumers are penalized for doing so.</w:t>
      </w:r>
      <w:r>
        <w:rPr>
          <w:rStyle w:val="FootnoteReference"/>
        </w:rPr>
        <w:footnoteReference w:id="10"/>
      </w:r>
      <w:r w:rsidR="00987870">
        <w:t xml:space="preserve">  </w:t>
      </w:r>
    </w:p>
    <w:p w14:paraId="18D8FF53" w14:textId="77777777" w:rsidR="00987870" w:rsidRDefault="00987870" w:rsidP="00987870"/>
    <w:p w14:paraId="0BC9F4BA" w14:textId="786CCC1E" w:rsidR="005C0B14" w:rsidRDefault="005C0B14" w:rsidP="00D01ED9">
      <w:r>
        <w:t xml:space="preserve">Since females were </w:t>
      </w:r>
      <w:r w:rsidR="00987870">
        <w:t xml:space="preserve">generally </w:t>
      </w:r>
      <w:r>
        <w:t>treated significantly better than men (except with respect to requests to speak with a manager), and white</w:t>
      </w:r>
      <w:r w:rsidR="005F35A4">
        <w:t xml:space="preserve"> testers</w:t>
      </w:r>
      <w:r>
        <w:t xml:space="preserve"> were treated significantly better than African-American</w:t>
      </w:r>
      <w:r w:rsidR="005F35A4">
        <w:t xml:space="preserve"> testers, the largest differences were observed between white females and African-American </w:t>
      </w:r>
      <w:r w:rsidR="005F35A4">
        <w:lastRenderedPageBreak/>
        <w:t xml:space="preserve">males. For example, </w:t>
      </w:r>
      <w:r w:rsidR="00DD7148">
        <w:t xml:space="preserve">while white female testers were 84% likely to </w:t>
      </w:r>
      <w:r w:rsidR="00982B21" w:rsidRPr="00B27AEA">
        <w:t>have their non-receipted return accepted</w:t>
      </w:r>
      <w:r w:rsidR="00982B21">
        <w:t xml:space="preserve"> (for either refund or store credit)</w:t>
      </w:r>
      <w:r w:rsidR="00DD7148">
        <w:t xml:space="preserve">, </w:t>
      </w:r>
      <w:r w:rsidR="00982B21">
        <w:t>African-American male testers were only 58% likely to obtain these outcomes.</w:t>
      </w:r>
      <w:r w:rsidR="00EF5336">
        <w:rPr>
          <w:rStyle w:val="FootnoteReference"/>
        </w:rPr>
        <w:footnoteReference w:id="11"/>
      </w:r>
      <w:r w:rsidR="00982B21">
        <w:t xml:space="preserve">  </w:t>
      </w:r>
      <w:r w:rsidR="00380B17">
        <w:t xml:space="preserve">White females were 21% more likely to experience a pro-consumer gap </w:t>
      </w:r>
      <w:r w:rsidR="006F4007">
        <w:t>and 15% less likely to experience an anti-consumer gap compared to African-American males.</w:t>
      </w:r>
      <w:r w:rsidR="006F4007">
        <w:rPr>
          <w:rStyle w:val="FootnoteReference"/>
        </w:rPr>
        <w:footnoteReference w:id="12"/>
      </w:r>
    </w:p>
    <w:p w14:paraId="033D3657" w14:textId="5E5A64E5" w:rsidR="002E6571" w:rsidRDefault="002E6571" w:rsidP="00B26EFE">
      <w:pPr>
        <w:ind w:firstLine="0"/>
      </w:pPr>
    </w:p>
    <w:p w14:paraId="317A8BBB" w14:textId="13A10997" w:rsidR="0085404F" w:rsidRDefault="002E3CE6" w:rsidP="00511D6E">
      <w:r w:rsidRPr="0034173B">
        <w:t>What can explain the</w:t>
      </w:r>
      <w:r>
        <w:t xml:space="preserve"> observed disparate treatment of </w:t>
      </w:r>
      <w:r w:rsidR="006F4007">
        <w:t xml:space="preserve">similarly-situated consumers returning the same product </w:t>
      </w:r>
      <w:r w:rsidR="00D905E6">
        <w:t xml:space="preserve">while </w:t>
      </w:r>
      <w:r w:rsidR="0008158D">
        <w:t>using the same script</w:t>
      </w:r>
      <w:r w:rsidR="00EF4D3C">
        <w:t xml:space="preserve">? </w:t>
      </w:r>
      <w:r w:rsidR="00BE0EF7">
        <w:t xml:space="preserve">The study is not well-equipped to answer this question, but the data may offer some leads/hints/clues. </w:t>
      </w:r>
    </w:p>
    <w:p w14:paraId="4CDD955C" w14:textId="04975BCE" w:rsidR="002E6571" w:rsidRDefault="002E6571" w:rsidP="00E67E67"/>
    <w:p w14:paraId="6CAE6FCD" w14:textId="0A74E985" w:rsidR="00FB38E4" w:rsidRDefault="0085404F" w:rsidP="00E67E67">
      <w:r>
        <w:t xml:space="preserve">One potential explanation is that </w:t>
      </w:r>
      <w:r w:rsidR="00A91804">
        <w:t xml:space="preserve">since </w:t>
      </w:r>
      <w:r w:rsidR="00BC2F8E">
        <w:t>non-white</w:t>
      </w:r>
      <w:r w:rsidR="00A91804">
        <w:t xml:space="preserve"> consumers feel less entitled,</w:t>
      </w:r>
      <w:r w:rsidR="00151F04">
        <w:rPr>
          <w:rStyle w:val="FootnoteReference"/>
        </w:rPr>
        <w:footnoteReference w:id="13"/>
      </w:r>
      <w:r w:rsidR="00A91804">
        <w:t xml:space="preserve"> they are less likely to negotiate the terms of the agreement,</w:t>
      </w:r>
      <w:r w:rsidR="00151F04">
        <w:rPr>
          <w:rStyle w:val="FootnoteReference"/>
        </w:rPr>
        <w:footnoteReference w:id="14"/>
      </w:r>
      <w:r w:rsidR="00A91804">
        <w:t xml:space="preserve"> and </w:t>
      </w:r>
      <w:r w:rsidR="00422D76">
        <w:t xml:space="preserve">are </w:t>
      </w:r>
      <w:r w:rsidR="00A91804">
        <w:t>thus</w:t>
      </w:r>
      <w:r w:rsidR="00422D76">
        <w:t xml:space="preserve"> </w:t>
      </w:r>
      <w:r w:rsidR="00A91804">
        <w:t xml:space="preserve">less likely to benefit from a more lenient treatment compared to majority consumers. </w:t>
      </w:r>
      <w:r w:rsidR="00422D76">
        <w:t>Yet</w:t>
      </w:r>
      <w:r w:rsidR="00DE4FA7">
        <w:t xml:space="preserve">, this experiment suggests that even when consumers’ </w:t>
      </w:r>
      <w:r w:rsidR="00392541">
        <w:t xml:space="preserve">negotiating behavior is </w:t>
      </w:r>
      <w:r w:rsidR="00422D76">
        <w:t>uniform</w:t>
      </w:r>
      <w:r w:rsidR="009C441F">
        <w:t>—African-American</w:t>
      </w:r>
      <w:r w:rsidR="00EF4D3C">
        <w:t xml:space="preserve"> consumers</w:t>
      </w:r>
      <w:r w:rsidR="009C441F">
        <w:t xml:space="preserve"> are systematically treated </w:t>
      </w:r>
      <w:r w:rsidR="004F18ED">
        <w:t>worse</w:t>
      </w:r>
      <w:r w:rsidR="000C29DF">
        <w:t xml:space="preserve"> </w:t>
      </w:r>
      <w:r w:rsidR="00EF4D3C">
        <w:t xml:space="preserve">by </w:t>
      </w:r>
      <w:r w:rsidR="000C29DF">
        <w:t>store</w:t>
      </w:r>
      <w:r w:rsidR="00BC2F8E">
        <w:t>s’</w:t>
      </w:r>
      <w:r w:rsidR="000C29DF">
        <w:t xml:space="preserve"> </w:t>
      </w:r>
      <w:r w:rsidR="00BC2F8E">
        <w:t>representatives</w:t>
      </w:r>
      <w:r w:rsidR="000C29DF">
        <w:t xml:space="preserve">. </w:t>
      </w:r>
    </w:p>
    <w:p w14:paraId="62CE19C9" w14:textId="77777777" w:rsidR="00FB38E4" w:rsidRDefault="00FB38E4" w:rsidP="00E67E67"/>
    <w:p w14:paraId="3DA9ACA0" w14:textId="3BFF1CE5" w:rsidR="0085404F" w:rsidRDefault="004F18ED" w:rsidP="007E7A90">
      <w:pPr>
        <w:rPr>
          <w:color w:val="FF0000"/>
        </w:rPr>
      </w:pPr>
      <w:r w:rsidRPr="002C4F23">
        <w:t>The literature</w:t>
      </w:r>
      <w:r>
        <w:t xml:space="preserve"> on discrimination offers two main theories for the causes of discrimination. </w:t>
      </w:r>
      <w:r w:rsidR="00475228">
        <w:t>Taste-based theories posit that a particular group is treated significantly worse because it is disfavored or hated.</w:t>
      </w:r>
      <w:r w:rsidR="00104966">
        <w:rPr>
          <w:rStyle w:val="FootnoteReference"/>
        </w:rPr>
        <w:footnoteReference w:id="15"/>
      </w:r>
      <w:r w:rsidR="00475228">
        <w:t xml:space="preserve"> In contrast, statistical theories of discrimination posit that disparate treatment stems not from distaste for, or bias against, certain minority groups, but rather from a seller’s desire to maximize </w:t>
      </w:r>
      <w:r w:rsidR="00475228" w:rsidRPr="00214665">
        <w:t>profits</w:t>
      </w:r>
      <w:r w:rsidR="00475228">
        <w:t xml:space="preserve"> in a situation of imperfect information</w:t>
      </w:r>
      <w:r w:rsidR="00104966">
        <w:t>.</w:t>
      </w:r>
      <w:r w:rsidR="00104966">
        <w:rPr>
          <w:rStyle w:val="FootnoteReference"/>
        </w:rPr>
        <w:footnoteReference w:id="16"/>
      </w:r>
      <w:r w:rsidR="00475228">
        <w:t xml:space="preserve">  When information about specific individuals is limited, decision</w:t>
      </w:r>
      <w:r w:rsidR="00104966">
        <w:t>-</w:t>
      </w:r>
      <w:r w:rsidR="00475228">
        <w:t xml:space="preserve">makers may draw statistical inferences based on an individual’s group affiliation (e.g., Posner, </w:t>
      </w:r>
      <w:r w:rsidR="00475228" w:rsidRPr="009C5CC6">
        <w:rPr>
          <w:color w:val="FF0000"/>
        </w:rPr>
        <w:t xml:space="preserve">1989). </w:t>
      </w:r>
    </w:p>
    <w:p w14:paraId="7C98BEEF" w14:textId="77777777" w:rsidR="008E12B1" w:rsidRDefault="008E12B1" w:rsidP="008E12B1">
      <w:pPr>
        <w:ind w:firstLine="0"/>
      </w:pPr>
    </w:p>
    <w:p w14:paraId="5D5B96F7" w14:textId="6694C46C" w:rsidR="008E12B1" w:rsidRDefault="008E12B1" w:rsidP="007E7A90">
      <w:r w:rsidRPr="00214665">
        <w:t xml:space="preserve">This study’s findings do not support any single theory of discrimination. </w:t>
      </w:r>
      <w:r w:rsidR="007C1802" w:rsidRPr="00214665">
        <w:t xml:space="preserve">On one hand, I find that white clerks </w:t>
      </w:r>
      <w:r w:rsidR="00426234" w:rsidRPr="00214665">
        <w:t>are significantly less likely to offer refund or store credit to African</w:t>
      </w:r>
      <w:r w:rsidR="006D53C6" w:rsidRPr="00214665">
        <w:t>-American testers than to white testers.</w:t>
      </w:r>
      <w:r w:rsidR="006D53C6" w:rsidRPr="00214665">
        <w:rPr>
          <w:rStyle w:val="FootnoteReference"/>
        </w:rPr>
        <w:footnoteReference w:id="17"/>
      </w:r>
      <w:r w:rsidR="00381433" w:rsidRPr="00214665">
        <w:t xml:space="preserve"> This </w:t>
      </w:r>
      <w:r w:rsidR="003812A1">
        <w:t>finding implies</w:t>
      </w:r>
      <w:r w:rsidR="00381433" w:rsidRPr="00214665">
        <w:t xml:space="preserve"> that in-group bias </w:t>
      </w:r>
      <w:r w:rsidR="00BF2F19">
        <w:t xml:space="preserve">may </w:t>
      </w:r>
      <w:r w:rsidR="00381433" w:rsidRPr="00214665">
        <w:t>play a role in white clerks</w:t>
      </w:r>
      <w:r w:rsidR="00426256">
        <w:t>’</w:t>
      </w:r>
      <w:r w:rsidR="00381433" w:rsidRPr="00214665">
        <w:t xml:space="preserve"> tendency to discriminate against African-Americans. On the other hand, African-American clerks are </w:t>
      </w:r>
      <w:r w:rsidR="00087879">
        <w:t>also</w:t>
      </w:r>
      <w:r w:rsidR="00381433" w:rsidRPr="00214665">
        <w:t xml:space="preserve"> significantly less likely to offer refund or </w:t>
      </w:r>
      <w:r w:rsidR="00381433" w:rsidRPr="00214665">
        <w:lastRenderedPageBreak/>
        <w:t>store credit to African-American testers than to white testers</w:t>
      </w:r>
      <w:r w:rsidR="00214665" w:rsidRPr="00214665">
        <w:t>, suggesting that statistical discrimination may also be at play</w:t>
      </w:r>
      <w:r w:rsidR="00381433" w:rsidRPr="00214665">
        <w:t>.</w:t>
      </w:r>
      <w:r w:rsidR="00381433" w:rsidRPr="00214665">
        <w:rPr>
          <w:rStyle w:val="FootnoteReference"/>
        </w:rPr>
        <w:footnoteReference w:id="18"/>
      </w:r>
      <w:r w:rsidR="00F14E2B">
        <w:t xml:space="preserve"> </w:t>
      </w:r>
      <w:r w:rsidR="008D743E">
        <w:t>In fact, w</w:t>
      </w:r>
      <w:r w:rsidR="00F14E2B">
        <w:t xml:space="preserve">hite testers fare </w:t>
      </w:r>
      <w:r w:rsidR="00467430">
        <w:t xml:space="preserve">significantly </w:t>
      </w:r>
      <w:r w:rsidR="00F14E2B">
        <w:t xml:space="preserve">better among </w:t>
      </w:r>
      <w:r w:rsidR="008D743E">
        <w:t>African-American</w:t>
      </w:r>
      <w:r w:rsidR="00467430">
        <w:t xml:space="preserve"> clerks than among </w:t>
      </w:r>
      <w:r w:rsidR="008D743E">
        <w:t>white</w:t>
      </w:r>
      <w:r w:rsidR="00467430">
        <w:t xml:space="preserve"> clerks</w:t>
      </w:r>
      <w:r w:rsidR="008D743E">
        <w:t xml:space="preserve"> (70% likelihood to have return accepted </w:t>
      </w:r>
      <w:r w:rsidR="004B6B0A">
        <w:t>when dealing with white clerks versus 82.5% likelihood when dealing with African-American clerks)</w:t>
      </w:r>
      <w:r w:rsidR="00467430">
        <w:t>.</w:t>
      </w:r>
      <w:r w:rsidR="008D743E">
        <w:rPr>
          <w:rStyle w:val="FootnoteReference"/>
        </w:rPr>
        <w:footnoteReference w:id="19"/>
      </w:r>
      <w:r w:rsidR="00467430">
        <w:t xml:space="preserve"> </w:t>
      </w:r>
      <w:r w:rsidR="005E1E10">
        <w:t xml:space="preserve">At the same time, African-American testers </w:t>
      </w:r>
      <w:r w:rsidR="00215B8E">
        <w:t xml:space="preserve">do not obtain significantly </w:t>
      </w:r>
      <w:r w:rsidR="00087879">
        <w:t>worse</w:t>
      </w:r>
      <w:r w:rsidR="00215B8E">
        <w:t xml:space="preserve"> results among white</w:t>
      </w:r>
      <w:r w:rsidR="00087879">
        <w:t xml:space="preserve"> clerks than among</w:t>
      </w:r>
      <w:r w:rsidR="00215B8E">
        <w:t xml:space="preserve"> African-American clerks.</w:t>
      </w:r>
    </w:p>
    <w:p w14:paraId="7524EC93" w14:textId="2494B585" w:rsidR="001C3020" w:rsidRDefault="001C3020" w:rsidP="007E7A90"/>
    <w:p w14:paraId="78047B5E" w14:textId="013C8266" w:rsidR="001C3020" w:rsidRDefault="001C3020" w:rsidP="007E7A90">
      <w:r>
        <w:t>When looking at the relationship between store luxuriousness and racial discrimination, another interesting pattern appears. While African-American consumers are discriminated against in both mainstream and high-end stores, they are not treated significantly worse at the discount stores. This, again, suggests that statistical discrimination might be at play. While discount stores</w:t>
      </w:r>
      <w:r w:rsidR="0072559F">
        <w:t xml:space="preserve"> in Chicago</w:t>
      </w:r>
      <w:r>
        <w:t xml:space="preserve"> typically have a large African-American customer base, higher-end stores typically cater to higher-income, predominantly </w:t>
      </w:r>
      <w:r w:rsidR="0072559F">
        <w:t xml:space="preserve">white, customers. </w:t>
      </w:r>
      <w:r w:rsidR="00A666FC">
        <w:t xml:space="preserve">It is therefore plausible that clerks in higher-end stores perceive African-American consumers as </w:t>
      </w:r>
      <w:proofErr w:type="gramStart"/>
      <w:r w:rsidR="00A666FC">
        <w:t>less</w:t>
      </w:r>
      <w:proofErr w:type="gramEnd"/>
      <w:r w:rsidR="00A666FC">
        <w:t xml:space="preserve"> valuable customers. Another plausible factor behind the observed discrimination is that store clerks at higher-end stores are more suspicious towards African-American customers, as those do not typically buy at these stores. </w:t>
      </w:r>
    </w:p>
    <w:p w14:paraId="5AB6F441" w14:textId="77777777" w:rsidR="00697227" w:rsidRDefault="00697227" w:rsidP="00864058">
      <w:pPr>
        <w:ind w:firstLine="0"/>
        <w:rPr>
          <w:lang w:bidi="he-IL"/>
        </w:rPr>
      </w:pPr>
    </w:p>
    <w:p w14:paraId="5ACEC8ED" w14:textId="695E395C" w:rsidR="00DB1C9D" w:rsidRDefault="00661FF8" w:rsidP="007E7A90">
      <w:r>
        <w:t xml:space="preserve">Whatever the source of the observed disparate treatment may be, the results </w:t>
      </w:r>
      <w:r w:rsidR="006B60CA">
        <w:t xml:space="preserve">reveal that even though </w:t>
      </w:r>
      <w:r w:rsidR="00AC2FC9">
        <w:t xml:space="preserve">sellers </w:t>
      </w:r>
      <w:r>
        <w:t>typically</w:t>
      </w:r>
      <w:r w:rsidR="00AC2FC9">
        <w:t xml:space="preserve"> adopt a standard, uniform contract or policy</w:t>
      </w:r>
      <w:r>
        <w:t>, which allegedly applies</w:t>
      </w:r>
      <w:r w:rsidR="00AC2FC9">
        <w:t xml:space="preserve"> vis-à-vis all consumers</w:t>
      </w:r>
      <w:r>
        <w:t xml:space="preserve"> transacting with the seller</w:t>
      </w:r>
      <w:r w:rsidR="00AC2FC9">
        <w:t xml:space="preserve">, in practice—selective enforcement of the contract </w:t>
      </w:r>
      <w:r>
        <w:t>might disproportionately harm some consumers while benefiting others</w:t>
      </w:r>
      <w:r w:rsidR="00AC2FC9">
        <w:t xml:space="preserve">. </w:t>
      </w:r>
    </w:p>
    <w:p w14:paraId="5A6DB902" w14:textId="77777777" w:rsidR="00DB1C9D" w:rsidRDefault="00DB1C9D" w:rsidP="007E7A90"/>
    <w:p w14:paraId="6F536CCA" w14:textId="4D71CAA7" w:rsidR="00DB1C9D" w:rsidRDefault="00FA7317" w:rsidP="007E7A90">
      <w:r>
        <w:t xml:space="preserve">These findings </w:t>
      </w:r>
      <w:r w:rsidR="00BC552B">
        <w:t xml:space="preserve">have </w:t>
      </w:r>
      <w:r w:rsidR="00BE0BFB">
        <w:t>important</w:t>
      </w:r>
      <w:r w:rsidR="00BC552B">
        <w:t xml:space="preserve"> policy implications. While it is infeasible, and probably not desirable, to prohibit sellers from departing from the letter of their contracts, discriminatory enforcement of these contracts can be prohibited and sanctioned</w:t>
      </w:r>
      <w:r w:rsidR="008979BB">
        <w:t xml:space="preserve">. </w:t>
      </w:r>
      <w:r w:rsidR="00BE0BFB">
        <w:t xml:space="preserve">This could be done either through direct legislation or by interpreting </w:t>
      </w:r>
      <w:r w:rsidR="00BE0BFB">
        <w:rPr>
          <w:lang w:bidi="he-IL"/>
        </w:rPr>
        <w:t xml:space="preserve">unfair or deceptive acts or practices statutes (“UDAP” laws) as prohibiting discriminatory enforcement of consumer contracts. </w:t>
      </w:r>
    </w:p>
    <w:p w14:paraId="09870F4D" w14:textId="77777777" w:rsidR="00DB1C9D" w:rsidRDefault="00DB1C9D" w:rsidP="008979BB">
      <w:pPr>
        <w:ind w:firstLine="0"/>
      </w:pPr>
    </w:p>
    <w:p w14:paraId="31841942" w14:textId="72A41958" w:rsidR="00081799" w:rsidRPr="00214665" w:rsidRDefault="00DB1C9D" w:rsidP="007E7A90">
      <w:r>
        <w:t xml:space="preserve">This Article proceeds as follows. </w:t>
      </w:r>
      <w:r w:rsidR="007F1FCE">
        <w:t xml:space="preserve"> </w:t>
      </w:r>
      <w:r w:rsidR="00BE0BFB">
        <w:t xml:space="preserve">Part I briefly explains the motivation </w:t>
      </w:r>
      <w:r w:rsidR="00BE0BFB">
        <w:lastRenderedPageBreak/>
        <w:t xml:space="preserve">for this study, while surveying the </w:t>
      </w:r>
      <w:r w:rsidR="007B7DA1">
        <w:t xml:space="preserve">nascent </w:t>
      </w:r>
      <w:r w:rsidR="00BE0BFB">
        <w:t>literature on</w:t>
      </w:r>
      <w:r w:rsidR="007B7DA1">
        <w:t xml:space="preserve"> selective enforcement of consumer contracts</w:t>
      </w:r>
      <w:r w:rsidR="006D39A2">
        <w:t xml:space="preserve"> and the limited</w:t>
      </w:r>
      <w:r w:rsidR="00954F97">
        <w:t xml:space="preserve"> evidence on discrimination in consumer markets</w:t>
      </w:r>
      <w:r w:rsidR="006D39A2">
        <w:t xml:space="preserve">. Building on this evidence, Part II </w:t>
      </w:r>
      <w:r w:rsidR="007A00B5">
        <w:t xml:space="preserve">describes the audit study set out to test for discriminatory enforcement of retailer return policies. </w:t>
      </w:r>
      <w:r w:rsidR="00DF5F4D">
        <w:t xml:space="preserve">Part III </w:t>
      </w:r>
      <w:r w:rsidR="00D84E0C">
        <w:t>presents the results</w:t>
      </w:r>
      <w:r w:rsidR="00511D6E">
        <w:t>.</w:t>
      </w:r>
      <w:r w:rsidR="00337F65">
        <w:t xml:space="preserve"> </w:t>
      </w:r>
      <w:r w:rsidR="00CF7FC1">
        <w:t xml:space="preserve">Part </w:t>
      </w:r>
      <w:r w:rsidR="00502970">
        <w:t xml:space="preserve">IV discusses </w:t>
      </w:r>
      <w:r w:rsidR="00740277">
        <w:t>the normative implications of the findings.</w:t>
      </w:r>
    </w:p>
    <w:p w14:paraId="08A66014" w14:textId="77777777" w:rsidR="008F151E" w:rsidRDefault="008F151E" w:rsidP="00E67E67"/>
    <w:p w14:paraId="3763487B" w14:textId="7B31ECDC" w:rsidR="00E67E67" w:rsidRDefault="00E67E67" w:rsidP="00E67E67">
      <w:pPr>
        <w:pStyle w:val="Heading1"/>
      </w:pPr>
      <w:r>
        <w:t xml:space="preserve">I.  </w:t>
      </w:r>
      <w:r w:rsidR="005D0D0E">
        <w:t>Background</w:t>
      </w:r>
      <w:r w:rsidR="00232832">
        <w:t xml:space="preserve"> &amp; Motivation</w:t>
      </w:r>
    </w:p>
    <w:p w14:paraId="4558BF5D" w14:textId="78B22DF8" w:rsidR="00713B09" w:rsidRDefault="00713B09" w:rsidP="00713B09"/>
    <w:p w14:paraId="669A8578" w14:textId="10A0B7A2" w:rsidR="00713B09" w:rsidRPr="00713B09" w:rsidRDefault="00713B09" w:rsidP="00713B09">
      <w:pPr>
        <w:pStyle w:val="Heading2"/>
      </w:pPr>
      <w:r>
        <w:t>Selective Enforcement of Consumer Contracts</w:t>
      </w:r>
    </w:p>
    <w:p w14:paraId="0C9D71B5" w14:textId="0F1FE4F4" w:rsidR="00232832" w:rsidRDefault="00232832" w:rsidP="00232832"/>
    <w:p w14:paraId="54C0394F" w14:textId="77777777" w:rsidR="00232832" w:rsidRDefault="00232832" w:rsidP="00232832">
      <w:r>
        <w:t>It has been traditionally assumed that in consumer contracts, unlike in the context of relational, business-to-business agreements, sellers have little interest in deviating from the text of their standard form agreements.</w:t>
      </w:r>
      <w:bookmarkStart w:id="1" w:name="_Ref84622932"/>
      <w:r>
        <w:rPr>
          <w:rStyle w:val="FootnoteReference"/>
        </w:rPr>
        <w:footnoteReference w:id="20"/>
      </w:r>
      <w:bookmarkEnd w:id="1"/>
      <w:r>
        <w:t xml:space="preserve"> In a Harvard Law Review Article on “Contracts of Adhesion,” Todd Rakoff has noted that </w:t>
      </w:r>
      <w:r w:rsidRPr="008B6745">
        <w:t>“[t]he characteristics of firms counsel the adoption of standard forms and rigidify allegiance to them</w:t>
      </w:r>
      <w:r>
        <w:t>.</w:t>
      </w:r>
      <w:r w:rsidRPr="008B6745">
        <w:t>”</w:t>
      </w:r>
      <w:r>
        <w:rPr>
          <w:rStyle w:val="FootnoteReference"/>
        </w:rPr>
        <w:footnoteReference w:id="21"/>
      </w:r>
      <w:r w:rsidRPr="00D2553E">
        <w:rPr>
          <w:rFonts w:asciiTheme="majorBidi" w:hAnsiTheme="majorBidi" w:cstheme="majorBidi"/>
          <w:sz w:val="20"/>
        </w:rPr>
        <w:t xml:space="preserve"> </w:t>
      </w:r>
      <w:r w:rsidRPr="000E5953">
        <w:t>As Rakoff explained, the use of standard form contracts keeps “wayward sales personnel” in check by ensuring adherence to the terms of the form contract.</w:t>
      </w:r>
      <w:r w:rsidRPr="000E5953">
        <w:rPr>
          <w:vertAlign w:val="superscript"/>
        </w:rPr>
        <w:footnoteReference w:id="22"/>
      </w:r>
      <w:r w:rsidRPr="000E5953">
        <w:rPr>
          <w:rFonts w:asciiTheme="majorBidi" w:hAnsiTheme="majorBidi" w:cstheme="majorBidi"/>
          <w:sz w:val="20"/>
          <w:vertAlign w:val="superscript"/>
        </w:rPr>
        <w:t xml:space="preserve"> </w:t>
      </w:r>
      <w:r w:rsidRPr="00653BFD">
        <w:t xml:space="preserve">Similarly, Stewart Macaulay has observed that form contracts efficiently control salesmen because they put customers on notice of </w:t>
      </w:r>
      <w:r>
        <w:t>salespeople’s “</w:t>
      </w:r>
      <w:r w:rsidRPr="00653BFD">
        <w:t>limited authority</w:t>
      </w:r>
      <w:r>
        <w:t>.</w:t>
      </w:r>
      <w:r w:rsidRPr="00653BFD">
        <w:t>”</w:t>
      </w:r>
      <w:r>
        <w:rPr>
          <w:rStyle w:val="FootnoteReference"/>
        </w:rPr>
        <w:footnoteReference w:id="23"/>
      </w:r>
      <w:r>
        <w:t xml:space="preserve"> As Macaulay explained,</w:t>
      </w:r>
      <w:r w:rsidRPr="00653BFD">
        <w:t xml:space="preserve"> firms </w:t>
      </w:r>
      <w:r>
        <w:t>typically use standardized agreements or policies</w:t>
      </w:r>
      <w:r w:rsidRPr="00653BFD">
        <w:t xml:space="preserve"> “to avoid being legally bound to expectations </w:t>
      </w:r>
      <w:r>
        <w:t>[their]</w:t>
      </w:r>
      <w:r w:rsidRPr="00653BFD">
        <w:t xml:space="preserve"> salesm</w:t>
      </w:r>
      <w:r>
        <w:t>e</w:t>
      </w:r>
      <w:r w:rsidRPr="00653BFD">
        <w:t xml:space="preserve">n </w:t>
      </w:r>
      <w:r>
        <w:t xml:space="preserve">[…] </w:t>
      </w:r>
      <w:r w:rsidRPr="00653BFD">
        <w:t xml:space="preserve">created </w:t>
      </w:r>
      <w:r>
        <w:t xml:space="preserve">[…] </w:t>
      </w:r>
      <w:r w:rsidRPr="00653BFD">
        <w:t>that are inconsistent with company policy</w:t>
      </w:r>
      <w:r>
        <w:t>.</w:t>
      </w:r>
      <w:r w:rsidRPr="00653BFD">
        <w:t>”</w:t>
      </w:r>
      <w:r>
        <w:rPr>
          <w:rStyle w:val="FootnoteReference"/>
        </w:rPr>
        <w:footnoteReference w:id="24"/>
      </w:r>
      <w:r>
        <w:rPr>
          <w:rFonts w:hint="cs"/>
          <w:rtl/>
          <w:lang w:bidi="he-IL"/>
        </w:rPr>
        <w:t xml:space="preserve"> </w:t>
      </w:r>
      <w:proofErr w:type="spellStart"/>
      <w:r>
        <w:rPr>
          <w:lang w:bidi="he-IL"/>
        </w:rPr>
        <w:t>Shmulik</w:t>
      </w:r>
      <w:proofErr w:type="spellEnd"/>
      <w:r>
        <w:rPr>
          <w:lang w:bidi="he-IL"/>
        </w:rPr>
        <w:t xml:space="preserve"> Becher and Esther Unger-Aviram have similarly suggested that “sellers are not likely to allow […] deviations from pre-printed forms” and that “the typical seller does not empower its representatives (salespeople) to make changes in a standard form contract.”</w:t>
      </w:r>
      <w:r>
        <w:rPr>
          <w:rStyle w:val="FootnoteReference"/>
          <w:lang w:bidi="he-IL"/>
        </w:rPr>
        <w:footnoteReference w:id="25"/>
      </w:r>
      <w:r>
        <w:t xml:space="preserve"> </w:t>
      </w:r>
    </w:p>
    <w:p w14:paraId="6D637186" w14:textId="77777777" w:rsidR="00232832" w:rsidRDefault="00232832" w:rsidP="00232832"/>
    <w:p w14:paraId="1B071C1D" w14:textId="77777777" w:rsidR="00232832" w:rsidRPr="0005157B" w:rsidRDefault="00232832" w:rsidP="00232832">
      <w:pPr>
        <w:rPr>
          <w:rFonts w:asciiTheme="majorBidi" w:hAnsiTheme="majorBidi" w:cstheme="majorBidi"/>
        </w:rPr>
      </w:pPr>
      <w:r>
        <w:rPr>
          <w:rFonts w:hint="cs"/>
          <w:lang w:bidi="he-IL"/>
        </w:rPr>
        <w:t>S</w:t>
      </w:r>
      <w:r>
        <w:rPr>
          <w:lang w:bidi="he-IL"/>
        </w:rPr>
        <w:t xml:space="preserve">ome commentators have recently questioned </w:t>
      </w:r>
      <w:r>
        <w:t>the conventional wisdom that the written agreement generally reflects the terms of the transaction</w:t>
      </w:r>
      <w:r>
        <w:rPr>
          <w:lang w:bidi="he-IL"/>
        </w:rPr>
        <w:t>.</w:t>
      </w:r>
      <w:bookmarkStart w:id="2" w:name="_Ref84623113"/>
      <w:r>
        <w:rPr>
          <w:rStyle w:val="FootnoteReference"/>
          <w:lang w:bidi="he-IL"/>
        </w:rPr>
        <w:footnoteReference w:id="26"/>
      </w:r>
      <w:bookmarkEnd w:id="2"/>
      <w:r>
        <w:rPr>
          <w:lang w:bidi="he-IL"/>
        </w:rPr>
        <w:t xml:space="preserve"> These scholars have </w:t>
      </w:r>
      <w:r>
        <w:t>speculated that, in competitive markets, even terms that seem rigid and unconditional on paper may be relaxed by sellers in practice.</w:t>
      </w:r>
      <w:r>
        <w:rPr>
          <w:rStyle w:val="FootnoteReference"/>
        </w:rPr>
        <w:footnoteReference w:id="27"/>
      </w:r>
      <w:r>
        <w:rPr>
          <w:lang w:bidi="he-IL"/>
        </w:rPr>
        <w:t xml:space="preserve"> Under this theory, sellers may adopt rigid or unconditional terms to protect themselves from opportunistic buyers, while at the same time allowing agents to selectively enforce these terms in view of reputational concerns.</w:t>
      </w:r>
      <w:r>
        <w:rPr>
          <w:rStyle w:val="FootnoteReference"/>
          <w:lang w:bidi="he-IL"/>
        </w:rPr>
        <w:footnoteReference w:id="28"/>
      </w:r>
      <w:r>
        <w:rPr>
          <w:lang w:bidi="he-IL"/>
        </w:rPr>
        <w:t xml:space="preserve"> </w:t>
      </w:r>
      <w:r w:rsidRPr="004B35AD">
        <w:t xml:space="preserve">For example, </w:t>
      </w:r>
      <w:r>
        <w:rPr>
          <w:rFonts w:asciiTheme="majorBidi" w:hAnsiTheme="majorBidi" w:cstheme="majorBidi"/>
        </w:rPr>
        <w:t>a hotel may adopt a strict “no cancellation” policy but</w:t>
      </w:r>
      <w:r w:rsidRPr="004B35AD">
        <w:rPr>
          <w:rFonts w:asciiTheme="majorBidi" w:hAnsiTheme="majorBidi" w:cstheme="majorBidi"/>
        </w:rPr>
        <w:t xml:space="preserve"> </w:t>
      </w:r>
      <w:r>
        <w:rPr>
          <w:rFonts w:asciiTheme="majorBidi" w:hAnsiTheme="majorBidi" w:cstheme="majorBidi"/>
        </w:rPr>
        <w:t>allow for cancellations if customers show that they need to cancel their trip for health-related reasons</w:t>
      </w:r>
      <w:r w:rsidRPr="004B35AD">
        <w:rPr>
          <w:rFonts w:asciiTheme="majorBidi" w:hAnsiTheme="majorBidi" w:cstheme="majorBidi"/>
        </w:rPr>
        <w:t>.</w:t>
      </w:r>
      <w:r>
        <w:rPr>
          <w:rStyle w:val="FootnoteReference"/>
          <w:rFonts w:asciiTheme="majorBidi" w:hAnsiTheme="majorBidi" w:cstheme="majorBidi"/>
        </w:rPr>
        <w:footnoteReference w:id="29"/>
      </w:r>
      <w:r>
        <w:rPr>
          <w:rFonts w:asciiTheme="majorBidi" w:hAnsiTheme="majorBidi" w:cstheme="majorBidi"/>
        </w:rPr>
        <w:t xml:space="preserve"> An airline may allow passengers who miss their flight due to unforeseen circumstances to get on the next available flight at no charge, even though the formal policy requires that passengers pay a fee.</w:t>
      </w:r>
      <w:r>
        <w:rPr>
          <w:rStyle w:val="FootnoteReference"/>
          <w:rFonts w:asciiTheme="majorBidi" w:hAnsiTheme="majorBidi" w:cstheme="majorBidi"/>
        </w:rPr>
        <w:footnoteReference w:id="30"/>
      </w:r>
      <w:r>
        <w:rPr>
          <w:rFonts w:asciiTheme="majorBidi" w:hAnsiTheme="majorBidi" w:cstheme="majorBidi"/>
        </w:rPr>
        <w:t xml:space="preserve"> A</w:t>
      </w:r>
      <w:r w:rsidRPr="004B35AD">
        <w:rPr>
          <w:rFonts w:asciiTheme="majorBidi" w:hAnsiTheme="majorBidi" w:cstheme="majorBidi"/>
        </w:rPr>
        <w:t xml:space="preserve"> </w:t>
      </w:r>
      <w:r>
        <w:rPr>
          <w:rFonts w:asciiTheme="majorBidi" w:hAnsiTheme="majorBidi" w:cstheme="majorBidi"/>
        </w:rPr>
        <w:t>retailer</w:t>
      </w:r>
      <w:r w:rsidRPr="004B35AD">
        <w:rPr>
          <w:rFonts w:asciiTheme="majorBidi" w:hAnsiTheme="majorBidi" w:cstheme="majorBidi"/>
        </w:rPr>
        <w:t xml:space="preserve"> may adopt a stringent return policy, accepting only receipted returns of unopened merchandise, yet exhibit more accommodating or lenient behavior under certain circumstances</w:t>
      </w:r>
      <w:r>
        <w:rPr>
          <w:rFonts w:asciiTheme="majorBidi" w:hAnsiTheme="majorBidi" w:cstheme="majorBidi"/>
        </w:rPr>
        <w:t>.</w:t>
      </w:r>
      <w:r>
        <w:rPr>
          <w:rStyle w:val="FootnoteReference"/>
          <w:rFonts w:asciiTheme="majorBidi" w:hAnsiTheme="majorBidi" w:cstheme="majorBidi"/>
        </w:rPr>
        <w:footnoteReference w:id="31"/>
      </w:r>
      <w:r>
        <w:rPr>
          <w:rFonts w:asciiTheme="majorBidi" w:hAnsiTheme="majorBidi" w:cstheme="majorBidi"/>
        </w:rPr>
        <w:t xml:space="preserve"> Credit card issuers may decide to waive late or annual fees in certain circumstances.</w:t>
      </w:r>
      <w:r>
        <w:rPr>
          <w:rStyle w:val="FootnoteReference"/>
          <w:rFonts w:asciiTheme="majorBidi" w:hAnsiTheme="majorBidi" w:cstheme="majorBidi"/>
        </w:rPr>
        <w:footnoteReference w:id="32"/>
      </w:r>
      <w:r>
        <w:rPr>
          <w:rFonts w:asciiTheme="majorBidi" w:hAnsiTheme="majorBidi" w:cstheme="majorBidi"/>
        </w:rPr>
        <w:t xml:space="preserve"> Or mortgage service providers may choose not to utilize their contractual right to foreclose on a defaulting borrower, depending, for example, on the borrower’s credit risks.</w:t>
      </w:r>
      <w:r>
        <w:rPr>
          <w:rStyle w:val="FootnoteReference"/>
          <w:rFonts w:asciiTheme="majorBidi" w:hAnsiTheme="majorBidi" w:cstheme="majorBidi"/>
        </w:rPr>
        <w:footnoteReference w:id="33"/>
      </w:r>
    </w:p>
    <w:p w14:paraId="7ACE56E1" w14:textId="77777777" w:rsidR="00232832" w:rsidRDefault="00232832" w:rsidP="00232832">
      <w:pPr>
        <w:rPr>
          <w:lang w:bidi="he-IL"/>
        </w:rPr>
      </w:pPr>
    </w:p>
    <w:p w14:paraId="58E7E77A" w14:textId="4C360869" w:rsidR="00232832" w:rsidRDefault="00232832" w:rsidP="00232832">
      <w:r>
        <w:rPr>
          <w:lang w:bidi="he-IL"/>
        </w:rPr>
        <w:t>To date, most of the commentators who noted that sellers have incentives to adopt  “selective enforcement” strategies (as I term them) have generally painted a rosy picture, suggesting that such strategies are efficient and beneficial to both sellers and consumers.</w:t>
      </w:r>
      <w:bookmarkStart w:id="3" w:name="_Ref84626208"/>
      <w:r>
        <w:rPr>
          <w:rStyle w:val="FootnoteReference"/>
          <w:lang w:bidi="he-IL"/>
        </w:rPr>
        <w:footnoteReference w:id="34"/>
      </w:r>
      <w:bookmarkEnd w:id="3"/>
      <w:r>
        <w:rPr>
          <w:lang w:bidi="he-IL"/>
        </w:rPr>
        <w:t xml:space="preserve"> </w:t>
      </w:r>
      <w:r>
        <w:t>T</w:t>
      </w:r>
      <w:r w:rsidRPr="004B35AD">
        <w:t xml:space="preserve">he presence of an ostensibly rigid </w:t>
      </w:r>
      <w:r>
        <w:t xml:space="preserve">contract term </w:t>
      </w:r>
      <w:r w:rsidRPr="004B35AD">
        <w:t>enables sellers to use information that they can only</w:t>
      </w:r>
      <w:r w:rsidRPr="004B35AD">
        <w:rPr>
          <w:i/>
          <w:iCs/>
        </w:rPr>
        <w:t xml:space="preserve"> </w:t>
      </w:r>
      <w:r w:rsidRPr="004B35AD">
        <w:t xml:space="preserve">observe </w:t>
      </w:r>
      <w:r w:rsidRPr="004B35AD">
        <w:rPr>
          <w:i/>
          <w:iCs/>
        </w:rPr>
        <w:t>ex post</w:t>
      </w:r>
      <w:r w:rsidRPr="004B35AD">
        <w:t xml:space="preserve"> (after enter</w:t>
      </w:r>
      <w:r>
        <w:t>ing</w:t>
      </w:r>
      <w:r w:rsidRPr="004B35AD">
        <w:t xml:space="preserve"> the transaction) to screen out opportunistic buyers, without having to bear the costs of verifying consume</w:t>
      </w:r>
      <w:r>
        <w:t>r mis</w:t>
      </w:r>
      <w:r w:rsidRPr="004B35AD">
        <w:t>behavior with arbitrators or courts.</w:t>
      </w:r>
      <w:r>
        <w:rPr>
          <w:rStyle w:val="FootnoteReference"/>
        </w:rPr>
        <w:footnoteReference w:id="35"/>
      </w:r>
      <w:r>
        <w:t xml:space="preserve">  S</w:t>
      </w:r>
      <w:r>
        <w:rPr>
          <w:lang w:bidi="he-IL"/>
        </w:rPr>
        <w:t xml:space="preserve">elective </w:t>
      </w:r>
      <w:r>
        <w:t xml:space="preserve">enforcement of consumer contracts thus </w:t>
      </w:r>
      <w:r w:rsidRPr="00D23B17">
        <w:t>enables</w:t>
      </w:r>
      <w:r>
        <w:t xml:space="preserve"> good-faith</w:t>
      </w:r>
      <w:r w:rsidRPr="00D23B17">
        <w:t xml:space="preserve"> </w:t>
      </w:r>
      <w:r>
        <w:t>buyers</w:t>
      </w:r>
      <w:r w:rsidRPr="00D23B17">
        <w:t xml:space="preserve"> to enjoy better treatment than </w:t>
      </w:r>
      <w:r>
        <w:t>that for which</w:t>
      </w:r>
      <w:r w:rsidRPr="00D23B17">
        <w:t xml:space="preserve"> they</w:t>
      </w:r>
      <w:r>
        <w:t xml:space="preserve"> originally</w:t>
      </w:r>
      <w:r w:rsidRPr="00D23B17">
        <w:t xml:space="preserve"> contracted</w:t>
      </w:r>
      <w:r>
        <w:t>,</w:t>
      </w:r>
      <w:r w:rsidRPr="00D23B17">
        <w:t xml:space="preserve"> while sellers are able to keep prices low by screening out the “bad apples” who would take advantage of a more lenient or flexible term in writing.</w:t>
      </w:r>
      <w:bookmarkStart w:id="4" w:name="_Ref84626212"/>
      <w:r>
        <w:rPr>
          <w:rStyle w:val="FootnoteReference"/>
        </w:rPr>
        <w:footnoteReference w:id="36"/>
      </w:r>
      <w:bookmarkEnd w:id="4"/>
    </w:p>
    <w:p w14:paraId="4FED8EC4" w14:textId="678AE13F" w:rsidR="00270A21" w:rsidRDefault="00270A21" w:rsidP="00232832"/>
    <w:p w14:paraId="55F02B3E" w14:textId="235303A5" w:rsidR="00270A21" w:rsidRDefault="00270A21" w:rsidP="00232832">
      <w:pPr>
        <w:rPr>
          <w:rFonts w:asciiTheme="majorBidi" w:hAnsiTheme="majorBidi" w:cstheme="majorBidi"/>
        </w:rPr>
      </w:pPr>
      <w:r>
        <w:t xml:space="preserve">While many commentators have lamented on the efficiency gains stemming from selective enforcement strategies, only few expressed concerns that </w:t>
      </w:r>
      <w:r w:rsidR="009B22A6">
        <w:t>discretionary enforcement of contracts</w:t>
      </w:r>
      <w:r>
        <w:t xml:space="preserve"> would yield regressive distributional outcomes.</w:t>
      </w:r>
      <w:r>
        <w:rPr>
          <w:rStyle w:val="FootnoteReference"/>
        </w:rPr>
        <w:footnoteReference w:id="37"/>
      </w:r>
      <w:r w:rsidR="009B22A6">
        <w:t xml:space="preserve"> This </w:t>
      </w:r>
      <w:r w:rsidR="00E05149">
        <w:t xml:space="preserve">is surprising in view of the mounting evidence that </w:t>
      </w:r>
      <w:r w:rsidR="00713B09" w:rsidRPr="004B35AD">
        <w:rPr>
          <w:rFonts w:asciiTheme="majorBidi" w:hAnsiTheme="majorBidi" w:cstheme="majorBidi"/>
        </w:rPr>
        <w:t>decision</w:t>
      </w:r>
      <w:r w:rsidR="00713B09">
        <w:rPr>
          <w:rFonts w:asciiTheme="majorBidi" w:hAnsiTheme="majorBidi" w:cstheme="majorBidi"/>
        </w:rPr>
        <w:t>-</w:t>
      </w:r>
      <w:r w:rsidR="00713B09" w:rsidRPr="004B35AD">
        <w:rPr>
          <w:rFonts w:asciiTheme="majorBidi" w:hAnsiTheme="majorBidi" w:cstheme="majorBidi"/>
        </w:rPr>
        <w:t>makers often exercise discretionary powers discriminatorily</w:t>
      </w:r>
      <w:r w:rsidR="00713B09">
        <w:rPr>
          <w:rFonts w:asciiTheme="majorBidi" w:hAnsiTheme="majorBidi" w:cstheme="majorBidi"/>
        </w:rPr>
        <w:t>.</w:t>
      </w:r>
      <w:r w:rsidR="00713B09">
        <w:rPr>
          <w:rStyle w:val="FootnoteReference"/>
          <w:rFonts w:asciiTheme="majorBidi" w:hAnsiTheme="majorBidi" w:cstheme="majorBidi"/>
        </w:rPr>
        <w:footnoteReference w:id="38"/>
      </w:r>
      <w:r w:rsidR="00713B09">
        <w:rPr>
          <w:rFonts w:asciiTheme="majorBidi" w:hAnsiTheme="majorBidi" w:cstheme="majorBidi"/>
        </w:rPr>
        <w:t xml:space="preserve"> </w:t>
      </w:r>
    </w:p>
    <w:p w14:paraId="42BFA3BD" w14:textId="77777777" w:rsidR="006C30AF" w:rsidRDefault="006C30AF" w:rsidP="00232832"/>
    <w:p w14:paraId="53A82955" w14:textId="3BD37035" w:rsidR="00232832" w:rsidRDefault="006C30AF" w:rsidP="00713B09">
      <w:pPr>
        <w:pStyle w:val="Heading2"/>
        <w:rPr>
          <w:lang w:bidi="he-IL"/>
        </w:rPr>
      </w:pPr>
      <w:r>
        <w:rPr>
          <w:lang w:bidi="he-IL"/>
        </w:rPr>
        <w:lastRenderedPageBreak/>
        <w:t>Discrimination in Consumer Markets</w:t>
      </w:r>
    </w:p>
    <w:p w14:paraId="58CFAF4B" w14:textId="77777777" w:rsidR="00676D4A" w:rsidRDefault="00676D4A" w:rsidP="00232832"/>
    <w:p w14:paraId="4CA76B14" w14:textId="249BB00B" w:rsidR="00FD6BF4" w:rsidRDefault="00676D4A" w:rsidP="00023239">
      <w:pPr>
        <w:rPr>
          <w:rtl/>
          <w:lang w:bidi="he-IL"/>
        </w:rPr>
      </w:pPr>
      <w:r>
        <w:t xml:space="preserve">Evidence from diverse </w:t>
      </w:r>
      <w:r w:rsidR="00232832">
        <w:t xml:space="preserve">domains, </w:t>
      </w:r>
      <w:r w:rsidR="009D1737">
        <w:t>ranging from</w:t>
      </w:r>
      <w:r w:rsidR="00232832">
        <w:t xml:space="preserve"> </w:t>
      </w:r>
      <w:r w:rsidR="00232832" w:rsidRPr="004B35AD">
        <w:t>policing</w:t>
      </w:r>
      <w:r w:rsidR="009D1737">
        <w:t xml:space="preserve"> and</w:t>
      </w:r>
      <w:r w:rsidR="00232832" w:rsidRPr="004B35AD">
        <w:t xml:space="preserve"> adjudication</w:t>
      </w:r>
      <w:r w:rsidR="009D1737">
        <w:t xml:space="preserve"> to housing and </w:t>
      </w:r>
      <w:r w:rsidR="00232832" w:rsidRPr="004B35AD">
        <w:t>employment,</w:t>
      </w:r>
      <w:r w:rsidR="00232832" w:rsidRPr="004B35AD">
        <w:rPr>
          <w:rFonts w:asciiTheme="majorBidi" w:hAnsiTheme="majorBidi" w:cstheme="majorBidi"/>
        </w:rPr>
        <w:t xml:space="preserve"> suggests that </w:t>
      </w:r>
      <w:r w:rsidR="009D1737">
        <w:rPr>
          <w:rFonts w:asciiTheme="majorBidi" w:hAnsiTheme="majorBidi" w:cstheme="majorBidi"/>
        </w:rPr>
        <w:t>discretion is often exercised in ways that disproportionately harm minority populations.</w:t>
      </w:r>
      <w:r w:rsidR="006C30AF">
        <w:rPr>
          <w:rStyle w:val="FootnoteReference"/>
          <w:rFonts w:asciiTheme="majorBidi" w:hAnsiTheme="majorBidi" w:cstheme="majorBidi"/>
        </w:rPr>
        <w:footnoteReference w:id="39"/>
      </w:r>
      <w:r w:rsidR="00023239">
        <w:rPr>
          <w:lang w:bidi="he-IL"/>
        </w:rPr>
        <w:t xml:space="preserve"> </w:t>
      </w:r>
      <w:r w:rsidR="00232832">
        <w:rPr>
          <w:lang w:bidi="he-IL"/>
        </w:rPr>
        <w:t xml:space="preserve">Indeed, even in the consumer setting, </w:t>
      </w:r>
      <w:r w:rsidR="00232832">
        <w:rPr>
          <w:rFonts w:asciiTheme="majorBidi" w:hAnsiTheme="majorBidi" w:cstheme="majorBidi"/>
        </w:rPr>
        <w:t xml:space="preserve">accumulating evidence suggests that sellers discriminate against minority consumers in a handful of industries </w:t>
      </w:r>
      <w:r w:rsidR="00232832">
        <w:t>(</w:t>
      </w:r>
      <w:r w:rsidR="00232832" w:rsidRPr="001651E7">
        <w:t>e.g</w:t>
      </w:r>
      <w:r w:rsidR="00232832" w:rsidRPr="009A393F">
        <w:rPr>
          <w:i/>
          <w:iCs/>
        </w:rPr>
        <w:t>.</w:t>
      </w:r>
      <w:r w:rsidR="00232832">
        <w:t>, car sales, credit, and vacation rentals),</w:t>
      </w:r>
      <w:r w:rsidR="00232832">
        <w:rPr>
          <w:rStyle w:val="FootnoteReference"/>
        </w:rPr>
        <w:footnoteReference w:id="40"/>
      </w:r>
      <w:r w:rsidR="00232832">
        <w:t xml:space="preserve"> for example, by quoting significantly higher prices for the same products when facing African-American or female customers compared to similarly-situated white and male customers,</w:t>
      </w:r>
      <w:r w:rsidR="00232832">
        <w:rPr>
          <w:rStyle w:val="FootnoteReference"/>
        </w:rPr>
        <w:footnoteReference w:id="41"/>
      </w:r>
      <w:r w:rsidR="00232832">
        <w:t xml:space="preserve"> by refusing to transact with African-American customers altogether,</w:t>
      </w:r>
      <w:r w:rsidR="00232832">
        <w:rPr>
          <w:rStyle w:val="FootnoteReference"/>
        </w:rPr>
        <w:footnoteReference w:id="42"/>
      </w:r>
      <w:r w:rsidR="00232832">
        <w:t xml:space="preserve"> or by</w:t>
      </w:r>
      <w:r w:rsidR="00232832" w:rsidRPr="004B35AD">
        <w:t xml:space="preserve"> </w:t>
      </w:r>
      <w:r w:rsidR="00232832">
        <w:t>disproportionately foreclosing on defaulting borrowers from poor neighborhoods.</w:t>
      </w:r>
      <w:r w:rsidR="00232832">
        <w:rPr>
          <w:rStyle w:val="FootnoteReference"/>
        </w:rPr>
        <w:footnoteReference w:id="43"/>
      </w:r>
      <w:r w:rsidR="00232832">
        <w:t xml:space="preserve"> </w:t>
      </w:r>
    </w:p>
    <w:p w14:paraId="62862FDC" w14:textId="77777777" w:rsidR="00FD6BF4" w:rsidRDefault="00FD6BF4" w:rsidP="00245334">
      <w:pPr>
        <w:ind w:firstLine="0"/>
        <w:rPr>
          <w:rtl/>
        </w:rPr>
      </w:pPr>
    </w:p>
    <w:p w14:paraId="5F9E51B7" w14:textId="51952A57" w:rsidR="00232832" w:rsidRDefault="00232832" w:rsidP="00232832">
      <w:pPr>
        <w:rPr>
          <w:lang w:bidi="he-IL"/>
        </w:rPr>
      </w:pPr>
      <w:r>
        <w:t>Taken together,</w:t>
      </w:r>
      <w:r w:rsidRPr="004B35AD">
        <w:rPr>
          <w:rFonts w:asciiTheme="majorBidi" w:hAnsiTheme="majorBidi" w:cstheme="majorBidi"/>
        </w:rPr>
        <w:t xml:space="preserve"> </w:t>
      </w:r>
      <w:r>
        <w:rPr>
          <w:rFonts w:asciiTheme="majorBidi" w:hAnsiTheme="majorBidi" w:cstheme="majorBidi"/>
        </w:rPr>
        <w:t>t</w:t>
      </w:r>
      <w:r w:rsidRPr="004B35AD">
        <w:rPr>
          <w:rFonts w:asciiTheme="majorBidi" w:hAnsiTheme="majorBidi" w:cstheme="majorBidi"/>
        </w:rPr>
        <w:t xml:space="preserve">his evidence raises the concern that sellers’ </w:t>
      </w:r>
      <w:r w:rsidRPr="004B35AD">
        <w:t xml:space="preserve">discretionary authority to depart from their formal agreements may be </w:t>
      </w:r>
      <w:r w:rsidRPr="004B35AD">
        <w:lastRenderedPageBreak/>
        <w:t>applied inconsistently to the disadvantage of certain groups.</w:t>
      </w:r>
      <w:r>
        <w:rPr>
          <w:rStyle w:val="FootnoteReference"/>
        </w:rPr>
        <w:footnoteReference w:id="44"/>
      </w:r>
      <w:r>
        <w:rPr>
          <w:lang w:bidi="he-IL"/>
        </w:rPr>
        <w:t xml:space="preserve">  </w:t>
      </w:r>
    </w:p>
    <w:p w14:paraId="57B1BEC8" w14:textId="77777777" w:rsidR="00232832" w:rsidRDefault="00232832" w:rsidP="00232832">
      <w:pPr>
        <w:rPr>
          <w:lang w:bidi="he-IL"/>
        </w:rPr>
      </w:pPr>
    </w:p>
    <w:p w14:paraId="2DF33641" w14:textId="48AC32DA" w:rsidR="0001486B" w:rsidRDefault="00232832" w:rsidP="0001486B">
      <w:r>
        <w:t>If standardized contracts are performed discriminatorily,</w:t>
      </w:r>
      <w:r w:rsidRPr="004B35AD">
        <w:t xml:space="preserve"> </w:t>
      </w:r>
      <w:r>
        <w:t>selective enforcement</w:t>
      </w:r>
      <w:r w:rsidRPr="004B35AD">
        <w:t xml:space="preserve"> might generate enormous socio-economic harm. </w:t>
      </w:r>
      <w:r w:rsidR="00094482">
        <w:t xml:space="preserve">If </w:t>
      </w:r>
      <w:r w:rsidR="008E20F5">
        <w:t>minority group members</w:t>
      </w:r>
      <w:r w:rsidR="00094482">
        <w:t xml:space="preserve"> are treated less favorably, </w:t>
      </w:r>
      <w:r w:rsidR="008E20F5">
        <w:t xml:space="preserve">this means that selective enforcement of contracts generates regressive redistribution. </w:t>
      </w:r>
      <w:r w:rsidR="005D355F">
        <w:t xml:space="preserve">Furthermore, </w:t>
      </w:r>
      <w:r w:rsidR="0001486B">
        <w:t xml:space="preserve">minority consumers, expecting such inferior treatment, might be discouraged from entering into transactions even if those transactions are efficient and conducive to their well-being; or they might enter into transactions optimistically believing that sellers </w:t>
      </w:r>
      <w:r w:rsidR="005D355F">
        <w:t>will</w:t>
      </w:r>
      <w:r w:rsidR="0001486B">
        <w:t xml:space="preserve"> behave more leniently than their contracts dictate, only to face strict (and discriminatory) observance of the </w:t>
      </w:r>
      <w:proofErr w:type="gramStart"/>
      <w:r w:rsidR="0001486B">
        <w:t>terms</w:t>
      </w:r>
      <w:proofErr w:type="gramEnd"/>
      <w:r w:rsidR="0001486B">
        <w:t xml:space="preserve"> </w:t>
      </w:r>
      <w:r w:rsidR="0001486B">
        <w:rPr>
          <w:i/>
          <w:iCs/>
        </w:rPr>
        <w:t>ex post</w:t>
      </w:r>
      <w:r w:rsidR="0001486B">
        <w:t xml:space="preserve">, when a problem arises. </w:t>
      </w:r>
    </w:p>
    <w:p w14:paraId="1127B4BB" w14:textId="77777777" w:rsidR="005D355F" w:rsidRPr="00F50830" w:rsidRDefault="005D355F" w:rsidP="0001486B"/>
    <w:p w14:paraId="70EE6A19" w14:textId="7FC5D6A8" w:rsidR="00232832" w:rsidRDefault="005D355F" w:rsidP="00D11931">
      <w:pPr>
        <w:rPr>
          <w:lang w:bidi="he-IL"/>
        </w:rPr>
      </w:pPr>
      <w:r>
        <w:t>D</w:t>
      </w:r>
      <w:r w:rsidR="00232832" w:rsidRPr="004B35AD">
        <w:t xml:space="preserve">espite </w:t>
      </w:r>
      <w:r w:rsidR="00232832">
        <w:t>the importance of detecting</w:t>
      </w:r>
      <w:r w:rsidR="00232832" w:rsidRPr="004B35AD">
        <w:t xml:space="preserve"> inequitable treatment of minorities</w:t>
      </w:r>
      <w:r w:rsidR="00232832">
        <w:t xml:space="preserve">, </w:t>
      </w:r>
      <w:r w:rsidR="00232832" w:rsidRPr="004B35AD">
        <w:t>research on</w:t>
      </w:r>
      <w:r w:rsidR="00232832">
        <w:t xml:space="preserve"> discriminatory</w:t>
      </w:r>
      <w:r w:rsidR="00232832" w:rsidRPr="004B35AD">
        <w:t xml:space="preserve"> enforcement of</w:t>
      </w:r>
      <w:r w:rsidR="00232832">
        <w:t xml:space="preserve"> consumer</w:t>
      </w:r>
      <w:r w:rsidR="00232832" w:rsidRPr="004B35AD">
        <w:t xml:space="preserve"> contracts is remarkably scarce.</w:t>
      </w:r>
      <w:r w:rsidR="00232832">
        <w:rPr>
          <w:rStyle w:val="FootnoteReference"/>
        </w:rPr>
        <w:footnoteReference w:id="45"/>
      </w:r>
      <w:r w:rsidR="00232832">
        <w:t xml:space="preserve"> </w:t>
      </w:r>
      <w:r w:rsidR="00232832">
        <w:rPr>
          <w:lang w:bidi="he-IL"/>
        </w:rPr>
        <w:t>Building on the vast empirical evidence showing that decision-makers often exercise discretion discriminatorily,</w:t>
      </w:r>
      <w:r w:rsidR="00232832">
        <w:rPr>
          <w:rStyle w:val="FootnoteReference"/>
          <w:lang w:bidi="he-IL"/>
        </w:rPr>
        <w:footnoteReference w:id="46"/>
      </w:r>
      <w:r w:rsidR="00232832">
        <w:rPr>
          <w:lang w:bidi="he-IL"/>
        </w:rPr>
        <w:t xml:space="preserve"> this Article tests whether selective enforcement of consumer contracts systematically and disproportionately disadvantages minority consumers.  </w:t>
      </w:r>
    </w:p>
    <w:p w14:paraId="1BAE21D3" w14:textId="5D28B6C5" w:rsidR="00006507" w:rsidRDefault="00006507" w:rsidP="00D11931">
      <w:pPr>
        <w:ind w:firstLine="0"/>
      </w:pPr>
    </w:p>
    <w:p w14:paraId="7C485CAE" w14:textId="77777777" w:rsidR="00006507" w:rsidRPr="003F1E58" w:rsidRDefault="00006507" w:rsidP="003F1E58">
      <w:pPr>
        <w:rPr>
          <w:rtl/>
          <w:lang w:bidi="he-IL"/>
        </w:rPr>
      </w:pPr>
    </w:p>
    <w:p w14:paraId="32B33BA6" w14:textId="4641D484" w:rsidR="005D0D0E" w:rsidRDefault="005D0D0E" w:rsidP="005D0D0E">
      <w:pPr>
        <w:pStyle w:val="Heading1"/>
      </w:pPr>
      <w:r>
        <w:t xml:space="preserve">II. </w:t>
      </w:r>
      <w:r w:rsidR="004F3111">
        <w:t>The Study</w:t>
      </w:r>
    </w:p>
    <w:p w14:paraId="66AEE634" w14:textId="77777777" w:rsidR="003F1E58" w:rsidRPr="004E4C99" w:rsidRDefault="003F1E58" w:rsidP="003F1E58">
      <w:pPr>
        <w:ind w:firstLine="0"/>
        <w:rPr>
          <w:highlight w:val="yellow"/>
        </w:rPr>
      </w:pPr>
    </w:p>
    <w:p w14:paraId="5EC24EC0" w14:textId="5DC6B3E7" w:rsidR="003F1E58" w:rsidRDefault="00A73CBD" w:rsidP="003F1E58">
      <w:pPr>
        <w:pStyle w:val="Heading2"/>
        <w:numPr>
          <w:ilvl w:val="0"/>
          <w:numId w:val="34"/>
        </w:numPr>
        <w:tabs>
          <w:tab w:val="num" w:pos="0"/>
        </w:tabs>
        <w:ind w:left="0" w:firstLine="0"/>
      </w:pPr>
      <w:r>
        <w:t>Design</w:t>
      </w:r>
    </w:p>
    <w:p w14:paraId="779B25A5" w14:textId="77777777" w:rsidR="00B96027" w:rsidRDefault="00B96027" w:rsidP="003F1E58">
      <w:pPr>
        <w:ind w:firstLine="0"/>
      </w:pPr>
    </w:p>
    <w:p w14:paraId="5F54113C" w14:textId="451D2C65" w:rsidR="003F1E58" w:rsidRDefault="00B96027" w:rsidP="00B96027">
      <w:r>
        <w:t>This Article reports on an audit study in which testers were recruited and trained to return non-receipted clothing items to retail stores in Chicago with a formal receipt requirement for returns.</w:t>
      </w:r>
      <w:r w:rsidR="00F07F4C">
        <w:rPr>
          <w:rStyle w:val="FootnoteReference"/>
        </w:rPr>
        <w:footnoteReference w:id="47"/>
      </w:r>
      <w:r w:rsidR="002B594E">
        <w:t xml:space="preserve"> Nineteen testers</w:t>
      </w:r>
      <w:r w:rsidR="00774D4A">
        <w:t>—</w:t>
      </w:r>
      <w:r w:rsidR="00774D4A" w:rsidRPr="008F4456">
        <w:t>5 white females, 5 white males, 4 African-American females,</w:t>
      </w:r>
      <w:r w:rsidR="00774D4A" w:rsidRPr="008F4456">
        <w:rPr>
          <w:rStyle w:val="FootnoteReference"/>
        </w:rPr>
        <w:footnoteReference w:id="48"/>
      </w:r>
      <w:r w:rsidR="00774D4A" w:rsidRPr="008F4456">
        <w:t xml:space="preserve"> and 5 African-American males</w:t>
      </w:r>
      <w:r w:rsidR="00774D4A">
        <w:t>—</w:t>
      </w:r>
      <w:r w:rsidR="009B1E25">
        <w:t>tried to return 203 items to 59 stores.</w:t>
      </w:r>
      <w:r w:rsidR="00637AC4">
        <w:rPr>
          <w:rStyle w:val="FootnoteReference"/>
        </w:rPr>
        <w:footnoteReference w:id="49"/>
      </w:r>
      <w:r w:rsidR="000F155B" w:rsidRPr="00FD4089">
        <w:rPr>
          <w:sz w:val="20"/>
        </w:rPr>
        <w:t xml:space="preserve"> </w:t>
      </w:r>
      <w:r>
        <w:t xml:space="preserve">The testers </w:t>
      </w:r>
      <w:r>
        <w:lastRenderedPageBreak/>
        <w:t>followed a uniform script and returned the items, unused and in their original packaging</w:t>
      </w:r>
      <w:r w:rsidR="003F3B3A">
        <w:t xml:space="preserve"> but without a receipt</w:t>
      </w:r>
      <w:r>
        <w:t>, to each of the audited stores.</w:t>
      </w:r>
    </w:p>
    <w:p w14:paraId="0B3CF217" w14:textId="77777777" w:rsidR="0055774B" w:rsidRDefault="0055774B" w:rsidP="00B96027"/>
    <w:p w14:paraId="231F836A" w14:textId="77FA32EE" w:rsidR="003A1EB1" w:rsidRDefault="00461916" w:rsidP="003A1EB1">
      <w:r w:rsidRPr="001A0673">
        <w:rPr>
          <w:szCs w:val="24"/>
        </w:rPr>
        <w:t xml:space="preserve">All of the audited stores </w:t>
      </w:r>
      <w:r w:rsidR="001A0673" w:rsidRPr="001A0673">
        <w:rPr>
          <w:szCs w:val="24"/>
        </w:rPr>
        <w:t>had return policies</w:t>
      </w:r>
      <w:r w:rsidR="001A0673">
        <w:t xml:space="preserve"> explicitly requiring receipts</w:t>
      </w:r>
      <w:r>
        <w:t xml:space="preserve"> to make returns</w:t>
      </w:r>
      <w:r w:rsidR="006844E4">
        <w:t>.</w:t>
      </w:r>
      <w:r w:rsidR="00B70F43">
        <w:rPr>
          <w:rStyle w:val="FootnoteReference"/>
        </w:rPr>
        <w:footnoteReference w:id="50"/>
      </w:r>
      <w:r w:rsidR="0035218A">
        <w:t xml:space="preserve"> </w:t>
      </w:r>
      <w:r w:rsidR="003A1EB1" w:rsidRPr="0035218A">
        <w:t>The study focuses on the enforcement of “receipt required” return policies because they</w:t>
      </w:r>
      <w:r w:rsidR="003A1EB1" w:rsidRPr="00880870">
        <w:t xml:space="preserve"> are both very common and strongly disliked by many consumers, who perceive </w:t>
      </w:r>
      <w:r w:rsidR="00256038">
        <w:t>them</w:t>
      </w:r>
      <w:r w:rsidR="003A1EB1" w:rsidRPr="00880870">
        <w:t xml:space="preserve"> as an unnecessary </w:t>
      </w:r>
      <w:r w:rsidR="003A1EB1">
        <w:t>burden</w:t>
      </w:r>
      <w:r w:rsidR="003A1EB1" w:rsidRPr="00880870">
        <w:t>.</w:t>
      </w:r>
      <w:r w:rsidR="003A1EB1" w:rsidRPr="00880870">
        <w:rPr>
          <w:rStyle w:val="FootnoteReference"/>
        </w:rPr>
        <w:footnoteReference w:id="51"/>
      </w:r>
      <w:r w:rsidR="003A1EB1">
        <w:t xml:space="preserve"> At the same time, sellers routinely require receipts for returns, mainly to protect themselves from shoplifters or from consumers trying to return items bought at a different store.</w:t>
      </w:r>
      <w:r w:rsidR="003A1EB1">
        <w:rPr>
          <w:rStyle w:val="FootnoteReference"/>
        </w:rPr>
        <w:footnoteReference w:id="52"/>
      </w:r>
      <w:r w:rsidR="003A1EB1" w:rsidRPr="00986D46">
        <w:t xml:space="preserve"> This generates mixed incentives for </w:t>
      </w:r>
      <w:r w:rsidR="00385515">
        <w:t>sellers</w:t>
      </w:r>
      <w:r w:rsidR="003A1EB1" w:rsidRPr="00986D46">
        <w:t xml:space="preserve"> when it comes to enforcement</w:t>
      </w:r>
      <w:r w:rsidR="003A1EB1">
        <w:t>: T</w:t>
      </w:r>
      <w:r w:rsidR="003A1EB1" w:rsidRPr="00986D46">
        <w:t>hey want to weed out the “bad apples,” but they also have an incentive not to unnecessarily antagonize consumers.</w:t>
      </w:r>
      <w:r w:rsidR="003A1EB1">
        <w:t xml:space="preserve"> This is also a fruitful ground to study discrimination in the discretionary enforcement of contracts, because store clerks and managers are typically granted </w:t>
      </w:r>
      <w:r w:rsidR="00C55B8E">
        <w:t>a significant</w:t>
      </w:r>
      <w:r w:rsidR="003A1EB1">
        <w:t xml:space="preserve"> degree of discretion to accept non-receipted returns.</w:t>
      </w:r>
      <w:r w:rsidR="003A1EB1">
        <w:rPr>
          <w:rStyle w:val="FootnoteReference"/>
        </w:rPr>
        <w:footnoteReference w:id="53"/>
      </w:r>
      <w:r w:rsidR="003A1EB1">
        <w:t xml:space="preserve"> </w:t>
      </w:r>
    </w:p>
    <w:p w14:paraId="7FE0C2C2" w14:textId="73A7F3B8" w:rsidR="006F115C" w:rsidRDefault="006F115C" w:rsidP="006F115C">
      <w:pPr>
        <w:rPr>
          <w:rFonts w:asciiTheme="majorBidi" w:hAnsiTheme="majorBidi" w:cstheme="majorBidi"/>
          <w:szCs w:val="24"/>
        </w:rPr>
      </w:pPr>
      <w:r w:rsidRPr="00880870">
        <w:lastRenderedPageBreak/>
        <w:t>In each store, testers</w:t>
      </w:r>
      <w:r w:rsidRPr="00880870">
        <w:rPr>
          <w:rFonts w:asciiTheme="majorBidi" w:hAnsiTheme="majorBidi" w:cstheme="majorBidi"/>
          <w:szCs w:val="24"/>
        </w:rPr>
        <w:t xml:space="preserve"> attempted to return a clothing item</w:t>
      </w:r>
      <w:r w:rsidRPr="00880870">
        <w:rPr>
          <w:rStyle w:val="FootnoteReference"/>
          <w:rFonts w:asciiTheme="majorBidi" w:hAnsiTheme="majorBidi" w:cstheme="majorBidi"/>
          <w:szCs w:val="24"/>
        </w:rPr>
        <w:footnoteReference w:id="54"/>
      </w:r>
      <w:r w:rsidRPr="00880870">
        <w:rPr>
          <w:rFonts w:asciiTheme="majorBidi" w:hAnsiTheme="majorBidi" w:cstheme="majorBidi"/>
          <w:szCs w:val="24"/>
        </w:rPr>
        <w:t xml:space="preserve"> that had been purchased in advance</w:t>
      </w:r>
      <w:r w:rsidRPr="00880870">
        <w:rPr>
          <w:rStyle w:val="FootnoteReference"/>
          <w:rFonts w:asciiTheme="majorBidi" w:hAnsiTheme="majorBidi" w:cstheme="majorBidi"/>
          <w:szCs w:val="24"/>
        </w:rPr>
        <w:footnoteReference w:id="55"/>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t>
      </w:r>
      <w:r>
        <w:rPr>
          <w:rFonts w:asciiTheme="majorBidi" w:hAnsiTheme="majorBidi" w:cstheme="majorBidi"/>
          <w:szCs w:val="24"/>
        </w:rPr>
        <w:t>were instructed to</w:t>
      </w:r>
      <w:r w:rsidRPr="00880870">
        <w:rPr>
          <w:rFonts w:asciiTheme="majorBidi" w:hAnsiTheme="majorBidi" w:cstheme="majorBidi"/>
          <w:szCs w:val="24"/>
        </w:rPr>
        <w:t xml:space="preserve"> say that they realized they did not need it.</w:t>
      </w:r>
      <w:r w:rsidRPr="00880870">
        <w:rPr>
          <w:rStyle w:val="FootnoteReference"/>
          <w:rFonts w:asciiTheme="majorBidi" w:hAnsiTheme="majorBidi" w:cstheme="majorBidi"/>
          <w:szCs w:val="24"/>
        </w:rPr>
        <w:footnoteReference w:id="56"/>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0D3DD5C7" w14:textId="77777777" w:rsidR="00E05BEE" w:rsidRPr="00880870" w:rsidRDefault="00E05BEE" w:rsidP="006F115C">
      <w:pPr>
        <w:rPr>
          <w:rFonts w:asciiTheme="majorBidi" w:hAnsiTheme="majorBidi" w:cstheme="majorBidi"/>
          <w:szCs w:val="24"/>
        </w:rPr>
      </w:pPr>
    </w:p>
    <w:p w14:paraId="6C9C9375" w14:textId="77777777" w:rsidR="006F115C" w:rsidRPr="00ED77C9" w:rsidRDefault="006F115C" w:rsidP="006F115C">
      <w:pPr>
        <w:rPr>
          <w:rFonts w:asciiTheme="majorBidi" w:hAnsiTheme="majorBidi" w:cstheme="majorBidi"/>
          <w:szCs w:val="24"/>
        </w:rPr>
      </w:pPr>
      <w:r w:rsidRPr="00880870">
        <w:rPr>
          <w:rFonts w:asciiTheme="majorBidi" w:hAnsiTheme="majorBidi" w:cstheme="majorBidi"/>
          <w:szCs w:val="24"/>
        </w:rPr>
        <w:t xml:space="preserve">If, however, they were denied the return or were offered anything other than a refund (e.g., exchange or store credit), testers were instructed to ask to speak to a manager. </w:t>
      </w:r>
      <w:r>
        <w:rPr>
          <w:rFonts w:asciiTheme="majorBidi" w:hAnsiTheme="majorBidi" w:cstheme="majorBidi"/>
          <w:szCs w:val="24"/>
        </w:rPr>
        <w:t>Whether</w:t>
      </w:r>
      <w:r w:rsidRPr="00880870">
        <w:rPr>
          <w:rFonts w:asciiTheme="majorBidi" w:hAnsiTheme="majorBidi" w:cstheme="majorBidi"/>
          <w:szCs w:val="24"/>
        </w:rPr>
        <w:t xml:space="preserve"> the store clerk refused to call a manager</w:t>
      </w:r>
      <w:r>
        <w:rPr>
          <w:rFonts w:asciiTheme="majorBidi" w:hAnsiTheme="majorBidi" w:cstheme="majorBidi"/>
          <w:szCs w:val="24"/>
        </w:rPr>
        <w:t xml:space="preserve">, </w:t>
      </w:r>
      <w:r w:rsidRPr="00880870">
        <w:rPr>
          <w:rFonts w:asciiTheme="majorBidi" w:hAnsiTheme="majorBidi" w:cstheme="majorBidi"/>
          <w:szCs w:val="24"/>
        </w:rPr>
        <w:t xml:space="preserve">identified as the manager, or </w:t>
      </w:r>
      <w:r>
        <w:rPr>
          <w:rFonts w:asciiTheme="majorBidi" w:hAnsiTheme="majorBidi" w:cstheme="majorBidi"/>
          <w:szCs w:val="24"/>
        </w:rPr>
        <w:t>called the manager</w:t>
      </w:r>
      <w:r w:rsidRPr="00880870">
        <w:rPr>
          <w:rFonts w:asciiTheme="majorBidi" w:hAnsiTheme="majorBidi" w:cstheme="majorBidi"/>
          <w:szCs w:val="24"/>
        </w:rPr>
        <w:t xml:space="preserve">, testers asked once again </w:t>
      </w:r>
      <w:r w:rsidRPr="00880870">
        <w:rPr>
          <w:rFonts w:asciiTheme="majorBidi" w:hAnsiTheme="majorBidi" w:cstheme="majorBidi"/>
          <w:szCs w:val="24"/>
        </w:rPr>
        <w:lastRenderedPageBreak/>
        <w:t>for a refund. If still denied a refund, testers would thank the clerk or manager and leave the store.</w:t>
      </w:r>
      <w:r w:rsidRPr="00A315E0">
        <w:rPr>
          <w:rFonts w:asciiTheme="majorBidi" w:hAnsiTheme="majorBidi" w:cstheme="majorBidi"/>
          <w:szCs w:val="24"/>
        </w:rPr>
        <w:t xml:space="preserve"> </w:t>
      </w:r>
      <w:r w:rsidRPr="00ED77C9">
        <w:rPr>
          <w:rFonts w:asciiTheme="majorBidi" w:hAnsiTheme="majorBidi" w:cstheme="majorBidi"/>
          <w:szCs w:val="24"/>
        </w:rPr>
        <w:t>After leaving each store, all testers filled out a detailed report, in which they described the outcomes of the attempted returns</w:t>
      </w:r>
      <w:r>
        <w:rPr>
          <w:rFonts w:asciiTheme="majorBidi" w:hAnsiTheme="majorBidi" w:cstheme="majorBidi"/>
          <w:szCs w:val="24"/>
        </w:rPr>
        <w:t xml:space="preserve"> (see </w:t>
      </w:r>
      <w:r w:rsidRPr="00E36730">
        <w:rPr>
          <w:rFonts w:asciiTheme="majorBidi" w:hAnsiTheme="majorBidi" w:cstheme="majorBidi"/>
          <w:szCs w:val="24"/>
          <w:highlight w:val="yellow"/>
        </w:rPr>
        <w:t>Appendix II</w:t>
      </w:r>
      <w:r>
        <w:rPr>
          <w:rFonts w:asciiTheme="majorBidi" w:hAnsiTheme="majorBidi" w:cstheme="majorBidi"/>
          <w:szCs w:val="24"/>
        </w:rPr>
        <w:t>)</w:t>
      </w:r>
      <w:r w:rsidRPr="00ED77C9">
        <w:rPr>
          <w:rFonts w:asciiTheme="majorBidi" w:hAnsiTheme="majorBidi" w:cstheme="majorBidi"/>
          <w:szCs w:val="24"/>
        </w:rPr>
        <w:t>.</w:t>
      </w:r>
    </w:p>
    <w:p w14:paraId="4DD1E537" w14:textId="77777777" w:rsidR="006F115C" w:rsidRPr="00ED77C9" w:rsidRDefault="006F115C" w:rsidP="006F115C">
      <w:pPr>
        <w:rPr>
          <w:rFonts w:asciiTheme="majorBidi" w:hAnsiTheme="majorBidi" w:cstheme="majorBidi"/>
          <w:szCs w:val="24"/>
        </w:rPr>
      </w:pPr>
      <w:r w:rsidRPr="00ED77C9">
        <w:rPr>
          <w:rFonts w:asciiTheme="majorBidi" w:hAnsiTheme="majorBidi" w:cstheme="majorBidi"/>
          <w:szCs w:val="24"/>
        </w:rPr>
        <w:t xml:space="preserve"> </w:t>
      </w:r>
    </w:p>
    <w:p w14:paraId="2D86EF15" w14:textId="56FC5B40" w:rsidR="006F115C" w:rsidRDefault="0037234B" w:rsidP="00D53F59">
      <w:pPr>
        <w:pStyle w:val="Heading2"/>
        <w:numPr>
          <w:ilvl w:val="0"/>
          <w:numId w:val="34"/>
        </w:numPr>
        <w:tabs>
          <w:tab w:val="num" w:pos="0"/>
        </w:tabs>
        <w:ind w:left="0" w:firstLine="0"/>
      </w:pPr>
      <w:r>
        <w:t>Uniformity and Controls</w:t>
      </w:r>
    </w:p>
    <w:p w14:paraId="7DAE9CF4" w14:textId="77777777" w:rsidR="006F115C" w:rsidRDefault="006F115C" w:rsidP="003A1EB1"/>
    <w:p w14:paraId="04B287CD" w14:textId="65D1B545" w:rsidR="006F16A3" w:rsidRDefault="001E6ECD" w:rsidP="0058554D">
      <w:r>
        <w:t>To</w:t>
      </w:r>
      <w:r w:rsidR="00C10FEF">
        <w:t xml:space="preserve"> provide confidence that the differences in outcomes are not driven by unobserved differences between testers, an attempt was made to</w:t>
      </w:r>
      <w:r w:rsidR="00523873">
        <w:t xml:space="preserve"> reduce intertester variation</w:t>
      </w:r>
      <w:r w:rsidR="00C661A5">
        <w:t xml:space="preserve"> </w:t>
      </w:r>
      <w:r w:rsidR="00C10FEF">
        <w:t xml:space="preserve">and ensure uniformity in bargaining. </w:t>
      </w:r>
      <w:r w:rsidR="007A6CDA">
        <w:t>For this purpose, t</w:t>
      </w:r>
      <w:r w:rsidR="0058554D" w:rsidRPr="008F4456">
        <w:t>esters were</w:t>
      </w:r>
      <w:r w:rsidR="006F16A3">
        <w:t xml:space="preserve"> recruited according to uniform criteria:</w:t>
      </w:r>
    </w:p>
    <w:p w14:paraId="26BE1AD8" w14:textId="5645BD12" w:rsidR="006F16A3" w:rsidRDefault="006F16A3" w:rsidP="006F16A3">
      <w:pPr>
        <w:pStyle w:val="ListParagraph"/>
        <w:numPr>
          <w:ilvl w:val="0"/>
          <w:numId w:val="38"/>
        </w:numPr>
      </w:pPr>
      <w:r w:rsidRPr="006F16A3">
        <w:rPr>
          <w:i/>
          <w:iCs/>
        </w:rPr>
        <w:t>Education</w:t>
      </w:r>
      <w:r>
        <w:t xml:space="preserve">: </w:t>
      </w:r>
      <w:r w:rsidR="0058554D" w:rsidRPr="008F4456">
        <w:t xml:space="preserve"> </w:t>
      </w:r>
      <w:r>
        <w:t>A</w:t>
      </w:r>
      <w:r w:rsidR="0058554D" w:rsidRPr="008F4456">
        <w:t xml:space="preserve">ll </w:t>
      </w:r>
      <w:r>
        <w:t xml:space="preserve">testers were </w:t>
      </w:r>
      <w:r w:rsidR="0058554D" w:rsidRPr="008F4456">
        <w:t>undergraduate students</w:t>
      </w:r>
      <w:r>
        <w:t>;</w:t>
      </w:r>
    </w:p>
    <w:p w14:paraId="46F51A9A" w14:textId="4C8473BC" w:rsidR="008069BC" w:rsidRDefault="006F16A3" w:rsidP="006F16A3">
      <w:pPr>
        <w:pStyle w:val="ListParagraph"/>
        <w:numPr>
          <w:ilvl w:val="0"/>
          <w:numId w:val="38"/>
        </w:numPr>
      </w:pPr>
      <w:r>
        <w:rPr>
          <w:i/>
          <w:iCs/>
        </w:rPr>
        <w:t>Age</w:t>
      </w:r>
      <w:r w:rsidRPr="006F16A3">
        <w:t>:</w:t>
      </w:r>
      <w:r>
        <w:t xml:space="preserve"> All testers were</w:t>
      </w:r>
      <w:r w:rsidR="0058554D">
        <w:t xml:space="preserve"> between 18 and 25</w:t>
      </w:r>
      <w:r>
        <w:t xml:space="preserve"> years old;</w:t>
      </w:r>
    </w:p>
    <w:p w14:paraId="1058C965" w14:textId="63D4674F" w:rsidR="00233340" w:rsidRDefault="00233340" w:rsidP="00233340"/>
    <w:p w14:paraId="668C24AD" w14:textId="4402AB2E" w:rsidR="00233340" w:rsidRDefault="00233340" w:rsidP="00233340">
      <w:r>
        <w:t>They were also instructed to wear similar attire and were trained to behave uniformly at the store:</w:t>
      </w:r>
    </w:p>
    <w:p w14:paraId="7F64A33E" w14:textId="60C1277C" w:rsidR="008069BC" w:rsidRPr="008069BC" w:rsidRDefault="008069BC" w:rsidP="00233340">
      <w:pPr>
        <w:pStyle w:val="ListParagraph"/>
        <w:numPr>
          <w:ilvl w:val="0"/>
          <w:numId w:val="39"/>
        </w:numPr>
      </w:pPr>
      <w:r>
        <w:rPr>
          <w:i/>
          <w:iCs/>
        </w:rPr>
        <w:t>Attire:</w:t>
      </w:r>
      <w:r w:rsidRPr="008069BC">
        <w:rPr>
          <w:szCs w:val="24"/>
        </w:rPr>
        <w:t xml:space="preserve"> </w:t>
      </w:r>
      <w:r>
        <w:rPr>
          <w:szCs w:val="24"/>
        </w:rPr>
        <w:t>All testers</w:t>
      </w:r>
      <w:r w:rsidRPr="006F16A3">
        <w:rPr>
          <w:szCs w:val="24"/>
        </w:rPr>
        <w:t xml:space="preserve"> </w:t>
      </w:r>
      <w:r w:rsidR="00E02E7B">
        <w:rPr>
          <w:szCs w:val="24"/>
        </w:rPr>
        <w:t>were instructed to wear</w:t>
      </w:r>
      <w:r w:rsidRPr="006F16A3">
        <w:rPr>
          <w:szCs w:val="24"/>
        </w:rPr>
        <w:t xml:space="preserve"> casual clothing</w:t>
      </w:r>
      <w:r w:rsidR="00E02E7B">
        <w:rPr>
          <w:szCs w:val="24"/>
        </w:rPr>
        <w:t xml:space="preserve"> during the audits</w:t>
      </w:r>
      <w:r w:rsidR="00BD7A46">
        <w:rPr>
          <w:szCs w:val="24"/>
        </w:rPr>
        <w:t xml:space="preserve"> (jeans and t-shirt)</w:t>
      </w:r>
      <w:r w:rsidR="00E02E7B">
        <w:rPr>
          <w:szCs w:val="24"/>
        </w:rPr>
        <w:t>;</w:t>
      </w:r>
    </w:p>
    <w:p w14:paraId="40F08C25" w14:textId="5FA8ED60" w:rsidR="007A6CDA" w:rsidRDefault="008069BC" w:rsidP="00233340">
      <w:pPr>
        <w:pStyle w:val="ListParagraph"/>
        <w:numPr>
          <w:ilvl w:val="0"/>
          <w:numId w:val="39"/>
        </w:numPr>
      </w:pPr>
      <w:r>
        <w:rPr>
          <w:i/>
          <w:iCs/>
        </w:rPr>
        <w:t>Behavior</w:t>
      </w:r>
      <w:r w:rsidR="00BD7A46">
        <w:rPr>
          <w:i/>
          <w:iCs/>
        </w:rPr>
        <w:t xml:space="preserve"> at the store</w:t>
      </w:r>
      <w:r>
        <w:rPr>
          <w:i/>
          <w:iCs/>
        </w:rPr>
        <w:t>:</w:t>
      </w:r>
      <w:r w:rsidR="0058554D" w:rsidRPr="006F16A3">
        <w:rPr>
          <w:szCs w:val="24"/>
        </w:rPr>
        <w:t xml:space="preserve"> </w:t>
      </w:r>
      <w:r w:rsidR="00BD7A46">
        <w:rPr>
          <w:szCs w:val="24"/>
        </w:rPr>
        <w:t>all testers were trained to behave uniformly at the audited stores. They memorized</w:t>
      </w:r>
      <w:r w:rsidR="0058554D" w:rsidRPr="006F16A3">
        <w:rPr>
          <w:szCs w:val="24"/>
        </w:rPr>
        <w:t xml:space="preserve"> a</w:t>
      </w:r>
      <w:r w:rsidR="00F816BA" w:rsidRPr="006F16A3">
        <w:rPr>
          <w:szCs w:val="24"/>
        </w:rPr>
        <w:t xml:space="preserve"> uniform</w:t>
      </w:r>
      <w:r w:rsidR="0058554D" w:rsidRPr="006F16A3">
        <w:rPr>
          <w:szCs w:val="24"/>
        </w:rPr>
        <w:t xml:space="preserve"> script</w:t>
      </w:r>
      <w:r w:rsidR="00BD7A46">
        <w:rPr>
          <w:szCs w:val="24"/>
        </w:rPr>
        <w:t xml:space="preserve"> that they </w:t>
      </w:r>
      <w:r w:rsidR="001556E0">
        <w:rPr>
          <w:szCs w:val="24"/>
        </w:rPr>
        <w:t>followed</w:t>
      </w:r>
      <w:r w:rsidR="00BD7A46">
        <w:rPr>
          <w:szCs w:val="24"/>
        </w:rPr>
        <w:t xml:space="preserve"> to the letter</w:t>
      </w:r>
      <w:r w:rsidR="0058554D" w:rsidRPr="006F16A3">
        <w:rPr>
          <w:szCs w:val="24"/>
        </w:rPr>
        <w:t xml:space="preserve"> in their interactions with store clerks</w:t>
      </w:r>
      <w:r w:rsidR="007A6CDA" w:rsidRPr="006F16A3">
        <w:rPr>
          <w:szCs w:val="24"/>
        </w:rPr>
        <w:t xml:space="preserve"> and managers</w:t>
      </w:r>
      <w:r w:rsidR="0058554D" w:rsidRPr="00880870">
        <w:t>.</w:t>
      </w:r>
      <w:r w:rsidR="001556E0">
        <w:t xml:space="preserve"> </w:t>
      </w:r>
      <w:r w:rsidR="000F59CB">
        <w:t>The testers were told that the study was about stores’ return policies and practices,</w:t>
      </w:r>
      <w:r w:rsidR="000F59CB">
        <w:rPr>
          <w:rStyle w:val="FootnoteReference"/>
        </w:rPr>
        <w:footnoteReference w:id="57"/>
      </w:r>
      <w:r w:rsidR="000F59CB">
        <w:t xml:space="preserve"> and</w:t>
      </w:r>
      <w:r w:rsidR="001556E0">
        <w:t xml:space="preserve"> received a list of contingent responses to the questions they were likely to encounter. If asked, they gave uniform answers about the reason for making the return and about not having the receipt. </w:t>
      </w:r>
      <w:r w:rsidR="00EC2F87">
        <w:t xml:space="preserve">Before auditing the stores, the testers attended training sessions at the University of Chicago, where they </w:t>
      </w:r>
      <w:r w:rsidR="00D31D04">
        <w:t xml:space="preserve">practiced their script and participated in numerous mock negotiations meant to help them behave uniformly during the audits. </w:t>
      </w:r>
    </w:p>
    <w:p w14:paraId="6EA766F2" w14:textId="60899A96" w:rsidR="000F59CB" w:rsidRDefault="000F59CB" w:rsidP="000F59CB"/>
    <w:p w14:paraId="19FC5492" w14:textId="5DD03A52" w:rsidR="000F59CB" w:rsidRDefault="000F59CB" w:rsidP="000F59CB">
      <w:r>
        <w:t xml:space="preserve">Despite these efforts to enhance uniformity, some differences between testers undoubtedly remained. </w:t>
      </w:r>
      <w:r w:rsidR="00E37CF2">
        <w:t xml:space="preserve">Yet, it is highly unlikely that the observed differences in treatment along gender and racial lines </w:t>
      </w:r>
      <w:r w:rsidR="00E37B2B">
        <w:t xml:space="preserve">can be explained by these residual differences or by minor divergences from the uniform bargaining script testers were trained to follow. </w:t>
      </w:r>
    </w:p>
    <w:p w14:paraId="47E1E403" w14:textId="77777777" w:rsidR="00233340" w:rsidRDefault="00233340" w:rsidP="00233340">
      <w:pPr>
        <w:ind w:left="360" w:firstLine="0"/>
        <w:rPr>
          <w:i/>
          <w:iCs/>
        </w:rPr>
      </w:pPr>
    </w:p>
    <w:p w14:paraId="56960773" w14:textId="7D63BB0E" w:rsidR="0058554D" w:rsidRPr="00A315E0" w:rsidRDefault="00651B29" w:rsidP="00E37B2B">
      <w:pPr>
        <w:ind w:firstLine="720"/>
      </w:pPr>
      <w:r w:rsidRPr="00233340">
        <w:rPr>
          <w:i/>
          <w:iCs/>
        </w:rPr>
        <w:t>Time of audits</w:t>
      </w:r>
      <w:r w:rsidR="00E37B2B">
        <w:rPr>
          <w:i/>
          <w:iCs/>
        </w:rPr>
        <w:t>.</w:t>
      </w:r>
      <w:r>
        <w:t xml:space="preserve"> </w:t>
      </w:r>
      <w:r w:rsidR="007A6CDA">
        <w:t xml:space="preserve">To </w:t>
      </w:r>
      <w:r w:rsidR="007A6CDA" w:rsidRPr="00ED77C9">
        <w:t xml:space="preserve">avoid potential changes in stores’ return policies that typically occur during </w:t>
      </w:r>
      <w:r w:rsidR="007A6CDA">
        <w:t>the holiday</w:t>
      </w:r>
      <w:r w:rsidR="007A6CDA" w:rsidRPr="00ED77C9">
        <w:t xml:space="preserve"> season</w:t>
      </w:r>
      <w:r w:rsidR="007A6CDA">
        <w:t>,</w:t>
      </w:r>
      <w:r w:rsidR="007A6CDA" w:rsidRPr="00ED77C9">
        <w:t xml:space="preserve"> </w:t>
      </w:r>
      <w:r w:rsidR="007A6CDA">
        <w:t>d</w:t>
      </w:r>
      <w:r w:rsidR="0058554D" w:rsidRPr="00ED77C9">
        <w:t xml:space="preserve">ata collection took place </w:t>
      </w:r>
      <w:r w:rsidR="0058554D" w:rsidRPr="00ED77C9">
        <w:lastRenderedPageBreak/>
        <w:t>between March and April 2019,</w:t>
      </w:r>
      <w:r w:rsidR="0058554D" w:rsidRPr="00ED77C9">
        <w:rPr>
          <w:rStyle w:val="FootnoteReference"/>
        </w:rPr>
        <w:footnoteReference w:id="58"/>
      </w:r>
      <w:r w:rsidR="0058554D" w:rsidRPr="00ED77C9">
        <w:t xml:space="preserve"> well after the season</w:t>
      </w:r>
      <w:r w:rsidR="001E6ECD">
        <w:t xml:space="preserve"> had ended</w:t>
      </w:r>
      <w:r w:rsidR="0058554D" w:rsidRPr="00ED77C9">
        <w:t>.</w:t>
      </w:r>
      <w:r w:rsidR="0058554D">
        <w:rPr>
          <w:rStyle w:val="FootnoteReference"/>
        </w:rPr>
        <w:footnoteReference w:id="59"/>
      </w:r>
      <w:r w:rsidR="0058554D" w:rsidRPr="00ED77C9">
        <w:t xml:space="preserve"> </w:t>
      </w:r>
    </w:p>
    <w:p w14:paraId="3C882D04" w14:textId="77777777" w:rsidR="007B7ADE" w:rsidRDefault="007B7ADE" w:rsidP="00F816BA">
      <w:pPr>
        <w:ind w:firstLine="0"/>
      </w:pPr>
    </w:p>
    <w:p w14:paraId="0784395B" w14:textId="77777777" w:rsidR="00D53F59" w:rsidRPr="00D53F59" w:rsidRDefault="00D53F59" w:rsidP="00D60D19">
      <w:pPr>
        <w:ind w:firstLine="0"/>
      </w:pPr>
    </w:p>
    <w:p w14:paraId="4A7C4AF6" w14:textId="6B5D91DA" w:rsidR="00CB4432" w:rsidRPr="006B303F" w:rsidRDefault="00F816BA" w:rsidP="00F816BA">
      <w:pPr>
        <w:pStyle w:val="Heading2"/>
        <w:numPr>
          <w:ilvl w:val="0"/>
          <w:numId w:val="34"/>
        </w:numPr>
        <w:tabs>
          <w:tab w:val="num" w:pos="0"/>
        </w:tabs>
        <w:ind w:left="0" w:firstLine="0"/>
      </w:pPr>
      <w:r w:rsidRPr="006B303F">
        <w:t>Sample Descriptive Statistics</w:t>
      </w:r>
    </w:p>
    <w:p w14:paraId="7FB138C6" w14:textId="4CDC0960" w:rsidR="00F816BA" w:rsidRDefault="00F816BA" w:rsidP="00F816BA"/>
    <w:p w14:paraId="0442B9CA" w14:textId="77777777" w:rsidR="00F816BA" w:rsidRDefault="00F816BA" w:rsidP="00F816BA">
      <w:r>
        <w:t>Information on basic retailer characteristics, including size (measured by number of employees), annual revenues (for the year of 2018), and age (defined as 2019 minus the year of establishment) was also collected.</w:t>
      </w:r>
      <w:r>
        <w:rPr>
          <w:rStyle w:val="FootnoteReference"/>
        </w:rPr>
        <w:footnoteReference w:id="60"/>
      </w:r>
      <w:r>
        <w:t xml:space="preserve"> Finally, as a measure of store prestige, I collected data on the median prices of all clothing and accessory items listed on each store’s website.</w:t>
      </w:r>
      <w:r>
        <w:rPr>
          <w:rStyle w:val="FootnoteReference"/>
        </w:rPr>
        <w:footnoteReference w:id="61"/>
      </w:r>
      <w:r>
        <w:t xml:space="preserve"> </w:t>
      </w:r>
    </w:p>
    <w:p w14:paraId="3060950C" w14:textId="6A9B3360" w:rsidR="00F816BA" w:rsidRDefault="00F816BA" w:rsidP="00F816BA"/>
    <w:p w14:paraId="5F0ECA9B" w14:textId="601E4382" w:rsidR="006F3EDD" w:rsidRDefault="006F3EDD" w:rsidP="00F816BA">
      <w:r>
        <w:t>[</w:t>
      </w:r>
      <w:r w:rsidR="002219B2" w:rsidRPr="002219B2">
        <w:rPr>
          <w:highlight w:val="yellow"/>
        </w:rPr>
        <w:t>Table 1</w:t>
      </w:r>
      <w:r>
        <w:t>]</w:t>
      </w:r>
    </w:p>
    <w:p w14:paraId="18B60E0E" w14:textId="1B45FEF6" w:rsidR="006F3EDD" w:rsidRDefault="006F3EDD" w:rsidP="00F816BA"/>
    <w:p w14:paraId="6752EEF8" w14:textId="63BD9BB8" w:rsidR="006F3EDD" w:rsidRDefault="006F3EDD" w:rsidP="006F3EDD">
      <w:pPr>
        <w:pStyle w:val="Heading2"/>
        <w:numPr>
          <w:ilvl w:val="0"/>
          <w:numId w:val="34"/>
        </w:numPr>
        <w:tabs>
          <w:tab w:val="num" w:pos="0"/>
        </w:tabs>
        <w:ind w:left="0" w:firstLine="0"/>
      </w:pPr>
      <w:r>
        <w:t>Coding</w:t>
      </w:r>
    </w:p>
    <w:p w14:paraId="7C0BD11C" w14:textId="6C621542" w:rsidR="00454400" w:rsidRDefault="00454400" w:rsidP="00454400"/>
    <w:p w14:paraId="67203984" w14:textId="77777777" w:rsidR="00483B59" w:rsidRDefault="00454400" w:rsidP="00454400">
      <w:pPr>
        <w:rPr>
          <w:lang w:bidi="he-IL"/>
        </w:rPr>
      </w:pPr>
      <w:r>
        <w:rPr>
          <w:lang w:bidi="he-IL"/>
        </w:rPr>
        <w:t xml:space="preserve">To test whether sellers’ discretionary enforcement of their return policies systematically disadvantages African-American consumers, each store’s formal return policy was </w:t>
      </w:r>
      <w:r w:rsidR="00A875B0">
        <w:rPr>
          <w:lang w:bidi="he-IL"/>
        </w:rPr>
        <w:t>collected and coded</w:t>
      </w:r>
      <w:r>
        <w:rPr>
          <w:lang w:bidi="he-IL"/>
        </w:rPr>
        <w:t xml:space="preserve"> as</w:t>
      </w:r>
      <w:r w:rsidR="00E20338">
        <w:rPr>
          <w:lang w:bidi="he-IL"/>
        </w:rPr>
        <w:t>:</w:t>
      </w:r>
      <w:r>
        <w:rPr>
          <w:lang w:bidi="he-IL"/>
        </w:rPr>
        <w:t xml:space="preserve"> </w:t>
      </w:r>
      <w:r w:rsidR="00E20338">
        <w:rPr>
          <w:lang w:bidi="he-IL"/>
        </w:rPr>
        <w:t xml:space="preserve">(1) </w:t>
      </w:r>
      <w:r>
        <w:rPr>
          <w:lang w:bidi="he-IL"/>
        </w:rPr>
        <w:t>requiring receipts for all returns</w:t>
      </w:r>
      <w:r w:rsidR="00E20338">
        <w:rPr>
          <w:lang w:bidi="he-IL"/>
        </w:rPr>
        <w:t>; (2)</w:t>
      </w:r>
      <w:r>
        <w:rPr>
          <w:lang w:bidi="he-IL"/>
        </w:rPr>
        <w:t xml:space="preserve"> allowing for exchange only absent a receipt</w:t>
      </w:r>
      <w:r w:rsidR="00E20338">
        <w:rPr>
          <w:lang w:bidi="he-IL"/>
        </w:rPr>
        <w:t>;</w:t>
      </w:r>
      <w:r>
        <w:rPr>
          <w:lang w:bidi="he-IL"/>
        </w:rPr>
        <w:t xml:space="preserve"> </w:t>
      </w:r>
      <w:r w:rsidR="00E20338">
        <w:rPr>
          <w:lang w:bidi="he-IL"/>
        </w:rPr>
        <w:t>or (3)</w:t>
      </w:r>
      <w:r>
        <w:rPr>
          <w:lang w:bidi="he-IL"/>
        </w:rPr>
        <w:t xml:space="preserve"> allowing for store credit or exchange absent a receipt (while requiring receipts for refunds). </w:t>
      </w:r>
    </w:p>
    <w:p w14:paraId="1AD9D28E" w14:textId="77777777" w:rsidR="00483B59" w:rsidRDefault="00483B59" w:rsidP="00454400">
      <w:pPr>
        <w:rPr>
          <w:lang w:bidi="he-IL"/>
        </w:rPr>
      </w:pPr>
    </w:p>
    <w:p w14:paraId="01873817" w14:textId="66A8DF36" w:rsidR="00454400" w:rsidRDefault="00454400" w:rsidP="00454400">
      <w:pPr>
        <w:rPr>
          <w:lang w:bidi="he-IL"/>
        </w:rPr>
      </w:pPr>
      <w:r>
        <w:rPr>
          <w:lang w:bidi="he-IL"/>
        </w:rPr>
        <w:t xml:space="preserve">I then noted, based on testers’ reports, whether the store clerk </w:t>
      </w:r>
      <w:r w:rsidR="00135A4D">
        <w:rPr>
          <w:lang w:bidi="he-IL"/>
        </w:rPr>
        <w:t xml:space="preserve">or manager </w:t>
      </w:r>
      <w:r>
        <w:rPr>
          <w:lang w:bidi="he-IL"/>
        </w:rPr>
        <w:t xml:space="preserve">adhered to the formal policy, deviated from the formal policy in favor of consumers, or deviated from the formal policy to the detriment of consumers. Table 2 presents the full coding scheme. </w:t>
      </w:r>
    </w:p>
    <w:p w14:paraId="3B7F6CF9" w14:textId="77777777" w:rsidR="00454400" w:rsidRDefault="00454400" w:rsidP="00454400">
      <w:pPr>
        <w:rPr>
          <w:lang w:bidi="he-IL"/>
        </w:rPr>
      </w:pPr>
    </w:p>
    <w:p w14:paraId="22846327" w14:textId="77777777" w:rsidR="00454400" w:rsidRDefault="00454400" w:rsidP="00454400">
      <w:pPr>
        <w:rPr>
          <w:lang w:bidi="he-IL"/>
        </w:rPr>
      </w:pPr>
    </w:p>
    <w:p w14:paraId="4BDC942D" w14:textId="77777777" w:rsidR="00454400" w:rsidRDefault="00454400" w:rsidP="00454400">
      <w:pPr>
        <w:pStyle w:val="FootNote0"/>
        <w:rPr>
          <w:lang w:bidi="he-IL"/>
        </w:rPr>
      </w:pPr>
      <w:r w:rsidRPr="00C53AF8">
        <w:rPr>
          <w:i/>
          <w:iCs/>
          <w:lang w:bidi="he-IL"/>
        </w:rPr>
        <w:t>Table 2</w:t>
      </w:r>
      <w:r>
        <w:rPr>
          <w:lang w:bidi="he-IL"/>
        </w:rPr>
        <w:t>. Coding Scheme: Selective Enforcement of Return Policies</w:t>
      </w:r>
    </w:p>
    <w:tbl>
      <w:tblPr>
        <w:tblStyle w:val="TableGrid"/>
        <w:tblW w:w="7796" w:type="dxa"/>
        <w:tblLook w:val="04A0" w:firstRow="1" w:lastRow="0" w:firstColumn="1" w:lastColumn="0" w:noHBand="0" w:noVBand="1"/>
      </w:tblPr>
      <w:tblGrid>
        <w:gridCol w:w="3024"/>
        <w:gridCol w:w="2788"/>
        <w:gridCol w:w="1984"/>
      </w:tblGrid>
      <w:tr w:rsidR="00CA0547" w14:paraId="67113BDD" w14:textId="77777777" w:rsidTr="00CA0547">
        <w:tc>
          <w:tcPr>
            <w:tcW w:w="3024" w:type="dxa"/>
          </w:tcPr>
          <w:p w14:paraId="682D6759" w14:textId="77777777" w:rsidR="00CA0547" w:rsidRPr="005F0BC9" w:rsidRDefault="00CA0547" w:rsidP="000C47D0">
            <w:pPr>
              <w:ind w:firstLine="0"/>
              <w:rPr>
                <w:b/>
                <w:bCs/>
              </w:rPr>
            </w:pPr>
            <w:r w:rsidRPr="005F0BC9">
              <w:rPr>
                <w:b/>
                <w:bCs/>
              </w:rPr>
              <w:t xml:space="preserve">Formal </w:t>
            </w:r>
            <w:r>
              <w:rPr>
                <w:b/>
                <w:bCs/>
              </w:rPr>
              <w:t>Return Policy</w:t>
            </w:r>
          </w:p>
        </w:tc>
        <w:tc>
          <w:tcPr>
            <w:tcW w:w="2788" w:type="dxa"/>
          </w:tcPr>
          <w:p w14:paraId="054D0046" w14:textId="29FDEE43" w:rsidR="00CA0547" w:rsidRPr="005F0BC9" w:rsidRDefault="00CA0547" w:rsidP="000C47D0">
            <w:pPr>
              <w:ind w:firstLine="0"/>
              <w:rPr>
                <w:b/>
                <w:bCs/>
              </w:rPr>
            </w:pPr>
            <w:r w:rsidRPr="005F0BC9">
              <w:rPr>
                <w:b/>
                <w:bCs/>
              </w:rPr>
              <w:t xml:space="preserve">What is a </w:t>
            </w:r>
            <w:r>
              <w:rPr>
                <w:b/>
                <w:bCs/>
              </w:rPr>
              <w:t xml:space="preserve">pro-consumer </w:t>
            </w:r>
            <w:r w:rsidRPr="005F0BC9">
              <w:rPr>
                <w:b/>
                <w:bCs/>
              </w:rPr>
              <w:t>gap?</w:t>
            </w:r>
          </w:p>
        </w:tc>
        <w:tc>
          <w:tcPr>
            <w:tcW w:w="1984" w:type="dxa"/>
          </w:tcPr>
          <w:p w14:paraId="761036BF" w14:textId="0DAA55E9" w:rsidR="00CA0547" w:rsidRPr="005F0BC9" w:rsidRDefault="00CA0547" w:rsidP="000C47D0">
            <w:pPr>
              <w:ind w:firstLine="0"/>
              <w:rPr>
                <w:b/>
                <w:bCs/>
              </w:rPr>
            </w:pPr>
            <w:r>
              <w:rPr>
                <w:b/>
                <w:bCs/>
              </w:rPr>
              <w:t>What is an anti-consumer gap?</w:t>
            </w:r>
          </w:p>
        </w:tc>
      </w:tr>
      <w:tr w:rsidR="00CA0547" w14:paraId="7168E254" w14:textId="77777777" w:rsidTr="00CA0547">
        <w:trPr>
          <w:trHeight w:val="1656"/>
        </w:trPr>
        <w:tc>
          <w:tcPr>
            <w:tcW w:w="3024" w:type="dxa"/>
          </w:tcPr>
          <w:p w14:paraId="1B327E81" w14:textId="24149EAB" w:rsidR="00CA0547" w:rsidRDefault="00CA0547" w:rsidP="000C47D0">
            <w:pPr>
              <w:ind w:firstLine="0"/>
            </w:pPr>
            <w:r>
              <w:lastRenderedPageBreak/>
              <w:t xml:space="preserve">Receipt Required for </w:t>
            </w:r>
            <w:r w:rsidRPr="00723622">
              <w:rPr>
                <w:b/>
                <w:bCs/>
                <w:i/>
                <w:iCs/>
                <w:u w:val="single"/>
              </w:rPr>
              <w:t>all</w:t>
            </w:r>
            <w:r>
              <w:rPr>
                <w:u w:val="single"/>
              </w:rPr>
              <w:t xml:space="preserve"> </w:t>
            </w:r>
            <w:r>
              <w:t>returns (36% of sampled stores)</w:t>
            </w:r>
          </w:p>
          <w:p w14:paraId="7B2BDFF2" w14:textId="77777777" w:rsidR="00CA0547" w:rsidRDefault="00CA0547" w:rsidP="000C47D0">
            <w:pPr>
              <w:ind w:firstLine="0"/>
            </w:pPr>
          </w:p>
        </w:tc>
        <w:tc>
          <w:tcPr>
            <w:tcW w:w="2788" w:type="dxa"/>
          </w:tcPr>
          <w:p w14:paraId="431BFE90" w14:textId="77777777" w:rsidR="00CA0547" w:rsidRDefault="00CA0547" w:rsidP="000C47D0">
            <w:pPr>
              <w:ind w:firstLine="0"/>
            </w:pPr>
            <w:r>
              <w:t>Refund, store credit or exchange offered</w:t>
            </w:r>
          </w:p>
        </w:tc>
        <w:tc>
          <w:tcPr>
            <w:tcW w:w="1984" w:type="dxa"/>
          </w:tcPr>
          <w:p w14:paraId="2401BAD2" w14:textId="77777777" w:rsidR="00CA0547" w:rsidRDefault="00CA0547" w:rsidP="000C47D0">
            <w:pPr>
              <w:ind w:firstLine="0"/>
              <w:jc w:val="center"/>
            </w:pPr>
            <w:r>
              <w:t>_</w:t>
            </w:r>
          </w:p>
        </w:tc>
      </w:tr>
      <w:tr w:rsidR="00CA0547" w14:paraId="4CE0CA80" w14:textId="77777777" w:rsidTr="00CA0547">
        <w:tc>
          <w:tcPr>
            <w:tcW w:w="3024" w:type="dxa"/>
          </w:tcPr>
          <w:p w14:paraId="5FBF9AC3" w14:textId="492664EF" w:rsidR="00CA0547" w:rsidRDefault="00CA0547" w:rsidP="000C47D0">
            <w:pPr>
              <w:ind w:firstLine="0"/>
            </w:pPr>
            <w:r>
              <w:t>Exchange is allowed without receipt. Receipt is required for store credit or refund (5% of sampled stores)</w:t>
            </w:r>
          </w:p>
          <w:p w14:paraId="54A11A8F" w14:textId="77777777" w:rsidR="00CA0547" w:rsidRDefault="00CA0547" w:rsidP="000C47D0">
            <w:pPr>
              <w:ind w:firstLine="0"/>
            </w:pPr>
          </w:p>
        </w:tc>
        <w:tc>
          <w:tcPr>
            <w:tcW w:w="2788" w:type="dxa"/>
          </w:tcPr>
          <w:p w14:paraId="54D87790" w14:textId="77777777" w:rsidR="00CA0547" w:rsidRDefault="00CA0547" w:rsidP="000C47D0">
            <w:pPr>
              <w:ind w:firstLine="0"/>
            </w:pPr>
            <w:r>
              <w:t>Refund or store credit offered</w:t>
            </w:r>
          </w:p>
        </w:tc>
        <w:tc>
          <w:tcPr>
            <w:tcW w:w="1984" w:type="dxa"/>
          </w:tcPr>
          <w:p w14:paraId="0F6FBE36" w14:textId="77777777" w:rsidR="00CA0547" w:rsidRDefault="00CA0547" w:rsidP="000C47D0">
            <w:pPr>
              <w:ind w:firstLine="0"/>
            </w:pPr>
            <w:r>
              <w:t>Exchange denied</w:t>
            </w:r>
          </w:p>
        </w:tc>
      </w:tr>
      <w:tr w:rsidR="00CA0547" w14:paraId="4A00E626" w14:textId="77777777" w:rsidTr="00CA0547">
        <w:tc>
          <w:tcPr>
            <w:tcW w:w="3024" w:type="dxa"/>
          </w:tcPr>
          <w:p w14:paraId="66C562C5" w14:textId="4EA84B5F" w:rsidR="00CA0547" w:rsidRDefault="00CA0547" w:rsidP="000C47D0">
            <w:pPr>
              <w:ind w:firstLine="0"/>
            </w:pPr>
            <w:r>
              <w:t xml:space="preserve">Store Credit or exchange allowed without receipt. Receipt required for refunds </w:t>
            </w:r>
            <w:proofErr w:type="gramStart"/>
            <w:r>
              <w:t>only  (</w:t>
            </w:r>
            <w:proofErr w:type="gramEnd"/>
            <w:r>
              <w:t>59% of sampled stores)</w:t>
            </w:r>
          </w:p>
          <w:p w14:paraId="3D6B0A57" w14:textId="77777777" w:rsidR="00CA0547" w:rsidRDefault="00CA0547" w:rsidP="000C47D0">
            <w:pPr>
              <w:ind w:firstLine="0"/>
            </w:pPr>
          </w:p>
        </w:tc>
        <w:tc>
          <w:tcPr>
            <w:tcW w:w="2788" w:type="dxa"/>
          </w:tcPr>
          <w:p w14:paraId="7FB5A2D1" w14:textId="77777777" w:rsidR="00CA0547" w:rsidRDefault="00CA0547" w:rsidP="000C47D0">
            <w:pPr>
              <w:ind w:firstLine="0"/>
            </w:pPr>
            <w:r>
              <w:t>Refund</w:t>
            </w:r>
          </w:p>
        </w:tc>
        <w:tc>
          <w:tcPr>
            <w:tcW w:w="1984" w:type="dxa"/>
          </w:tcPr>
          <w:p w14:paraId="76342874" w14:textId="77777777" w:rsidR="00CA0547" w:rsidRDefault="00CA0547" w:rsidP="000C47D0">
            <w:pPr>
              <w:ind w:firstLine="0"/>
            </w:pPr>
            <w:r>
              <w:t>Store credit or exchange is denied</w:t>
            </w:r>
          </w:p>
        </w:tc>
      </w:tr>
    </w:tbl>
    <w:p w14:paraId="236A5E2D" w14:textId="77777777" w:rsidR="005C3477" w:rsidRDefault="005C3477" w:rsidP="00167E9D">
      <w:pPr>
        <w:ind w:firstLine="0"/>
      </w:pPr>
    </w:p>
    <w:p w14:paraId="2251B2F3" w14:textId="77777777" w:rsidR="003C6748" w:rsidRPr="003C6748" w:rsidRDefault="003C6748" w:rsidP="003C6748"/>
    <w:p w14:paraId="5F2ABB47" w14:textId="62D0C4A6" w:rsidR="005D0D0E" w:rsidRDefault="005D0D0E" w:rsidP="005D0D0E">
      <w:pPr>
        <w:pStyle w:val="Heading1"/>
        <w:rPr>
          <w:rtl/>
        </w:rPr>
      </w:pPr>
      <w:r>
        <w:t>III.</w:t>
      </w:r>
      <w:r w:rsidR="005965BB">
        <w:t xml:space="preserve"> </w:t>
      </w:r>
      <w:r w:rsidR="009C3235">
        <w:t>Results</w:t>
      </w:r>
    </w:p>
    <w:p w14:paraId="13A36FD2" w14:textId="77777777" w:rsidR="007832D0" w:rsidRPr="007832D0" w:rsidRDefault="007832D0" w:rsidP="007832D0"/>
    <w:p w14:paraId="1A871221" w14:textId="6D504B86" w:rsidR="00E657D7" w:rsidRPr="00541147" w:rsidRDefault="00E657D7" w:rsidP="00E657D7">
      <w:pPr>
        <w:pStyle w:val="Heading2"/>
        <w:rPr>
          <w:lang w:bidi="he-IL"/>
        </w:rPr>
      </w:pPr>
      <w:r>
        <w:rPr>
          <w:lang w:bidi="he-IL"/>
        </w:rPr>
        <w:t>Store Clerks’ Responses to</w:t>
      </w:r>
      <w:r w:rsidR="00CA0547">
        <w:rPr>
          <w:lang w:bidi="he-IL"/>
        </w:rPr>
        <w:t xml:space="preserve"> Testers’</w:t>
      </w:r>
      <w:r>
        <w:rPr>
          <w:lang w:bidi="he-IL"/>
        </w:rPr>
        <w:t xml:space="preserve"> Return Requests</w:t>
      </w:r>
    </w:p>
    <w:p w14:paraId="4ACF2F2A" w14:textId="77777777" w:rsidR="00E657D7" w:rsidRDefault="00E657D7" w:rsidP="00E657D7">
      <w:pPr>
        <w:ind w:firstLine="0"/>
        <w:rPr>
          <w:lang w:bidi="he-IL"/>
        </w:rPr>
      </w:pPr>
    </w:p>
    <w:p w14:paraId="19522F39" w14:textId="0DEE31F3" w:rsidR="004F2CA9" w:rsidRDefault="004F2CA9" w:rsidP="004F2CA9">
      <w:pPr>
        <w:rPr>
          <w:lang w:bidi="he-IL"/>
        </w:rPr>
      </w:pPr>
      <w:r>
        <w:rPr>
          <w:lang w:bidi="he-IL"/>
        </w:rPr>
        <w:t xml:space="preserve">Store clerks’ and managers’ responses to the testers’ return requests were broken into four categories: Return denied, exchange, store credit, or refund. </w:t>
      </w:r>
      <w:r w:rsidRPr="00944D30">
        <w:rPr>
          <w:lang w:bidi="he-IL"/>
        </w:rPr>
        <w:t xml:space="preserve">Figure 2 shows the frequency of each response by tester race and gender. As Figure 2 shows, </w:t>
      </w:r>
      <w:r w:rsidR="00506AEF" w:rsidRPr="00944D30">
        <w:rPr>
          <w:lang w:bidi="he-IL"/>
        </w:rPr>
        <w:t>w</w:t>
      </w:r>
      <w:r w:rsidRPr="00944D30">
        <w:rPr>
          <w:lang w:bidi="he-IL"/>
        </w:rPr>
        <w:t>hite testers receive</w:t>
      </w:r>
      <w:r w:rsidR="00506AEF" w:rsidRPr="00944D30">
        <w:rPr>
          <w:lang w:bidi="he-IL"/>
        </w:rPr>
        <w:t>d</w:t>
      </w:r>
      <w:r w:rsidRPr="00944D30">
        <w:rPr>
          <w:lang w:bidi="he-IL"/>
        </w:rPr>
        <w:t xml:space="preserve"> a refund or store credit </w:t>
      </w:r>
      <w:r w:rsidR="00506AEF" w:rsidRPr="00944D30">
        <w:rPr>
          <w:lang w:bidi="he-IL"/>
        </w:rPr>
        <w:t xml:space="preserve">more frequently, </w:t>
      </w:r>
      <w:r w:rsidRPr="00944D30">
        <w:rPr>
          <w:lang w:bidi="he-IL"/>
        </w:rPr>
        <w:t xml:space="preserve">and </w:t>
      </w:r>
      <w:r w:rsidR="00506AEF" w:rsidRPr="00944D30">
        <w:rPr>
          <w:lang w:bidi="he-IL"/>
        </w:rPr>
        <w:t>had</w:t>
      </w:r>
      <w:r>
        <w:rPr>
          <w:lang w:bidi="he-IL"/>
        </w:rPr>
        <w:t xml:space="preserve"> their return denied</w:t>
      </w:r>
      <w:r w:rsidR="00506AEF">
        <w:rPr>
          <w:lang w:bidi="he-IL"/>
        </w:rPr>
        <w:t xml:space="preserve"> less frequently</w:t>
      </w:r>
      <w:r>
        <w:rPr>
          <w:lang w:bidi="he-IL"/>
        </w:rPr>
        <w:t xml:space="preserve">, </w:t>
      </w:r>
      <w:r w:rsidR="00506AEF">
        <w:rPr>
          <w:lang w:bidi="he-IL"/>
        </w:rPr>
        <w:t>than</w:t>
      </w:r>
      <w:r>
        <w:rPr>
          <w:lang w:bidi="he-IL"/>
        </w:rPr>
        <w:t xml:space="preserve"> African-American testers. </w:t>
      </w:r>
    </w:p>
    <w:p w14:paraId="00EA6258" w14:textId="77777777" w:rsidR="004F2CA9" w:rsidRDefault="004F2CA9" w:rsidP="004F2CA9">
      <w:pPr>
        <w:rPr>
          <w:lang w:bidi="he-IL"/>
        </w:rPr>
      </w:pPr>
    </w:p>
    <w:p w14:paraId="3ACB8C22" w14:textId="77777777" w:rsidR="004F2CA9" w:rsidRDefault="004F2CA9" w:rsidP="004F2CA9">
      <w:pPr>
        <w:rPr>
          <w:lang w:bidi="he-IL"/>
        </w:rPr>
      </w:pPr>
    </w:p>
    <w:p w14:paraId="2DCBB6BE" w14:textId="77777777" w:rsidR="004F2CA9" w:rsidRDefault="004F2CA9" w:rsidP="00095997">
      <w:pPr>
        <w:ind w:firstLine="0"/>
        <w:rPr>
          <w:rtl/>
          <w:lang w:bidi="he-IL"/>
        </w:rPr>
      </w:pPr>
      <w:r>
        <w:rPr>
          <w:noProof/>
        </w:rPr>
        <w:lastRenderedPageBreak/>
        <w:drawing>
          <wp:inline distT="0" distB="0" distL="0" distR="0" wp14:anchorId="1268C471" wp14:editId="5844D819">
            <wp:extent cx="5201728" cy="4606506"/>
            <wp:effectExtent l="0" t="0" r="18415" b="3810"/>
            <wp:docPr id="54" name="Chart 54">
              <a:extLst xmlns:a="http://schemas.openxmlformats.org/drawingml/2006/main">
                <a:ext uri="{FF2B5EF4-FFF2-40B4-BE49-F238E27FC236}">
                  <a16:creationId xmlns:a16="http://schemas.microsoft.com/office/drawing/2014/main" id="{D23FC7E1-14B1-4B2D-BD20-88B9A96E9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2E536A" w14:textId="77777777" w:rsidR="004F2CA9" w:rsidRDefault="004F2CA9" w:rsidP="004F2CA9">
      <w:pPr>
        <w:rPr>
          <w:rtl/>
          <w:lang w:bidi="he-IL"/>
        </w:rPr>
      </w:pPr>
    </w:p>
    <w:p w14:paraId="002A2535" w14:textId="77777777" w:rsidR="0026489D" w:rsidRDefault="0026489D" w:rsidP="0026489D">
      <w:pPr>
        <w:rPr>
          <w:lang w:bidi="he-IL"/>
        </w:rPr>
      </w:pPr>
    </w:p>
    <w:p w14:paraId="4583D593" w14:textId="58357B2A" w:rsidR="00AE7DBB" w:rsidRDefault="00E657D7" w:rsidP="00E657D7">
      <w:pPr>
        <w:rPr>
          <w:lang w:bidi="he-IL"/>
        </w:rPr>
      </w:pPr>
      <w:r>
        <w:rPr>
          <w:lang w:bidi="he-IL"/>
        </w:rPr>
        <w:t xml:space="preserve">Table </w:t>
      </w:r>
      <w:r w:rsidR="00470B99">
        <w:rPr>
          <w:lang w:bidi="he-IL"/>
        </w:rPr>
        <w:t>4</w:t>
      </w:r>
      <w:r>
        <w:rPr>
          <w:lang w:bidi="he-IL"/>
        </w:rPr>
        <w:t xml:space="preserve"> presents the main effect of testers’ race and gender on their return outcomes. </w:t>
      </w:r>
      <w:r w:rsidR="0026489D">
        <w:rPr>
          <w:lang w:bidi="he-IL"/>
        </w:rPr>
        <w:t>The dependent variable i</w:t>
      </w:r>
      <w:r w:rsidR="00F62ADF">
        <w:rPr>
          <w:lang w:bidi="he-IL"/>
        </w:rPr>
        <w:t>s whether the return was accepted or denied</w:t>
      </w:r>
      <w:r w:rsidR="0026489D">
        <w:rPr>
          <w:lang w:bidi="he-IL"/>
        </w:rPr>
        <w:t>.</w:t>
      </w:r>
      <w:r w:rsidR="00F62ADF">
        <w:rPr>
          <w:rStyle w:val="FootnoteReference"/>
          <w:lang w:bidi="he-IL"/>
        </w:rPr>
        <w:footnoteReference w:id="62"/>
      </w:r>
      <w:r w:rsidR="0026489D">
        <w:rPr>
          <w:lang w:bidi="he-IL"/>
        </w:rPr>
        <w:t xml:space="preserve"> C</w:t>
      </w:r>
      <w:r w:rsidR="002324FC">
        <w:rPr>
          <w:lang w:bidi="he-IL"/>
        </w:rPr>
        <w:t xml:space="preserve">olumns 1 </w:t>
      </w:r>
      <w:r w:rsidR="00926AC9">
        <w:rPr>
          <w:lang w:bidi="he-IL"/>
        </w:rPr>
        <w:t>and 2</w:t>
      </w:r>
      <w:r w:rsidR="002324FC">
        <w:rPr>
          <w:lang w:bidi="he-IL"/>
        </w:rPr>
        <w:t xml:space="preserve"> use </w:t>
      </w:r>
      <w:r w:rsidR="003D668D">
        <w:rPr>
          <w:lang w:bidi="he-IL"/>
        </w:rPr>
        <w:t>testers’</w:t>
      </w:r>
      <w:r w:rsidR="00D1061F">
        <w:rPr>
          <w:lang w:bidi="he-IL"/>
        </w:rPr>
        <w:t xml:space="preserve"> first</w:t>
      </w:r>
      <w:r w:rsidR="003D668D">
        <w:rPr>
          <w:lang w:bidi="he-IL"/>
        </w:rPr>
        <w:t>-</w:t>
      </w:r>
      <w:r w:rsidR="00D1061F">
        <w:rPr>
          <w:lang w:bidi="he-IL"/>
        </w:rPr>
        <w:t>stage</w:t>
      </w:r>
      <w:r w:rsidR="003D668D">
        <w:rPr>
          <w:lang w:bidi="he-IL"/>
        </w:rPr>
        <w:t xml:space="preserve"> outcomes</w:t>
      </w:r>
      <w:r w:rsidR="00D1061F">
        <w:rPr>
          <w:lang w:bidi="he-IL"/>
        </w:rPr>
        <w:t xml:space="preserve"> (before asking to speak with a manager) as the dependent variable, while columns </w:t>
      </w:r>
      <w:r w:rsidR="00926AC9">
        <w:rPr>
          <w:lang w:bidi="he-IL"/>
        </w:rPr>
        <w:t>3 and 4</w:t>
      </w:r>
      <w:r w:rsidR="00D1061F">
        <w:rPr>
          <w:lang w:bidi="he-IL"/>
        </w:rPr>
        <w:t xml:space="preserve"> use final-stage </w:t>
      </w:r>
      <w:r w:rsidR="00AE7DBB">
        <w:rPr>
          <w:lang w:bidi="he-IL"/>
        </w:rPr>
        <w:t xml:space="preserve">outcomes as the dependent variable. </w:t>
      </w:r>
    </w:p>
    <w:p w14:paraId="7A6379BE" w14:textId="77777777" w:rsidR="00AE7DBB" w:rsidRDefault="00AE7DBB" w:rsidP="00E657D7">
      <w:pPr>
        <w:rPr>
          <w:lang w:bidi="he-IL"/>
        </w:rPr>
      </w:pPr>
    </w:p>
    <w:p w14:paraId="0F340937" w14:textId="3B409612" w:rsidR="004D187C" w:rsidRDefault="00926AC9" w:rsidP="003D668D">
      <w:r>
        <w:t>Testers’</w:t>
      </w:r>
      <w:r w:rsidR="004D187C">
        <w:t xml:space="preserve"> first-stage outcomes provide relatively well-controlled tests for discrimination. Because the store clerk’s initial reaction was made with relatively little intervention on the tester’s part, it is unlikely that the initial differences in treatment are driven by </w:t>
      </w:r>
      <w:r w:rsidR="003D668D">
        <w:t xml:space="preserve">any </w:t>
      </w:r>
      <w:r w:rsidR="004D187C">
        <w:t xml:space="preserve">unobserved differences between </w:t>
      </w:r>
      <w:r w:rsidR="004D187C">
        <w:lastRenderedPageBreak/>
        <w:t xml:space="preserve">testers. </w:t>
      </w:r>
      <w:r w:rsidR="003D668D">
        <w:t xml:space="preserve">On the other hand, </w:t>
      </w:r>
      <w:r>
        <w:t>testers’</w:t>
      </w:r>
      <w:r w:rsidR="004D187C">
        <w:t xml:space="preserve"> final-stage </w:t>
      </w:r>
      <w:r>
        <w:t>outcomes</w:t>
      </w:r>
      <w:r w:rsidR="004D187C">
        <w:t xml:space="preserve"> may </w:t>
      </w:r>
      <w:r w:rsidR="00160B28">
        <w:t>better reflect</w:t>
      </w:r>
      <w:r w:rsidR="004D187C">
        <w:t xml:space="preserve"> real-world </w:t>
      </w:r>
      <w:r w:rsidR="00160B28">
        <w:t>racial and gender disparities</w:t>
      </w:r>
      <w:r w:rsidR="004D187C">
        <w:t>, to the extent that</w:t>
      </w:r>
      <w:r w:rsidR="00DE061D">
        <w:t xml:space="preserve"> in real-life</w:t>
      </w:r>
      <w:r w:rsidR="004D187C">
        <w:t xml:space="preserve"> consumers often continue to negotiate with sellers. </w:t>
      </w:r>
    </w:p>
    <w:p w14:paraId="37C9FE8A" w14:textId="612B573F" w:rsidR="001A13B6" w:rsidRDefault="001A13B6" w:rsidP="003D668D"/>
    <w:p w14:paraId="56BEF11D" w14:textId="620E2CFE" w:rsidR="00470B99" w:rsidRDefault="00470B99" w:rsidP="003D668D">
      <w:r>
        <w:t>Table 3</w:t>
      </w:r>
    </w:p>
    <w:tbl>
      <w:tblPr>
        <w:tblStyle w:val="TableGrid"/>
        <w:tblW w:w="7942" w:type="dxa"/>
        <w:tblLook w:val="04A0" w:firstRow="1" w:lastRow="0" w:firstColumn="1" w:lastColumn="0" w:noHBand="0" w:noVBand="1"/>
      </w:tblPr>
      <w:tblGrid>
        <w:gridCol w:w="2902"/>
        <w:gridCol w:w="2520"/>
        <w:gridCol w:w="2520"/>
      </w:tblGrid>
      <w:tr w:rsidR="00AF02DC" w14:paraId="0BCFC7C1" w14:textId="77777777" w:rsidTr="00D74D78">
        <w:tc>
          <w:tcPr>
            <w:tcW w:w="2902" w:type="dxa"/>
          </w:tcPr>
          <w:p w14:paraId="3D8057D9" w14:textId="77777777" w:rsidR="00AF02DC" w:rsidRDefault="00AF02DC" w:rsidP="00AF02DC">
            <w:pPr>
              <w:ind w:firstLine="0"/>
            </w:pPr>
          </w:p>
        </w:tc>
        <w:tc>
          <w:tcPr>
            <w:tcW w:w="2520" w:type="dxa"/>
          </w:tcPr>
          <w:p w14:paraId="7FB6E5F6" w14:textId="14E9AD6D" w:rsidR="00AF02DC" w:rsidRDefault="00AF02DC" w:rsidP="00AF02DC">
            <w:pPr>
              <w:ind w:firstLine="0"/>
            </w:pPr>
            <w:r>
              <w:t>First-Stage Likelihood to have one’s return accepted</w:t>
            </w:r>
          </w:p>
        </w:tc>
        <w:tc>
          <w:tcPr>
            <w:tcW w:w="2520" w:type="dxa"/>
          </w:tcPr>
          <w:p w14:paraId="26A10F2C" w14:textId="7B6EA74A" w:rsidR="00AF02DC" w:rsidRDefault="00AF02DC" w:rsidP="00AF02DC">
            <w:pPr>
              <w:ind w:firstLine="0"/>
            </w:pPr>
            <w:r>
              <w:t>Final-Stage Likelihood to have one’s return accepted</w:t>
            </w:r>
          </w:p>
        </w:tc>
      </w:tr>
      <w:tr w:rsidR="00AF02DC" w14:paraId="2A3898CA" w14:textId="77777777" w:rsidTr="00D74D78">
        <w:tc>
          <w:tcPr>
            <w:tcW w:w="2902" w:type="dxa"/>
          </w:tcPr>
          <w:p w14:paraId="3D2EF681" w14:textId="3AAF4CC1" w:rsidR="00AF02DC" w:rsidRDefault="00AF02DC" w:rsidP="00AF02DC">
            <w:pPr>
              <w:ind w:firstLine="0"/>
            </w:pPr>
            <w:r>
              <w:t>White females</w:t>
            </w:r>
          </w:p>
        </w:tc>
        <w:tc>
          <w:tcPr>
            <w:tcW w:w="2520" w:type="dxa"/>
          </w:tcPr>
          <w:p w14:paraId="4DB37FF7" w14:textId="11F1C10E" w:rsidR="00AF02DC" w:rsidRDefault="002363C6" w:rsidP="00AF02DC">
            <w:pPr>
              <w:ind w:firstLine="0"/>
            </w:pPr>
            <w:r>
              <w:t>76%</w:t>
            </w:r>
          </w:p>
        </w:tc>
        <w:tc>
          <w:tcPr>
            <w:tcW w:w="2520" w:type="dxa"/>
          </w:tcPr>
          <w:p w14:paraId="7A40FD0B" w14:textId="41C97601" w:rsidR="00AF02DC" w:rsidRDefault="00AF02DC" w:rsidP="00AF02DC">
            <w:pPr>
              <w:ind w:firstLine="0"/>
            </w:pPr>
            <w:r>
              <w:t>84%</w:t>
            </w:r>
          </w:p>
        </w:tc>
      </w:tr>
      <w:tr w:rsidR="00AF02DC" w14:paraId="75B6BBC4" w14:textId="77777777" w:rsidTr="00D74D78">
        <w:tc>
          <w:tcPr>
            <w:tcW w:w="2902" w:type="dxa"/>
          </w:tcPr>
          <w:p w14:paraId="584A58B8" w14:textId="4260A001" w:rsidR="00AF02DC" w:rsidRDefault="00AF02DC" w:rsidP="00AF02DC">
            <w:pPr>
              <w:ind w:firstLine="0"/>
            </w:pPr>
            <w:r>
              <w:t>White males</w:t>
            </w:r>
          </w:p>
        </w:tc>
        <w:tc>
          <w:tcPr>
            <w:tcW w:w="2520" w:type="dxa"/>
          </w:tcPr>
          <w:p w14:paraId="373A74CB" w14:textId="3C895C0C" w:rsidR="00AF02DC" w:rsidRDefault="002363C6" w:rsidP="00AF02DC">
            <w:pPr>
              <w:ind w:firstLine="0"/>
            </w:pPr>
            <w:r>
              <w:t>67%</w:t>
            </w:r>
          </w:p>
        </w:tc>
        <w:tc>
          <w:tcPr>
            <w:tcW w:w="2520" w:type="dxa"/>
          </w:tcPr>
          <w:p w14:paraId="589F6371" w14:textId="1B0CAB3B" w:rsidR="00AF02DC" w:rsidRDefault="00AF02DC" w:rsidP="00AF02DC">
            <w:pPr>
              <w:ind w:firstLine="0"/>
            </w:pPr>
            <w:r>
              <w:t>80%</w:t>
            </w:r>
          </w:p>
        </w:tc>
      </w:tr>
      <w:tr w:rsidR="00AF02DC" w14:paraId="11F6B84F" w14:textId="77777777" w:rsidTr="00D74D78">
        <w:tc>
          <w:tcPr>
            <w:tcW w:w="2902" w:type="dxa"/>
          </w:tcPr>
          <w:p w14:paraId="7E4E469C" w14:textId="79BF7050" w:rsidR="00AF02DC" w:rsidRDefault="00AF02DC" w:rsidP="00AF02DC">
            <w:pPr>
              <w:ind w:firstLine="0"/>
            </w:pPr>
            <w:r>
              <w:t>African-American females</w:t>
            </w:r>
          </w:p>
        </w:tc>
        <w:tc>
          <w:tcPr>
            <w:tcW w:w="2520" w:type="dxa"/>
          </w:tcPr>
          <w:p w14:paraId="1BF7CAFB" w14:textId="310EEEE9" w:rsidR="00AF02DC" w:rsidRDefault="002363C6" w:rsidP="00AF02DC">
            <w:pPr>
              <w:ind w:firstLine="0"/>
            </w:pPr>
            <w:r>
              <w:t>62%</w:t>
            </w:r>
          </w:p>
        </w:tc>
        <w:tc>
          <w:tcPr>
            <w:tcW w:w="2520" w:type="dxa"/>
          </w:tcPr>
          <w:p w14:paraId="0C32BFDA" w14:textId="6173E6FB" w:rsidR="00AF02DC" w:rsidRDefault="00D74D78" w:rsidP="00AF02DC">
            <w:pPr>
              <w:ind w:firstLine="0"/>
            </w:pPr>
            <w:r>
              <w:t>63%</w:t>
            </w:r>
          </w:p>
        </w:tc>
      </w:tr>
      <w:tr w:rsidR="00AF02DC" w14:paraId="16B70AE7" w14:textId="77777777" w:rsidTr="00D74D78">
        <w:tc>
          <w:tcPr>
            <w:tcW w:w="2902" w:type="dxa"/>
          </w:tcPr>
          <w:p w14:paraId="29586C24" w14:textId="08EC315E" w:rsidR="00AF02DC" w:rsidRDefault="00AF02DC" w:rsidP="00AF02DC">
            <w:pPr>
              <w:ind w:firstLine="0"/>
            </w:pPr>
            <w:r>
              <w:t>African-American males</w:t>
            </w:r>
          </w:p>
        </w:tc>
        <w:tc>
          <w:tcPr>
            <w:tcW w:w="2520" w:type="dxa"/>
          </w:tcPr>
          <w:p w14:paraId="40397932" w14:textId="5EBECFDF" w:rsidR="00AF02DC" w:rsidRDefault="002363C6" w:rsidP="00AF02DC">
            <w:pPr>
              <w:ind w:firstLine="0"/>
            </w:pPr>
            <w:r>
              <w:t>55%</w:t>
            </w:r>
          </w:p>
        </w:tc>
        <w:tc>
          <w:tcPr>
            <w:tcW w:w="2520" w:type="dxa"/>
          </w:tcPr>
          <w:p w14:paraId="77EB3E04" w14:textId="0DDE72DD" w:rsidR="00AF02DC" w:rsidRDefault="00D74D78" w:rsidP="00AF02DC">
            <w:pPr>
              <w:ind w:firstLine="0"/>
            </w:pPr>
            <w:r>
              <w:t>58%</w:t>
            </w:r>
          </w:p>
        </w:tc>
      </w:tr>
    </w:tbl>
    <w:p w14:paraId="6109F54F" w14:textId="77777777" w:rsidR="001A13B6" w:rsidRPr="003C3283" w:rsidRDefault="001A13B6" w:rsidP="003D668D"/>
    <w:p w14:paraId="2CE45A44" w14:textId="77777777" w:rsidR="00AE7DBB" w:rsidRDefault="00AE7DBB" w:rsidP="00E657D7">
      <w:pPr>
        <w:rPr>
          <w:lang w:bidi="he-IL"/>
        </w:rPr>
      </w:pPr>
    </w:p>
    <w:p w14:paraId="46D4FC88" w14:textId="0631B5CE" w:rsidR="00BC7493" w:rsidRDefault="00D1061F" w:rsidP="00C55911">
      <w:pPr>
        <w:rPr>
          <w:lang w:bidi="he-IL"/>
        </w:rPr>
      </w:pPr>
      <w:r>
        <w:rPr>
          <w:lang w:bidi="he-IL"/>
        </w:rPr>
        <w:t xml:space="preserve"> </w:t>
      </w:r>
      <w:r w:rsidR="002324FC">
        <w:rPr>
          <w:lang w:bidi="he-IL"/>
        </w:rPr>
        <w:t xml:space="preserve"> </w:t>
      </w:r>
      <w:r w:rsidR="00F40DE6">
        <w:rPr>
          <w:lang w:bidi="he-IL"/>
        </w:rPr>
        <w:t xml:space="preserve">The results reveal large and significant racial disparities. </w:t>
      </w:r>
      <w:r w:rsidR="00FA0A99">
        <w:rPr>
          <w:lang w:bidi="he-IL"/>
        </w:rPr>
        <w:t xml:space="preserve">At the first-stage, African-American testers were </w:t>
      </w:r>
      <w:r w:rsidR="0077476E">
        <w:rPr>
          <w:lang w:bidi="he-IL"/>
        </w:rPr>
        <w:t>14% less likely to have their return accepted than white testers (</w:t>
      </w:r>
      <w:r w:rsidR="008F0A60">
        <w:rPr>
          <w:lang w:bidi="he-IL"/>
        </w:rPr>
        <w:t xml:space="preserve">58% v. 72%, </w:t>
      </w:r>
      <w:r w:rsidR="0077476E">
        <w:rPr>
          <w:i/>
          <w:iCs/>
          <w:lang w:bidi="he-IL"/>
        </w:rPr>
        <w:t xml:space="preserve">p </w:t>
      </w:r>
      <w:r w:rsidR="0077476E">
        <w:rPr>
          <w:lang w:bidi="he-IL"/>
        </w:rPr>
        <w:t>&lt; 0.05</w:t>
      </w:r>
      <w:r w:rsidR="008F0A60">
        <w:rPr>
          <w:lang w:bidi="he-IL"/>
        </w:rPr>
        <w:t xml:space="preserve">). At the second stage, African-American testers were </w:t>
      </w:r>
      <w:r w:rsidR="00BC7493">
        <w:rPr>
          <w:lang w:bidi="he-IL"/>
        </w:rPr>
        <w:t>22</w:t>
      </w:r>
      <w:r w:rsidR="008F0A60">
        <w:rPr>
          <w:lang w:bidi="he-IL"/>
        </w:rPr>
        <w:t xml:space="preserve">% less likely to have their return accepted than white testers </w:t>
      </w:r>
      <w:r w:rsidR="00BC7493">
        <w:rPr>
          <w:lang w:bidi="he-IL"/>
        </w:rPr>
        <w:t xml:space="preserve">(60% v. 82%, </w:t>
      </w:r>
      <w:r w:rsidR="00BC7493">
        <w:rPr>
          <w:i/>
          <w:iCs/>
          <w:lang w:bidi="he-IL"/>
        </w:rPr>
        <w:t xml:space="preserve">p &lt; </w:t>
      </w:r>
      <w:r w:rsidR="00BC7493">
        <w:rPr>
          <w:lang w:bidi="he-IL"/>
        </w:rPr>
        <w:t xml:space="preserve">0.001). </w:t>
      </w:r>
      <w:r w:rsidR="0048097C">
        <w:rPr>
          <w:lang w:bidi="he-IL"/>
        </w:rPr>
        <w:t xml:space="preserve">At the same time, the </w:t>
      </w:r>
      <w:r w:rsidR="008C48F2">
        <w:rPr>
          <w:lang w:bidi="he-IL"/>
        </w:rPr>
        <w:t>disparities between male and female testers (both across the entire sample and within each racial sub-group)</w:t>
      </w:r>
      <w:r w:rsidR="00B50B5C">
        <w:rPr>
          <w:lang w:bidi="he-IL"/>
        </w:rPr>
        <w:t xml:space="preserve"> in both the initial and final stages were insignificant (</w:t>
      </w:r>
      <w:r w:rsidR="00307391">
        <w:rPr>
          <w:lang w:bidi="he-IL"/>
        </w:rPr>
        <w:t>75% for female testers v. 70% for male testers</w:t>
      </w:r>
      <w:r w:rsidR="00571EA7">
        <w:rPr>
          <w:lang w:bidi="he-IL"/>
        </w:rPr>
        <w:t xml:space="preserve"> across sample in the final stage; </w:t>
      </w:r>
      <w:r w:rsidR="00C35434">
        <w:rPr>
          <w:lang w:bidi="he-IL"/>
        </w:rPr>
        <w:t>70% for female testers v. 61% for male testers at the initial stage</w:t>
      </w:r>
      <w:r w:rsidR="00307391">
        <w:rPr>
          <w:lang w:bidi="he-IL"/>
        </w:rPr>
        <w:t>)</w:t>
      </w:r>
      <w:r w:rsidR="00C35434">
        <w:rPr>
          <w:lang w:bidi="he-IL"/>
        </w:rPr>
        <w:t>.</w:t>
      </w:r>
      <w:r w:rsidR="003302B5">
        <w:rPr>
          <w:lang w:bidi="he-IL"/>
        </w:rPr>
        <w:t xml:space="preserve"> The largest disparity was observed between white female testers and African-American male testers, with white female testers almost 20% more likely </w:t>
      </w:r>
      <w:r w:rsidR="006B1A56">
        <w:rPr>
          <w:lang w:bidi="he-IL"/>
        </w:rPr>
        <w:t>to have their return accepted than African-American male testers at the initial stage</w:t>
      </w:r>
      <w:r w:rsidR="006E71EF">
        <w:rPr>
          <w:lang w:bidi="he-IL"/>
        </w:rPr>
        <w:t xml:space="preserve"> (</w:t>
      </w:r>
      <w:r w:rsidR="006E71EF">
        <w:rPr>
          <w:i/>
          <w:iCs/>
          <w:lang w:bidi="he-IL"/>
        </w:rPr>
        <w:t xml:space="preserve">p </w:t>
      </w:r>
      <w:r w:rsidR="006E71EF">
        <w:rPr>
          <w:lang w:bidi="he-IL"/>
        </w:rPr>
        <w:t>&lt; 0.05)</w:t>
      </w:r>
      <w:r w:rsidR="006B1A56">
        <w:rPr>
          <w:lang w:bidi="he-IL"/>
        </w:rPr>
        <w:t>, and 26% more likely to have their return accepted than African-American male testers at the final stage (</w:t>
      </w:r>
      <w:r w:rsidR="006B1A56">
        <w:rPr>
          <w:i/>
          <w:iCs/>
          <w:lang w:bidi="he-IL"/>
        </w:rPr>
        <w:t xml:space="preserve">p </w:t>
      </w:r>
      <w:r w:rsidR="006E71EF">
        <w:rPr>
          <w:lang w:bidi="he-IL"/>
        </w:rPr>
        <w:t>&lt; 0.01).</w:t>
      </w:r>
      <w:r w:rsidR="003E4DD0">
        <w:rPr>
          <w:rStyle w:val="FootnoteReference"/>
          <w:lang w:bidi="he-IL"/>
        </w:rPr>
        <w:footnoteReference w:id="63"/>
      </w:r>
    </w:p>
    <w:p w14:paraId="0C3B04C0" w14:textId="77777777" w:rsidR="00E657D7" w:rsidRDefault="00E657D7" w:rsidP="007B7C03">
      <w:pPr>
        <w:ind w:firstLine="0"/>
        <w:rPr>
          <w:lang w:bidi="he-IL"/>
        </w:rPr>
      </w:pPr>
    </w:p>
    <w:p w14:paraId="4F31E01D" w14:textId="0270520E" w:rsidR="00E657D7" w:rsidRPr="00DB7A50" w:rsidRDefault="00E657D7" w:rsidP="00E657D7">
      <w:pPr>
        <w:rPr>
          <w:lang w:bidi="he-IL"/>
        </w:rPr>
      </w:pPr>
      <w:r>
        <w:rPr>
          <w:lang w:bidi="he-IL"/>
        </w:rPr>
        <w:t>Column</w:t>
      </w:r>
      <w:r w:rsidR="0098074E">
        <w:rPr>
          <w:lang w:bidi="he-IL"/>
        </w:rPr>
        <w:t>s</w:t>
      </w:r>
      <w:r>
        <w:rPr>
          <w:lang w:bidi="he-IL"/>
        </w:rPr>
        <w:t xml:space="preserve"> </w:t>
      </w:r>
      <w:r w:rsidR="000549C2">
        <w:rPr>
          <w:lang w:bidi="he-IL"/>
        </w:rPr>
        <w:t>2</w:t>
      </w:r>
      <w:r>
        <w:rPr>
          <w:lang w:bidi="he-IL"/>
        </w:rPr>
        <w:t xml:space="preserve"> </w:t>
      </w:r>
      <w:r w:rsidR="0098074E">
        <w:rPr>
          <w:lang w:bidi="he-IL"/>
        </w:rPr>
        <w:t xml:space="preserve">and </w:t>
      </w:r>
      <w:r w:rsidR="000549C2">
        <w:rPr>
          <w:lang w:bidi="he-IL"/>
        </w:rPr>
        <w:t>4</w:t>
      </w:r>
      <w:r w:rsidR="0098074E">
        <w:rPr>
          <w:lang w:bidi="he-IL"/>
        </w:rPr>
        <w:t xml:space="preserve"> </w:t>
      </w:r>
      <w:r>
        <w:rPr>
          <w:lang w:bidi="he-IL"/>
        </w:rPr>
        <w:t xml:space="preserve">of the regression table introduce additional control variables related to clerk </w:t>
      </w:r>
      <w:r w:rsidR="00541650">
        <w:rPr>
          <w:lang w:bidi="he-IL"/>
        </w:rPr>
        <w:t xml:space="preserve">and manager </w:t>
      </w:r>
      <w:r>
        <w:rPr>
          <w:lang w:bidi="he-IL"/>
        </w:rPr>
        <w:t xml:space="preserve">demographics (race and gender) and store characteristics (i.e., store’s age, luxuriousness and whether it is private or public). The racial effect remains large </w:t>
      </w:r>
      <w:r w:rsidR="00F930E7">
        <w:rPr>
          <w:lang w:bidi="he-IL"/>
        </w:rPr>
        <w:t xml:space="preserve">and significant </w:t>
      </w:r>
      <w:r>
        <w:rPr>
          <w:lang w:bidi="he-IL"/>
        </w:rPr>
        <w:t>across these specifications. Indeed, it even becomes larger</w:t>
      </w:r>
      <w:r w:rsidRPr="00DB7A50">
        <w:rPr>
          <w:lang w:bidi="he-IL"/>
        </w:rPr>
        <w:t>.</w:t>
      </w:r>
      <w:r>
        <w:rPr>
          <w:rStyle w:val="FootnoteReference"/>
          <w:lang w:bidi="he-IL"/>
        </w:rPr>
        <w:footnoteReference w:id="64"/>
      </w:r>
      <w:r w:rsidRPr="00DB7A50">
        <w:rPr>
          <w:lang w:bidi="he-IL"/>
        </w:rPr>
        <w:t xml:space="preserve"> </w:t>
      </w:r>
    </w:p>
    <w:p w14:paraId="74DF020E" w14:textId="4141B886" w:rsidR="00E657D7" w:rsidRDefault="00E657D7" w:rsidP="00253326">
      <w:pPr>
        <w:autoSpaceDE w:val="0"/>
        <w:autoSpaceDN w:val="0"/>
        <w:adjustRightInd w:val="0"/>
        <w:ind w:firstLine="0"/>
        <w:rPr>
          <w:rFonts w:ascii="Times New Roman" w:hAnsi="Times New Roman"/>
          <w:szCs w:val="24"/>
        </w:rPr>
      </w:pPr>
    </w:p>
    <w:p w14:paraId="38A2D7C6" w14:textId="73885D36" w:rsidR="00710421" w:rsidRDefault="0002672E" w:rsidP="000E5A3F">
      <w:pPr>
        <w:autoSpaceDE w:val="0"/>
        <w:autoSpaceDN w:val="0"/>
        <w:adjustRightInd w:val="0"/>
        <w:rPr>
          <w:rFonts w:ascii="Times New Roman" w:hAnsi="Times New Roman"/>
          <w:szCs w:val="24"/>
        </w:rPr>
      </w:pPr>
      <w:r>
        <w:rPr>
          <w:rFonts w:ascii="Times New Roman" w:hAnsi="Times New Roman"/>
          <w:szCs w:val="24"/>
        </w:rPr>
        <w:t>[</w:t>
      </w:r>
      <w:r w:rsidRPr="0002672E">
        <w:rPr>
          <w:rFonts w:ascii="Times New Roman" w:hAnsi="Times New Roman"/>
          <w:i/>
          <w:iCs/>
          <w:szCs w:val="24"/>
          <w:highlight w:val="yellow"/>
        </w:rPr>
        <w:t xml:space="preserve">Table </w:t>
      </w:r>
      <w:r w:rsidR="001C71AA">
        <w:rPr>
          <w:rFonts w:ascii="Times New Roman" w:hAnsi="Times New Roman"/>
          <w:i/>
          <w:iCs/>
          <w:szCs w:val="24"/>
        </w:rPr>
        <w:t>4</w:t>
      </w:r>
      <w:r>
        <w:rPr>
          <w:rFonts w:ascii="Times New Roman" w:hAnsi="Times New Roman"/>
          <w:szCs w:val="24"/>
        </w:rPr>
        <w:t>]</w:t>
      </w:r>
    </w:p>
    <w:p w14:paraId="6FF3B394" w14:textId="77777777" w:rsidR="002324FC" w:rsidRDefault="002324FC" w:rsidP="00E657D7">
      <w:pPr>
        <w:rPr>
          <w:lang w:bidi="he-IL"/>
        </w:rPr>
      </w:pPr>
    </w:p>
    <w:p w14:paraId="6C694DC7" w14:textId="77777777" w:rsidR="00E657D7" w:rsidRDefault="00E657D7" w:rsidP="00E657D7">
      <w:pPr>
        <w:pStyle w:val="Heading2"/>
        <w:rPr>
          <w:lang w:bidi="he-IL"/>
        </w:rPr>
      </w:pPr>
      <w:r>
        <w:rPr>
          <w:lang w:bidi="he-IL"/>
        </w:rPr>
        <w:t>Discriminatory Enforcement of Return Policies</w:t>
      </w:r>
    </w:p>
    <w:p w14:paraId="1ED9AA3B" w14:textId="77777777" w:rsidR="00E657D7" w:rsidRDefault="00E657D7" w:rsidP="00E657D7">
      <w:pPr>
        <w:rPr>
          <w:lang w:bidi="he-IL"/>
        </w:rPr>
      </w:pPr>
    </w:p>
    <w:p w14:paraId="7B01BCF1" w14:textId="2261FEE1" w:rsidR="00E657D7" w:rsidRDefault="00E657D7" w:rsidP="007A5FA4">
      <w:pPr>
        <w:rPr>
          <w:lang w:bidi="he-IL"/>
        </w:rPr>
      </w:pPr>
      <w:r>
        <w:rPr>
          <w:lang w:bidi="he-IL"/>
        </w:rPr>
        <w:t xml:space="preserve">So far, </w:t>
      </w:r>
      <w:r w:rsidR="00136748">
        <w:rPr>
          <w:lang w:bidi="he-IL"/>
        </w:rPr>
        <w:t xml:space="preserve">this </w:t>
      </w:r>
      <w:r w:rsidR="000E5A3F">
        <w:rPr>
          <w:lang w:bidi="he-IL"/>
        </w:rPr>
        <w:t>analysis focused on</w:t>
      </w:r>
      <w:r>
        <w:rPr>
          <w:lang w:bidi="he-IL"/>
        </w:rPr>
        <w:t xml:space="preserve"> differences in </w:t>
      </w:r>
      <w:r w:rsidR="000E5A3F">
        <w:rPr>
          <w:lang w:bidi="he-IL"/>
        </w:rPr>
        <w:t>return</w:t>
      </w:r>
      <w:r>
        <w:rPr>
          <w:lang w:bidi="he-IL"/>
        </w:rPr>
        <w:t xml:space="preserve"> outcomes across tester groups. I now turn to explore whether sellers’ selective enforcement of their return policies systematically disadvantages </w:t>
      </w:r>
      <w:r w:rsidR="00605AE8">
        <w:rPr>
          <w:lang w:bidi="he-IL"/>
        </w:rPr>
        <w:t>consumers based on race or gender</w:t>
      </w:r>
      <w:r>
        <w:rPr>
          <w:lang w:bidi="he-IL"/>
        </w:rPr>
        <w:t xml:space="preserve">. </w:t>
      </w:r>
    </w:p>
    <w:p w14:paraId="247BCBE4" w14:textId="45CD7833" w:rsidR="00482018" w:rsidRDefault="00482018" w:rsidP="007A5FA4">
      <w:pPr>
        <w:rPr>
          <w:lang w:bidi="he-IL"/>
        </w:rPr>
      </w:pPr>
    </w:p>
    <w:p w14:paraId="065F4C7A" w14:textId="77777777" w:rsidR="0062365D" w:rsidRDefault="0062365D" w:rsidP="0062365D">
      <w:pPr>
        <w:rPr>
          <w:lang w:bidi="he-IL"/>
        </w:rPr>
      </w:pPr>
      <w:r>
        <w:rPr>
          <w:lang w:bidi="he-IL"/>
        </w:rPr>
        <w:t xml:space="preserve">Table 5 presents the main effect of testers’ race and gender on their likelihood to be </w:t>
      </w:r>
      <w:r w:rsidRPr="00187748">
        <w:rPr>
          <w:lang w:bidi="he-IL"/>
        </w:rPr>
        <w:t xml:space="preserve">treated differently compared to the store’s formal return </w:t>
      </w:r>
      <w:r w:rsidRPr="0089729F">
        <w:rPr>
          <w:lang w:bidi="he-IL"/>
        </w:rPr>
        <w:t>policy.</w:t>
      </w:r>
      <w:r>
        <w:rPr>
          <w:lang w:bidi="he-IL"/>
        </w:rPr>
        <w:t xml:space="preserve"> The dependent variable is an ordinal variable, which takes the value of “1” if a pro-consumer gap was observed, “0” if no gap was observed, and “-1” if an anti-consumer gap was observed. Columns 1 and 2 use testers’ first-stage outcomes (i.e., whether they experienced a pro-consumer gap, no gap, or an anti-consumer gap before asking to speak with a manager) as the dependent variable, while columns 3 and 4 use final-stage outcomes as the dependent variable.</w:t>
      </w:r>
    </w:p>
    <w:p w14:paraId="11059567" w14:textId="77777777" w:rsidR="0062365D" w:rsidRDefault="0062365D" w:rsidP="0062365D">
      <w:pPr>
        <w:rPr>
          <w:lang w:bidi="he-IL"/>
        </w:rPr>
      </w:pPr>
    </w:p>
    <w:p w14:paraId="1E4142EC" w14:textId="77777777" w:rsidR="0062365D" w:rsidRDefault="0062365D" w:rsidP="0062365D">
      <w:pPr>
        <w:rPr>
          <w:lang w:bidi="he-IL"/>
        </w:rPr>
      </w:pPr>
      <w:r>
        <w:rPr>
          <w:lang w:bidi="he-IL"/>
        </w:rPr>
        <w:t xml:space="preserve">Columns 2 and 4 of the regression table introduce additional control variables related to clerk and manager demographics (race and gender) and store characteristics (i.e., store’s age, luxuriousness and whether it is private or public). </w:t>
      </w:r>
    </w:p>
    <w:p w14:paraId="48B11B8B" w14:textId="77777777" w:rsidR="0062365D" w:rsidRDefault="0062365D" w:rsidP="0062365D">
      <w:pPr>
        <w:rPr>
          <w:lang w:bidi="he-IL"/>
        </w:rPr>
      </w:pPr>
    </w:p>
    <w:p w14:paraId="4D7A8C18" w14:textId="299A66D9" w:rsidR="0062365D" w:rsidRPr="001D0CF3" w:rsidRDefault="0062365D" w:rsidP="0062365D">
      <w:pPr>
        <w:rPr>
          <w:lang w:bidi="he-IL"/>
        </w:rPr>
      </w:pPr>
      <w:r w:rsidRPr="0089729F">
        <w:rPr>
          <w:lang w:bidi="he-IL"/>
        </w:rPr>
        <w:t xml:space="preserve"> </w:t>
      </w:r>
      <w:r>
        <w:rPr>
          <w:lang w:bidi="he-IL"/>
        </w:rPr>
        <w:t>As the regression table shows, both race and gender had a strong and significant effect on the likelihood to be treated differently than required by the policy.</w:t>
      </w:r>
      <w:r w:rsidR="00BB1FB7">
        <w:rPr>
          <w:rStyle w:val="FootnoteReference"/>
          <w:lang w:bidi="he-IL"/>
        </w:rPr>
        <w:footnoteReference w:id="65"/>
      </w:r>
      <w:r>
        <w:rPr>
          <w:lang w:bidi="he-IL"/>
        </w:rPr>
        <w:t xml:space="preserve"> At the initial stage, white testers were </w:t>
      </w:r>
      <w:r w:rsidR="004954DE">
        <w:rPr>
          <w:lang w:bidi="he-IL"/>
        </w:rPr>
        <w:t>9</w:t>
      </w:r>
      <w:r>
        <w:rPr>
          <w:lang w:bidi="he-IL"/>
        </w:rPr>
        <w:t xml:space="preserve">% more likely to experience a pro-consumer gap </w:t>
      </w:r>
      <w:r w:rsidR="004954DE">
        <w:rPr>
          <w:lang w:bidi="he-IL"/>
        </w:rPr>
        <w:t>(29% v. 20%) and</w:t>
      </w:r>
      <w:r>
        <w:rPr>
          <w:lang w:bidi="he-IL"/>
        </w:rPr>
        <w:t xml:space="preserve"> </w:t>
      </w:r>
      <w:r w:rsidR="004954DE">
        <w:rPr>
          <w:lang w:bidi="he-IL"/>
        </w:rPr>
        <w:t xml:space="preserve">9% less likely to experience and anti-consumer gap </w:t>
      </w:r>
      <w:r w:rsidR="005D02D7">
        <w:rPr>
          <w:lang w:bidi="he-IL"/>
        </w:rPr>
        <w:t xml:space="preserve">(21% v. 30%, </w:t>
      </w:r>
      <w:r w:rsidR="005D02D7" w:rsidRPr="000878C0">
        <w:rPr>
          <w:i/>
          <w:iCs/>
          <w:highlight w:val="yellow"/>
          <w:lang w:bidi="he-IL"/>
        </w:rPr>
        <w:t xml:space="preserve">p </w:t>
      </w:r>
      <w:r w:rsidR="005D02D7" w:rsidRPr="000878C0">
        <w:rPr>
          <w:highlight w:val="yellow"/>
          <w:lang w:bidi="he-IL"/>
        </w:rPr>
        <w:t>&lt; 0.1</w:t>
      </w:r>
      <w:r w:rsidR="005D02D7">
        <w:rPr>
          <w:lang w:bidi="he-IL"/>
        </w:rPr>
        <w:t>)</w:t>
      </w:r>
      <w:r w:rsidR="005D02D7">
        <w:rPr>
          <w:i/>
          <w:iCs/>
          <w:lang w:bidi="he-IL"/>
        </w:rPr>
        <w:t xml:space="preserve"> </w:t>
      </w:r>
      <w:r w:rsidR="005D02D7">
        <w:rPr>
          <w:lang w:bidi="he-IL"/>
        </w:rPr>
        <w:t xml:space="preserve">than were African-American testers. </w:t>
      </w:r>
      <w:r w:rsidR="00EA7962">
        <w:rPr>
          <w:lang w:bidi="he-IL"/>
        </w:rPr>
        <w:t xml:space="preserve">At the final stage, a similar pattern is observed, with </w:t>
      </w:r>
      <w:r w:rsidR="001D0CF3">
        <w:rPr>
          <w:lang w:bidi="he-IL"/>
        </w:rPr>
        <w:t xml:space="preserve">white testers 10% more likely to experience a pro-consumer gap (38% v. 28%, </w:t>
      </w:r>
      <w:r w:rsidR="001D0CF3" w:rsidRPr="000878C0">
        <w:rPr>
          <w:i/>
          <w:iCs/>
          <w:highlight w:val="yellow"/>
          <w:lang w:bidi="he-IL"/>
        </w:rPr>
        <w:t xml:space="preserve">p </w:t>
      </w:r>
      <w:r w:rsidR="001D0CF3" w:rsidRPr="000878C0">
        <w:rPr>
          <w:highlight w:val="yellow"/>
          <w:lang w:bidi="he-IL"/>
        </w:rPr>
        <w:t>&lt; 0.1</w:t>
      </w:r>
      <w:r w:rsidR="001D0CF3">
        <w:rPr>
          <w:lang w:bidi="he-IL"/>
        </w:rPr>
        <w:t xml:space="preserve">) and 7% less likely to experience an anti-consumer gap (17% v. 24%, </w:t>
      </w:r>
      <w:r w:rsidR="001D0CF3" w:rsidRPr="000878C0">
        <w:rPr>
          <w:i/>
          <w:iCs/>
          <w:highlight w:val="yellow"/>
          <w:lang w:bidi="he-IL"/>
        </w:rPr>
        <w:t xml:space="preserve">p </w:t>
      </w:r>
      <w:r w:rsidR="001D0CF3" w:rsidRPr="000878C0">
        <w:rPr>
          <w:highlight w:val="yellow"/>
          <w:lang w:bidi="he-IL"/>
        </w:rPr>
        <w:t>&lt; 0.1</w:t>
      </w:r>
      <w:r w:rsidR="001D0CF3">
        <w:rPr>
          <w:lang w:bidi="he-IL"/>
        </w:rPr>
        <w:t>) than African-American testers.</w:t>
      </w:r>
    </w:p>
    <w:p w14:paraId="7689250D" w14:textId="62589ABB" w:rsidR="0062365D" w:rsidRDefault="0062365D" w:rsidP="007A5FA4">
      <w:pPr>
        <w:rPr>
          <w:lang w:bidi="he-IL"/>
        </w:rPr>
      </w:pPr>
    </w:p>
    <w:p w14:paraId="7C34EA32" w14:textId="0EE4651C" w:rsidR="007A55AC" w:rsidRDefault="007A55AC" w:rsidP="007A5FA4">
      <w:pPr>
        <w:rPr>
          <w:lang w:bidi="he-IL"/>
        </w:rPr>
      </w:pPr>
      <w:r>
        <w:rPr>
          <w:lang w:bidi="he-IL"/>
        </w:rPr>
        <w:t xml:space="preserve">In terms of gender disparities, male testers were </w:t>
      </w:r>
      <w:r w:rsidR="00E12D5E">
        <w:rPr>
          <w:lang w:bidi="he-IL"/>
        </w:rPr>
        <w:t xml:space="preserve">12% </w:t>
      </w:r>
      <w:r>
        <w:rPr>
          <w:lang w:bidi="he-IL"/>
        </w:rPr>
        <w:t>less likely to experience a pro-consumer gap</w:t>
      </w:r>
      <w:r w:rsidR="00E12D5E">
        <w:rPr>
          <w:lang w:bidi="he-IL"/>
        </w:rPr>
        <w:t xml:space="preserve"> (18% v. 30%)</w:t>
      </w:r>
      <w:r>
        <w:rPr>
          <w:lang w:bidi="he-IL"/>
        </w:rPr>
        <w:t xml:space="preserve">, and </w:t>
      </w:r>
      <w:r w:rsidR="00E12D5E">
        <w:rPr>
          <w:lang w:bidi="he-IL"/>
        </w:rPr>
        <w:t>12% more likely to experience an anti-consumer gap, than were female testers (</w:t>
      </w:r>
      <w:r w:rsidR="00421DD0">
        <w:rPr>
          <w:lang w:bidi="he-IL"/>
        </w:rPr>
        <w:t xml:space="preserve">31% v. 19%) at the initial stage. A similar pattern is observed at the final stage, with male testers </w:t>
      </w:r>
      <w:r w:rsidR="00521DCA">
        <w:rPr>
          <w:lang w:bidi="he-IL"/>
        </w:rPr>
        <w:t xml:space="preserve">13% less likely to experience a pro-consumer gap (27% v. 40%), and 9% more likely to experience an anti-consumer gap (25% v. 16%) compared to female testers. </w:t>
      </w:r>
    </w:p>
    <w:p w14:paraId="725AF495" w14:textId="20F2E01B" w:rsidR="007A5FA4" w:rsidRDefault="007A5FA4" w:rsidP="007A5FA4">
      <w:pPr>
        <w:rPr>
          <w:lang w:bidi="he-IL"/>
        </w:rPr>
      </w:pPr>
    </w:p>
    <w:p w14:paraId="208C3F5B" w14:textId="20450EEA" w:rsidR="00995646" w:rsidRDefault="00995646" w:rsidP="007A5FA4">
      <w:pPr>
        <w:rPr>
          <w:lang w:bidi="he-IL"/>
        </w:rPr>
      </w:pPr>
      <w:r>
        <w:rPr>
          <w:lang w:bidi="he-IL"/>
        </w:rPr>
        <w:t>Figure 3. Pro-Consumer Gaps by Tester Race and Gender.</w:t>
      </w:r>
    </w:p>
    <w:p w14:paraId="4DB115DA" w14:textId="3C49AE9D" w:rsidR="00CF30F2" w:rsidRDefault="00482018" w:rsidP="007A5FA4">
      <w:pPr>
        <w:rPr>
          <w:lang w:bidi="he-IL"/>
        </w:rPr>
      </w:pPr>
      <w:r>
        <w:rPr>
          <w:noProof/>
        </w:rPr>
        <w:drawing>
          <wp:inline distT="0" distB="0" distL="0" distR="0" wp14:anchorId="0A47E470" wp14:editId="5C8CD8B2">
            <wp:extent cx="4663440" cy="3391535"/>
            <wp:effectExtent l="0" t="0" r="3810" b="0"/>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63440" cy="3391535"/>
                    </a:xfrm>
                    <a:prstGeom prst="rect">
                      <a:avLst/>
                    </a:prstGeom>
                    <a:noFill/>
                    <a:ln>
                      <a:noFill/>
                    </a:ln>
                  </pic:spPr>
                </pic:pic>
              </a:graphicData>
            </a:graphic>
          </wp:inline>
        </w:drawing>
      </w:r>
    </w:p>
    <w:p w14:paraId="71BC8D21" w14:textId="2A560C68" w:rsidR="00482018" w:rsidRDefault="00482018" w:rsidP="007A5FA4">
      <w:pPr>
        <w:rPr>
          <w:lang w:bidi="he-IL"/>
        </w:rPr>
      </w:pPr>
    </w:p>
    <w:p w14:paraId="209BF439" w14:textId="5710E033" w:rsidR="00CD375D" w:rsidRDefault="00CD375D" w:rsidP="00CD375D">
      <w:pPr>
        <w:rPr>
          <w:lang w:bidi="he-IL"/>
        </w:rPr>
      </w:pPr>
      <w:r>
        <w:rPr>
          <w:lang w:bidi="he-IL"/>
        </w:rPr>
        <w:t>Figure 4. Anti-Consumer Gaps by Tester Race and Gender.</w:t>
      </w:r>
    </w:p>
    <w:p w14:paraId="4226C613" w14:textId="19F504E1" w:rsidR="00CD375D" w:rsidRDefault="00CD375D" w:rsidP="007A5FA4">
      <w:pPr>
        <w:rPr>
          <w:lang w:bidi="he-IL"/>
        </w:rPr>
      </w:pPr>
    </w:p>
    <w:p w14:paraId="4FA89CF6" w14:textId="3D75D659" w:rsidR="00482018" w:rsidRDefault="00CD375D" w:rsidP="007A5FA4">
      <w:pPr>
        <w:rPr>
          <w:lang w:bidi="he-IL"/>
        </w:rPr>
      </w:pPr>
      <w:r>
        <w:rPr>
          <w:noProof/>
        </w:rPr>
        <w:lastRenderedPageBreak/>
        <w:drawing>
          <wp:inline distT="0" distB="0" distL="0" distR="0" wp14:anchorId="6DA3DE36" wp14:editId="7E91AFE9">
            <wp:extent cx="4663440" cy="3391535"/>
            <wp:effectExtent l="0" t="0" r="3810" b="0"/>
            <wp:docPr id="9" name="Picture 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ox and whisker char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663440" cy="3391535"/>
                    </a:xfrm>
                    <a:prstGeom prst="rect">
                      <a:avLst/>
                    </a:prstGeom>
                    <a:noFill/>
                    <a:ln>
                      <a:noFill/>
                    </a:ln>
                  </pic:spPr>
                </pic:pic>
              </a:graphicData>
            </a:graphic>
          </wp:inline>
        </w:drawing>
      </w:r>
    </w:p>
    <w:p w14:paraId="6CACFBA8" w14:textId="433F4861" w:rsidR="00CD375D" w:rsidRDefault="00CD375D" w:rsidP="007A5FA4">
      <w:pPr>
        <w:rPr>
          <w:lang w:bidi="he-IL"/>
        </w:rPr>
      </w:pPr>
    </w:p>
    <w:p w14:paraId="6DC87DE3" w14:textId="77777777" w:rsidR="00CD375D" w:rsidRDefault="00CD375D" w:rsidP="007A5FA4">
      <w:pPr>
        <w:rPr>
          <w:lang w:bidi="he-IL"/>
        </w:rPr>
      </w:pPr>
    </w:p>
    <w:tbl>
      <w:tblPr>
        <w:tblStyle w:val="TableGrid"/>
        <w:tblW w:w="7796" w:type="dxa"/>
        <w:tblLook w:val="04A0" w:firstRow="1" w:lastRow="0" w:firstColumn="1" w:lastColumn="0" w:noHBand="0" w:noVBand="1"/>
      </w:tblPr>
      <w:tblGrid>
        <w:gridCol w:w="1862"/>
        <w:gridCol w:w="1697"/>
        <w:gridCol w:w="1697"/>
        <w:gridCol w:w="1270"/>
        <w:gridCol w:w="1270"/>
      </w:tblGrid>
      <w:tr w:rsidR="006050A9" w14:paraId="1724D81E" w14:textId="77777777" w:rsidTr="00F83BD1">
        <w:tc>
          <w:tcPr>
            <w:tcW w:w="1862" w:type="dxa"/>
          </w:tcPr>
          <w:p w14:paraId="0A250A5D" w14:textId="77777777" w:rsidR="006050A9" w:rsidRDefault="006050A9" w:rsidP="006050A9">
            <w:pPr>
              <w:ind w:firstLine="0"/>
              <w:rPr>
                <w:lang w:bidi="he-IL"/>
              </w:rPr>
            </w:pPr>
          </w:p>
        </w:tc>
        <w:tc>
          <w:tcPr>
            <w:tcW w:w="3394" w:type="dxa"/>
            <w:gridSpan w:val="2"/>
          </w:tcPr>
          <w:p w14:paraId="2F1EF97C" w14:textId="3B244C1E" w:rsidR="006050A9" w:rsidRDefault="006050A9" w:rsidP="006050A9">
            <w:pPr>
              <w:ind w:firstLine="0"/>
            </w:pPr>
            <w:r>
              <w:t>First Stage</w:t>
            </w:r>
          </w:p>
        </w:tc>
        <w:tc>
          <w:tcPr>
            <w:tcW w:w="2540" w:type="dxa"/>
            <w:gridSpan w:val="2"/>
          </w:tcPr>
          <w:p w14:paraId="42BE3C87" w14:textId="1B2108B3" w:rsidR="006050A9" w:rsidRDefault="006050A9" w:rsidP="006050A9">
            <w:pPr>
              <w:ind w:firstLine="0"/>
            </w:pPr>
            <w:r>
              <w:t>Final Stage</w:t>
            </w:r>
          </w:p>
        </w:tc>
      </w:tr>
      <w:tr w:rsidR="00482018" w14:paraId="53AB07B6" w14:textId="61FB2E34" w:rsidTr="00F83BD1">
        <w:tc>
          <w:tcPr>
            <w:tcW w:w="1862" w:type="dxa"/>
          </w:tcPr>
          <w:p w14:paraId="174B5188" w14:textId="77777777" w:rsidR="00482018" w:rsidRDefault="00482018" w:rsidP="00482018">
            <w:pPr>
              <w:ind w:firstLine="0"/>
              <w:rPr>
                <w:lang w:bidi="he-IL"/>
              </w:rPr>
            </w:pPr>
          </w:p>
        </w:tc>
        <w:tc>
          <w:tcPr>
            <w:tcW w:w="1697" w:type="dxa"/>
          </w:tcPr>
          <w:p w14:paraId="3F83845B" w14:textId="1A8CAA89" w:rsidR="00482018" w:rsidRDefault="00482018" w:rsidP="00482018">
            <w:pPr>
              <w:ind w:firstLine="0"/>
              <w:rPr>
                <w:lang w:bidi="he-IL"/>
              </w:rPr>
            </w:pPr>
            <w:r>
              <w:t>Likelihood to experience a pro-consumer gap</w:t>
            </w:r>
          </w:p>
        </w:tc>
        <w:tc>
          <w:tcPr>
            <w:tcW w:w="1697" w:type="dxa"/>
          </w:tcPr>
          <w:p w14:paraId="33796882" w14:textId="2DAB2A90" w:rsidR="00482018" w:rsidRDefault="00482018" w:rsidP="00482018">
            <w:pPr>
              <w:ind w:firstLine="0"/>
              <w:rPr>
                <w:lang w:bidi="he-IL"/>
              </w:rPr>
            </w:pPr>
            <w:r>
              <w:t>Likelihood to experience an anti-consumer gap</w:t>
            </w:r>
          </w:p>
        </w:tc>
        <w:tc>
          <w:tcPr>
            <w:tcW w:w="1270" w:type="dxa"/>
          </w:tcPr>
          <w:p w14:paraId="79385786" w14:textId="137A098B" w:rsidR="00482018" w:rsidRDefault="00482018" w:rsidP="00482018">
            <w:pPr>
              <w:ind w:firstLine="0"/>
            </w:pPr>
            <w:r>
              <w:t>Likelihood to experience a pro-consumer gap</w:t>
            </w:r>
          </w:p>
        </w:tc>
        <w:tc>
          <w:tcPr>
            <w:tcW w:w="1270" w:type="dxa"/>
          </w:tcPr>
          <w:p w14:paraId="7C286CB6" w14:textId="4BCCD8CF" w:rsidR="00482018" w:rsidRDefault="00482018" w:rsidP="00482018">
            <w:pPr>
              <w:ind w:firstLine="0"/>
            </w:pPr>
            <w:r>
              <w:t>Likelihood to experience an anti-consumer gap</w:t>
            </w:r>
          </w:p>
        </w:tc>
      </w:tr>
      <w:tr w:rsidR="006050A9" w14:paraId="29491C6A" w14:textId="6D8B09A8" w:rsidTr="00F83BD1">
        <w:tc>
          <w:tcPr>
            <w:tcW w:w="1862" w:type="dxa"/>
          </w:tcPr>
          <w:p w14:paraId="6353ABB4" w14:textId="2CF4733B" w:rsidR="006050A9" w:rsidRDefault="006050A9" w:rsidP="006050A9">
            <w:pPr>
              <w:ind w:firstLine="0"/>
              <w:rPr>
                <w:lang w:bidi="he-IL"/>
              </w:rPr>
            </w:pPr>
            <w:r>
              <w:t>White females</w:t>
            </w:r>
          </w:p>
        </w:tc>
        <w:tc>
          <w:tcPr>
            <w:tcW w:w="1697" w:type="dxa"/>
          </w:tcPr>
          <w:p w14:paraId="1BEF0963" w14:textId="6CE2DC21" w:rsidR="006050A9" w:rsidRDefault="00F83BD1" w:rsidP="006050A9">
            <w:pPr>
              <w:ind w:firstLine="0"/>
              <w:rPr>
                <w:lang w:bidi="he-IL"/>
              </w:rPr>
            </w:pPr>
            <w:r>
              <w:rPr>
                <w:lang w:bidi="he-IL"/>
              </w:rPr>
              <w:t>3</w:t>
            </w:r>
            <w:r w:rsidR="00DD3D26">
              <w:rPr>
                <w:lang w:bidi="he-IL"/>
              </w:rPr>
              <w:t>5</w:t>
            </w:r>
            <w:r>
              <w:rPr>
                <w:lang w:bidi="he-IL"/>
              </w:rPr>
              <w:t>%</w:t>
            </w:r>
          </w:p>
        </w:tc>
        <w:tc>
          <w:tcPr>
            <w:tcW w:w="1697" w:type="dxa"/>
          </w:tcPr>
          <w:p w14:paraId="3C47CB25" w14:textId="7918E12C" w:rsidR="006050A9" w:rsidRDefault="00120D08" w:rsidP="006050A9">
            <w:pPr>
              <w:ind w:firstLine="0"/>
              <w:rPr>
                <w:lang w:bidi="he-IL"/>
              </w:rPr>
            </w:pPr>
            <w:r>
              <w:rPr>
                <w:lang w:bidi="he-IL"/>
              </w:rPr>
              <w:t>16%</w:t>
            </w:r>
          </w:p>
        </w:tc>
        <w:tc>
          <w:tcPr>
            <w:tcW w:w="1270" w:type="dxa"/>
          </w:tcPr>
          <w:p w14:paraId="18822365" w14:textId="03400958" w:rsidR="006050A9" w:rsidRDefault="00285E1E" w:rsidP="006050A9">
            <w:pPr>
              <w:ind w:firstLine="0"/>
              <w:rPr>
                <w:lang w:bidi="he-IL"/>
              </w:rPr>
            </w:pPr>
            <w:r>
              <w:rPr>
                <w:lang w:bidi="he-IL"/>
              </w:rPr>
              <w:t>45%</w:t>
            </w:r>
          </w:p>
        </w:tc>
        <w:tc>
          <w:tcPr>
            <w:tcW w:w="1270" w:type="dxa"/>
          </w:tcPr>
          <w:p w14:paraId="09FE5AB6" w14:textId="5B4EC356" w:rsidR="006050A9" w:rsidRDefault="00285E1E" w:rsidP="006050A9">
            <w:pPr>
              <w:ind w:firstLine="0"/>
              <w:rPr>
                <w:lang w:bidi="he-IL"/>
              </w:rPr>
            </w:pPr>
            <w:r>
              <w:rPr>
                <w:lang w:bidi="he-IL"/>
              </w:rPr>
              <w:t>13%</w:t>
            </w:r>
          </w:p>
        </w:tc>
      </w:tr>
      <w:tr w:rsidR="006050A9" w14:paraId="77AB8FCE" w14:textId="2B8460FF" w:rsidTr="00F83BD1">
        <w:tc>
          <w:tcPr>
            <w:tcW w:w="1862" w:type="dxa"/>
          </w:tcPr>
          <w:p w14:paraId="74D3DD68" w14:textId="38F56FBB" w:rsidR="006050A9" w:rsidRDefault="006050A9" w:rsidP="006050A9">
            <w:pPr>
              <w:ind w:firstLine="0"/>
              <w:rPr>
                <w:lang w:bidi="he-IL"/>
              </w:rPr>
            </w:pPr>
            <w:r>
              <w:t>White males</w:t>
            </w:r>
          </w:p>
        </w:tc>
        <w:tc>
          <w:tcPr>
            <w:tcW w:w="1697" w:type="dxa"/>
          </w:tcPr>
          <w:p w14:paraId="7EE1C2E2" w14:textId="350D0A25" w:rsidR="006050A9" w:rsidRDefault="00F83BD1" w:rsidP="006050A9">
            <w:pPr>
              <w:ind w:firstLine="0"/>
              <w:rPr>
                <w:lang w:bidi="he-IL"/>
              </w:rPr>
            </w:pPr>
            <w:r>
              <w:rPr>
                <w:lang w:bidi="he-IL"/>
              </w:rPr>
              <w:t>21%</w:t>
            </w:r>
          </w:p>
        </w:tc>
        <w:tc>
          <w:tcPr>
            <w:tcW w:w="1697" w:type="dxa"/>
          </w:tcPr>
          <w:p w14:paraId="35FE4BB8" w14:textId="75AE4375" w:rsidR="006050A9" w:rsidRDefault="00120D08" w:rsidP="006050A9">
            <w:pPr>
              <w:ind w:firstLine="0"/>
              <w:rPr>
                <w:lang w:bidi="he-IL"/>
              </w:rPr>
            </w:pPr>
            <w:r>
              <w:rPr>
                <w:lang w:bidi="he-IL"/>
              </w:rPr>
              <w:t>27%</w:t>
            </w:r>
          </w:p>
        </w:tc>
        <w:tc>
          <w:tcPr>
            <w:tcW w:w="1270" w:type="dxa"/>
          </w:tcPr>
          <w:p w14:paraId="4DDEB73F" w14:textId="4054461D" w:rsidR="006050A9" w:rsidRDefault="00285E1E" w:rsidP="006050A9">
            <w:pPr>
              <w:ind w:firstLine="0"/>
              <w:rPr>
                <w:lang w:bidi="he-IL"/>
              </w:rPr>
            </w:pPr>
            <w:r>
              <w:rPr>
                <w:lang w:bidi="he-IL"/>
              </w:rPr>
              <w:t>30%</w:t>
            </w:r>
          </w:p>
        </w:tc>
        <w:tc>
          <w:tcPr>
            <w:tcW w:w="1270" w:type="dxa"/>
          </w:tcPr>
          <w:p w14:paraId="1089DC06" w14:textId="75BD3D65" w:rsidR="006050A9" w:rsidRDefault="00285E1E" w:rsidP="006050A9">
            <w:pPr>
              <w:ind w:firstLine="0"/>
              <w:rPr>
                <w:lang w:bidi="he-IL"/>
              </w:rPr>
            </w:pPr>
            <w:r>
              <w:rPr>
                <w:lang w:bidi="he-IL"/>
              </w:rPr>
              <w:t>22%</w:t>
            </w:r>
          </w:p>
        </w:tc>
      </w:tr>
      <w:tr w:rsidR="006050A9" w14:paraId="55C2C015" w14:textId="54EAB6A0" w:rsidTr="00F83BD1">
        <w:tc>
          <w:tcPr>
            <w:tcW w:w="1862" w:type="dxa"/>
          </w:tcPr>
          <w:p w14:paraId="0BB8DA5C" w14:textId="3ACC35D8" w:rsidR="006050A9" w:rsidRDefault="006050A9" w:rsidP="006050A9">
            <w:pPr>
              <w:ind w:firstLine="0"/>
              <w:rPr>
                <w:lang w:bidi="he-IL"/>
              </w:rPr>
            </w:pPr>
            <w:r>
              <w:t>African-American females</w:t>
            </w:r>
          </w:p>
        </w:tc>
        <w:tc>
          <w:tcPr>
            <w:tcW w:w="1697" w:type="dxa"/>
          </w:tcPr>
          <w:p w14:paraId="4D9DAD19" w14:textId="2469E585" w:rsidR="006050A9" w:rsidRDefault="00F83BD1" w:rsidP="006050A9">
            <w:pPr>
              <w:ind w:firstLine="0"/>
              <w:rPr>
                <w:lang w:bidi="he-IL"/>
              </w:rPr>
            </w:pPr>
            <w:r>
              <w:rPr>
                <w:lang w:bidi="he-IL"/>
              </w:rPr>
              <w:t>24%</w:t>
            </w:r>
          </w:p>
        </w:tc>
        <w:tc>
          <w:tcPr>
            <w:tcW w:w="1697" w:type="dxa"/>
          </w:tcPr>
          <w:p w14:paraId="35068255" w14:textId="3BFC6AB4" w:rsidR="006050A9" w:rsidRDefault="00120D08" w:rsidP="006050A9">
            <w:pPr>
              <w:ind w:firstLine="0"/>
              <w:rPr>
                <w:lang w:bidi="he-IL"/>
              </w:rPr>
            </w:pPr>
            <w:r>
              <w:rPr>
                <w:lang w:bidi="he-IL"/>
              </w:rPr>
              <w:t>24%</w:t>
            </w:r>
          </w:p>
        </w:tc>
        <w:tc>
          <w:tcPr>
            <w:tcW w:w="1270" w:type="dxa"/>
          </w:tcPr>
          <w:p w14:paraId="758B04E0" w14:textId="1B5F1692" w:rsidR="006050A9" w:rsidRDefault="00285E1E" w:rsidP="006050A9">
            <w:pPr>
              <w:ind w:firstLine="0"/>
              <w:rPr>
                <w:lang w:bidi="he-IL"/>
              </w:rPr>
            </w:pPr>
            <w:r>
              <w:rPr>
                <w:lang w:bidi="he-IL"/>
              </w:rPr>
              <w:t>32%</w:t>
            </w:r>
          </w:p>
        </w:tc>
        <w:tc>
          <w:tcPr>
            <w:tcW w:w="1270" w:type="dxa"/>
          </w:tcPr>
          <w:p w14:paraId="4B6D0C90" w14:textId="1D39A698" w:rsidR="006050A9" w:rsidRDefault="00285E1E" w:rsidP="006050A9">
            <w:pPr>
              <w:ind w:firstLine="0"/>
              <w:rPr>
                <w:lang w:bidi="he-IL"/>
              </w:rPr>
            </w:pPr>
            <w:r>
              <w:rPr>
                <w:lang w:bidi="he-IL"/>
              </w:rPr>
              <w:t>20%</w:t>
            </w:r>
          </w:p>
        </w:tc>
      </w:tr>
      <w:tr w:rsidR="006050A9" w14:paraId="79DFF8FF" w14:textId="01BF2569" w:rsidTr="00F83BD1">
        <w:tc>
          <w:tcPr>
            <w:tcW w:w="1862" w:type="dxa"/>
          </w:tcPr>
          <w:p w14:paraId="2B4FD13A" w14:textId="473A824D" w:rsidR="006050A9" w:rsidRDefault="006050A9" w:rsidP="006050A9">
            <w:pPr>
              <w:ind w:firstLine="0"/>
              <w:rPr>
                <w:lang w:bidi="he-IL"/>
              </w:rPr>
            </w:pPr>
            <w:r>
              <w:t>African-American males</w:t>
            </w:r>
          </w:p>
        </w:tc>
        <w:tc>
          <w:tcPr>
            <w:tcW w:w="1697" w:type="dxa"/>
          </w:tcPr>
          <w:p w14:paraId="301A719E" w14:textId="30E84DD7" w:rsidR="006050A9" w:rsidRDefault="00F83BD1" w:rsidP="006050A9">
            <w:pPr>
              <w:ind w:firstLine="0"/>
              <w:rPr>
                <w:lang w:bidi="he-IL"/>
              </w:rPr>
            </w:pPr>
            <w:r>
              <w:rPr>
                <w:lang w:bidi="he-IL"/>
              </w:rPr>
              <w:t>15%</w:t>
            </w:r>
          </w:p>
        </w:tc>
        <w:tc>
          <w:tcPr>
            <w:tcW w:w="1697" w:type="dxa"/>
          </w:tcPr>
          <w:p w14:paraId="0185822F" w14:textId="6E4EC162" w:rsidR="006050A9" w:rsidRDefault="00120D08" w:rsidP="006050A9">
            <w:pPr>
              <w:ind w:firstLine="0"/>
              <w:rPr>
                <w:lang w:bidi="he-IL"/>
              </w:rPr>
            </w:pPr>
            <w:r>
              <w:rPr>
                <w:lang w:bidi="he-IL"/>
              </w:rPr>
              <w:t>36%</w:t>
            </w:r>
          </w:p>
        </w:tc>
        <w:tc>
          <w:tcPr>
            <w:tcW w:w="1270" w:type="dxa"/>
          </w:tcPr>
          <w:p w14:paraId="4CD7E67D" w14:textId="1FA85054" w:rsidR="006050A9" w:rsidRDefault="00285E1E" w:rsidP="006050A9">
            <w:pPr>
              <w:ind w:firstLine="0"/>
              <w:rPr>
                <w:lang w:bidi="he-IL"/>
              </w:rPr>
            </w:pPr>
            <w:r>
              <w:rPr>
                <w:lang w:bidi="he-IL"/>
              </w:rPr>
              <w:t>24%</w:t>
            </w:r>
          </w:p>
        </w:tc>
        <w:tc>
          <w:tcPr>
            <w:tcW w:w="1270" w:type="dxa"/>
          </w:tcPr>
          <w:p w14:paraId="1D0AE259" w14:textId="509E37FE" w:rsidR="006050A9" w:rsidRDefault="00285E1E" w:rsidP="006050A9">
            <w:pPr>
              <w:ind w:firstLine="0"/>
              <w:rPr>
                <w:lang w:bidi="he-IL"/>
              </w:rPr>
            </w:pPr>
            <w:r>
              <w:rPr>
                <w:lang w:bidi="he-IL"/>
              </w:rPr>
              <w:t>28%</w:t>
            </w:r>
          </w:p>
        </w:tc>
      </w:tr>
    </w:tbl>
    <w:p w14:paraId="07F8DB8A" w14:textId="710AEC2F" w:rsidR="00EE4ACF" w:rsidRDefault="00EE4ACF" w:rsidP="007A5FA4">
      <w:pPr>
        <w:rPr>
          <w:lang w:bidi="he-IL"/>
        </w:rPr>
      </w:pPr>
    </w:p>
    <w:p w14:paraId="23CB77DD" w14:textId="77777777" w:rsidR="003D7738" w:rsidRDefault="003D7738" w:rsidP="008C6A7D">
      <w:pPr>
        <w:ind w:firstLine="0"/>
        <w:rPr>
          <w:lang w:bidi="he-IL"/>
        </w:rPr>
      </w:pPr>
    </w:p>
    <w:p w14:paraId="4935EA0A" w14:textId="71B021F6" w:rsidR="00930A0C" w:rsidRDefault="00E25B24" w:rsidP="00930A0C">
      <w:pPr>
        <w:rPr>
          <w:lang w:bidi="he-IL"/>
        </w:rPr>
      </w:pPr>
      <w:r>
        <w:rPr>
          <w:lang w:bidi="he-IL"/>
        </w:rPr>
        <w:t xml:space="preserve">As Figures 3 </w:t>
      </w:r>
      <w:r w:rsidRPr="00CD375D">
        <w:rPr>
          <w:lang w:bidi="he-IL"/>
        </w:rPr>
        <w:t>and 4 show</w:t>
      </w:r>
      <w:r>
        <w:rPr>
          <w:lang w:bidi="he-IL"/>
        </w:rPr>
        <w:t xml:space="preserve">, there are significant racial and gender differences in testers’ likelihood to experience both </w:t>
      </w:r>
      <w:r w:rsidRPr="00222CAD">
        <w:rPr>
          <w:i/>
          <w:iCs/>
          <w:lang w:bidi="he-IL"/>
        </w:rPr>
        <w:t>more</w:t>
      </w:r>
      <w:r>
        <w:rPr>
          <w:lang w:bidi="he-IL"/>
        </w:rPr>
        <w:t xml:space="preserve"> and </w:t>
      </w:r>
      <w:r>
        <w:rPr>
          <w:i/>
          <w:iCs/>
          <w:lang w:bidi="he-IL"/>
        </w:rPr>
        <w:t>less</w:t>
      </w:r>
      <w:r>
        <w:rPr>
          <w:lang w:bidi="he-IL"/>
        </w:rPr>
        <w:t xml:space="preserve"> favorable treatments than dictated by the formal policy.</w:t>
      </w:r>
      <w:r>
        <w:rPr>
          <w:rStyle w:val="FootnoteReference"/>
          <w:lang w:bidi="he-IL"/>
        </w:rPr>
        <w:footnoteReference w:id="66"/>
      </w:r>
      <w:r>
        <w:rPr>
          <w:lang w:bidi="he-IL"/>
        </w:rPr>
        <w:t xml:space="preserve"> </w:t>
      </w:r>
      <w:r w:rsidR="00930A0C">
        <w:rPr>
          <w:lang w:bidi="he-IL"/>
        </w:rPr>
        <w:t xml:space="preserve">White testers are both more </w:t>
      </w:r>
      <w:r w:rsidR="00930A0C">
        <w:rPr>
          <w:lang w:bidi="he-IL"/>
        </w:rPr>
        <w:lastRenderedPageBreak/>
        <w:t xml:space="preserve">likely to receive a more lenient treatment than required by the policy and less likely to experience a less favorable treatment than the policy allows, compared to African-American testers. Similarly, female testers are both more likely to receive a more lenient treatment than required by the policy and less likely to experience a less favorable treatment than the policy allows, compared to male testers. </w:t>
      </w:r>
    </w:p>
    <w:p w14:paraId="0D13DE2B" w14:textId="77777777" w:rsidR="00930A0C" w:rsidRPr="00DB7A50" w:rsidRDefault="00930A0C" w:rsidP="00930A0C">
      <w:pPr>
        <w:rPr>
          <w:lang w:bidi="he-IL"/>
        </w:rPr>
      </w:pPr>
    </w:p>
    <w:p w14:paraId="1B255C68" w14:textId="34606930" w:rsidR="00E657D7" w:rsidRDefault="008C6A7D" w:rsidP="008D36F2">
      <w:pPr>
        <w:rPr>
          <w:lang w:bidi="he-IL"/>
        </w:rPr>
      </w:pPr>
      <w:r>
        <w:rPr>
          <w:lang w:bidi="he-IL"/>
        </w:rPr>
        <w:t xml:space="preserve">The most striking difference is observed, once again, when comparing white females to African-American males. </w:t>
      </w:r>
      <w:r w:rsidR="00CA60E8">
        <w:rPr>
          <w:lang w:bidi="he-IL"/>
        </w:rPr>
        <w:t>At the initial stage, w</w:t>
      </w:r>
      <w:r w:rsidR="00E657D7">
        <w:rPr>
          <w:lang w:bidi="he-IL"/>
        </w:rPr>
        <w:t xml:space="preserve">hite female testers are more than twice as likely to experience a pro-consumer gap as African-American male testers (35% </w:t>
      </w:r>
      <w:r>
        <w:rPr>
          <w:lang w:bidi="he-IL"/>
        </w:rPr>
        <w:t>v.</w:t>
      </w:r>
      <w:r w:rsidR="00E657D7">
        <w:rPr>
          <w:lang w:bidi="he-IL"/>
        </w:rPr>
        <w:t xml:space="preserve"> 15%)</w:t>
      </w:r>
      <w:r w:rsidR="00A65676">
        <w:rPr>
          <w:lang w:bidi="he-IL"/>
        </w:rPr>
        <w:t xml:space="preserve"> and more than twice less likely to experience an anti-consumer gap (16% v. 36%)</w:t>
      </w:r>
      <w:r w:rsidR="00E657D7">
        <w:rPr>
          <w:lang w:bidi="he-IL"/>
        </w:rPr>
        <w:t>.</w:t>
      </w:r>
      <w:r w:rsidR="00E657D7">
        <w:rPr>
          <w:rStyle w:val="FootnoteReference"/>
          <w:lang w:bidi="he-IL"/>
        </w:rPr>
        <w:footnoteReference w:id="67"/>
      </w:r>
      <w:r w:rsidR="00E657D7">
        <w:rPr>
          <w:lang w:bidi="he-IL"/>
        </w:rPr>
        <w:t xml:space="preserve">  </w:t>
      </w:r>
      <w:r w:rsidR="00041093" w:rsidRPr="00F83197">
        <w:rPr>
          <w:lang w:bidi="he-IL"/>
        </w:rPr>
        <w:t>Similar differences remain when looking at final-stage outcomes</w:t>
      </w:r>
      <w:r w:rsidR="0049643F">
        <w:rPr>
          <w:lang w:bidi="he-IL"/>
        </w:rPr>
        <w:t xml:space="preserve"> (</w:t>
      </w:r>
      <w:r w:rsidR="00A65676">
        <w:rPr>
          <w:lang w:bidi="he-IL"/>
        </w:rPr>
        <w:t>45% v. 32% for pro-consumer gaps, 13% v. 28% for anti-consumer gaps)</w:t>
      </w:r>
      <w:r w:rsidR="00041093" w:rsidRPr="00F83197">
        <w:rPr>
          <w:lang w:bidi="he-IL"/>
        </w:rPr>
        <w:t>.</w:t>
      </w:r>
      <w:r w:rsidR="00041093" w:rsidRPr="00F83197">
        <w:rPr>
          <w:rStyle w:val="FootnoteReference"/>
          <w:lang w:bidi="he-IL"/>
        </w:rPr>
        <w:footnoteReference w:id="68"/>
      </w:r>
      <w:r w:rsidR="00995646">
        <w:rPr>
          <w:lang w:bidi="he-IL"/>
        </w:rPr>
        <w:t xml:space="preserve"> </w:t>
      </w:r>
      <w:r w:rsidR="007D3C4C" w:rsidRPr="003F0F2C">
        <w:rPr>
          <w:lang w:bidi="he-IL"/>
        </w:rPr>
        <w:t>The racial effect remains large</w:t>
      </w:r>
      <w:r w:rsidR="007D3C4C">
        <w:rPr>
          <w:lang w:bidi="he-IL"/>
        </w:rPr>
        <w:t xml:space="preserve"> and significant</w:t>
      </w:r>
      <w:r w:rsidR="007D3C4C" w:rsidRPr="003F0F2C">
        <w:rPr>
          <w:lang w:bidi="he-IL"/>
        </w:rPr>
        <w:t xml:space="preserve"> </w:t>
      </w:r>
      <w:r w:rsidR="007D3C4C">
        <w:rPr>
          <w:lang w:bidi="he-IL"/>
        </w:rPr>
        <w:t>with and without controls</w:t>
      </w:r>
      <w:r w:rsidR="007D3C4C" w:rsidRPr="003F0F2C">
        <w:rPr>
          <w:lang w:bidi="he-IL"/>
        </w:rPr>
        <w:t>.</w:t>
      </w:r>
      <w:r w:rsidR="007D3C4C">
        <w:rPr>
          <w:rStyle w:val="FootnoteReference"/>
          <w:lang w:bidi="he-IL"/>
        </w:rPr>
        <w:footnoteReference w:id="69"/>
      </w:r>
    </w:p>
    <w:p w14:paraId="56825F81" w14:textId="0A34958B" w:rsidR="001E3AC3" w:rsidRDefault="001E3AC3" w:rsidP="00E6393A">
      <w:pPr>
        <w:ind w:firstLine="0"/>
        <w:rPr>
          <w:lang w:bidi="he-IL"/>
        </w:rPr>
      </w:pPr>
    </w:p>
    <w:p w14:paraId="305F1836" w14:textId="0A45905B" w:rsidR="001E3AC3" w:rsidRDefault="00E6393A" w:rsidP="00E6393A">
      <w:pPr>
        <w:pStyle w:val="FootNote0"/>
        <w:rPr>
          <w:lang w:bidi="he-IL"/>
        </w:rPr>
      </w:pPr>
      <w:r w:rsidRPr="00320B29">
        <w:rPr>
          <w:i/>
          <w:iCs/>
          <w:highlight w:val="yellow"/>
          <w:lang w:bidi="he-IL"/>
        </w:rPr>
        <w:t xml:space="preserve">Table </w:t>
      </w:r>
      <w:r>
        <w:rPr>
          <w:i/>
          <w:iCs/>
          <w:highlight w:val="yellow"/>
          <w:lang w:bidi="he-IL"/>
        </w:rPr>
        <w:t>5</w:t>
      </w:r>
      <w:r w:rsidRPr="00320B29">
        <w:rPr>
          <w:i/>
          <w:iCs/>
          <w:highlight w:val="yellow"/>
          <w:lang w:bidi="he-IL"/>
        </w:rPr>
        <w:t xml:space="preserve">. </w:t>
      </w:r>
      <w:r w:rsidRPr="00320B29">
        <w:rPr>
          <w:highlight w:val="yellow"/>
          <w:lang w:bidi="he-IL"/>
        </w:rPr>
        <w:t>Regressions of Initial and Final Gaps on Tester Race and Gende</w:t>
      </w:r>
      <w:r>
        <w:rPr>
          <w:lang w:bidi="he-IL"/>
        </w:rPr>
        <w:t>r</w:t>
      </w:r>
    </w:p>
    <w:p w14:paraId="20D12DFE" w14:textId="13DE3E52" w:rsidR="001E3AC3" w:rsidRDefault="001E3AC3" w:rsidP="00E657D7">
      <w:pPr>
        <w:rPr>
          <w:lang w:bidi="he-IL"/>
        </w:rPr>
      </w:pPr>
    </w:p>
    <w:p w14:paraId="5009897C" w14:textId="18EC2EA5" w:rsidR="001E3AC3" w:rsidRDefault="001E3AC3" w:rsidP="00E657D7">
      <w:pPr>
        <w:rPr>
          <w:lang w:bidi="he-IL"/>
        </w:rPr>
      </w:pPr>
    </w:p>
    <w:p w14:paraId="14FEE0D9" w14:textId="77777777" w:rsidR="00083099" w:rsidRDefault="00083099" w:rsidP="00E6393A">
      <w:pPr>
        <w:ind w:firstLine="0"/>
        <w:rPr>
          <w:lang w:bidi="he-IL"/>
        </w:rPr>
        <w:sectPr w:rsidR="00083099" w:rsidSect="00E6393A">
          <w:headerReference w:type="even" r:id="rId13"/>
          <w:headerReference w:type="default" r:id="rId14"/>
          <w:pgSz w:w="12240" w:h="15840" w:code="1"/>
          <w:pgMar w:top="2016" w:right="2448" w:bottom="2016" w:left="2448" w:header="1512" w:footer="0" w:gutter="0"/>
          <w:cols w:space="720"/>
          <w:titlePg/>
          <w:docGrid w:linePitch="326"/>
        </w:sectPr>
      </w:pPr>
    </w:p>
    <w:p w14:paraId="7517E415" w14:textId="77777777" w:rsidR="001E3AC3" w:rsidRDefault="001E3AC3" w:rsidP="00E657D7">
      <w:pPr>
        <w:pStyle w:val="FootNote0"/>
        <w:rPr>
          <w:lang w:bidi="he-IL"/>
        </w:rPr>
        <w:sectPr w:rsidR="001E3AC3" w:rsidSect="00E6393A">
          <w:pgSz w:w="12240" w:h="15840" w:code="1"/>
          <w:pgMar w:top="2016" w:right="2448" w:bottom="2016" w:left="2448" w:header="1512" w:footer="0" w:gutter="0"/>
          <w:cols w:space="720"/>
          <w:titlePg/>
          <w:docGrid w:linePitch="326"/>
        </w:sectPr>
      </w:pPr>
    </w:p>
    <w:p w14:paraId="15C78E1A" w14:textId="77777777" w:rsidR="00E657D7" w:rsidRDefault="00E657D7" w:rsidP="00E657D7">
      <w:pPr>
        <w:ind w:firstLine="0"/>
        <w:rPr>
          <w:lang w:bidi="he-IL"/>
        </w:rPr>
      </w:pPr>
    </w:p>
    <w:p w14:paraId="23A34135" w14:textId="77777777" w:rsidR="00E657D7" w:rsidRDefault="00E657D7" w:rsidP="00E657D7">
      <w:pPr>
        <w:rPr>
          <w:lang w:bidi="he-IL"/>
        </w:rPr>
      </w:pPr>
    </w:p>
    <w:p w14:paraId="1F30B563" w14:textId="77777777" w:rsidR="00E657D7" w:rsidRDefault="00E657D7" w:rsidP="00E657D7">
      <w:pPr>
        <w:pStyle w:val="Heading2"/>
        <w:rPr>
          <w:lang w:bidi="he-IL"/>
        </w:rPr>
      </w:pPr>
      <w:r>
        <w:rPr>
          <w:lang w:bidi="he-IL"/>
        </w:rPr>
        <w:t>Likelihood to Speak with a Manager</w:t>
      </w:r>
    </w:p>
    <w:p w14:paraId="2AAB5B87" w14:textId="77777777" w:rsidR="00E657D7" w:rsidRDefault="00E657D7" w:rsidP="00E657D7">
      <w:pPr>
        <w:rPr>
          <w:lang w:bidi="he-IL"/>
        </w:rPr>
      </w:pPr>
    </w:p>
    <w:p w14:paraId="0AE3053D" w14:textId="09D61BD0" w:rsidR="00E657D7" w:rsidRDefault="00E657D7" w:rsidP="00E657D7">
      <w:pPr>
        <w:rPr>
          <w:lang w:bidi="he-IL"/>
        </w:rPr>
      </w:pPr>
      <w:r w:rsidRPr="0063520C">
        <w:rPr>
          <w:lang w:bidi="he-IL"/>
        </w:rPr>
        <w:t>Recall that testers were instructed to ask to speak with a manager if denied a refund</w:t>
      </w:r>
      <w:r>
        <w:rPr>
          <w:lang w:bidi="he-IL"/>
        </w:rPr>
        <w:t xml:space="preserve"> at the initial stage. The findings reveal large and significant racial and gender differences in likelihood to see a manager upon request. As Figure 6 shows, white female testers are 69% likely to see a manager, white males—96% likely, African-American females—42% likely, and African-American males—72% likely.</w:t>
      </w:r>
      <w:r>
        <w:rPr>
          <w:rStyle w:val="FootnoteReference"/>
          <w:lang w:bidi="he-IL"/>
        </w:rPr>
        <w:footnoteReference w:id="70"/>
      </w:r>
      <w:r>
        <w:rPr>
          <w:lang w:bidi="he-IL"/>
        </w:rPr>
        <w:t xml:space="preserve"> </w:t>
      </w:r>
      <w:r w:rsidRPr="006D06D2">
        <w:rPr>
          <w:lang w:bidi="he-IL"/>
        </w:rPr>
        <w:t xml:space="preserve">Both racial and gender gaps are strikingly large, with females </w:t>
      </w:r>
      <w:r w:rsidR="00BD0E01">
        <w:rPr>
          <w:lang w:bidi="he-IL"/>
        </w:rPr>
        <w:t>26</w:t>
      </w:r>
      <w:r w:rsidRPr="006D06D2">
        <w:rPr>
          <w:lang w:bidi="he-IL"/>
        </w:rPr>
        <w:t>% less likely to  speak with a manager upon request (controlling for race) than males</w:t>
      </w:r>
      <w:r w:rsidR="00284AB6">
        <w:rPr>
          <w:lang w:bidi="he-IL"/>
        </w:rPr>
        <w:t xml:space="preserve"> (</w:t>
      </w:r>
      <w:r w:rsidR="00284AB6">
        <w:rPr>
          <w:i/>
          <w:iCs/>
          <w:lang w:bidi="he-IL"/>
        </w:rPr>
        <w:t xml:space="preserve">p </w:t>
      </w:r>
      <w:r w:rsidR="00284AB6">
        <w:rPr>
          <w:lang w:bidi="he-IL"/>
        </w:rPr>
        <w:t>&lt; 0.001)</w:t>
      </w:r>
      <w:r w:rsidRPr="006D06D2">
        <w:rPr>
          <w:lang w:bidi="he-IL"/>
        </w:rPr>
        <w:t>, and African-Americans roughly 2</w:t>
      </w:r>
      <w:r w:rsidR="00AA542C">
        <w:rPr>
          <w:lang w:bidi="he-IL"/>
        </w:rPr>
        <w:t>3</w:t>
      </w:r>
      <w:r w:rsidRPr="006D06D2">
        <w:rPr>
          <w:lang w:bidi="he-IL"/>
        </w:rPr>
        <w:t xml:space="preserve">% less likely to speak with a manager upon request (controlling for gender) than </w:t>
      </w:r>
      <w:r w:rsidR="00284AB6">
        <w:rPr>
          <w:lang w:bidi="he-IL"/>
        </w:rPr>
        <w:t>w</w:t>
      </w:r>
      <w:r w:rsidRPr="006D06D2">
        <w:rPr>
          <w:lang w:bidi="he-IL"/>
        </w:rPr>
        <w:t>hites</w:t>
      </w:r>
      <w:r w:rsidR="00284AB6">
        <w:rPr>
          <w:lang w:bidi="he-IL"/>
        </w:rPr>
        <w:t xml:space="preserve"> (</w:t>
      </w:r>
      <w:r w:rsidR="00284AB6">
        <w:rPr>
          <w:i/>
          <w:iCs/>
          <w:lang w:bidi="he-IL"/>
        </w:rPr>
        <w:t xml:space="preserve">p </w:t>
      </w:r>
      <w:r w:rsidR="00284AB6">
        <w:rPr>
          <w:lang w:bidi="he-IL"/>
        </w:rPr>
        <w:t>&lt; 0.001)</w:t>
      </w:r>
      <w:r w:rsidRPr="006D06D2">
        <w:rPr>
          <w:lang w:bidi="he-IL"/>
        </w:rPr>
        <w:t xml:space="preserve">. </w:t>
      </w:r>
    </w:p>
    <w:p w14:paraId="424CBBAB" w14:textId="77777777" w:rsidR="00E657D7" w:rsidRDefault="00E657D7" w:rsidP="00E657D7">
      <w:pPr>
        <w:rPr>
          <w:lang w:bidi="he-IL"/>
        </w:rPr>
      </w:pPr>
    </w:p>
    <w:p w14:paraId="14C8660A" w14:textId="00F32C18" w:rsidR="00E657D7" w:rsidRDefault="00E657D7" w:rsidP="00E657D7">
      <w:pPr>
        <w:rPr>
          <w:lang w:bidi="he-IL"/>
        </w:rPr>
      </w:pPr>
      <w:r>
        <w:rPr>
          <w:lang w:bidi="he-IL"/>
        </w:rPr>
        <w:t>As Figure 7 shows, there are also significant racial differences in likelihood to obtain an improved outcome conditional on speaking with a manager</w:t>
      </w:r>
      <w:r w:rsidR="00DB4E64">
        <w:rPr>
          <w:lang w:bidi="he-IL"/>
        </w:rPr>
        <w:t xml:space="preserve">, with white testers </w:t>
      </w:r>
      <w:r w:rsidR="007833A2">
        <w:rPr>
          <w:lang w:bidi="he-IL"/>
        </w:rPr>
        <w:t>15% more likely to obtain an improved outcome than African-American testers (</w:t>
      </w:r>
      <w:r w:rsidR="007833A2">
        <w:rPr>
          <w:i/>
          <w:iCs/>
          <w:lang w:bidi="he-IL"/>
        </w:rPr>
        <w:t xml:space="preserve">p </w:t>
      </w:r>
      <w:r w:rsidR="007833A2">
        <w:rPr>
          <w:lang w:bidi="he-IL"/>
        </w:rPr>
        <w:t xml:space="preserve">&lt; 0.1). </w:t>
      </w:r>
      <w:r>
        <w:rPr>
          <w:lang w:bidi="he-IL"/>
        </w:rPr>
        <w:t xml:space="preserve">White females </w:t>
      </w:r>
      <w:r w:rsidR="006724DC">
        <w:rPr>
          <w:lang w:bidi="he-IL"/>
        </w:rPr>
        <w:t>were</w:t>
      </w:r>
      <w:r>
        <w:rPr>
          <w:lang w:bidi="he-IL"/>
        </w:rPr>
        <w:t xml:space="preserve"> 32% likely to obtain an improved outcome, white males—35% likely, African-American females—only 12% likely, and African-American males—only 22% likely. Among African-American testers, female testers were roughly 45% less likely to obtain a better outcome upon speaking with a manager. </w:t>
      </w:r>
    </w:p>
    <w:p w14:paraId="66FF5C15" w14:textId="77777777" w:rsidR="00E657D7" w:rsidRDefault="00E657D7" w:rsidP="00E657D7">
      <w:pPr>
        <w:rPr>
          <w:lang w:bidi="he-IL"/>
        </w:rPr>
      </w:pPr>
    </w:p>
    <w:p w14:paraId="6D7C7249" w14:textId="77777777" w:rsidR="00E657D7" w:rsidRDefault="00E657D7" w:rsidP="00E657D7">
      <w:pPr>
        <w:ind w:firstLine="0"/>
        <w:rPr>
          <w:lang w:bidi="he-IL"/>
        </w:rPr>
      </w:pPr>
    </w:p>
    <w:p w14:paraId="5A39407F" w14:textId="4558699D" w:rsidR="00E657D7" w:rsidRPr="00FA6AF4" w:rsidRDefault="00E657D7" w:rsidP="00E657D7">
      <w:pPr>
        <w:pStyle w:val="FootNote0"/>
        <w:rPr>
          <w:lang w:bidi="he-IL"/>
        </w:rPr>
      </w:pPr>
      <w:r w:rsidRPr="005D41D7">
        <w:rPr>
          <w:i/>
          <w:iCs/>
          <w:highlight w:val="yellow"/>
        </w:rPr>
        <w:t xml:space="preserve">Table </w:t>
      </w:r>
      <w:r w:rsidR="005D41D7" w:rsidRPr="005D41D7">
        <w:rPr>
          <w:i/>
          <w:iCs/>
          <w:highlight w:val="yellow"/>
        </w:rPr>
        <w:t>6</w:t>
      </w:r>
      <w:r w:rsidRPr="005D41D7">
        <w:rPr>
          <w:i/>
          <w:iCs/>
          <w:highlight w:val="yellow"/>
        </w:rPr>
        <w:t xml:space="preserve">. </w:t>
      </w:r>
      <w:r w:rsidRPr="005D41D7">
        <w:rPr>
          <w:highlight w:val="yellow"/>
        </w:rPr>
        <w:t>Regressions of Likelihood to See Manager on Tester Race and Gender</w:t>
      </w:r>
    </w:p>
    <w:p w14:paraId="4CD26B85" w14:textId="77777777" w:rsidR="00E657D7" w:rsidRDefault="00E657D7" w:rsidP="00E657D7">
      <w:pPr>
        <w:autoSpaceDE w:val="0"/>
        <w:autoSpaceDN w:val="0"/>
        <w:adjustRightInd w:val="0"/>
        <w:rPr>
          <w:rFonts w:ascii="Times New Roman" w:hAnsi="Times New Roman"/>
          <w:szCs w:val="24"/>
        </w:rPr>
      </w:pPr>
    </w:p>
    <w:p w14:paraId="3F73B983" w14:textId="77777777" w:rsidR="00E657D7" w:rsidRDefault="00E657D7" w:rsidP="00E657D7">
      <w:pPr>
        <w:rPr>
          <w:lang w:bidi="he-IL"/>
        </w:rPr>
      </w:pPr>
    </w:p>
    <w:p w14:paraId="55A0BB84" w14:textId="77777777" w:rsidR="00E657D7" w:rsidRDefault="00E657D7" w:rsidP="00E657D7">
      <w:pPr>
        <w:rPr>
          <w:lang w:bidi="he-IL"/>
        </w:rPr>
      </w:pPr>
    </w:p>
    <w:p w14:paraId="1246AA7F" w14:textId="77777777" w:rsidR="00E657D7" w:rsidRDefault="00E657D7" w:rsidP="00E657D7">
      <w:pPr>
        <w:rPr>
          <w:lang w:bidi="he-IL"/>
        </w:rPr>
      </w:pPr>
      <w:r>
        <w:rPr>
          <w:noProof/>
          <w:lang w:bidi="he-IL"/>
        </w:rPr>
        <w:lastRenderedPageBreak/>
        <w:drawing>
          <wp:inline distT="0" distB="0" distL="0" distR="0" wp14:anchorId="06A200C0" wp14:editId="100386DE">
            <wp:extent cx="4663440" cy="339217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63440" cy="3392170"/>
                    </a:xfrm>
                    <a:prstGeom prst="rect">
                      <a:avLst/>
                    </a:prstGeom>
                  </pic:spPr>
                </pic:pic>
              </a:graphicData>
            </a:graphic>
          </wp:inline>
        </w:drawing>
      </w:r>
    </w:p>
    <w:p w14:paraId="3C07810F" w14:textId="77777777" w:rsidR="00E657D7" w:rsidRDefault="00E657D7" w:rsidP="00E657D7">
      <w:pPr>
        <w:pStyle w:val="FootNote0"/>
      </w:pPr>
      <w:r>
        <w:rPr>
          <w:lang w:bidi="he-IL"/>
        </w:rPr>
        <w:t>Figure 6. Predicted probabilities (with 90% confidence intervals) of seeing a manager upon request, based on logistic regression of outcomes of requests to see the manager on tester race and gender.</w:t>
      </w:r>
    </w:p>
    <w:p w14:paraId="06EEFBC3" w14:textId="77777777" w:rsidR="00E657D7" w:rsidRDefault="00E657D7" w:rsidP="00E657D7">
      <w:pPr>
        <w:rPr>
          <w:lang w:bidi="he-IL"/>
        </w:rPr>
      </w:pPr>
    </w:p>
    <w:p w14:paraId="193D1D1E" w14:textId="77777777" w:rsidR="00E657D7" w:rsidRDefault="00E657D7" w:rsidP="00E657D7">
      <w:pPr>
        <w:rPr>
          <w:lang w:bidi="he-IL"/>
        </w:rPr>
      </w:pPr>
    </w:p>
    <w:p w14:paraId="5892C0FE" w14:textId="77777777" w:rsidR="00E657D7" w:rsidRDefault="00E657D7" w:rsidP="00E657D7">
      <w:pPr>
        <w:rPr>
          <w:lang w:bidi="he-IL"/>
        </w:rPr>
      </w:pPr>
      <w:r>
        <w:rPr>
          <w:noProof/>
          <w:lang w:bidi="he-IL"/>
        </w:rPr>
        <w:lastRenderedPageBreak/>
        <w:drawing>
          <wp:inline distT="0" distB="0" distL="0" distR="0" wp14:anchorId="7259A034" wp14:editId="7363D583">
            <wp:extent cx="4663440" cy="33921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3440" cy="3392170"/>
                    </a:xfrm>
                    <a:prstGeom prst="rect">
                      <a:avLst/>
                    </a:prstGeom>
                  </pic:spPr>
                </pic:pic>
              </a:graphicData>
            </a:graphic>
          </wp:inline>
        </w:drawing>
      </w:r>
    </w:p>
    <w:p w14:paraId="1102B9DA" w14:textId="77777777" w:rsidR="00E657D7" w:rsidRDefault="00E657D7" w:rsidP="00E657D7">
      <w:pPr>
        <w:pStyle w:val="FootNote0"/>
      </w:pPr>
      <w:r>
        <w:rPr>
          <w:i/>
          <w:iCs/>
          <w:lang w:bidi="he-IL"/>
        </w:rPr>
        <w:t xml:space="preserve">Figure 7. </w:t>
      </w:r>
      <w:r>
        <w:rPr>
          <w:lang w:bidi="he-IL"/>
        </w:rPr>
        <w:t>Predicted probabilities (with 90% confidence intervals) of obtaining an improved return outcome after seeing a manager, based on logistic regression of post-manager return outcomes (for those who saw a manager) on tester race and gender.</w:t>
      </w:r>
    </w:p>
    <w:p w14:paraId="30A0910D" w14:textId="33006A00" w:rsidR="00E657D7" w:rsidRDefault="00E657D7" w:rsidP="00E657D7">
      <w:pPr>
        <w:ind w:firstLine="0"/>
        <w:rPr>
          <w:lang w:bidi="he-IL"/>
        </w:rPr>
      </w:pPr>
      <w:r>
        <w:rPr>
          <w:rFonts w:hint="cs"/>
          <w:rtl/>
          <w:lang w:bidi="he-IL"/>
        </w:rPr>
        <w:t>]</w:t>
      </w:r>
      <w:r w:rsidRPr="00947892">
        <w:rPr>
          <w:highlight w:val="yellow"/>
          <w:lang w:bidi="he-IL"/>
        </w:rPr>
        <w:t>add regression table for likelihood to improve outcomes</w:t>
      </w:r>
      <w:r>
        <w:rPr>
          <w:lang w:bidi="he-IL"/>
        </w:rPr>
        <w:t>]</w:t>
      </w:r>
    </w:p>
    <w:p w14:paraId="31EF5938" w14:textId="463E7D4E" w:rsidR="007E58B4" w:rsidRDefault="007E58B4" w:rsidP="00E657D7">
      <w:pPr>
        <w:ind w:firstLine="0"/>
        <w:rPr>
          <w:lang w:bidi="he-IL"/>
        </w:rPr>
      </w:pPr>
    </w:p>
    <w:p w14:paraId="6659E982" w14:textId="12B673C6" w:rsidR="007E58B4" w:rsidRDefault="007E58B4" w:rsidP="00E657D7">
      <w:pPr>
        <w:ind w:firstLine="0"/>
        <w:rPr>
          <w:lang w:bidi="he-IL"/>
        </w:rPr>
      </w:pPr>
      <w:r>
        <w:rPr>
          <w:lang w:bidi="he-IL"/>
        </w:rPr>
        <w:tab/>
        <w:t xml:space="preserve">In the next two sub-sections, I look for factors that influence the </w:t>
      </w:r>
      <w:r w:rsidR="00A9498C">
        <w:rPr>
          <w:lang w:bidi="he-IL"/>
        </w:rPr>
        <w:t xml:space="preserve">racial and gender </w:t>
      </w:r>
      <w:r w:rsidR="006724DC">
        <w:rPr>
          <w:lang w:bidi="he-IL"/>
        </w:rPr>
        <w:t>disparities</w:t>
      </w:r>
      <w:r w:rsidR="008B7EDE">
        <w:rPr>
          <w:lang w:bidi="he-IL"/>
        </w:rPr>
        <w:t xml:space="preserve"> documented in the study. In particular, I ask whether the luxuriousness of the store matters, and whether the demographics of the clerk or manager matter. Generally, I find that discrimination is remarkably robust. </w:t>
      </w:r>
    </w:p>
    <w:p w14:paraId="1AE963AF" w14:textId="77777777" w:rsidR="00E657D7" w:rsidRDefault="00E657D7" w:rsidP="00E657D7">
      <w:pPr>
        <w:rPr>
          <w:lang w:bidi="he-IL"/>
        </w:rPr>
      </w:pPr>
    </w:p>
    <w:p w14:paraId="003D5B25" w14:textId="114BE56B" w:rsidR="00B24974" w:rsidRPr="008F1931" w:rsidRDefault="008F1931" w:rsidP="00B24974">
      <w:pPr>
        <w:pStyle w:val="Heading2"/>
        <w:rPr>
          <w:lang w:bidi="he-IL"/>
        </w:rPr>
      </w:pPr>
      <w:r w:rsidRPr="008F1931">
        <w:rPr>
          <w:lang w:bidi="he-IL"/>
        </w:rPr>
        <w:t>Effects by</w:t>
      </w:r>
      <w:r w:rsidR="00B24974" w:rsidRPr="008F1931">
        <w:rPr>
          <w:lang w:bidi="he-IL"/>
        </w:rPr>
        <w:t xml:space="preserve"> Store Clerk and Manager Demographics</w:t>
      </w:r>
    </w:p>
    <w:p w14:paraId="4CDE4BE5" w14:textId="77777777" w:rsidR="00B24974" w:rsidRDefault="00B24974" w:rsidP="00B24974">
      <w:pPr>
        <w:rPr>
          <w:lang w:bidi="he-IL"/>
        </w:rPr>
      </w:pPr>
    </w:p>
    <w:p w14:paraId="67CE1CB9" w14:textId="043D1523" w:rsidR="00B24974" w:rsidRDefault="00683D8F" w:rsidP="00683D8F">
      <w:pPr>
        <w:ind w:firstLine="720"/>
        <w:rPr>
          <w:lang w:bidi="he-IL"/>
        </w:rPr>
      </w:pPr>
      <w:r>
        <w:rPr>
          <w:lang w:bidi="he-IL"/>
        </w:rPr>
        <w:t xml:space="preserve">Testers reported the perceived </w:t>
      </w:r>
      <w:r w:rsidR="00333437">
        <w:rPr>
          <w:lang w:bidi="he-IL"/>
        </w:rPr>
        <w:t>gender and race of the store clerk they interacted with. This allowed me to check whether my findings change based on the</w:t>
      </w:r>
      <w:r w:rsidR="00B90A88">
        <w:rPr>
          <w:lang w:bidi="he-IL"/>
        </w:rPr>
        <w:t xml:space="preserve"> (perceived)</w:t>
      </w:r>
      <w:r w:rsidR="00333437">
        <w:rPr>
          <w:lang w:bidi="he-IL"/>
        </w:rPr>
        <w:t xml:space="preserve"> demographics of the store clerks.</w:t>
      </w:r>
      <w:r w:rsidR="00B90A88">
        <w:rPr>
          <w:lang w:bidi="he-IL"/>
        </w:rPr>
        <w:t xml:space="preserve"> If discrimination is driven by animus or in-group bias, then the clerk’s race</w:t>
      </w:r>
      <w:r w:rsidR="006A7903">
        <w:rPr>
          <w:lang w:bidi="he-IL"/>
        </w:rPr>
        <w:t xml:space="preserve"> and gender should matter. If animus or homophily were the primary factor driving differential treatment of consumers, then African-American customers would </w:t>
      </w:r>
      <w:r w:rsidR="00151F71">
        <w:rPr>
          <w:lang w:bidi="he-IL"/>
        </w:rPr>
        <w:t>obtain better return outcomes when interacting with African-American clerks.</w:t>
      </w:r>
    </w:p>
    <w:p w14:paraId="366090DE" w14:textId="3B6B63DF" w:rsidR="00151F71" w:rsidRDefault="00151F71" w:rsidP="00683D8F">
      <w:pPr>
        <w:ind w:firstLine="720"/>
        <w:rPr>
          <w:lang w:bidi="he-IL"/>
        </w:rPr>
      </w:pPr>
    </w:p>
    <w:p w14:paraId="21E32BD1" w14:textId="38344DA5" w:rsidR="000E714C" w:rsidRDefault="000E714C" w:rsidP="00683D8F">
      <w:pPr>
        <w:ind w:firstLine="720"/>
        <w:rPr>
          <w:lang w:bidi="he-IL"/>
        </w:rPr>
      </w:pPr>
      <w:r>
        <w:rPr>
          <w:lang w:bidi="he-IL"/>
        </w:rPr>
        <w:t xml:space="preserve">Table __ tests </w:t>
      </w:r>
      <w:r w:rsidR="005C68F6">
        <w:rPr>
          <w:lang w:bidi="he-IL"/>
        </w:rPr>
        <w:t xml:space="preserve">whether the gender and race of the clerk affected the </w:t>
      </w:r>
      <w:r w:rsidR="00C231B4">
        <w:rPr>
          <w:lang w:bidi="he-IL"/>
        </w:rPr>
        <w:t xml:space="preserve">amount of discrimination. </w:t>
      </w:r>
    </w:p>
    <w:p w14:paraId="4993769A" w14:textId="3939CC9C" w:rsidR="00CA6054" w:rsidRDefault="00CA6054" w:rsidP="00683D8F">
      <w:pPr>
        <w:ind w:firstLine="720"/>
        <w:rPr>
          <w:lang w:bidi="he-IL"/>
        </w:rPr>
      </w:pPr>
    </w:p>
    <w:p w14:paraId="24A67F7D" w14:textId="77777777" w:rsidR="00CA6054" w:rsidRDefault="00CA6054" w:rsidP="00CA6054">
      <w:r w:rsidRPr="00214665">
        <w:t>white clerks are significantly less likely to offer refund or store credit to African-American testers than to white testers.</w:t>
      </w:r>
      <w:r w:rsidRPr="00214665">
        <w:rPr>
          <w:rStyle w:val="FootnoteReference"/>
        </w:rPr>
        <w:footnoteReference w:id="71"/>
      </w:r>
      <w:r w:rsidRPr="00214665">
        <w:t xml:space="preserve"> This </w:t>
      </w:r>
      <w:r>
        <w:t>finding implies</w:t>
      </w:r>
      <w:r w:rsidRPr="00214665">
        <w:t xml:space="preserve"> that in-group bias </w:t>
      </w:r>
      <w:r>
        <w:t xml:space="preserve">may </w:t>
      </w:r>
      <w:r w:rsidRPr="00214665">
        <w:t>play a role in white clerks</w:t>
      </w:r>
      <w:r>
        <w:t>’</w:t>
      </w:r>
      <w:r w:rsidRPr="00214665">
        <w:t xml:space="preserve"> tendency to discriminate against African-Americans. On the other hand, African-American clerks are </w:t>
      </w:r>
      <w:r>
        <w:t>also</w:t>
      </w:r>
      <w:r w:rsidRPr="00214665">
        <w:t xml:space="preserve"> significantly less likely to offer refund or store credit to African-American testers than to white testers, suggesting that statistical discrimination may also be at play.</w:t>
      </w:r>
      <w:r w:rsidRPr="00214665">
        <w:rPr>
          <w:rStyle w:val="FootnoteReference"/>
        </w:rPr>
        <w:footnoteReference w:id="72"/>
      </w:r>
      <w:r>
        <w:t xml:space="preserve"> In fact, white testers fare significantly better among African-American clerks than among white clerks (70% likelihood to have return accepted when dealing with white clerks versus 82.5% likelihood when dealing with African-American clerks).</w:t>
      </w:r>
      <w:r>
        <w:rPr>
          <w:rStyle w:val="FootnoteReference"/>
        </w:rPr>
        <w:footnoteReference w:id="73"/>
      </w:r>
      <w:r>
        <w:t xml:space="preserve"> At the same time, African-American testers do not obtain significantly worse results among white clerks than among African-American clerks.</w:t>
      </w:r>
    </w:p>
    <w:p w14:paraId="796B4E44" w14:textId="77777777" w:rsidR="00CA6054" w:rsidRDefault="00CA6054" w:rsidP="00683D8F">
      <w:pPr>
        <w:ind w:firstLine="720"/>
        <w:rPr>
          <w:lang w:bidi="he-IL"/>
        </w:rPr>
      </w:pPr>
    </w:p>
    <w:p w14:paraId="2419A1C5" w14:textId="4AD19B28" w:rsidR="00B24974" w:rsidRDefault="00B56384" w:rsidP="003B197B">
      <w:pPr>
        <w:ind w:firstLine="0"/>
        <w:rPr>
          <w:lang w:bidi="he-IL"/>
        </w:rPr>
      </w:pPr>
      <w:r>
        <w:rPr>
          <w:lang w:bidi="he-IL"/>
        </w:rPr>
        <w:t>[</w:t>
      </w:r>
      <w:r w:rsidRPr="00B56384">
        <w:rPr>
          <w:highlight w:val="yellow"/>
          <w:lang w:bidi="he-IL"/>
        </w:rPr>
        <w:t>add interaction tables</w:t>
      </w:r>
      <w:r>
        <w:rPr>
          <w:lang w:bidi="he-IL"/>
        </w:rPr>
        <w:t>]</w:t>
      </w:r>
    </w:p>
    <w:p w14:paraId="065FD7D7" w14:textId="77777777" w:rsidR="00B24974" w:rsidRDefault="00B24974" w:rsidP="00B24974">
      <w:pPr>
        <w:rPr>
          <w:lang w:bidi="he-IL"/>
        </w:rPr>
      </w:pPr>
    </w:p>
    <w:p w14:paraId="25E7FB58" w14:textId="77777777" w:rsidR="00B24974" w:rsidRDefault="00B24974" w:rsidP="00B24974">
      <w:pPr>
        <w:rPr>
          <w:lang w:bidi="he-IL"/>
        </w:rPr>
      </w:pPr>
    </w:p>
    <w:p w14:paraId="6D4F5A35" w14:textId="491B3184" w:rsidR="00AB47D3" w:rsidRDefault="00F0080E" w:rsidP="003C3B85">
      <w:pPr>
        <w:pStyle w:val="Heading2"/>
        <w:rPr>
          <w:lang w:bidi="he-IL"/>
        </w:rPr>
      </w:pPr>
      <w:r>
        <w:rPr>
          <w:lang w:bidi="he-IL"/>
        </w:rPr>
        <w:t>Interaction with Store Type</w:t>
      </w:r>
    </w:p>
    <w:p w14:paraId="3347813A" w14:textId="3216443C" w:rsidR="00F0080E" w:rsidRDefault="00F0080E" w:rsidP="00F0080E">
      <w:pPr>
        <w:rPr>
          <w:lang w:bidi="he-IL"/>
        </w:rPr>
      </w:pPr>
    </w:p>
    <w:p w14:paraId="09D2C738" w14:textId="6643F41B" w:rsidR="00E43671" w:rsidRDefault="00960238" w:rsidP="00F0080E">
      <w:r>
        <w:t>As a measure of store prestige, I collected data on the median prices of all clothing and accessory items listed on each store’s website.</w:t>
      </w:r>
      <w:r>
        <w:rPr>
          <w:rStyle w:val="FootnoteReference"/>
        </w:rPr>
        <w:footnoteReference w:id="74"/>
      </w:r>
      <w:r w:rsidR="00EB47B7">
        <w:t xml:space="preserve"> </w:t>
      </w:r>
      <w:r w:rsidR="00522585">
        <w:t xml:space="preserve">The </w:t>
      </w:r>
      <w:r w:rsidR="00242A4F">
        <w:t xml:space="preserve">average median price at the sampled stores was $60 (SD = $60), with the lowest median price being $5 and the highest being $350. </w:t>
      </w:r>
      <w:r w:rsidR="00EB47B7">
        <w:t>St</w:t>
      </w:r>
      <w:r w:rsidR="00F7406B">
        <w:t xml:space="preserve">ores with median prices </w:t>
      </w:r>
      <w:r w:rsidR="0086022B">
        <w:t>below the 25</w:t>
      </w:r>
      <w:r w:rsidR="0086022B" w:rsidRPr="0086022B">
        <w:rPr>
          <w:vertAlign w:val="superscript"/>
        </w:rPr>
        <w:t>th</w:t>
      </w:r>
      <w:r w:rsidR="00F7406B">
        <w:t xml:space="preserve"> percentile</w:t>
      </w:r>
      <w:r w:rsidR="00F37FD3">
        <w:t xml:space="preserve"> (i.e., stores with median prices lower than $25) were classified as “discount store</w:t>
      </w:r>
      <w:r w:rsidR="003929AA">
        <w:t>.</w:t>
      </w:r>
      <w:r w:rsidR="00F37FD3">
        <w:t>”</w:t>
      </w:r>
      <w:r w:rsidR="003929AA">
        <w:t xml:space="preserve"> Stores with median prices between</w:t>
      </w:r>
      <w:r w:rsidR="00DC2350">
        <w:t xml:space="preserve"> the</w:t>
      </w:r>
      <w:r w:rsidR="003929AA">
        <w:t xml:space="preserve"> 25</w:t>
      </w:r>
      <w:r w:rsidR="003929AA" w:rsidRPr="003929AA">
        <w:rPr>
          <w:vertAlign w:val="superscript"/>
        </w:rPr>
        <w:t>th</w:t>
      </w:r>
      <w:r w:rsidR="003929AA">
        <w:t xml:space="preserve"> and 75</w:t>
      </w:r>
      <w:r w:rsidR="003929AA" w:rsidRPr="003929AA">
        <w:rPr>
          <w:vertAlign w:val="superscript"/>
        </w:rPr>
        <w:t>th</w:t>
      </w:r>
      <w:r w:rsidR="003929AA">
        <w:t xml:space="preserve"> percentiles (i.e., between $25 and $70) were classified as “mainstream</w:t>
      </w:r>
      <w:r w:rsidR="0086022B">
        <w:t xml:space="preserve"> stores.” Finally, stores with median prices at the </w:t>
      </w:r>
      <w:r w:rsidR="00DC2350">
        <w:t xml:space="preserve">upper </w:t>
      </w:r>
      <w:r w:rsidR="0086022B">
        <w:t>25</w:t>
      </w:r>
      <w:r w:rsidR="0086022B" w:rsidRPr="0086022B">
        <w:rPr>
          <w:vertAlign w:val="superscript"/>
        </w:rPr>
        <w:t>t</w:t>
      </w:r>
      <w:r w:rsidR="00DC2350">
        <w:rPr>
          <w:vertAlign w:val="superscript"/>
        </w:rPr>
        <w:t xml:space="preserve">h </w:t>
      </w:r>
      <w:r w:rsidR="00DC2350">
        <w:t>percentile (i.e., with median prices higher than $70) were classified as “high-end stores.”</w:t>
      </w:r>
      <w:r w:rsidR="006A3B48">
        <w:rPr>
          <w:rStyle w:val="FootnoteReference"/>
        </w:rPr>
        <w:footnoteReference w:id="75"/>
      </w:r>
    </w:p>
    <w:p w14:paraId="56A47ED3" w14:textId="1E9E82C8" w:rsidR="00E43671" w:rsidRDefault="00E43671" w:rsidP="00F0080E"/>
    <w:p w14:paraId="420BE263" w14:textId="0DAB8964" w:rsidR="00CF4687" w:rsidRDefault="002D5D62" w:rsidP="00F0080E">
      <w:r>
        <w:t xml:space="preserve">While African-American consumers are discriminated against in both mainstream and high-end stores, they are not treated significantly worse at the discount stores. This, again, suggests that statistical discrimination might be at play. While discount stores in Chicago typically have a large African-American customer base, higher-end stores typically cater to higher-income, predominantly white, customers. It is therefore plausible that clerks in higher-end stores perceive African-American consumers as </w:t>
      </w:r>
      <w:proofErr w:type="gramStart"/>
      <w:r>
        <w:t>less</w:t>
      </w:r>
      <w:proofErr w:type="gramEnd"/>
      <w:r>
        <w:t xml:space="preserve"> valuable customers. Another plausible factor behind the observed discrimination is that store clerks at higher-end stores are more suspicious towards African-American customers, as those do not typically buy at these stores.</w:t>
      </w:r>
    </w:p>
    <w:p w14:paraId="6DD52A5C" w14:textId="25C70F73" w:rsidR="00F0080E" w:rsidRDefault="00F0080E" w:rsidP="00F0080E">
      <w:pPr>
        <w:rPr>
          <w:lang w:bidi="he-IL"/>
        </w:rPr>
      </w:pPr>
    </w:p>
    <w:p w14:paraId="7F278B02" w14:textId="3EA25DCC" w:rsidR="006F4097" w:rsidRPr="00785A45" w:rsidRDefault="006F4097" w:rsidP="00785A45"/>
    <w:p w14:paraId="1838D9A9" w14:textId="145E41CE" w:rsidR="00E67E67" w:rsidRDefault="00511D6E" w:rsidP="00997D2B">
      <w:pPr>
        <w:pStyle w:val="Heading1"/>
      </w:pPr>
      <w:r>
        <w:t>I</w:t>
      </w:r>
      <w:r w:rsidR="00997D2B">
        <w:t xml:space="preserve">V. Discussion </w:t>
      </w:r>
    </w:p>
    <w:p w14:paraId="7F0F2A37" w14:textId="03D36A88" w:rsidR="000C1D5B" w:rsidRDefault="000C1D5B" w:rsidP="000C1D5B"/>
    <w:p w14:paraId="60AAA245" w14:textId="759DA7EA" w:rsidR="000C1D5B" w:rsidRPr="000C1D5B" w:rsidRDefault="00DF6008" w:rsidP="00DF6008">
      <w:pPr>
        <w:pStyle w:val="Heading2"/>
      </w:pPr>
      <w:r>
        <w:t>Selective Enforcement generates Problematic Redistribution</w:t>
      </w:r>
    </w:p>
    <w:p w14:paraId="42A79982" w14:textId="32B8E618" w:rsidR="00997D2B" w:rsidRDefault="00997D2B" w:rsidP="00997D2B"/>
    <w:p w14:paraId="740A5B00" w14:textId="77777777" w:rsidR="00E0461D" w:rsidRDefault="002B4259" w:rsidP="00997D2B">
      <w:r>
        <w:t xml:space="preserve">The findings of the field experiment reveal that, at least in the context of retail product returns, discretionary enforcement of the formal return policies results in robust racial discrimination. </w:t>
      </w:r>
      <w:r w:rsidR="0020117C">
        <w:t xml:space="preserve">White testers were significantly more likely to have their returns accepted than African-American testers. </w:t>
      </w:r>
      <w:r w:rsidR="002326C0">
        <w:t>And they were significantly less likely to be treated less favorably than the policy allows than African-A</w:t>
      </w:r>
      <w:r w:rsidR="00CD0B22">
        <w:t xml:space="preserve">merican testers. </w:t>
      </w:r>
    </w:p>
    <w:p w14:paraId="7EFC3F3A" w14:textId="77777777" w:rsidR="00E0461D" w:rsidRDefault="00E0461D" w:rsidP="00997D2B"/>
    <w:p w14:paraId="0F18C636" w14:textId="78AE8677" w:rsidR="00997D2B" w:rsidRDefault="00CD0B22" w:rsidP="00997D2B">
      <w:r>
        <w:t xml:space="preserve">The findings also </w:t>
      </w:r>
      <w:r w:rsidR="005D41D5">
        <w:t>reveal</w:t>
      </w:r>
      <w:r>
        <w:t xml:space="preserve"> that </w:t>
      </w:r>
      <w:r w:rsidR="005D41D5">
        <w:t xml:space="preserve">both </w:t>
      </w:r>
      <w:r>
        <w:t xml:space="preserve">gender </w:t>
      </w:r>
      <w:r w:rsidR="005D41D5">
        <w:t xml:space="preserve">and race </w:t>
      </w:r>
      <w:r>
        <w:t xml:space="preserve">play a role in the bargaining process and outcomes. </w:t>
      </w:r>
      <w:r w:rsidR="00C72078">
        <w:t>M</w:t>
      </w:r>
      <w:r w:rsidR="005D41D5">
        <w:t>ale</w:t>
      </w:r>
      <w:r w:rsidR="00C72078">
        <w:t xml:space="preserve"> and white testers</w:t>
      </w:r>
      <w:r w:rsidR="005D41D5">
        <w:t xml:space="preserve"> were significantly more likely than female</w:t>
      </w:r>
      <w:r w:rsidR="00C72078">
        <w:t xml:space="preserve"> and African-American testers</w:t>
      </w:r>
      <w:r w:rsidR="005D41D5">
        <w:t xml:space="preserve"> to see a manager upon request. </w:t>
      </w:r>
      <w:r w:rsidR="0065445E">
        <w:t>And African-American testers were significantly less likely to obtain an improved outcome after speaking with a manager compared to white testers.</w:t>
      </w:r>
    </w:p>
    <w:p w14:paraId="5A696F0D" w14:textId="77777777" w:rsidR="0065445E" w:rsidRDefault="0065445E" w:rsidP="00997D2B"/>
    <w:p w14:paraId="0E0AE2A3" w14:textId="77777777" w:rsidR="009E7488" w:rsidRDefault="00A12E45" w:rsidP="00997D2B">
      <w:r>
        <w:t xml:space="preserve">These results contribute to a small but growing body of literature </w:t>
      </w:r>
      <w:r w:rsidR="00472EFC">
        <w:t>s</w:t>
      </w:r>
      <w:r w:rsidR="006154D7">
        <w:t xml:space="preserve">uggesting that selective enforcement of </w:t>
      </w:r>
      <w:r w:rsidR="005A1C10">
        <w:t xml:space="preserve">standardized </w:t>
      </w:r>
      <w:r w:rsidR="00936CF3">
        <w:t xml:space="preserve">consumer </w:t>
      </w:r>
      <w:r w:rsidR="006154D7">
        <w:t xml:space="preserve">contracts </w:t>
      </w:r>
      <w:r w:rsidR="00977365">
        <w:t xml:space="preserve">is more </w:t>
      </w:r>
      <w:r w:rsidR="009E7488">
        <w:t>harmful</w:t>
      </w:r>
      <w:r w:rsidR="00977365">
        <w:t xml:space="preserve"> than previously </w:t>
      </w:r>
      <w:r w:rsidR="00956343">
        <w:t>assumed</w:t>
      </w:r>
      <w:r w:rsidR="00974B71">
        <w:t>.</w:t>
      </w:r>
      <w:r w:rsidR="00956343">
        <w:rPr>
          <w:rStyle w:val="FootnoteReference"/>
        </w:rPr>
        <w:footnoteReference w:id="76"/>
      </w:r>
      <w:r w:rsidR="00977365">
        <w:t xml:space="preserve"> </w:t>
      </w:r>
      <w:r w:rsidR="009E7488">
        <w:t>The study’s findings indicate</w:t>
      </w:r>
      <w:r w:rsidR="00E82B99">
        <w:t xml:space="preserve"> that </w:t>
      </w:r>
      <w:r w:rsidR="001F1643">
        <w:lastRenderedPageBreak/>
        <w:t>such discretionary performance of contractual terms might</w:t>
      </w:r>
      <w:r w:rsidR="006154D7">
        <w:t xml:space="preserve"> lead to </w:t>
      </w:r>
      <w:r w:rsidR="0031781D">
        <w:t>discrimination</w:t>
      </w:r>
      <w:r w:rsidR="00977365">
        <w:t xml:space="preserve"> and yield regressive </w:t>
      </w:r>
      <w:r w:rsidR="001F1643">
        <w:t xml:space="preserve">distributional </w:t>
      </w:r>
      <w:r w:rsidR="00977365">
        <w:t>outcomes</w:t>
      </w:r>
      <w:r w:rsidR="0031781D">
        <w:t>.</w:t>
      </w:r>
      <w:r w:rsidR="0031781D">
        <w:rPr>
          <w:rStyle w:val="FootnoteReference"/>
        </w:rPr>
        <w:footnoteReference w:id="77"/>
      </w:r>
      <w:r w:rsidR="00936CF3">
        <w:t xml:space="preserve"> </w:t>
      </w:r>
    </w:p>
    <w:p w14:paraId="290E3B5C" w14:textId="77777777" w:rsidR="009E7488" w:rsidRDefault="009E7488" w:rsidP="00997D2B"/>
    <w:p w14:paraId="02843D66" w14:textId="77777777" w:rsidR="00464F8B" w:rsidRDefault="005D1552" w:rsidP="00997D2B">
      <w:r>
        <w:t>In the context of product returns,</w:t>
      </w:r>
      <w:r w:rsidR="007058D8" w:rsidRPr="00215C9E">
        <w:t xml:space="preserve"> sellers’ discretionary authority to depart from </w:t>
      </w:r>
      <w:r>
        <w:t>their return policies</w:t>
      </w:r>
      <w:r w:rsidR="00652CE2">
        <w:t xml:space="preserve"> </w:t>
      </w:r>
      <w:r w:rsidR="007058D8">
        <w:t xml:space="preserve">in favor of some consumers </w:t>
      </w:r>
      <w:r>
        <w:t>was</w:t>
      </w:r>
      <w:r w:rsidR="007058D8" w:rsidRPr="00215C9E">
        <w:t xml:space="preserve"> applied inconsistently to the disadvantage of </w:t>
      </w:r>
      <w:r w:rsidR="00464F8B">
        <w:t>African-American</w:t>
      </w:r>
      <w:r w:rsidR="007058D8" w:rsidRPr="00215C9E">
        <w:t xml:space="preserve"> consumers.</w:t>
      </w:r>
      <w:r w:rsidR="007058D8" w:rsidRPr="004B35AD">
        <w:t xml:space="preserve"> </w:t>
      </w:r>
      <w:r w:rsidR="009A2A30">
        <w:t xml:space="preserve"> </w:t>
      </w:r>
    </w:p>
    <w:p w14:paraId="36718809" w14:textId="77777777" w:rsidR="00464F8B" w:rsidRDefault="00464F8B" w:rsidP="00997D2B"/>
    <w:p w14:paraId="072C8195" w14:textId="3C3FC5A7" w:rsidR="00A12E45" w:rsidRDefault="00464F8B" w:rsidP="00997D2B">
      <w:r>
        <w:t>P</w:t>
      </w:r>
      <w:r w:rsidR="00BA1382">
        <w:t xml:space="preserve">erhaps more disturbingly, the findings reveal that sellers may also deviate from their contracts to the </w:t>
      </w:r>
      <w:r w:rsidR="00BA1382" w:rsidRPr="00464F8B">
        <w:rPr>
          <w:i/>
          <w:iCs/>
        </w:rPr>
        <w:t>detriment</w:t>
      </w:r>
      <w:r w:rsidR="00BA1382">
        <w:t xml:space="preserve"> of consumers, </w:t>
      </w:r>
      <w:r w:rsidR="0000541D">
        <w:t xml:space="preserve">by refusing to perform the contract as written; and that selective deviations from the contract to the disadvantage of consumers </w:t>
      </w:r>
      <w:r w:rsidR="00765C80">
        <w:t xml:space="preserve">(which could be considered breach of contract) also disproportionately harm African-American consumers relative to white customers. </w:t>
      </w:r>
    </w:p>
    <w:p w14:paraId="758E6511" w14:textId="72C82F5D" w:rsidR="00DF6008" w:rsidRDefault="00DF6008" w:rsidP="00997D2B"/>
    <w:p w14:paraId="04CDFC19" w14:textId="690CD69C" w:rsidR="00DF6008" w:rsidRDefault="00DF6008" w:rsidP="00DF6008">
      <w:pPr>
        <w:pStyle w:val="Heading2"/>
      </w:pPr>
      <w:r>
        <w:t xml:space="preserve">Why </w:t>
      </w:r>
      <w:r w:rsidR="006F6C1F">
        <w:t>do sellers discriminate in contract enforcement?</w:t>
      </w:r>
    </w:p>
    <w:p w14:paraId="07DC0B1D" w14:textId="77777777" w:rsidR="00530EAE" w:rsidRDefault="00530EAE" w:rsidP="00530EAE">
      <w:pPr>
        <w:ind w:firstLine="0"/>
      </w:pPr>
    </w:p>
    <w:p w14:paraId="74460A13" w14:textId="634C585B" w:rsidR="000048D1" w:rsidRDefault="00C0333D" w:rsidP="00D933B3">
      <w:pPr>
        <w:rPr>
          <w:lang w:bidi="he-IL"/>
        </w:rPr>
      </w:pPr>
      <w:r>
        <w:rPr>
          <w:lang w:bidi="he-IL"/>
        </w:rPr>
        <w:tab/>
        <w:t xml:space="preserve">One important limitation of my experiment is that I cannot identify the mechanism causing worse outcomes for African-American customers. </w:t>
      </w:r>
      <w:r w:rsidR="004A404C">
        <w:rPr>
          <w:lang w:bidi="he-IL"/>
        </w:rPr>
        <w:t xml:space="preserve">For example, it cannot be ruled out that sellers </w:t>
      </w:r>
      <w:r w:rsidR="009F2B1C">
        <w:rPr>
          <w:lang w:bidi="he-IL"/>
        </w:rPr>
        <w:t xml:space="preserve">may draw inferences about the customer’s socioeconomic status, and consequently about the customer’s value to the store, based on the customer’s perceived race. </w:t>
      </w:r>
      <w:r w:rsidR="0035713F">
        <w:rPr>
          <w:lang w:bidi="he-IL"/>
        </w:rPr>
        <w:t xml:space="preserve">Similarly, the </w:t>
      </w:r>
      <w:r w:rsidR="00753B27">
        <w:rPr>
          <w:lang w:bidi="he-IL"/>
        </w:rPr>
        <w:t>experiment</w:t>
      </w:r>
      <w:r w:rsidR="0035713F">
        <w:rPr>
          <w:lang w:bidi="he-IL"/>
        </w:rPr>
        <w:t xml:space="preserve"> </w:t>
      </w:r>
      <w:r w:rsidR="00753B27">
        <w:rPr>
          <w:lang w:bidi="he-IL"/>
        </w:rPr>
        <w:t xml:space="preserve">does not provide a sharp test of various theories </w:t>
      </w:r>
      <w:r w:rsidR="00AD561B">
        <w:rPr>
          <w:lang w:bidi="he-IL"/>
        </w:rPr>
        <w:t xml:space="preserve">of the sources of discrimination. The theoretical literature on discrimination typically distinguishes between </w:t>
      </w:r>
      <w:r w:rsidR="00CF395B">
        <w:rPr>
          <w:lang w:bidi="he-IL"/>
        </w:rPr>
        <w:t xml:space="preserve">statistical and taste-based (or animus-based) discrimination. </w:t>
      </w:r>
      <w:r w:rsidR="0050490D">
        <w:rPr>
          <w:lang w:bidi="he-IL"/>
        </w:rPr>
        <w:t xml:space="preserve">While the study’s experimental design cannot rule out either </w:t>
      </w:r>
      <w:r w:rsidR="0050490D">
        <w:rPr>
          <w:lang w:bidi="he-IL"/>
        </w:rPr>
        <w:lastRenderedPageBreak/>
        <w:t xml:space="preserve">mechanism, the findings suggest a more nuanced and multifaceted story than either of these classic explanations. </w:t>
      </w:r>
      <w:r w:rsidR="007D0025">
        <w:rPr>
          <w:lang w:bidi="he-IL"/>
        </w:rPr>
        <w:t xml:space="preserve">Indeed, </w:t>
      </w:r>
      <w:r w:rsidR="00734ABE">
        <w:rPr>
          <w:lang w:bidi="he-IL"/>
        </w:rPr>
        <w:t>the results offer</w:t>
      </w:r>
      <w:r w:rsidR="007D0025">
        <w:rPr>
          <w:lang w:bidi="he-IL"/>
        </w:rPr>
        <w:t xml:space="preserve"> indications for in-group bias among white clerks</w:t>
      </w:r>
      <w:r w:rsidR="002844FD">
        <w:rPr>
          <w:lang w:bidi="he-IL"/>
        </w:rPr>
        <w:t>. For example, white male and female clerks are significantly less likely to treat white customers less favorably than the formal policy allows than they are African-American customers</w:t>
      </w:r>
      <w:r w:rsidR="00C90B7B">
        <w:rPr>
          <w:lang w:bidi="he-IL"/>
        </w:rPr>
        <w:t xml:space="preserve">. </w:t>
      </w:r>
      <w:r w:rsidR="00734ABE">
        <w:rPr>
          <w:lang w:bidi="he-IL"/>
        </w:rPr>
        <w:t xml:space="preserve">However, </w:t>
      </w:r>
      <w:r w:rsidR="00E261FD">
        <w:rPr>
          <w:lang w:bidi="he-IL"/>
        </w:rPr>
        <w:t xml:space="preserve">African-American clerks are also less likely to treat white customers less favorably than the formal policy allows than they are African-American customers. This finding suggests that the results may actually </w:t>
      </w:r>
      <w:r w:rsidR="00305ABA">
        <w:rPr>
          <w:lang w:bidi="he-IL"/>
        </w:rPr>
        <w:t xml:space="preserve">be </w:t>
      </w:r>
      <w:r w:rsidR="00E261FD">
        <w:rPr>
          <w:lang w:bidi="he-IL"/>
        </w:rPr>
        <w:t xml:space="preserve">driven by statistical inferences rather than by animus or in-group favoritism. </w:t>
      </w:r>
      <w:r w:rsidR="008C76D2">
        <w:rPr>
          <w:lang w:bidi="he-IL"/>
        </w:rPr>
        <w:t>At the very least, t</w:t>
      </w:r>
      <w:r w:rsidR="009B762F">
        <w:rPr>
          <w:lang w:bidi="he-IL"/>
        </w:rPr>
        <w:t xml:space="preserve">hese findings seem to be in tension with pure taste-based </w:t>
      </w:r>
      <w:r w:rsidR="008C76D2">
        <w:rPr>
          <w:lang w:bidi="he-IL"/>
        </w:rPr>
        <w:t>explanation for the observed discrimination</w:t>
      </w:r>
      <w:r w:rsidR="009B762F">
        <w:rPr>
          <w:lang w:bidi="he-IL"/>
        </w:rPr>
        <w:t xml:space="preserve">. </w:t>
      </w:r>
    </w:p>
    <w:p w14:paraId="3587D025" w14:textId="77777777" w:rsidR="00D933B3" w:rsidRDefault="00D933B3" w:rsidP="00D933B3">
      <w:pPr>
        <w:rPr>
          <w:lang w:bidi="he-IL"/>
        </w:rPr>
      </w:pPr>
    </w:p>
    <w:p w14:paraId="3D1B7294" w14:textId="0F8407A3" w:rsidR="000048D1" w:rsidRDefault="000048D1" w:rsidP="00997D2B">
      <w:pPr>
        <w:rPr>
          <w:lang w:bidi="he-IL"/>
        </w:rPr>
      </w:pPr>
      <w:r>
        <w:rPr>
          <w:lang w:bidi="he-IL"/>
        </w:rPr>
        <w:t xml:space="preserve">There might be at least three possible statistical-based explanations for the observed racial discrimination. </w:t>
      </w:r>
      <w:r w:rsidR="00EA45CB">
        <w:rPr>
          <w:lang w:bidi="he-IL"/>
        </w:rPr>
        <w:t>First, the observed racial discrimination might be driven by</w:t>
      </w:r>
      <w:r w:rsidR="002E3B6A">
        <w:rPr>
          <w:lang w:bidi="he-IL"/>
        </w:rPr>
        <w:t xml:space="preserve"> differences in </w:t>
      </w:r>
      <w:r w:rsidR="00EA45CB">
        <w:rPr>
          <w:lang w:bidi="he-IL"/>
        </w:rPr>
        <w:t>store clerks’ inferences about the</w:t>
      </w:r>
      <w:r w:rsidR="002E3B6A">
        <w:rPr>
          <w:lang w:bidi="he-IL"/>
        </w:rPr>
        <w:t xml:space="preserve"> likelihood </w:t>
      </w:r>
      <w:r w:rsidR="00EA45CB">
        <w:rPr>
          <w:lang w:bidi="he-IL"/>
        </w:rPr>
        <w:t>that each consumer group would</w:t>
      </w:r>
      <w:r w:rsidR="002E3B6A">
        <w:rPr>
          <w:lang w:bidi="he-IL"/>
        </w:rPr>
        <w:t xml:space="preserve"> abuse</w:t>
      </w:r>
      <w:r w:rsidR="00EA45CB">
        <w:rPr>
          <w:lang w:bidi="he-IL"/>
        </w:rPr>
        <w:t xml:space="preserve"> the store’s</w:t>
      </w:r>
      <w:r w:rsidR="002E3B6A">
        <w:rPr>
          <w:lang w:bidi="he-IL"/>
        </w:rPr>
        <w:t xml:space="preserve"> return polic</w:t>
      </w:r>
      <w:r w:rsidR="00EA45CB">
        <w:rPr>
          <w:lang w:bidi="he-IL"/>
        </w:rPr>
        <w:t>y,</w:t>
      </w:r>
      <w:r w:rsidR="002E3B6A">
        <w:rPr>
          <w:lang w:bidi="he-IL"/>
        </w:rPr>
        <w:t xml:space="preserve"> steal from </w:t>
      </w:r>
      <w:r w:rsidR="00EA45CB">
        <w:rPr>
          <w:lang w:bidi="he-IL"/>
        </w:rPr>
        <w:t xml:space="preserve">the </w:t>
      </w:r>
      <w:r w:rsidR="002E3B6A">
        <w:rPr>
          <w:lang w:bidi="he-IL"/>
        </w:rPr>
        <w:t>store</w:t>
      </w:r>
      <w:r w:rsidR="00EA45CB">
        <w:rPr>
          <w:lang w:bidi="he-IL"/>
        </w:rPr>
        <w:t>, or</w:t>
      </w:r>
      <w:r w:rsidR="002E3B6A">
        <w:rPr>
          <w:lang w:bidi="he-IL"/>
        </w:rPr>
        <w:t xml:space="preserve"> return</w:t>
      </w:r>
      <w:r w:rsidR="00EA45CB">
        <w:rPr>
          <w:lang w:bidi="he-IL"/>
        </w:rPr>
        <w:t xml:space="preserve"> an</w:t>
      </w:r>
      <w:r w:rsidR="002E3B6A">
        <w:rPr>
          <w:lang w:bidi="he-IL"/>
        </w:rPr>
        <w:t xml:space="preserve"> item that </w:t>
      </w:r>
      <w:r w:rsidR="00EA45CB">
        <w:rPr>
          <w:lang w:bidi="he-IL"/>
        </w:rPr>
        <w:t>was not</w:t>
      </w:r>
      <w:r w:rsidR="002E3B6A">
        <w:rPr>
          <w:lang w:bidi="he-IL"/>
        </w:rPr>
        <w:t xml:space="preserve"> purchased at the store</w:t>
      </w:r>
      <w:r w:rsidR="00EA45CB">
        <w:rPr>
          <w:lang w:bidi="he-IL"/>
        </w:rPr>
        <w:t xml:space="preserve">. Second, the observed racial discrimination might stem from </w:t>
      </w:r>
      <w:r w:rsidR="002E3B6A">
        <w:rPr>
          <w:lang w:bidi="he-IL"/>
        </w:rPr>
        <w:t xml:space="preserve">differences </w:t>
      </w:r>
      <w:r w:rsidR="00EA45CB">
        <w:rPr>
          <w:lang w:bidi="he-IL"/>
        </w:rPr>
        <w:t xml:space="preserve">in store clerks’ inferences about </w:t>
      </w:r>
      <w:r w:rsidR="00CD2209">
        <w:rPr>
          <w:lang w:bidi="he-IL"/>
        </w:rPr>
        <w:t>consumers’</w:t>
      </w:r>
      <w:r w:rsidR="002E3B6A">
        <w:rPr>
          <w:lang w:bidi="he-IL"/>
        </w:rPr>
        <w:t xml:space="preserve"> socio-economic status and value to the store</w:t>
      </w:r>
      <w:r w:rsidR="00CD2209">
        <w:rPr>
          <w:lang w:bidi="he-IL"/>
        </w:rPr>
        <w:t>. If clerks typically believe that white customers are likely to be wealthier than African-American customers, and consequently more valuable customers, they might treat African-American customers less favorably than white customers.</w:t>
      </w:r>
      <w:r w:rsidR="002E3B6A">
        <w:rPr>
          <w:lang w:bidi="he-IL"/>
        </w:rPr>
        <w:t xml:space="preserve"> </w:t>
      </w:r>
      <w:r w:rsidR="00CD2209">
        <w:rPr>
          <w:lang w:bidi="he-IL"/>
        </w:rPr>
        <w:t>Third, the differential treatment might be driven by</w:t>
      </w:r>
      <w:r w:rsidR="002E3B6A">
        <w:rPr>
          <w:lang w:bidi="he-IL"/>
        </w:rPr>
        <w:t xml:space="preserve"> differences in perceived likelihood to complain and generate reputational harm </w:t>
      </w:r>
      <w:r w:rsidR="00305ABA">
        <w:rPr>
          <w:lang w:bidi="he-IL"/>
        </w:rPr>
        <w:t xml:space="preserve">is dissatisfied. </w:t>
      </w:r>
      <w:r w:rsidR="00CD2209">
        <w:rPr>
          <w:lang w:bidi="he-IL"/>
        </w:rPr>
        <w:t xml:space="preserve">If clerks assume that minority consumers are less likely to complain, and in any event less likely to generate reputational harm to the store, they might be less inclined to treat them more favorably than the policy requires. </w:t>
      </w:r>
    </w:p>
    <w:p w14:paraId="1C262D27" w14:textId="2C0936BD" w:rsidR="000048D1" w:rsidRDefault="000048D1" w:rsidP="00997D2B">
      <w:pPr>
        <w:rPr>
          <w:lang w:bidi="he-IL"/>
        </w:rPr>
      </w:pPr>
    </w:p>
    <w:p w14:paraId="7885C972" w14:textId="2C921D74" w:rsidR="00C2626D" w:rsidRDefault="00C2626D" w:rsidP="00997D2B">
      <w:pPr>
        <w:rPr>
          <w:lang w:bidi="he-IL"/>
        </w:rPr>
      </w:pPr>
      <w:r>
        <w:rPr>
          <w:lang w:bidi="he-IL"/>
        </w:rPr>
        <w:t xml:space="preserve">All </w:t>
      </w:r>
      <w:r w:rsidR="008C76D2">
        <w:rPr>
          <w:lang w:bidi="he-IL"/>
        </w:rPr>
        <w:t xml:space="preserve">of </w:t>
      </w:r>
      <w:r>
        <w:rPr>
          <w:lang w:bidi="he-IL"/>
        </w:rPr>
        <w:t xml:space="preserve">these explanations </w:t>
      </w:r>
      <w:proofErr w:type="gramStart"/>
      <w:r>
        <w:rPr>
          <w:lang w:bidi="he-IL"/>
        </w:rPr>
        <w:t>my</w:t>
      </w:r>
      <w:proofErr w:type="gramEnd"/>
      <w:r>
        <w:rPr>
          <w:lang w:bidi="he-IL"/>
        </w:rPr>
        <w:t xml:space="preserve"> co-exist, and further research is needed to </w:t>
      </w:r>
      <w:r w:rsidR="00A96178">
        <w:rPr>
          <w:lang w:bidi="he-IL"/>
        </w:rPr>
        <w:t xml:space="preserve">assess the importance and explanatory power of each. </w:t>
      </w:r>
    </w:p>
    <w:p w14:paraId="7C80AB80" w14:textId="6F404ED3" w:rsidR="006F6C1F" w:rsidRDefault="006F6C1F" w:rsidP="00997D2B">
      <w:pPr>
        <w:rPr>
          <w:lang w:bidi="he-IL"/>
        </w:rPr>
      </w:pPr>
    </w:p>
    <w:p w14:paraId="111CE247" w14:textId="52EB095F" w:rsidR="006F6C1F" w:rsidRDefault="006F6C1F" w:rsidP="006F6C1F">
      <w:pPr>
        <w:pStyle w:val="Heading2"/>
        <w:rPr>
          <w:lang w:bidi="he-IL"/>
        </w:rPr>
      </w:pPr>
      <w:r>
        <w:rPr>
          <w:lang w:bidi="he-IL"/>
        </w:rPr>
        <w:t xml:space="preserve">The Future of Discriminatory Enforcement </w:t>
      </w:r>
    </w:p>
    <w:p w14:paraId="3810A301" w14:textId="714A3F84" w:rsidR="008379D3" w:rsidRDefault="008379D3" w:rsidP="000C1D5B">
      <w:pPr>
        <w:ind w:firstLine="0"/>
        <w:rPr>
          <w:lang w:bidi="he-IL"/>
        </w:rPr>
      </w:pPr>
    </w:p>
    <w:p w14:paraId="182F32A5" w14:textId="60DD2D68" w:rsidR="008379D3" w:rsidRDefault="008379D3" w:rsidP="008379D3">
      <w:pPr>
        <w:rPr>
          <w:lang w:bidi="he-IL"/>
        </w:rPr>
      </w:pPr>
      <w:r>
        <w:t>Although e-commerce retail sales currently account for only ~15% of all retail sales worldwide,</w:t>
      </w:r>
      <w:r w:rsidRPr="006E6413">
        <w:t xml:space="preserve"> </w:t>
      </w:r>
      <w:r w:rsidRPr="00EF7401">
        <w:t xml:space="preserve">online shopping </w:t>
      </w:r>
      <w:r>
        <w:t xml:space="preserve">is </w:t>
      </w:r>
      <w:r w:rsidRPr="00EF7401">
        <w:t>increasingly gain</w:t>
      </w:r>
      <w:r>
        <w:t>ing</w:t>
      </w:r>
      <w:r w:rsidRPr="00EF7401">
        <w:t xml:space="preserve"> popularity</w:t>
      </w:r>
      <w:r>
        <w:t>.</w:t>
      </w:r>
      <w:r>
        <w:rPr>
          <w:rStyle w:val="FootnoteReference"/>
        </w:rPr>
        <w:footnoteReference w:id="78"/>
      </w:r>
      <w:r>
        <w:t xml:space="preserve"> According to a 2016 Pew Research Center survey of U.S. consumers, roughly 80% of Americans do</w:t>
      </w:r>
      <w:r w:rsidR="00251278">
        <w:t xml:space="preserve"> at least</w:t>
      </w:r>
      <w:r>
        <w:t xml:space="preserve"> some of their shopping online</w:t>
      </w:r>
      <w:r w:rsidRPr="00EF7401">
        <w:t>.</w:t>
      </w:r>
      <w:r w:rsidRPr="00EF7401">
        <w:rPr>
          <w:rStyle w:val="FootnoteReference"/>
        </w:rPr>
        <w:footnoteReference w:id="79"/>
      </w:r>
      <w:r>
        <w:rPr>
          <w:rFonts w:hint="cs"/>
          <w:rtl/>
          <w:lang w:bidi="he-IL"/>
        </w:rPr>
        <w:t xml:space="preserve"> </w:t>
      </w:r>
    </w:p>
    <w:p w14:paraId="65B695FE" w14:textId="77777777" w:rsidR="008379D3" w:rsidRDefault="008379D3" w:rsidP="008379D3">
      <w:pPr>
        <w:rPr>
          <w:lang w:bidi="he-IL"/>
        </w:rPr>
      </w:pPr>
    </w:p>
    <w:p w14:paraId="28A51800" w14:textId="5369A97A" w:rsidR="008379D3" w:rsidRDefault="008379D3" w:rsidP="008379D3">
      <w:r>
        <w:rPr>
          <w:rFonts w:hint="cs"/>
          <w:lang w:bidi="he-IL"/>
        </w:rPr>
        <w:t>S</w:t>
      </w:r>
      <w:r>
        <w:rPr>
          <w:lang w:bidi="he-IL"/>
        </w:rPr>
        <w:t xml:space="preserve">hould we expect to see more, </w:t>
      </w:r>
      <w:r w:rsidR="00251278">
        <w:rPr>
          <w:lang w:bidi="he-IL"/>
        </w:rPr>
        <w:t>less</w:t>
      </w:r>
      <w:r>
        <w:rPr>
          <w:lang w:bidi="he-IL"/>
        </w:rPr>
        <w:t xml:space="preserve">, or similar </w:t>
      </w:r>
      <w:r w:rsidR="00251278">
        <w:rPr>
          <w:lang w:bidi="he-IL"/>
        </w:rPr>
        <w:t>levels</w:t>
      </w:r>
      <w:r>
        <w:rPr>
          <w:lang w:bidi="he-IL"/>
        </w:rPr>
        <w:t xml:space="preserve"> of </w:t>
      </w:r>
      <w:r w:rsidR="00251278">
        <w:rPr>
          <w:lang w:bidi="he-IL"/>
        </w:rPr>
        <w:t>discrimination</w:t>
      </w:r>
      <w:r>
        <w:rPr>
          <w:lang w:bidi="he-IL"/>
        </w:rPr>
        <w:t xml:space="preserve"> </w:t>
      </w:r>
      <w:r>
        <w:rPr>
          <w:lang w:bidi="he-IL"/>
        </w:rPr>
        <w:lastRenderedPageBreak/>
        <w:t>with online platforms? On one hand,</w:t>
      </w:r>
      <w:r>
        <w:t xml:space="preserve"> </w:t>
      </w:r>
      <w:r w:rsidR="00EF3D81">
        <w:t xml:space="preserve">we may expect to see less discrimination, at least when it comes to </w:t>
      </w:r>
      <w:r w:rsidR="004426A3">
        <w:t>race and gender, as these characteristics would</w:t>
      </w:r>
      <w:r w:rsidR="00BE35D5">
        <w:t xml:space="preserve"> be less salient, and probably more difficult to observe, in online marketplaces. </w:t>
      </w:r>
      <w:r w:rsidR="00AC54E0">
        <w:t>Sophisticated and high-income customers will likely benefit from online selective enforcement more than lower-income, less sophisticated consumers</w:t>
      </w:r>
      <w:r w:rsidR="007F1374">
        <w:t xml:space="preserve">, because they will </w:t>
      </w:r>
      <w:r w:rsidR="00B41DAC">
        <w:t>negotiate more or ask for more lenient treatment</w:t>
      </w:r>
      <w:r w:rsidR="00AC54E0">
        <w:t>.</w:t>
      </w:r>
      <w:r w:rsidR="00B41DAC">
        <w:t xml:space="preserve"> They may also be treated more favorably in view of the higher value to the firm of keeping them pleased.</w:t>
      </w:r>
      <w:r w:rsidR="00AC54E0">
        <w:t xml:space="preserve"> However, it is plausible that the effects of race and gender will be less pronounced in the online settings. </w:t>
      </w:r>
      <w:r>
        <w:t xml:space="preserve"> </w:t>
      </w:r>
      <w:r w:rsidR="00B41DAC">
        <w:t>S</w:t>
      </w:r>
      <w:r w:rsidR="008A5EAE">
        <w:t xml:space="preserve">everal studies </w:t>
      </w:r>
      <w:r w:rsidR="00AC54E0">
        <w:t xml:space="preserve">cast doubt on this theory. </w:t>
      </w:r>
      <w:r w:rsidR="00B41DAC">
        <w:t>In particular, experiments have</w:t>
      </w:r>
      <w:r w:rsidR="008A5EAE">
        <w:t xml:space="preserve"> already</w:t>
      </w:r>
      <w:r w:rsidR="00B41DAC">
        <w:t xml:space="preserve"> </w:t>
      </w:r>
      <w:r w:rsidR="008A5EAE">
        <w:t xml:space="preserve">shown that </w:t>
      </w:r>
      <w:r w:rsidR="00B41DAC">
        <w:t>race and gender</w:t>
      </w:r>
      <w:r w:rsidR="008A5EAE">
        <w:t xml:space="preserve"> discrimination </w:t>
      </w:r>
      <w:proofErr w:type="gramStart"/>
      <w:r w:rsidR="008A5EAE">
        <w:t>persists</w:t>
      </w:r>
      <w:proofErr w:type="gramEnd"/>
      <w:r w:rsidR="00B41DAC">
        <w:t xml:space="preserve"> in the online marketplace</w:t>
      </w:r>
      <w:r w:rsidR="008A5EAE">
        <w:t xml:space="preserve">. </w:t>
      </w:r>
      <w:r w:rsidR="00B41DAC">
        <w:t>A</w:t>
      </w:r>
      <w:r w:rsidR="009B5F7F">
        <w:t xml:space="preserve">n experiment on Airbnb </w:t>
      </w:r>
      <w:r w:rsidR="00B41DAC">
        <w:t xml:space="preserve">has </w:t>
      </w:r>
      <w:r w:rsidR="009B5F7F">
        <w:t xml:space="preserve">found that guests with distinctively African-American names are significantly less likely to be accepted than </w:t>
      </w:r>
      <w:r w:rsidR="001B1541">
        <w:t>similarly-situated guests with white-sounding names.</w:t>
      </w:r>
      <w:r w:rsidR="001B1541">
        <w:rPr>
          <w:rStyle w:val="FootnoteReference"/>
        </w:rPr>
        <w:footnoteReference w:id="80"/>
      </w:r>
      <w:r w:rsidR="00BE35D5">
        <w:t xml:space="preserve"> </w:t>
      </w:r>
      <w:r w:rsidR="00A82435">
        <w:t>Similarly, an experiment on eBay has found that women were disadvantage</w:t>
      </w:r>
      <w:r w:rsidR="00F555FD">
        <w:t xml:space="preserve">d </w:t>
      </w:r>
      <w:r w:rsidR="00A82435">
        <w:t>as sellers compared to men, when selling the exact same product in eBay auctions.</w:t>
      </w:r>
      <w:r w:rsidR="00A82435">
        <w:rPr>
          <w:rStyle w:val="FootnoteReference"/>
        </w:rPr>
        <w:footnoteReference w:id="81"/>
      </w:r>
      <w:r w:rsidR="008F4C5D">
        <w:t xml:space="preserve"> These studies suggest that discrimination persists even in online markets. </w:t>
      </w:r>
    </w:p>
    <w:p w14:paraId="5203EE54" w14:textId="7BDADEDC" w:rsidR="00D82F67" w:rsidRDefault="00D82F67" w:rsidP="008379D3"/>
    <w:p w14:paraId="0B90D4D7" w14:textId="7966F7F2" w:rsidR="008379D3" w:rsidRPr="00EF7401" w:rsidRDefault="00D82F67" w:rsidP="00D82F67">
      <w:r>
        <w:t xml:space="preserve">A related question is whether technological advancements, such as </w:t>
      </w:r>
      <w:r w:rsidR="0090677C">
        <w:t xml:space="preserve">the increased use of </w:t>
      </w:r>
      <w:r w:rsidR="00572CD4">
        <w:t xml:space="preserve">algorithmic </w:t>
      </w:r>
      <w:r>
        <w:t>intelligence</w:t>
      </w:r>
      <w:r w:rsidR="00572CD4">
        <w:t xml:space="preserve"> and big data</w:t>
      </w:r>
      <w:r>
        <w:t xml:space="preserve">, would </w:t>
      </w:r>
      <w:r w:rsidR="002F3E05">
        <w:t xml:space="preserve">gradually </w:t>
      </w:r>
      <w:r>
        <w:t xml:space="preserve">replace salespeople’s discretion and </w:t>
      </w:r>
      <w:r w:rsidR="00572CD4">
        <w:t>lead to less biased outcomes</w:t>
      </w:r>
      <w:r>
        <w:t xml:space="preserve">. </w:t>
      </w:r>
      <w:r w:rsidR="008379D3">
        <w:t xml:space="preserve">In the </w:t>
      </w:r>
      <w:r>
        <w:t xml:space="preserve">specific </w:t>
      </w:r>
      <w:r w:rsidR="008379D3">
        <w:t xml:space="preserve">context of product returns, for example, sellers </w:t>
      </w:r>
      <w:r>
        <w:t>are already increasingly</w:t>
      </w:r>
      <w:r w:rsidR="008379D3">
        <w:t xml:space="preserve"> able to track </w:t>
      </w:r>
      <w:r w:rsidR="008379D3">
        <w:rPr>
          <w:lang w:bidi="he-IL"/>
        </w:rPr>
        <w:t>serial</w:t>
      </w:r>
      <w:r w:rsidR="008379D3">
        <w:t xml:space="preserve"> returners automatically. Sellers may choose </w:t>
      </w:r>
      <w:r w:rsidR="002733EA">
        <w:t>whether or not to behave more leniently towards customers seeking to make returns</w:t>
      </w:r>
      <w:r w:rsidR="008379D3">
        <w:t xml:space="preserve"> based on the customers’ purchasing histories.</w:t>
      </w:r>
      <w:r w:rsidR="008379D3">
        <w:rPr>
          <w:rStyle w:val="FootnoteReference"/>
        </w:rPr>
        <w:footnoteReference w:id="82"/>
      </w:r>
      <w:r w:rsidR="008379D3">
        <w:t xml:space="preserve"> </w:t>
      </w:r>
      <w:r w:rsidR="00BE6703">
        <w:t>On one hand</w:t>
      </w:r>
      <w:r w:rsidR="008379D3">
        <w:t>, market discrimination could be reduced if sellers have more transactional information on consumers, such as their purchasing history and past return behavior.</w:t>
      </w:r>
      <w:r w:rsidR="008379D3">
        <w:rPr>
          <w:rStyle w:val="FootnoteReference"/>
        </w:rPr>
        <w:footnoteReference w:id="83"/>
      </w:r>
      <w:r w:rsidR="008379D3">
        <w:t xml:space="preserve"> </w:t>
      </w:r>
      <w:r w:rsidR="000370BE">
        <w:t xml:space="preserve">In addition, </w:t>
      </w:r>
      <w:r w:rsidR="004F345A">
        <w:t xml:space="preserve">sellers could be required to formally exclude protected characteristics such as gender and race from their algorithms. </w:t>
      </w:r>
      <w:r w:rsidR="008454CF">
        <w:t xml:space="preserve">Yet, </w:t>
      </w:r>
      <w:r w:rsidR="004F345A">
        <w:t>recent research in the domain of algorithmic credit pricing</w:t>
      </w:r>
      <w:r w:rsidR="008307F4">
        <w:t xml:space="preserve"> suggests that</w:t>
      </w:r>
      <w:r w:rsidR="004F345A">
        <w:t xml:space="preserve"> </w:t>
      </w:r>
      <w:r w:rsidR="005511CD">
        <w:lastRenderedPageBreak/>
        <w:t>discrimination is likely to persist even when sellers scrutinize algorithmic input. The ubiquity of correlations in big data, combined with the flexibility and complexity of machin</w:t>
      </w:r>
      <w:r w:rsidR="004C7B14">
        <w:t>e</w:t>
      </w:r>
      <w:r w:rsidR="005511CD">
        <w:t xml:space="preserve"> learning, </w:t>
      </w:r>
      <w:r w:rsidR="00EB1055">
        <w:t>threaten to perpetuate existing disparities.</w:t>
      </w:r>
      <w:r w:rsidR="00EB1055">
        <w:rPr>
          <w:rStyle w:val="FootnoteReference"/>
        </w:rPr>
        <w:footnoteReference w:id="84"/>
      </w:r>
    </w:p>
    <w:p w14:paraId="4E41FE0B" w14:textId="77777777" w:rsidR="008379D3" w:rsidRPr="00EF7401" w:rsidRDefault="008379D3" w:rsidP="008379D3">
      <w:pPr>
        <w:ind w:firstLine="0"/>
      </w:pPr>
    </w:p>
    <w:p w14:paraId="4873A935" w14:textId="77777777" w:rsidR="008379D3" w:rsidRDefault="008379D3" w:rsidP="00997D2B">
      <w:pPr>
        <w:rPr>
          <w:rtl/>
          <w:lang w:bidi="he-IL"/>
        </w:rPr>
      </w:pPr>
    </w:p>
    <w:p w14:paraId="29804837" w14:textId="055EF4DE" w:rsidR="00997D2B" w:rsidRDefault="00963762" w:rsidP="00963762">
      <w:pPr>
        <w:pStyle w:val="Heading1"/>
        <w:rPr>
          <w:lang w:bidi="he-IL"/>
        </w:rPr>
      </w:pPr>
      <w:r>
        <w:rPr>
          <w:lang w:bidi="he-IL"/>
        </w:rPr>
        <w:t xml:space="preserve">V. </w:t>
      </w:r>
      <w:r w:rsidR="00D62D54">
        <w:rPr>
          <w:lang w:bidi="he-IL"/>
        </w:rPr>
        <w:t>Taking Away the License to Discriminate</w:t>
      </w:r>
    </w:p>
    <w:p w14:paraId="0349EB64" w14:textId="77777777" w:rsidR="00D94212" w:rsidRDefault="00D94212" w:rsidP="003B646B">
      <w:pPr>
        <w:ind w:firstLine="0"/>
        <w:rPr>
          <w:lang w:bidi="he-IL"/>
        </w:rPr>
      </w:pPr>
    </w:p>
    <w:p w14:paraId="2B24BBF9" w14:textId="77777777" w:rsidR="006232E9" w:rsidRDefault="00D94212" w:rsidP="00963762">
      <w:pPr>
        <w:rPr>
          <w:lang w:bidi="he-IL"/>
        </w:rPr>
      </w:pPr>
      <w:r>
        <w:rPr>
          <w:lang w:bidi="he-IL"/>
        </w:rPr>
        <w:t xml:space="preserve">This Article provides systematic empirical evidence showing that </w:t>
      </w:r>
      <w:r w:rsidR="00654456">
        <w:rPr>
          <w:lang w:bidi="he-IL"/>
        </w:rPr>
        <w:t xml:space="preserve">selective enforcement of consumer contracts might lead to racial </w:t>
      </w:r>
      <w:r w:rsidR="00D9513F">
        <w:rPr>
          <w:lang w:bidi="he-IL"/>
        </w:rPr>
        <w:t>and gender discrimination. In this experiment,</w:t>
      </w:r>
      <w:r w:rsidR="00E75EF7">
        <w:rPr>
          <w:lang w:bidi="he-IL"/>
        </w:rPr>
        <w:t xml:space="preserve"> sellers’</w:t>
      </w:r>
      <w:r w:rsidR="00D9513F">
        <w:rPr>
          <w:lang w:bidi="he-IL"/>
        </w:rPr>
        <w:t xml:space="preserve"> </w:t>
      </w:r>
      <w:r w:rsidR="00C25513">
        <w:rPr>
          <w:lang w:bidi="he-IL"/>
        </w:rPr>
        <w:t xml:space="preserve">discretionary performance of </w:t>
      </w:r>
      <w:r w:rsidR="00E75EF7">
        <w:rPr>
          <w:lang w:bidi="he-IL"/>
        </w:rPr>
        <w:t xml:space="preserve">their </w:t>
      </w:r>
      <w:r w:rsidR="00D41092">
        <w:rPr>
          <w:lang w:bidi="he-IL"/>
        </w:rPr>
        <w:t xml:space="preserve">return policies disproportionately </w:t>
      </w:r>
      <w:r w:rsidR="00D9513F">
        <w:rPr>
          <w:lang w:bidi="he-IL"/>
        </w:rPr>
        <w:t xml:space="preserve">harmed African-American consumers </w:t>
      </w:r>
      <w:r w:rsidR="007B5F0D">
        <w:rPr>
          <w:lang w:bidi="he-IL"/>
        </w:rPr>
        <w:t xml:space="preserve">compared to similarly-situated white consumers. </w:t>
      </w:r>
    </w:p>
    <w:p w14:paraId="6FDB1CA5" w14:textId="77777777" w:rsidR="006232E9" w:rsidRDefault="006232E9" w:rsidP="00963762">
      <w:pPr>
        <w:rPr>
          <w:lang w:bidi="he-IL"/>
        </w:rPr>
      </w:pPr>
    </w:p>
    <w:p w14:paraId="07BC9D5F" w14:textId="77777777" w:rsidR="006232E9" w:rsidRDefault="007B5F0D" w:rsidP="00963762">
      <w:pPr>
        <w:rPr>
          <w:lang w:bidi="he-IL"/>
        </w:rPr>
      </w:pPr>
      <w:r>
        <w:rPr>
          <w:lang w:bidi="he-IL"/>
        </w:rPr>
        <w:t xml:space="preserve">These findings suggest that </w:t>
      </w:r>
      <w:r w:rsidR="00CD36C8">
        <w:rPr>
          <w:lang w:bidi="he-IL"/>
        </w:rPr>
        <w:t xml:space="preserve">sellers’ strategy of complementing seemingly harsh or incomplete contract terms with an internal policy allowing their representatives discretion in </w:t>
      </w:r>
      <w:r w:rsidR="00AB78F9">
        <w:rPr>
          <w:lang w:bidi="he-IL"/>
        </w:rPr>
        <w:t>exercising</w:t>
      </w:r>
      <w:r w:rsidR="00CD36C8">
        <w:rPr>
          <w:lang w:bidi="he-IL"/>
        </w:rPr>
        <w:t xml:space="preserve"> their contractual </w:t>
      </w:r>
      <w:r w:rsidR="00AB78F9">
        <w:rPr>
          <w:lang w:bidi="he-IL"/>
        </w:rPr>
        <w:t xml:space="preserve">rights (or </w:t>
      </w:r>
      <w:r w:rsidR="00C94D62">
        <w:rPr>
          <w:lang w:bidi="he-IL"/>
        </w:rPr>
        <w:t xml:space="preserve">even in </w:t>
      </w:r>
      <w:r w:rsidR="00AB78F9">
        <w:rPr>
          <w:lang w:bidi="he-IL"/>
        </w:rPr>
        <w:t>performing their duties) may often yield regressive distributional outcomes and generate welfare losses.</w:t>
      </w:r>
    </w:p>
    <w:p w14:paraId="68987D8A" w14:textId="77777777" w:rsidR="006232E9" w:rsidRDefault="006232E9" w:rsidP="00963762">
      <w:pPr>
        <w:rPr>
          <w:lang w:bidi="he-IL"/>
        </w:rPr>
      </w:pPr>
    </w:p>
    <w:p w14:paraId="68EBA0ED" w14:textId="77777777" w:rsidR="006232E9" w:rsidRDefault="00AB78F9" w:rsidP="00963762">
      <w:pPr>
        <w:rPr>
          <w:lang w:bidi="he-IL"/>
        </w:rPr>
      </w:pPr>
      <w:r>
        <w:rPr>
          <w:lang w:bidi="he-IL"/>
        </w:rPr>
        <w:t xml:space="preserve"> </w:t>
      </w:r>
      <w:r w:rsidR="00295883">
        <w:rPr>
          <w:lang w:bidi="he-IL"/>
        </w:rPr>
        <w:t>One seemingly straight-forward fix is to prohibit sellers from deviating from the letter of the contract.</w:t>
      </w:r>
      <w:r w:rsidR="00BA6492">
        <w:rPr>
          <w:rStyle w:val="FootnoteReference"/>
          <w:lang w:bidi="he-IL"/>
        </w:rPr>
        <w:footnoteReference w:id="85"/>
      </w:r>
      <w:r w:rsidR="00295883">
        <w:rPr>
          <w:lang w:bidi="he-IL"/>
        </w:rPr>
        <w:t xml:space="preserve"> Yet, this solution is probably very difficult, if not infeasible, to implement</w:t>
      </w:r>
      <w:r w:rsidR="00BA7F9B">
        <w:rPr>
          <w:lang w:bidi="he-IL"/>
        </w:rPr>
        <w:t xml:space="preserve"> and enforce</w:t>
      </w:r>
      <w:r w:rsidR="00295883">
        <w:rPr>
          <w:lang w:bidi="he-IL"/>
        </w:rPr>
        <w:t xml:space="preserve">, given sellers’ strong incentives to </w:t>
      </w:r>
      <w:r w:rsidR="00747968">
        <w:rPr>
          <w:lang w:bidi="he-IL"/>
        </w:rPr>
        <w:t>violate such prohibitions</w:t>
      </w:r>
      <w:r w:rsidR="00BA7F9B">
        <w:rPr>
          <w:lang w:bidi="he-IL"/>
        </w:rPr>
        <w:t xml:space="preserve">. Who is to know if a store clerk allows a customer to exchange an item or offers store credit even when the </w:t>
      </w:r>
      <w:r w:rsidR="00521678">
        <w:rPr>
          <w:lang w:bidi="he-IL"/>
        </w:rPr>
        <w:t xml:space="preserve">formal policy is “no returns”? </w:t>
      </w:r>
    </w:p>
    <w:p w14:paraId="63B9236E" w14:textId="77777777" w:rsidR="006232E9" w:rsidRDefault="006232E9" w:rsidP="00963762">
      <w:pPr>
        <w:rPr>
          <w:lang w:bidi="he-IL"/>
        </w:rPr>
      </w:pPr>
    </w:p>
    <w:p w14:paraId="556A9FF0" w14:textId="77777777" w:rsidR="006232E9" w:rsidRDefault="00521678" w:rsidP="00963762">
      <w:pPr>
        <w:rPr>
          <w:lang w:bidi="he-IL"/>
        </w:rPr>
      </w:pPr>
      <w:r>
        <w:rPr>
          <w:lang w:bidi="he-IL"/>
        </w:rPr>
        <w:t>Furthermore, enforcement agencies will have very limited incentive to investigate and prosecute such violations, especially in the context of “small-stakes” violations or minor deviations from the contract terms. More importantly, perhaps, such a strict prohibition on deviations from the contract</w:t>
      </w:r>
      <w:r w:rsidR="00747968">
        <w:rPr>
          <w:lang w:bidi="he-IL"/>
        </w:rPr>
        <w:t xml:space="preserve"> might generate unwarranted outcomes—for example, if sellers choose to enforce one-sided terms against all consu</w:t>
      </w:r>
      <w:r w:rsidR="00EB16BA">
        <w:rPr>
          <w:lang w:bidi="he-IL"/>
        </w:rPr>
        <w:t>mers as a result.</w:t>
      </w:r>
      <w:r w:rsidR="00C57C30">
        <w:rPr>
          <w:lang w:bidi="he-IL"/>
        </w:rPr>
        <w:t xml:space="preserve"> </w:t>
      </w:r>
    </w:p>
    <w:p w14:paraId="23F241D4" w14:textId="77777777" w:rsidR="006232E9" w:rsidRDefault="006232E9" w:rsidP="00963762">
      <w:pPr>
        <w:rPr>
          <w:lang w:bidi="he-IL"/>
        </w:rPr>
      </w:pPr>
    </w:p>
    <w:p w14:paraId="3624CB40" w14:textId="77777777" w:rsidR="001B43C5" w:rsidRDefault="00C57C30" w:rsidP="001B43C5">
      <w:pPr>
        <w:rPr>
          <w:lang w:bidi="he-IL"/>
        </w:rPr>
      </w:pPr>
      <w:r>
        <w:rPr>
          <w:lang w:bidi="he-IL"/>
        </w:rPr>
        <w:t xml:space="preserve">While </w:t>
      </w:r>
      <w:r w:rsidR="005A79F4">
        <w:rPr>
          <w:lang w:bidi="he-IL"/>
        </w:rPr>
        <w:t xml:space="preserve">enforcing the one-sided term against all consumers may be more equitable than enforcing it only against some consumers based on their race </w:t>
      </w:r>
      <w:r w:rsidR="005A79F4">
        <w:rPr>
          <w:lang w:bidi="he-IL"/>
        </w:rPr>
        <w:lastRenderedPageBreak/>
        <w:t xml:space="preserve">or other suspect grounds, it is still inferior to solutions that may allow sellers flexibility in performing contracts while still prohibiting discrimination. </w:t>
      </w:r>
      <w:r w:rsidR="001B43C5">
        <w:rPr>
          <w:lang w:bidi="he-IL"/>
        </w:rPr>
        <w:t>P</w:t>
      </w:r>
      <w:r w:rsidR="005A79F4">
        <w:rPr>
          <w:lang w:bidi="he-IL"/>
        </w:rPr>
        <w:t xml:space="preserve">ut differently, a better solution would allow sellers to distinguish between opportunistic and good-faith buyers </w:t>
      </w:r>
      <w:r w:rsidR="00FF688E">
        <w:rPr>
          <w:lang w:bidi="he-IL"/>
        </w:rPr>
        <w:t>and exercise discretion on a case-by-case basis, while still preventing them from discriminating against minority consumers.</w:t>
      </w:r>
      <w:r w:rsidR="00EB16BA">
        <w:rPr>
          <w:lang w:bidi="he-IL"/>
        </w:rPr>
        <w:t xml:space="preserve"> </w:t>
      </w:r>
    </w:p>
    <w:p w14:paraId="6741653A" w14:textId="77777777" w:rsidR="001B43C5" w:rsidRDefault="001B43C5" w:rsidP="001B43C5">
      <w:pPr>
        <w:rPr>
          <w:lang w:bidi="he-IL"/>
        </w:rPr>
      </w:pPr>
    </w:p>
    <w:p w14:paraId="0A7260E5" w14:textId="7D37E5A2" w:rsidR="00D94212" w:rsidRDefault="00FF688E" w:rsidP="001B43C5">
      <w:pPr>
        <w:rPr>
          <w:lang w:bidi="he-IL"/>
        </w:rPr>
      </w:pPr>
      <w:r>
        <w:rPr>
          <w:lang w:bidi="he-IL"/>
        </w:rPr>
        <w:t xml:space="preserve">Finally, </w:t>
      </w:r>
      <w:r w:rsidR="00EB16BA">
        <w:rPr>
          <w:lang w:bidi="he-IL"/>
        </w:rPr>
        <w:t xml:space="preserve">many contracts are relational in nature and develop all the time. It cannot be expected of sellers to predict all contingencies ex ante and write them into the contract. A solution that allows sellers discretion in the performance of their contracts, but prohibits discriminatory enforcement of contracts, is thus </w:t>
      </w:r>
      <w:r w:rsidR="001B43C5">
        <w:rPr>
          <w:lang w:bidi="he-IL"/>
        </w:rPr>
        <w:t>preferable</w:t>
      </w:r>
      <w:r w:rsidR="00EB16BA">
        <w:rPr>
          <w:lang w:bidi="he-IL"/>
        </w:rPr>
        <w:t xml:space="preserve">. </w:t>
      </w:r>
    </w:p>
    <w:p w14:paraId="6385B287" w14:textId="1B1EC361" w:rsidR="00EB16BA" w:rsidRDefault="00EB16BA" w:rsidP="00963762">
      <w:pPr>
        <w:rPr>
          <w:lang w:bidi="he-IL"/>
        </w:rPr>
      </w:pPr>
    </w:p>
    <w:p w14:paraId="5E5BB009" w14:textId="7626EF2D" w:rsidR="007606A4" w:rsidRDefault="00117B99" w:rsidP="00963762">
      <w:pPr>
        <w:rPr>
          <w:lang w:bidi="he-IL"/>
        </w:rPr>
      </w:pPr>
      <w:r>
        <w:rPr>
          <w:lang w:bidi="he-IL"/>
        </w:rPr>
        <w:t>The problem is that</w:t>
      </w:r>
      <w:r w:rsidR="00633F2E">
        <w:rPr>
          <w:lang w:bidi="he-IL"/>
        </w:rPr>
        <w:t>,</w:t>
      </w:r>
      <w:r>
        <w:rPr>
          <w:lang w:bidi="he-IL"/>
        </w:rPr>
        <w:t xml:space="preserve"> to date, </w:t>
      </w:r>
      <w:r w:rsidR="00633F2E">
        <w:rPr>
          <w:lang w:bidi="he-IL"/>
        </w:rPr>
        <w:t>many</w:t>
      </w:r>
      <w:r w:rsidR="0068643E">
        <w:rPr>
          <w:lang w:bidi="he-IL"/>
        </w:rPr>
        <w:t xml:space="preserve"> forms of </w:t>
      </w:r>
      <w:r w:rsidR="00633F2E">
        <w:rPr>
          <w:lang w:bidi="he-IL"/>
        </w:rPr>
        <w:t xml:space="preserve">marketplace </w:t>
      </w:r>
      <w:r w:rsidR="0068643E">
        <w:rPr>
          <w:lang w:bidi="he-IL"/>
        </w:rPr>
        <w:t xml:space="preserve">discrimination, including discriminatory performance of </w:t>
      </w:r>
      <w:r w:rsidR="00633F2E">
        <w:rPr>
          <w:lang w:bidi="he-IL"/>
        </w:rPr>
        <w:t xml:space="preserve">consumer </w:t>
      </w:r>
      <w:r w:rsidR="0068643E">
        <w:rPr>
          <w:lang w:bidi="he-IL"/>
        </w:rPr>
        <w:t>contracts, are not explicitly prohibited</w:t>
      </w:r>
      <w:r w:rsidR="0090603A">
        <w:rPr>
          <w:lang w:bidi="he-IL"/>
        </w:rPr>
        <w:t>, either at the state or federal level</w:t>
      </w:r>
      <w:r w:rsidR="00D17206">
        <w:rPr>
          <w:lang w:bidi="he-IL"/>
        </w:rPr>
        <w:t xml:space="preserve">. </w:t>
      </w:r>
      <w:r w:rsidR="00274AA6">
        <w:rPr>
          <w:lang w:bidi="he-IL"/>
        </w:rPr>
        <w:t>More generally, antidiscrimination law is a patchwork of federal and state statutes that leave notable gaps</w:t>
      </w:r>
      <w:r w:rsidR="00FB6CAB">
        <w:rPr>
          <w:lang w:bidi="he-IL"/>
        </w:rPr>
        <w:t xml:space="preserve">. </w:t>
      </w:r>
    </w:p>
    <w:p w14:paraId="241CFF4D" w14:textId="77777777" w:rsidR="007606A4" w:rsidRDefault="007606A4" w:rsidP="00963762">
      <w:pPr>
        <w:rPr>
          <w:lang w:bidi="he-IL"/>
        </w:rPr>
      </w:pPr>
    </w:p>
    <w:p w14:paraId="077AE4A6" w14:textId="5056ACB5" w:rsidR="007606A4" w:rsidRDefault="009C5385" w:rsidP="008B4F6C">
      <w:pPr>
        <w:rPr>
          <w:lang w:bidi="he-IL"/>
        </w:rPr>
      </w:pPr>
      <w:r w:rsidRPr="009C5385">
        <w:rPr>
          <w:lang w:bidi="he-IL"/>
        </w:rPr>
        <w:t>Indeed</w:t>
      </w:r>
      <w:r w:rsidR="007606A4" w:rsidRPr="009C5385">
        <w:rPr>
          <w:lang w:bidi="he-IL"/>
        </w:rPr>
        <w:t>,</w:t>
      </w:r>
      <w:r w:rsidR="00B16A1A">
        <w:rPr>
          <w:lang w:bidi="he-IL"/>
        </w:rPr>
        <w:t xml:space="preserve"> at</w:t>
      </w:r>
      <w:r w:rsidR="002E3889">
        <w:rPr>
          <w:lang w:bidi="he-IL"/>
        </w:rPr>
        <w:t xml:space="preserve"> both</w:t>
      </w:r>
      <w:r w:rsidR="00B16A1A">
        <w:rPr>
          <w:lang w:bidi="he-IL"/>
        </w:rPr>
        <w:t xml:space="preserve"> the</w:t>
      </w:r>
      <w:r w:rsidR="002E3889">
        <w:rPr>
          <w:lang w:bidi="he-IL"/>
        </w:rPr>
        <w:t xml:space="preserve"> state and</w:t>
      </w:r>
      <w:r w:rsidR="00B16A1A">
        <w:rPr>
          <w:lang w:bidi="he-IL"/>
        </w:rPr>
        <w:t xml:space="preserve"> federal level</w:t>
      </w:r>
      <w:r w:rsidR="002E3889">
        <w:rPr>
          <w:lang w:bidi="he-IL"/>
        </w:rPr>
        <w:t>s</w:t>
      </w:r>
      <w:r w:rsidR="00B16A1A">
        <w:rPr>
          <w:lang w:bidi="he-IL"/>
        </w:rPr>
        <w:t>, antidiscrimination laws exist.</w:t>
      </w:r>
      <w:r w:rsidR="007606A4" w:rsidRPr="009C5385">
        <w:rPr>
          <w:lang w:bidi="he-IL"/>
        </w:rPr>
        <w:t xml:space="preserve"> </w:t>
      </w:r>
      <w:r w:rsidR="00B16A1A">
        <w:rPr>
          <w:lang w:bidi="he-IL"/>
        </w:rPr>
        <w:t>T</w:t>
      </w:r>
      <w:r w:rsidR="007606A4" w:rsidRPr="009C5385">
        <w:rPr>
          <w:lang w:bidi="he-IL"/>
        </w:rPr>
        <w:t xml:space="preserve">he Civil Rights Act of </w:t>
      </w:r>
      <w:r>
        <w:rPr>
          <w:lang w:bidi="he-IL"/>
        </w:rPr>
        <w:t>1966</w:t>
      </w:r>
      <w:r w:rsidR="007606A4" w:rsidRPr="009C5385">
        <w:rPr>
          <w:lang w:bidi="he-IL"/>
        </w:rPr>
        <w:t xml:space="preserve"> prohibits discrimination in hotels and other public accommodations based on race, color, religion, or national origin. </w:t>
      </w:r>
      <w:r w:rsidR="008B4F6C">
        <w:rPr>
          <w:lang w:bidi="he-IL"/>
        </w:rPr>
        <w:t>Section 1981 specifically guarantees to “[a]</w:t>
      </w:r>
      <w:proofErr w:type="spellStart"/>
      <w:r w:rsidR="008B4F6C">
        <w:rPr>
          <w:lang w:bidi="he-IL"/>
        </w:rPr>
        <w:t>ll</w:t>
      </w:r>
      <w:proofErr w:type="spellEnd"/>
      <w:r w:rsidR="008B4F6C">
        <w:rPr>
          <w:lang w:bidi="he-IL"/>
        </w:rPr>
        <w:t xml:space="preserve"> persons within the jurisdiction of the United States” the same right as “white citizens” to “make and enforce contracts</w:t>
      </w:r>
      <w:r w:rsidR="003F5541">
        <w:rPr>
          <w:lang w:bidi="he-IL"/>
        </w:rPr>
        <w:t>,” and prohibits discrimination on the basis of race, ethnicity, alienage, religion, and color.</w:t>
      </w:r>
      <w:r w:rsidR="00792C3C">
        <w:rPr>
          <w:rStyle w:val="FootnoteReference"/>
          <w:lang w:bidi="he-IL"/>
        </w:rPr>
        <w:footnoteReference w:id="86"/>
      </w:r>
      <w:r w:rsidR="007606A4">
        <w:rPr>
          <w:lang w:bidi="he-IL"/>
        </w:rPr>
        <w:t xml:space="preserve"> </w:t>
      </w:r>
      <w:r w:rsidR="008704D9">
        <w:rPr>
          <w:lang w:bidi="he-IL"/>
        </w:rPr>
        <w:t>Section 1982 similarly prohibits intentional discrimination in real and personal property transactions</w:t>
      </w:r>
      <w:r w:rsidR="008704D9" w:rsidRPr="005D3134">
        <w:rPr>
          <w:highlight w:val="green"/>
          <w:lang w:bidi="he-IL"/>
        </w:rPr>
        <w:t>.</w:t>
      </w:r>
      <w:r w:rsidR="008704D9" w:rsidRPr="005D3134">
        <w:rPr>
          <w:rStyle w:val="FootnoteReference"/>
          <w:highlight w:val="green"/>
          <w:lang w:bidi="he-IL"/>
        </w:rPr>
        <w:footnoteReference w:id="87"/>
      </w:r>
      <w:r w:rsidR="00663B15">
        <w:rPr>
          <w:lang w:bidi="he-IL"/>
        </w:rPr>
        <w:t xml:space="preserve"> Yet, neither of these statutes </w:t>
      </w:r>
      <w:r w:rsidR="00613B92">
        <w:rPr>
          <w:lang w:bidi="he-IL"/>
        </w:rPr>
        <w:t>recognizes</w:t>
      </w:r>
      <w:r w:rsidR="00663B15">
        <w:rPr>
          <w:lang w:bidi="he-IL"/>
        </w:rPr>
        <w:t xml:space="preserve"> </w:t>
      </w:r>
      <w:r w:rsidR="00613B92">
        <w:rPr>
          <w:lang w:bidi="he-IL"/>
        </w:rPr>
        <w:t>disparate impact</w:t>
      </w:r>
      <w:r w:rsidR="002E3889">
        <w:rPr>
          <w:lang w:bidi="he-IL"/>
        </w:rPr>
        <w:t xml:space="preserve"> or prohibits discriminatory enforcement of contracts</w:t>
      </w:r>
      <w:r w:rsidR="003D4B67">
        <w:rPr>
          <w:lang w:bidi="he-IL"/>
        </w:rPr>
        <w:t>.</w:t>
      </w:r>
      <w:r w:rsidR="005D3134">
        <w:rPr>
          <w:rStyle w:val="FootnoteReference"/>
          <w:lang w:bidi="he-IL"/>
        </w:rPr>
        <w:footnoteReference w:id="88"/>
      </w:r>
      <w:r w:rsidR="00613B92">
        <w:rPr>
          <w:lang w:bidi="he-IL"/>
        </w:rPr>
        <w:t xml:space="preserve"> </w:t>
      </w:r>
    </w:p>
    <w:p w14:paraId="52CF39E8" w14:textId="1D045036" w:rsidR="005D3134" w:rsidRDefault="005D3134" w:rsidP="008B4F6C">
      <w:pPr>
        <w:rPr>
          <w:lang w:bidi="he-IL"/>
        </w:rPr>
      </w:pPr>
    </w:p>
    <w:p w14:paraId="2F77F64A" w14:textId="780F0077" w:rsidR="005D3134" w:rsidRDefault="00AB386D" w:rsidP="005D3134">
      <w:pPr>
        <w:rPr>
          <w:lang w:bidi="he-IL"/>
        </w:rPr>
      </w:pPr>
      <w:r>
        <w:rPr>
          <w:lang w:bidi="he-IL"/>
        </w:rPr>
        <w:t>Other federal regulations have traditionally focused on credit and housing discrimination</w:t>
      </w:r>
      <w:r w:rsidR="00FD3DE4">
        <w:rPr>
          <w:lang w:bidi="he-IL"/>
        </w:rPr>
        <w:t>. For example, t</w:t>
      </w:r>
      <w:r w:rsidR="005D3134">
        <w:rPr>
          <w:lang w:bidi="he-IL"/>
        </w:rPr>
        <w:t>he Equal Credit Opportunity Act (ECOA) prohibits discrimination in credit transaction</w:t>
      </w:r>
      <w:r w:rsidR="00893204">
        <w:rPr>
          <w:lang w:bidi="he-IL"/>
        </w:rPr>
        <w:t>s</w:t>
      </w:r>
      <w:r w:rsidR="005D3134">
        <w:rPr>
          <w:lang w:bidi="he-IL"/>
        </w:rPr>
        <w:t xml:space="preserve"> against persons on the basis of race, color, religion, national origin, sex, age, and other suspect grounds. Similarly, the Fair Housing Act prohibits creditors involved in </w:t>
      </w:r>
      <w:r w:rsidR="005D3134">
        <w:rPr>
          <w:lang w:bidi="he-IL"/>
        </w:rPr>
        <w:lastRenderedPageBreak/>
        <w:t xml:space="preserve">residential real-estate transactions from discriminating against any person on the basis of race, color, religion, sex, handicap, familiar status, or national origin. </w:t>
      </w:r>
      <w:r w:rsidR="00FD3DE4">
        <w:rPr>
          <w:lang w:bidi="he-IL"/>
        </w:rPr>
        <w:t>Yet, even in these limited contexts</w:t>
      </w:r>
      <w:r w:rsidR="00C71ABE">
        <w:rPr>
          <w:lang w:bidi="he-IL"/>
        </w:rPr>
        <w:t xml:space="preserve">, it is unclear whether “disparate impact” discrimination is prohibited in addition to </w:t>
      </w:r>
      <w:r w:rsidR="004F647E">
        <w:rPr>
          <w:lang w:bidi="he-IL"/>
        </w:rPr>
        <w:t xml:space="preserve">intentional, disparate treatment. </w:t>
      </w:r>
    </w:p>
    <w:p w14:paraId="094CA60A" w14:textId="5C8A7A70" w:rsidR="00590267" w:rsidRDefault="00590267" w:rsidP="005D3134">
      <w:pPr>
        <w:rPr>
          <w:lang w:bidi="he-IL"/>
        </w:rPr>
      </w:pPr>
    </w:p>
    <w:p w14:paraId="766A53C6" w14:textId="01006DD4" w:rsidR="00CD1DD1" w:rsidRDefault="00590267" w:rsidP="005D3134">
      <w:pPr>
        <w:rPr>
          <w:lang w:bidi="he-IL"/>
        </w:rPr>
      </w:pPr>
      <w:r>
        <w:rPr>
          <w:lang w:bidi="he-IL"/>
        </w:rPr>
        <w:t>This Article proposes that</w:t>
      </w:r>
      <w:r w:rsidR="00847FF6">
        <w:rPr>
          <w:lang w:bidi="he-IL"/>
        </w:rPr>
        <w:t xml:space="preserve"> discriminatory enforcement of consumer contracts be explicitly prohibited and sanctioned</w:t>
      </w:r>
      <w:r w:rsidR="00A93FE1">
        <w:rPr>
          <w:lang w:bidi="he-IL"/>
        </w:rPr>
        <w:t xml:space="preserve"> by legislatures. </w:t>
      </w:r>
      <w:r w:rsidR="0094408A">
        <w:rPr>
          <w:lang w:bidi="he-IL"/>
        </w:rPr>
        <w:t>One possibility is to explicitly recognize that such discrimination is</w:t>
      </w:r>
      <w:r w:rsidR="00D67C99">
        <w:rPr>
          <w:lang w:bidi="he-IL"/>
        </w:rPr>
        <w:t xml:space="preserve"> </w:t>
      </w:r>
      <w:r w:rsidR="00252704">
        <w:rPr>
          <w:lang w:bidi="he-IL"/>
        </w:rPr>
        <w:t xml:space="preserve">an “unfair” or “abusive” act or practice </w:t>
      </w:r>
      <w:r w:rsidR="00CD1DD1">
        <w:rPr>
          <w:lang w:bidi="he-IL"/>
        </w:rPr>
        <w:t>covered by federal and state laws prohibiting unfair, deceptive, and sometimes abusive acts or practices (“UDAP” laws). Both t</w:t>
      </w:r>
      <w:r w:rsidR="00FE1CE7">
        <w:rPr>
          <w:lang w:bidi="he-IL"/>
        </w:rPr>
        <w:t xml:space="preserve">he Consumer Financial Protection Bureau (CFPB) and </w:t>
      </w:r>
      <w:r w:rsidR="00CD1DD1">
        <w:rPr>
          <w:lang w:bidi="he-IL"/>
        </w:rPr>
        <w:t xml:space="preserve">the </w:t>
      </w:r>
      <w:r w:rsidR="00FE1CE7">
        <w:rPr>
          <w:lang w:bidi="he-IL"/>
        </w:rPr>
        <w:t xml:space="preserve">Federal Trade Commission (FTC) have authority to </w:t>
      </w:r>
      <w:r w:rsidR="00154856">
        <w:rPr>
          <w:lang w:bidi="he-IL"/>
        </w:rPr>
        <w:t>take action to prevent service providers from engaging in unfair acts or practices</w:t>
      </w:r>
      <w:r w:rsidR="002C2D3D">
        <w:rPr>
          <w:lang w:bidi="he-IL"/>
        </w:rPr>
        <w:t xml:space="preserve"> when transacting with consumers.</w:t>
      </w:r>
      <w:r w:rsidR="00804713">
        <w:rPr>
          <w:rStyle w:val="FootnoteReference"/>
          <w:lang w:bidi="he-IL"/>
        </w:rPr>
        <w:footnoteReference w:id="89"/>
      </w:r>
      <w:r w:rsidR="00504650">
        <w:rPr>
          <w:lang w:bidi="he-IL"/>
        </w:rPr>
        <w:t xml:space="preserve"> </w:t>
      </w:r>
    </w:p>
    <w:p w14:paraId="32C8C91A" w14:textId="77777777" w:rsidR="00CD1DD1" w:rsidRDefault="00CD1DD1" w:rsidP="005D3134">
      <w:pPr>
        <w:rPr>
          <w:lang w:bidi="he-IL"/>
        </w:rPr>
      </w:pPr>
    </w:p>
    <w:p w14:paraId="47880C5B" w14:textId="7C045E5B" w:rsidR="00590267" w:rsidRPr="00804713" w:rsidRDefault="00504650" w:rsidP="005D3134">
      <w:r>
        <w:rPr>
          <w:lang w:bidi="he-IL"/>
        </w:rPr>
        <w:t>An “unfair” (or “abusive”) act is defined as an act that is likely to cause substantial injury to consumers, is not reasonably avoidable, and is not outweigh</w:t>
      </w:r>
      <w:r w:rsidR="00856BC1">
        <w:rPr>
          <w:lang w:bidi="he-IL"/>
        </w:rPr>
        <w:t>ed by countervailing benefits to consumers or competition.</w:t>
      </w:r>
      <w:r w:rsidR="00856BC1">
        <w:rPr>
          <w:rStyle w:val="FootnoteReference"/>
          <w:lang w:bidi="he-IL"/>
        </w:rPr>
        <w:footnoteReference w:id="90"/>
      </w:r>
      <w:r w:rsidR="00421897">
        <w:rPr>
          <w:lang w:bidi="he-IL"/>
        </w:rPr>
        <w:t xml:space="preserve"> Until explicit legislation is passed,</w:t>
      </w:r>
      <w:r w:rsidR="00856BC1">
        <w:rPr>
          <w:lang w:bidi="he-IL"/>
        </w:rPr>
        <w:t xml:space="preserve"> </w:t>
      </w:r>
      <w:r w:rsidR="00421897">
        <w:rPr>
          <w:lang w:bidi="he-IL"/>
        </w:rPr>
        <w:t>courts could interpret current UDAP laws as prohibiting</w:t>
      </w:r>
      <w:r w:rsidR="00892325">
        <w:rPr>
          <w:lang w:bidi="he-IL"/>
        </w:rPr>
        <w:t xml:space="preserve"> discriminatory performance of consumer contracts</w:t>
      </w:r>
      <w:r w:rsidR="00285B29">
        <w:rPr>
          <w:lang w:bidi="he-IL"/>
        </w:rPr>
        <w:t>.</w:t>
      </w:r>
      <w:r w:rsidR="00C13C1E">
        <w:rPr>
          <w:rStyle w:val="FootnoteReference"/>
          <w:lang w:bidi="he-IL"/>
        </w:rPr>
        <w:footnoteReference w:id="91"/>
      </w:r>
      <w:r w:rsidR="00285B29">
        <w:rPr>
          <w:lang w:bidi="he-IL"/>
        </w:rPr>
        <w:t xml:space="preserve"> </w:t>
      </w:r>
      <w:r w:rsidR="00413B4C">
        <w:rPr>
          <w:lang w:bidi="he-IL"/>
        </w:rPr>
        <w:t xml:space="preserve">Note that it is crucial not to require that regulators prove that </w:t>
      </w:r>
      <w:r w:rsidR="001C0FFA">
        <w:rPr>
          <w:lang w:bidi="he-IL"/>
        </w:rPr>
        <w:t>the practice is intentional. Rather</w:t>
      </w:r>
      <w:r w:rsidR="00372A16">
        <w:rPr>
          <w:lang w:bidi="he-IL"/>
        </w:rPr>
        <w:t xml:space="preserve"> than requiring the showing of intend to discriminate, all regulators should be required to prove is disparate impac</w:t>
      </w:r>
      <w:r w:rsidR="00BA6FB1">
        <w:rPr>
          <w:lang w:bidi="he-IL"/>
        </w:rPr>
        <w:t>t, i.e., that a facially neutral policy or practice disproportionately harms members of protected classes</w:t>
      </w:r>
      <w:r w:rsidR="004E25ED">
        <w:rPr>
          <w:lang w:bidi="he-IL"/>
        </w:rPr>
        <w:t>.</w:t>
      </w:r>
      <w:r w:rsidR="006162DD" w:rsidRPr="006162DD">
        <w:rPr>
          <w:lang w:bidi="he-IL"/>
        </w:rPr>
        <w:t xml:space="preserve"> </w:t>
      </w:r>
      <w:r w:rsidR="008619A1">
        <w:rPr>
          <w:lang w:bidi="he-IL"/>
        </w:rPr>
        <w:t xml:space="preserve">To reveal that certain selective enforcement </w:t>
      </w:r>
      <w:proofErr w:type="gramStart"/>
      <w:r w:rsidR="008619A1">
        <w:rPr>
          <w:lang w:bidi="he-IL"/>
        </w:rPr>
        <w:t>policies</w:t>
      </w:r>
      <w:proofErr w:type="gramEnd"/>
      <w:r w:rsidR="008619A1">
        <w:rPr>
          <w:lang w:bidi="he-IL"/>
        </w:rPr>
        <w:t xml:space="preserve"> lead to disparate impact, r</w:t>
      </w:r>
      <w:r w:rsidR="006162DD">
        <w:rPr>
          <w:lang w:bidi="he-IL"/>
        </w:rPr>
        <w:t xml:space="preserve">egulators may </w:t>
      </w:r>
      <w:r w:rsidR="008619A1">
        <w:rPr>
          <w:lang w:bidi="he-IL"/>
        </w:rPr>
        <w:t>need</w:t>
      </w:r>
      <w:r w:rsidR="006162DD">
        <w:rPr>
          <w:lang w:bidi="he-IL"/>
        </w:rPr>
        <w:t xml:space="preserve"> to audit sellers, using an approach like the one used and reported </w:t>
      </w:r>
      <w:r w:rsidR="008619A1">
        <w:rPr>
          <w:lang w:bidi="he-IL"/>
        </w:rPr>
        <w:t xml:space="preserve">on </w:t>
      </w:r>
      <w:r w:rsidR="006162DD">
        <w:rPr>
          <w:lang w:bidi="he-IL"/>
        </w:rPr>
        <w:t xml:space="preserve">in this study—much like longstanding efforts to reduce discrimination in the housing, credit, and employment markets. In these markets, </w:t>
      </w:r>
      <w:r w:rsidR="00C5304D">
        <w:rPr>
          <w:lang w:bidi="he-IL"/>
        </w:rPr>
        <w:t>audits have</w:t>
      </w:r>
      <w:r w:rsidR="006162DD">
        <w:rPr>
          <w:lang w:bidi="he-IL"/>
        </w:rPr>
        <w:t xml:space="preserve"> </w:t>
      </w:r>
      <w:r w:rsidR="00C5304D">
        <w:rPr>
          <w:lang w:bidi="he-IL"/>
        </w:rPr>
        <w:t>served as</w:t>
      </w:r>
      <w:r w:rsidR="006162DD">
        <w:rPr>
          <w:lang w:bidi="he-IL"/>
        </w:rPr>
        <w:t xml:space="preserve"> critical tool</w:t>
      </w:r>
      <w:r w:rsidR="00C5304D">
        <w:rPr>
          <w:lang w:bidi="he-IL"/>
        </w:rPr>
        <w:t>s</w:t>
      </w:r>
      <w:r w:rsidR="006162DD">
        <w:rPr>
          <w:lang w:bidi="he-IL"/>
        </w:rPr>
        <w:t xml:space="preserve"> in uncovering these more subtle, hidden forms of discrimination.</w:t>
      </w:r>
    </w:p>
    <w:p w14:paraId="4985DCE4" w14:textId="6C415558" w:rsidR="005D3134" w:rsidRDefault="005D3134" w:rsidP="008B4F6C">
      <w:pPr>
        <w:rPr>
          <w:lang w:bidi="he-IL"/>
        </w:rPr>
      </w:pPr>
    </w:p>
    <w:p w14:paraId="2173F2AD" w14:textId="00F766F0" w:rsidR="00844A48" w:rsidRDefault="00844A48" w:rsidP="008B4F6C">
      <w:pPr>
        <w:rPr>
          <w:lang w:bidi="he-IL"/>
        </w:rPr>
      </w:pPr>
      <w:r>
        <w:rPr>
          <w:lang w:bidi="he-IL"/>
        </w:rPr>
        <w:t xml:space="preserve">Of course, merely prohibiting discriminatory enforcement of consumer contracts is not enough. Legislative reforms should be complemented by </w:t>
      </w:r>
      <w:r w:rsidR="00C5304D">
        <w:rPr>
          <w:lang w:bidi="he-IL"/>
        </w:rPr>
        <w:t>strengthened</w:t>
      </w:r>
      <w:r w:rsidR="00D20C4F">
        <w:rPr>
          <w:lang w:bidi="he-IL"/>
        </w:rPr>
        <w:t xml:space="preserve"> enforcement efforts, both by state attorneys general and by </w:t>
      </w:r>
      <w:r w:rsidR="00D20C4F">
        <w:rPr>
          <w:lang w:bidi="he-IL"/>
        </w:rPr>
        <w:lastRenderedPageBreak/>
        <w:t xml:space="preserve">federal agencies. I also propose that private enforcement be allowed, and in particular—that consumers who suffered racial or gender discrimination be allowed to file class actions against the discriminating </w:t>
      </w:r>
      <w:r w:rsidR="00C5304D">
        <w:rPr>
          <w:lang w:bidi="he-IL"/>
        </w:rPr>
        <w:t>seller or service provider</w:t>
      </w:r>
      <w:r w:rsidR="00D20C4F">
        <w:rPr>
          <w:lang w:bidi="he-IL"/>
        </w:rPr>
        <w:t xml:space="preserve">. </w:t>
      </w:r>
      <w:r w:rsidR="006162DD">
        <w:rPr>
          <w:lang w:bidi="he-IL"/>
        </w:rPr>
        <w:t>Here, as in the context of public enforcement, i</w:t>
      </w:r>
      <w:r w:rsidR="00323DF5">
        <w:rPr>
          <w:lang w:bidi="he-IL"/>
        </w:rPr>
        <w:t xml:space="preserve">t is also </w:t>
      </w:r>
      <w:r w:rsidR="006162DD">
        <w:rPr>
          <w:lang w:bidi="he-IL"/>
        </w:rPr>
        <w:t>imperative</w:t>
      </w:r>
      <w:r w:rsidR="00323DF5">
        <w:rPr>
          <w:lang w:bidi="he-IL"/>
        </w:rPr>
        <w:t xml:space="preserve"> to allow for disparate impact </w:t>
      </w:r>
      <w:r w:rsidR="00C5304D">
        <w:rPr>
          <w:lang w:bidi="he-IL"/>
        </w:rPr>
        <w:t>claims</w:t>
      </w:r>
      <w:r w:rsidR="00323DF5">
        <w:rPr>
          <w:lang w:bidi="he-IL"/>
        </w:rPr>
        <w:t xml:space="preserve">, as intentional discrimination would often be difficult to prove. </w:t>
      </w:r>
    </w:p>
    <w:p w14:paraId="5FF339E9" w14:textId="650133BB" w:rsidR="00024C08" w:rsidRDefault="0062679B" w:rsidP="00C5304D">
      <w:pPr>
        <w:rPr>
          <w:lang w:bidi="he-IL"/>
        </w:rPr>
      </w:pPr>
      <w:r>
        <w:rPr>
          <w:lang w:bidi="he-IL"/>
        </w:rPr>
        <w:t xml:space="preserve"> </w:t>
      </w:r>
    </w:p>
    <w:p w14:paraId="417C3CB1" w14:textId="78FF7BA9" w:rsidR="00024C08" w:rsidRDefault="00024C08" w:rsidP="00024C08">
      <w:r>
        <w:t xml:space="preserve">The findings illustrate the importance of addressing a gaping hole in existing consumer protection efforts. To date, differential treatment of consumers based on their demographic characteristics is not explicitly </w:t>
      </w:r>
      <w:r w:rsidR="009C6A94">
        <w:t>prohibited</w:t>
      </w:r>
      <w:r w:rsidR="00916E70">
        <w:t xml:space="preserve"> or recognized as an unfair or deceptive act or practice</w:t>
      </w:r>
      <w:r>
        <w:t>. Th</w:t>
      </w:r>
      <w:r w:rsidR="003921B3">
        <w:t>is study’s findings</w:t>
      </w:r>
      <w:r>
        <w:t xml:space="preserve"> </w:t>
      </w:r>
      <w:r w:rsidR="003921B3">
        <w:t>should</w:t>
      </w:r>
      <w:r>
        <w:t xml:space="preserve"> bring this legislative omission to policymakers’ attention and </w:t>
      </w:r>
      <w:r w:rsidR="007F56E1">
        <w:t xml:space="preserve">encourage </w:t>
      </w:r>
      <w:r>
        <w:t xml:space="preserve">them to revisit the current state of the law. Until legislative or executive action is taken, courts </w:t>
      </w:r>
      <w:r w:rsidR="007F56E1">
        <w:t>may</w:t>
      </w:r>
      <w:r>
        <w:t xml:space="preserve"> consider interpreting </w:t>
      </w:r>
      <w:r w:rsidR="00F37B6F">
        <w:t>Unfair or Deceptive Acts o</w:t>
      </w:r>
      <w:r w:rsidR="00293BEE">
        <w:t>r</w:t>
      </w:r>
      <w:r w:rsidR="00F37B6F">
        <w:t xml:space="preserve"> Practices statutes (</w:t>
      </w:r>
      <w:r>
        <w:t>UDAP laws</w:t>
      </w:r>
      <w:r w:rsidR="00F37B6F">
        <w:t>)</w:t>
      </w:r>
      <w:r>
        <w:t xml:space="preserve"> as prohibiting discrimination. </w:t>
      </w:r>
    </w:p>
    <w:p w14:paraId="162C8834" w14:textId="4571E432" w:rsidR="00D411B3" w:rsidRDefault="00D411B3" w:rsidP="00A7176A">
      <w:pPr>
        <w:ind w:firstLine="0"/>
        <w:rPr>
          <w:lang w:bidi="he-IL"/>
        </w:rPr>
      </w:pPr>
    </w:p>
    <w:p w14:paraId="3D4C1992" w14:textId="5B68D813" w:rsidR="00D411B3" w:rsidRDefault="00D411B3" w:rsidP="00963762">
      <w:pPr>
        <w:rPr>
          <w:lang w:bidi="he-IL"/>
        </w:rPr>
      </w:pPr>
      <w:r>
        <w:rPr>
          <w:lang w:bidi="he-IL"/>
        </w:rPr>
        <w:t xml:space="preserve">When assessing </w:t>
      </w:r>
      <w:r w:rsidR="0086284A">
        <w:rPr>
          <w:lang w:bidi="he-IL"/>
        </w:rPr>
        <w:t>the seller’s violations</w:t>
      </w:r>
      <w:r w:rsidR="004843DE">
        <w:rPr>
          <w:lang w:bidi="he-IL"/>
        </w:rPr>
        <w:t xml:space="preserve"> and deciding on proper sanctions, regulators could consider various factors, including: (1) whether </w:t>
      </w:r>
      <w:r w:rsidR="00020EB7">
        <w:rPr>
          <w:lang w:bidi="he-IL"/>
        </w:rPr>
        <w:t xml:space="preserve">the </w:t>
      </w:r>
      <w:r w:rsidR="004843DE">
        <w:rPr>
          <w:lang w:bidi="he-IL"/>
        </w:rPr>
        <w:t xml:space="preserve">discriminatory enforcement of the contract or policy is </w:t>
      </w:r>
      <w:r w:rsidR="00020EB7">
        <w:rPr>
          <w:lang w:bidi="he-IL"/>
        </w:rPr>
        <w:t xml:space="preserve">a repeat violation or a one-time occurrence; (2) the size of the consumer group affected; (3) the magnitude of the harm suffered by consumers; </w:t>
      </w:r>
      <w:r w:rsidR="007F59A5">
        <w:rPr>
          <w:lang w:bidi="he-IL"/>
        </w:rPr>
        <w:t xml:space="preserve">and (4) seller’s history, especially with respect to compliance with UDAP laws. </w:t>
      </w:r>
    </w:p>
    <w:p w14:paraId="603627BE" w14:textId="189F91DF" w:rsidR="0050638D" w:rsidRDefault="0050638D" w:rsidP="00963762">
      <w:pPr>
        <w:rPr>
          <w:lang w:bidi="he-IL"/>
        </w:rPr>
      </w:pPr>
    </w:p>
    <w:p w14:paraId="3CABD66D" w14:textId="0A6A506C" w:rsidR="0050638D" w:rsidRPr="00F37B6F" w:rsidRDefault="0050638D" w:rsidP="00963762">
      <w:pPr>
        <w:rPr>
          <w:lang w:bidi="he-IL"/>
        </w:rPr>
      </w:pPr>
      <w:r>
        <w:rPr>
          <w:lang w:bidi="he-IL"/>
        </w:rPr>
        <w:t xml:space="preserve">Sanctions may include requiring sellers to discontinue the discriminatory practice, to provide restitution or compensation to aggrieved consumers, </w:t>
      </w:r>
      <w:r w:rsidR="00140296">
        <w:rPr>
          <w:lang w:bidi="he-IL"/>
        </w:rPr>
        <w:t xml:space="preserve">and to pay a fine or a civil money penalty. </w:t>
      </w:r>
    </w:p>
    <w:p w14:paraId="3D63048F" w14:textId="77777777" w:rsidR="00D94212" w:rsidRPr="00F37B6F" w:rsidRDefault="00D94212" w:rsidP="00963762">
      <w:pPr>
        <w:rPr>
          <w:lang w:bidi="he-IL"/>
        </w:rPr>
      </w:pPr>
    </w:p>
    <w:p w14:paraId="32AF51B0" w14:textId="0ADDA090" w:rsidR="00F73A26" w:rsidRDefault="00F73A26" w:rsidP="00963762">
      <w:pPr>
        <w:rPr>
          <w:lang w:bidi="he-IL"/>
        </w:rPr>
      </w:pPr>
    </w:p>
    <w:p w14:paraId="29CB3EEC" w14:textId="75399AA7" w:rsidR="007E7A9C" w:rsidRDefault="007E7A9C" w:rsidP="00676C89">
      <w:pPr>
        <w:ind w:firstLine="0"/>
        <w:rPr>
          <w:lang w:bidi="he-IL"/>
        </w:rPr>
      </w:pPr>
    </w:p>
    <w:sectPr w:rsidR="007E7A9C" w:rsidSect="00E6393A">
      <w:pgSz w:w="12240" w:h="15840" w:code="1"/>
      <w:pgMar w:top="2016" w:right="2448" w:bottom="2016" w:left="2448" w:header="151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4EDE4" w14:textId="77777777" w:rsidR="00CF29AB" w:rsidRDefault="00CF29AB">
      <w:r>
        <w:separator/>
      </w:r>
    </w:p>
  </w:endnote>
  <w:endnote w:type="continuationSeparator" w:id="0">
    <w:p w14:paraId="1C421E07" w14:textId="77777777" w:rsidR="00CF29AB" w:rsidRDefault="00CF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102C0" w14:textId="77777777" w:rsidR="00CF29AB" w:rsidRDefault="00CF29AB">
      <w:r>
        <w:separator/>
      </w:r>
    </w:p>
  </w:footnote>
  <w:footnote w:type="continuationSeparator" w:id="0">
    <w:p w14:paraId="5A2360EE" w14:textId="77777777" w:rsidR="00CF29AB" w:rsidRDefault="00CF29AB">
      <w:r>
        <w:continuationSeparator/>
      </w:r>
    </w:p>
  </w:footnote>
  <w:footnote w:id="1">
    <w:p w14:paraId="521F8469" w14:textId="00F2E8B2" w:rsidR="00FA45DD" w:rsidRPr="007E79C2" w:rsidRDefault="00FA45DD" w:rsidP="008F151E">
      <w:pPr>
        <w:pStyle w:val="FootNote0"/>
        <w:ind w:firstLine="284"/>
        <w:rPr>
          <w:sz w:val="20"/>
        </w:rPr>
      </w:pPr>
      <w:r w:rsidRPr="007E79C2">
        <w:rPr>
          <w:rStyle w:val="FootnoteReference"/>
          <w:sz w:val="20"/>
        </w:rPr>
        <w:t>*</w:t>
      </w:r>
      <w:r w:rsidRPr="007E79C2">
        <w:rPr>
          <w:sz w:val="20"/>
        </w:rPr>
        <w:t xml:space="preserve"> </w:t>
      </w:r>
      <w:r w:rsidR="008F151E" w:rsidRPr="007E79C2">
        <w:rPr>
          <w:sz w:val="20"/>
        </w:rPr>
        <w:t xml:space="preserve">Assistant Professor, UCLA School of Law. S.J.D., LL.M. (Harvard University). </w:t>
      </w:r>
      <w:r w:rsidR="00566BAF" w:rsidRPr="00566BAF">
        <w:rPr>
          <w:sz w:val="20"/>
        </w:rPr>
        <w:t xml:space="preserve">This research was generously supported by the Coase-Sandor Institute at the University of Chicago and the Institute for Quantitative Social Science at Harvard University. [Acknowledgements to be added.] The methods used in this study have been approved by the University of Chicago Institutional Review Board prior to data collection (IRB Study Number: IRB 18-1529). </w:t>
      </w:r>
      <w:r w:rsidR="008F151E" w:rsidRPr="007E79C2">
        <w:rPr>
          <w:sz w:val="20"/>
        </w:rPr>
        <w:t>[Thanks to be added].</w:t>
      </w:r>
    </w:p>
  </w:footnote>
  <w:footnote w:id="2">
    <w:p w14:paraId="32AB6D77" w14:textId="77777777" w:rsidR="005A0C02" w:rsidRDefault="005A0C02" w:rsidP="005A0C02">
      <w:pPr>
        <w:pStyle w:val="FootnoteText"/>
      </w:pPr>
      <w:r>
        <w:rPr>
          <w:rStyle w:val="FootnoteReference"/>
        </w:rPr>
        <w:footnoteRef/>
      </w:r>
      <w:r>
        <w:t xml:space="preserve"> (Becher &amp; </w:t>
      </w:r>
      <w:proofErr w:type="spellStart"/>
      <w:r>
        <w:t>Zarsky</w:t>
      </w:r>
      <w:proofErr w:type="spellEnd"/>
      <w:r>
        <w:t>, 2011; Kats, 2018)</w:t>
      </w:r>
    </w:p>
  </w:footnote>
  <w:footnote w:id="3">
    <w:p w14:paraId="75933C27" w14:textId="77777777" w:rsidR="005A0C02" w:rsidRDefault="005A0C02" w:rsidP="005A0C02">
      <w:pPr>
        <w:pStyle w:val="FootnoteText"/>
      </w:pPr>
      <w:r>
        <w:rPr>
          <w:rStyle w:val="FootnoteReference"/>
        </w:rPr>
        <w:footnoteRef/>
      </w:r>
      <w:r>
        <w:t xml:space="preserve"> (</w:t>
      </w:r>
      <w:r w:rsidRPr="00D50CFC">
        <w:rPr>
          <w:rFonts w:asciiTheme="majorBidi" w:hAnsiTheme="majorBidi" w:cstheme="majorBidi"/>
        </w:rPr>
        <w:t>Reagan</w:t>
      </w:r>
      <w:r>
        <w:rPr>
          <w:rFonts w:asciiTheme="majorBidi" w:hAnsiTheme="majorBidi" w:cstheme="majorBidi"/>
        </w:rPr>
        <w:t xml:space="preserve">, 2016; </w:t>
      </w:r>
      <w:proofErr w:type="spellStart"/>
      <w:r>
        <w:rPr>
          <w:rFonts w:asciiTheme="majorBidi" w:hAnsiTheme="majorBidi" w:cstheme="majorBidi"/>
        </w:rPr>
        <w:t>Orendoff</w:t>
      </w:r>
      <w:proofErr w:type="spellEnd"/>
      <w:r>
        <w:rPr>
          <w:rFonts w:asciiTheme="majorBidi" w:hAnsiTheme="majorBidi" w:cstheme="majorBidi"/>
        </w:rPr>
        <w:t xml:space="preserve">, 2019; </w:t>
      </w:r>
      <w:proofErr w:type="spellStart"/>
      <w:r w:rsidRPr="00D50CFC">
        <w:rPr>
          <w:rFonts w:asciiTheme="majorBidi" w:hAnsiTheme="majorBidi" w:cstheme="majorBidi"/>
        </w:rPr>
        <w:t>Stojano</w:t>
      </w:r>
      <w:r>
        <w:rPr>
          <w:rFonts w:asciiTheme="majorBidi" w:hAnsiTheme="majorBidi" w:cstheme="majorBidi"/>
        </w:rPr>
        <w:t>vi</w:t>
      </w:r>
      <w:r w:rsidRPr="00D50CFC">
        <w:rPr>
          <w:rFonts w:asciiTheme="majorBidi" w:hAnsiTheme="majorBidi" w:cstheme="majorBidi"/>
        </w:rPr>
        <w:t>c</w:t>
      </w:r>
      <w:proofErr w:type="spellEnd"/>
      <w:r>
        <w:rPr>
          <w:rFonts w:asciiTheme="majorBidi" w:hAnsiTheme="majorBidi" w:cstheme="majorBidi"/>
        </w:rPr>
        <w:t>, 2019)</w:t>
      </w:r>
    </w:p>
  </w:footnote>
  <w:footnote w:id="4">
    <w:p w14:paraId="5490D66C" w14:textId="77777777" w:rsidR="00007AEA" w:rsidRDefault="00007AEA" w:rsidP="00007AEA">
      <w:pPr>
        <w:pStyle w:val="FootnoteText"/>
      </w:pPr>
      <w:r>
        <w:rPr>
          <w:rStyle w:val="FootnoteReference"/>
        </w:rPr>
        <w:footnoteRef/>
      </w:r>
      <w:r>
        <w:t xml:space="preserve"> This difference is significant at the 10% level.</w:t>
      </w:r>
    </w:p>
  </w:footnote>
  <w:footnote w:id="5">
    <w:p w14:paraId="537EC9FF" w14:textId="77777777" w:rsidR="00007AEA" w:rsidRDefault="00007AEA" w:rsidP="00007AEA">
      <w:pPr>
        <w:pStyle w:val="FootnoteText"/>
      </w:pPr>
      <w:r>
        <w:rPr>
          <w:rStyle w:val="FootnoteReference"/>
        </w:rPr>
        <w:footnoteRef/>
      </w:r>
      <w:r>
        <w:t xml:space="preserve"> This difference is significant at the 10% level.</w:t>
      </w:r>
    </w:p>
  </w:footnote>
  <w:footnote w:id="6">
    <w:p w14:paraId="54EEDCB0" w14:textId="1CFEB7FF" w:rsidR="00D01D39" w:rsidRDefault="00D01D39">
      <w:pPr>
        <w:pStyle w:val="FootnoteText"/>
      </w:pPr>
      <w:r>
        <w:rPr>
          <w:rStyle w:val="FootnoteReference"/>
        </w:rPr>
        <w:footnoteRef/>
      </w:r>
      <w:r>
        <w:t xml:space="preserve"> This difference is significant at the 10% level.</w:t>
      </w:r>
    </w:p>
  </w:footnote>
  <w:footnote w:id="7">
    <w:p w14:paraId="412FA879" w14:textId="77777777" w:rsidR="00C12A5B" w:rsidRDefault="00C12A5B" w:rsidP="00C12A5B">
      <w:pPr>
        <w:pStyle w:val="FootnoteText"/>
      </w:pPr>
      <w:r>
        <w:rPr>
          <w:rStyle w:val="FootnoteReference"/>
        </w:rPr>
        <w:footnoteRef/>
      </w:r>
      <w:r>
        <w:t xml:space="preserve"> 60% likelihood for African-American testers v. 82% likelihood for white testers. This difference is significant at the 0.1% level.</w:t>
      </w:r>
    </w:p>
  </w:footnote>
  <w:footnote w:id="8">
    <w:p w14:paraId="2B0D3038" w14:textId="51003D43" w:rsidR="00DC385B" w:rsidRDefault="00DC385B">
      <w:pPr>
        <w:pStyle w:val="FootnoteText"/>
      </w:pPr>
      <w:r>
        <w:rPr>
          <w:rStyle w:val="FootnoteReference"/>
        </w:rPr>
        <w:footnoteRef/>
      </w:r>
      <w:r>
        <w:t xml:space="preserve"> This difference is significant at </w:t>
      </w:r>
      <w:r w:rsidR="00D27A61">
        <w:t>the 5% level.</w:t>
      </w:r>
    </w:p>
  </w:footnote>
  <w:footnote w:id="9">
    <w:p w14:paraId="31B06462" w14:textId="77777777" w:rsidR="008F4EFB" w:rsidRDefault="008F4EFB" w:rsidP="008F4EFB">
      <w:pPr>
        <w:pStyle w:val="FootnoteText"/>
      </w:pPr>
      <w:r>
        <w:rPr>
          <w:rStyle w:val="FootnoteReference"/>
        </w:rPr>
        <w:footnoteRef/>
      </w:r>
      <w:r>
        <w:t xml:space="preserve"> This difference is significant at the 5% level.</w:t>
      </w:r>
    </w:p>
    <w:p w14:paraId="3853E973" w14:textId="5707CCCE" w:rsidR="008F4EFB" w:rsidRDefault="008F4EFB">
      <w:pPr>
        <w:pStyle w:val="FootnoteText"/>
      </w:pPr>
    </w:p>
  </w:footnote>
  <w:footnote w:id="10">
    <w:p w14:paraId="2A99DED4" w14:textId="06E75447" w:rsidR="008A7CA3" w:rsidRPr="00801562" w:rsidRDefault="008A7CA3">
      <w:pPr>
        <w:pStyle w:val="FootnoteText"/>
      </w:pPr>
      <w:r>
        <w:rPr>
          <w:rStyle w:val="FootnoteReference"/>
        </w:rPr>
        <w:footnoteRef/>
      </w:r>
      <w:r w:rsidR="00801562" w:rsidRPr="00801562">
        <w:rPr>
          <w:highlight w:val="yellow"/>
        </w:rPr>
        <w:t>Cite articles from here: https://www.abajournal.com/news/article/showing_anger_in_the_courtroom_can_backfire_for_women_lawyers_study_suggest</w:t>
      </w:r>
    </w:p>
  </w:footnote>
  <w:footnote w:id="11">
    <w:p w14:paraId="79D1C4AD" w14:textId="22EDB695" w:rsidR="00EF5336" w:rsidRDefault="00EF5336" w:rsidP="00380B17">
      <w:pPr>
        <w:pStyle w:val="FootnoteText"/>
      </w:pPr>
      <w:r>
        <w:rPr>
          <w:rStyle w:val="FootnoteReference"/>
        </w:rPr>
        <w:footnoteRef/>
      </w:r>
      <w:r>
        <w:t xml:space="preserve"> </w:t>
      </w:r>
      <w:r w:rsidR="006F4007">
        <w:t>These differences are</w:t>
      </w:r>
      <w:r>
        <w:t xml:space="preserve"> significant at the 0.1% level.</w:t>
      </w:r>
    </w:p>
  </w:footnote>
  <w:footnote w:id="12">
    <w:p w14:paraId="3201CFB4" w14:textId="6AF004AF" w:rsidR="006F4007" w:rsidRDefault="006F4007">
      <w:pPr>
        <w:pStyle w:val="FootnoteText"/>
      </w:pPr>
      <w:r>
        <w:rPr>
          <w:rStyle w:val="FootnoteReference"/>
        </w:rPr>
        <w:footnoteRef/>
      </w:r>
      <w:r>
        <w:t xml:space="preserve"> </w:t>
      </w:r>
    </w:p>
  </w:footnote>
  <w:footnote w:id="13">
    <w:p w14:paraId="54C2B1CA" w14:textId="3B535C51" w:rsidR="00151F04" w:rsidRPr="007E79C2" w:rsidRDefault="00151F04">
      <w:pPr>
        <w:pStyle w:val="FootnoteText"/>
      </w:pPr>
      <w:r w:rsidRPr="007E79C2">
        <w:rPr>
          <w:rStyle w:val="FootnoteReference"/>
        </w:rPr>
        <w:footnoteRef/>
      </w:r>
      <w:r w:rsidRPr="007E79C2">
        <w:t xml:space="preserve"> </w:t>
      </w:r>
    </w:p>
  </w:footnote>
  <w:footnote w:id="14">
    <w:p w14:paraId="6A3DDCB6" w14:textId="2B75B879" w:rsidR="00151F04" w:rsidRPr="007E79C2" w:rsidRDefault="00151F04">
      <w:pPr>
        <w:pStyle w:val="FootnoteText"/>
      </w:pPr>
      <w:r w:rsidRPr="007E79C2">
        <w:rPr>
          <w:rStyle w:val="FootnoteReference"/>
        </w:rPr>
        <w:footnoteRef/>
      </w:r>
      <w:r w:rsidRPr="007E79C2">
        <w:t xml:space="preserve"> </w:t>
      </w:r>
    </w:p>
  </w:footnote>
  <w:footnote w:id="15">
    <w:p w14:paraId="75511C02" w14:textId="4C1243EA" w:rsidR="00104966" w:rsidRDefault="00104966">
      <w:pPr>
        <w:pStyle w:val="FootnoteText"/>
      </w:pPr>
      <w:r>
        <w:rPr>
          <w:rStyle w:val="FootnoteReference"/>
        </w:rPr>
        <w:footnoteRef/>
      </w:r>
      <w:r>
        <w:t xml:space="preserve"> </w:t>
      </w:r>
    </w:p>
  </w:footnote>
  <w:footnote w:id="16">
    <w:p w14:paraId="2585776A" w14:textId="3F3F28CC" w:rsidR="00104966" w:rsidRDefault="00104966">
      <w:pPr>
        <w:pStyle w:val="FootnoteText"/>
      </w:pPr>
      <w:r>
        <w:rPr>
          <w:rStyle w:val="FootnoteReference"/>
        </w:rPr>
        <w:footnoteRef/>
      </w:r>
      <w:r>
        <w:t xml:space="preserve"> (e.g., Phelps, 1972; Arrow, 1973; Aigner &amp; Cain, 1977).</w:t>
      </w:r>
    </w:p>
  </w:footnote>
  <w:footnote w:id="17">
    <w:p w14:paraId="4AB5DC03" w14:textId="4F2544B4" w:rsidR="006D53C6" w:rsidRDefault="006D53C6">
      <w:pPr>
        <w:pStyle w:val="FootnoteText"/>
      </w:pPr>
      <w:r>
        <w:rPr>
          <w:rStyle w:val="FootnoteReference"/>
        </w:rPr>
        <w:footnoteRef/>
      </w:r>
      <w:r>
        <w:t xml:space="preserve"> The difference is significant at the 10% level</w:t>
      </w:r>
      <w:r w:rsidR="00761B8E">
        <w:t>, based on a logistic regression of</w:t>
      </w:r>
      <w:r w:rsidR="00381433">
        <w:t xml:space="preserve"> </w:t>
      </w:r>
      <w:r w:rsidR="00761B8E">
        <w:t xml:space="preserve">return outcomes on tester race, clerk race, and the interaction between tester and clerk race. </w:t>
      </w:r>
    </w:p>
  </w:footnote>
  <w:footnote w:id="18">
    <w:p w14:paraId="2B81E08D" w14:textId="496617FA" w:rsidR="00381433" w:rsidRDefault="00381433">
      <w:pPr>
        <w:pStyle w:val="FootnoteText"/>
      </w:pPr>
      <w:r>
        <w:rPr>
          <w:rStyle w:val="FootnoteReference"/>
        </w:rPr>
        <w:footnoteRef/>
      </w:r>
      <w:r>
        <w:t xml:space="preserve"> </w:t>
      </w:r>
      <w:r w:rsidR="00701D76">
        <w:t>The difference is significant at the 10% level, based on a logistic regression of return outcomes on tester race, clerk race, and the interaction between tester and clerk race.</w:t>
      </w:r>
    </w:p>
  </w:footnote>
  <w:footnote w:id="19">
    <w:p w14:paraId="0669D23B" w14:textId="2B256A44" w:rsidR="008D743E" w:rsidRDefault="008D743E">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20">
    <w:p w14:paraId="05692C9C" w14:textId="77777777" w:rsidR="00232832" w:rsidRPr="00C16D8C" w:rsidRDefault="00232832" w:rsidP="00232832">
      <w:pPr>
        <w:pStyle w:val="FootnoteText"/>
      </w:pPr>
      <w:r>
        <w:rPr>
          <w:rStyle w:val="FootnoteReference"/>
        </w:rPr>
        <w:footnoteRef/>
      </w:r>
      <w:r>
        <w:t xml:space="preserve"> </w:t>
      </w:r>
      <w:r>
        <w:rPr>
          <w:i/>
          <w:iCs/>
        </w:rPr>
        <w:t xml:space="preserve">See, e.g., </w:t>
      </w:r>
      <w:r w:rsidRPr="007E79C2">
        <w:rPr>
          <w:rFonts w:ascii="Times New Roman" w:hAnsi="Times New Roman"/>
        </w:rPr>
        <w:t xml:space="preserve">Jason Scott Johnston, </w:t>
      </w:r>
      <w:r w:rsidRPr="007E79C2">
        <w:rPr>
          <w:rFonts w:ascii="Times New Roman" w:hAnsi="Times New Roman"/>
          <w:i/>
          <w:iCs/>
        </w:rPr>
        <w:t>The Return of Bargain: An Economic Theory of How Standard-Form Contracts Enable Cooperative Negotiation between Businesses and Consumers</w:t>
      </w:r>
      <w:r w:rsidRPr="007E79C2">
        <w:rPr>
          <w:rFonts w:ascii="Times New Roman" w:hAnsi="Times New Roman"/>
        </w:rPr>
        <w:t xml:space="preserve">, 104 </w:t>
      </w:r>
      <w:r w:rsidRPr="007E79C2">
        <w:rPr>
          <w:rFonts w:ascii="Times New Roman" w:hAnsi="Times New Roman"/>
          <w:smallCaps/>
        </w:rPr>
        <w:t>Mich. L. Rev. 857, 85</w:t>
      </w:r>
      <w:r>
        <w:rPr>
          <w:rFonts w:ascii="Times New Roman" w:hAnsi="Times New Roman"/>
          <w:smallCaps/>
        </w:rPr>
        <w:t>7</w:t>
      </w:r>
      <w:r w:rsidRPr="007E79C2">
        <w:rPr>
          <w:rFonts w:ascii="Times New Roman" w:hAnsi="Times New Roman"/>
          <w:smallCaps/>
        </w:rPr>
        <w:t xml:space="preserve"> (2006</w:t>
      </w:r>
      <w:r w:rsidRPr="007E79C2" w:rsidDel="00C56E1A">
        <w:rPr>
          <w:rFonts w:ascii="Times New Roman" w:hAnsi="Times New Roman"/>
          <w:smallCaps/>
        </w:rPr>
        <w:t>)</w:t>
      </w:r>
      <w:r>
        <w:rPr>
          <w:rFonts w:ascii="Times New Roman" w:hAnsi="Times New Roman"/>
          <w:smallCaps/>
        </w:rPr>
        <w:t xml:space="preserve"> </w:t>
      </w:r>
      <w:r w:rsidRPr="00C16D8C">
        <w:rPr>
          <w:rFonts w:ascii="Times New Roman" w:hAnsi="Times New Roman"/>
        </w:rPr>
        <w:t>(“Amon</w:t>
      </w:r>
      <w:r>
        <w:rPr>
          <w:rFonts w:ascii="Times New Roman" w:hAnsi="Times New Roman"/>
        </w:rPr>
        <w:t xml:space="preserve">g attorneys, judges, and legal academics, there is virtual consensus that the widespread use by business firms of standard-form contracts in their dealing with consumers has completely eliminated bargaining in consumer contracts.”). </w:t>
      </w:r>
    </w:p>
  </w:footnote>
  <w:footnote w:id="21">
    <w:p w14:paraId="2EE102F6" w14:textId="77777777" w:rsidR="00232832" w:rsidRDefault="00232832" w:rsidP="00232832">
      <w:pPr>
        <w:pStyle w:val="FootnoteText"/>
      </w:pPr>
      <w:r>
        <w:rPr>
          <w:rStyle w:val="FootnoteReference"/>
        </w:rPr>
        <w:footnoteRef/>
      </w:r>
      <w:r>
        <w:t xml:space="preserve"> </w:t>
      </w:r>
      <w:r w:rsidRPr="00D50CFC">
        <w:t>Todd D. Rakoff,</w:t>
      </w:r>
      <w:r w:rsidRPr="00D50CFC">
        <w:rPr>
          <w:i/>
          <w:iCs/>
        </w:rPr>
        <w:t xml:space="preserve"> </w:t>
      </w:r>
      <w:r w:rsidRPr="00D50CFC">
        <w:rPr>
          <w:i/>
        </w:rPr>
        <w:t>Contracts of Adhesion: An Essay in Reconstruction</w:t>
      </w:r>
      <w:r w:rsidRPr="00D50CFC">
        <w:t xml:space="preserve">, 96 </w:t>
      </w:r>
      <w:r w:rsidRPr="00D50CFC">
        <w:rPr>
          <w:smallCaps/>
        </w:rPr>
        <w:t>Harv. L. Rev.</w:t>
      </w:r>
      <w:r w:rsidRPr="00D50CFC">
        <w:t xml:space="preserve"> 1173, </w:t>
      </w:r>
      <w:r w:rsidRPr="00D2553E">
        <w:rPr>
          <w:rFonts w:asciiTheme="majorBidi" w:hAnsiTheme="majorBidi" w:cstheme="majorBidi"/>
        </w:rPr>
        <w:t xml:space="preserve">1222–23 </w:t>
      </w:r>
      <w:r w:rsidRPr="00D50CFC">
        <w:t>(1983)</w:t>
      </w:r>
      <w:r>
        <w:t>.</w:t>
      </w:r>
    </w:p>
  </w:footnote>
  <w:footnote w:id="22">
    <w:p w14:paraId="093B6A3E" w14:textId="77777777" w:rsidR="00232832" w:rsidRPr="008772C9" w:rsidRDefault="00232832" w:rsidP="00232832">
      <w:pPr>
        <w:pStyle w:val="FootnoteText"/>
        <w:rPr>
          <w:i/>
          <w:iCs/>
        </w:rPr>
      </w:pPr>
      <w:r>
        <w:rPr>
          <w:rStyle w:val="FootnoteReference"/>
        </w:rPr>
        <w:footnoteRef/>
      </w:r>
      <w:r>
        <w:t xml:space="preserve"> </w:t>
      </w:r>
      <w:r>
        <w:rPr>
          <w:i/>
          <w:iCs/>
        </w:rPr>
        <w:t xml:space="preserve">Id. See also </w:t>
      </w:r>
      <w:r w:rsidRPr="00D50CFC">
        <w:t xml:space="preserve">Todd D. Rakoff, </w:t>
      </w:r>
      <w:r w:rsidRPr="00D50CFC">
        <w:rPr>
          <w:i/>
          <w:iCs/>
        </w:rPr>
        <w:t>The Law and Sociology of Boilerplate</w:t>
      </w:r>
      <w:r w:rsidRPr="00D50CFC">
        <w:t xml:space="preserve">, 104 </w:t>
      </w:r>
      <w:r w:rsidRPr="00494E3B">
        <w:rPr>
          <w:smallCaps/>
        </w:rPr>
        <w:t>Mich. L. Rev.</w:t>
      </w:r>
      <w:r w:rsidRPr="00D50CFC">
        <w:t xml:space="preserve"> 1235, 1235 (2006)</w:t>
      </w:r>
      <w:r>
        <w:t>.</w:t>
      </w:r>
    </w:p>
  </w:footnote>
  <w:footnote w:id="23">
    <w:p w14:paraId="47677BF4" w14:textId="77777777" w:rsidR="00232832" w:rsidRDefault="00232832" w:rsidP="00232832">
      <w:pPr>
        <w:pStyle w:val="FootnoteText"/>
      </w:pPr>
      <w:r>
        <w:rPr>
          <w:rStyle w:val="FootnoteReference"/>
        </w:rPr>
        <w:footnoteRef/>
      </w:r>
      <w:r>
        <w:t xml:space="preserve"> </w:t>
      </w:r>
      <w:r w:rsidRPr="00D2553E">
        <w:rPr>
          <w:rFonts w:asciiTheme="majorBidi" w:hAnsiTheme="majorBidi" w:cstheme="majorBidi"/>
          <w:color w:val="000000"/>
        </w:rPr>
        <w:t>Stewart Macaulay, </w:t>
      </w:r>
      <w:r w:rsidRPr="00D2553E">
        <w:rPr>
          <w:rFonts w:asciiTheme="majorBidi" w:hAnsiTheme="majorBidi" w:cstheme="majorBidi"/>
          <w:i/>
          <w:iCs/>
          <w:color w:val="000000"/>
          <w:bdr w:val="none" w:sz="0" w:space="0" w:color="auto" w:frame="1"/>
        </w:rPr>
        <w:t>Private Legislation and the Duty to Read - Business Run by IBM Machine, the Law of Contracts and Credit Cards,</w:t>
      </w:r>
      <w:r w:rsidRPr="00D2553E">
        <w:rPr>
          <w:rFonts w:asciiTheme="majorBidi" w:hAnsiTheme="majorBidi" w:cstheme="majorBidi"/>
          <w:color w:val="000000"/>
        </w:rPr>
        <w:t> 19 </w:t>
      </w:r>
      <w:proofErr w:type="spellStart"/>
      <w:r w:rsidRPr="00D2553E">
        <w:rPr>
          <w:rFonts w:asciiTheme="majorBidi" w:hAnsiTheme="majorBidi" w:cstheme="majorBidi"/>
          <w:smallCaps/>
          <w:color w:val="000000"/>
          <w:bdr w:val="none" w:sz="0" w:space="0" w:color="auto" w:frame="1"/>
        </w:rPr>
        <w:t>Vand</w:t>
      </w:r>
      <w:proofErr w:type="spellEnd"/>
      <w:r w:rsidRPr="00D2553E">
        <w:rPr>
          <w:rFonts w:asciiTheme="majorBidi" w:hAnsiTheme="majorBidi"/>
          <w:smallCaps/>
          <w:color w:val="000000"/>
          <w:bdr w:val="none" w:sz="0" w:space="0" w:color="auto" w:frame="1"/>
        </w:rPr>
        <w:t xml:space="preserve">. L. </w:t>
      </w:r>
      <w:r w:rsidRPr="00D2553E">
        <w:rPr>
          <w:rFonts w:asciiTheme="majorBidi" w:hAnsiTheme="majorBidi" w:cstheme="majorBidi"/>
          <w:smallCaps/>
          <w:color w:val="000000"/>
          <w:bdr w:val="none" w:sz="0" w:space="0" w:color="auto" w:frame="1"/>
        </w:rPr>
        <w:t>Rev</w:t>
      </w:r>
      <w:r w:rsidRPr="00D2553E">
        <w:rPr>
          <w:rFonts w:asciiTheme="majorBidi" w:hAnsiTheme="majorBidi" w:cstheme="majorBidi"/>
          <w:color w:val="000000"/>
        </w:rPr>
        <w:t>. 1051, 1059 (1966)</w:t>
      </w:r>
      <w:r>
        <w:rPr>
          <w:rFonts w:asciiTheme="majorBidi" w:hAnsiTheme="majorBidi" w:cstheme="majorBidi"/>
          <w:color w:val="000000"/>
        </w:rPr>
        <w:t>.</w:t>
      </w:r>
    </w:p>
  </w:footnote>
  <w:footnote w:id="24">
    <w:p w14:paraId="680B18A7" w14:textId="77777777" w:rsidR="00232832" w:rsidRPr="00750B25" w:rsidRDefault="00232832" w:rsidP="00232832">
      <w:pPr>
        <w:pStyle w:val="FootnoteText"/>
        <w:rPr>
          <w:i/>
          <w:iCs/>
        </w:rPr>
      </w:pPr>
      <w:r>
        <w:rPr>
          <w:rStyle w:val="FootnoteReference"/>
        </w:rPr>
        <w:footnoteRef/>
      </w:r>
      <w:r>
        <w:t xml:space="preserve"> </w:t>
      </w:r>
      <w:r>
        <w:rPr>
          <w:i/>
          <w:iCs/>
        </w:rPr>
        <w:t>Id.</w:t>
      </w:r>
    </w:p>
  </w:footnote>
  <w:footnote w:id="25">
    <w:p w14:paraId="0CBDB6C8" w14:textId="77777777" w:rsidR="00232832" w:rsidRDefault="00232832" w:rsidP="00232832">
      <w:pPr>
        <w:pStyle w:val="FootnoteText"/>
      </w:pPr>
      <w:r>
        <w:rPr>
          <w:rStyle w:val="FootnoteReference"/>
        </w:rPr>
        <w:footnoteRef/>
      </w:r>
      <w:r>
        <w:t xml:space="preserve"> </w:t>
      </w:r>
      <w:r w:rsidRPr="00D2553E">
        <w:t xml:space="preserve">Shmuel I. Becher &amp; Esther Unger-Aviram, </w:t>
      </w:r>
      <w:r w:rsidRPr="00D2553E">
        <w:rPr>
          <w:i/>
          <w:iCs/>
        </w:rPr>
        <w:t>The Law of Standard Form Contracts: Misguided Intuitions and Suggestions for Reconstruction</w:t>
      </w:r>
      <w:r w:rsidRPr="00D2553E">
        <w:t xml:space="preserve">, 8 </w:t>
      </w:r>
      <w:r w:rsidRPr="00D2553E">
        <w:rPr>
          <w:smallCaps/>
        </w:rPr>
        <w:t>DePaul Bus. &amp; Com. L.J.</w:t>
      </w:r>
      <w:r w:rsidRPr="00D2553E">
        <w:t xml:space="preserve"> 199, 201 (2010)</w:t>
      </w:r>
      <w:r>
        <w:t>.</w:t>
      </w:r>
    </w:p>
  </w:footnote>
  <w:footnote w:id="26">
    <w:p w14:paraId="6519D0A6" w14:textId="77777777" w:rsidR="00232832" w:rsidRDefault="00232832" w:rsidP="00232832">
      <w:pPr>
        <w:pStyle w:val="FootnoteText"/>
      </w:pPr>
      <w:r>
        <w:rPr>
          <w:rStyle w:val="FootnoteReference"/>
        </w:rPr>
        <w:footnoteRef/>
      </w:r>
      <w:r>
        <w:t xml:space="preserve"> </w:t>
      </w:r>
      <w:r w:rsidRPr="007E79C2">
        <w:rPr>
          <w:i/>
          <w:iCs/>
        </w:rPr>
        <w:t xml:space="preserve">See, e.g., </w:t>
      </w:r>
      <w:r w:rsidRPr="007E79C2">
        <w:rPr>
          <w:rFonts w:asciiTheme="majorBidi" w:hAnsiTheme="majorBidi" w:cstheme="majorBidi"/>
        </w:rPr>
        <w:t xml:space="preserve">Lucian A. </w:t>
      </w:r>
      <w:proofErr w:type="spellStart"/>
      <w:r w:rsidRPr="007E79C2">
        <w:rPr>
          <w:rFonts w:asciiTheme="majorBidi" w:hAnsiTheme="majorBidi" w:cstheme="majorBidi"/>
        </w:rPr>
        <w:t>Bebchuk</w:t>
      </w:r>
      <w:proofErr w:type="spellEnd"/>
      <w:r w:rsidRPr="007E79C2">
        <w:rPr>
          <w:rFonts w:asciiTheme="majorBidi" w:hAnsiTheme="majorBidi" w:cstheme="majorBidi"/>
        </w:rPr>
        <w:t xml:space="preserve"> &amp; Richard A. Posner, </w:t>
      </w:r>
      <w:r w:rsidRPr="007E79C2">
        <w:rPr>
          <w:rFonts w:asciiTheme="majorBidi" w:hAnsiTheme="majorBidi" w:cstheme="majorBidi"/>
          <w:i/>
          <w:iCs/>
        </w:rPr>
        <w:t>One-Sided Contracts in Competitive Consumer Markets</w:t>
      </w:r>
      <w:r w:rsidRPr="007E79C2">
        <w:rPr>
          <w:rFonts w:asciiTheme="majorBidi" w:hAnsiTheme="majorBidi" w:cstheme="majorBidi"/>
        </w:rPr>
        <w:t xml:space="preserve">, 104 </w:t>
      </w:r>
      <w:r w:rsidRPr="007E79C2">
        <w:rPr>
          <w:rFonts w:asciiTheme="majorBidi" w:hAnsiTheme="majorBidi" w:cstheme="majorBidi"/>
          <w:smallCaps/>
        </w:rPr>
        <w:t>Mich. L. Rev</w:t>
      </w:r>
      <w:r w:rsidRPr="007E79C2">
        <w:rPr>
          <w:rFonts w:asciiTheme="majorBidi" w:hAnsiTheme="majorBidi" w:cstheme="majorBidi"/>
        </w:rPr>
        <w:t>. 827, 828 (2006)</w:t>
      </w:r>
      <w:r w:rsidRPr="007E79C2">
        <w:t xml:space="preserve"> (suggesting that sellers’ concerns for reputations may lead them to behave more leniently than their contracts demand); Clayton P. Gillette, </w:t>
      </w:r>
      <w:r w:rsidRPr="007E79C2">
        <w:rPr>
          <w:i/>
          <w:iCs/>
        </w:rPr>
        <w:t>Rolling Contracts as an Agency Problem</w:t>
      </w:r>
      <w:r w:rsidRPr="007E79C2">
        <w:t xml:space="preserve">, 2004 </w:t>
      </w:r>
      <w:r w:rsidRPr="007E79C2">
        <w:rPr>
          <w:smallCaps/>
        </w:rPr>
        <w:t>Wis. L. Rev.</w:t>
      </w:r>
      <w:r w:rsidRPr="007E79C2">
        <w:t xml:space="preserve"> 679, </w:t>
      </w:r>
      <w:r w:rsidRPr="007E79C2">
        <w:rPr>
          <w:rFonts w:asciiTheme="majorBidi" w:hAnsiTheme="majorBidi" w:cstheme="majorBidi"/>
        </w:rPr>
        <w:t>704–12</w:t>
      </w:r>
      <w:r w:rsidRPr="007E79C2">
        <w:t xml:space="preserve"> (2004)</w:t>
      </w:r>
      <w:r w:rsidRPr="007E79C2">
        <w:rPr>
          <w:rFonts w:asciiTheme="majorBidi" w:hAnsiTheme="majorBidi" w:cstheme="majorBidi"/>
        </w:rPr>
        <w:t xml:space="preserve">; Clayton P. Gillette, </w:t>
      </w:r>
      <w:r w:rsidRPr="007E79C2">
        <w:rPr>
          <w:rFonts w:asciiTheme="majorBidi" w:hAnsiTheme="majorBidi" w:cstheme="majorBidi"/>
          <w:i/>
          <w:iCs/>
        </w:rPr>
        <w:t>Pre-Approved Contracts for Internet Commerce</w:t>
      </w:r>
      <w:r w:rsidRPr="007E79C2">
        <w:rPr>
          <w:rFonts w:asciiTheme="majorBidi" w:hAnsiTheme="majorBidi" w:cstheme="majorBidi"/>
        </w:rPr>
        <w:t xml:space="preserve">, 42 </w:t>
      </w:r>
      <w:r w:rsidRPr="007E79C2">
        <w:rPr>
          <w:rFonts w:asciiTheme="majorBidi" w:hAnsiTheme="majorBidi" w:cstheme="majorBidi"/>
          <w:smallCaps/>
        </w:rPr>
        <w:t>Houston L. Rev</w:t>
      </w:r>
      <w:r w:rsidRPr="007E79C2">
        <w:rPr>
          <w:rFonts w:asciiTheme="majorBidi" w:hAnsiTheme="majorBidi" w:cstheme="majorBidi"/>
        </w:rPr>
        <w:t>. 975, 977 (2005)</w:t>
      </w:r>
      <w:r>
        <w:rPr>
          <w:rFonts w:asciiTheme="majorBidi" w:hAnsiTheme="majorBidi" w:cstheme="majorBidi"/>
        </w:rPr>
        <w:t xml:space="preserve">; </w:t>
      </w:r>
      <w:r w:rsidRPr="007E79C2">
        <w:rPr>
          <w:rFonts w:ascii="Times New Roman" w:hAnsi="Times New Roman"/>
        </w:rPr>
        <w:t>Johnston</w:t>
      </w:r>
      <w:r>
        <w:rPr>
          <w:rFonts w:ascii="Times New Roman" w:hAnsi="Times New Roman"/>
        </w:rPr>
        <w:t xml:space="preserve">, </w:t>
      </w:r>
      <w:r>
        <w:rPr>
          <w:rFonts w:ascii="Times New Roman" w:hAnsi="Times New Roman"/>
          <w:i/>
          <w:iCs/>
        </w:rPr>
        <w:t xml:space="preserve">supra </w:t>
      </w:r>
      <w:r>
        <w:rPr>
          <w:rFonts w:ascii="Times New Roman" w:hAnsi="Times New Roman"/>
        </w:rPr>
        <w:t xml:space="preserve">note </w:t>
      </w:r>
      <w:r>
        <w:rPr>
          <w:rFonts w:ascii="Times New Roman" w:hAnsi="Times New Roman"/>
        </w:rPr>
        <w:fldChar w:fldCharType="begin"/>
      </w:r>
      <w:r>
        <w:rPr>
          <w:rFonts w:ascii="Times New Roman" w:hAnsi="Times New Roman"/>
        </w:rPr>
        <w:instrText xml:space="preserve"> NOTEREF _Ref84622932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sidRPr="007E79C2">
        <w:rPr>
          <w:rFonts w:asciiTheme="majorBidi" w:hAnsiTheme="majorBidi" w:cstheme="majorBidi"/>
        </w:rPr>
        <w:t>.</w:t>
      </w:r>
    </w:p>
  </w:footnote>
  <w:footnote w:id="27">
    <w:p w14:paraId="2A6660C6" w14:textId="77777777" w:rsidR="00232832" w:rsidRDefault="00232832" w:rsidP="00232832">
      <w:pPr>
        <w:pStyle w:val="FootnoteText"/>
      </w:pPr>
      <w:r>
        <w:rPr>
          <w:rStyle w:val="FootnoteReference"/>
        </w:rPr>
        <w:footnoteRef/>
      </w:r>
      <w:r>
        <w:t xml:space="preserve"> </w:t>
      </w:r>
      <w:r>
        <w:rPr>
          <w:i/>
          <w:iCs/>
        </w:rPr>
        <w:t xml:space="preserve">See, e.g., </w:t>
      </w:r>
      <w:r>
        <w:t xml:space="preserve">Johnston, </w:t>
      </w:r>
      <w:r>
        <w:rPr>
          <w:i/>
          <w:iCs/>
        </w:rPr>
        <w:t xml:space="preserve">supra </w:t>
      </w:r>
      <w:r>
        <w:t xml:space="preserve">note </w:t>
      </w:r>
      <w:r>
        <w:fldChar w:fldCharType="begin"/>
      </w:r>
      <w:r>
        <w:instrText xml:space="preserve"> NOTEREF _Ref84622932 \h </w:instrText>
      </w:r>
      <w:r>
        <w:fldChar w:fldCharType="separate"/>
      </w:r>
      <w:r>
        <w:t>1</w:t>
      </w:r>
      <w:r>
        <w:fldChar w:fldCharType="end"/>
      </w:r>
      <w:r>
        <w:t>, at 858 (“firms use clear and unconditional standard-form contract terms not because they will insist upon these terms, but because they have given their managerial employees the discretion to grant exceptions from the standard-form terms on a case-by-case basis.”).</w:t>
      </w:r>
    </w:p>
  </w:footnote>
  <w:footnote w:id="28">
    <w:p w14:paraId="349B580F" w14:textId="77777777" w:rsidR="00232832" w:rsidRPr="00ED3058" w:rsidRDefault="00232832" w:rsidP="00232832">
      <w:pPr>
        <w:pStyle w:val="FootnoteText"/>
      </w:pPr>
      <w:r>
        <w:rPr>
          <w:rStyle w:val="FootnoteReference"/>
        </w:rPr>
        <w:footnoteRef/>
      </w:r>
      <w:r>
        <w:t xml:space="preserve"> </w:t>
      </w:r>
      <w:proofErr w:type="spellStart"/>
      <w:r>
        <w:rPr>
          <w:rFonts w:asciiTheme="majorBidi" w:hAnsiTheme="majorBidi" w:cstheme="majorBidi"/>
          <w:iCs/>
        </w:rPr>
        <w:t>Bebchuk</w:t>
      </w:r>
      <w:proofErr w:type="spellEnd"/>
      <w:r>
        <w:rPr>
          <w:rFonts w:asciiTheme="majorBidi" w:hAnsiTheme="majorBidi" w:cstheme="majorBidi"/>
          <w:iCs/>
        </w:rPr>
        <w:t xml:space="preserve">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_Ref84623113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28 (“[a] seller concerned about its reputation can be expected to treat consumers better than is required by the letter of the contract. But the seller’s right to stand on the contract as written will protect it against opportunistic buyers.”).</w:t>
      </w:r>
    </w:p>
  </w:footnote>
  <w:footnote w:id="29">
    <w:p w14:paraId="468DFFE8" w14:textId="77777777" w:rsidR="00232832" w:rsidRPr="00476A73" w:rsidRDefault="00232832" w:rsidP="00232832">
      <w:pPr>
        <w:pStyle w:val="FootnoteText"/>
        <w:rPr>
          <w:lang w:bidi="he-IL"/>
        </w:rPr>
      </w:pPr>
      <w:r>
        <w:rPr>
          <w:rStyle w:val="FootnoteReference"/>
        </w:rPr>
        <w:footnoteRef/>
      </w:r>
      <w:r w:rsidRPr="00476A73">
        <w:t xml:space="preserve"> </w:t>
      </w:r>
      <w:proofErr w:type="spellStart"/>
      <w:r w:rsidRPr="00476A73">
        <w:rPr>
          <w:rFonts w:asciiTheme="majorBidi" w:hAnsiTheme="majorBidi" w:cstheme="majorBidi"/>
          <w:iCs/>
        </w:rPr>
        <w:t>Bebchuk</w:t>
      </w:r>
      <w:proofErr w:type="spellEnd"/>
      <w:r w:rsidRPr="00476A73">
        <w:rPr>
          <w:rFonts w:asciiTheme="majorBidi" w:hAnsiTheme="majorBidi" w:cstheme="majorBidi"/>
          <w:iCs/>
        </w:rPr>
        <w:t xml:space="preserve"> &amp; Posner, </w:t>
      </w:r>
      <w:r w:rsidRPr="00476A73">
        <w:rPr>
          <w:rFonts w:asciiTheme="majorBidi" w:hAnsiTheme="majorBidi" w:cstheme="majorBidi"/>
          <w:i/>
          <w:iCs/>
        </w:rPr>
        <w:t xml:space="preserve">supra </w:t>
      </w:r>
      <w:r w:rsidRPr="00476A73">
        <w:rPr>
          <w:rFonts w:asciiTheme="majorBidi" w:hAnsiTheme="majorBidi" w:cstheme="majorBidi"/>
          <w:iCs/>
        </w:rPr>
        <w:t xml:space="preserve">note </w:t>
      </w:r>
      <w:r>
        <w:rPr>
          <w:rFonts w:asciiTheme="majorBidi" w:hAnsiTheme="majorBidi" w:cstheme="majorBidi"/>
          <w:iCs/>
        </w:rPr>
        <w:fldChar w:fldCharType="begin"/>
      </w:r>
      <w:r w:rsidRPr="00476A73">
        <w:rPr>
          <w:rFonts w:asciiTheme="majorBidi" w:hAnsiTheme="majorBidi" w:cstheme="majorBidi"/>
          <w:iCs/>
        </w:rPr>
        <w:instrText xml:space="preserve"> NOTEREF _Ref84623113 \h </w:instrText>
      </w:r>
      <w:r>
        <w:rPr>
          <w:rFonts w:asciiTheme="majorBidi" w:hAnsiTheme="majorBidi" w:cstheme="majorBidi"/>
          <w:iCs/>
        </w:rPr>
      </w:r>
      <w:r>
        <w:rPr>
          <w:rFonts w:asciiTheme="majorBidi" w:hAnsiTheme="majorBidi" w:cstheme="majorBidi"/>
          <w:iCs/>
        </w:rPr>
        <w:fldChar w:fldCharType="separate"/>
      </w:r>
      <w:r w:rsidRPr="00476A73">
        <w:rPr>
          <w:rFonts w:asciiTheme="majorBidi" w:hAnsiTheme="majorBidi" w:cstheme="majorBidi"/>
          <w:iCs/>
        </w:rPr>
        <w:t>7</w:t>
      </w:r>
      <w:r>
        <w:rPr>
          <w:rFonts w:asciiTheme="majorBidi" w:hAnsiTheme="majorBidi" w:cstheme="majorBidi"/>
          <w:iCs/>
        </w:rPr>
        <w:fldChar w:fldCharType="end"/>
      </w:r>
      <w:r w:rsidRPr="00476A73">
        <w:rPr>
          <w:rFonts w:asciiTheme="majorBidi" w:hAnsiTheme="majorBidi" w:cstheme="majorBidi"/>
          <w:iCs/>
          <w:lang w:bidi="he-IL"/>
        </w:rPr>
        <w:t>, at ___.</w:t>
      </w:r>
    </w:p>
  </w:footnote>
  <w:footnote w:id="30">
    <w:p w14:paraId="509F338F" w14:textId="77777777" w:rsidR="00232832" w:rsidRDefault="00232832" w:rsidP="00232832">
      <w:pPr>
        <w:pStyle w:val="FootnoteText"/>
      </w:pPr>
      <w:r>
        <w:rPr>
          <w:rStyle w:val="FootnoteReference"/>
        </w:rPr>
        <w:footnoteRef/>
      </w:r>
      <w:r>
        <w:t xml:space="preserve">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proofErr w:type="spellStart"/>
      <w:r w:rsidRPr="000A17C0">
        <w:t>Shobiz</w:t>
      </w:r>
      <w:proofErr w:type="spellEnd"/>
      <w:r w:rsidRPr="000A17C0">
        <w:t xml:space="preserve"> </w:t>
      </w:r>
      <w:proofErr w:type="spellStart"/>
      <w:r w:rsidRPr="000A17C0">
        <w:t>Cheatsheet</w:t>
      </w:r>
      <w:proofErr w:type="spellEnd"/>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p>
  </w:footnote>
  <w:footnote w:id="31">
    <w:p w14:paraId="0689CB58" w14:textId="77777777" w:rsidR="00232832" w:rsidRPr="00476A73" w:rsidRDefault="00232832" w:rsidP="00232832">
      <w:pPr>
        <w:pStyle w:val="FootnoteText"/>
      </w:pPr>
      <w:r>
        <w:rPr>
          <w:rStyle w:val="FootnoteReference"/>
        </w:rPr>
        <w:footnoteRef/>
      </w:r>
      <w:r w:rsidRPr="00476A73">
        <w:t xml:space="preserve"> </w:t>
      </w:r>
    </w:p>
  </w:footnote>
  <w:footnote w:id="32">
    <w:p w14:paraId="6F4AB300" w14:textId="77777777" w:rsidR="00232832" w:rsidRPr="00452203" w:rsidRDefault="00232832" w:rsidP="00232832">
      <w:pPr>
        <w:pStyle w:val="FootnoteText"/>
      </w:pPr>
      <w:r>
        <w:rPr>
          <w:rStyle w:val="FootnoteReference"/>
        </w:rPr>
        <w:footnoteRef/>
      </w:r>
      <w:r>
        <w:t xml:space="preserve"> </w:t>
      </w:r>
      <w:r>
        <w:rPr>
          <w:i/>
          <w:iCs/>
        </w:rPr>
        <w:t xml:space="preserve">See, e.g., See </w:t>
      </w:r>
      <w:r>
        <w:t xml:space="preserve">Michelle Crouch, </w:t>
      </w:r>
      <w:r>
        <w:rPr>
          <w:i/>
          <w:iCs/>
        </w:rPr>
        <w:t xml:space="preserve">Poll: You Can Get Better Credit Card Terms Just by Asking </w:t>
      </w:r>
      <w:r>
        <w:t xml:space="preserve">(March 27, 2017), available at </w:t>
      </w:r>
      <w:r w:rsidRPr="004170A4">
        <w:t>https://www.creditcards.com/credit-card-news/late-fee-waiver-poll.php</w:t>
      </w:r>
      <w:r>
        <w:t>.</w:t>
      </w:r>
    </w:p>
  </w:footnote>
  <w:footnote w:id="33">
    <w:p w14:paraId="1FC20482" w14:textId="77777777" w:rsidR="00232832" w:rsidRPr="00452203" w:rsidRDefault="00232832" w:rsidP="00232832">
      <w:pPr>
        <w:pStyle w:val="FootnoteText"/>
      </w:pPr>
      <w:r>
        <w:rPr>
          <w:rStyle w:val="FootnoteReference"/>
        </w:rPr>
        <w:footnoteRef/>
      </w:r>
      <w:r w:rsidRPr="00452203">
        <w:t xml:space="preserve"> </w:t>
      </w:r>
    </w:p>
  </w:footnote>
  <w:footnote w:id="34">
    <w:p w14:paraId="7133AC4A" w14:textId="77777777" w:rsidR="00232832" w:rsidRPr="00E223EF" w:rsidRDefault="00232832" w:rsidP="00232832">
      <w:pPr>
        <w:pStyle w:val="FootnoteText"/>
      </w:pPr>
      <w:r>
        <w:rPr>
          <w:rStyle w:val="FootnoteReference"/>
        </w:rPr>
        <w:footnoteRef/>
      </w:r>
      <w:r>
        <w:t xml:space="preserve"> </w:t>
      </w:r>
      <w:r>
        <w:rPr>
          <w:i/>
          <w:iCs/>
        </w:rPr>
        <w:t xml:space="preserve">See, e.g., </w:t>
      </w:r>
      <w:r>
        <w:t xml:space="preserve">Johnston, </w:t>
      </w:r>
      <w:r>
        <w:rPr>
          <w:i/>
          <w:iCs/>
        </w:rPr>
        <w:t xml:space="preserve">supra </w:t>
      </w:r>
      <w:r>
        <w:t xml:space="preserve">note </w:t>
      </w:r>
      <w:r>
        <w:fldChar w:fldCharType="begin"/>
      </w:r>
      <w:r>
        <w:instrText xml:space="preserve"> NOTEREF _Ref84622932 \h </w:instrText>
      </w:r>
      <w:r>
        <w:fldChar w:fldCharType="separate"/>
      </w:r>
      <w:r>
        <w:t>1</w:t>
      </w:r>
      <w:r>
        <w:fldChar w:fldCharType="end"/>
      </w:r>
      <w:r>
        <w:t xml:space="preserve">, at 858 (“a firm will often provide benefits to consumers […] beyond those that its standard form obligates it to provide. […] Were firms legally required to extend such benefits […]—then both firms and their customers would be worse off”); </w:t>
      </w:r>
      <w:proofErr w:type="spellStart"/>
      <w:r>
        <w:t>Bebchuk</w:t>
      </w:r>
      <w:proofErr w:type="spellEnd"/>
      <w:r>
        <w:t xml:space="preserve"> &amp; Posner, at 828 (“A one-sided contract may thus be preferred ex ante by informed parties as a cheaper mechanism for inducing efficient outcomes, should contingencies arise during the performance of the contract, than a more “balanced” contract that, because of imperfect enforcement, could create costs as a consequence of consumers’ enforcing protective provisions in the contract.”). </w:t>
      </w:r>
    </w:p>
  </w:footnote>
  <w:footnote w:id="35">
    <w:p w14:paraId="66659482" w14:textId="77777777" w:rsidR="00232832" w:rsidRPr="007E79C2" w:rsidRDefault="00232832" w:rsidP="00232832">
      <w:pPr>
        <w:pStyle w:val="FootnoteText"/>
      </w:pPr>
      <w:r w:rsidRPr="007E79C2">
        <w:rPr>
          <w:rStyle w:val="FootnoteReference"/>
        </w:rPr>
        <w:footnoteRef/>
      </w:r>
      <w:r w:rsidRPr="007E79C2">
        <w:t xml:space="preserve"> </w:t>
      </w:r>
      <w:r w:rsidRPr="007E79C2">
        <w:rPr>
          <w:i/>
          <w:iCs/>
        </w:rPr>
        <w:t xml:space="preserve">See, e.g., </w:t>
      </w:r>
      <w:proofErr w:type="spellStart"/>
      <w:r w:rsidRPr="007E79C2">
        <w:t>Bebchuk</w:t>
      </w:r>
      <w:proofErr w:type="spellEnd"/>
      <w:r w:rsidRPr="007E79C2">
        <w:t xml:space="preserve"> &amp; Posner, </w:t>
      </w:r>
      <w:r w:rsidRPr="007E79C2">
        <w:rPr>
          <w:i/>
          <w:iCs/>
        </w:rPr>
        <w:t xml:space="preserve">supra </w:t>
      </w:r>
      <w:r w:rsidRPr="007E79C2">
        <w:t xml:space="preserve">note </w:t>
      </w:r>
      <w:r w:rsidRPr="007E79C2">
        <w:fldChar w:fldCharType="begin"/>
      </w:r>
      <w:r w:rsidRPr="007E79C2">
        <w:instrText xml:space="preserve"> NOTEREF _Ref83202661 \h  \* MERGEFORMAT </w:instrText>
      </w:r>
      <w:r w:rsidRPr="007E79C2">
        <w:fldChar w:fldCharType="separate"/>
      </w:r>
      <w:r w:rsidRPr="007E79C2">
        <w:t>1</w:t>
      </w:r>
      <w:r w:rsidRPr="007E79C2">
        <w:fldChar w:fldCharType="end"/>
      </w:r>
      <w:r w:rsidRPr="007E79C2">
        <w:t xml:space="preserve">. </w:t>
      </w:r>
    </w:p>
  </w:footnote>
  <w:footnote w:id="36">
    <w:p w14:paraId="61FF225B" w14:textId="77777777" w:rsidR="00232832" w:rsidRPr="00FF35A3" w:rsidRDefault="00232832" w:rsidP="00232832">
      <w:pPr>
        <w:pStyle w:val="FootnoteText"/>
      </w:pPr>
      <w:r>
        <w:rPr>
          <w:rStyle w:val="FootnoteReference"/>
        </w:rPr>
        <w:footnoteRef/>
      </w:r>
      <w:r>
        <w:t xml:space="preserve"> </w:t>
      </w:r>
      <w:r>
        <w:rPr>
          <w:i/>
          <w:iCs/>
        </w:rPr>
        <w:t>See, e.g.,</w:t>
      </w:r>
      <w:r w:rsidRPr="00C22DC6">
        <w:t xml:space="preserve"> </w:t>
      </w:r>
      <w:r>
        <w:t xml:space="preserve">Gillette, </w:t>
      </w:r>
      <w:r>
        <w:rPr>
          <w:i/>
          <w:iCs/>
        </w:rPr>
        <w:t>Rolling Contracts</w:t>
      </w:r>
      <w:r>
        <w:t xml:space="preserve">, </w:t>
      </w:r>
      <w:r>
        <w:rPr>
          <w:i/>
          <w:iCs/>
        </w:rPr>
        <w:t xml:space="preserve">supra </w:t>
      </w:r>
      <w:r>
        <w:t xml:space="preserve">note </w:t>
      </w:r>
      <w:r>
        <w:fldChar w:fldCharType="begin"/>
      </w:r>
      <w:r>
        <w:instrText xml:space="preserve"> NOTEREF _Ref84623113 \h </w:instrText>
      </w:r>
      <w:r>
        <w:fldChar w:fldCharType="separate"/>
      </w:r>
      <w:r>
        <w:t>7</w:t>
      </w:r>
      <w:r>
        <w:fldChar w:fldCharType="end"/>
      </w:r>
      <w:r>
        <w:t xml:space="preserve">, at 705 (noting, for example, that “if sellers systematically provide redress where goods are clearly defective, but systematically contest less credible disputes about product quality, then the insertion of a clause into an RC that disfavors buyers may be less problematic, because the clause is applied disproportionately against bad claimants.”).  </w:t>
      </w:r>
      <w:r>
        <w:rPr>
          <w:i/>
          <w:iCs/>
        </w:rPr>
        <w:t xml:space="preserve"> </w:t>
      </w:r>
    </w:p>
  </w:footnote>
  <w:footnote w:id="37">
    <w:p w14:paraId="6713BD86" w14:textId="6A0629DA" w:rsidR="00270A21" w:rsidRDefault="00270A21">
      <w:pPr>
        <w:pStyle w:val="FootnoteText"/>
      </w:pPr>
      <w:r>
        <w:rPr>
          <w:rStyle w:val="FootnoteReference"/>
        </w:rPr>
        <w:footnoteRef/>
      </w:r>
      <w:r>
        <w:t xml:space="preserve"> </w:t>
      </w:r>
      <w:r w:rsidR="001B1B5A">
        <w:rPr>
          <w:i/>
          <w:iCs/>
        </w:rPr>
        <w:t xml:space="preserve">See, e.g., </w:t>
      </w:r>
      <w:r w:rsidR="001B1B5A" w:rsidRPr="00252F9F">
        <w:rPr>
          <w:i/>
          <w:iCs/>
        </w:rPr>
        <w:t>S</w:t>
      </w:r>
      <w:r w:rsidR="001B1B5A">
        <w:rPr>
          <w:i/>
          <w:iCs/>
        </w:rPr>
        <w:t xml:space="preserve">ee </w:t>
      </w:r>
      <w:r w:rsidR="001B1B5A" w:rsidRPr="007E79C2">
        <w:rPr>
          <w:rFonts w:asciiTheme="majorBidi" w:hAnsiTheme="majorBidi" w:cstheme="majorBidi"/>
        </w:rPr>
        <w:t xml:space="preserve">Shmuel I. Becher &amp; Tal Z. </w:t>
      </w:r>
      <w:proofErr w:type="spellStart"/>
      <w:r w:rsidR="001B1B5A" w:rsidRPr="007E79C2">
        <w:rPr>
          <w:rFonts w:asciiTheme="majorBidi" w:hAnsiTheme="majorBidi" w:cstheme="majorBidi"/>
        </w:rPr>
        <w:t>Zarsky</w:t>
      </w:r>
      <w:proofErr w:type="spellEnd"/>
      <w:r w:rsidR="001B1B5A" w:rsidRPr="007E79C2">
        <w:rPr>
          <w:rFonts w:asciiTheme="majorBidi" w:hAnsiTheme="majorBidi" w:cstheme="majorBidi"/>
        </w:rPr>
        <w:t xml:space="preserve">, </w:t>
      </w:r>
      <w:r w:rsidR="001B1B5A" w:rsidRPr="007E79C2">
        <w:rPr>
          <w:rFonts w:asciiTheme="majorBidi" w:hAnsiTheme="majorBidi" w:cstheme="majorBidi"/>
          <w:i/>
        </w:rPr>
        <w:t>Minding the Gap</w:t>
      </w:r>
      <w:r w:rsidR="001B1B5A" w:rsidRPr="007E79C2">
        <w:rPr>
          <w:rFonts w:asciiTheme="majorBidi" w:hAnsiTheme="majorBidi" w:cstheme="majorBidi"/>
        </w:rPr>
        <w:t xml:space="preserve">, 51 </w:t>
      </w:r>
      <w:r w:rsidR="001B1B5A" w:rsidRPr="007E79C2">
        <w:rPr>
          <w:rFonts w:asciiTheme="majorBidi" w:hAnsiTheme="majorBidi" w:cstheme="majorBidi"/>
          <w:smallCaps/>
        </w:rPr>
        <w:t>Conn. L. Rev. 69</w:t>
      </w:r>
      <w:r w:rsidR="001B1B5A">
        <w:rPr>
          <w:rFonts w:asciiTheme="majorBidi" w:hAnsiTheme="majorBidi" w:cstheme="majorBidi"/>
          <w:smallCaps/>
        </w:rPr>
        <w:t>, 91</w:t>
      </w:r>
      <w:r w:rsidR="001B1B5A" w:rsidRPr="007E79C2">
        <w:rPr>
          <w:rFonts w:asciiTheme="majorBidi" w:hAnsiTheme="majorBidi" w:cstheme="majorBidi"/>
          <w:smallCaps/>
        </w:rPr>
        <w:t xml:space="preserve"> </w:t>
      </w:r>
      <w:r w:rsidR="001B1B5A" w:rsidRPr="007E79C2">
        <w:rPr>
          <w:rFonts w:asciiTheme="majorBidi" w:hAnsiTheme="majorBidi" w:cstheme="majorBidi"/>
        </w:rPr>
        <w:t>(2019)</w:t>
      </w:r>
      <w:r w:rsidR="001B1B5A" w:rsidRPr="007E79C2">
        <w:rPr>
          <w:rFonts w:ascii="Times" w:hAnsi="Times"/>
        </w:rPr>
        <w:t xml:space="preserve"> </w:t>
      </w:r>
      <w:r w:rsidR="001B1B5A" w:rsidRPr="007E79C2">
        <w:rPr>
          <w:rFonts w:asciiTheme="majorBidi" w:hAnsiTheme="majorBidi" w:cstheme="majorBidi"/>
        </w:rPr>
        <w:t xml:space="preserve">(suggesting that “uninformed and weak groups of consumers” will be disadvantaged, as “sophisticated and informed” groups will plausibly be treated more forgivingly or generously); Eyal Zamir, </w:t>
      </w:r>
      <w:r w:rsidR="001B1B5A" w:rsidRPr="007E79C2">
        <w:rPr>
          <w:rFonts w:asciiTheme="majorBidi" w:hAnsiTheme="majorBidi" w:cstheme="majorBidi"/>
          <w:i/>
          <w:iCs/>
        </w:rPr>
        <w:t>Contract Law and Theory: Three Views of the Cathedral</w:t>
      </w:r>
      <w:r w:rsidR="001B1B5A" w:rsidRPr="007E79C2">
        <w:rPr>
          <w:rFonts w:asciiTheme="majorBidi" w:hAnsiTheme="majorBidi" w:cstheme="majorBidi"/>
        </w:rPr>
        <w:t xml:space="preserve">, 81 </w:t>
      </w:r>
      <w:r w:rsidR="001B1B5A" w:rsidRPr="007E79C2">
        <w:rPr>
          <w:rFonts w:asciiTheme="majorBidi" w:hAnsiTheme="majorBidi" w:cstheme="majorBidi"/>
          <w:smallCaps/>
        </w:rPr>
        <w:t>U. Chi. L. Rev. 2077, 2100 (</w:t>
      </w:r>
      <w:r w:rsidR="001B1B5A" w:rsidRPr="007E79C2">
        <w:rPr>
          <w:rFonts w:asciiTheme="majorBidi" w:hAnsiTheme="majorBidi" w:cstheme="majorBidi"/>
        </w:rPr>
        <w:t>2014) (suggesting that reputational forces “are much more likely to work in favor of large, recurring, and sophisticated customers—whose goodwill the supplier values highly—than in favor of the weak, occasional, and unsophisticated customer, whose goodwill is valued less”)</w:t>
      </w:r>
      <w:r w:rsidR="001B1B5A">
        <w:rPr>
          <w:rFonts w:asciiTheme="majorBidi" w:hAnsiTheme="majorBidi" w:cstheme="majorBidi"/>
        </w:rPr>
        <w:t>.</w:t>
      </w:r>
    </w:p>
  </w:footnote>
  <w:footnote w:id="38">
    <w:p w14:paraId="041E3BAA" w14:textId="77777777" w:rsidR="00713B09" w:rsidRPr="007E79C2" w:rsidRDefault="00713B09" w:rsidP="00713B09">
      <w:pPr>
        <w:pStyle w:val="FootnoteText"/>
      </w:pPr>
      <w:r w:rsidRPr="007E79C2">
        <w:rPr>
          <w:rStyle w:val="FootnoteReference"/>
        </w:rPr>
        <w:footnoteRef/>
      </w:r>
      <w:r w:rsidRPr="007E79C2">
        <w:t xml:space="preserve"> </w:t>
      </w:r>
      <w:r w:rsidRPr="007E79C2">
        <w:rPr>
          <w:rFonts w:asciiTheme="majorBidi" w:hAnsiTheme="majorBidi" w:cstheme="majorBidi"/>
          <w:highlight w:val="yellow"/>
        </w:rPr>
        <w:t xml:space="preserve">e.g., Applegate, 1982; Paternoster, 1984; Holmberg, 2000; </w:t>
      </w:r>
      <w:proofErr w:type="spellStart"/>
      <w:r w:rsidRPr="007E79C2">
        <w:rPr>
          <w:rFonts w:asciiTheme="majorBidi" w:hAnsiTheme="majorBidi" w:cstheme="majorBidi"/>
          <w:highlight w:val="yellow"/>
        </w:rPr>
        <w:t>Bushway</w:t>
      </w:r>
      <w:proofErr w:type="spellEnd"/>
      <w:r w:rsidRPr="007E79C2">
        <w:rPr>
          <w:rFonts w:asciiTheme="majorBidi" w:hAnsiTheme="majorBidi" w:cstheme="majorBidi"/>
          <w:highlight w:val="yellow"/>
        </w:rPr>
        <w:t xml:space="preserve"> &amp; Morrison </w:t>
      </w:r>
      <w:proofErr w:type="spellStart"/>
      <w:r w:rsidRPr="007E79C2">
        <w:rPr>
          <w:rFonts w:asciiTheme="majorBidi" w:hAnsiTheme="majorBidi" w:cstheme="majorBidi"/>
          <w:highlight w:val="yellow"/>
        </w:rPr>
        <w:t>Piehl</w:t>
      </w:r>
      <w:proofErr w:type="spellEnd"/>
      <w:r w:rsidRPr="007E79C2">
        <w:rPr>
          <w:rFonts w:asciiTheme="majorBidi" w:hAnsiTheme="majorBidi" w:cstheme="majorBidi"/>
          <w:highlight w:val="yellow"/>
        </w:rPr>
        <w:t>, 2001; Price, 2009</w:t>
      </w:r>
    </w:p>
  </w:footnote>
  <w:footnote w:id="39">
    <w:p w14:paraId="78D9B547" w14:textId="1F09AB1C" w:rsidR="006C30AF" w:rsidRDefault="006C30AF">
      <w:pPr>
        <w:pStyle w:val="FootnoteText"/>
      </w:pPr>
      <w:r>
        <w:rPr>
          <w:rStyle w:val="FootnoteReference"/>
        </w:rPr>
        <w:footnoteRef/>
      </w:r>
      <w:r>
        <w:t xml:space="preserve"> </w:t>
      </w:r>
    </w:p>
  </w:footnote>
  <w:footnote w:id="40">
    <w:p w14:paraId="0F6B12AB" w14:textId="77777777" w:rsidR="00232832" w:rsidRPr="002728A6" w:rsidRDefault="00232832" w:rsidP="00232832">
      <w:pPr>
        <w:pStyle w:val="FootnoteText"/>
        <w:rPr>
          <w:i/>
          <w:iCs/>
        </w:rPr>
      </w:pPr>
      <w:r>
        <w:rPr>
          <w:rStyle w:val="FootnoteReference"/>
        </w:rPr>
        <w:footnoteRef/>
      </w:r>
      <w:r>
        <w:t xml:space="preserve"> There is also evidence that buyers exercise their discretion discriminatorily, for example by giving African-American taxi drivers significantly lower tips,</w:t>
      </w:r>
      <w:r w:rsidRPr="00BD4884">
        <w:t xml:space="preserve"> </w:t>
      </w:r>
      <w:r>
        <w:t xml:space="preserve">or by offering lower prices to female sellers in online markets. </w:t>
      </w:r>
      <w:r w:rsidRPr="008A427C">
        <w:rPr>
          <w:i/>
          <w:iCs/>
        </w:rPr>
        <w:t>See</w:t>
      </w:r>
      <w:r>
        <w:t xml:space="preserve"> Ian Ayres, Fredrick E. Vars &amp; Nasser Zakariya, </w:t>
      </w:r>
      <w:r>
        <w:rPr>
          <w:i/>
          <w:iCs/>
        </w:rPr>
        <w:t xml:space="preserve">To Insure Prejudice: Racial Disparities in Taxicab Tipping, </w:t>
      </w:r>
      <w:r>
        <w:t xml:space="preserve">114 </w:t>
      </w:r>
      <w:r w:rsidRPr="00E17591">
        <w:rPr>
          <w:smallCaps/>
        </w:rPr>
        <w:t>Yale L. J.</w:t>
      </w:r>
      <w:r>
        <w:t xml:space="preserve"> 1613 (2005) (documenting racial discrimination in taxicab tipping); Tamar Kricheli-Katz &amp; Tali Regev, </w:t>
      </w:r>
      <w:r>
        <w:rPr>
          <w:i/>
          <w:iCs/>
        </w:rPr>
        <w:t xml:space="preserve">How Many Cents on the Dollar” Women and Men in Product </w:t>
      </w:r>
      <w:proofErr w:type="spellStart"/>
      <w:r>
        <w:rPr>
          <w:i/>
          <w:iCs/>
        </w:rPr>
        <w:t>Marekts</w:t>
      </w:r>
      <w:proofErr w:type="spellEnd"/>
      <w:r>
        <w:t xml:space="preserve">, 2 </w:t>
      </w:r>
      <w:r w:rsidRPr="001D2DB7">
        <w:rPr>
          <w:smallCaps/>
        </w:rPr>
        <w:t>Sci. Adv.</w:t>
      </w:r>
      <w:r>
        <w:t xml:space="preserve"> 1 (2016) (documenting gender discrimination in eBay auctions).</w:t>
      </w:r>
    </w:p>
  </w:footnote>
  <w:footnote w:id="41">
    <w:p w14:paraId="19B7DA14" w14:textId="7586CB28" w:rsidR="00232832" w:rsidRPr="00E95B33" w:rsidRDefault="00232832" w:rsidP="00E95B33">
      <w:pPr>
        <w:rPr>
          <w:i/>
          <w:iCs/>
        </w:rPr>
      </w:pPr>
      <w:r>
        <w:rPr>
          <w:rStyle w:val="FootnoteReference"/>
        </w:rPr>
        <w:footnoteRef/>
      </w:r>
      <w:r w:rsidRPr="00CF7287">
        <w:t xml:space="preserve"> </w:t>
      </w:r>
      <w:r w:rsidR="00CB5BC9">
        <w:rPr>
          <w:i/>
          <w:iCs/>
        </w:rPr>
        <w:t xml:space="preserve">See, e.g., </w:t>
      </w:r>
      <w:r w:rsidR="00BA79CB">
        <w:rPr>
          <w:rFonts w:asciiTheme="majorBidi" w:hAnsiTheme="majorBidi" w:cstheme="majorBidi"/>
        </w:rPr>
        <w:t xml:space="preserve">Ian Ayres and Peter Siegelman, </w:t>
      </w:r>
      <w:r w:rsidR="00BA79CB">
        <w:rPr>
          <w:rFonts w:asciiTheme="majorBidi" w:hAnsiTheme="majorBidi" w:cstheme="majorBidi"/>
          <w:i/>
          <w:iCs/>
        </w:rPr>
        <w:t>Race and Gender Discrimination in Bargaining for a New Car</w:t>
      </w:r>
      <w:r w:rsidR="00BA79CB">
        <w:rPr>
          <w:rFonts w:asciiTheme="majorBidi" w:hAnsiTheme="majorBidi" w:cstheme="majorBidi"/>
        </w:rPr>
        <w:t xml:space="preserve">, 85 </w:t>
      </w:r>
      <w:r w:rsidR="00BA79CB">
        <w:rPr>
          <w:rFonts w:asciiTheme="majorBidi" w:hAnsiTheme="majorBidi" w:cstheme="majorBidi"/>
          <w:smallCaps/>
        </w:rPr>
        <w:t>Am. Econ. Rev.</w:t>
      </w:r>
      <w:r w:rsidR="00BA79CB">
        <w:rPr>
          <w:rFonts w:asciiTheme="majorBidi" w:hAnsiTheme="majorBidi" w:cstheme="majorBidi"/>
        </w:rPr>
        <w:t xml:space="preserve"> 304, </w:t>
      </w:r>
      <w:r w:rsidR="00BA79CB" w:rsidRPr="00B92DEB">
        <w:rPr>
          <w:rFonts w:asciiTheme="majorBidi" w:hAnsiTheme="majorBidi" w:cstheme="majorBidi"/>
        </w:rPr>
        <w:t>305–06</w:t>
      </w:r>
      <w:r w:rsidR="00BA79CB">
        <w:rPr>
          <w:rFonts w:asciiTheme="majorBidi" w:hAnsiTheme="majorBidi" w:cstheme="majorBidi"/>
        </w:rPr>
        <w:t xml:space="preserve"> (1995).</w:t>
      </w:r>
      <w:r w:rsidR="00CB5BC9">
        <w:rPr>
          <w:i/>
          <w:iCs/>
        </w:rPr>
        <w:t xml:space="preserve"> </w:t>
      </w:r>
      <w:r w:rsidR="00CF7287">
        <w:t xml:space="preserve">In </w:t>
      </w:r>
      <w:r w:rsidR="00CB5BC9">
        <w:t>this</w:t>
      </w:r>
      <w:r w:rsidR="00CF7287">
        <w:t xml:space="preserve"> </w:t>
      </w:r>
      <w:r w:rsidR="00CB5BC9">
        <w:t>well-known</w:t>
      </w:r>
      <w:r w:rsidR="00CF7287">
        <w:t xml:space="preserve"> study, pairs of testers were trained to bargain uniformly and then sent to negotiate for the purchase of a new car at 153 Chicago dealerships. Notwithstanding the identical approach to bargaining, Ayres and Siegelman have found that white males were quoted significantly lower prices than white female and African-American (male and female) buyers. </w:t>
      </w:r>
      <w:r w:rsidR="00BA79CB">
        <w:rPr>
          <w:i/>
          <w:iCs/>
        </w:rPr>
        <w:t xml:space="preserve">See also </w:t>
      </w:r>
      <w:r w:rsidR="00E95B33" w:rsidRPr="00D75BE3">
        <w:rPr>
          <w:rFonts w:asciiTheme="majorBidi" w:hAnsiTheme="majorBidi" w:cstheme="majorBidi"/>
        </w:rPr>
        <w:t xml:space="preserve">Ian Ayres, </w:t>
      </w:r>
      <w:r w:rsidR="00E95B33" w:rsidRPr="00462FC3">
        <w:rPr>
          <w:rFonts w:asciiTheme="majorBidi" w:hAnsiTheme="majorBidi" w:cstheme="majorBidi"/>
          <w:i/>
          <w:iCs/>
        </w:rPr>
        <w:t>Fair Driving: Gender and Race Discrimination in Retail Car Negotiations</w:t>
      </w:r>
      <w:r w:rsidR="00E95B33" w:rsidRPr="00D75BE3">
        <w:rPr>
          <w:rFonts w:asciiTheme="majorBidi" w:hAnsiTheme="majorBidi" w:cstheme="majorBidi"/>
        </w:rPr>
        <w:t xml:space="preserve">, 104 </w:t>
      </w:r>
      <w:r w:rsidR="00E95B33" w:rsidRPr="00D75BE3">
        <w:rPr>
          <w:rFonts w:asciiTheme="majorBidi" w:hAnsiTheme="majorBidi" w:cstheme="majorBidi"/>
          <w:smallCaps/>
        </w:rPr>
        <w:t>Harv. L. Rev.</w:t>
      </w:r>
      <w:r w:rsidR="00E95B33">
        <w:rPr>
          <w:rFonts w:asciiTheme="majorBidi" w:hAnsiTheme="majorBidi" w:cstheme="majorBidi"/>
        </w:rPr>
        <w:t xml:space="preserve"> 817, </w:t>
      </w:r>
      <w:r w:rsidR="00E95B33" w:rsidRPr="00B92DEB">
        <w:rPr>
          <w:rFonts w:asciiTheme="majorBidi" w:hAnsiTheme="majorBidi" w:cstheme="majorBidi"/>
        </w:rPr>
        <w:t>822–27</w:t>
      </w:r>
      <w:r w:rsidR="00E95B33">
        <w:rPr>
          <w:rFonts w:asciiTheme="majorBidi" w:hAnsiTheme="majorBidi" w:cstheme="majorBidi"/>
        </w:rPr>
        <w:t xml:space="preserve"> (1991).</w:t>
      </w:r>
    </w:p>
  </w:footnote>
  <w:footnote w:id="42">
    <w:p w14:paraId="3D35EE55" w14:textId="77777777" w:rsidR="00232832" w:rsidRPr="00EF1C9D" w:rsidRDefault="00232832" w:rsidP="00232832">
      <w:pPr>
        <w:pStyle w:val="FootnoteText"/>
      </w:pPr>
      <w:r>
        <w:rPr>
          <w:rStyle w:val="FootnoteReference"/>
        </w:rPr>
        <w:footnoteRef/>
      </w:r>
      <w:r w:rsidRPr="007D6B38">
        <w:rPr>
          <w:lang w:val="fr-FR"/>
        </w:rPr>
        <w:t xml:space="preserve"> (</w:t>
      </w:r>
      <w:proofErr w:type="gramStart"/>
      <w:r w:rsidRPr="007D6B38">
        <w:rPr>
          <w:lang w:val="fr-FR"/>
        </w:rPr>
        <w:t>e.g.</w:t>
      </w:r>
      <w:proofErr w:type="gramEnd"/>
      <w:r w:rsidRPr="007D6B38">
        <w:rPr>
          <w:lang w:val="fr-FR"/>
        </w:rPr>
        <w:t xml:space="preserve">, Ayres &amp; </w:t>
      </w:r>
      <w:proofErr w:type="spellStart"/>
      <w:r w:rsidRPr="007D6B38">
        <w:rPr>
          <w:lang w:val="fr-FR"/>
        </w:rPr>
        <w:t>Siegleman</w:t>
      </w:r>
      <w:proofErr w:type="spellEnd"/>
      <w:r w:rsidRPr="007D6B38">
        <w:rPr>
          <w:lang w:val="fr-FR"/>
        </w:rPr>
        <w:t xml:space="preserve">, 1995; Goldberg, 1996; </w:t>
      </w:r>
      <w:proofErr w:type="spellStart"/>
      <w:r w:rsidRPr="007D6B38">
        <w:rPr>
          <w:lang w:val="fr-FR"/>
        </w:rPr>
        <w:t>Zussman</w:t>
      </w:r>
      <w:proofErr w:type="spellEnd"/>
      <w:r w:rsidRPr="007D6B38">
        <w:rPr>
          <w:lang w:val="fr-FR"/>
        </w:rPr>
        <w:t>, 2013; Hanson et al., 2016; Edelman et al., 2017)</w:t>
      </w:r>
      <w:r>
        <w:rPr>
          <w:lang w:val="fr-FR"/>
        </w:rPr>
        <w:t xml:space="preserve">. </w:t>
      </w:r>
      <w:r>
        <w:t xml:space="preserve">There is also qualitative evidence suggesting that minority consumers feel they are discriminated against by sellers. </w:t>
      </w:r>
      <w:r>
        <w:rPr>
          <w:i/>
          <w:iCs/>
        </w:rPr>
        <w:t xml:space="preserve">See, e.g., </w:t>
      </w:r>
      <w:r>
        <w:t xml:space="preserve">Edith F. Davidson, </w:t>
      </w:r>
      <w:r>
        <w:rPr>
          <w:i/>
          <w:iCs/>
        </w:rPr>
        <w:t>Shopping while Black: Perceptions of Discrimination in Retail Settings</w:t>
      </w:r>
      <w:r>
        <w:t xml:space="preserve">, PhD diss., University of Tennessee (2007), available at </w:t>
      </w:r>
      <w:hyperlink r:id="rId1" w:history="1">
        <w:r w:rsidRPr="00911E9F">
          <w:rPr>
            <w:rStyle w:val="Hyperlink"/>
          </w:rPr>
          <w:t>https://trace.tennessee.edu/utk_graddiss/147/</w:t>
        </w:r>
      </w:hyperlink>
      <w:r>
        <w:t xml:space="preserve"> (reporting, based on a series of interviews, that African-Americans feel that they are constantly subject to racial profiling in retail stores); </w:t>
      </w:r>
      <w:proofErr w:type="spellStart"/>
      <w:r>
        <w:t>Aronte</w:t>
      </w:r>
      <w:proofErr w:type="spellEnd"/>
      <w:r>
        <w:t xml:space="preserve"> M. Bennet et al., </w:t>
      </w:r>
      <w:r>
        <w:rPr>
          <w:i/>
          <w:iCs/>
        </w:rPr>
        <w:t>Shopping while Nonwhite: Racial Discrimination among Minority Consumers</w:t>
      </w:r>
      <w:r>
        <w:t xml:space="preserve">, 49 </w:t>
      </w:r>
      <w:r w:rsidRPr="00785D3B">
        <w:rPr>
          <w:smallCaps/>
        </w:rPr>
        <w:t>J. of Consumer Affairs</w:t>
      </w:r>
      <w:r>
        <w:t xml:space="preserve"> 328 (2015) (reporting, based on a survey, that non-white customers are significantly more likely to feel discriminated against in stores than white customers).</w:t>
      </w:r>
    </w:p>
  </w:footnote>
  <w:footnote w:id="43">
    <w:p w14:paraId="59050E24" w14:textId="77777777" w:rsidR="00232832" w:rsidRDefault="00232832" w:rsidP="00232832">
      <w:pPr>
        <w:pStyle w:val="FootnoteText"/>
      </w:pPr>
      <w:r>
        <w:rPr>
          <w:rStyle w:val="FootnoteReference"/>
        </w:rPr>
        <w:footnoteRef/>
      </w:r>
      <w:r>
        <w:t xml:space="preserve"> </w:t>
      </w:r>
      <w:r w:rsidRPr="007E79C2">
        <w:t xml:space="preserve">Manisha Padi, </w:t>
      </w:r>
      <w:r w:rsidRPr="007E79C2">
        <w:rPr>
          <w:i/>
          <w:iCs/>
        </w:rPr>
        <w:t>Contractual Inequality</w:t>
      </w:r>
      <w:r w:rsidRPr="007E79C2">
        <w:t>, ___ Michi. L. Rev. (2021)</w:t>
      </w:r>
      <w:r>
        <w:t>.</w:t>
      </w:r>
    </w:p>
  </w:footnote>
  <w:footnote w:id="44">
    <w:p w14:paraId="31FC5E0F" w14:textId="7F473697" w:rsidR="00232832" w:rsidRPr="00DD6CE4" w:rsidRDefault="00232832" w:rsidP="00232832">
      <w:pPr>
        <w:pStyle w:val="FootnoteText"/>
      </w:pPr>
      <w:r>
        <w:rPr>
          <w:rStyle w:val="FootnoteReference"/>
        </w:rPr>
        <w:footnoteRef/>
      </w:r>
      <w:r>
        <w:t xml:space="preserve"> </w:t>
      </w:r>
    </w:p>
  </w:footnote>
  <w:footnote w:id="45">
    <w:p w14:paraId="39B13D44" w14:textId="77777777" w:rsidR="00232832" w:rsidRPr="00887CEF" w:rsidRDefault="00232832" w:rsidP="00232832">
      <w:pPr>
        <w:pStyle w:val="FootnoteText"/>
      </w:pPr>
      <w:r>
        <w:rPr>
          <w:rStyle w:val="FootnoteReference"/>
        </w:rPr>
        <w:footnoteRef/>
      </w:r>
      <w:r>
        <w:t xml:space="preserve"> For a notable exception, </w:t>
      </w:r>
      <w:r>
        <w:rPr>
          <w:i/>
          <w:iCs/>
        </w:rPr>
        <w:t xml:space="preserve">see </w:t>
      </w:r>
      <w:r w:rsidRPr="007E79C2">
        <w:t xml:space="preserve">Manisha Padi, </w:t>
      </w:r>
      <w:r w:rsidRPr="007E79C2">
        <w:rPr>
          <w:i/>
          <w:iCs/>
        </w:rPr>
        <w:t>Contractual Inequality</w:t>
      </w:r>
      <w:r w:rsidRPr="007E79C2">
        <w:t>, ___ Michi. L. Rev. (2021)</w:t>
      </w:r>
      <w:r>
        <w:t xml:space="preserve"> (finding, based on a national sample of mortgage agreements, that mortgage servicers disproportionately exercise their contractual right to foreclose on borrowers from poor neighborhoods).</w:t>
      </w:r>
    </w:p>
  </w:footnote>
  <w:footnote w:id="46">
    <w:p w14:paraId="3906D292" w14:textId="77777777" w:rsidR="00232832" w:rsidRPr="0009261E" w:rsidRDefault="00232832" w:rsidP="00232832">
      <w:pPr>
        <w:pStyle w:val="FootnoteText"/>
      </w:pPr>
      <w:r>
        <w:rPr>
          <w:rStyle w:val="FootnoteReference"/>
        </w:rPr>
        <w:footnoteRef/>
      </w:r>
      <w:r>
        <w:t xml:space="preserve"> </w:t>
      </w:r>
      <w:r>
        <w:rPr>
          <w:i/>
          <w:iCs/>
        </w:rPr>
        <w:t xml:space="preserve">See </w:t>
      </w:r>
      <w:r w:rsidRPr="0009261E">
        <w:rPr>
          <w:highlight w:val="yellow"/>
        </w:rPr>
        <w:t>Section I</w:t>
      </w:r>
      <w:r>
        <w:t xml:space="preserve">, </w:t>
      </w:r>
      <w:r>
        <w:rPr>
          <w:i/>
          <w:iCs/>
        </w:rPr>
        <w:t>infra</w:t>
      </w:r>
      <w:r>
        <w:t>.</w:t>
      </w:r>
    </w:p>
  </w:footnote>
  <w:footnote w:id="47">
    <w:p w14:paraId="085417A2" w14:textId="05AE6463" w:rsidR="00F07F4C" w:rsidRPr="007E79C2" w:rsidRDefault="00F07F4C">
      <w:pPr>
        <w:pStyle w:val="FootnoteText"/>
      </w:pPr>
      <w:r w:rsidRPr="007E79C2">
        <w:rPr>
          <w:rStyle w:val="FootnoteReference"/>
        </w:rPr>
        <w:footnoteRef/>
      </w:r>
      <w:r w:rsidRPr="007E79C2">
        <w:t xml:space="preserve"> </w:t>
      </w:r>
      <w:r w:rsidR="00CF6667" w:rsidRPr="007E79C2">
        <w:rPr>
          <w:rFonts w:asciiTheme="majorBidi" w:hAnsiTheme="majorBidi" w:cstheme="majorBidi"/>
        </w:rPr>
        <w:t>The methods used in this study have been approved by the University of Chicago Institutional Review Board prior to data collection. The study</w:t>
      </w:r>
      <w:r w:rsidR="00437EE2">
        <w:rPr>
          <w:rFonts w:asciiTheme="majorBidi" w:hAnsiTheme="majorBidi" w:cstheme="majorBidi"/>
        </w:rPr>
        <w:t xml:space="preserve"> </w:t>
      </w:r>
      <w:r w:rsidR="00437EE2" w:rsidRPr="007E79C2">
        <w:rPr>
          <w:rFonts w:asciiTheme="majorBidi" w:hAnsiTheme="majorBidi" w:cstheme="majorBidi"/>
        </w:rPr>
        <w:t>(IRB Study Number: IRB 18-1529)</w:t>
      </w:r>
      <w:r w:rsidR="00437EE2">
        <w:rPr>
          <w:rFonts w:asciiTheme="majorBidi" w:hAnsiTheme="majorBidi" w:cstheme="majorBidi"/>
        </w:rPr>
        <w:t>,</w:t>
      </w:r>
      <w:r w:rsidR="003B117A" w:rsidRPr="007E79C2">
        <w:rPr>
          <w:rFonts w:asciiTheme="majorBidi" w:hAnsiTheme="majorBidi" w:cstheme="majorBidi"/>
        </w:rPr>
        <w:t xml:space="preserve"> including</w:t>
      </w:r>
      <w:r w:rsidR="00437EE2">
        <w:rPr>
          <w:rFonts w:asciiTheme="majorBidi" w:hAnsiTheme="majorBidi" w:cstheme="majorBidi"/>
        </w:rPr>
        <w:t xml:space="preserve"> its</w:t>
      </w:r>
      <w:r w:rsidR="003B117A" w:rsidRPr="007E79C2">
        <w:rPr>
          <w:rFonts w:asciiTheme="majorBidi" w:hAnsiTheme="majorBidi" w:cstheme="majorBidi"/>
        </w:rPr>
        <w:t xml:space="preserve"> hypotheses, analyses, and design</w:t>
      </w:r>
      <w:r w:rsidR="00437EE2">
        <w:rPr>
          <w:rFonts w:asciiTheme="majorBidi" w:hAnsiTheme="majorBidi" w:cstheme="majorBidi"/>
        </w:rPr>
        <w:t>,</w:t>
      </w:r>
      <w:r w:rsidR="003B117A" w:rsidRPr="007E79C2">
        <w:rPr>
          <w:rFonts w:asciiTheme="majorBidi" w:hAnsiTheme="majorBidi" w:cstheme="majorBidi"/>
        </w:rPr>
        <w:t xml:space="preserve"> was pre-registered in </w:t>
      </w:r>
      <w:proofErr w:type="spellStart"/>
      <w:r w:rsidR="003B117A" w:rsidRPr="007E79C2">
        <w:rPr>
          <w:rFonts w:asciiTheme="majorBidi" w:hAnsiTheme="majorBidi" w:cstheme="majorBidi"/>
        </w:rPr>
        <w:t>AsPredicted</w:t>
      </w:r>
      <w:proofErr w:type="spellEnd"/>
      <w:r w:rsidR="003B117A" w:rsidRPr="007E79C2">
        <w:rPr>
          <w:rFonts w:asciiTheme="majorBidi" w:hAnsiTheme="majorBidi" w:cstheme="majorBidi"/>
        </w:rPr>
        <w:t xml:space="preserve"> (see Post-Contract Discrimination in the Retail Market, #16928, created in 11/23/2018). </w:t>
      </w:r>
    </w:p>
  </w:footnote>
  <w:footnote w:id="48">
    <w:p w14:paraId="71F486C1" w14:textId="77777777" w:rsidR="00774D4A" w:rsidRPr="007E79C2" w:rsidRDefault="00774D4A" w:rsidP="00774D4A">
      <w:pPr>
        <w:pStyle w:val="FootnoteText"/>
      </w:pPr>
      <w:r w:rsidRPr="007E79C2">
        <w:rPr>
          <w:rStyle w:val="FootnoteReference"/>
        </w:rPr>
        <w:footnoteRef/>
      </w:r>
      <w:r w:rsidRPr="007E79C2">
        <w:t xml:space="preserve"> I initially hired 5 African-American female testers. However, one tester dropped during training, after expressing safety concerns and reluctance to follow the script while facing white male clerks and managers in the audited stores.</w:t>
      </w:r>
    </w:p>
  </w:footnote>
  <w:footnote w:id="49">
    <w:p w14:paraId="1C2892CA" w14:textId="18D6A1F9" w:rsidR="00637AC4" w:rsidRPr="007E79C2" w:rsidRDefault="00637AC4">
      <w:pPr>
        <w:pStyle w:val="FootnoteText"/>
      </w:pPr>
      <w:r w:rsidRPr="007E79C2">
        <w:rPr>
          <w:rStyle w:val="FootnoteReference"/>
        </w:rPr>
        <w:footnoteRef/>
      </w:r>
      <w:r w:rsidRPr="007E79C2">
        <w:t xml:space="preserve"> The sample initially consisted of all 192 retail stores with a Chicago location appearing in the </w:t>
      </w:r>
      <w:proofErr w:type="spellStart"/>
      <w:r w:rsidRPr="007E79C2">
        <w:t>ReferenceUSA</w:t>
      </w:r>
      <w:proofErr w:type="spellEnd"/>
      <w:r w:rsidRPr="007E79C2">
        <w:t xml:space="preserve"> and Hoover’s Company Directories’ databases. </w:t>
      </w:r>
      <w:r w:rsidRPr="007E79C2">
        <w:rPr>
          <w:rFonts w:asciiTheme="majorBidi" w:hAnsiTheme="majorBidi" w:cstheme="majorBidi"/>
        </w:rPr>
        <w:t>Before launching the study, research assistants coded each store’s return policy, as appearing at the retailer’s website, in-store sign (if present), or receipts.</w:t>
      </w:r>
      <w:r w:rsidRPr="007E79C2">
        <w:t xml:space="preserve"> Stores whose return policy did not explicitly require a receipt for exchange, store credit, or cash refund (n = 31) were excluded from the sample. Dollar stores, stores that did not offer items for $30 or less, or stores that did not have a downtown Chicago location (n = 101) were also excluded from the sample to make the study more manageable. One store was excluded from the sample due to deviations from the script. The final sample includes 59 retail stores located in downtown Chicago</w:t>
      </w:r>
      <w:r w:rsidR="00B52187" w:rsidRPr="007E79C2">
        <w:t xml:space="preserve"> (for a list of the audited stores, see </w:t>
      </w:r>
      <w:r w:rsidR="00B52187" w:rsidRPr="007E79C2">
        <w:rPr>
          <w:highlight w:val="yellow"/>
        </w:rPr>
        <w:t>Appendix 1</w:t>
      </w:r>
      <w:r w:rsidR="00B52187" w:rsidRPr="007E79C2">
        <w:t>).</w:t>
      </w:r>
      <w:r w:rsidR="008372DB" w:rsidRPr="008372DB">
        <w:t xml:space="preserve"> </w:t>
      </w:r>
      <w:r w:rsidR="008372DB" w:rsidRPr="007E79C2">
        <w:t xml:space="preserve">Each store was supposed to be audited four times by four testers—an African-American male, an African-American female, a White a male, and a White female. However, due to discarded tests and scheduling difficulties, the final sample included 203 audits instead of 236. </w:t>
      </w:r>
      <w:r w:rsidR="008372DB">
        <w:t>The 203 audits include 59 audits by white female testers</w:t>
      </w:r>
      <w:r w:rsidR="008372DB" w:rsidRPr="000F155B">
        <w:t>, 51 by white male</w:t>
      </w:r>
      <w:r w:rsidR="008372DB">
        <w:t xml:space="preserve"> testers, 51 by </w:t>
      </w:r>
      <w:r w:rsidR="008372DB" w:rsidRPr="000F155B">
        <w:t>African-American male</w:t>
      </w:r>
      <w:r w:rsidR="008372DB">
        <w:t xml:space="preserve"> testers</w:t>
      </w:r>
      <w:r w:rsidR="008372DB" w:rsidRPr="000F155B">
        <w:t>, and 42 by African-American female</w:t>
      </w:r>
      <w:r w:rsidR="008372DB">
        <w:t xml:space="preserve"> testers</w:t>
      </w:r>
      <w:r w:rsidR="008372DB" w:rsidRPr="000F155B">
        <w:t>.</w:t>
      </w:r>
    </w:p>
  </w:footnote>
  <w:footnote w:id="50">
    <w:p w14:paraId="40665048" w14:textId="5F4D5140" w:rsidR="00B70F43" w:rsidRPr="007E79C2" w:rsidRDefault="00B70F43" w:rsidP="00B70F43">
      <w:pPr>
        <w:rPr>
          <w:rFonts w:asciiTheme="majorBidi" w:hAnsiTheme="majorBidi" w:cstheme="majorBidi"/>
          <w:sz w:val="20"/>
        </w:rPr>
      </w:pPr>
      <w:r w:rsidRPr="007E79C2">
        <w:rPr>
          <w:rStyle w:val="FootnoteReference"/>
          <w:sz w:val="20"/>
        </w:rPr>
        <w:footnoteRef/>
      </w:r>
      <w:r w:rsidRPr="007E79C2">
        <w:rPr>
          <w:sz w:val="20"/>
        </w:rPr>
        <w:t xml:space="preserve"> </w:t>
      </w:r>
      <w:r w:rsidR="00275F00" w:rsidRPr="007E79C2">
        <w:rPr>
          <w:sz w:val="20"/>
        </w:rPr>
        <w:t xml:space="preserve">In the initial, larger sample of 192 retail stores, receipt </w:t>
      </w:r>
      <w:r w:rsidR="0035218A" w:rsidRPr="007E79C2">
        <w:rPr>
          <w:sz w:val="20"/>
        </w:rPr>
        <w:t>was</w:t>
      </w:r>
      <w:r w:rsidR="00275F00" w:rsidRPr="007E79C2">
        <w:rPr>
          <w:sz w:val="20"/>
        </w:rPr>
        <w:t xml:space="preserve"> explicitly required for returns in 84% </w:t>
      </w:r>
      <w:r w:rsidR="005F4EA2" w:rsidRPr="007E79C2">
        <w:rPr>
          <w:sz w:val="20"/>
        </w:rPr>
        <w:t xml:space="preserve">(161 out of 192 policies) </w:t>
      </w:r>
      <w:r w:rsidR="00275F00" w:rsidRPr="007E79C2">
        <w:rPr>
          <w:sz w:val="20"/>
        </w:rPr>
        <w:t>of the return policies.</w:t>
      </w:r>
    </w:p>
  </w:footnote>
  <w:footnote w:id="51">
    <w:p w14:paraId="4A0D2FDA" w14:textId="77777777" w:rsidR="003A1EB1" w:rsidRPr="007E79C2" w:rsidRDefault="003A1EB1" w:rsidP="003A1EB1">
      <w:pPr>
        <w:pStyle w:val="FootnoteText"/>
      </w:pPr>
      <w:r w:rsidRPr="007E79C2">
        <w:rPr>
          <w:rStyle w:val="FootnoteReference"/>
        </w:rPr>
        <w:footnoteRef/>
      </w:r>
      <w:r w:rsidRPr="007E79C2">
        <w:t xml:space="preserve"> For evidence that receipt requirements are perceived as a hassle by consumers,</w:t>
      </w:r>
      <w:r w:rsidRPr="007E79C2">
        <w:rPr>
          <w:iCs/>
        </w:rPr>
        <w:t xml:space="preserve"> </w:t>
      </w:r>
      <w:r w:rsidRPr="007E79C2">
        <w:t xml:space="preserve">see, e.g., </w:t>
      </w:r>
      <w:proofErr w:type="spellStart"/>
      <w:r w:rsidRPr="007E79C2">
        <w:rPr>
          <w:rFonts w:asciiTheme="majorBidi" w:hAnsiTheme="majorBidi" w:cstheme="majorBidi"/>
        </w:rPr>
        <w:t>Janakiraman</w:t>
      </w:r>
      <w:proofErr w:type="spellEnd"/>
      <w:r w:rsidRPr="007E79C2">
        <w:rPr>
          <w:rFonts w:asciiTheme="majorBidi" w:hAnsiTheme="majorBidi" w:cstheme="majorBidi"/>
        </w:rPr>
        <w:t xml:space="preserve">, </w:t>
      </w:r>
      <w:proofErr w:type="spellStart"/>
      <w:r w:rsidRPr="007E79C2">
        <w:rPr>
          <w:rFonts w:asciiTheme="majorBidi" w:hAnsiTheme="majorBidi" w:cstheme="majorBidi"/>
        </w:rPr>
        <w:t>Syrdal</w:t>
      </w:r>
      <w:proofErr w:type="spellEnd"/>
      <w:r w:rsidRPr="007E79C2">
        <w:rPr>
          <w:rFonts w:asciiTheme="majorBidi" w:hAnsiTheme="majorBidi" w:cstheme="majorBidi"/>
        </w:rPr>
        <w:t xml:space="preserve">, &amp; </w:t>
      </w:r>
      <w:proofErr w:type="spellStart"/>
      <w:r w:rsidRPr="007E79C2">
        <w:rPr>
          <w:rFonts w:asciiTheme="majorBidi" w:hAnsiTheme="majorBidi" w:cstheme="majorBidi"/>
        </w:rPr>
        <w:t>Freling</w:t>
      </w:r>
      <w:proofErr w:type="spellEnd"/>
      <w:r w:rsidRPr="007E79C2">
        <w:rPr>
          <w:rFonts w:asciiTheme="majorBidi" w:hAnsiTheme="majorBidi" w:cstheme="majorBidi"/>
        </w:rPr>
        <w:t xml:space="preserve">, </w:t>
      </w:r>
      <w:r w:rsidRPr="007E79C2">
        <w:rPr>
          <w:rFonts w:asciiTheme="majorBidi" w:hAnsiTheme="majorBidi" w:cstheme="majorBidi"/>
          <w:i/>
          <w:iCs/>
        </w:rPr>
        <w:t>supra</w:t>
      </w:r>
      <w:r w:rsidRPr="007E79C2">
        <w:rPr>
          <w:rFonts w:asciiTheme="majorBidi" w:hAnsiTheme="majorBidi" w:cstheme="majorBidi"/>
        </w:rPr>
        <w:t xml:space="preserve"> note 38. </w:t>
      </w:r>
    </w:p>
  </w:footnote>
  <w:footnote w:id="52">
    <w:p w14:paraId="76F1A285" w14:textId="77777777" w:rsidR="003A1EB1" w:rsidRPr="007E79C2" w:rsidRDefault="003A1EB1" w:rsidP="003A1EB1">
      <w:pPr>
        <w:pStyle w:val="FootnoteText"/>
      </w:pPr>
      <w:r w:rsidRPr="007E79C2">
        <w:rPr>
          <w:rStyle w:val="FootnoteReference"/>
        </w:rPr>
        <w:footnoteRef/>
      </w:r>
      <w:r w:rsidRPr="007E79C2">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In order to minimize concern that sellers’ reluctance to accept the returns would be driven by their suspicions that the items were stolen, testers were instructed to return the items unused, in their original packaging, and with tags attached.  </w:t>
      </w:r>
    </w:p>
  </w:footnote>
  <w:footnote w:id="53">
    <w:p w14:paraId="2EF4D0D6" w14:textId="2AE6F9D7" w:rsidR="003A1EB1" w:rsidRPr="007E79C2" w:rsidRDefault="003A1EB1" w:rsidP="003A1EB1">
      <w:pPr>
        <w:pStyle w:val="FootnoteText"/>
      </w:pPr>
      <w:r w:rsidRPr="007E79C2">
        <w:rPr>
          <w:rStyle w:val="FootnoteReference"/>
        </w:rPr>
        <w:footnoteRef/>
      </w:r>
      <w:r w:rsidRPr="007E79C2">
        <w:t xml:space="preserve"> </w:t>
      </w:r>
      <w:r w:rsidR="00C55B8E">
        <w:t>In informal interviews I conducted with store clerks working in Chicago</w:t>
      </w:r>
      <w:r w:rsidR="00E720F6">
        <w:t>, several interviewees mentioned being granted a considerable degree of discretion in deciding whether or not to accept a return.</w:t>
      </w:r>
    </w:p>
  </w:footnote>
  <w:footnote w:id="54">
    <w:p w14:paraId="002E5A2B" w14:textId="77777777" w:rsidR="006F115C" w:rsidRPr="007E79C2" w:rsidRDefault="006F115C" w:rsidP="006F115C">
      <w:pPr>
        <w:pStyle w:val="FootnoteText"/>
      </w:pPr>
      <w:r w:rsidRPr="007E79C2">
        <w:rPr>
          <w:rStyle w:val="FootnoteReference"/>
        </w:rPr>
        <w:footnoteRef/>
      </w:r>
      <w:r w:rsidRPr="007E79C2">
        <w:t xml:space="preserve"> To minimize differences across</w:t>
      </w:r>
      <w:r w:rsidRPr="007E79C2">
        <w:rPr>
          <w:i/>
          <w:iCs/>
        </w:rPr>
        <w:t xml:space="preserve"> </w:t>
      </w:r>
      <w:r w:rsidRPr="007E79C2">
        <w:t xml:space="preserve">stores,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clearance or sale items, or any item that was specifically not eligible for returns according to each store’s formal return policy. Products’ prices were kept constant at between $20 to $30. </w:t>
      </w:r>
    </w:p>
  </w:footnote>
  <w:footnote w:id="55">
    <w:p w14:paraId="0D45DFA4" w14:textId="77777777" w:rsidR="006F115C" w:rsidRPr="007E79C2" w:rsidRDefault="006F115C" w:rsidP="006F115C">
      <w:pPr>
        <w:pStyle w:val="FootnoteText"/>
      </w:pPr>
      <w:r w:rsidRPr="007E79C2">
        <w:rPr>
          <w:rStyle w:val="FootnoteReference"/>
        </w:rPr>
        <w:footnoteRef/>
      </w:r>
      <w:r w:rsidRPr="007E79C2">
        <w:t xml:space="preserve"> Research assistants (purchasers) were sent to purchase the items in advance. They paid in cash so that sellers would not obtain any personal information from the purchase. The items were then returned by different members of the research team—the testers. This design was chosen for several reasons. First, it allowed for the purchase of identical items from each store, so that items would not vary within stores. Second, it mitigated the concern that in some stores, store clerks would identify the person making the return whereas in others, testers would encounter different store clerks. Still, this design raises the concern that, in some stores, store clerks were more suspicious of the testers making the returns because they did not identify them. This may mean that, in real-life, sellers are even more likely to deviate from their formal return policy, when they recognize the customer seeking to make the return. Of course, increased suspicion cannot explain the differential treatment based on race and gender. </w:t>
      </w:r>
    </w:p>
  </w:footnote>
  <w:footnote w:id="56">
    <w:p w14:paraId="4CA15D03" w14:textId="77777777" w:rsidR="006F115C" w:rsidRPr="007E79C2" w:rsidRDefault="006F115C" w:rsidP="006F115C">
      <w:pPr>
        <w:pStyle w:val="FootnoteText"/>
      </w:pPr>
      <w:r w:rsidRPr="007E79C2">
        <w:rPr>
          <w:rStyle w:val="FootnoteReference"/>
        </w:rPr>
        <w:footnoteRef/>
      </w:r>
      <w:r w:rsidRPr="007E79C2">
        <w:t xml:space="preserve"> It is possible that store clerks’ willingness to depart from the formal policy would vary depending on the reason offered by testers. For example, if testers had said that they had bought the wrong size or received the item as a gift and did not like it, store clerks may have responded differently. The generic excuse used in the study was meant to allow testers to request a refund, rather than merely exchange or store credit. Unlike returning a gift or exchanging an item for a different size, explicitly saying that they did not need the product made asking for a cash refund rather than an exchange or store credit more credible and reasonable.</w:t>
      </w:r>
    </w:p>
  </w:footnote>
  <w:footnote w:id="57">
    <w:p w14:paraId="0E8AD552" w14:textId="0D2F0394" w:rsidR="000F59CB" w:rsidRPr="007E79C2" w:rsidRDefault="000F59CB">
      <w:pPr>
        <w:pStyle w:val="FootnoteText"/>
      </w:pPr>
      <w:r w:rsidRPr="007E79C2">
        <w:rPr>
          <w:rStyle w:val="FootnoteReference"/>
        </w:rPr>
        <w:footnoteRef/>
      </w:r>
      <w:r w:rsidRPr="007E79C2">
        <w:t xml:space="preserve"> The testers were not informed that the study tested for discrimination, although some testers reported, in their post-audit reports, that they felt discriminated against on the basis of race. </w:t>
      </w:r>
    </w:p>
  </w:footnote>
  <w:footnote w:id="58">
    <w:p w14:paraId="7ADE96D5" w14:textId="77777777" w:rsidR="0058554D" w:rsidRPr="007E79C2" w:rsidRDefault="0058554D" w:rsidP="0058554D">
      <w:pPr>
        <w:pStyle w:val="FootnoteText"/>
        <w:rPr>
          <w:rFonts w:asciiTheme="majorBidi" w:hAnsiTheme="majorBidi" w:cstheme="majorBidi"/>
        </w:rPr>
      </w:pPr>
      <w:r w:rsidRPr="007E79C2">
        <w:rPr>
          <w:rStyle w:val="FootnoteReference"/>
          <w:rFonts w:asciiTheme="majorBidi" w:hAnsiTheme="majorBidi" w:cstheme="majorBidi"/>
        </w:rPr>
        <w:footnoteRef/>
      </w:r>
      <w:r w:rsidRPr="007E79C2">
        <w:rPr>
          <w:rFonts w:asciiTheme="majorBidi" w:hAnsiTheme="majorBidi" w:cstheme="majorBidi"/>
        </w:rPr>
        <w:t xml:space="preserve"> For consistency, testers were instructed to audit the stores on weekdays in the afternoons. </w:t>
      </w:r>
    </w:p>
  </w:footnote>
  <w:footnote w:id="59">
    <w:p w14:paraId="484D714C" w14:textId="77777777" w:rsidR="0058554D" w:rsidRPr="007E79C2" w:rsidRDefault="0058554D" w:rsidP="0058554D">
      <w:pPr>
        <w:pStyle w:val="FootnoteText"/>
        <w:rPr>
          <w:lang w:bidi="he-IL"/>
        </w:rPr>
      </w:pPr>
      <w:r w:rsidRPr="007E79C2">
        <w:rPr>
          <w:rStyle w:val="FootnoteReference"/>
        </w:rPr>
        <w:footnoteRef/>
      </w:r>
      <w:r w:rsidRPr="007E79C2">
        <w:t xml:space="preserve"> As data collection ended well before the COVID-19 pandemic broke, changes in return policies as a result of the pandemic also could not affect the results.</w:t>
      </w:r>
    </w:p>
  </w:footnote>
  <w:footnote w:id="60">
    <w:p w14:paraId="0EDE385A" w14:textId="77777777" w:rsidR="00F816BA" w:rsidRPr="007E79C2" w:rsidRDefault="00F816BA" w:rsidP="00F816BA">
      <w:pPr>
        <w:pStyle w:val="FootnoteText"/>
      </w:pPr>
      <w:r w:rsidRPr="007E79C2">
        <w:rPr>
          <w:rStyle w:val="FootnoteReference"/>
        </w:rPr>
        <w:footnoteRef/>
      </w:r>
      <w:r w:rsidRPr="007E79C2">
        <w:t xml:space="preserve"> This data was also obtained from Bloomberg and Hoover’s Company Directories.</w:t>
      </w:r>
    </w:p>
  </w:footnote>
  <w:footnote w:id="61">
    <w:p w14:paraId="7E24907C" w14:textId="64DA4716" w:rsidR="00F816BA" w:rsidRPr="007E79C2" w:rsidRDefault="00F816BA" w:rsidP="00F816BA">
      <w:pPr>
        <w:pStyle w:val="FootnoteText"/>
      </w:pPr>
      <w:r w:rsidRPr="007E79C2">
        <w:rPr>
          <w:rStyle w:val="FootnoteReference"/>
        </w:rPr>
        <w:footnoteRef/>
      </w:r>
      <w:r w:rsidRPr="007E79C2">
        <w:t xml:space="preserve"> </w:t>
      </w:r>
      <w:r w:rsidRPr="007E79C2">
        <w:rPr>
          <w:rFonts w:asciiTheme="majorBidi" w:hAnsiTheme="majorBidi" w:cstheme="majorBidi"/>
        </w:rPr>
        <w:t xml:space="preserve">Python was used to scrape the stores’ websites.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w:t>
      </w:r>
      <w:r w:rsidR="00531A9B" w:rsidRPr="007E79C2">
        <w:rPr>
          <w:rFonts w:asciiTheme="majorBidi" w:hAnsiTheme="majorBidi" w:cstheme="majorBidi"/>
        </w:rPr>
        <w:t>Some stores blocked access to their websites, and these websites (n = 17) were manually coded. One store’s website was impossible to manually code, so its median price was coded as missing. One store did not have items for sale online, so its median price was also coded as missing.</w:t>
      </w:r>
    </w:p>
  </w:footnote>
  <w:footnote w:id="62">
    <w:p w14:paraId="3AD08FED" w14:textId="513063D2" w:rsidR="00F62ADF" w:rsidRPr="007E79C2" w:rsidRDefault="00F62ADF" w:rsidP="00F62ADF">
      <w:pPr>
        <w:pStyle w:val="FootnoteText"/>
      </w:pPr>
      <w:r w:rsidRPr="007E79C2">
        <w:rPr>
          <w:rStyle w:val="FootnoteReference"/>
        </w:rPr>
        <w:footnoteRef/>
      </w:r>
      <w:r w:rsidRPr="007E79C2">
        <w:t xml:space="preserve"> </w:t>
      </w:r>
      <w:r w:rsidR="001107A9">
        <w:t xml:space="preserve">If testers were offered a refund or store credit, the return outcome was coded as “return accepted.” Otherwise, it was coded as “return rejected.” </w:t>
      </w:r>
      <w:r w:rsidR="00786BFE" w:rsidRPr="007E79C2">
        <w:t xml:space="preserve"> [</w:t>
      </w:r>
      <w:r w:rsidR="001107A9">
        <w:t xml:space="preserve">Please see </w:t>
      </w:r>
      <w:r w:rsidR="00786BFE" w:rsidRPr="007E79C2">
        <w:rPr>
          <w:highlight w:val="yellow"/>
        </w:rPr>
        <w:t xml:space="preserve">robustness checks </w:t>
      </w:r>
      <w:r w:rsidR="001107A9">
        <w:rPr>
          <w:highlight w:val="yellow"/>
        </w:rPr>
        <w:t xml:space="preserve">with different dependent variables </w:t>
      </w:r>
      <w:r w:rsidR="00786BFE" w:rsidRPr="007E79C2">
        <w:rPr>
          <w:highlight w:val="yellow"/>
        </w:rPr>
        <w:t xml:space="preserve">in </w:t>
      </w:r>
      <w:r w:rsidR="001107A9" w:rsidRPr="001107A9">
        <w:rPr>
          <w:highlight w:val="yellow"/>
        </w:rPr>
        <w:t>A</w:t>
      </w:r>
      <w:r w:rsidR="00786BFE" w:rsidRPr="001107A9">
        <w:rPr>
          <w:highlight w:val="yellow"/>
        </w:rPr>
        <w:t>ppendix</w:t>
      </w:r>
      <w:r w:rsidR="001107A9" w:rsidRPr="001107A9">
        <w:rPr>
          <w:highlight w:val="yellow"/>
        </w:rPr>
        <w:t xml:space="preserve"> _</w:t>
      </w:r>
      <w:r w:rsidR="001107A9">
        <w:t>_</w:t>
      </w:r>
      <w:r w:rsidR="00786BFE" w:rsidRPr="007E79C2">
        <w:t>]</w:t>
      </w:r>
    </w:p>
    <w:p w14:paraId="640AC7F6" w14:textId="6E2E53C8" w:rsidR="00F62ADF" w:rsidRPr="007E79C2" w:rsidRDefault="00F62ADF">
      <w:pPr>
        <w:pStyle w:val="FootnoteText"/>
      </w:pPr>
    </w:p>
  </w:footnote>
  <w:footnote w:id="63">
    <w:p w14:paraId="68C8579D" w14:textId="2BB62D30" w:rsidR="003E4DD0" w:rsidRDefault="003E4DD0">
      <w:pPr>
        <w:pStyle w:val="FootnoteText"/>
      </w:pPr>
      <w:r>
        <w:rPr>
          <w:rStyle w:val="FootnoteReference"/>
        </w:rPr>
        <w:footnoteRef/>
      </w:r>
      <w:r>
        <w:t xml:space="preserve"> </w:t>
      </w:r>
      <w:r>
        <w:rPr>
          <w:lang w:bidi="he-IL"/>
        </w:rPr>
        <w:t>Within the female sub-group, white female testers were 14% more likely to have their return accepted than African-American female testers at the first stage, and 19% more likely at the final stage.</w:t>
      </w:r>
      <w:r w:rsidRPr="003E4DD0">
        <w:rPr>
          <w:lang w:bidi="he-IL"/>
        </w:rPr>
        <w:t xml:space="preserve"> </w:t>
      </w:r>
      <w:r w:rsidRPr="007E79C2">
        <w:rPr>
          <w:lang w:bidi="he-IL"/>
        </w:rPr>
        <w:t xml:space="preserve">The differences between white and African-American females </w:t>
      </w:r>
      <w:r>
        <w:rPr>
          <w:lang w:bidi="he-IL"/>
        </w:rPr>
        <w:t>are significant at the 5% and 1% levels</w:t>
      </w:r>
      <w:r w:rsidRPr="007E79C2">
        <w:rPr>
          <w:lang w:bidi="he-IL"/>
        </w:rPr>
        <w:t xml:space="preserve"> when store and clerk controls are </w:t>
      </w:r>
      <w:r>
        <w:rPr>
          <w:lang w:bidi="he-IL"/>
        </w:rPr>
        <w:t>included in the regression.</w:t>
      </w:r>
    </w:p>
  </w:footnote>
  <w:footnote w:id="64">
    <w:p w14:paraId="50CE2A7A" w14:textId="62C4143E" w:rsidR="00E657D7" w:rsidRPr="007E79C2" w:rsidRDefault="00E657D7" w:rsidP="00E657D7">
      <w:pPr>
        <w:pStyle w:val="FootnoteText"/>
      </w:pPr>
      <w:r w:rsidRPr="007E79C2">
        <w:rPr>
          <w:rStyle w:val="FootnoteReference"/>
        </w:rPr>
        <w:footnoteRef/>
      </w:r>
      <w:r w:rsidRPr="007E79C2">
        <w:t xml:space="preserve"> </w:t>
      </w:r>
      <w:r w:rsidR="00015891" w:rsidRPr="007E79C2">
        <w:rPr>
          <w:lang w:bidi="he-IL"/>
        </w:rPr>
        <w:t>When adding store and clerk controls, white female testers are likely to have their return accepted for refund or store credit 79% of the time, white males—75% of the time, and African-American male and female testers—only 58% of the time</w:t>
      </w:r>
      <w:r w:rsidR="00DF0F08" w:rsidRPr="007E79C2">
        <w:rPr>
          <w:lang w:bidi="he-IL"/>
        </w:rPr>
        <w:t xml:space="preserve">. </w:t>
      </w:r>
      <w:r w:rsidRPr="007E79C2">
        <w:t xml:space="preserve">The </w:t>
      </w:r>
      <w:r w:rsidRPr="007E79C2">
        <w:rPr>
          <w:lang w:bidi="he-IL"/>
        </w:rPr>
        <w:t>differences between white females and African-American males and females in likelihood to be offered a refund or store credit are significant at the 5% level under the specifications which include the controls.</w:t>
      </w:r>
      <w:r w:rsidR="00442563">
        <w:rPr>
          <w:lang w:bidi="he-IL"/>
        </w:rPr>
        <w:t xml:space="preserve"> </w:t>
      </w:r>
      <w:r w:rsidR="00522978">
        <w:rPr>
          <w:lang w:bidi="he-IL"/>
        </w:rPr>
        <w:t>At the final stage, the differences in return outcomes between white and African-American males is significant, and so is the difference between white and African-American females, and between white females and African-American males.</w:t>
      </w:r>
      <w:r w:rsidR="00EA0424">
        <w:rPr>
          <w:lang w:bidi="he-IL"/>
        </w:rPr>
        <w:t xml:space="preserve"> The difference between white males and African-American females is not significant.</w:t>
      </w:r>
      <w:r w:rsidRPr="007E79C2">
        <w:rPr>
          <w:lang w:bidi="he-IL"/>
        </w:rPr>
        <w:t xml:space="preserve"> </w:t>
      </w:r>
    </w:p>
  </w:footnote>
  <w:footnote w:id="65">
    <w:p w14:paraId="24532024" w14:textId="061098B2" w:rsidR="00BB1FB7" w:rsidRDefault="00BB1FB7">
      <w:pPr>
        <w:pStyle w:val="FootnoteText"/>
      </w:pPr>
      <w:r>
        <w:rPr>
          <w:rStyle w:val="FootnoteReference"/>
        </w:rPr>
        <w:footnoteRef/>
      </w:r>
      <w:r>
        <w:t xml:space="preserve"> </w:t>
      </w:r>
      <w:r w:rsidR="000878C0">
        <w:t>The racial difference is significant at the 10% level, and the gender difference is significant at the 10% level (for final outcomes).</w:t>
      </w:r>
    </w:p>
  </w:footnote>
  <w:footnote w:id="66">
    <w:p w14:paraId="042F0BD5" w14:textId="77777777" w:rsidR="00E25B24" w:rsidRPr="007E79C2" w:rsidRDefault="00E25B24" w:rsidP="00E25B24">
      <w:pPr>
        <w:pStyle w:val="FootnoteText"/>
      </w:pPr>
      <w:r w:rsidRPr="007E79C2">
        <w:rPr>
          <w:rStyle w:val="FootnoteReference"/>
        </w:rPr>
        <w:footnoteRef/>
      </w:r>
      <w:r w:rsidRPr="007E79C2">
        <w:t xml:space="preserve"> Again, the racial effect remains strong even when controlling for tester and store characteristics, </w:t>
      </w:r>
      <w:r w:rsidRPr="007E79C2">
        <w:rPr>
          <w:lang w:bidi="he-IL"/>
        </w:rPr>
        <w:t>with white female testers likely to experience an anti-consumer gap only 12% of the time, white males—20% of the time, African-American females—33% of the time, and African-American males—as frequently as 32% of the time.</w:t>
      </w:r>
    </w:p>
  </w:footnote>
  <w:footnote w:id="67">
    <w:p w14:paraId="4D2F4301" w14:textId="77777777" w:rsidR="00E657D7" w:rsidRPr="007E79C2" w:rsidRDefault="00E657D7" w:rsidP="00E657D7">
      <w:pPr>
        <w:pStyle w:val="FootnoteText"/>
      </w:pPr>
      <w:r w:rsidRPr="007E79C2">
        <w:rPr>
          <w:rStyle w:val="FootnoteReference"/>
        </w:rPr>
        <w:footnoteRef/>
      </w:r>
      <w:r w:rsidRPr="007E79C2">
        <w:t xml:space="preserve"> The difference becomes significant at the 1% level when controls are added to the regression. </w:t>
      </w:r>
    </w:p>
  </w:footnote>
  <w:footnote w:id="68">
    <w:p w14:paraId="17604785" w14:textId="09A12136" w:rsidR="00041093" w:rsidRPr="007E79C2" w:rsidRDefault="00041093">
      <w:pPr>
        <w:pStyle w:val="FootnoteText"/>
      </w:pPr>
      <w:r w:rsidRPr="007E79C2">
        <w:rPr>
          <w:rStyle w:val="FootnoteReference"/>
        </w:rPr>
        <w:footnoteRef/>
      </w:r>
      <w:r w:rsidRPr="007E79C2">
        <w:t xml:space="preserve"> </w:t>
      </w:r>
      <w:r w:rsidR="000C7666">
        <w:t xml:space="preserve">White female testers are also 50% more likely to experience a pro-consumer gap than African-American female testers </w:t>
      </w:r>
      <w:r w:rsidR="00F83197" w:rsidRPr="007E79C2">
        <w:t>When controlling for store and clerk characteristics, the differences between white and African-American female testers become significant at the 1% level.</w:t>
      </w:r>
    </w:p>
  </w:footnote>
  <w:footnote w:id="69">
    <w:p w14:paraId="00D93214" w14:textId="79776CEF" w:rsidR="007D3C4C" w:rsidRPr="007E79C2" w:rsidRDefault="007D3C4C" w:rsidP="007D3C4C">
      <w:pPr>
        <w:pStyle w:val="FootnoteText"/>
      </w:pPr>
      <w:r w:rsidRPr="007E79C2">
        <w:rPr>
          <w:rStyle w:val="FootnoteReference"/>
        </w:rPr>
        <w:footnoteRef/>
      </w:r>
      <w:r w:rsidRPr="007E79C2">
        <w:t xml:space="preserve"> At the initial stage, </w:t>
      </w:r>
      <w:r w:rsidRPr="007E79C2">
        <w:rPr>
          <w:lang w:bidi="he-IL"/>
        </w:rPr>
        <w:t>when adding store and clerk controls, white female testers are likely to experience a more lenient treatment 41% of the time, white males—28% of the time, and African-American male and female testers—only 17% of the time. At the final stage, when adding the controls, white female testers are 49% likely to experience a pro-consumer gap, white male testers- 37% likely, African-American male testers—20% likely, and African-American female testers—22% likely.</w:t>
      </w:r>
      <w:r w:rsidR="008D36F2" w:rsidRPr="008D36F2">
        <w:t xml:space="preserve"> </w:t>
      </w:r>
      <w:r w:rsidR="008D36F2" w:rsidRPr="007E79C2">
        <w:t>At the final stage, white females are 13% likely to experience an anti-consumer gap, white males—22% likely, African-American females—21% likely, and African-American males—28% likely. The differences between white male and female testers, and between white females and African-American male testers are significant at the 10% and 1% levels respectively.</w:t>
      </w:r>
    </w:p>
  </w:footnote>
  <w:footnote w:id="70">
    <w:p w14:paraId="038C9A28" w14:textId="77777777" w:rsidR="00E657D7" w:rsidRPr="007E79C2" w:rsidRDefault="00E657D7" w:rsidP="00E657D7">
      <w:pPr>
        <w:pStyle w:val="FootnoteText"/>
      </w:pPr>
      <w:r w:rsidRPr="007E79C2">
        <w:rPr>
          <w:rStyle w:val="FootnoteReference"/>
        </w:rPr>
        <w:footnoteRef/>
      </w:r>
      <w:r w:rsidRPr="007E79C2">
        <w:t xml:space="preserve"> The differences between white male and female testers are significant at the 1% level, as well as the differences between African-American females and white male and female testers. The differences between African-American male testers and white female testers are small and insignificant. The racial </w:t>
      </w:r>
      <w:r w:rsidRPr="007E79C2">
        <w:rPr>
          <w:lang w:bidi="he-IL"/>
        </w:rPr>
        <w:t>and gender differences remain strong and significant</w:t>
      </w:r>
      <w:r w:rsidRPr="007E79C2">
        <w:t xml:space="preserve"> even when controlling for tester and store characteristics</w:t>
      </w:r>
      <w:r w:rsidRPr="007E79C2">
        <w:rPr>
          <w:lang w:bidi="he-IL"/>
        </w:rPr>
        <w:t>.</w:t>
      </w:r>
    </w:p>
  </w:footnote>
  <w:footnote w:id="71">
    <w:p w14:paraId="2275B0C2" w14:textId="77777777" w:rsidR="00CA6054" w:rsidRDefault="00CA6054" w:rsidP="00CA6054">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 </w:t>
      </w:r>
    </w:p>
  </w:footnote>
  <w:footnote w:id="72">
    <w:p w14:paraId="180ACDDB" w14:textId="77777777" w:rsidR="00CA6054" w:rsidRDefault="00CA6054" w:rsidP="00CA6054">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73">
    <w:p w14:paraId="71881A0E" w14:textId="77777777" w:rsidR="00CA6054" w:rsidRDefault="00CA6054" w:rsidP="00CA6054">
      <w:pPr>
        <w:pStyle w:val="FootnoteText"/>
      </w:pPr>
      <w:r>
        <w:rPr>
          <w:rStyle w:val="FootnoteReference"/>
        </w:rPr>
        <w:footnoteRef/>
      </w:r>
      <w:r>
        <w:t xml:space="preserve"> The difference is significant at the 10% level, based on a logistic regression of return outcomes on tester race, clerk race, and the interaction between tester and clerk race.</w:t>
      </w:r>
    </w:p>
  </w:footnote>
  <w:footnote w:id="74">
    <w:p w14:paraId="4474DA0F" w14:textId="77777777" w:rsidR="00960238" w:rsidRPr="007E79C2" w:rsidRDefault="00960238" w:rsidP="00960238">
      <w:pPr>
        <w:pStyle w:val="FootnoteText"/>
      </w:pPr>
      <w:r w:rsidRPr="007E79C2">
        <w:rPr>
          <w:rStyle w:val="FootnoteReference"/>
        </w:rPr>
        <w:footnoteRef/>
      </w:r>
      <w:r w:rsidRPr="007E79C2">
        <w:t xml:space="preserve"> </w:t>
      </w:r>
      <w:r w:rsidRPr="007E79C2">
        <w:rPr>
          <w:rFonts w:asciiTheme="majorBidi" w:hAnsiTheme="majorBidi" w:cstheme="majorBidi"/>
        </w:rPr>
        <w:t>Python was used to scrape the stores’ websites.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Some stores blocked access to their websites, and these websites (n = 17) were manually coded. One store’s website was impossible to manually code, so its median price was coded as missing. One store did not have items for sale online, so its median price was also coded as missing.</w:t>
      </w:r>
    </w:p>
  </w:footnote>
  <w:footnote w:id="75">
    <w:p w14:paraId="57F8AAB1" w14:textId="4E8646CC" w:rsidR="006A3B48" w:rsidRPr="007E79C2" w:rsidRDefault="006A3B48">
      <w:pPr>
        <w:pStyle w:val="FootnoteText"/>
      </w:pPr>
      <w:r w:rsidRPr="007E79C2">
        <w:rPr>
          <w:rStyle w:val="FootnoteReference"/>
        </w:rPr>
        <w:footnoteRef/>
      </w:r>
      <w:r w:rsidRPr="007E79C2">
        <w:t xml:space="preserve"> This analysis was repeated with classification based on my RA’s coding of each store as “discount,” “mainstream,” and “high-end” based on their impressions from being at the store’s physical location. The results were similar and robust. </w:t>
      </w:r>
    </w:p>
  </w:footnote>
  <w:footnote w:id="76">
    <w:p w14:paraId="58D9DE2E" w14:textId="314A94DA" w:rsidR="00956343" w:rsidRPr="007E79C2" w:rsidRDefault="00956343" w:rsidP="00956343">
      <w:pPr>
        <w:pStyle w:val="FootnoteText"/>
        <w:ind w:firstLine="0"/>
      </w:pPr>
      <w:r w:rsidRPr="007E79C2">
        <w:rPr>
          <w:rStyle w:val="FootnoteReference"/>
        </w:rPr>
        <w:footnoteRef/>
      </w:r>
      <w:r w:rsidRPr="007E79C2">
        <w:t xml:space="preserve"> </w:t>
      </w:r>
      <w:r w:rsidR="0066577A" w:rsidRPr="007E79C2">
        <w:rPr>
          <w:rFonts w:asciiTheme="majorBidi" w:hAnsiTheme="majorBidi" w:cstheme="majorBidi"/>
        </w:rPr>
        <w:t xml:space="preserve">Lucian A. </w:t>
      </w:r>
      <w:proofErr w:type="spellStart"/>
      <w:r w:rsidR="0066577A" w:rsidRPr="007E79C2">
        <w:rPr>
          <w:rFonts w:asciiTheme="majorBidi" w:hAnsiTheme="majorBidi" w:cstheme="majorBidi"/>
        </w:rPr>
        <w:t>Bebchuk</w:t>
      </w:r>
      <w:proofErr w:type="spellEnd"/>
      <w:r w:rsidR="0066577A" w:rsidRPr="007E79C2">
        <w:rPr>
          <w:rFonts w:asciiTheme="majorBidi" w:hAnsiTheme="majorBidi" w:cstheme="majorBidi"/>
        </w:rPr>
        <w:t xml:space="preserve"> &amp; Richard A. Posner, </w:t>
      </w:r>
      <w:r w:rsidR="0066577A" w:rsidRPr="007E79C2">
        <w:rPr>
          <w:rFonts w:asciiTheme="majorBidi" w:hAnsiTheme="majorBidi" w:cstheme="majorBidi"/>
          <w:i/>
          <w:iCs/>
        </w:rPr>
        <w:t>One-Sided Contracts in Competitive Consumer Markets</w:t>
      </w:r>
      <w:r w:rsidR="0066577A" w:rsidRPr="007E79C2">
        <w:rPr>
          <w:rFonts w:asciiTheme="majorBidi" w:hAnsiTheme="majorBidi" w:cstheme="majorBidi"/>
        </w:rPr>
        <w:t xml:space="preserve">, 104 </w:t>
      </w:r>
      <w:r w:rsidR="0066577A" w:rsidRPr="007E79C2">
        <w:rPr>
          <w:rFonts w:asciiTheme="majorBidi" w:hAnsiTheme="majorBidi" w:cstheme="majorBidi"/>
          <w:smallCaps/>
        </w:rPr>
        <w:t>Mich. L. Rev</w:t>
      </w:r>
      <w:r w:rsidR="0066577A" w:rsidRPr="007E79C2">
        <w:rPr>
          <w:rFonts w:asciiTheme="majorBidi" w:hAnsiTheme="majorBidi" w:cstheme="majorBidi"/>
        </w:rPr>
        <w:t>. 827, 828 (2006)</w:t>
      </w:r>
      <w:r w:rsidR="007F7E2B" w:rsidRPr="007E79C2">
        <w:rPr>
          <w:rFonts w:asciiTheme="majorBidi" w:hAnsiTheme="majorBidi" w:cstheme="majorBidi"/>
        </w:rPr>
        <w:t xml:space="preserve"> (suggesting that “reputational considerations” may “induce the seller to treat the buyer fairly even when such treatment is not contractually required”); </w:t>
      </w:r>
      <w:r w:rsidR="00496102" w:rsidRPr="007E79C2">
        <w:t xml:space="preserve">Clayton P. Gillette, </w:t>
      </w:r>
      <w:r w:rsidR="00496102" w:rsidRPr="007E79C2">
        <w:rPr>
          <w:i/>
          <w:iCs/>
        </w:rPr>
        <w:t>Rolling Contracts as an Agency Problem</w:t>
      </w:r>
      <w:r w:rsidR="00496102" w:rsidRPr="007E79C2">
        <w:t xml:space="preserve">, 2004 </w:t>
      </w:r>
      <w:r w:rsidR="00496102" w:rsidRPr="007E79C2">
        <w:rPr>
          <w:smallCaps/>
        </w:rPr>
        <w:t>Wis. L. Rev.</w:t>
      </w:r>
      <w:r w:rsidR="00496102" w:rsidRPr="007E79C2">
        <w:t xml:space="preserve"> 679, </w:t>
      </w:r>
      <w:r w:rsidR="00496102" w:rsidRPr="007E79C2">
        <w:rPr>
          <w:rFonts w:asciiTheme="majorBidi" w:hAnsiTheme="majorBidi" w:cstheme="majorBidi"/>
        </w:rPr>
        <w:t>704–12</w:t>
      </w:r>
      <w:r w:rsidR="00496102" w:rsidRPr="007E79C2">
        <w:t xml:space="preserve"> (2004)</w:t>
      </w:r>
      <w:r w:rsidR="00496102" w:rsidRPr="007E79C2">
        <w:rPr>
          <w:rFonts w:asciiTheme="majorBidi" w:hAnsiTheme="majorBidi" w:cstheme="majorBidi"/>
        </w:rPr>
        <w:t xml:space="preserve"> (suggesting that sellers may use a “contract clause that assigns an entitlement to the seller [in order to protect themselves from consumer misbehavior], but that the seller may under-enforce [the clause] when it is dealing with a good claimant”); Clayton P. Gillette, </w:t>
      </w:r>
      <w:r w:rsidR="00496102" w:rsidRPr="007E79C2">
        <w:rPr>
          <w:rFonts w:asciiTheme="majorBidi" w:hAnsiTheme="majorBidi" w:cstheme="majorBidi"/>
          <w:i/>
          <w:iCs/>
        </w:rPr>
        <w:t>Pre-Approved Contracts for Internet Commerce</w:t>
      </w:r>
      <w:r w:rsidR="00496102" w:rsidRPr="007E79C2">
        <w:rPr>
          <w:rFonts w:asciiTheme="majorBidi" w:hAnsiTheme="majorBidi" w:cstheme="majorBidi"/>
        </w:rPr>
        <w:t xml:space="preserve">, 42 </w:t>
      </w:r>
      <w:r w:rsidR="00496102" w:rsidRPr="007E79C2">
        <w:rPr>
          <w:rFonts w:asciiTheme="majorBidi" w:hAnsiTheme="majorBidi" w:cstheme="majorBidi"/>
          <w:smallCaps/>
        </w:rPr>
        <w:t>Houston L. Rev</w:t>
      </w:r>
      <w:r w:rsidR="00496102" w:rsidRPr="007E79C2">
        <w:rPr>
          <w:rFonts w:asciiTheme="majorBidi" w:hAnsiTheme="majorBidi" w:cstheme="majorBidi"/>
        </w:rPr>
        <w:t xml:space="preserve">. 975, 977 (2005) (making a similar observation); </w:t>
      </w:r>
      <w:r w:rsidR="00496102" w:rsidRPr="007E79C2">
        <w:rPr>
          <w:rFonts w:ascii="Times New Roman" w:hAnsi="Times New Roman"/>
        </w:rPr>
        <w:t xml:space="preserve">Jason Scott Johnston, </w:t>
      </w:r>
      <w:r w:rsidR="00496102" w:rsidRPr="007E79C2">
        <w:rPr>
          <w:rFonts w:ascii="Times New Roman" w:hAnsi="Times New Roman"/>
          <w:i/>
          <w:iCs/>
        </w:rPr>
        <w:t>The Return of Bargain: An Economic Theory of How Standard-Form Contracts Enable Cooperative Negotiation between Businesses and Consumers</w:t>
      </w:r>
      <w:r w:rsidR="00496102" w:rsidRPr="007E79C2">
        <w:rPr>
          <w:rFonts w:ascii="Times New Roman" w:hAnsi="Times New Roman"/>
        </w:rPr>
        <w:t xml:space="preserve">, 104 </w:t>
      </w:r>
      <w:r w:rsidR="00496102" w:rsidRPr="007E79C2">
        <w:rPr>
          <w:rFonts w:ascii="Times New Roman" w:hAnsi="Times New Roman"/>
          <w:smallCaps/>
        </w:rPr>
        <w:t>Mich. L. Rev. 857, 858 (2006)</w:t>
      </w:r>
      <w:r w:rsidR="00496102" w:rsidRPr="007E79C2">
        <w:rPr>
          <w:rFonts w:asciiTheme="majorBidi" w:hAnsiTheme="majorBidi" w:cstheme="majorBidi"/>
        </w:rPr>
        <w:t xml:space="preserve">. </w:t>
      </w:r>
      <w:r w:rsidR="00496102" w:rsidRPr="007E79C2">
        <w:rPr>
          <w:rFonts w:asciiTheme="majorBidi" w:hAnsiTheme="majorBidi" w:cstheme="majorBidi" w:hint="cs"/>
        </w:rPr>
        <w:t>F</w:t>
      </w:r>
      <w:r w:rsidR="00496102" w:rsidRPr="007E79C2">
        <w:rPr>
          <w:rFonts w:asciiTheme="majorBidi" w:hAnsiTheme="majorBidi" w:cstheme="majorBidi"/>
          <w:lang w:bidi="he-IL"/>
        </w:rPr>
        <w:t xml:space="preserve">or a similar observation in the context of franchise agreements, see Benjamin Klein, </w:t>
      </w:r>
      <w:r w:rsidR="00496102" w:rsidRPr="007E79C2">
        <w:rPr>
          <w:rFonts w:asciiTheme="majorBidi" w:hAnsiTheme="majorBidi" w:cstheme="majorBidi"/>
          <w:i/>
          <w:iCs/>
          <w:lang w:bidi="he-IL"/>
        </w:rPr>
        <w:t>Transaction Cost Determinants of “Unfair” Contractual Arrangements</w:t>
      </w:r>
      <w:r w:rsidR="00496102" w:rsidRPr="007E79C2">
        <w:rPr>
          <w:rFonts w:asciiTheme="majorBidi" w:hAnsiTheme="majorBidi" w:cstheme="majorBidi"/>
          <w:lang w:bidi="he-IL"/>
        </w:rPr>
        <w:t xml:space="preserve">, 70 </w:t>
      </w:r>
      <w:r w:rsidR="00496102" w:rsidRPr="007E79C2">
        <w:rPr>
          <w:rFonts w:asciiTheme="majorBidi" w:hAnsiTheme="majorBidi" w:cstheme="majorBidi"/>
          <w:smallCaps/>
          <w:lang w:bidi="he-IL"/>
        </w:rPr>
        <w:t>Am. Econ. Rev</w:t>
      </w:r>
      <w:r w:rsidR="00496102" w:rsidRPr="007E79C2">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sidR="00496102" w:rsidRPr="007E79C2">
        <w:rPr>
          <w:rFonts w:asciiTheme="majorBidi" w:hAnsiTheme="majorBidi" w:cstheme="majorBidi"/>
        </w:rPr>
        <w:t>For a more recent paper suggesting that firms’ behavior is often more generous than their contractual language, see</w:t>
      </w:r>
      <w:r w:rsidR="007E79C2" w:rsidRPr="007E79C2">
        <w:rPr>
          <w:rFonts w:asciiTheme="majorBidi" w:hAnsiTheme="majorBidi" w:cstheme="majorBidi"/>
        </w:rPr>
        <w:t xml:space="preserve"> Shmuel I. Becher &amp; Tal Z. </w:t>
      </w:r>
      <w:proofErr w:type="spellStart"/>
      <w:r w:rsidR="007E79C2" w:rsidRPr="007E79C2">
        <w:rPr>
          <w:rFonts w:asciiTheme="majorBidi" w:hAnsiTheme="majorBidi" w:cstheme="majorBidi"/>
        </w:rPr>
        <w:t>Zarsky</w:t>
      </w:r>
      <w:proofErr w:type="spellEnd"/>
      <w:r w:rsidR="007E79C2" w:rsidRPr="007E79C2">
        <w:rPr>
          <w:rFonts w:asciiTheme="majorBidi" w:hAnsiTheme="majorBidi" w:cstheme="majorBidi"/>
        </w:rPr>
        <w:t xml:space="preserve">, </w:t>
      </w:r>
      <w:r w:rsidR="007E79C2" w:rsidRPr="007E79C2">
        <w:rPr>
          <w:rFonts w:asciiTheme="majorBidi" w:hAnsiTheme="majorBidi" w:cstheme="majorBidi"/>
          <w:i/>
        </w:rPr>
        <w:t>Minding the Gap</w:t>
      </w:r>
      <w:r w:rsidR="007E79C2" w:rsidRPr="007E79C2">
        <w:rPr>
          <w:rFonts w:asciiTheme="majorBidi" w:hAnsiTheme="majorBidi" w:cstheme="majorBidi"/>
        </w:rPr>
        <w:t xml:space="preserve">, 51 </w:t>
      </w:r>
      <w:r w:rsidR="007E79C2" w:rsidRPr="007E79C2">
        <w:rPr>
          <w:rFonts w:asciiTheme="majorBidi" w:hAnsiTheme="majorBidi" w:cstheme="majorBidi"/>
          <w:smallCaps/>
        </w:rPr>
        <w:t xml:space="preserve">Conn. L. Rev. 69 </w:t>
      </w:r>
      <w:r w:rsidR="007E79C2" w:rsidRPr="007E79C2">
        <w:rPr>
          <w:rFonts w:asciiTheme="majorBidi" w:hAnsiTheme="majorBidi" w:cstheme="majorBidi"/>
        </w:rPr>
        <w:t>(2019)</w:t>
      </w:r>
      <w:r w:rsidR="0066577A" w:rsidRPr="007E79C2">
        <w:rPr>
          <w:rFonts w:asciiTheme="majorBidi" w:hAnsiTheme="majorBidi" w:cstheme="majorBidi"/>
        </w:rPr>
        <w:t>.</w:t>
      </w:r>
    </w:p>
  </w:footnote>
  <w:footnote w:id="77">
    <w:p w14:paraId="7A44BE1B" w14:textId="3E124593" w:rsidR="0031781D" w:rsidRPr="007E79C2" w:rsidRDefault="0031781D" w:rsidP="00AE2E80">
      <w:pPr>
        <w:ind w:firstLine="0"/>
        <w:rPr>
          <w:rFonts w:ascii="Times" w:hAnsi="Times"/>
          <w:sz w:val="20"/>
        </w:rPr>
      </w:pPr>
      <w:r w:rsidRPr="007E79C2">
        <w:rPr>
          <w:rStyle w:val="FootnoteReference"/>
          <w:sz w:val="20"/>
        </w:rPr>
        <w:footnoteRef/>
      </w:r>
      <w:r w:rsidRPr="007E79C2">
        <w:rPr>
          <w:sz w:val="20"/>
        </w:rPr>
        <w:t xml:space="preserve"> See, e.g., </w:t>
      </w:r>
      <w:r w:rsidR="00AE2E80" w:rsidRPr="007E79C2">
        <w:rPr>
          <w:sz w:val="20"/>
        </w:rPr>
        <w:t>Manisha Padi, Contractual Inequality, __ Michi. L. Rev __ (2022);</w:t>
      </w:r>
      <w:r w:rsidR="00AE2E80" w:rsidRPr="007E79C2">
        <w:rPr>
          <w:rFonts w:ascii="Times" w:hAnsi="Times"/>
          <w:sz w:val="20"/>
        </w:rPr>
        <w:t xml:space="preserve"> </w:t>
      </w:r>
      <w:r w:rsidR="007E79C2" w:rsidRPr="007E79C2">
        <w:rPr>
          <w:rFonts w:ascii="Times" w:hAnsi="Times"/>
          <w:sz w:val="20"/>
        </w:rPr>
        <w:t xml:space="preserve">Becher &amp; </w:t>
      </w:r>
      <w:proofErr w:type="spellStart"/>
      <w:r w:rsidR="007E79C2" w:rsidRPr="007E79C2">
        <w:rPr>
          <w:rFonts w:ascii="Times" w:hAnsi="Times"/>
          <w:sz w:val="20"/>
        </w:rPr>
        <w:t>Zarsky</w:t>
      </w:r>
      <w:proofErr w:type="spellEnd"/>
      <w:r w:rsidR="007E79C2" w:rsidRPr="007E79C2">
        <w:rPr>
          <w:rFonts w:ascii="Times" w:hAnsi="Times"/>
          <w:sz w:val="20"/>
        </w:rPr>
        <w:t xml:space="preserve">, </w:t>
      </w:r>
      <w:r w:rsidR="007E79C2" w:rsidRPr="007E79C2">
        <w:rPr>
          <w:rFonts w:ascii="Times" w:hAnsi="Times"/>
          <w:i/>
          <w:iCs/>
          <w:sz w:val="20"/>
        </w:rPr>
        <w:t xml:space="preserve">supra </w:t>
      </w:r>
      <w:r w:rsidR="007E79C2" w:rsidRPr="007E79C2">
        <w:rPr>
          <w:rFonts w:ascii="Times" w:hAnsi="Times"/>
          <w:sz w:val="20"/>
        </w:rPr>
        <w:t xml:space="preserve">note __, at 91 </w:t>
      </w:r>
      <w:r w:rsidR="007F3A8E" w:rsidRPr="007E79C2">
        <w:rPr>
          <w:rFonts w:asciiTheme="majorBidi" w:hAnsiTheme="majorBidi" w:cstheme="majorBidi"/>
          <w:sz w:val="20"/>
        </w:rPr>
        <w:t>(</w:t>
      </w:r>
      <w:r w:rsidR="00F45BE4" w:rsidRPr="007E79C2">
        <w:rPr>
          <w:rFonts w:asciiTheme="majorBidi" w:hAnsiTheme="majorBidi" w:cstheme="majorBidi"/>
          <w:sz w:val="20"/>
        </w:rPr>
        <w:t xml:space="preserve">suggesting that “uninformed and weak groups of consumers” will be disadvantaged, as “sophisticated and informed” groups will plausibly be treated more forgivingly or generously); </w:t>
      </w:r>
      <w:r w:rsidR="007419CD" w:rsidRPr="007E79C2">
        <w:rPr>
          <w:rFonts w:asciiTheme="majorBidi" w:hAnsiTheme="majorBidi" w:cstheme="majorBidi"/>
          <w:sz w:val="20"/>
        </w:rPr>
        <w:t xml:space="preserve">Eyal Zamir, </w:t>
      </w:r>
      <w:r w:rsidR="007419CD" w:rsidRPr="007E79C2">
        <w:rPr>
          <w:rFonts w:asciiTheme="majorBidi" w:hAnsiTheme="majorBidi" w:cstheme="majorBidi"/>
          <w:i/>
          <w:iCs/>
          <w:sz w:val="20"/>
        </w:rPr>
        <w:t>Contract Law and Theory: Three Views of the Cathedral</w:t>
      </w:r>
      <w:r w:rsidR="007419CD" w:rsidRPr="007E79C2">
        <w:rPr>
          <w:rFonts w:asciiTheme="majorBidi" w:hAnsiTheme="majorBidi" w:cstheme="majorBidi"/>
          <w:sz w:val="20"/>
        </w:rPr>
        <w:t xml:space="preserve">, 81 </w:t>
      </w:r>
      <w:r w:rsidR="007419CD" w:rsidRPr="007E79C2">
        <w:rPr>
          <w:rFonts w:asciiTheme="majorBidi" w:hAnsiTheme="majorBidi" w:cstheme="majorBidi"/>
          <w:smallCaps/>
          <w:sz w:val="20"/>
        </w:rPr>
        <w:t>U. Chi. L. Rev. 2077, 2100 (</w:t>
      </w:r>
      <w:r w:rsidR="007419CD" w:rsidRPr="007E79C2">
        <w:rPr>
          <w:rFonts w:asciiTheme="majorBidi" w:hAnsiTheme="majorBidi" w:cstheme="majorBidi"/>
          <w:sz w:val="20"/>
        </w:rPr>
        <w:t>2014) (suggesting that reputational forces “are much more likely to work in favor of large, recurring, and sophisticated customers—whose goodwill the supplier values highly—than in favor of the weak, occasional, and unsophisticated customer, whose goodwill is valued less”).</w:t>
      </w:r>
    </w:p>
  </w:footnote>
  <w:footnote w:id="78">
    <w:p w14:paraId="54BBBFD7" w14:textId="77777777" w:rsidR="008379D3" w:rsidRPr="002D2FFB" w:rsidRDefault="008379D3" w:rsidP="008379D3">
      <w:pPr>
        <w:pStyle w:val="FootnoteText"/>
        <w:rPr>
          <w:rtl/>
          <w:lang w:bidi="he-IL"/>
        </w:rPr>
      </w:pPr>
      <w:r w:rsidRPr="00D50CFC">
        <w:rPr>
          <w:rStyle w:val="FootnoteReference"/>
        </w:rPr>
        <w:footnoteRef/>
      </w:r>
      <w:r w:rsidRPr="00D50CFC">
        <w:t xml:space="preserve"> </w:t>
      </w:r>
      <w:r w:rsidRPr="00D50CFC">
        <w:rPr>
          <w:i/>
          <w:iCs/>
        </w:rPr>
        <w:t>See, e.g.</w:t>
      </w:r>
      <w:r w:rsidRPr="002D2FFB">
        <w:t xml:space="preserve">, </w:t>
      </w:r>
      <w:proofErr w:type="spellStart"/>
      <w:r w:rsidRPr="002D2FFB">
        <w:rPr>
          <w:rFonts w:asciiTheme="majorBidi" w:hAnsiTheme="majorBidi" w:cstheme="majorBidi"/>
        </w:rPr>
        <w:t>Stojano</w:t>
      </w:r>
      <w:r>
        <w:rPr>
          <w:rFonts w:asciiTheme="majorBidi" w:hAnsiTheme="majorBidi" w:cstheme="majorBidi"/>
        </w:rPr>
        <w:t>vic</w:t>
      </w:r>
      <w:proofErr w:type="spellEnd"/>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note 2</w:t>
      </w:r>
      <w:r>
        <w:rPr>
          <w:rFonts w:asciiTheme="majorBidi" w:hAnsiTheme="majorBidi" w:cstheme="majorBidi"/>
        </w:rPr>
        <w:t>7.</w:t>
      </w:r>
      <w:r w:rsidRPr="002D2FFB">
        <w:rPr>
          <w:rFonts w:asciiTheme="majorBidi" w:hAnsiTheme="majorBidi" w:cstheme="majorBidi"/>
        </w:rPr>
        <w:t xml:space="preserve"> </w:t>
      </w:r>
    </w:p>
  </w:footnote>
  <w:footnote w:id="79">
    <w:p w14:paraId="41BB7EC3" w14:textId="6ADACE78" w:rsidR="008379D3" w:rsidRPr="002D2FFB" w:rsidRDefault="008379D3" w:rsidP="008379D3">
      <w:pPr>
        <w:pStyle w:val="FootnoteText"/>
      </w:pPr>
      <w:r w:rsidRPr="00D50CFC">
        <w:rPr>
          <w:rStyle w:val="FootnoteReference"/>
        </w:rPr>
        <w:footnoteRef/>
      </w:r>
      <w:r w:rsidRPr="00D50CFC">
        <w:t xml:space="preserve"> </w:t>
      </w:r>
    </w:p>
  </w:footnote>
  <w:footnote w:id="80">
    <w:p w14:paraId="00B59117" w14:textId="7D117C88" w:rsidR="001B1541" w:rsidRPr="001B1541" w:rsidRDefault="001B1541">
      <w:pPr>
        <w:pStyle w:val="FootnoteText"/>
      </w:pPr>
      <w:r>
        <w:rPr>
          <w:rStyle w:val="FootnoteReference"/>
        </w:rPr>
        <w:footnoteRef/>
      </w:r>
      <w:r w:rsidRPr="001B1541">
        <w:t xml:space="preserve"> Benjamin Edelman, Michael Luca, and Dan Svirsky, </w:t>
      </w:r>
      <w:r w:rsidRPr="001B1541">
        <w:rPr>
          <w:i/>
          <w:iCs/>
        </w:rPr>
        <w:t>Racial Discrimination i</w:t>
      </w:r>
      <w:r>
        <w:rPr>
          <w:i/>
          <w:iCs/>
        </w:rPr>
        <w:t>n the Sharing Economy: Evidence from a Field Experiment</w:t>
      </w:r>
      <w:r>
        <w:t xml:space="preserve">, </w:t>
      </w:r>
      <w:r w:rsidR="000F29E9">
        <w:t xml:space="preserve">9 American Economic Journal 1 (2017). </w:t>
      </w:r>
    </w:p>
  </w:footnote>
  <w:footnote w:id="81">
    <w:p w14:paraId="44FD8E63" w14:textId="02C2F39C" w:rsidR="00A82435" w:rsidRPr="00A7338F" w:rsidRDefault="00A82435">
      <w:pPr>
        <w:pStyle w:val="FootnoteText"/>
      </w:pPr>
      <w:r>
        <w:rPr>
          <w:rStyle w:val="FootnoteReference"/>
        </w:rPr>
        <w:footnoteRef/>
      </w:r>
      <w:r>
        <w:t xml:space="preserve"> </w:t>
      </w:r>
      <w:r w:rsidR="00407978">
        <w:t xml:space="preserve">Tamar Kricheli-Katz &amp; Tali Regev, </w:t>
      </w:r>
      <w:r w:rsidR="00407978">
        <w:rPr>
          <w:i/>
          <w:iCs/>
        </w:rPr>
        <w:t>How Many Cents on the Dollar? Women and Men in Product Mar</w:t>
      </w:r>
      <w:r w:rsidR="00A7338F">
        <w:rPr>
          <w:i/>
          <w:iCs/>
        </w:rPr>
        <w:t>kets</w:t>
      </w:r>
      <w:r w:rsidR="00A7338F">
        <w:t>, 2 Science Advances</w:t>
      </w:r>
      <w:r w:rsidR="00D93CB2">
        <w:t xml:space="preserve"> (2016). </w:t>
      </w:r>
    </w:p>
  </w:footnote>
  <w:footnote w:id="82">
    <w:p w14:paraId="50FAC8A5" w14:textId="77777777" w:rsidR="008379D3" w:rsidRPr="002D2FFB" w:rsidRDefault="008379D3" w:rsidP="008379D3">
      <w:pPr>
        <w:pStyle w:val="FootnoteText"/>
      </w:pPr>
      <w:r w:rsidRPr="00D50CFC">
        <w:rPr>
          <w:rStyle w:val="FootnoteReference"/>
        </w:rPr>
        <w:footnoteRef/>
      </w:r>
      <w:r w:rsidRPr="00D50CFC">
        <w:t xml:space="preserve"> </w:t>
      </w:r>
      <w:r w:rsidRPr="00D50CFC">
        <w:rPr>
          <w:i/>
          <w:iCs/>
        </w:rPr>
        <w:t>See, e.g.</w:t>
      </w:r>
      <w:r w:rsidRPr="00D50CFC">
        <w:t xml:space="preserve">, </w:t>
      </w:r>
      <w:proofErr w:type="spellStart"/>
      <w:r w:rsidRPr="00D50CFC">
        <w:t>Orendoff</w:t>
      </w:r>
      <w:proofErr w:type="spellEnd"/>
      <w:r w:rsidRPr="00D50CFC">
        <w:t xml:space="preserve">, </w:t>
      </w:r>
      <w:r w:rsidRPr="002D2FFB">
        <w:rPr>
          <w:i/>
          <w:iCs/>
        </w:rPr>
        <w:t xml:space="preserve">supra </w:t>
      </w:r>
      <w:r w:rsidRPr="002D2FFB">
        <w:t>note 2</w:t>
      </w:r>
      <w:r>
        <w:t>8</w:t>
      </w:r>
      <w:r w:rsidRPr="002D2FFB">
        <w:t xml:space="preserve">. </w:t>
      </w:r>
    </w:p>
  </w:footnote>
  <w:footnote w:id="83">
    <w:p w14:paraId="7DB69EE3" w14:textId="7D96B0E2" w:rsidR="008379D3" w:rsidRPr="002D2FFB" w:rsidRDefault="008379D3" w:rsidP="002E6252">
      <w:pPr>
        <w:pStyle w:val="FootnoteText"/>
      </w:pPr>
      <w:r w:rsidRPr="00D50CFC">
        <w:rPr>
          <w:rStyle w:val="FootnoteReference"/>
        </w:rPr>
        <w:footnoteRef/>
      </w:r>
      <w:r w:rsidRPr="00D50CFC">
        <w:t xml:space="preserve"> </w:t>
      </w:r>
      <w:r w:rsidRPr="00D50CFC">
        <w:rPr>
          <w:i/>
          <w:iCs/>
        </w:rPr>
        <w:t>See, e.g.</w:t>
      </w:r>
      <w:r w:rsidRPr="00D50CFC">
        <w:t xml:space="preserve">, Lior Jacob Strahilevitz, </w:t>
      </w:r>
      <w:r w:rsidRPr="002D2FFB">
        <w:rPr>
          <w:i/>
          <w:iCs/>
        </w:rPr>
        <w:t>Reputation Nation: Law in an Era of Ubiquitous Personal Information</w:t>
      </w:r>
      <w:r w:rsidRPr="002D2FFB">
        <w:t xml:space="preserve">, </w:t>
      </w:r>
      <w:r w:rsidRPr="002D2FFB">
        <w:rPr>
          <w:smallCaps/>
        </w:rPr>
        <w:t xml:space="preserve">Nw. U. L. Rev. </w:t>
      </w:r>
      <w:r w:rsidRPr="002D2FFB">
        <w:t xml:space="preserve">102 (2008); Lior Jacob Strahilevitz, </w:t>
      </w:r>
      <w:r w:rsidRPr="002D2FFB">
        <w:rPr>
          <w:i/>
          <w:iCs/>
        </w:rPr>
        <w:t xml:space="preserve">Less Regulation, More Reputation, in </w:t>
      </w:r>
      <w:r w:rsidRPr="002D2FFB">
        <w:rPr>
          <w:smallCaps/>
        </w:rPr>
        <w:t>The Reputation Society</w:t>
      </w:r>
      <w:r w:rsidRPr="002D2FFB">
        <w:t xml:space="preserve"> 71 (2012) (suggesting that “an important potential upside of new </w:t>
      </w:r>
      <w:r w:rsidR="001C2956">
        <w:t>reputation</w:t>
      </w:r>
      <w:r w:rsidRPr="002D2FFB">
        <w:t xml:space="preserve"> tracking technologies is their potential to displace statistical discrimination on the basis of race, gender, age, appearance, and other easily observable characteristics”).</w:t>
      </w:r>
    </w:p>
  </w:footnote>
  <w:footnote w:id="84">
    <w:p w14:paraId="7E42FF56" w14:textId="6C80C347" w:rsidR="00EB1055" w:rsidRPr="009329DF" w:rsidRDefault="00EB1055">
      <w:pPr>
        <w:pStyle w:val="FootnoteText"/>
      </w:pPr>
      <w:r>
        <w:rPr>
          <w:rStyle w:val="FootnoteReference"/>
        </w:rPr>
        <w:footnoteRef/>
      </w:r>
      <w:r>
        <w:t xml:space="preserve"> </w:t>
      </w:r>
      <w:r>
        <w:rPr>
          <w:i/>
          <w:iCs/>
        </w:rPr>
        <w:t xml:space="preserve">See, e.g., </w:t>
      </w:r>
      <w:r>
        <w:t xml:space="preserve">Talia Gillis, </w:t>
      </w:r>
      <w:r w:rsidR="00BE41F4">
        <w:rPr>
          <w:i/>
          <w:iCs/>
        </w:rPr>
        <w:t>The Input Fallacy</w:t>
      </w:r>
      <w:r w:rsidR="00BE41F4">
        <w:t xml:space="preserve">, </w:t>
      </w:r>
      <w:r w:rsidR="00AD7F86">
        <w:t>___ Minnesota Law Review _</w:t>
      </w:r>
      <w:proofErr w:type="gramStart"/>
      <w:r w:rsidR="00AD7F86">
        <w:t>_  (</w:t>
      </w:r>
      <w:proofErr w:type="gramEnd"/>
      <w:r w:rsidR="00AD7F86">
        <w:t>2022)</w:t>
      </w:r>
      <w:r w:rsidR="009329DF">
        <w:t xml:space="preserve">; Talia Gillis &amp; Jann L. </w:t>
      </w:r>
      <w:proofErr w:type="spellStart"/>
      <w:r w:rsidR="009329DF">
        <w:t>Spiess</w:t>
      </w:r>
      <w:proofErr w:type="spellEnd"/>
      <w:r w:rsidR="009329DF">
        <w:t xml:space="preserve">, </w:t>
      </w:r>
      <w:r w:rsidR="009329DF">
        <w:rPr>
          <w:i/>
          <w:iCs/>
        </w:rPr>
        <w:t>Big Data and Discrimination</w:t>
      </w:r>
      <w:r w:rsidR="009329DF">
        <w:t xml:space="preserve">, </w:t>
      </w:r>
      <w:r w:rsidR="005E5B39">
        <w:t>86 U. Chi. L. Rev. 459 (2018).</w:t>
      </w:r>
    </w:p>
  </w:footnote>
  <w:footnote w:id="85">
    <w:p w14:paraId="395E46CC" w14:textId="3C041FD0" w:rsidR="00BA6492" w:rsidRPr="008900EB" w:rsidRDefault="00BA6492">
      <w:pPr>
        <w:pStyle w:val="FootnoteText"/>
      </w:pPr>
      <w:r>
        <w:rPr>
          <w:rStyle w:val="FootnoteReference"/>
        </w:rPr>
        <w:footnoteRef/>
      </w:r>
      <w:r>
        <w:t xml:space="preserve"> </w:t>
      </w:r>
      <w:r w:rsidR="002772E5">
        <w:t xml:space="preserve">A similar suggestion has been proposed by Ian Ayres, Fredrick E. Vars, and Nasser Zakariya to eliminate </w:t>
      </w:r>
      <w:r w:rsidR="004D7326">
        <w:t>racial disparities in taxicab tipping.</w:t>
      </w:r>
      <w:r w:rsidR="005D16B7">
        <w:t xml:space="preserve"> After document such discrimination, the researchers</w:t>
      </w:r>
      <w:r w:rsidR="004D7326">
        <w:t xml:space="preserve"> propose </w:t>
      </w:r>
      <w:r w:rsidR="00D730AB">
        <w:t>to prohibit all tippin</w:t>
      </w:r>
      <w:r w:rsidR="00BA7F9B">
        <w:t xml:space="preserve">g or to </w:t>
      </w:r>
      <w:r w:rsidR="008900EB">
        <w:t xml:space="preserve">adopt a </w:t>
      </w:r>
      <w:r w:rsidR="008900EB">
        <w:rPr>
          <w:i/>
          <w:iCs/>
        </w:rPr>
        <w:t xml:space="preserve">service </w:t>
      </w:r>
      <w:proofErr w:type="spellStart"/>
      <w:r w:rsidR="008900EB">
        <w:rPr>
          <w:i/>
          <w:iCs/>
        </w:rPr>
        <w:t>compris</w:t>
      </w:r>
      <w:proofErr w:type="spellEnd"/>
      <w:r w:rsidR="008900EB">
        <w:t xml:space="preserve"> regulation</w:t>
      </w:r>
      <w:r w:rsidR="00AD0826">
        <w:t xml:space="preserve">. </w:t>
      </w:r>
    </w:p>
  </w:footnote>
  <w:footnote w:id="86">
    <w:p w14:paraId="56C5610D" w14:textId="66AD4C1B" w:rsidR="000301E3" w:rsidRDefault="00792C3C" w:rsidP="005D3134">
      <w:pPr>
        <w:pStyle w:val="FootnoteText"/>
      </w:pPr>
      <w:r>
        <w:rPr>
          <w:rStyle w:val="FootnoteReference"/>
        </w:rPr>
        <w:footnoteRef/>
      </w:r>
      <w:r>
        <w:t xml:space="preserve"> 42 U.S.C. § 1981.</w:t>
      </w:r>
      <w:r w:rsidR="005D3134" w:rsidRPr="005D3134">
        <w:t xml:space="preserve"> </w:t>
      </w:r>
      <w:r w:rsidR="005D3134">
        <w:t>McDonald v. Santa Fe Trail Transp. Co., 427 U.S. 273, 287 (1976) (noting that § 1981 was enacted to protect persons of “every race and color”);</w:t>
      </w:r>
    </w:p>
  </w:footnote>
  <w:footnote w:id="87">
    <w:p w14:paraId="72FD08FD" w14:textId="18B4AD52" w:rsidR="008704D9" w:rsidRDefault="008704D9">
      <w:pPr>
        <w:pStyle w:val="FootnoteText"/>
      </w:pPr>
      <w:r>
        <w:rPr>
          <w:rStyle w:val="FootnoteReference"/>
        </w:rPr>
        <w:footnoteRef/>
      </w:r>
      <w:r>
        <w:t xml:space="preserve"> </w:t>
      </w:r>
    </w:p>
  </w:footnote>
  <w:footnote w:id="88">
    <w:p w14:paraId="5CE4C7EF" w14:textId="782359AA" w:rsidR="005D3134" w:rsidRDefault="005D3134">
      <w:pPr>
        <w:pStyle w:val="FootnoteText"/>
      </w:pPr>
      <w:r>
        <w:rPr>
          <w:rStyle w:val="FootnoteReference"/>
        </w:rPr>
        <w:footnoteRef/>
      </w:r>
      <w:r>
        <w:t xml:space="preserve"> Saint Francis Coll. v. Al-</w:t>
      </w:r>
      <w:proofErr w:type="spellStart"/>
      <w:r>
        <w:t>Khazraji</w:t>
      </w:r>
      <w:proofErr w:type="spellEnd"/>
      <w:r>
        <w:t>, 481 U.S. 604, 613 (1987) (holding that § 1981 was “intended to protect from discrimination identifiable classes of persons who are subjected to intentional discrimination solely because of their ancestry or ethnic characteristics”).</w:t>
      </w:r>
    </w:p>
  </w:footnote>
  <w:footnote w:id="89">
    <w:p w14:paraId="7B1A4797" w14:textId="3523E168" w:rsidR="00804713" w:rsidRDefault="00804713">
      <w:pPr>
        <w:pStyle w:val="FootnoteText"/>
      </w:pPr>
      <w:r>
        <w:rPr>
          <w:rStyle w:val="FootnoteReference"/>
        </w:rPr>
        <w:footnoteRef/>
      </w:r>
      <w:r>
        <w:t xml:space="preserve"> 12 U.S.C. § 5531 (CFPB UDAAP authority); 15 U.S.C. § 45(n) (FTC UDAP authority).</w:t>
      </w:r>
    </w:p>
  </w:footnote>
  <w:footnote w:id="90">
    <w:p w14:paraId="6F32B707" w14:textId="10A8E126" w:rsidR="00856BC1" w:rsidRDefault="00856BC1">
      <w:pPr>
        <w:pStyle w:val="FootnoteText"/>
      </w:pPr>
      <w:r>
        <w:rPr>
          <w:rStyle w:val="FootnoteReference"/>
        </w:rPr>
        <w:footnoteRef/>
      </w:r>
      <w:r>
        <w:t xml:space="preserve"> Id.</w:t>
      </w:r>
    </w:p>
  </w:footnote>
  <w:footnote w:id="91">
    <w:p w14:paraId="4EA4D446" w14:textId="4CACFB87" w:rsidR="00C13C1E" w:rsidRPr="00ED5AA3" w:rsidRDefault="00C13C1E">
      <w:pPr>
        <w:pStyle w:val="FootnoteText"/>
      </w:pPr>
      <w:r>
        <w:rPr>
          <w:rStyle w:val="FootnoteReference"/>
        </w:rPr>
        <w:footnoteRef/>
      </w:r>
      <w:r>
        <w:t xml:space="preserve"> For an even broader suggestion to interpret current UDAP laws as prohibiting all types of discrimination in consumer markets, see </w:t>
      </w:r>
      <w:r w:rsidR="00ED5AA3">
        <w:t xml:space="preserve">Stephen Hayes and Kali Schellenberg, </w:t>
      </w:r>
      <w:r w:rsidR="00ED5AA3">
        <w:rPr>
          <w:i/>
          <w:iCs/>
        </w:rPr>
        <w:t>Discrimination is “Unfair”: Interpreting UDA(A)P to Prohibit Discrimination</w:t>
      </w:r>
      <w:r w:rsidR="00ED5AA3">
        <w:t xml:space="preserve">, </w:t>
      </w:r>
      <w:r w:rsidR="00C70880">
        <w:t xml:space="preserve">Student Borrower Protection Center Paper (April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DD8F" w14:textId="26913F49" w:rsidR="00FA45DD" w:rsidRPr="00CA354F" w:rsidRDefault="00FA45DD"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534D7C">
      <w:rPr>
        <w:rStyle w:val="PageNumber"/>
        <w:noProof/>
      </w:rPr>
      <w:t>2</w:t>
    </w:r>
    <w:r>
      <w:rPr>
        <w:rStyle w:val="PageNumber"/>
      </w:rPr>
      <w:fldChar w:fldCharType="end"/>
    </w:r>
    <w:r>
      <w:rPr>
        <w:rStyle w:val="PageNumber"/>
      </w:rPr>
      <w:tab/>
    </w:r>
    <w:r w:rsidR="00680B1A">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6A31AC">
      <w:rPr>
        <w:rStyle w:val="PageNumber"/>
        <w:noProof/>
      </w:rPr>
      <w:t>9-Oct-21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4B1F" w14:textId="43CF902E" w:rsidR="00FA45DD" w:rsidRPr="00CA354F" w:rsidRDefault="00FA45DD"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6A31AC">
      <w:rPr>
        <w:noProof/>
      </w:rPr>
      <w:t>9-Oct-21</w:t>
    </w:r>
    <w:r>
      <w:fldChar w:fldCharType="end"/>
    </w:r>
    <w:r>
      <w:t>]</w:t>
    </w:r>
    <w:r>
      <w:tab/>
    </w:r>
    <w:r>
      <w:rPr>
        <w:i/>
      </w:rPr>
      <w:t>YOUR TITLE</w:t>
    </w:r>
    <w:r>
      <w:tab/>
    </w:r>
    <w:r>
      <w:rPr>
        <w:rStyle w:val="PageNumber"/>
      </w:rPr>
      <w:fldChar w:fldCharType="begin"/>
    </w:r>
    <w:r>
      <w:rPr>
        <w:rStyle w:val="PageNumber"/>
      </w:rPr>
      <w:instrText xml:space="preserve"> PAGE </w:instrText>
    </w:r>
    <w:r>
      <w:rPr>
        <w:rStyle w:val="PageNumber"/>
      </w:rPr>
      <w:fldChar w:fldCharType="separate"/>
    </w:r>
    <w:r w:rsidR="00534D7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675"/>
    <w:multiLevelType w:val="hybridMultilevel"/>
    <w:tmpl w:val="F8989EE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FE47691"/>
    <w:multiLevelType w:val="hybridMultilevel"/>
    <w:tmpl w:val="AF54C3D8"/>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56D5300"/>
    <w:multiLevelType w:val="hybridMultilevel"/>
    <w:tmpl w:val="0AF6DCA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13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6C282E"/>
    <w:multiLevelType w:val="hybridMultilevel"/>
    <w:tmpl w:val="D4CC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D4131"/>
    <w:multiLevelType w:val="hybridMultilevel"/>
    <w:tmpl w:val="6D1A1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B14A9"/>
    <w:multiLevelType w:val="hybridMultilevel"/>
    <w:tmpl w:val="A266A4E0"/>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6EE87AB2"/>
    <w:multiLevelType w:val="hybridMultilevel"/>
    <w:tmpl w:val="0AF6DCA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44AC5"/>
    <w:multiLevelType w:val="hybridMultilevel"/>
    <w:tmpl w:val="D44E59E2"/>
    <w:lvl w:ilvl="0" w:tplc="6ECCE4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7"/>
  </w:num>
  <w:num w:numId="20">
    <w:abstractNumId w:val="3"/>
  </w:num>
  <w:num w:numId="21">
    <w:abstractNumId w:val="1"/>
  </w:num>
  <w:num w:numId="22">
    <w:abstractNumId w:val="5"/>
  </w:num>
  <w:num w:numId="23">
    <w:abstractNumId w:val="13"/>
  </w:num>
  <w:num w:numId="24">
    <w:abstractNumId w:val="2"/>
  </w:num>
  <w:num w:numId="25">
    <w:abstractNumId w:val="8"/>
  </w:num>
  <w:num w:numId="26">
    <w:abstractNumId w:val="16"/>
  </w:num>
  <w:num w:numId="27">
    <w:abstractNumId w:val="1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10"/>
  </w:num>
  <w:num w:numId="35">
    <w:abstractNumId w:val="7"/>
  </w:num>
  <w:num w:numId="36">
    <w:abstractNumId w:val="7"/>
  </w:num>
  <w:num w:numId="37">
    <w:abstractNumId w:val="7"/>
  </w:num>
  <w:num w:numId="38">
    <w:abstractNumId w:val="14"/>
  </w:num>
  <w:num w:numId="39">
    <w:abstractNumId w:val="6"/>
  </w:num>
  <w:num w:numId="40">
    <w:abstractNumId w:val="12"/>
  </w:num>
  <w:num w:numId="41">
    <w:abstractNumId w:val="4"/>
  </w:num>
  <w:num w:numId="42">
    <w:abstractNumId w:val="11"/>
  </w:num>
  <w:num w:numId="43">
    <w:abstractNumId w:val="0"/>
  </w:num>
  <w:num w:numId="44">
    <w:abstractNumId w:val="7"/>
  </w:num>
  <w:num w:numId="45">
    <w:abstractNumId w:val="7"/>
  </w:num>
  <w:num w:numId="46">
    <w:abstractNumId w:val="7"/>
  </w:num>
  <w:num w:numId="47">
    <w:abstractNumId w:val="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7C"/>
    <w:rsid w:val="00000BB0"/>
    <w:rsid w:val="00002141"/>
    <w:rsid w:val="000032F9"/>
    <w:rsid w:val="0000381B"/>
    <w:rsid w:val="000048D1"/>
    <w:rsid w:val="00004F1A"/>
    <w:rsid w:val="000051B2"/>
    <w:rsid w:val="0000541D"/>
    <w:rsid w:val="00006507"/>
    <w:rsid w:val="0000705F"/>
    <w:rsid w:val="00007AEA"/>
    <w:rsid w:val="00010961"/>
    <w:rsid w:val="00010AB1"/>
    <w:rsid w:val="0001137E"/>
    <w:rsid w:val="00011888"/>
    <w:rsid w:val="000118AE"/>
    <w:rsid w:val="0001355C"/>
    <w:rsid w:val="000136C6"/>
    <w:rsid w:val="0001486B"/>
    <w:rsid w:val="000157D7"/>
    <w:rsid w:val="00015891"/>
    <w:rsid w:val="00016147"/>
    <w:rsid w:val="00017641"/>
    <w:rsid w:val="00017D0A"/>
    <w:rsid w:val="00020EB7"/>
    <w:rsid w:val="00022E74"/>
    <w:rsid w:val="00023239"/>
    <w:rsid w:val="00023BB0"/>
    <w:rsid w:val="00024C08"/>
    <w:rsid w:val="00025BE0"/>
    <w:rsid w:val="0002672E"/>
    <w:rsid w:val="000301E3"/>
    <w:rsid w:val="00031A4F"/>
    <w:rsid w:val="0003364F"/>
    <w:rsid w:val="0003391D"/>
    <w:rsid w:val="00034008"/>
    <w:rsid w:val="00034809"/>
    <w:rsid w:val="0003687C"/>
    <w:rsid w:val="000370BE"/>
    <w:rsid w:val="00037C37"/>
    <w:rsid w:val="00041093"/>
    <w:rsid w:val="0004285D"/>
    <w:rsid w:val="000435A2"/>
    <w:rsid w:val="0004786B"/>
    <w:rsid w:val="00047AF5"/>
    <w:rsid w:val="00050184"/>
    <w:rsid w:val="000505EE"/>
    <w:rsid w:val="0005157B"/>
    <w:rsid w:val="00052DED"/>
    <w:rsid w:val="00053F66"/>
    <w:rsid w:val="0005444F"/>
    <w:rsid w:val="000547B0"/>
    <w:rsid w:val="000549BD"/>
    <w:rsid w:val="000549C2"/>
    <w:rsid w:val="00056CCD"/>
    <w:rsid w:val="00057F0F"/>
    <w:rsid w:val="00061254"/>
    <w:rsid w:val="000622EA"/>
    <w:rsid w:val="00062EC1"/>
    <w:rsid w:val="000633EE"/>
    <w:rsid w:val="000649DC"/>
    <w:rsid w:val="00067187"/>
    <w:rsid w:val="00072643"/>
    <w:rsid w:val="000738E0"/>
    <w:rsid w:val="00075EAE"/>
    <w:rsid w:val="00077433"/>
    <w:rsid w:val="00077F0B"/>
    <w:rsid w:val="0008158D"/>
    <w:rsid w:val="00081799"/>
    <w:rsid w:val="00083099"/>
    <w:rsid w:val="000831BE"/>
    <w:rsid w:val="000866A8"/>
    <w:rsid w:val="000866EF"/>
    <w:rsid w:val="000875D7"/>
    <w:rsid w:val="000876FD"/>
    <w:rsid w:val="00087879"/>
    <w:rsid w:val="000878C0"/>
    <w:rsid w:val="00087FED"/>
    <w:rsid w:val="0009261E"/>
    <w:rsid w:val="00094482"/>
    <w:rsid w:val="0009594D"/>
    <w:rsid w:val="00095997"/>
    <w:rsid w:val="00096A91"/>
    <w:rsid w:val="000A0EFC"/>
    <w:rsid w:val="000A2011"/>
    <w:rsid w:val="000A3A7A"/>
    <w:rsid w:val="000A4296"/>
    <w:rsid w:val="000B1672"/>
    <w:rsid w:val="000B1EEB"/>
    <w:rsid w:val="000B21F0"/>
    <w:rsid w:val="000B404D"/>
    <w:rsid w:val="000B53E5"/>
    <w:rsid w:val="000B556E"/>
    <w:rsid w:val="000C1D5B"/>
    <w:rsid w:val="000C2398"/>
    <w:rsid w:val="000C29DF"/>
    <w:rsid w:val="000C391E"/>
    <w:rsid w:val="000C4B7F"/>
    <w:rsid w:val="000C6DA7"/>
    <w:rsid w:val="000C7666"/>
    <w:rsid w:val="000D0CDB"/>
    <w:rsid w:val="000D4D26"/>
    <w:rsid w:val="000D51B5"/>
    <w:rsid w:val="000D53F4"/>
    <w:rsid w:val="000D6F0B"/>
    <w:rsid w:val="000D7B8C"/>
    <w:rsid w:val="000E2F95"/>
    <w:rsid w:val="000E5953"/>
    <w:rsid w:val="000E5A3F"/>
    <w:rsid w:val="000E714C"/>
    <w:rsid w:val="000F04E1"/>
    <w:rsid w:val="000F05CB"/>
    <w:rsid w:val="000F0F54"/>
    <w:rsid w:val="000F155B"/>
    <w:rsid w:val="000F29E9"/>
    <w:rsid w:val="000F3E83"/>
    <w:rsid w:val="000F5729"/>
    <w:rsid w:val="000F59CB"/>
    <w:rsid w:val="000F6588"/>
    <w:rsid w:val="00101572"/>
    <w:rsid w:val="001015F9"/>
    <w:rsid w:val="001022CA"/>
    <w:rsid w:val="00102DE7"/>
    <w:rsid w:val="00102E99"/>
    <w:rsid w:val="0010476E"/>
    <w:rsid w:val="00104808"/>
    <w:rsid w:val="0010486C"/>
    <w:rsid w:val="00104966"/>
    <w:rsid w:val="00105169"/>
    <w:rsid w:val="00105223"/>
    <w:rsid w:val="00106C0D"/>
    <w:rsid w:val="00106F5D"/>
    <w:rsid w:val="0010771C"/>
    <w:rsid w:val="001106B7"/>
    <w:rsid w:val="001107A9"/>
    <w:rsid w:val="00110F6A"/>
    <w:rsid w:val="00111BB6"/>
    <w:rsid w:val="00112A83"/>
    <w:rsid w:val="00115E50"/>
    <w:rsid w:val="0011669A"/>
    <w:rsid w:val="00117069"/>
    <w:rsid w:val="00117AA8"/>
    <w:rsid w:val="00117B99"/>
    <w:rsid w:val="00120D08"/>
    <w:rsid w:val="00123D45"/>
    <w:rsid w:val="0012467B"/>
    <w:rsid w:val="00124BDB"/>
    <w:rsid w:val="001255B3"/>
    <w:rsid w:val="0012578A"/>
    <w:rsid w:val="00125BEF"/>
    <w:rsid w:val="0012629A"/>
    <w:rsid w:val="0012751A"/>
    <w:rsid w:val="00132E8B"/>
    <w:rsid w:val="00133621"/>
    <w:rsid w:val="0013371D"/>
    <w:rsid w:val="00135A4D"/>
    <w:rsid w:val="00136748"/>
    <w:rsid w:val="00140296"/>
    <w:rsid w:val="00141261"/>
    <w:rsid w:val="00141B4A"/>
    <w:rsid w:val="00145A78"/>
    <w:rsid w:val="00145AD8"/>
    <w:rsid w:val="0014731C"/>
    <w:rsid w:val="00147514"/>
    <w:rsid w:val="001501D2"/>
    <w:rsid w:val="00151022"/>
    <w:rsid w:val="00151373"/>
    <w:rsid w:val="00151E2B"/>
    <w:rsid w:val="00151F04"/>
    <w:rsid w:val="00151F71"/>
    <w:rsid w:val="00154772"/>
    <w:rsid w:val="00154856"/>
    <w:rsid w:val="00154BC2"/>
    <w:rsid w:val="001556E0"/>
    <w:rsid w:val="00157DDF"/>
    <w:rsid w:val="001603A5"/>
    <w:rsid w:val="0016077E"/>
    <w:rsid w:val="00160B28"/>
    <w:rsid w:val="00161180"/>
    <w:rsid w:val="00163867"/>
    <w:rsid w:val="00163FDB"/>
    <w:rsid w:val="001643B0"/>
    <w:rsid w:val="001644C5"/>
    <w:rsid w:val="0016487B"/>
    <w:rsid w:val="00167014"/>
    <w:rsid w:val="0016780C"/>
    <w:rsid w:val="00167E9D"/>
    <w:rsid w:val="001726D9"/>
    <w:rsid w:val="0017283A"/>
    <w:rsid w:val="00172982"/>
    <w:rsid w:val="00172E64"/>
    <w:rsid w:val="001742B3"/>
    <w:rsid w:val="001759A9"/>
    <w:rsid w:val="001772C3"/>
    <w:rsid w:val="0017739A"/>
    <w:rsid w:val="00177D87"/>
    <w:rsid w:val="00180B02"/>
    <w:rsid w:val="001819F1"/>
    <w:rsid w:val="001825FE"/>
    <w:rsid w:val="00185EE4"/>
    <w:rsid w:val="00186211"/>
    <w:rsid w:val="00187748"/>
    <w:rsid w:val="00190085"/>
    <w:rsid w:val="00190C43"/>
    <w:rsid w:val="00191E54"/>
    <w:rsid w:val="00192A10"/>
    <w:rsid w:val="00197B0D"/>
    <w:rsid w:val="001A0673"/>
    <w:rsid w:val="001A13B6"/>
    <w:rsid w:val="001A3255"/>
    <w:rsid w:val="001A364D"/>
    <w:rsid w:val="001A3E90"/>
    <w:rsid w:val="001A3F5C"/>
    <w:rsid w:val="001A6750"/>
    <w:rsid w:val="001B083C"/>
    <w:rsid w:val="001B11B2"/>
    <w:rsid w:val="001B1541"/>
    <w:rsid w:val="001B1B5A"/>
    <w:rsid w:val="001B3A7A"/>
    <w:rsid w:val="001B43C5"/>
    <w:rsid w:val="001B70D0"/>
    <w:rsid w:val="001C0289"/>
    <w:rsid w:val="001C0FFA"/>
    <w:rsid w:val="001C2956"/>
    <w:rsid w:val="001C2B56"/>
    <w:rsid w:val="001C3020"/>
    <w:rsid w:val="001C6C88"/>
    <w:rsid w:val="001C71AA"/>
    <w:rsid w:val="001D0CF3"/>
    <w:rsid w:val="001D26E5"/>
    <w:rsid w:val="001D2DB7"/>
    <w:rsid w:val="001D360C"/>
    <w:rsid w:val="001D3A96"/>
    <w:rsid w:val="001D4A69"/>
    <w:rsid w:val="001D4B7F"/>
    <w:rsid w:val="001D4D08"/>
    <w:rsid w:val="001D585B"/>
    <w:rsid w:val="001E1D8D"/>
    <w:rsid w:val="001E3AC3"/>
    <w:rsid w:val="001E3E09"/>
    <w:rsid w:val="001E6ECD"/>
    <w:rsid w:val="001F081B"/>
    <w:rsid w:val="001F110D"/>
    <w:rsid w:val="001F1643"/>
    <w:rsid w:val="001F1EFB"/>
    <w:rsid w:val="001F368D"/>
    <w:rsid w:val="001F565D"/>
    <w:rsid w:val="001F6348"/>
    <w:rsid w:val="0020071D"/>
    <w:rsid w:val="00200762"/>
    <w:rsid w:val="0020117C"/>
    <w:rsid w:val="002020F1"/>
    <w:rsid w:val="00202C49"/>
    <w:rsid w:val="002038CF"/>
    <w:rsid w:val="00206521"/>
    <w:rsid w:val="00206EE7"/>
    <w:rsid w:val="00211963"/>
    <w:rsid w:val="00211C17"/>
    <w:rsid w:val="0021209F"/>
    <w:rsid w:val="00212AC9"/>
    <w:rsid w:val="00214665"/>
    <w:rsid w:val="00215B8E"/>
    <w:rsid w:val="00220FD6"/>
    <w:rsid w:val="002219B2"/>
    <w:rsid w:val="00222CAD"/>
    <w:rsid w:val="00225AF1"/>
    <w:rsid w:val="00226107"/>
    <w:rsid w:val="00226D52"/>
    <w:rsid w:val="0022789C"/>
    <w:rsid w:val="00227E43"/>
    <w:rsid w:val="002318B9"/>
    <w:rsid w:val="00232352"/>
    <w:rsid w:val="002324FC"/>
    <w:rsid w:val="002326C0"/>
    <w:rsid w:val="00232832"/>
    <w:rsid w:val="00232891"/>
    <w:rsid w:val="00233340"/>
    <w:rsid w:val="00233466"/>
    <w:rsid w:val="00233C12"/>
    <w:rsid w:val="00234603"/>
    <w:rsid w:val="00236179"/>
    <w:rsid w:val="002363C6"/>
    <w:rsid w:val="0023650E"/>
    <w:rsid w:val="00236F4F"/>
    <w:rsid w:val="002415EA"/>
    <w:rsid w:val="002429DA"/>
    <w:rsid w:val="00242A4F"/>
    <w:rsid w:val="00242DB0"/>
    <w:rsid w:val="00245334"/>
    <w:rsid w:val="00246859"/>
    <w:rsid w:val="00247A6A"/>
    <w:rsid w:val="002502DC"/>
    <w:rsid w:val="00251278"/>
    <w:rsid w:val="00252704"/>
    <w:rsid w:val="0025275F"/>
    <w:rsid w:val="00252F9F"/>
    <w:rsid w:val="00253326"/>
    <w:rsid w:val="002533D9"/>
    <w:rsid w:val="0025423F"/>
    <w:rsid w:val="00254EE0"/>
    <w:rsid w:val="00256038"/>
    <w:rsid w:val="00257BD4"/>
    <w:rsid w:val="002604B2"/>
    <w:rsid w:val="00260E20"/>
    <w:rsid w:val="0026111F"/>
    <w:rsid w:val="00261AD8"/>
    <w:rsid w:val="00261CBE"/>
    <w:rsid w:val="002629A0"/>
    <w:rsid w:val="00262A17"/>
    <w:rsid w:val="00262B8B"/>
    <w:rsid w:val="00262EC5"/>
    <w:rsid w:val="00264831"/>
    <w:rsid w:val="0026489D"/>
    <w:rsid w:val="00265482"/>
    <w:rsid w:val="00270A21"/>
    <w:rsid w:val="00270AFF"/>
    <w:rsid w:val="002728A6"/>
    <w:rsid w:val="0027310C"/>
    <w:rsid w:val="002733EA"/>
    <w:rsid w:val="00274088"/>
    <w:rsid w:val="00274AA6"/>
    <w:rsid w:val="002754F5"/>
    <w:rsid w:val="00275F00"/>
    <w:rsid w:val="0027614C"/>
    <w:rsid w:val="002772E5"/>
    <w:rsid w:val="0027739D"/>
    <w:rsid w:val="00277926"/>
    <w:rsid w:val="002818E2"/>
    <w:rsid w:val="0028216D"/>
    <w:rsid w:val="00282911"/>
    <w:rsid w:val="00282E91"/>
    <w:rsid w:val="0028366B"/>
    <w:rsid w:val="0028434E"/>
    <w:rsid w:val="002844FD"/>
    <w:rsid w:val="00284AB6"/>
    <w:rsid w:val="00285135"/>
    <w:rsid w:val="002856ED"/>
    <w:rsid w:val="00285B29"/>
    <w:rsid w:val="00285E1E"/>
    <w:rsid w:val="00287C84"/>
    <w:rsid w:val="002902FD"/>
    <w:rsid w:val="00292D1A"/>
    <w:rsid w:val="0029310F"/>
    <w:rsid w:val="00293BEE"/>
    <w:rsid w:val="002942F9"/>
    <w:rsid w:val="00295883"/>
    <w:rsid w:val="0029595C"/>
    <w:rsid w:val="002964AA"/>
    <w:rsid w:val="00297EB2"/>
    <w:rsid w:val="002A04D2"/>
    <w:rsid w:val="002A187C"/>
    <w:rsid w:val="002A2CCC"/>
    <w:rsid w:val="002A2CD6"/>
    <w:rsid w:val="002A4973"/>
    <w:rsid w:val="002A53F4"/>
    <w:rsid w:val="002B1948"/>
    <w:rsid w:val="002B2630"/>
    <w:rsid w:val="002B2BDE"/>
    <w:rsid w:val="002B4259"/>
    <w:rsid w:val="002B43C9"/>
    <w:rsid w:val="002B47D4"/>
    <w:rsid w:val="002B594E"/>
    <w:rsid w:val="002B61F7"/>
    <w:rsid w:val="002B72A0"/>
    <w:rsid w:val="002C007E"/>
    <w:rsid w:val="002C059C"/>
    <w:rsid w:val="002C2D3D"/>
    <w:rsid w:val="002C2FE9"/>
    <w:rsid w:val="002C3299"/>
    <w:rsid w:val="002C4F23"/>
    <w:rsid w:val="002D11F1"/>
    <w:rsid w:val="002D2DFD"/>
    <w:rsid w:val="002D5D62"/>
    <w:rsid w:val="002E0365"/>
    <w:rsid w:val="002E33E0"/>
    <w:rsid w:val="002E3799"/>
    <w:rsid w:val="002E3889"/>
    <w:rsid w:val="002E3B6A"/>
    <w:rsid w:val="002E3CE6"/>
    <w:rsid w:val="002E3D07"/>
    <w:rsid w:val="002E6252"/>
    <w:rsid w:val="002E6571"/>
    <w:rsid w:val="002F1D10"/>
    <w:rsid w:val="002F1D6F"/>
    <w:rsid w:val="002F1FBF"/>
    <w:rsid w:val="002F3542"/>
    <w:rsid w:val="002F3569"/>
    <w:rsid w:val="002F3E05"/>
    <w:rsid w:val="002F42D4"/>
    <w:rsid w:val="002F60B3"/>
    <w:rsid w:val="0030244F"/>
    <w:rsid w:val="00302573"/>
    <w:rsid w:val="00302954"/>
    <w:rsid w:val="00302B6E"/>
    <w:rsid w:val="00302BCB"/>
    <w:rsid w:val="003030B2"/>
    <w:rsid w:val="00303286"/>
    <w:rsid w:val="003038BC"/>
    <w:rsid w:val="00303F94"/>
    <w:rsid w:val="00303FB1"/>
    <w:rsid w:val="00304C1D"/>
    <w:rsid w:val="00305ABA"/>
    <w:rsid w:val="00305F98"/>
    <w:rsid w:val="00305FF3"/>
    <w:rsid w:val="003066F0"/>
    <w:rsid w:val="00307391"/>
    <w:rsid w:val="00310457"/>
    <w:rsid w:val="00310C12"/>
    <w:rsid w:val="00312843"/>
    <w:rsid w:val="0031467C"/>
    <w:rsid w:val="0031730F"/>
    <w:rsid w:val="0031769C"/>
    <w:rsid w:val="0031781D"/>
    <w:rsid w:val="00320B29"/>
    <w:rsid w:val="00320E89"/>
    <w:rsid w:val="00321CB7"/>
    <w:rsid w:val="00323DF5"/>
    <w:rsid w:val="00323EAA"/>
    <w:rsid w:val="00324C95"/>
    <w:rsid w:val="00325B63"/>
    <w:rsid w:val="00325D55"/>
    <w:rsid w:val="00326DD8"/>
    <w:rsid w:val="003301E9"/>
    <w:rsid w:val="003302B5"/>
    <w:rsid w:val="00333437"/>
    <w:rsid w:val="00334125"/>
    <w:rsid w:val="00334B44"/>
    <w:rsid w:val="0033748C"/>
    <w:rsid w:val="00337F65"/>
    <w:rsid w:val="0034173B"/>
    <w:rsid w:val="00341D06"/>
    <w:rsid w:val="00342A3D"/>
    <w:rsid w:val="0034465A"/>
    <w:rsid w:val="0034541D"/>
    <w:rsid w:val="00347CA6"/>
    <w:rsid w:val="0035218A"/>
    <w:rsid w:val="00352C8A"/>
    <w:rsid w:val="00354B4A"/>
    <w:rsid w:val="0035559E"/>
    <w:rsid w:val="00355803"/>
    <w:rsid w:val="00355AC6"/>
    <w:rsid w:val="00355FB8"/>
    <w:rsid w:val="00356DA2"/>
    <w:rsid w:val="0035713F"/>
    <w:rsid w:val="00360876"/>
    <w:rsid w:val="00360903"/>
    <w:rsid w:val="00360D3D"/>
    <w:rsid w:val="003615C7"/>
    <w:rsid w:val="00363A3F"/>
    <w:rsid w:val="00363CB3"/>
    <w:rsid w:val="00363CB8"/>
    <w:rsid w:val="00364969"/>
    <w:rsid w:val="00364D38"/>
    <w:rsid w:val="00370715"/>
    <w:rsid w:val="0037234B"/>
    <w:rsid w:val="00372A16"/>
    <w:rsid w:val="003736EA"/>
    <w:rsid w:val="003749E9"/>
    <w:rsid w:val="00375579"/>
    <w:rsid w:val="003756CD"/>
    <w:rsid w:val="003767D1"/>
    <w:rsid w:val="00376B77"/>
    <w:rsid w:val="00377055"/>
    <w:rsid w:val="00380660"/>
    <w:rsid w:val="00380B17"/>
    <w:rsid w:val="003812A1"/>
    <w:rsid w:val="00381433"/>
    <w:rsid w:val="00383D7D"/>
    <w:rsid w:val="0038449E"/>
    <w:rsid w:val="00384F28"/>
    <w:rsid w:val="003854B0"/>
    <w:rsid w:val="00385515"/>
    <w:rsid w:val="00390957"/>
    <w:rsid w:val="00391991"/>
    <w:rsid w:val="003921B3"/>
    <w:rsid w:val="00392541"/>
    <w:rsid w:val="0039283F"/>
    <w:rsid w:val="003929AA"/>
    <w:rsid w:val="0039720D"/>
    <w:rsid w:val="003A0D4D"/>
    <w:rsid w:val="003A136E"/>
    <w:rsid w:val="003A1EB1"/>
    <w:rsid w:val="003A29ED"/>
    <w:rsid w:val="003A315B"/>
    <w:rsid w:val="003A3593"/>
    <w:rsid w:val="003A4CBD"/>
    <w:rsid w:val="003A5EB7"/>
    <w:rsid w:val="003B0432"/>
    <w:rsid w:val="003B117A"/>
    <w:rsid w:val="003B197B"/>
    <w:rsid w:val="003B21B7"/>
    <w:rsid w:val="003B3A8F"/>
    <w:rsid w:val="003B4BEF"/>
    <w:rsid w:val="003B4F28"/>
    <w:rsid w:val="003B646B"/>
    <w:rsid w:val="003B7556"/>
    <w:rsid w:val="003C1669"/>
    <w:rsid w:val="003C1B8C"/>
    <w:rsid w:val="003C251E"/>
    <w:rsid w:val="003C3283"/>
    <w:rsid w:val="003C3B85"/>
    <w:rsid w:val="003C47F8"/>
    <w:rsid w:val="003C580D"/>
    <w:rsid w:val="003C5B53"/>
    <w:rsid w:val="003C6748"/>
    <w:rsid w:val="003C6D64"/>
    <w:rsid w:val="003C78C8"/>
    <w:rsid w:val="003D10E8"/>
    <w:rsid w:val="003D4B67"/>
    <w:rsid w:val="003D5035"/>
    <w:rsid w:val="003D5984"/>
    <w:rsid w:val="003D668D"/>
    <w:rsid w:val="003D6A8F"/>
    <w:rsid w:val="003D7738"/>
    <w:rsid w:val="003E2E2D"/>
    <w:rsid w:val="003E342A"/>
    <w:rsid w:val="003E4DD0"/>
    <w:rsid w:val="003E5088"/>
    <w:rsid w:val="003E633C"/>
    <w:rsid w:val="003F05A3"/>
    <w:rsid w:val="003F0F2C"/>
    <w:rsid w:val="003F1913"/>
    <w:rsid w:val="003F1CD9"/>
    <w:rsid w:val="003F1E58"/>
    <w:rsid w:val="003F3B3A"/>
    <w:rsid w:val="003F42C2"/>
    <w:rsid w:val="003F5541"/>
    <w:rsid w:val="003F5D08"/>
    <w:rsid w:val="003F5D3D"/>
    <w:rsid w:val="003F5F47"/>
    <w:rsid w:val="00400DDF"/>
    <w:rsid w:val="0040106E"/>
    <w:rsid w:val="0040593D"/>
    <w:rsid w:val="00405FB2"/>
    <w:rsid w:val="00406998"/>
    <w:rsid w:val="00407978"/>
    <w:rsid w:val="00412077"/>
    <w:rsid w:val="004129BD"/>
    <w:rsid w:val="00413897"/>
    <w:rsid w:val="00413B4C"/>
    <w:rsid w:val="0041459D"/>
    <w:rsid w:val="00414BE2"/>
    <w:rsid w:val="00414C0D"/>
    <w:rsid w:val="00414EE9"/>
    <w:rsid w:val="00417692"/>
    <w:rsid w:val="00417F21"/>
    <w:rsid w:val="00421897"/>
    <w:rsid w:val="00421DD0"/>
    <w:rsid w:val="00422D76"/>
    <w:rsid w:val="00423487"/>
    <w:rsid w:val="00426234"/>
    <w:rsid w:val="00426256"/>
    <w:rsid w:val="0042725D"/>
    <w:rsid w:val="00427D64"/>
    <w:rsid w:val="00432868"/>
    <w:rsid w:val="004333C2"/>
    <w:rsid w:val="0043356B"/>
    <w:rsid w:val="00434199"/>
    <w:rsid w:val="00434B6F"/>
    <w:rsid w:val="00436E9F"/>
    <w:rsid w:val="00437390"/>
    <w:rsid w:val="00437746"/>
    <w:rsid w:val="00437EC2"/>
    <w:rsid w:val="00437EE2"/>
    <w:rsid w:val="00442563"/>
    <w:rsid w:val="004426A3"/>
    <w:rsid w:val="0044386F"/>
    <w:rsid w:val="00444191"/>
    <w:rsid w:val="00445446"/>
    <w:rsid w:val="004464FD"/>
    <w:rsid w:val="004469F5"/>
    <w:rsid w:val="00452203"/>
    <w:rsid w:val="0045230F"/>
    <w:rsid w:val="00453064"/>
    <w:rsid w:val="00453C7B"/>
    <w:rsid w:val="00454400"/>
    <w:rsid w:val="00456FEF"/>
    <w:rsid w:val="004574EC"/>
    <w:rsid w:val="00457EB1"/>
    <w:rsid w:val="00460245"/>
    <w:rsid w:val="00460AEE"/>
    <w:rsid w:val="00461916"/>
    <w:rsid w:val="00464F8B"/>
    <w:rsid w:val="00467430"/>
    <w:rsid w:val="00467EEA"/>
    <w:rsid w:val="00470B99"/>
    <w:rsid w:val="00471A3F"/>
    <w:rsid w:val="00471E15"/>
    <w:rsid w:val="0047277F"/>
    <w:rsid w:val="00472EFC"/>
    <w:rsid w:val="00474433"/>
    <w:rsid w:val="00475228"/>
    <w:rsid w:val="00476A73"/>
    <w:rsid w:val="0048097C"/>
    <w:rsid w:val="004809BB"/>
    <w:rsid w:val="00482018"/>
    <w:rsid w:val="0048361B"/>
    <w:rsid w:val="00483B59"/>
    <w:rsid w:val="004843DE"/>
    <w:rsid w:val="004853A2"/>
    <w:rsid w:val="00485D1C"/>
    <w:rsid w:val="004865ED"/>
    <w:rsid w:val="00486BC6"/>
    <w:rsid w:val="004879B4"/>
    <w:rsid w:val="004902FE"/>
    <w:rsid w:val="0049046F"/>
    <w:rsid w:val="00490F4D"/>
    <w:rsid w:val="00492773"/>
    <w:rsid w:val="00492BAB"/>
    <w:rsid w:val="00492FDC"/>
    <w:rsid w:val="0049472A"/>
    <w:rsid w:val="00494B51"/>
    <w:rsid w:val="004954DE"/>
    <w:rsid w:val="00495AB3"/>
    <w:rsid w:val="0049606F"/>
    <w:rsid w:val="00496102"/>
    <w:rsid w:val="00496347"/>
    <w:rsid w:val="0049643F"/>
    <w:rsid w:val="00496874"/>
    <w:rsid w:val="004969D6"/>
    <w:rsid w:val="004A0E23"/>
    <w:rsid w:val="004A133D"/>
    <w:rsid w:val="004A2354"/>
    <w:rsid w:val="004A2B52"/>
    <w:rsid w:val="004A32E0"/>
    <w:rsid w:val="004A3A9B"/>
    <w:rsid w:val="004A404C"/>
    <w:rsid w:val="004A4547"/>
    <w:rsid w:val="004A48A2"/>
    <w:rsid w:val="004A4CDD"/>
    <w:rsid w:val="004A5985"/>
    <w:rsid w:val="004B09EE"/>
    <w:rsid w:val="004B1BB0"/>
    <w:rsid w:val="004B1D31"/>
    <w:rsid w:val="004B6B0A"/>
    <w:rsid w:val="004B7C37"/>
    <w:rsid w:val="004C15CC"/>
    <w:rsid w:val="004C2642"/>
    <w:rsid w:val="004C4913"/>
    <w:rsid w:val="004C50F1"/>
    <w:rsid w:val="004C548B"/>
    <w:rsid w:val="004C7B14"/>
    <w:rsid w:val="004D0C29"/>
    <w:rsid w:val="004D10FB"/>
    <w:rsid w:val="004D113C"/>
    <w:rsid w:val="004D187C"/>
    <w:rsid w:val="004D2304"/>
    <w:rsid w:val="004D2B53"/>
    <w:rsid w:val="004D2F63"/>
    <w:rsid w:val="004D7242"/>
    <w:rsid w:val="004D7326"/>
    <w:rsid w:val="004E10CB"/>
    <w:rsid w:val="004E1F26"/>
    <w:rsid w:val="004E25ED"/>
    <w:rsid w:val="004E27B8"/>
    <w:rsid w:val="004E27C4"/>
    <w:rsid w:val="004E3D18"/>
    <w:rsid w:val="004E43FC"/>
    <w:rsid w:val="004E4818"/>
    <w:rsid w:val="004E5ECC"/>
    <w:rsid w:val="004F033A"/>
    <w:rsid w:val="004F0CE2"/>
    <w:rsid w:val="004F0DA9"/>
    <w:rsid w:val="004F18ED"/>
    <w:rsid w:val="004F1F82"/>
    <w:rsid w:val="004F2CA9"/>
    <w:rsid w:val="004F3111"/>
    <w:rsid w:val="004F345A"/>
    <w:rsid w:val="004F3678"/>
    <w:rsid w:val="004F38ED"/>
    <w:rsid w:val="004F39E5"/>
    <w:rsid w:val="004F56EF"/>
    <w:rsid w:val="004F58A1"/>
    <w:rsid w:val="004F647E"/>
    <w:rsid w:val="0050021E"/>
    <w:rsid w:val="00501FBD"/>
    <w:rsid w:val="005020A8"/>
    <w:rsid w:val="00502970"/>
    <w:rsid w:val="00503D67"/>
    <w:rsid w:val="00504650"/>
    <w:rsid w:val="00504785"/>
    <w:rsid w:val="0050490D"/>
    <w:rsid w:val="00504CB2"/>
    <w:rsid w:val="005059FF"/>
    <w:rsid w:val="0050638D"/>
    <w:rsid w:val="00506AEF"/>
    <w:rsid w:val="005100BD"/>
    <w:rsid w:val="005101A6"/>
    <w:rsid w:val="00511D6E"/>
    <w:rsid w:val="00513A36"/>
    <w:rsid w:val="005179AE"/>
    <w:rsid w:val="00521678"/>
    <w:rsid w:val="00521DCA"/>
    <w:rsid w:val="00522585"/>
    <w:rsid w:val="00522978"/>
    <w:rsid w:val="00523873"/>
    <w:rsid w:val="00523EA3"/>
    <w:rsid w:val="00524BED"/>
    <w:rsid w:val="0052782B"/>
    <w:rsid w:val="005279C7"/>
    <w:rsid w:val="00527A06"/>
    <w:rsid w:val="00530503"/>
    <w:rsid w:val="00530550"/>
    <w:rsid w:val="00530EAE"/>
    <w:rsid w:val="00531A9B"/>
    <w:rsid w:val="0053236F"/>
    <w:rsid w:val="0053291B"/>
    <w:rsid w:val="00532E65"/>
    <w:rsid w:val="00534D7C"/>
    <w:rsid w:val="00535466"/>
    <w:rsid w:val="005403C4"/>
    <w:rsid w:val="00540456"/>
    <w:rsid w:val="00541147"/>
    <w:rsid w:val="005411AB"/>
    <w:rsid w:val="00541650"/>
    <w:rsid w:val="005425CD"/>
    <w:rsid w:val="00543F1D"/>
    <w:rsid w:val="00544BD6"/>
    <w:rsid w:val="005467BC"/>
    <w:rsid w:val="005472EC"/>
    <w:rsid w:val="005511CD"/>
    <w:rsid w:val="005513DB"/>
    <w:rsid w:val="00551811"/>
    <w:rsid w:val="00552541"/>
    <w:rsid w:val="005531AD"/>
    <w:rsid w:val="005535D3"/>
    <w:rsid w:val="00555040"/>
    <w:rsid w:val="005556C8"/>
    <w:rsid w:val="0055774B"/>
    <w:rsid w:val="00561650"/>
    <w:rsid w:val="00561A7D"/>
    <w:rsid w:val="00564B7E"/>
    <w:rsid w:val="00565842"/>
    <w:rsid w:val="005661D6"/>
    <w:rsid w:val="00566BAF"/>
    <w:rsid w:val="00567322"/>
    <w:rsid w:val="0057040B"/>
    <w:rsid w:val="00570AE3"/>
    <w:rsid w:val="00571B47"/>
    <w:rsid w:val="00571EA7"/>
    <w:rsid w:val="00572CD4"/>
    <w:rsid w:val="0057406E"/>
    <w:rsid w:val="0057474F"/>
    <w:rsid w:val="005752E4"/>
    <w:rsid w:val="00575FC5"/>
    <w:rsid w:val="00577873"/>
    <w:rsid w:val="005802EE"/>
    <w:rsid w:val="00581899"/>
    <w:rsid w:val="005821BA"/>
    <w:rsid w:val="005822AC"/>
    <w:rsid w:val="0058290F"/>
    <w:rsid w:val="005833ED"/>
    <w:rsid w:val="0058554D"/>
    <w:rsid w:val="00590267"/>
    <w:rsid w:val="00591237"/>
    <w:rsid w:val="005924BC"/>
    <w:rsid w:val="00592A5E"/>
    <w:rsid w:val="005964B0"/>
    <w:rsid w:val="0059658F"/>
    <w:rsid w:val="005965BB"/>
    <w:rsid w:val="005A02BD"/>
    <w:rsid w:val="005A0A2D"/>
    <w:rsid w:val="005A0C02"/>
    <w:rsid w:val="005A110B"/>
    <w:rsid w:val="005A1C10"/>
    <w:rsid w:val="005A1F05"/>
    <w:rsid w:val="005A2254"/>
    <w:rsid w:val="005A2483"/>
    <w:rsid w:val="005A27AB"/>
    <w:rsid w:val="005A2BF1"/>
    <w:rsid w:val="005A32DD"/>
    <w:rsid w:val="005A4F7B"/>
    <w:rsid w:val="005A54EE"/>
    <w:rsid w:val="005A55FF"/>
    <w:rsid w:val="005A6FD1"/>
    <w:rsid w:val="005A79F4"/>
    <w:rsid w:val="005B0941"/>
    <w:rsid w:val="005B233E"/>
    <w:rsid w:val="005B2D3C"/>
    <w:rsid w:val="005B45F4"/>
    <w:rsid w:val="005B6574"/>
    <w:rsid w:val="005B6F15"/>
    <w:rsid w:val="005C07AB"/>
    <w:rsid w:val="005C0B14"/>
    <w:rsid w:val="005C2955"/>
    <w:rsid w:val="005C3477"/>
    <w:rsid w:val="005C479F"/>
    <w:rsid w:val="005C68F6"/>
    <w:rsid w:val="005C6EFB"/>
    <w:rsid w:val="005C75B8"/>
    <w:rsid w:val="005C7763"/>
    <w:rsid w:val="005D02D7"/>
    <w:rsid w:val="005D0D0E"/>
    <w:rsid w:val="005D1552"/>
    <w:rsid w:val="005D16B7"/>
    <w:rsid w:val="005D3134"/>
    <w:rsid w:val="005D355F"/>
    <w:rsid w:val="005D4109"/>
    <w:rsid w:val="005D41D5"/>
    <w:rsid w:val="005D41D7"/>
    <w:rsid w:val="005D43F9"/>
    <w:rsid w:val="005D673B"/>
    <w:rsid w:val="005E07A3"/>
    <w:rsid w:val="005E0CAC"/>
    <w:rsid w:val="005E1E10"/>
    <w:rsid w:val="005E1FFA"/>
    <w:rsid w:val="005E2E42"/>
    <w:rsid w:val="005E5B39"/>
    <w:rsid w:val="005E641C"/>
    <w:rsid w:val="005E7237"/>
    <w:rsid w:val="005E74AB"/>
    <w:rsid w:val="005F0784"/>
    <w:rsid w:val="005F0A83"/>
    <w:rsid w:val="005F0BC9"/>
    <w:rsid w:val="005F1928"/>
    <w:rsid w:val="005F2737"/>
    <w:rsid w:val="005F2CAB"/>
    <w:rsid w:val="005F320D"/>
    <w:rsid w:val="005F35A4"/>
    <w:rsid w:val="005F4C1C"/>
    <w:rsid w:val="005F4EA2"/>
    <w:rsid w:val="005F554D"/>
    <w:rsid w:val="005F5690"/>
    <w:rsid w:val="005F6AEE"/>
    <w:rsid w:val="005F6CD5"/>
    <w:rsid w:val="005F7878"/>
    <w:rsid w:val="006020F9"/>
    <w:rsid w:val="006023E2"/>
    <w:rsid w:val="00602E2B"/>
    <w:rsid w:val="006050A9"/>
    <w:rsid w:val="006055C8"/>
    <w:rsid w:val="00605AE8"/>
    <w:rsid w:val="00605C85"/>
    <w:rsid w:val="006108D3"/>
    <w:rsid w:val="00613184"/>
    <w:rsid w:val="00613B92"/>
    <w:rsid w:val="00614CB4"/>
    <w:rsid w:val="006154D7"/>
    <w:rsid w:val="00615676"/>
    <w:rsid w:val="006160E7"/>
    <w:rsid w:val="006162DD"/>
    <w:rsid w:val="0061762E"/>
    <w:rsid w:val="00617BAD"/>
    <w:rsid w:val="006232E9"/>
    <w:rsid w:val="0062365D"/>
    <w:rsid w:val="00624CD7"/>
    <w:rsid w:val="00625D07"/>
    <w:rsid w:val="0062679B"/>
    <w:rsid w:val="00632CBB"/>
    <w:rsid w:val="00633F2E"/>
    <w:rsid w:val="0063520C"/>
    <w:rsid w:val="00635620"/>
    <w:rsid w:val="00635F38"/>
    <w:rsid w:val="006368A6"/>
    <w:rsid w:val="00636A25"/>
    <w:rsid w:val="00636F83"/>
    <w:rsid w:val="006371AF"/>
    <w:rsid w:val="00637AC4"/>
    <w:rsid w:val="0064068C"/>
    <w:rsid w:val="00640711"/>
    <w:rsid w:val="0064603E"/>
    <w:rsid w:val="0065095E"/>
    <w:rsid w:val="00651B29"/>
    <w:rsid w:val="00652CE2"/>
    <w:rsid w:val="00653ADD"/>
    <w:rsid w:val="00653BFD"/>
    <w:rsid w:val="00653F51"/>
    <w:rsid w:val="00654456"/>
    <w:rsid w:val="0065445E"/>
    <w:rsid w:val="006547E5"/>
    <w:rsid w:val="00654B01"/>
    <w:rsid w:val="006551E3"/>
    <w:rsid w:val="00655226"/>
    <w:rsid w:val="00655280"/>
    <w:rsid w:val="00661FF8"/>
    <w:rsid w:val="00662896"/>
    <w:rsid w:val="0066314C"/>
    <w:rsid w:val="00663B15"/>
    <w:rsid w:val="006645C1"/>
    <w:rsid w:val="0066577A"/>
    <w:rsid w:val="00665877"/>
    <w:rsid w:val="00666233"/>
    <w:rsid w:val="00666BBB"/>
    <w:rsid w:val="00670808"/>
    <w:rsid w:val="00670E61"/>
    <w:rsid w:val="006717BF"/>
    <w:rsid w:val="00671B21"/>
    <w:rsid w:val="00672406"/>
    <w:rsid w:val="006724DC"/>
    <w:rsid w:val="00673A82"/>
    <w:rsid w:val="00673F20"/>
    <w:rsid w:val="00674F10"/>
    <w:rsid w:val="00676C89"/>
    <w:rsid w:val="00676D4A"/>
    <w:rsid w:val="00677E31"/>
    <w:rsid w:val="00680B1A"/>
    <w:rsid w:val="00681BDD"/>
    <w:rsid w:val="00683D8F"/>
    <w:rsid w:val="006844E4"/>
    <w:rsid w:val="00684675"/>
    <w:rsid w:val="00684E7F"/>
    <w:rsid w:val="00686352"/>
    <w:rsid w:val="0068643E"/>
    <w:rsid w:val="00686A40"/>
    <w:rsid w:val="00687AB9"/>
    <w:rsid w:val="00687C5D"/>
    <w:rsid w:val="00690B77"/>
    <w:rsid w:val="00691739"/>
    <w:rsid w:val="00691FC8"/>
    <w:rsid w:val="00694E8E"/>
    <w:rsid w:val="006954B5"/>
    <w:rsid w:val="00696922"/>
    <w:rsid w:val="00697227"/>
    <w:rsid w:val="00697315"/>
    <w:rsid w:val="00697621"/>
    <w:rsid w:val="006A052A"/>
    <w:rsid w:val="006A0E88"/>
    <w:rsid w:val="006A31AC"/>
    <w:rsid w:val="006A3B48"/>
    <w:rsid w:val="006A4DBC"/>
    <w:rsid w:val="006A6934"/>
    <w:rsid w:val="006A6A1F"/>
    <w:rsid w:val="006A7903"/>
    <w:rsid w:val="006B1A56"/>
    <w:rsid w:val="006B303F"/>
    <w:rsid w:val="006B5536"/>
    <w:rsid w:val="006B60CA"/>
    <w:rsid w:val="006B7D11"/>
    <w:rsid w:val="006C102F"/>
    <w:rsid w:val="006C2111"/>
    <w:rsid w:val="006C2C85"/>
    <w:rsid w:val="006C2D2C"/>
    <w:rsid w:val="006C30AF"/>
    <w:rsid w:val="006C4822"/>
    <w:rsid w:val="006C4B2D"/>
    <w:rsid w:val="006C5AF2"/>
    <w:rsid w:val="006C6238"/>
    <w:rsid w:val="006C67A3"/>
    <w:rsid w:val="006C7831"/>
    <w:rsid w:val="006C7E4B"/>
    <w:rsid w:val="006D0411"/>
    <w:rsid w:val="006D0508"/>
    <w:rsid w:val="006D06D2"/>
    <w:rsid w:val="006D0C98"/>
    <w:rsid w:val="006D133A"/>
    <w:rsid w:val="006D1398"/>
    <w:rsid w:val="006D1B1B"/>
    <w:rsid w:val="006D2B41"/>
    <w:rsid w:val="006D2DB7"/>
    <w:rsid w:val="006D39A2"/>
    <w:rsid w:val="006D44EE"/>
    <w:rsid w:val="006D53C6"/>
    <w:rsid w:val="006D5991"/>
    <w:rsid w:val="006D5F52"/>
    <w:rsid w:val="006D68D2"/>
    <w:rsid w:val="006D7842"/>
    <w:rsid w:val="006E062D"/>
    <w:rsid w:val="006E4965"/>
    <w:rsid w:val="006E6939"/>
    <w:rsid w:val="006E71EF"/>
    <w:rsid w:val="006E75C3"/>
    <w:rsid w:val="006E77EE"/>
    <w:rsid w:val="006F115C"/>
    <w:rsid w:val="006F11C2"/>
    <w:rsid w:val="006F16A3"/>
    <w:rsid w:val="006F1E82"/>
    <w:rsid w:val="006F2A26"/>
    <w:rsid w:val="006F3D00"/>
    <w:rsid w:val="006F3EDD"/>
    <w:rsid w:val="006F4007"/>
    <w:rsid w:val="006F4097"/>
    <w:rsid w:val="006F4309"/>
    <w:rsid w:val="006F5845"/>
    <w:rsid w:val="006F658F"/>
    <w:rsid w:val="006F6C1F"/>
    <w:rsid w:val="006F7430"/>
    <w:rsid w:val="0070006F"/>
    <w:rsid w:val="0070121C"/>
    <w:rsid w:val="007014BA"/>
    <w:rsid w:val="0070174E"/>
    <w:rsid w:val="00701A75"/>
    <w:rsid w:val="00701D76"/>
    <w:rsid w:val="00702808"/>
    <w:rsid w:val="00703F5D"/>
    <w:rsid w:val="00703FC6"/>
    <w:rsid w:val="007050A2"/>
    <w:rsid w:val="007058D8"/>
    <w:rsid w:val="00707318"/>
    <w:rsid w:val="00707517"/>
    <w:rsid w:val="00710421"/>
    <w:rsid w:val="007109E0"/>
    <w:rsid w:val="00713B09"/>
    <w:rsid w:val="00715E94"/>
    <w:rsid w:val="0071639E"/>
    <w:rsid w:val="00717CB2"/>
    <w:rsid w:val="00720290"/>
    <w:rsid w:val="00720C66"/>
    <w:rsid w:val="00722581"/>
    <w:rsid w:val="007226E8"/>
    <w:rsid w:val="007228FC"/>
    <w:rsid w:val="00722A72"/>
    <w:rsid w:val="00723622"/>
    <w:rsid w:val="007245A6"/>
    <w:rsid w:val="00724792"/>
    <w:rsid w:val="00724989"/>
    <w:rsid w:val="0072559F"/>
    <w:rsid w:val="007261A8"/>
    <w:rsid w:val="00727877"/>
    <w:rsid w:val="007311E5"/>
    <w:rsid w:val="007319FB"/>
    <w:rsid w:val="00734ABE"/>
    <w:rsid w:val="00736684"/>
    <w:rsid w:val="00736B43"/>
    <w:rsid w:val="00740277"/>
    <w:rsid w:val="007419CD"/>
    <w:rsid w:val="00741EDA"/>
    <w:rsid w:val="00742115"/>
    <w:rsid w:val="00747968"/>
    <w:rsid w:val="0074796E"/>
    <w:rsid w:val="00750179"/>
    <w:rsid w:val="007501F1"/>
    <w:rsid w:val="00750B25"/>
    <w:rsid w:val="00751293"/>
    <w:rsid w:val="007515B5"/>
    <w:rsid w:val="00751AC0"/>
    <w:rsid w:val="00753B27"/>
    <w:rsid w:val="00754CAB"/>
    <w:rsid w:val="00755411"/>
    <w:rsid w:val="007555CE"/>
    <w:rsid w:val="0075733F"/>
    <w:rsid w:val="00760520"/>
    <w:rsid w:val="007606A4"/>
    <w:rsid w:val="00761A21"/>
    <w:rsid w:val="00761B8E"/>
    <w:rsid w:val="00762BB5"/>
    <w:rsid w:val="00763A53"/>
    <w:rsid w:val="00763C83"/>
    <w:rsid w:val="007645C9"/>
    <w:rsid w:val="00765C80"/>
    <w:rsid w:val="0076621A"/>
    <w:rsid w:val="0076639F"/>
    <w:rsid w:val="00767524"/>
    <w:rsid w:val="00767989"/>
    <w:rsid w:val="00771A78"/>
    <w:rsid w:val="00772D34"/>
    <w:rsid w:val="007730D0"/>
    <w:rsid w:val="00773EBC"/>
    <w:rsid w:val="0077476E"/>
    <w:rsid w:val="00774D4A"/>
    <w:rsid w:val="00775E0B"/>
    <w:rsid w:val="007767D1"/>
    <w:rsid w:val="00777B85"/>
    <w:rsid w:val="00780A17"/>
    <w:rsid w:val="00782806"/>
    <w:rsid w:val="00782D8D"/>
    <w:rsid w:val="007832D0"/>
    <w:rsid w:val="007833A2"/>
    <w:rsid w:val="0078447C"/>
    <w:rsid w:val="007845AF"/>
    <w:rsid w:val="00784E02"/>
    <w:rsid w:val="00784F1B"/>
    <w:rsid w:val="00784F60"/>
    <w:rsid w:val="00785A45"/>
    <w:rsid w:val="00785D3B"/>
    <w:rsid w:val="00786718"/>
    <w:rsid w:val="00786BFE"/>
    <w:rsid w:val="007909C7"/>
    <w:rsid w:val="007924D3"/>
    <w:rsid w:val="00792C3C"/>
    <w:rsid w:val="007937C5"/>
    <w:rsid w:val="0079382A"/>
    <w:rsid w:val="007939AC"/>
    <w:rsid w:val="007944E2"/>
    <w:rsid w:val="00795F74"/>
    <w:rsid w:val="007A00B5"/>
    <w:rsid w:val="007A0E14"/>
    <w:rsid w:val="007A1BCA"/>
    <w:rsid w:val="007A239A"/>
    <w:rsid w:val="007A2A1C"/>
    <w:rsid w:val="007A2C12"/>
    <w:rsid w:val="007A39B0"/>
    <w:rsid w:val="007A462E"/>
    <w:rsid w:val="007A4ACD"/>
    <w:rsid w:val="007A55AC"/>
    <w:rsid w:val="007A5FA4"/>
    <w:rsid w:val="007A632D"/>
    <w:rsid w:val="007A6A49"/>
    <w:rsid w:val="007A6CDA"/>
    <w:rsid w:val="007A76BE"/>
    <w:rsid w:val="007B0578"/>
    <w:rsid w:val="007B19F2"/>
    <w:rsid w:val="007B317F"/>
    <w:rsid w:val="007B3505"/>
    <w:rsid w:val="007B45B3"/>
    <w:rsid w:val="007B4BEF"/>
    <w:rsid w:val="007B5044"/>
    <w:rsid w:val="007B56FF"/>
    <w:rsid w:val="007B5F0D"/>
    <w:rsid w:val="007B7091"/>
    <w:rsid w:val="007B75D5"/>
    <w:rsid w:val="007B7ADE"/>
    <w:rsid w:val="007B7AE9"/>
    <w:rsid w:val="007B7C03"/>
    <w:rsid w:val="007B7DA1"/>
    <w:rsid w:val="007C1802"/>
    <w:rsid w:val="007C1F1A"/>
    <w:rsid w:val="007C37B2"/>
    <w:rsid w:val="007C3C06"/>
    <w:rsid w:val="007D0025"/>
    <w:rsid w:val="007D04B6"/>
    <w:rsid w:val="007D3C4C"/>
    <w:rsid w:val="007D43E2"/>
    <w:rsid w:val="007D64B8"/>
    <w:rsid w:val="007D6B38"/>
    <w:rsid w:val="007D73BD"/>
    <w:rsid w:val="007E1D22"/>
    <w:rsid w:val="007E45FF"/>
    <w:rsid w:val="007E58B4"/>
    <w:rsid w:val="007E730B"/>
    <w:rsid w:val="007E79C2"/>
    <w:rsid w:val="007E7A90"/>
    <w:rsid w:val="007E7A9C"/>
    <w:rsid w:val="007F0E22"/>
    <w:rsid w:val="007F1374"/>
    <w:rsid w:val="007F166A"/>
    <w:rsid w:val="007F1FCE"/>
    <w:rsid w:val="007F36B6"/>
    <w:rsid w:val="007F3A8E"/>
    <w:rsid w:val="007F4CC8"/>
    <w:rsid w:val="007F56E1"/>
    <w:rsid w:val="007F59A5"/>
    <w:rsid w:val="007F7E2B"/>
    <w:rsid w:val="00800176"/>
    <w:rsid w:val="00801562"/>
    <w:rsid w:val="00802AEC"/>
    <w:rsid w:val="00802F0C"/>
    <w:rsid w:val="0080439D"/>
    <w:rsid w:val="00804713"/>
    <w:rsid w:val="00804A3A"/>
    <w:rsid w:val="00805273"/>
    <w:rsid w:val="008057A5"/>
    <w:rsid w:val="008069BC"/>
    <w:rsid w:val="00807AB1"/>
    <w:rsid w:val="00811C6E"/>
    <w:rsid w:val="00812919"/>
    <w:rsid w:val="00812C32"/>
    <w:rsid w:val="0081462A"/>
    <w:rsid w:val="00815296"/>
    <w:rsid w:val="0081663E"/>
    <w:rsid w:val="00816875"/>
    <w:rsid w:val="0082072C"/>
    <w:rsid w:val="00820CA5"/>
    <w:rsid w:val="008211DF"/>
    <w:rsid w:val="00822DB8"/>
    <w:rsid w:val="008230D6"/>
    <w:rsid w:val="00824D1E"/>
    <w:rsid w:val="00826030"/>
    <w:rsid w:val="008268FA"/>
    <w:rsid w:val="00826D33"/>
    <w:rsid w:val="00830626"/>
    <w:rsid w:val="008307F4"/>
    <w:rsid w:val="00831DFE"/>
    <w:rsid w:val="00831F3B"/>
    <w:rsid w:val="008329AD"/>
    <w:rsid w:val="0083493A"/>
    <w:rsid w:val="00836430"/>
    <w:rsid w:val="008372DB"/>
    <w:rsid w:val="008379D3"/>
    <w:rsid w:val="00837A73"/>
    <w:rsid w:val="00840F69"/>
    <w:rsid w:val="00841017"/>
    <w:rsid w:val="008441FC"/>
    <w:rsid w:val="00844A48"/>
    <w:rsid w:val="008454CF"/>
    <w:rsid w:val="008460F6"/>
    <w:rsid w:val="00846B5E"/>
    <w:rsid w:val="00846BE6"/>
    <w:rsid w:val="00847AAA"/>
    <w:rsid w:val="00847FF6"/>
    <w:rsid w:val="008507D3"/>
    <w:rsid w:val="008513FD"/>
    <w:rsid w:val="0085263D"/>
    <w:rsid w:val="008533B4"/>
    <w:rsid w:val="0085340C"/>
    <w:rsid w:val="0085404F"/>
    <w:rsid w:val="00854D34"/>
    <w:rsid w:val="008553C4"/>
    <w:rsid w:val="00855E3F"/>
    <w:rsid w:val="00856BC1"/>
    <w:rsid w:val="008574F7"/>
    <w:rsid w:val="008579F7"/>
    <w:rsid w:val="0086022B"/>
    <w:rsid w:val="00861211"/>
    <w:rsid w:val="008619A1"/>
    <w:rsid w:val="0086284A"/>
    <w:rsid w:val="00864058"/>
    <w:rsid w:val="00865AFE"/>
    <w:rsid w:val="008673AF"/>
    <w:rsid w:val="0086775B"/>
    <w:rsid w:val="00867BFA"/>
    <w:rsid w:val="008704D9"/>
    <w:rsid w:val="00870621"/>
    <w:rsid w:val="00870B12"/>
    <w:rsid w:val="00871C71"/>
    <w:rsid w:val="00871F6B"/>
    <w:rsid w:val="00872268"/>
    <w:rsid w:val="0087517A"/>
    <w:rsid w:val="008755F7"/>
    <w:rsid w:val="008772C9"/>
    <w:rsid w:val="008817A7"/>
    <w:rsid w:val="008839F7"/>
    <w:rsid w:val="00883D69"/>
    <w:rsid w:val="0088461D"/>
    <w:rsid w:val="00885C4B"/>
    <w:rsid w:val="008867D9"/>
    <w:rsid w:val="00887CEF"/>
    <w:rsid w:val="008900EB"/>
    <w:rsid w:val="0089182D"/>
    <w:rsid w:val="00892325"/>
    <w:rsid w:val="00892CD4"/>
    <w:rsid w:val="00893204"/>
    <w:rsid w:val="00895289"/>
    <w:rsid w:val="00895F48"/>
    <w:rsid w:val="00896264"/>
    <w:rsid w:val="00896342"/>
    <w:rsid w:val="00896C92"/>
    <w:rsid w:val="0089729F"/>
    <w:rsid w:val="008979BB"/>
    <w:rsid w:val="008A0390"/>
    <w:rsid w:val="008A14FA"/>
    <w:rsid w:val="008A297D"/>
    <w:rsid w:val="008A369D"/>
    <w:rsid w:val="008A427C"/>
    <w:rsid w:val="008A5046"/>
    <w:rsid w:val="008A5EAE"/>
    <w:rsid w:val="008A7CA3"/>
    <w:rsid w:val="008B25D8"/>
    <w:rsid w:val="008B38B0"/>
    <w:rsid w:val="008B4F6C"/>
    <w:rsid w:val="008B508C"/>
    <w:rsid w:val="008B6745"/>
    <w:rsid w:val="008B697A"/>
    <w:rsid w:val="008B7EDE"/>
    <w:rsid w:val="008B7FC1"/>
    <w:rsid w:val="008C0A8C"/>
    <w:rsid w:val="008C2FF3"/>
    <w:rsid w:val="008C304E"/>
    <w:rsid w:val="008C48F2"/>
    <w:rsid w:val="008C6A7D"/>
    <w:rsid w:val="008C76D2"/>
    <w:rsid w:val="008D1910"/>
    <w:rsid w:val="008D23CD"/>
    <w:rsid w:val="008D25B4"/>
    <w:rsid w:val="008D2DEE"/>
    <w:rsid w:val="008D3487"/>
    <w:rsid w:val="008D36F2"/>
    <w:rsid w:val="008D56AB"/>
    <w:rsid w:val="008D649B"/>
    <w:rsid w:val="008D6F42"/>
    <w:rsid w:val="008D743E"/>
    <w:rsid w:val="008E0C60"/>
    <w:rsid w:val="008E118C"/>
    <w:rsid w:val="008E12B1"/>
    <w:rsid w:val="008E20F5"/>
    <w:rsid w:val="008E2721"/>
    <w:rsid w:val="008E4611"/>
    <w:rsid w:val="008E4961"/>
    <w:rsid w:val="008E49FC"/>
    <w:rsid w:val="008E676E"/>
    <w:rsid w:val="008E73BF"/>
    <w:rsid w:val="008F0A60"/>
    <w:rsid w:val="008F151E"/>
    <w:rsid w:val="008F1931"/>
    <w:rsid w:val="008F303D"/>
    <w:rsid w:val="008F4456"/>
    <w:rsid w:val="008F4C5D"/>
    <w:rsid w:val="008F4EFB"/>
    <w:rsid w:val="008F6540"/>
    <w:rsid w:val="008F666E"/>
    <w:rsid w:val="00902817"/>
    <w:rsid w:val="00902880"/>
    <w:rsid w:val="00903BFC"/>
    <w:rsid w:val="0090596D"/>
    <w:rsid w:val="0090603A"/>
    <w:rsid w:val="0090677C"/>
    <w:rsid w:val="0090694D"/>
    <w:rsid w:val="00907EDA"/>
    <w:rsid w:val="00910FAE"/>
    <w:rsid w:val="00915790"/>
    <w:rsid w:val="00916D10"/>
    <w:rsid w:val="00916E70"/>
    <w:rsid w:val="00917180"/>
    <w:rsid w:val="00917231"/>
    <w:rsid w:val="00917DC8"/>
    <w:rsid w:val="00920537"/>
    <w:rsid w:val="00921D95"/>
    <w:rsid w:val="00926AC9"/>
    <w:rsid w:val="009273ED"/>
    <w:rsid w:val="00930A0C"/>
    <w:rsid w:val="00930DF9"/>
    <w:rsid w:val="009329DF"/>
    <w:rsid w:val="0093487A"/>
    <w:rsid w:val="00935C2C"/>
    <w:rsid w:val="0093679C"/>
    <w:rsid w:val="00936CF3"/>
    <w:rsid w:val="009375D6"/>
    <w:rsid w:val="0094167E"/>
    <w:rsid w:val="0094408A"/>
    <w:rsid w:val="00944D30"/>
    <w:rsid w:val="00945114"/>
    <w:rsid w:val="0094765E"/>
    <w:rsid w:val="00947892"/>
    <w:rsid w:val="009479BD"/>
    <w:rsid w:val="00947C1F"/>
    <w:rsid w:val="009515AD"/>
    <w:rsid w:val="00952529"/>
    <w:rsid w:val="00952826"/>
    <w:rsid w:val="00952E94"/>
    <w:rsid w:val="00954F97"/>
    <w:rsid w:val="00955595"/>
    <w:rsid w:val="00955BD5"/>
    <w:rsid w:val="00956343"/>
    <w:rsid w:val="009565B6"/>
    <w:rsid w:val="00956FA9"/>
    <w:rsid w:val="009578C3"/>
    <w:rsid w:val="00957E94"/>
    <w:rsid w:val="00960238"/>
    <w:rsid w:val="009611D4"/>
    <w:rsid w:val="0096180C"/>
    <w:rsid w:val="00963762"/>
    <w:rsid w:val="00964F1B"/>
    <w:rsid w:val="00965C43"/>
    <w:rsid w:val="00967EF7"/>
    <w:rsid w:val="00970D1E"/>
    <w:rsid w:val="00970FFD"/>
    <w:rsid w:val="00971DBE"/>
    <w:rsid w:val="009731BF"/>
    <w:rsid w:val="009734D1"/>
    <w:rsid w:val="0097358D"/>
    <w:rsid w:val="009735F0"/>
    <w:rsid w:val="00973B12"/>
    <w:rsid w:val="00974B71"/>
    <w:rsid w:val="0097642F"/>
    <w:rsid w:val="00976A2A"/>
    <w:rsid w:val="00976D4C"/>
    <w:rsid w:val="00977365"/>
    <w:rsid w:val="00980447"/>
    <w:rsid w:val="0098074E"/>
    <w:rsid w:val="0098246A"/>
    <w:rsid w:val="0098250F"/>
    <w:rsid w:val="00982B21"/>
    <w:rsid w:val="00982B41"/>
    <w:rsid w:val="00984F6A"/>
    <w:rsid w:val="00985A7F"/>
    <w:rsid w:val="0098665A"/>
    <w:rsid w:val="00987784"/>
    <w:rsid w:val="00987870"/>
    <w:rsid w:val="00987E2C"/>
    <w:rsid w:val="00990A95"/>
    <w:rsid w:val="0099112C"/>
    <w:rsid w:val="00991E57"/>
    <w:rsid w:val="00992C3F"/>
    <w:rsid w:val="0099330B"/>
    <w:rsid w:val="00995646"/>
    <w:rsid w:val="00997D2B"/>
    <w:rsid w:val="009A0D64"/>
    <w:rsid w:val="009A1379"/>
    <w:rsid w:val="009A1706"/>
    <w:rsid w:val="009A1CBA"/>
    <w:rsid w:val="009A2A30"/>
    <w:rsid w:val="009A31CB"/>
    <w:rsid w:val="009A44D2"/>
    <w:rsid w:val="009A7A64"/>
    <w:rsid w:val="009B1E25"/>
    <w:rsid w:val="009B22A6"/>
    <w:rsid w:val="009B390F"/>
    <w:rsid w:val="009B5F7F"/>
    <w:rsid w:val="009B63FE"/>
    <w:rsid w:val="009B6B4D"/>
    <w:rsid w:val="009B6D39"/>
    <w:rsid w:val="009B762F"/>
    <w:rsid w:val="009C31B9"/>
    <w:rsid w:val="009C321A"/>
    <w:rsid w:val="009C3235"/>
    <w:rsid w:val="009C356D"/>
    <w:rsid w:val="009C399C"/>
    <w:rsid w:val="009C441F"/>
    <w:rsid w:val="009C5385"/>
    <w:rsid w:val="009C5494"/>
    <w:rsid w:val="009C5C80"/>
    <w:rsid w:val="009C5CC6"/>
    <w:rsid w:val="009C5E48"/>
    <w:rsid w:val="009C6A94"/>
    <w:rsid w:val="009C7463"/>
    <w:rsid w:val="009D1223"/>
    <w:rsid w:val="009D135C"/>
    <w:rsid w:val="009D1737"/>
    <w:rsid w:val="009D19EB"/>
    <w:rsid w:val="009D1F74"/>
    <w:rsid w:val="009D2914"/>
    <w:rsid w:val="009D39D2"/>
    <w:rsid w:val="009D4268"/>
    <w:rsid w:val="009D59DB"/>
    <w:rsid w:val="009D6432"/>
    <w:rsid w:val="009D710B"/>
    <w:rsid w:val="009D718E"/>
    <w:rsid w:val="009D75C0"/>
    <w:rsid w:val="009E0459"/>
    <w:rsid w:val="009E1615"/>
    <w:rsid w:val="009E21ED"/>
    <w:rsid w:val="009E3026"/>
    <w:rsid w:val="009E4B6B"/>
    <w:rsid w:val="009E4EDE"/>
    <w:rsid w:val="009E5702"/>
    <w:rsid w:val="009E7154"/>
    <w:rsid w:val="009E7488"/>
    <w:rsid w:val="009F2B1C"/>
    <w:rsid w:val="009F6EA5"/>
    <w:rsid w:val="00A0030E"/>
    <w:rsid w:val="00A008FF"/>
    <w:rsid w:val="00A01543"/>
    <w:rsid w:val="00A01F5F"/>
    <w:rsid w:val="00A034EE"/>
    <w:rsid w:val="00A07115"/>
    <w:rsid w:val="00A10300"/>
    <w:rsid w:val="00A107AF"/>
    <w:rsid w:val="00A11AEA"/>
    <w:rsid w:val="00A12128"/>
    <w:rsid w:val="00A12925"/>
    <w:rsid w:val="00A12E45"/>
    <w:rsid w:val="00A13088"/>
    <w:rsid w:val="00A13931"/>
    <w:rsid w:val="00A14D90"/>
    <w:rsid w:val="00A16F29"/>
    <w:rsid w:val="00A16FCD"/>
    <w:rsid w:val="00A1707B"/>
    <w:rsid w:val="00A2527F"/>
    <w:rsid w:val="00A26AE5"/>
    <w:rsid w:val="00A26B90"/>
    <w:rsid w:val="00A30224"/>
    <w:rsid w:val="00A31FDF"/>
    <w:rsid w:val="00A32155"/>
    <w:rsid w:val="00A33288"/>
    <w:rsid w:val="00A33917"/>
    <w:rsid w:val="00A33CA1"/>
    <w:rsid w:val="00A34E32"/>
    <w:rsid w:val="00A35352"/>
    <w:rsid w:val="00A35C0B"/>
    <w:rsid w:val="00A37749"/>
    <w:rsid w:val="00A37C9D"/>
    <w:rsid w:val="00A408BC"/>
    <w:rsid w:val="00A43745"/>
    <w:rsid w:val="00A45E6E"/>
    <w:rsid w:val="00A470D7"/>
    <w:rsid w:val="00A4787A"/>
    <w:rsid w:val="00A51A82"/>
    <w:rsid w:val="00A52B88"/>
    <w:rsid w:val="00A52CD3"/>
    <w:rsid w:val="00A5359A"/>
    <w:rsid w:val="00A53DB0"/>
    <w:rsid w:val="00A54126"/>
    <w:rsid w:val="00A54984"/>
    <w:rsid w:val="00A55E9B"/>
    <w:rsid w:val="00A562E9"/>
    <w:rsid w:val="00A5658B"/>
    <w:rsid w:val="00A576CA"/>
    <w:rsid w:val="00A63318"/>
    <w:rsid w:val="00A63F81"/>
    <w:rsid w:val="00A6405D"/>
    <w:rsid w:val="00A65676"/>
    <w:rsid w:val="00A666FC"/>
    <w:rsid w:val="00A67E6E"/>
    <w:rsid w:val="00A70762"/>
    <w:rsid w:val="00A70D50"/>
    <w:rsid w:val="00A70E89"/>
    <w:rsid w:val="00A7176A"/>
    <w:rsid w:val="00A718AF"/>
    <w:rsid w:val="00A72110"/>
    <w:rsid w:val="00A72A6A"/>
    <w:rsid w:val="00A73076"/>
    <w:rsid w:val="00A7338F"/>
    <w:rsid w:val="00A73CBD"/>
    <w:rsid w:val="00A74FDE"/>
    <w:rsid w:val="00A77487"/>
    <w:rsid w:val="00A80995"/>
    <w:rsid w:val="00A80AB8"/>
    <w:rsid w:val="00A80FDA"/>
    <w:rsid w:val="00A82435"/>
    <w:rsid w:val="00A826D6"/>
    <w:rsid w:val="00A83136"/>
    <w:rsid w:val="00A83B9C"/>
    <w:rsid w:val="00A84172"/>
    <w:rsid w:val="00A84DE4"/>
    <w:rsid w:val="00A875B0"/>
    <w:rsid w:val="00A90428"/>
    <w:rsid w:val="00A90C03"/>
    <w:rsid w:val="00A91804"/>
    <w:rsid w:val="00A93FE1"/>
    <w:rsid w:val="00A9498C"/>
    <w:rsid w:val="00A96178"/>
    <w:rsid w:val="00A96D49"/>
    <w:rsid w:val="00A96D52"/>
    <w:rsid w:val="00A9708F"/>
    <w:rsid w:val="00AA14D5"/>
    <w:rsid w:val="00AA2981"/>
    <w:rsid w:val="00AA3B71"/>
    <w:rsid w:val="00AA467F"/>
    <w:rsid w:val="00AA49A6"/>
    <w:rsid w:val="00AA4DD7"/>
    <w:rsid w:val="00AA542C"/>
    <w:rsid w:val="00AA5DB9"/>
    <w:rsid w:val="00AA63C4"/>
    <w:rsid w:val="00AA7C01"/>
    <w:rsid w:val="00AB092B"/>
    <w:rsid w:val="00AB2104"/>
    <w:rsid w:val="00AB21F6"/>
    <w:rsid w:val="00AB37E4"/>
    <w:rsid w:val="00AB386D"/>
    <w:rsid w:val="00AB47D3"/>
    <w:rsid w:val="00AB7450"/>
    <w:rsid w:val="00AB78F9"/>
    <w:rsid w:val="00AB7EE2"/>
    <w:rsid w:val="00AC2FC9"/>
    <w:rsid w:val="00AC3609"/>
    <w:rsid w:val="00AC377F"/>
    <w:rsid w:val="00AC3805"/>
    <w:rsid w:val="00AC47C2"/>
    <w:rsid w:val="00AC54E0"/>
    <w:rsid w:val="00AC5D4D"/>
    <w:rsid w:val="00AC6573"/>
    <w:rsid w:val="00AD0826"/>
    <w:rsid w:val="00AD138F"/>
    <w:rsid w:val="00AD27D5"/>
    <w:rsid w:val="00AD561B"/>
    <w:rsid w:val="00AD5C95"/>
    <w:rsid w:val="00AD7F86"/>
    <w:rsid w:val="00AE08FF"/>
    <w:rsid w:val="00AE262A"/>
    <w:rsid w:val="00AE2E80"/>
    <w:rsid w:val="00AE32D4"/>
    <w:rsid w:val="00AE48CF"/>
    <w:rsid w:val="00AE4E10"/>
    <w:rsid w:val="00AE66D0"/>
    <w:rsid w:val="00AE7B86"/>
    <w:rsid w:val="00AE7DBB"/>
    <w:rsid w:val="00AF02DC"/>
    <w:rsid w:val="00AF13C6"/>
    <w:rsid w:val="00AF2D77"/>
    <w:rsid w:val="00AF532A"/>
    <w:rsid w:val="00AF6865"/>
    <w:rsid w:val="00AF7819"/>
    <w:rsid w:val="00B01F8E"/>
    <w:rsid w:val="00B037F8"/>
    <w:rsid w:val="00B0752F"/>
    <w:rsid w:val="00B07D16"/>
    <w:rsid w:val="00B11B68"/>
    <w:rsid w:val="00B11CBA"/>
    <w:rsid w:val="00B1440D"/>
    <w:rsid w:val="00B16510"/>
    <w:rsid w:val="00B16A1A"/>
    <w:rsid w:val="00B21F79"/>
    <w:rsid w:val="00B22D79"/>
    <w:rsid w:val="00B24262"/>
    <w:rsid w:val="00B246C1"/>
    <w:rsid w:val="00B24800"/>
    <w:rsid w:val="00B24974"/>
    <w:rsid w:val="00B24DF1"/>
    <w:rsid w:val="00B26EFE"/>
    <w:rsid w:val="00B27AEA"/>
    <w:rsid w:val="00B310E1"/>
    <w:rsid w:val="00B32119"/>
    <w:rsid w:val="00B3314C"/>
    <w:rsid w:val="00B34514"/>
    <w:rsid w:val="00B346BA"/>
    <w:rsid w:val="00B34B01"/>
    <w:rsid w:val="00B35D9C"/>
    <w:rsid w:val="00B3632C"/>
    <w:rsid w:val="00B36516"/>
    <w:rsid w:val="00B36BA8"/>
    <w:rsid w:val="00B36C5B"/>
    <w:rsid w:val="00B404EA"/>
    <w:rsid w:val="00B41420"/>
    <w:rsid w:val="00B41DAC"/>
    <w:rsid w:val="00B420B1"/>
    <w:rsid w:val="00B4347C"/>
    <w:rsid w:val="00B45687"/>
    <w:rsid w:val="00B50484"/>
    <w:rsid w:val="00B50B5C"/>
    <w:rsid w:val="00B52187"/>
    <w:rsid w:val="00B5246D"/>
    <w:rsid w:val="00B53184"/>
    <w:rsid w:val="00B53DFB"/>
    <w:rsid w:val="00B56384"/>
    <w:rsid w:val="00B57509"/>
    <w:rsid w:val="00B5778D"/>
    <w:rsid w:val="00B578A1"/>
    <w:rsid w:val="00B57DA5"/>
    <w:rsid w:val="00B602E6"/>
    <w:rsid w:val="00B60BB3"/>
    <w:rsid w:val="00B610B2"/>
    <w:rsid w:val="00B61492"/>
    <w:rsid w:val="00B636B3"/>
    <w:rsid w:val="00B64AE4"/>
    <w:rsid w:val="00B65DDE"/>
    <w:rsid w:val="00B6668E"/>
    <w:rsid w:val="00B7071F"/>
    <w:rsid w:val="00B70877"/>
    <w:rsid w:val="00B709F2"/>
    <w:rsid w:val="00B70F43"/>
    <w:rsid w:val="00B71424"/>
    <w:rsid w:val="00B718F3"/>
    <w:rsid w:val="00B72241"/>
    <w:rsid w:val="00B739C9"/>
    <w:rsid w:val="00B73F37"/>
    <w:rsid w:val="00B759D4"/>
    <w:rsid w:val="00B81427"/>
    <w:rsid w:val="00B81FA7"/>
    <w:rsid w:val="00B8244E"/>
    <w:rsid w:val="00B827F5"/>
    <w:rsid w:val="00B82B08"/>
    <w:rsid w:val="00B82F65"/>
    <w:rsid w:val="00B83577"/>
    <w:rsid w:val="00B83FCA"/>
    <w:rsid w:val="00B874FB"/>
    <w:rsid w:val="00B90A88"/>
    <w:rsid w:val="00B91867"/>
    <w:rsid w:val="00B950BA"/>
    <w:rsid w:val="00B95D0E"/>
    <w:rsid w:val="00B96027"/>
    <w:rsid w:val="00BA1382"/>
    <w:rsid w:val="00BA157B"/>
    <w:rsid w:val="00BA21C2"/>
    <w:rsid w:val="00BA238F"/>
    <w:rsid w:val="00BA2A1C"/>
    <w:rsid w:val="00BA345B"/>
    <w:rsid w:val="00BA3B10"/>
    <w:rsid w:val="00BA4E47"/>
    <w:rsid w:val="00BA5537"/>
    <w:rsid w:val="00BA639E"/>
    <w:rsid w:val="00BA6492"/>
    <w:rsid w:val="00BA6545"/>
    <w:rsid w:val="00BA65DE"/>
    <w:rsid w:val="00BA67B5"/>
    <w:rsid w:val="00BA6FB1"/>
    <w:rsid w:val="00BA79CB"/>
    <w:rsid w:val="00BA7F9B"/>
    <w:rsid w:val="00BB020E"/>
    <w:rsid w:val="00BB0D11"/>
    <w:rsid w:val="00BB0FED"/>
    <w:rsid w:val="00BB1FB7"/>
    <w:rsid w:val="00BB4054"/>
    <w:rsid w:val="00BB61CA"/>
    <w:rsid w:val="00BC117B"/>
    <w:rsid w:val="00BC13FF"/>
    <w:rsid w:val="00BC1450"/>
    <w:rsid w:val="00BC172A"/>
    <w:rsid w:val="00BC2B5F"/>
    <w:rsid w:val="00BC2F8E"/>
    <w:rsid w:val="00BC3E95"/>
    <w:rsid w:val="00BC4194"/>
    <w:rsid w:val="00BC552B"/>
    <w:rsid w:val="00BC6D45"/>
    <w:rsid w:val="00BC7493"/>
    <w:rsid w:val="00BD0E01"/>
    <w:rsid w:val="00BD1D51"/>
    <w:rsid w:val="00BD4884"/>
    <w:rsid w:val="00BD58A2"/>
    <w:rsid w:val="00BD6275"/>
    <w:rsid w:val="00BD7A46"/>
    <w:rsid w:val="00BE0BFB"/>
    <w:rsid w:val="00BE0EF7"/>
    <w:rsid w:val="00BE16EB"/>
    <w:rsid w:val="00BE35D5"/>
    <w:rsid w:val="00BE41F4"/>
    <w:rsid w:val="00BE4AD7"/>
    <w:rsid w:val="00BE4F32"/>
    <w:rsid w:val="00BE5610"/>
    <w:rsid w:val="00BE6703"/>
    <w:rsid w:val="00BE7B2F"/>
    <w:rsid w:val="00BE7BCC"/>
    <w:rsid w:val="00BF2F19"/>
    <w:rsid w:val="00BF30EA"/>
    <w:rsid w:val="00BF340D"/>
    <w:rsid w:val="00BF3C55"/>
    <w:rsid w:val="00BF634E"/>
    <w:rsid w:val="00C00649"/>
    <w:rsid w:val="00C012BB"/>
    <w:rsid w:val="00C02811"/>
    <w:rsid w:val="00C0333D"/>
    <w:rsid w:val="00C03365"/>
    <w:rsid w:val="00C04556"/>
    <w:rsid w:val="00C0635B"/>
    <w:rsid w:val="00C074A7"/>
    <w:rsid w:val="00C10FEF"/>
    <w:rsid w:val="00C11DE6"/>
    <w:rsid w:val="00C11ED1"/>
    <w:rsid w:val="00C12A5B"/>
    <w:rsid w:val="00C13C1E"/>
    <w:rsid w:val="00C13EB8"/>
    <w:rsid w:val="00C15E3E"/>
    <w:rsid w:val="00C16D8C"/>
    <w:rsid w:val="00C17E16"/>
    <w:rsid w:val="00C2079F"/>
    <w:rsid w:val="00C21A6A"/>
    <w:rsid w:val="00C21CD6"/>
    <w:rsid w:val="00C22DC6"/>
    <w:rsid w:val="00C231B4"/>
    <w:rsid w:val="00C25513"/>
    <w:rsid w:val="00C2626D"/>
    <w:rsid w:val="00C307A5"/>
    <w:rsid w:val="00C31C7F"/>
    <w:rsid w:val="00C31CD4"/>
    <w:rsid w:val="00C333B9"/>
    <w:rsid w:val="00C33A04"/>
    <w:rsid w:val="00C33A28"/>
    <w:rsid w:val="00C35434"/>
    <w:rsid w:val="00C3788C"/>
    <w:rsid w:val="00C40632"/>
    <w:rsid w:val="00C42A9B"/>
    <w:rsid w:val="00C43C63"/>
    <w:rsid w:val="00C43D14"/>
    <w:rsid w:val="00C44262"/>
    <w:rsid w:val="00C447A4"/>
    <w:rsid w:val="00C4681B"/>
    <w:rsid w:val="00C47364"/>
    <w:rsid w:val="00C477A7"/>
    <w:rsid w:val="00C5051E"/>
    <w:rsid w:val="00C508D4"/>
    <w:rsid w:val="00C528E9"/>
    <w:rsid w:val="00C52FA6"/>
    <w:rsid w:val="00C5304D"/>
    <w:rsid w:val="00C53977"/>
    <w:rsid w:val="00C53A16"/>
    <w:rsid w:val="00C53AF8"/>
    <w:rsid w:val="00C553F0"/>
    <w:rsid w:val="00C55911"/>
    <w:rsid w:val="00C55B8E"/>
    <w:rsid w:val="00C567BB"/>
    <w:rsid w:val="00C56C27"/>
    <w:rsid w:val="00C56E76"/>
    <w:rsid w:val="00C57C30"/>
    <w:rsid w:val="00C6142D"/>
    <w:rsid w:val="00C64BE2"/>
    <w:rsid w:val="00C661A5"/>
    <w:rsid w:val="00C67122"/>
    <w:rsid w:val="00C677A7"/>
    <w:rsid w:val="00C70880"/>
    <w:rsid w:val="00C71ABE"/>
    <w:rsid w:val="00C72078"/>
    <w:rsid w:val="00C73FCE"/>
    <w:rsid w:val="00C74907"/>
    <w:rsid w:val="00C756D9"/>
    <w:rsid w:val="00C765C6"/>
    <w:rsid w:val="00C76D7E"/>
    <w:rsid w:val="00C801AD"/>
    <w:rsid w:val="00C81746"/>
    <w:rsid w:val="00C81D3D"/>
    <w:rsid w:val="00C834B7"/>
    <w:rsid w:val="00C84702"/>
    <w:rsid w:val="00C857EF"/>
    <w:rsid w:val="00C90B7B"/>
    <w:rsid w:val="00C911CE"/>
    <w:rsid w:val="00C91E61"/>
    <w:rsid w:val="00C94D62"/>
    <w:rsid w:val="00C958D0"/>
    <w:rsid w:val="00C95A4A"/>
    <w:rsid w:val="00C970E0"/>
    <w:rsid w:val="00C978D5"/>
    <w:rsid w:val="00CA0547"/>
    <w:rsid w:val="00CA09D6"/>
    <w:rsid w:val="00CA16E8"/>
    <w:rsid w:val="00CA354F"/>
    <w:rsid w:val="00CA35E0"/>
    <w:rsid w:val="00CA3CAC"/>
    <w:rsid w:val="00CA4286"/>
    <w:rsid w:val="00CA5708"/>
    <w:rsid w:val="00CA6054"/>
    <w:rsid w:val="00CA60E8"/>
    <w:rsid w:val="00CA68D0"/>
    <w:rsid w:val="00CA6F09"/>
    <w:rsid w:val="00CB07A5"/>
    <w:rsid w:val="00CB29A5"/>
    <w:rsid w:val="00CB4432"/>
    <w:rsid w:val="00CB5BC9"/>
    <w:rsid w:val="00CB6CBF"/>
    <w:rsid w:val="00CC0E7B"/>
    <w:rsid w:val="00CC25D8"/>
    <w:rsid w:val="00CC2AF2"/>
    <w:rsid w:val="00CC44DA"/>
    <w:rsid w:val="00CC489A"/>
    <w:rsid w:val="00CC57E7"/>
    <w:rsid w:val="00CC67B1"/>
    <w:rsid w:val="00CD052D"/>
    <w:rsid w:val="00CD0B22"/>
    <w:rsid w:val="00CD1DD1"/>
    <w:rsid w:val="00CD2209"/>
    <w:rsid w:val="00CD36C8"/>
    <w:rsid w:val="00CD375D"/>
    <w:rsid w:val="00CD6E5F"/>
    <w:rsid w:val="00CE06BB"/>
    <w:rsid w:val="00CE2142"/>
    <w:rsid w:val="00CE2579"/>
    <w:rsid w:val="00CE392E"/>
    <w:rsid w:val="00CE491E"/>
    <w:rsid w:val="00CE5765"/>
    <w:rsid w:val="00CE6F4A"/>
    <w:rsid w:val="00CF022F"/>
    <w:rsid w:val="00CF29AB"/>
    <w:rsid w:val="00CF2DB9"/>
    <w:rsid w:val="00CF30F2"/>
    <w:rsid w:val="00CF395B"/>
    <w:rsid w:val="00CF4687"/>
    <w:rsid w:val="00CF6667"/>
    <w:rsid w:val="00CF7287"/>
    <w:rsid w:val="00CF7FC1"/>
    <w:rsid w:val="00D01960"/>
    <w:rsid w:val="00D01D39"/>
    <w:rsid w:val="00D01ED9"/>
    <w:rsid w:val="00D032F3"/>
    <w:rsid w:val="00D04418"/>
    <w:rsid w:val="00D04C8E"/>
    <w:rsid w:val="00D06624"/>
    <w:rsid w:val="00D06A9D"/>
    <w:rsid w:val="00D07C17"/>
    <w:rsid w:val="00D1061F"/>
    <w:rsid w:val="00D10778"/>
    <w:rsid w:val="00D11931"/>
    <w:rsid w:val="00D14DF5"/>
    <w:rsid w:val="00D170A3"/>
    <w:rsid w:val="00D17206"/>
    <w:rsid w:val="00D20C4F"/>
    <w:rsid w:val="00D238E5"/>
    <w:rsid w:val="00D252C3"/>
    <w:rsid w:val="00D26174"/>
    <w:rsid w:val="00D272A5"/>
    <w:rsid w:val="00D27952"/>
    <w:rsid w:val="00D27A61"/>
    <w:rsid w:val="00D30954"/>
    <w:rsid w:val="00D31639"/>
    <w:rsid w:val="00D317F1"/>
    <w:rsid w:val="00D31D04"/>
    <w:rsid w:val="00D3285C"/>
    <w:rsid w:val="00D358D1"/>
    <w:rsid w:val="00D36C58"/>
    <w:rsid w:val="00D3786C"/>
    <w:rsid w:val="00D37AE3"/>
    <w:rsid w:val="00D406C7"/>
    <w:rsid w:val="00D41092"/>
    <w:rsid w:val="00D411B3"/>
    <w:rsid w:val="00D41818"/>
    <w:rsid w:val="00D44C10"/>
    <w:rsid w:val="00D45A54"/>
    <w:rsid w:val="00D45F0F"/>
    <w:rsid w:val="00D45F7D"/>
    <w:rsid w:val="00D46753"/>
    <w:rsid w:val="00D47A43"/>
    <w:rsid w:val="00D51EA5"/>
    <w:rsid w:val="00D51EB5"/>
    <w:rsid w:val="00D527ED"/>
    <w:rsid w:val="00D52D66"/>
    <w:rsid w:val="00D53E8E"/>
    <w:rsid w:val="00D53F59"/>
    <w:rsid w:val="00D5424C"/>
    <w:rsid w:val="00D56095"/>
    <w:rsid w:val="00D56CBB"/>
    <w:rsid w:val="00D56E8C"/>
    <w:rsid w:val="00D57BBC"/>
    <w:rsid w:val="00D57E39"/>
    <w:rsid w:val="00D57F78"/>
    <w:rsid w:val="00D60D19"/>
    <w:rsid w:val="00D60FD0"/>
    <w:rsid w:val="00D620FB"/>
    <w:rsid w:val="00D6224D"/>
    <w:rsid w:val="00D6296A"/>
    <w:rsid w:val="00D62D54"/>
    <w:rsid w:val="00D63DDC"/>
    <w:rsid w:val="00D64293"/>
    <w:rsid w:val="00D663FA"/>
    <w:rsid w:val="00D6704F"/>
    <w:rsid w:val="00D6709D"/>
    <w:rsid w:val="00D67C99"/>
    <w:rsid w:val="00D67FDF"/>
    <w:rsid w:val="00D70429"/>
    <w:rsid w:val="00D71B38"/>
    <w:rsid w:val="00D72AE6"/>
    <w:rsid w:val="00D730AB"/>
    <w:rsid w:val="00D74D78"/>
    <w:rsid w:val="00D757D7"/>
    <w:rsid w:val="00D7699C"/>
    <w:rsid w:val="00D82F67"/>
    <w:rsid w:val="00D83DEB"/>
    <w:rsid w:val="00D84E0C"/>
    <w:rsid w:val="00D86A22"/>
    <w:rsid w:val="00D86FA0"/>
    <w:rsid w:val="00D9005F"/>
    <w:rsid w:val="00D90440"/>
    <w:rsid w:val="00D905E6"/>
    <w:rsid w:val="00D9177B"/>
    <w:rsid w:val="00D92999"/>
    <w:rsid w:val="00D933B3"/>
    <w:rsid w:val="00D93CB2"/>
    <w:rsid w:val="00D94083"/>
    <w:rsid w:val="00D94209"/>
    <w:rsid w:val="00D94212"/>
    <w:rsid w:val="00D9513F"/>
    <w:rsid w:val="00D966BE"/>
    <w:rsid w:val="00D96F9F"/>
    <w:rsid w:val="00D97473"/>
    <w:rsid w:val="00DA1E82"/>
    <w:rsid w:val="00DA1FCC"/>
    <w:rsid w:val="00DA21F8"/>
    <w:rsid w:val="00DA342C"/>
    <w:rsid w:val="00DA4D89"/>
    <w:rsid w:val="00DA6088"/>
    <w:rsid w:val="00DA6A4B"/>
    <w:rsid w:val="00DA6A83"/>
    <w:rsid w:val="00DB00D9"/>
    <w:rsid w:val="00DB0521"/>
    <w:rsid w:val="00DB07DE"/>
    <w:rsid w:val="00DB1C9D"/>
    <w:rsid w:val="00DB2877"/>
    <w:rsid w:val="00DB3B62"/>
    <w:rsid w:val="00DB414E"/>
    <w:rsid w:val="00DB4E64"/>
    <w:rsid w:val="00DB661F"/>
    <w:rsid w:val="00DB7A50"/>
    <w:rsid w:val="00DB7B48"/>
    <w:rsid w:val="00DC01E6"/>
    <w:rsid w:val="00DC2350"/>
    <w:rsid w:val="00DC3678"/>
    <w:rsid w:val="00DC385B"/>
    <w:rsid w:val="00DC3C7E"/>
    <w:rsid w:val="00DC5D97"/>
    <w:rsid w:val="00DC6D74"/>
    <w:rsid w:val="00DD2187"/>
    <w:rsid w:val="00DD3D26"/>
    <w:rsid w:val="00DD5397"/>
    <w:rsid w:val="00DD6CE4"/>
    <w:rsid w:val="00DD7148"/>
    <w:rsid w:val="00DE061D"/>
    <w:rsid w:val="00DE1BF9"/>
    <w:rsid w:val="00DE24D1"/>
    <w:rsid w:val="00DE2E6B"/>
    <w:rsid w:val="00DE429E"/>
    <w:rsid w:val="00DE4705"/>
    <w:rsid w:val="00DE478D"/>
    <w:rsid w:val="00DE4B55"/>
    <w:rsid w:val="00DE4FA7"/>
    <w:rsid w:val="00DE5121"/>
    <w:rsid w:val="00DE5C59"/>
    <w:rsid w:val="00DE5CD0"/>
    <w:rsid w:val="00DE5E35"/>
    <w:rsid w:val="00DF0236"/>
    <w:rsid w:val="00DF09CD"/>
    <w:rsid w:val="00DF0F08"/>
    <w:rsid w:val="00DF10E6"/>
    <w:rsid w:val="00DF14D3"/>
    <w:rsid w:val="00DF227C"/>
    <w:rsid w:val="00DF35C6"/>
    <w:rsid w:val="00DF4B3D"/>
    <w:rsid w:val="00DF4DBB"/>
    <w:rsid w:val="00DF5F4D"/>
    <w:rsid w:val="00DF6008"/>
    <w:rsid w:val="00DF74E0"/>
    <w:rsid w:val="00E01685"/>
    <w:rsid w:val="00E02E7B"/>
    <w:rsid w:val="00E04094"/>
    <w:rsid w:val="00E0461D"/>
    <w:rsid w:val="00E05149"/>
    <w:rsid w:val="00E05BEE"/>
    <w:rsid w:val="00E05C89"/>
    <w:rsid w:val="00E0653A"/>
    <w:rsid w:val="00E07DB9"/>
    <w:rsid w:val="00E126C6"/>
    <w:rsid w:val="00E1299E"/>
    <w:rsid w:val="00E12D5E"/>
    <w:rsid w:val="00E13F03"/>
    <w:rsid w:val="00E154E2"/>
    <w:rsid w:val="00E163DF"/>
    <w:rsid w:val="00E16A81"/>
    <w:rsid w:val="00E17591"/>
    <w:rsid w:val="00E17E20"/>
    <w:rsid w:val="00E20338"/>
    <w:rsid w:val="00E21285"/>
    <w:rsid w:val="00E21E13"/>
    <w:rsid w:val="00E223EF"/>
    <w:rsid w:val="00E23196"/>
    <w:rsid w:val="00E23475"/>
    <w:rsid w:val="00E23983"/>
    <w:rsid w:val="00E2511C"/>
    <w:rsid w:val="00E25B24"/>
    <w:rsid w:val="00E261FD"/>
    <w:rsid w:val="00E267E2"/>
    <w:rsid w:val="00E27013"/>
    <w:rsid w:val="00E321BF"/>
    <w:rsid w:val="00E339DB"/>
    <w:rsid w:val="00E33CF2"/>
    <w:rsid w:val="00E34B2B"/>
    <w:rsid w:val="00E3667A"/>
    <w:rsid w:val="00E36730"/>
    <w:rsid w:val="00E36CCD"/>
    <w:rsid w:val="00E36CFA"/>
    <w:rsid w:val="00E37B2B"/>
    <w:rsid w:val="00E37CF2"/>
    <w:rsid w:val="00E406EC"/>
    <w:rsid w:val="00E42F75"/>
    <w:rsid w:val="00E43671"/>
    <w:rsid w:val="00E43FE3"/>
    <w:rsid w:val="00E475C0"/>
    <w:rsid w:val="00E51462"/>
    <w:rsid w:val="00E565C2"/>
    <w:rsid w:val="00E56AF1"/>
    <w:rsid w:val="00E57589"/>
    <w:rsid w:val="00E57BC7"/>
    <w:rsid w:val="00E61621"/>
    <w:rsid w:val="00E627BD"/>
    <w:rsid w:val="00E6393A"/>
    <w:rsid w:val="00E657D7"/>
    <w:rsid w:val="00E66827"/>
    <w:rsid w:val="00E67E67"/>
    <w:rsid w:val="00E7121B"/>
    <w:rsid w:val="00E7148F"/>
    <w:rsid w:val="00E71B3F"/>
    <w:rsid w:val="00E720F6"/>
    <w:rsid w:val="00E7372E"/>
    <w:rsid w:val="00E73E0F"/>
    <w:rsid w:val="00E74714"/>
    <w:rsid w:val="00E751C9"/>
    <w:rsid w:val="00E75EF7"/>
    <w:rsid w:val="00E77595"/>
    <w:rsid w:val="00E805A5"/>
    <w:rsid w:val="00E80FE1"/>
    <w:rsid w:val="00E819ED"/>
    <w:rsid w:val="00E827C9"/>
    <w:rsid w:val="00E829F5"/>
    <w:rsid w:val="00E82B99"/>
    <w:rsid w:val="00E85FF9"/>
    <w:rsid w:val="00E86B54"/>
    <w:rsid w:val="00E90A20"/>
    <w:rsid w:val="00E92D58"/>
    <w:rsid w:val="00E9328E"/>
    <w:rsid w:val="00E9397B"/>
    <w:rsid w:val="00E939DC"/>
    <w:rsid w:val="00E95B33"/>
    <w:rsid w:val="00E96491"/>
    <w:rsid w:val="00EA0424"/>
    <w:rsid w:val="00EA2D4E"/>
    <w:rsid w:val="00EA30A9"/>
    <w:rsid w:val="00EA45CB"/>
    <w:rsid w:val="00EA5598"/>
    <w:rsid w:val="00EA7894"/>
    <w:rsid w:val="00EA7962"/>
    <w:rsid w:val="00EB0E77"/>
    <w:rsid w:val="00EB1055"/>
    <w:rsid w:val="00EB16BA"/>
    <w:rsid w:val="00EB18DA"/>
    <w:rsid w:val="00EB289D"/>
    <w:rsid w:val="00EB36BE"/>
    <w:rsid w:val="00EB394C"/>
    <w:rsid w:val="00EB47B7"/>
    <w:rsid w:val="00EB5114"/>
    <w:rsid w:val="00EB5614"/>
    <w:rsid w:val="00EB5B11"/>
    <w:rsid w:val="00EB71C8"/>
    <w:rsid w:val="00EB71EF"/>
    <w:rsid w:val="00EC1EDC"/>
    <w:rsid w:val="00EC29CB"/>
    <w:rsid w:val="00EC2F87"/>
    <w:rsid w:val="00EC448A"/>
    <w:rsid w:val="00ED0DE0"/>
    <w:rsid w:val="00ED3058"/>
    <w:rsid w:val="00ED5AA3"/>
    <w:rsid w:val="00ED68BB"/>
    <w:rsid w:val="00ED6EAC"/>
    <w:rsid w:val="00ED7BF4"/>
    <w:rsid w:val="00EE0C9B"/>
    <w:rsid w:val="00EE312D"/>
    <w:rsid w:val="00EE4ACF"/>
    <w:rsid w:val="00EE5659"/>
    <w:rsid w:val="00EE73F7"/>
    <w:rsid w:val="00EE7464"/>
    <w:rsid w:val="00EF1833"/>
    <w:rsid w:val="00EF1C9D"/>
    <w:rsid w:val="00EF3D81"/>
    <w:rsid w:val="00EF4858"/>
    <w:rsid w:val="00EF4D3C"/>
    <w:rsid w:val="00EF5336"/>
    <w:rsid w:val="00EF5AB5"/>
    <w:rsid w:val="00EF7C57"/>
    <w:rsid w:val="00F0065D"/>
    <w:rsid w:val="00F0080E"/>
    <w:rsid w:val="00F00FB8"/>
    <w:rsid w:val="00F01997"/>
    <w:rsid w:val="00F01EA7"/>
    <w:rsid w:val="00F05C00"/>
    <w:rsid w:val="00F05CF1"/>
    <w:rsid w:val="00F06352"/>
    <w:rsid w:val="00F07310"/>
    <w:rsid w:val="00F07F4C"/>
    <w:rsid w:val="00F103CE"/>
    <w:rsid w:val="00F10401"/>
    <w:rsid w:val="00F114EC"/>
    <w:rsid w:val="00F123B9"/>
    <w:rsid w:val="00F13150"/>
    <w:rsid w:val="00F13FD0"/>
    <w:rsid w:val="00F14E2B"/>
    <w:rsid w:val="00F166E0"/>
    <w:rsid w:val="00F20458"/>
    <w:rsid w:val="00F21030"/>
    <w:rsid w:val="00F21344"/>
    <w:rsid w:val="00F21617"/>
    <w:rsid w:val="00F217D3"/>
    <w:rsid w:val="00F21D68"/>
    <w:rsid w:val="00F224E7"/>
    <w:rsid w:val="00F22817"/>
    <w:rsid w:val="00F22937"/>
    <w:rsid w:val="00F23ED2"/>
    <w:rsid w:val="00F25651"/>
    <w:rsid w:val="00F259FD"/>
    <w:rsid w:val="00F30140"/>
    <w:rsid w:val="00F30DE9"/>
    <w:rsid w:val="00F310EA"/>
    <w:rsid w:val="00F33BA9"/>
    <w:rsid w:val="00F3514C"/>
    <w:rsid w:val="00F36792"/>
    <w:rsid w:val="00F37B6F"/>
    <w:rsid w:val="00F37D3C"/>
    <w:rsid w:val="00F37FD3"/>
    <w:rsid w:val="00F40DE6"/>
    <w:rsid w:val="00F42110"/>
    <w:rsid w:val="00F442C8"/>
    <w:rsid w:val="00F45BE4"/>
    <w:rsid w:val="00F47D20"/>
    <w:rsid w:val="00F47F3E"/>
    <w:rsid w:val="00F50830"/>
    <w:rsid w:val="00F50BDB"/>
    <w:rsid w:val="00F53907"/>
    <w:rsid w:val="00F555FD"/>
    <w:rsid w:val="00F55D0C"/>
    <w:rsid w:val="00F5657C"/>
    <w:rsid w:val="00F57692"/>
    <w:rsid w:val="00F62ADF"/>
    <w:rsid w:val="00F63A5D"/>
    <w:rsid w:val="00F65C5B"/>
    <w:rsid w:val="00F67ED8"/>
    <w:rsid w:val="00F7053A"/>
    <w:rsid w:val="00F71DFB"/>
    <w:rsid w:val="00F72573"/>
    <w:rsid w:val="00F739D7"/>
    <w:rsid w:val="00F73A26"/>
    <w:rsid w:val="00F73C40"/>
    <w:rsid w:val="00F73F99"/>
    <w:rsid w:val="00F7406B"/>
    <w:rsid w:val="00F77637"/>
    <w:rsid w:val="00F776B8"/>
    <w:rsid w:val="00F804C9"/>
    <w:rsid w:val="00F81549"/>
    <w:rsid w:val="00F816BA"/>
    <w:rsid w:val="00F82FA9"/>
    <w:rsid w:val="00F83197"/>
    <w:rsid w:val="00F83965"/>
    <w:rsid w:val="00F83BD1"/>
    <w:rsid w:val="00F84913"/>
    <w:rsid w:val="00F84B86"/>
    <w:rsid w:val="00F852F3"/>
    <w:rsid w:val="00F868A9"/>
    <w:rsid w:val="00F87294"/>
    <w:rsid w:val="00F87BE3"/>
    <w:rsid w:val="00F901AD"/>
    <w:rsid w:val="00F91A94"/>
    <w:rsid w:val="00F92C0A"/>
    <w:rsid w:val="00F930E7"/>
    <w:rsid w:val="00F933FB"/>
    <w:rsid w:val="00F96272"/>
    <w:rsid w:val="00F97268"/>
    <w:rsid w:val="00FA01A1"/>
    <w:rsid w:val="00FA0A99"/>
    <w:rsid w:val="00FA0C0E"/>
    <w:rsid w:val="00FA4058"/>
    <w:rsid w:val="00FA45DD"/>
    <w:rsid w:val="00FA564B"/>
    <w:rsid w:val="00FA6AF4"/>
    <w:rsid w:val="00FA7317"/>
    <w:rsid w:val="00FB096F"/>
    <w:rsid w:val="00FB38E4"/>
    <w:rsid w:val="00FB42FE"/>
    <w:rsid w:val="00FB5752"/>
    <w:rsid w:val="00FB6CAB"/>
    <w:rsid w:val="00FB706D"/>
    <w:rsid w:val="00FC0D38"/>
    <w:rsid w:val="00FC1253"/>
    <w:rsid w:val="00FC19C6"/>
    <w:rsid w:val="00FC25D4"/>
    <w:rsid w:val="00FC3265"/>
    <w:rsid w:val="00FC326E"/>
    <w:rsid w:val="00FC4EB4"/>
    <w:rsid w:val="00FC77A0"/>
    <w:rsid w:val="00FD2382"/>
    <w:rsid w:val="00FD24CC"/>
    <w:rsid w:val="00FD24F7"/>
    <w:rsid w:val="00FD3DE4"/>
    <w:rsid w:val="00FD4089"/>
    <w:rsid w:val="00FD510F"/>
    <w:rsid w:val="00FD5AF4"/>
    <w:rsid w:val="00FD6BF4"/>
    <w:rsid w:val="00FD6D6D"/>
    <w:rsid w:val="00FE0065"/>
    <w:rsid w:val="00FE0269"/>
    <w:rsid w:val="00FE0C9E"/>
    <w:rsid w:val="00FE115B"/>
    <w:rsid w:val="00FE1448"/>
    <w:rsid w:val="00FE1958"/>
    <w:rsid w:val="00FE1CE7"/>
    <w:rsid w:val="00FE1F35"/>
    <w:rsid w:val="00FE21B6"/>
    <w:rsid w:val="00FE2D63"/>
    <w:rsid w:val="00FE33F2"/>
    <w:rsid w:val="00FE4AAF"/>
    <w:rsid w:val="00FE6FB0"/>
    <w:rsid w:val="00FF03B7"/>
    <w:rsid w:val="00FF0B32"/>
    <w:rsid w:val="00FF35A3"/>
    <w:rsid w:val="00FF49D0"/>
    <w:rsid w:val="00FF688E"/>
    <w:rsid w:val="00FF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4FA13"/>
  <w15:docId w15:val="{6715712C-F332-4F71-B868-7E918C9F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link w:val="Heading3Char"/>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customStyle="1" w:styleId="FootNote0">
    <w:name w:val="_FootNote"/>
    <w:basedOn w:val="Normal"/>
    <w:qFormat/>
    <w:rsid w:val="008F151E"/>
    <w:pPr>
      <w:widowControl/>
      <w:tabs>
        <w:tab w:val="right" w:pos="400"/>
        <w:tab w:val="left" w:pos="600"/>
      </w:tabs>
      <w:spacing w:line="220" w:lineRule="exact"/>
      <w:ind w:firstLine="0"/>
    </w:pPr>
    <w:rPr>
      <w:rFonts w:ascii="Century Schoolbook" w:hAnsi="Century Schoolbook"/>
      <w:sz w:val="18"/>
    </w:rPr>
  </w:style>
  <w:style w:type="table" w:styleId="TableGrid">
    <w:name w:val="Table Grid"/>
    <w:basedOn w:val="TableNormal"/>
    <w:uiPriority w:val="59"/>
    <w:unhideWhenUsed/>
    <w:rsid w:val="00982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9C6"/>
    <w:pPr>
      <w:ind w:left="720"/>
      <w:contextualSpacing/>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3F1E58"/>
    <w:rPr>
      <w:rFonts w:ascii="CG Times" w:hAnsi="CG Times"/>
      <w:lang w:bidi="ar-SA"/>
    </w:rPr>
  </w:style>
  <w:style w:type="character" w:customStyle="1" w:styleId="Heading3Char">
    <w:name w:val="Heading 3 Char"/>
    <w:basedOn w:val="DefaultParagraphFont"/>
    <w:link w:val="Heading3"/>
    <w:rsid w:val="00145A78"/>
    <w:rPr>
      <w:rFonts w:ascii="CG Times" w:hAnsi="CG Times"/>
      <w:sz w:val="24"/>
      <w:lang w:bidi="ar-SA"/>
    </w:rPr>
  </w:style>
  <w:style w:type="paragraph" w:styleId="CommentSubject">
    <w:name w:val="annotation subject"/>
    <w:basedOn w:val="CommentText"/>
    <w:next w:val="CommentText"/>
    <w:link w:val="CommentSubjectChar"/>
    <w:uiPriority w:val="99"/>
    <w:semiHidden/>
    <w:unhideWhenUsed/>
    <w:rsid w:val="007A76BE"/>
    <w:rPr>
      <w:b/>
      <w:bCs/>
    </w:rPr>
  </w:style>
  <w:style w:type="character" w:customStyle="1" w:styleId="CommentTextChar">
    <w:name w:val="Comment Text Char"/>
    <w:basedOn w:val="DefaultParagraphFont"/>
    <w:link w:val="CommentText"/>
    <w:semiHidden/>
    <w:rsid w:val="007A76BE"/>
    <w:rPr>
      <w:rFonts w:ascii="CG Times" w:hAnsi="CG Times"/>
      <w:lang w:bidi="ar-SA"/>
    </w:rPr>
  </w:style>
  <w:style w:type="character" w:customStyle="1" w:styleId="CommentSubjectChar">
    <w:name w:val="Comment Subject Char"/>
    <w:basedOn w:val="CommentTextChar"/>
    <w:link w:val="CommentSubject"/>
    <w:uiPriority w:val="99"/>
    <w:semiHidden/>
    <w:rsid w:val="007A76BE"/>
    <w:rPr>
      <w:rFonts w:ascii="CG Times" w:hAnsi="CG Times"/>
      <w:b/>
      <w:bCs/>
      <w:lang w:bidi="ar-SA"/>
    </w:rPr>
  </w:style>
  <w:style w:type="character" w:styleId="Emphasis">
    <w:name w:val="Emphasis"/>
    <w:basedOn w:val="DefaultParagraphFont"/>
    <w:uiPriority w:val="20"/>
    <w:qFormat/>
    <w:rsid w:val="00530EAE"/>
    <w:rPr>
      <w:i/>
      <w:iCs/>
    </w:rPr>
  </w:style>
  <w:style w:type="character" w:styleId="UnresolvedMention">
    <w:name w:val="Unresolved Mention"/>
    <w:basedOn w:val="DefaultParagraphFont"/>
    <w:uiPriority w:val="99"/>
    <w:semiHidden/>
    <w:unhideWhenUsed/>
    <w:rsid w:val="0073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kuk6rupb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cid:ii_kui3b15s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race.tennessee.edu/utk_graddiss/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claschooloflaw-my.sharepoint.com/personal/furth_law_ucla_edu/Documents/Post%20Contract%20Discrimination/Graphs_discrimination_9.2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Return Outcomes by</a:t>
            </a:r>
            <a:r>
              <a:rPr lang="en-US" baseline="0"/>
              <a:t> Tester Race and Gender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Sheet1!$AA$135</c:f>
              <c:strCache>
                <c:ptCount val="1"/>
                <c:pt idx="0">
                  <c:v>WF</c:v>
                </c:pt>
              </c:strCache>
            </c:strRef>
          </c:tx>
          <c:spPr>
            <a:solidFill>
              <a:schemeClr val="accent1"/>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Sheet1!$AA$136:$AA$144</c:f>
              <c:numCache>
                <c:formatCode>0%</c:formatCode>
                <c:ptCount val="9"/>
                <c:pt idx="1">
                  <c:v>0.2</c:v>
                </c:pt>
                <c:pt idx="2">
                  <c:v>7.0000000000000007E-2</c:v>
                </c:pt>
                <c:pt idx="3">
                  <c:v>0.61</c:v>
                </c:pt>
                <c:pt idx="4">
                  <c:v>0.12</c:v>
                </c:pt>
                <c:pt idx="5">
                  <c:v>0.12</c:v>
                </c:pt>
                <c:pt idx="6">
                  <c:v>0.1</c:v>
                </c:pt>
                <c:pt idx="7">
                  <c:v>0.66</c:v>
                </c:pt>
                <c:pt idx="8">
                  <c:v>0.12</c:v>
                </c:pt>
              </c:numCache>
            </c:numRef>
          </c:val>
          <c:extLst>
            <c:ext xmlns:c16="http://schemas.microsoft.com/office/drawing/2014/chart" uri="{C3380CC4-5D6E-409C-BE32-E72D297353CC}">
              <c16:uniqueId val="{00000000-498D-4BC8-A471-A0195F5E7EEA}"/>
            </c:ext>
          </c:extLst>
        </c:ser>
        <c:ser>
          <c:idx val="1"/>
          <c:order val="1"/>
          <c:tx>
            <c:strRef>
              <c:f>Sheet1!$AB$135</c:f>
              <c:strCache>
                <c:ptCount val="1"/>
                <c:pt idx="0">
                  <c:v>WM</c:v>
                </c:pt>
              </c:strCache>
            </c:strRef>
          </c:tx>
          <c:spPr>
            <a:solidFill>
              <a:schemeClr val="accent2"/>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Sheet1!$AB$136:$AB$144</c:f>
              <c:numCache>
                <c:formatCode>0%</c:formatCode>
                <c:ptCount val="9"/>
                <c:pt idx="1">
                  <c:v>0.33</c:v>
                </c:pt>
                <c:pt idx="2">
                  <c:v>0.1</c:v>
                </c:pt>
                <c:pt idx="3">
                  <c:v>0.51</c:v>
                </c:pt>
                <c:pt idx="4">
                  <c:v>0.06</c:v>
                </c:pt>
                <c:pt idx="5">
                  <c:v>0.18</c:v>
                </c:pt>
                <c:pt idx="6">
                  <c:v>0.16</c:v>
                </c:pt>
                <c:pt idx="7">
                  <c:v>0.53</c:v>
                </c:pt>
                <c:pt idx="8">
                  <c:v>0.14000000000000001</c:v>
                </c:pt>
              </c:numCache>
            </c:numRef>
          </c:val>
          <c:extLst>
            <c:ext xmlns:c16="http://schemas.microsoft.com/office/drawing/2014/chart" uri="{C3380CC4-5D6E-409C-BE32-E72D297353CC}">
              <c16:uniqueId val="{00000001-498D-4BC8-A471-A0195F5E7EEA}"/>
            </c:ext>
          </c:extLst>
        </c:ser>
        <c:ser>
          <c:idx val="2"/>
          <c:order val="2"/>
          <c:tx>
            <c:strRef>
              <c:f>Sheet1!$AC$135</c:f>
              <c:strCache>
                <c:ptCount val="1"/>
                <c:pt idx="0">
                  <c:v>AAF</c:v>
                </c:pt>
              </c:strCache>
            </c:strRef>
          </c:tx>
          <c:spPr>
            <a:solidFill>
              <a:schemeClr val="accent3"/>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Sheet1!$AC$136:$AC$144</c:f>
              <c:numCache>
                <c:formatCode>0%</c:formatCode>
                <c:ptCount val="9"/>
                <c:pt idx="1">
                  <c:v>0.36</c:v>
                </c:pt>
                <c:pt idx="2">
                  <c:v>0.1</c:v>
                </c:pt>
                <c:pt idx="3">
                  <c:v>0.52</c:v>
                </c:pt>
                <c:pt idx="4">
                  <c:v>0.02</c:v>
                </c:pt>
                <c:pt idx="5">
                  <c:v>0.36</c:v>
                </c:pt>
                <c:pt idx="6">
                  <c:v>0.1</c:v>
                </c:pt>
                <c:pt idx="7">
                  <c:v>0.52</c:v>
                </c:pt>
                <c:pt idx="8">
                  <c:v>0.02</c:v>
                </c:pt>
              </c:numCache>
            </c:numRef>
          </c:val>
          <c:extLst>
            <c:ext xmlns:c16="http://schemas.microsoft.com/office/drawing/2014/chart" uri="{C3380CC4-5D6E-409C-BE32-E72D297353CC}">
              <c16:uniqueId val="{00000002-498D-4BC8-A471-A0195F5E7EEA}"/>
            </c:ext>
          </c:extLst>
        </c:ser>
        <c:ser>
          <c:idx val="3"/>
          <c:order val="3"/>
          <c:tx>
            <c:strRef>
              <c:f>Sheet1!$AD$135</c:f>
              <c:strCache>
                <c:ptCount val="1"/>
                <c:pt idx="0">
                  <c:v>AAM</c:v>
                </c:pt>
              </c:strCache>
            </c:strRef>
          </c:tx>
          <c:spPr>
            <a:solidFill>
              <a:schemeClr val="accent4"/>
            </a:solidFill>
            <a:ln>
              <a:noFill/>
            </a:ln>
            <a:effectLst/>
          </c:spPr>
          <c:invertIfNegative val="0"/>
          <c:cat>
            <c:multiLvlStrRef>
              <c:f>Sheet1!$Y$136:$Z$144</c:f>
              <c:multiLvlStrCache>
                <c:ptCount val="9"/>
                <c:lvl>
                  <c:pt idx="1">
                    <c:v>Return Denied </c:v>
                  </c:pt>
                  <c:pt idx="2">
                    <c:v>Exchange </c:v>
                  </c:pt>
                  <c:pt idx="3">
                    <c:v>Store Credit </c:v>
                  </c:pt>
                  <c:pt idx="4">
                    <c:v>Refund </c:v>
                  </c:pt>
                  <c:pt idx="5">
                    <c:v>Return Denied </c:v>
                  </c:pt>
                  <c:pt idx="6">
                    <c:v>Exchange </c:v>
                  </c:pt>
                  <c:pt idx="7">
                    <c:v>Store Credit </c:v>
                  </c:pt>
                  <c:pt idx="8">
                    <c:v>Refund </c:v>
                  </c:pt>
                </c:lvl>
                <c:lvl>
                  <c:pt idx="1">
                    <c:v>Initial Stage</c:v>
                  </c:pt>
                  <c:pt idx="5">
                    <c:v>Final Stage</c:v>
                  </c:pt>
                </c:lvl>
              </c:multiLvlStrCache>
            </c:multiLvlStrRef>
          </c:cat>
          <c:val>
            <c:numRef>
              <c:f>Sheet1!$AD$136:$AD$144</c:f>
              <c:numCache>
                <c:formatCode>0%</c:formatCode>
                <c:ptCount val="9"/>
                <c:pt idx="1">
                  <c:v>0.45</c:v>
                </c:pt>
                <c:pt idx="2">
                  <c:v>0.06</c:v>
                </c:pt>
                <c:pt idx="3">
                  <c:v>0.47</c:v>
                </c:pt>
                <c:pt idx="4">
                  <c:v>0.02</c:v>
                </c:pt>
                <c:pt idx="5">
                  <c:v>0.39</c:v>
                </c:pt>
                <c:pt idx="6">
                  <c:v>0.06</c:v>
                </c:pt>
                <c:pt idx="7">
                  <c:v>0.47</c:v>
                </c:pt>
                <c:pt idx="8">
                  <c:v>0.08</c:v>
                </c:pt>
              </c:numCache>
            </c:numRef>
          </c:val>
          <c:extLst>
            <c:ext xmlns:c16="http://schemas.microsoft.com/office/drawing/2014/chart" uri="{C3380CC4-5D6E-409C-BE32-E72D297353CC}">
              <c16:uniqueId val="{00000003-498D-4BC8-A471-A0195F5E7EEA}"/>
            </c:ext>
          </c:extLst>
        </c:ser>
        <c:dLbls>
          <c:showLegendKey val="0"/>
          <c:showVal val="0"/>
          <c:showCatName val="0"/>
          <c:showSerName val="0"/>
          <c:showPercent val="0"/>
          <c:showBubbleSize val="0"/>
        </c:dLbls>
        <c:gapWidth val="219"/>
        <c:overlap val="-27"/>
        <c:axId val="1737483343"/>
        <c:axId val="1737481679"/>
      </c:barChart>
      <c:catAx>
        <c:axId val="1737483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37481679"/>
        <c:crosses val="autoZero"/>
        <c:auto val="1"/>
        <c:lblAlgn val="ctr"/>
        <c:lblOffset val="100"/>
        <c:noMultiLvlLbl val="0"/>
      </c:catAx>
      <c:valAx>
        <c:axId val="1737481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37483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IL"/>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E72C-6E14-40F1-AA0A-6F144088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1</TotalTime>
  <Pages>35</Pages>
  <Words>8490</Words>
  <Characters>44831</Characters>
  <Application>Microsoft Office Word</Application>
  <DocSecurity>0</DocSecurity>
  <Lines>640</Lines>
  <Paragraphs>54</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53267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dc:creator>
  <cp:lastModifiedBy>Susan</cp:lastModifiedBy>
  <cp:revision>2</cp:revision>
  <cp:lastPrinted>2021-06-30T07:51:00Z</cp:lastPrinted>
  <dcterms:created xsi:type="dcterms:W3CDTF">2021-10-09T21:04:00Z</dcterms:created>
  <dcterms:modified xsi:type="dcterms:W3CDTF">2021-10-09T21:04:00Z</dcterms:modified>
</cp:coreProperties>
</file>