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FF442" w14:textId="77777777" w:rsidR="009D7247" w:rsidRDefault="009D7247" w:rsidP="009D7247">
      <w:pPr>
        <w:rPr>
          <w:lang w:val="en-US"/>
        </w:rPr>
      </w:pPr>
      <w:bookmarkStart w:id="0" w:name="_GoBack"/>
      <w:bookmarkEnd w:id="0"/>
      <w:r>
        <w:rPr>
          <w:rFonts w:hint="cs"/>
        </w:rPr>
        <w:t>R</w:t>
      </w:r>
      <w:proofErr w:type="spellStart"/>
      <w:r>
        <w:rPr>
          <w:lang w:val="en-US"/>
        </w:rPr>
        <w:t>eviewer</w:t>
      </w:r>
      <w:proofErr w:type="spellEnd"/>
      <w:r>
        <w:rPr>
          <w:lang w:val="en-US"/>
        </w:rPr>
        <w:t xml:space="preserve"> report 1</w:t>
      </w:r>
    </w:p>
    <w:p w14:paraId="178A35E9" w14:textId="77777777" w:rsidR="009D7247" w:rsidRPr="00357915" w:rsidRDefault="009D7247" w:rsidP="009D7247">
      <w:pPr>
        <w:spacing w:after="0" w:line="240" w:lineRule="auto"/>
        <w:rPr>
          <w:rFonts w:ascii="Arial" w:eastAsia="Times New Roman" w:hAnsi="Arial" w:cs="Arial"/>
          <w:color w:val="0A0A0A"/>
          <w:sz w:val="20"/>
          <w:szCs w:val="20"/>
          <w:lang w:eastAsia="en-IL"/>
        </w:rPr>
      </w:pPr>
      <w:r w:rsidRPr="00357915">
        <w:rPr>
          <w:rFonts w:ascii="Arial" w:eastAsia="Times New Roman" w:hAnsi="Arial" w:cs="Arial"/>
          <w:color w:val="0A0A0A"/>
          <w:sz w:val="20"/>
          <w:szCs w:val="20"/>
          <w:lang w:eastAsia="en-IL"/>
        </w:rPr>
        <w:t>English language and style</w:t>
      </w:r>
    </w:p>
    <w:p w14:paraId="2C42EC62" w14:textId="77777777" w:rsidR="009D7247" w:rsidRDefault="009D7247" w:rsidP="009D7247">
      <w:pPr>
        <w:spacing w:after="0" w:line="240" w:lineRule="auto"/>
        <w:rPr>
          <w:rFonts w:ascii="Arial" w:eastAsia="Times New Roman" w:hAnsi="Arial" w:cs="Arial"/>
          <w:color w:val="0A0A0A"/>
          <w:sz w:val="20"/>
          <w:szCs w:val="20"/>
          <w:lang w:eastAsia="en-IL"/>
        </w:rPr>
      </w:pPr>
      <w:proofErr w:type="gramStart"/>
      <w:r w:rsidRPr="00357915">
        <w:rPr>
          <w:rFonts w:ascii="Courier New" w:eastAsia="Times New Roman" w:hAnsi="Courier New" w:cs="Courier New"/>
          <w:color w:val="0A0A0A"/>
          <w:sz w:val="20"/>
          <w:szCs w:val="20"/>
          <w:lang w:eastAsia="en-IL"/>
        </w:rPr>
        <w:t>( )</w:t>
      </w:r>
      <w:proofErr w:type="gramEnd"/>
      <w:r w:rsidRPr="00357915">
        <w:rPr>
          <w:rFonts w:ascii="Courier New" w:eastAsia="Times New Roman" w:hAnsi="Courier New" w:cs="Courier New"/>
          <w:color w:val="0A0A0A"/>
          <w:sz w:val="20"/>
          <w:szCs w:val="20"/>
          <w:lang w:eastAsia="en-IL"/>
        </w:rPr>
        <w:t> </w:t>
      </w:r>
      <w:r w:rsidRPr="00357915">
        <w:rPr>
          <w:rFonts w:ascii="Arial" w:eastAsia="Times New Roman" w:hAnsi="Arial" w:cs="Arial"/>
          <w:color w:val="0A0A0A"/>
          <w:sz w:val="20"/>
          <w:szCs w:val="20"/>
          <w:lang w:eastAsia="en-IL"/>
        </w:rPr>
        <w:t>Extensive editing of English language and style required</w:t>
      </w:r>
      <w:r w:rsidRPr="00357915">
        <w:rPr>
          <w:rFonts w:ascii="Arial" w:eastAsia="Times New Roman" w:hAnsi="Arial" w:cs="Arial"/>
          <w:color w:val="0A0A0A"/>
          <w:sz w:val="20"/>
          <w:szCs w:val="20"/>
          <w:lang w:eastAsia="en-IL"/>
        </w:rPr>
        <w:br/>
      </w:r>
      <w:r w:rsidRPr="00357915">
        <w:rPr>
          <w:rFonts w:ascii="Courier New" w:eastAsia="Times New Roman" w:hAnsi="Courier New" w:cs="Courier New"/>
          <w:color w:val="0A0A0A"/>
          <w:sz w:val="20"/>
          <w:szCs w:val="20"/>
          <w:lang w:eastAsia="en-IL"/>
        </w:rPr>
        <w:t>( ) </w:t>
      </w:r>
      <w:r w:rsidRPr="00357915">
        <w:rPr>
          <w:rFonts w:ascii="Arial" w:eastAsia="Times New Roman" w:hAnsi="Arial" w:cs="Arial"/>
          <w:color w:val="0A0A0A"/>
          <w:sz w:val="20"/>
          <w:szCs w:val="20"/>
          <w:lang w:eastAsia="en-IL"/>
        </w:rPr>
        <w:t>Moderate English changes required</w:t>
      </w:r>
      <w:r w:rsidRPr="00357915">
        <w:rPr>
          <w:rFonts w:ascii="Arial" w:eastAsia="Times New Roman" w:hAnsi="Arial" w:cs="Arial"/>
          <w:color w:val="0A0A0A"/>
          <w:sz w:val="20"/>
          <w:szCs w:val="20"/>
          <w:lang w:eastAsia="en-IL"/>
        </w:rPr>
        <w:br/>
      </w:r>
      <w:r w:rsidRPr="00357915">
        <w:rPr>
          <w:rFonts w:ascii="Courier New" w:eastAsia="Times New Roman" w:hAnsi="Courier New" w:cs="Courier New"/>
          <w:color w:val="0A0A0A"/>
          <w:sz w:val="20"/>
          <w:szCs w:val="20"/>
          <w:lang w:eastAsia="en-IL"/>
        </w:rPr>
        <w:t>(x) </w:t>
      </w:r>
      <w:r w:rsidRPr="00357915">
        <w:rPr>
          <w:rFonts w:ascii="Arial" w:eastAsia="Times New Roman" w:hAnsi="Arial" w:cs="Arial"/>
          <w:color w:val="0A0A0A"/>
          <w:sz w:val="20"/>
          <w:szCs w:val="20"/>
          <w:lang w:eastAsia="en-IL"/>
        </w:rPr>
        <w:t>English language and style are fine/minor spell check required</w:t>
      </w:r>
      <w:r w:rsidRPr="00357915">
        <w:rPr>
          <w:rFonts w:ascii="Arial" w:eastAsia="Times New Roman" w:hAnsi="Arial" w:cs="Arial"/>
          <w:color w:val="0A0A0A"/>
          <w:sz w:val="20"/>
          <w:szCs w:val="20"/>
          <w:lang w:eastAsia="en-IL"/>
        </w:rPr>
        <w:br/>
      </w:r>
      <w:r w:rsidRPr="00357915">
        <w:rPr>
          <w:rFonts w:ascii="Courier New" w:eastAsia="Times New Roman" w:hAnsi="Courier New" w:cs="Courier New"/>
          <w:color w:val="0A0A0A"/>
          <w:sz w:val="20"/>
          <w:szCs w:val="20"/>
          <w:lang w:eastAsia="en-IL"/>
        </w:rPr>
        <w:t>( ) </w:t>
      </w:r>
      <w:r w:rsidRPr="00357915">
        <w:rPr>
          <w:rFonts w:ascii="Arial" w:eastAsia="Times New Roman" w:hAnsi="Arial" w:cs="Arial"/>
          <w:color w:val="0A0A0A"/>
          <w:sz w:val="20"/>
          <w:szCs w:val="20"/>
          <w:lang w:eastAsia="en-IL"/>
        </w:rPr>
        <w:t>I don't feel qualified to judge about the English language and style</w:t>
      </w:r>
    </w:p>
    <w:p w14:paraId="1E73430C" w14:textId="77777777" w:rsidR="009D7247" w:rsidRDefault="009D7247" w:rsidP="009D7247">
      <w:pPr>
        <w:spacing w:after="0" w:line="240" w:lineRule="auto"/>
        <w:rPr>
          <w:rFonts w:ascii="Arial" w:eastAsia="Times New Roman" w:hAnsi="Arial" w:cs="Arial"/>
          <w:color w:val="0A0A0A"/>
          <w:sz w:val="20"/>
          <w:szCs w:val="20"/>
          <w:lang w:eastAsia="en-IL"/>
        </w:rPr>
      </w:pPr>
    </w:p>
    <w:p w14:paraId="46DFD5DC" w14:textId="77777777" w:rsidR="009D7247" w:rsidRDefault="009D7247" w:rsidP="009D7247">
      <w:pPr>
        <w:spacing w:after="0" w:line="240" w:lineRule="auto"/>
        <w:rPr>
          <w:rFonts w:ascii="Arial" w:eastAsia="Times New Roman" w:hAnsi="Arial" w:cs="Arial"/>
          <w:color w:val="0A0A0A"/>
          <w:sz w:val="20"/>
          <w:szCs w:val="20"/>
          <w:lang w:eastAsia="en-IL"/>
        </w:rPr>
      </w:pPr>
    </w:p>
    <w:p w14:paraId="141C4319" w14:textId="77777777" w:rsidR="009D7247" w:rsidRPr="007724CC" w:rsidRDefault="009D7247" w:rsidP="009D7247">
      <w:pPr>
        <w:spacing w:after="0" w:line="240" w:lineRule="auto"/>
        <w:rPr>
          <w:rFonts w:ascii="Arial" w:eastAsia="Times New Roman" w:hAnsi="Arial" w:cs="Arial"/>
          <w:color w:val="0A0A0A"/>
          <w:sz w:val="20"/>
          <w:szCs w:val="20"/>
          <w:lang w:val="en-US" w:eastAsia="en-IL"/>
        </w:rPr>
      </w:pPr>
      <w:r>
        <w:rPr>
          <w:noProof/>
        </w:rPr>
        <w:drawing>
          <wp:inline distT="0" distB="0" distL="0" distR="0" wp14:anchorId="7157F6ED" wp14:editId="56A8CF0B">
            <wp:extent cx="5476875" cy="2444145"/>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6"/>
                    <a:stretch>
                      <a:fillRect/>
                    </a:stretch>
                  </pic:blipFill>
                  <pic:spPr>
                    <a:xfrm>
                      <a:off x="0" y="0"/>
                      <a:ext cx="5482226" cy="2446533"/>
                    </a:xfrm>
                    <a:prstGeom prst="rect">
                      <a:avLst/>
                    </a:prstGeom>
                  </pic:spPr>
                </pic:pic>
              </a:graphicData>
            </a:graphic>
          </wp:inline>
        </w:drawing>
      </w:r>
    </w:p>
    <w:p w14:paraId="237DF97B" w14:textId="7512D1BC" w:rsidR="00C000B6" w:rsidRDefault="00C000B6" w:rsidP="00C000B6">
      <w:pPr>
        <w:autoSpaceDE w:val="0"/>
        <w:autoSpaceDN w:val="0"/>
        <w:adjustRightInd w:val="0"/>
        <w:spacing w:after="0" w:line="276" w:lineRule="auto"/>
        <w:ind w:left="-426" w:right="-625"/>
        <w:jc w:val="both"/>
        <w:rPr>
          <w:rFonts w:eastAsia="Times New Roman" w:cstheme="majorBidi"/>
          <w:color w:val="0000FF"/>
        </w:rPr>
      </w:pPr>
      <w:bookmarkStart w:id="1" w:name="_Hlk80805373"/>
      <w:bookmarkStart w:id="2" w:name="_Hlk80614977"/>
      <w:r w:rsidRPr="00E76D2A">
        <w:rPr>
          <w:rFonts w:eastAsia="Times New Roman" w:cstheme="majorBidi"/>
          <w:color w:val="0000FF"/>
        </w:rPr>
        <w:t xml:space="preserve">We would like to thank you for your constructive comments. In the enclosed revised version, we tried our best to answer the points raised </w:t>
      </w:r>
      <w:r w:rsidR="007F2475">
        <w:rPr>
          <w:rFonts w:eastAsia="Times New Roman" w:cstheme="majorBidi"/>
          <w:color w:val="0000FF"/>
          <w:lang w:val="en-US"/>
        </w:rPr>
        <w:t xml:space="preserve">by all the </w:t>
      </w:r>
      <w:bookmarkStart w:id="3" w:name="_Hlk80805315"/>
      <w:r w:rsidR="007F2475">
        <w:rPr>
          <w:rFonts w:eastAsia="Times New Roman" w:cstheme="majorBidi"/>
          <w:color w:val="0000FF"/>
          <w:lang w:val="en-US"/>
        </w:rPr>
        <w:t xml:space="preserve">referees </w:t>
      </w:r>
      <w:r w:rsidRPr="00E76D2A">
        <w:rPr>
          <w:rFonts w:eastAsia="Times New Roman" w:cstheme="majorBidi"/>
          <w:color w:val="0000FF"/>
        </w:rPr>
        <w:t xml:space="preserve">and incorporate them into the revised manuscript. We </w:t>
      </w:r>
      <w:r w:rsidR="000841A5" w:rsidRPr="00E76D2A">
        <w:rPr>
          <w:rFonts w:eastAsia="Times New Roman" w:cstheme="majorBidi"/>
          <w:color w:val="0000FF"/>
        </w:rPr>
        <w:t>believe</w:t>
      </w:r>
      <w:r w:rsidRPr="00E76D2A">
        <w:rPr>
          <w:rFonts w:eastAsia="Times New Roman" w:cstheme="majorBidi"/>
          <w:color w:val="0000FF"/>
        </w:rPr>
        <w:t xml:space="preserve"> that </w:t>
      </w:r>
      <w:r w:rsidR="007F2475">
        <w:rPr>
          <w:rFonts w:eastAsia="Times New Roman" w:cstheme="majorBidi"/>
          <w:color w:val="0000FF"/>
          <w:lang w:val="en-US"/>
        </w:rPr>
        <w:t>your</w:t>
      </w:r>
      <w:r w:rsidRPr="00E76D2A">
        <w:rPr>
          <w:rFonts w:eastAsia="Times New Roman" w:cstheme="majorBidi"/>
          <w:color w:val="0000FF"/>
        </w:rPr>
        <w:t xml:space="preserve"> comments improved the clarity, </w:t>
      </w:r>
      <w:r w:rsidR="004909F7" w:rsidRPr="00E76D2A">
        <w:rPr>
          <w:rFonts w:eastAsia="Times New Roman" w:cstheme="majorBidi"/>
          <w:color w:val="0000FF"/>
        </w:rPr>
        <w:t>readability,</w:t>
      </w:r>
      <w:r w:rsidRPr="00E76D2A">
        <w:rPr>
          <w:rFonts w:eastAsia="Times New Roman" w:cstheme="majorBidi"/>
          <w:color w:val="0000FF"/>
        </w:rPr>
        <w:t xml:space="preserve"> and quality of the paper. They are addressed here in the order they appear in your report </w:t>
      </w:r>
      <w:r>
        <w:rPr>
          <w:rFonts w:eastAsia="Times New Roman" w:cstheme="majorBidi"/>
          <w:color w:val="0000FF"/>
        </w:rPr>
        <w:t>(</w:t>
      </w:r>
      <w:r w:rsidRPr="00E76D2A">
        <w:rPr>
          <w:rFonts w:eastAsia="Times New Roman" w:cstheme="majorBidi"/>
          <w:color w:val="0000FF"/>
        </w:rPr>
        <w:t>in bold</w:t>
      </w:r>
      <w:r>
        <w:rPr>
          <w:rFonts w:eastAsia="Times New Roman" w:cstheme="majorBidi"/>
          <w:color w:val="0000FF"/>
        </w:rPr>
        <w:t>)</w:t>
      </w:r>
      <w:r w:rsidRPr="00E76D2A">
        <w:rPr>
          <w:rFonts w:eastAsia="Times New Roman" w:cstheme="majorBidi"/>
          <w:color w:val="0000FF"/>
        </w:rPr>
        <w:t xml:space="preserve"> followed by our reply.</w:t>
      </w:r>
    </w:p>
    <w:bookmarkEnd w:id="1"/>
    <w:p w14:paraId="32D89F54" w14:textId="77777777" w:rsidR="00C000B6" w:rsidRDefault="00C000B6" w:rsidP="00C000B6">
      <w:pPr>
        <w:autoSpaceDE w:val="0"/>
        <w:autoSpaceDN w:val="0"/>
        <w:adjustRightInd w:val="0"/>
        <w:spacing w:after="0" w:line="276" w:lineRule="auto"/>
        <w:ind w:left="-426" w:right="-625"/>
        <w:jc w:val="both"/>
        <w:rPr>
          <w:rFonts w:eastAsia="Times New Roman" w:cstheme="majorBidi"/>
          <w:color w:val="0000FF"/>
        </w:rPr>
      </w:pPr>
    </w:p>
    <w:p w14:paraId="3B652378" w14:textId="7D8E8B6D" w:rsidR="00C000B6" w:rsidRPr="00A728C2" w:rsidRDefault="00C000B6" w:rsidP="00C000B6">
      <w:pPr>
        <w:autoSpaceDE w:val="0"/>
        <w:autoSpaceDN w:val="0"/>
        <w:adjustRightInd w:val="0"/>
        <w:spacing w:after="0" w:line="276" w:lineRule="auto"/>
        <w:ind w:left="-426" w:right="-625"/>
        <w:jc w:val="both"/>
        <w:rPr>
          <w:rFonts w:cstheme="majorBidi"/>
          <w:color w:val="0000FF"/>
        </w:rPr>
      </w:pPr>
      <w:r w:rsidRPr="00A728C2">
        <w:rPr>
          <w:rFonts w:cstheme="majorBidi"/>
          <w:color w:val="0000FF"/>
        </w:rPr>
        <w:t xml:space="preserve">In </w:t>
      </w:r>
      <w:r>
        <w:rPr>
          <w:rFonts w:cstheme="majorBidi"/>
          <w:color w:val="0000FF"/>
        </w:rPr>
        <w:t>the</w:t>
      </w:r>
      <w:r w:rsidRPr="00A728C2">
        <w:rPr>
          <w:rFonts w:cstheme="majorBidi"/>
          <w:color w:val="0000FF"/>
        </w:rPr>
        <w:t xml:space="preserve"> </w:t>
      </w:r>
      <w:r w:rsidR="00BE3175" w:rsidRPr="00A728C2">
        <w:rPr>
          <w:rFonts w:cstheme="majorBidi"/>
          <w:color w:val="0000FF"/>
        </w:rPr>
        <w:t>summary</w:t>
      </w:r>
      <w:r>
        <w:rPr>
          <w:rFonts w:cstheme="majorBidi"/>
          <w:color w:val="0000FF"/>
        </w:rPr>
        <w:t xml:space="preserve"> below</w:t>
      </w:r>
      <w:r w:rsidRPr="00A728C2">
        <w:rPr>
          <w:rFonts w:cstheme="majorBidi"/>
          <w:color w:val="0000FF"/>
        </w:rPr>
        <w:t xml:space="preserve">, we </w:t>
      </w:r>
      <w:r>
        <w:rPr>
          <w:rFonts w:cstheme="majorBidi"/>
          <w:color w:val="0000FF"/>
        </w:rPr>
        <w:t>describe shortly</w:t>
      </w:r>
      <w:r w:rsidRPr="00A728C2">
        <w:rPr>
          <w:rFonts w:cstheme="majorBidi"/>
          <w:color w:val="0000FF"/>
        </w:rPr>
        <w:t xml:space="preserve"> the following remedies to our paper following </w:t>
      </w:r>
      <w:r w:rsidR="000841A5">
        <w:rPr>
          <w:rFonts w:cstheme="majorBidi"/>
          <w:color w:val="0000FF"/>
          <w:lang w:val="en-US"/>
        </w:rPr>
        <w:t>all</w:t>
      </w:r>
      <w:r w:rsidR="00796D92">
        <w:rPr>
          <w:rFonts w:cstheme="majorBidi"/>
          <w:color w:val="0000FF"/>
          <w:lang w:val="en-US"/>
        </w:rPr>
        <w:t xml:space="preserve"> the referee </w:t>
      </w:r>
      <w:r w:rsidRPr="00A728C2">
        <w:rPr>
          <w:rFonts w:cstheme="majorBidi"/>
          <w:color w:val="0000FF"/>
        </w:rPr>
        <w:t>comments:</w:t>
      </w:r>
    </w:p>
    <w:p w14:paraId="1B46D852" w14:textId="5A1BB122" w:rsidR="009D7247" w:rsidRPr="00BE3175" w:rsidRDefault="000841A5" w:rsidP="00BE3175">
      <w:pPr>
        <w:pStyle w:val="ListParagraph"/>
        <w:numPr>
          <w:ilvl w:val="0"/>
          <w:numId w:val="6"/>
        </w:numPr>
        <w:autoSpaceDE w:val="0"/>
        <w:autoSpaceDN w:val="0"/>
        <w:adjustRightInd w:val="0"/>
        <w:spacing w:after="0" w:line="276" w:lineRule="auto"/>
        <w:ind w:left="284" w:right="-625" w:hanging="284"/>
        <w:jc w:val="both"/>
        <w:rPr>
          <w:rFonts w:cstheme="majorBidi"/>
          <w:color w:val="0000FF"/>
        </w:rPr>
      </w:pPr>
      <w:r>
        <w:rPr>
          <w:rFonts w:cstheme="majorBidi"/>
          <w:color w:val="0000FF"/>
          <w:lang w:val="en-US"/>
        </w:rPr>
        <w:t>T</w:t>
      </w:r>
      <w:r w:rsidR="00C000B6" w:rsidRPr="00BE3175">
        <w:rPr>
          <w:rFonts w:cstheme="majorBidi"/>
          <w:color w:val="0000FF"/>
        </w:rPr>
        <w:t xml:space="preserve">he </w:t>
      </w:r>
      <w:r>
        <w:rPr>
          <w:rFonts w:cstheme="majorBidi"/>
          <w:color w:val="0000FF"/>
          <w:lang w:val="en-US"/>
        </w:rPr>
        <w:t xml:space="preserve">sample </w:t>
      </w:r>
      <w:r w:rsidR="00C000B6" w:rsidRPr="00BE3175">
        <w:rPr>
          <w:rFonts w:cstheme="majorBidi"/>
          <w:color w:val="0000FF"/>
        </w:rPr>
        <w:t xml:space="preserve">period for the CAAR </w:t>
      </w:r>
      <w:r w:rsidR="00796D92" w:rsidRPr="00BE3175">
        <w:rPr>
          <w:rFonts w:cstheme="majorBidi"/>
          <w:color w:val="0000FF"/>
        </w:rPr>
        <w:t>calculation</w:t>
      </w:r>
      <w:r>
        <w:rPr>
          <w:rFonts w:cstheme="majorBidi"/>
          <w:color w:val="0000FF"/>
          <w:lang w:val="en-US"/>
        </w:rPr>
        <w:t xml:space="preserve"> has been extended. In addition to the original period </w:t>
      </w:r>
      <w:r w:rsidRPr="00BE3175">
        <w:rPr>
          <w:rFonts w:cstheme="majorBidi"/>
          <w:color w:val="0000FF"/>
        </w:rPr>
        <w:t>(</w:t>
      </w:r>
      <w:r w:rsidR="00796D92" w:rsidRPr="00BE3175">
        <w:rPr>
          <w:rFonts w:cstheme="majorBidi"/>
          <w:color w:val="0000FF"/>
        </w:rPr>
        <w:t xml:space="preserve">2013 </w:t>
      </w:r>
      <w:r>
        <w:rPr>
          <w:rFonts w:cstheme="majorBidi"/>
          <w:color w:val="0000FF"/>
          <w:rtl/>
          <w:lang w:val="en-US"/>
        </w:rPr>
        <w:t>–</w:t>
      </w:r>
      <w:r w:rsidR="00796D92" w:rsidRPr="00BE3175">
        <w:rPr>
          <w:rFonts w:cstheme="majorBidi"/>
          <w:color w:val="0000FF"/>
        </w:rPr>
        <w:t xml:space="preserve"> 2017</w:t>
      </w:r>
      <w:r>
        <w:rPr>
          <w:rFonts w:cstheme="majorBidi"/>
          <w:color w:val="0000FF"/>
          <w:lang w:val="en-US"/>
        </w:rPr>
        <w:t>)</w:t>
      </w:r>
      <w:r w:rsidR="00796D92" w:rsidRPr="00BE3175">
        <w:rPr>
          <w:rFonts w:cstheme="majorBidi"/>
          <w:color w:val="0000FF"/>
        </w:rPr>
        <w:t xml:space="preserve">, </w:t>
      </w:r>
      <w:r>
        <w:rPr>
          <w:rFonts w:cstheme="majorBidi"/>
          <w:color w:val="0000FF"/>
          <w:lang w:val="en-US"/>
        </w:rPr>
        <w:t>we add the years 2018-2019 to the sample</w:t>
      </w:r>
      <w:r w:rsidR="00BE3175" w:rsidRPr="00BE3175">
        <w:rPr>
          <w:rFonts w:cstheme="majorBidi" w:hint="cs"/>
          <w:color w:val="0000FF"/>
          <w:rtl/>
          <w:lang w:val="en-US"/>
        </w:rPr>
        <w:t xml:space="preserve">. </w:t>
      </w:r>
      <w:r w:rsidR="00BE3175" w:rsidRPr="00BE3175">
        <w:rPr>
          <w:rFonts w:cstheme="majorBidi"/>
          <w:color w:val="0000FF"/>
        </w:rPr>
        <w:t xml:space="preserve"> </w:t>
      </w:r>
      <w:r>
        <w:rPr>
          <w:rFonts w:cstheme="majorBidi"/>
          <w:color w:val="0000FF"/>
          <w:lang w:val="en-US"/>
        </w:rPr>
        <w:t>T</w:t>
      </w:r>
      <w:r w:rsidR="00796D92" w:rsidRPr="00BE3175">
        <w:rPr>
          <w:rFonts w:cstheme="majorBidi"/>
          <w:color w:val="0000FF"/>
        </w:rPr>
        <w:t xml:space="preserve">his </w:t>
      </w:r>
      <w:r>
        <w:rPr>
          <w:rFonts w:cstheme="majorBidi"/>
          <w:color w:val="0000FF"/>
          <w:lang w:val="en-US"/>
        </w:rPr>
        <w:t>addition</w:t>
      </w:r>
      <w:r w:rsidR="00BE3175" w:rsidRPr="00BE3175">
        <w:rPr>
          <w:rFonts w:cstheme="majorBidi"/>
          <w:color w:val="0000FF"/>
        </w:rPr>
        <w:t xml:space="preserve"> more than doubled the sample size</w:t>
      </w:r>
      <w:r w:rsidR="00C000B6" w:rsidRPr="00BE3175">
        <w:rPr>
          <w:rFonts w:cstheme="majorBidi"/>
          <w:color w:val="0000FF"/>
        </w:rPr>
        <w:t>.</w:t>
      </w:r>
    </w:p>
    <w:p w14:paraId="1CB37DC4" w14:textId="624167CD" w:rsidR="00C000B6" w:rsidRPr="00BE3175" w:rsidRDefault="000841A5" w:rsidP="00BE3175">
      <w:pPr>
        <w:pStyle w:val="ListParagraph"/>
        <w:numPr>
          <w:ilvl w:val="0"/>
          <w:numId w:val="6"/>
        </w:numPr>
        <w:autoSpaceDE w:val="0"/>
        <w:autoSpaceDN w:val="0"/>
        <w:adjustRightInd w:val="0"/>
        <w:spacing w:after="0" w:line="276" w:lineRule="auto"/>
        <w:ind w:left="284" w:right="-625" w:hanging="284"/>
        <w:rPr>
          <w:rFonts w:cstheme="majorBidi"/>
          <w:color w:val="0000FF"/>
        </w:rPr>
      </w:pPr>
      <w:r>
        <w:rPr>
          <w:rFonts w:cstheme="majorBidi"/>
          <w:color w:val="0000FF"/>
          <w:lang w:val="en-US"/>
        </w:rPr>
        <w:t>T</w:t>
      </w:r>
      <w:r w:rsidR="00796D92" w:rsidRPr="00BE3175">
        <w:rPr>
          <w:rFonts w:cstheme="majorBidi"/>
          <w:color w:val="0000FF"/>
          <w:lang w:val="en-US"/>
        </w:rPr>
        <w:t>he literature revie</w:t>
      </w:r>
      <w:r w:rsidR="00EC0F69">
        <w:rPr>
          <w:rFonts w:cstheme="majorBidi"/>
          <w:color w:val="0000FF"/>
          <w:lang w:val="en-US"/>
        </w:rPr>
        <w:t>w</w:t>
      </w:r>
      <w:r>
        <w:rPr>
          <w:rFonts w:cstheme="majorBidi"/>
          <w:color w:val="0000FF"/>
          <w:lang w:val="en-US"/>
        </w:rPr>
        <w:t xml:space="preserve"> </w:t>
      </w:r>
      <w:r w:rsidR="00EC0F69">
        <w:rPr>
          <w:rFonts w:cstheme="majorBidi"/>
          <w:color w:val="0000FF"/>
          <w:lang w:val="en-US"/>
        </w:rPr>
        <w:t>was</w:t>
      </w:r>
      <w:r>
        <w:rPr>
          <w:rFonts w:cstheme="majorBidi"/>
          <w:color w:val="0000FF"/>
          <w:lang w:val="en-US"/>
        </w:rPr>
        <w:t xml:space="preserve"> revised.</w:t>
      </w:r>
      <w:r w:rsidR="00796D92" w:rsidRPr="00BE3175">
        <w:rPr>
          <w:rFonts w:cstheme="majorBidi"/>
          <w:color w:val="0000FF"/>
          <w:lang w:val="en-US"/>
        </w:rPr>
        <w:t xml:space="preserve"> </w:t>
      </w:r>
      <w:r>
        <w:rPr>
          <w:rFonts w:cstheme="majorBidi"/>
          <w:color w:val="0000FF"/>
          <w:lang w:val="en-US"/>
        </w:rPr>
        <w:t xml:space="preserve">Four </w:t>
      </w:r>
      <w:r w:rsidRPr="00BE3175">
        <w:rPr>
          <w:rFonts w:cstheme="majorBidi" w:hint="cs"/>
          <w:color w:val="0000FF"/>
          <w:lang w:val="en-US"/>
        </w:rPr>
        <w:t>papers</w:t>
      </w:r>
      <w:r w:rsidR="00796D92" w:rsidRPr="00BE3175">
        <w:rPr>
          <w:rFonts w:cstheme="majorBidi"/>
          <w:color w:val="0000FF"/>
          <w:lang w:val="en-US"/>
        </w:rPr>
        <w:t xml:space="preserve"> </w:t>
      </w:r>
      <w:r>
        <w:rPr>
          <w:rFonts w:cstheme="majorBidi"/>
          <w:color w:val="0000FF"/>
          <w:lang w:val="en-US"/>
        </w:rPr>
        <w:t xml:space="preserve">that </w:t>
      </w:r>
      <w:r w:rsidR="001A21BF">
        <w:rPr>
          <w:rFonts w:cstheme="majorBidi"/>
          <w:color w:val="0000FF"/>
          <w:lang w:val="en-US"/>
        </w:rPr>
        <w:t>delt with stock behavior</w:t>
      </w:r>
      <w:r w:rsidR="00796D92" w:rsidRPr="00BE3175">
        <w:rPr>
          <w:rFonts w:cstheme="majorBidi"/>
          <w:color w:val="0000FF"/>
          <w:lang w:val="en-US"/>
        </w:rPr>
        <w:t xml:space="preserve"> </w:t>
      </w:r>
      <w:r>
        <w:rPr>
          <w:rFonts w:cstheme="majorBidi"/>
          <w:color w:val="0000FF"/>
          <w:lang w:val="en-US"/>
        </w:rPr>
        <w:t xml:space="preserve">at </w:t>
      </w:r>
      <w:r w:rsidR="00796D92" w:rsidRPr="00BE3175">
        <w:rPr>
          <w:rFonts w:cstheme="majorBidi"/>
          <w:color w:val="0000FF"/>
          <w:lang w:val="en-US"/>
        </w:rPr>
        <w:t xml:space="preserve">the </w:t>
      </w:r>
      <w:r>
        <w:rPr>
          <w:rFonts w:cstheme="majorBidi"/>
          <w:color w:val="0000FF"/>
          <w:lang w:val="en-US"/>
        </w:rPr>
        <w:t xml:space="preserve">end of the </w:t>
      </w:r>
      <w:r w:rsidR="00796D92" w:rsidRPr="00BE3175">
        <w:rPr>
          <w:rFonts w:cstheme="majorBidi"/>
          <w:color w:val="0000FF"/>
          <w:lang w:val="en-US"/>
        </w:rPr>
        <w:t xml:space="preserve">lockup period </w:t>
      </w:r>
      <w:r>
        <w:rPr>
          <w:rFonts w:cstheme="majorBidi"/>
          <w:color w:val="0000FF"/>
          <w:lang w:val="en-US"/>
        </w:rPr>
        <w:t xml:space="preserve">were omitted </w:t>
      </w:r>
      <w:r w:rsidR="00796D92" w:rsidRPr="00BE3175">
        <w:rPr>
          <w:rFonts w:cstheme="majorBidi"/>
          <w:color w:val="0000FF"/>
          <w:lang w:val="en-US"/>
        </w:rPr>
        <w:t xml:space="preserve">and </w:t>
      </w:r>
      <w:r w:rsidRPr="00BE3175">
        <w:rPr>
          <w:rFonts w:cstheme="majorBidi"/>
          <w:color w:val="0000FF"/>
          <w:lang w:val="en-US"/>
        </w:rPr>
        <w:t>13 recent</w:t>
      </w:r>
      <w:r w:rsidR="001115DF" w:rsidRPr="00BE3175">
        <w:rPr>
          <w:rFonts w:cstheme="majorBidi"/>
          <w:color w:val="0000FF"/>
          <w:lang w:val="en-US"/>
        </w:rPr>
        <w:t xml:space="preserve"> relevant papers </w:t>
      </w:r>
      <w:r>
        <w:rPr>
          <w:rFonts w:cstheme="majorBidi"/>
          <w:color w:val="0000FF"/>
          <w:lang w:val="en-US"/>
        </w:rPr>
        <w:t>were added</w:t>
      </w:r>
      <w:r w:rsidR="00796D92" w:rsidRPr="00BE3175">
        <w:rPr>
          <w:rFonts w:cstheme="majorBidi"/>
          <w:color w:val="0000FF"/>
          <w:lang w:val="en-US"/>
        </w:rPr>
        <w:t>.</w:t>
      </w:r>
    </w:p>
    <w:p w14:paraId="6A5CED8A" w14:textId="007F6BBB" w:rsidR="009662EB" w:rsidRPr="009662EB" w:rsidRDefault="001A21BF" w:rsidP="00BE3175">
      <w:pPr>
        <w:pStyle w:val="ListParagraph"/>
        <w:numPr>
          <w:ilvl w:val="0"/>
          <w:numId w:val="6"/>
        </w:numPr>
        <w:autoSpaceDE w:val="0"/>
        <w:autoSpaceDN w:val="0"/>
        <w:adjustRightInd w:val="0"/>
        <w:spacing w:after="0" w:line="276" w:lineRule="auto"/>
        <w:ind w:left="284" w:right="-625" w:hanging="284"/>
        <w:rPr>
          <w:rFonts w:cstheme="majorBidi"/>
          <w:color w:val="0000FF"/>
        </w:rPr>
      </w:pPr>
      <w:r w:rsidRPr="00724F2D">
        <w:rPr>
          <w:rFonts w:cstheme="majorBidi"/>
          <w:color w:val="0000FF"/>
        </w:rPr>
        <w:t>To</w:t>
      </w:r>
      <w:r w:rsidR="009662EB" w:rsidRPr="00724F2D">
        <w:rPr>
          <w:rFonts w:cstheme="majorBidi"/>
          <w:color w:val="0000FF"/>
        </w:rPr>
        <w:t xml:space="preserve"> </w:t>
      </w:r>
      <w:r w:rsidRPr="00724F2D">
        <w:rPr>
          <w:rFonts w:cstheme="majorBidi"/>
          <w:color w:val="0000FF"/>
        </w:rPr>
        <w:t>shorten</w:t>
      </w:r>
      <w:r w:rsidR="009662EB" w:rsidRPr="00724F2D">
        <w:rPr>
          <w:rFonts w:cstheme="majorBidi"/>
          <w:color w:val="0000FF"/>
        </w:rPr>
        <w:t xml:space="preserve"> the </w:t>
      </w:r>
      <w:r w:rsidR="00724F2D" w:rsidRPr="00724F2D">
        <w:rPr>
          <w:rFonts w:cstheme="majorBidi"/>
          <w:color w:val="0000FF"/>
        </w:rPr>
        <w:t>paper,</w:t>
      </w:r>
      <w:r w:rsidR="00724F2D">
        <w:rPr>
          <w:rFonts w:cstheme="majorBidi"/>
          <w:color w:val="0000FF"/>
          <w:lang w:val="en-US"/>
        </w:rPr>
        <w:t xml:space="preserve"> we perform the followings:  </w:t>
      </w:r>
      <w:proofErr w:type="spellStart"/>
      <w:r w:rsidR="00724F2D">
        <w:rPr>
          <w:rFonts w:cstheme="majorBidi"/>
          <w:color w:val="0000FF"/>
          <w:lang w:val="en-US"/>
        </w:rPr>
        <w:t>i</w:t>
      </w:r>
      <w:proofErr w:type="spellEnd"/>
      <w:r w:rsidR="00724F2D">
        <w:rPr>
          <w:rFonts w:cstheme="majorBidi"/>
          <w:color w:val="0000FF"/>
          <w:lang w:val="en-US"/>
        </w:rPr>
        <w:t>)</w:t>
      </w:r>
      <w:r w:rsidR="009662EB" w:rsidRPr="00724F2D">
        <w:rPr>
          <w:rFonts w:cstheme="majorBidi"/>
          <w:color w:val="0000FF"/>
        </w:rPr>
        <w:t xml:space="preserve"> the introduction </w:t>
      </w:r>
      <w:r w:rsidR="000841A5" w:rsidRPr="00724F2D">
        <w:rPr>
          <w:rFonts w:cstheme="majorBidi"/>
          <w:color w:val="0000FF"/>
        </w:rPr>
        <w:t>was revised</w:t>
      </w:r>
      <w:r w:rsidR="00724F2D">
        <w:rPr>
          <w:rFonts w:cstheme="majorBidi"/>
          <w:color w:val="0000FF"/>
          <w:lang w:val="en-US"/>
        </w:rPr>
        <w:t>. ii)</w:t>
      </w:r>
      <w:r w:rsidR="000841A5" w:rsidRPr="00724F2D">
        <w:rPr>
          <w:rFonts w:cstheme="majorBidi"/>
          <w:color w:val="0000FF"/>
        </w:rPr>
        <w:t xml:space="preserve"> </w:t>
      </w:r>
      <w:r w:rsidR="00724F2D">
        <w:rPr>
          <w:rFonts w:cstheme="majorBidi"/>
          <w:color w:val="0000FF"/>
          <w:lang w:val="en-US"/>
        </w:rPr>
        <w:t>T</w:t>
      </w:r>
      <w:r w:rsidR="00EC0F69" w:rsidRPr="00724F2D">
        <w:rPr>
          <w:rFonts w:cstheme="majorBidi"/>
          <w:color w:val="0000FF"/>
        </w:rPr>
        <w:t xml:space="preserve">he </w:t>
      </w:r>
      <w:r w:rsidR="009662EB" w:rsidRPr="00724F2D">
        <w:rPr>
          <w:rFonts w:cstheme="majorBidi"/>
          <w:color w:val="0000FF"/>
        </w:rPr>
        <w:t>detailed description of the IPO regulatory periods (former section 1.2</w:t>
      </w:r>
      <w:r w:rsidR="00724F2D" w:rsidRPr="00724F2D">
        <w:rPr>
          <w:rFonts w:cstheme="majorBidi"/>
          <w:color w:val="0000FF"/>
        </w:rPr>
        <w:t>)</w:t>
      </w:r>
      <w:r w:rsidR="00724F2D">
        <w:rPr>
          <w:rFonts w:cstheme="majorBidi"/>
          <w:color w:val="0000FF"/>
          <w:lang w:val="en-US"/>
        </w:rPr>
        <w:t xml:space="preserve"> was deleted. iii)</w:t>
      </w:r>
      <w:r w:rsidR="00724F2D" w:rsidRPr="00724F2D">
        <w:rPr>
          <w:rFonts w:cstheme="majorBidi"/>
          <w:color w:val="0000FF"/>
        </w:rPr>
        <w:t xml:space="preserve"> table</w:t>
      </w:r>
      <w:r w:rsidR="00EC0F69" w:rsidRPr="00724F2D">
        <w:rPr>
          <w:rFonts w:cstheme="majorBidi"/>
          <w:color w:val="0000FF"/>
        </w:rPr>
        <w:t xml:space="preserve"> 7 with Granger’s causality tests </w:t>
      </w:r>
      <w:r w:rsidR="00724F2D" w:rsidRPr="00724F2D">
        <w:rPr>
          <w:rFonts w:cstheme="majorBidi"/>
          <w:color w:val="0000FF"/>
        </w:rPr>
        <w:t xml:space="preserve">was also deleted </w:t>
      </w:r>
      <w:r w:rsidR="00EC0F69" w:rsidRPr="00724F2D">
        <w:rPr>
          <w:rFonts w:cstheme="majorBidi"/>
          <w:color w:val="0000FF"/>
        </w:rPr>
        <w:t>as we consider its contributions as marginal</w:t>
      </w:r>
      <w:r w:rsidR="00BE002B" w:rsidRPr="00724F2D">
        <w:rPr>
          <w:rFonts w:cstheme="majorBidi"/>
          <w:color w:val="0000FF"/>
        </w:rPr>
        <w:t>.</w:t>
      </w:r>
    </w:p>
    <w:p w14:paraId="429EB9F4" w14:textId="0D8D31A8" w:rsidR="00EC0588" w:rsidRPr="00EC0588" w:rsidRDefault="007369E1" w:rsidP="008E4635">
      <w:pPr>
        <w:pStyle w:val="ListParagraph"/>
        <w:numPr>
          <w:ilvl w:val="0"/>
          <w:numId w:val="6"/>
        </w:numPr>
        <w:autoSpaceDE w:val="0"/>
        <w:autoSpaceDN w:val="0"/>
        <w:adjustRightInd w:val="0"/>
        <w:spacing w:after="0" w:line="276" w:lineRule="auto"/>
        <w:ind w:left="284" w:right="-625" w:hanging="284"/>
        <w:jc w:val="both"/>
        <w:rPr>
          <w:color w:val="0000FF"/>
          <w:lang w:val="en-US"/>
        </w:rPr>
      </w:pPr>
      <w:r w:rsidRPr="00EC0588">
        <w:rPr>
          <w:rFonts w:cstheme="majorBidi"/>
          <w:color w:val="0000FF"/>
          <w:lang w:val="en-US"/>
        </w:rPr>
        <w:t xml:space="preserve">Tables 1 and 2 were re-edited and are now more informative. Table 3 has been </w:t>
      </w:r>
      <w:r w:rsidR="00731DAE" w:rsidRPr="00EC0588">
        <w:rPr>
          <w:rFonts w:cstheme="majorBidi"/>
          <w:color w:val="0000FF"/>
          <w:lang w:val="en-US"/>
        </w:rPr>
        <w:t xml:space="preserve">updated </w:t>
      </w:r>
      <w:r w:rsidR="00724F2D">
        <w:rPr>
          <w:rFonts w:cstheme="majorBidi"/>
          <w:color w:val="0000FF"/>
          <w:lang w:val="en-US"/>
        </w:rPr>
        <w:t xml:space="preserve">due to sample extension </w:t>
      </w:r>
      <w:r w:rsidR="00731DAE" w:rsidRPr="00EC0588">
        <w:rPr>
          <w:rFonts w:cstheme="majorBidi"/>
          <w:color w:val="0000FF"/>
          <w:lang w:val="en-US"/>
        </w:rPr>
        <w:t xml:space="preserve">and </w:t>
      </w:r>
      <w:r w:rsidR="00731DAE" w:rsidRPr="00EC0588">
        <w:rPr>
          <w:rFonts w:cstheme="majorBidi"/>
          <w:color w:val="0000FF"/>
        </w:rPr>
        <w:t>the CAA</w:t>
      </w:r>
      <w:r w:rsidR="00724F2D">
        <w:rPr>
          <w:rFonts w:cstheme="majorBidi"/>
          <w:color w:val="0000FF"/>
          <w:lang w:val="en-US"/>
        </w:rPr>
        <w:t>R</w:t>
      </w:r>
      <w:r w:rsidR="00731DAE" w:rsidRPr="00EC0588">
        <w:rPr>
          <w:rFonts w:cstheme="majorBidi"/>
          <w:color w:val="0000FF"/>
        </w:rPr>
        <w:t xml:space="preserve"> results </w:t>
      </w:r>
      <w:r w:rsidR="00724F2D">
        <w:rPr>
          <w:rFonts w:cstheme="majorBidi"/>
          <w:color w:val="0000FF"/>
          <w:lang w:val="en-US"/>
        </w:rPr>
        <w:t>re</w:t>
      </w:r>
      <w:r w:rsidR="00731DAE" w:rsidRPr="00EC0588">
        <w:rPr>
          <w:rFonts w:cstheme="majorBidi"/>
          <w:color w:val="0000FF"/>
        </w:rPr>
        <w:t>calculated for the extended sample</w:t>
      </w:r>
      <w:r w:rsidR="00731DAE" w:rsidRPr="00EC0588">
        <w:rPr>
          <w:rFonts w:cstheme="majorBidi"/>
          <w:color w:val="0000FF"/>
          <w:lang w:val="en-US"/>
        </w:rPr>
        <w:t xml:space="preserve">. In </w:t>
      </w:r>
      <w:r w:rsidR="00BB4BDD" w:rsidRPr="00EC0588">
        <w:rPr>
          <w:rFonts w:cstheme="majorBidi"/>
          <w:color w:val="0000FF"/>
          <w:lang w:val="en-US"/>
        </w:rPr>
        <w:t>addition,</w:t>
      </w:r>
      <w:r w:rsidR="00731DAE" w:rsidRPr="00EC0588">
        <w:rPr>
          <w:rFonts w:cstheme="majorBidi"/>
          <w:color w:val="0000FF"/>
          <w:lang w:val="en-US"/>
        </w:rPr>
        <w:t xml:space="preserve"> the results are now displayed in</w:t>
      </w:r>
      <w:r w:rsidRPr="00EC0588">
        <w:rPr>
          <w:rFonts w:cstheme="majorBidi"/>
          <w:color w:val="0000FF"/>
          <w:lang w:val="en-US"/>
        </w:rPr>
        <w:t xml:space="preserve"> a single panel to increase its </w:t>
      </w:r>
      <w:r w:rsidR="00731DAE" w:rsidRPr="00EC0588">
        <w:rPr>
          <w:rFonts w:cstheme="majorBidi"/>
          <w:color w:val="0000FF"/>
          <w:lang w:val="en-US"/>
        </w:rPr>
        <w:t>readability.</w:t>
      </w:r>
    </w:p>
    <w:p w14:paraId="787D56A3" w14:textId="21F92171" w:rsidR="001A6641" w:rsidRPr="001A6641" w:rsidRDefault="00724F2D" w:rsidP="00806D4A">
      <w:pPr>
        <w:pStyle w:val="ListParagraph"/>
        <w:numPr>
          <w:ilvl w:val="0"/>
          <w:numId w:val="6"/>
        </w:numPr>
        <w:autoSpaceDE w:val="0"/>
        <w:autoSpaceDN w:val="0"/>
        <w:adjustRightInd w:val="0"/>
        <w:spacing w:after="0" w:line="276" w:lineRule="auto"/>
        <w:ind w:left="284" w:right="-625" w:hanging="284"/>
        <w:jc w:val="both"/>
        <w:rPr>
          <w:color w:val="0000FF"/>
          <w:lang w:val="en-US"/>
        </w:rPr>
      </w:pPr>
      <w:r>
        <w:rPr>
          <w:rFonts w:cstheme="majorBidi" w:hint="cs"/>
          <w:color w:val="0000FF"/>
          <w:lang w:val="en-US"/>
        </w:rPr>
        <w:t>T</w:t>
      </w:r>
      <w:r w:rsidRPr="00724F2D">
        <w:rPr>
          <w:rFonts w:cstheme="majorBidi"/>
          <w:color w:val="0000FF"/>
          <w:lang w:val="en-US"/>
        </w:rPr>
        <w:t xml:space="preserve">o strengthen </w:t>
      </w:r>
      <w:r>
        <w:rPr>
          <w:rFonts w:cstheme="majorBidi"/>
          <w:color w:val="0000FF"/>
          <w:lang w:val="en-US"/>
        </w:rPr>
        <w:t xml:space="preserve">and pinpointing </w:t>
      </w:r>
      <w:r w:rsidRPr="00724F2D">
        <w:rPr>
          <w:rFonts w:cstheme="majorBidi"/>
          <w:color w:val="0000FF"/>
          <w:lang w:val="en-US"/>
        </w:rPr>
        <w:t xml:space="preserve">the value of $ 500M as </w:t>
      </w:r>
      <w:r>
        <w:rPr>
          <w:rFonts w:cstheme="majorBidi"/>
          <w:color w:val="0000FF"/>
          <w:lang w:val="en-US"/>
        </w:rPr>
        <w:t xml:space="preserve">a separator between “poor” and </w:t>
      </w:r>
      <w:r w:rsidRPr="00724F2D">
        <w:rPr>
          <w:rFonts w:cstheme="majorBidi"/>
          <w:color w:val="0000FF"/>
          <w:lang w:val="en-US"/>
        </w:rPr>
        <w:t xml:space="preserve">"rich", we did </w:t>
      </w:r>
      <w:r>
        <w:rPr>
          <w:rFonts w:cstheme="majorBidi"/>
          <w:color w:val="0000FF"/>
          <w:lang w:val="en-US"/>
        </w:rPr>
        <w:t>robustness</w:t>
      </w:r>
      <w:r w:rsidRPr="00724F2D">
        <w:rPr>
          <w:rFonts w:cstheme="majorBidi"/>
          <w:color w:val="0000FF"/>
          <w:lang w:val="en-US"/>
        </w:rPr>
        <w:t xml:space="preserve"> tests for additional values</w:t>
      </w:r>
      <w:r>
        <w:rPr>
          <w:rFonts w:cstheme="majorBidi"/>
          <w:color w:val="0000FF"/>
          <w:lang w:val="en-US"/>
        </w:rPr>
        <w:t>.</w:t>
      </w:r>
      <w:r w:rsidR="008E4635" w:rsidRPr="001A6641">
        <w:rPr>
          <w:rFonts w:cstheme="majorBidi"/>
          <w:color w:val="0000FF"/>
          <w:lang w:val="en-US"/>
        </w:rPr>
        <w:t xml:space="preserve"> The results are displayed in appendix A. </w:t>
      </w:r>
    </w:p>
    <w:p w14:paraId="6A8789ED" w14:textId="1201CADA" w:rsidR="00EC0588" w:rsidRPr="001A6641" w:rsidRDefault="001A6641" w:rsidP="00806D4A">
      <w:pPr>
        <w:pStyle w:val="ListParagraph"/>
        <w:numPr>
          <w:ilvl w:val="0"/>
          <w:numId w:val="6"/>
        </w:numPr>
        <w:autoSpaceDE w:val="0"/>
        <w:autoSpaceDN w:val="0"/>
        <w:adjustRightInd w:val="0"/>
        <w:spacing w:after="0" w:line="276" w:lineRule="auto"/>
        <w:ind w:left="284" w:right="-625" w:hanging="284"/>
        <w:jc w:val="both"/>
        <w:rPr>
          <w:color w:val="0000FF"/>
          <w:lang w:val="en-US"/>
        </w:rPr>
      </w:pPr>
      <w:r>
        <w:rPr>
          <w:rFonts w:cstheme="majorBidi"/>
          <w:color w:val="0000FF"/>
          <w:lang w:val="en-US"/>
        </w:rPr>
        <w:t>T</w:t>
      </w:r>
      <w:r w:rsidR="00EC0588" w:rsidRPr="001A6641">
        <w:rPr>
          <w:rFonts w:cstheme="majorBidi"/>
          <w:color w:val="0000FF"/>
          <w:lang w:val="en-US"/>
        </w:rPr>
        <w:t xml:space="preserve">he regression </w:t>
      </w:r>
      <w:r>
        <w:rPr>
          <w:rFonts w:cstheme="majorBidi"/>
          <w:color w:val="0000FF"/>
          <w:lang w:val="en-US"/>
        </w:rPr>
        <w:t xml:space="preserve">analysis was revised. </w:t>
      </w:r>
      <w:r w:rsidR="00EC0588" w:rsidRPr="001A6641">
        <w:rPr>
          <w:rFonts w:cstheme="majorBidi"/>
          <w:color w:val="0000FF"/>
          <w:lang w:val="en-US"/>
        </w:rPr>
        <w:t xml:space="preserve"> </w:t>
      </w:r>
      <w:proofErr w:type="spellStart"/>
      <w:r w:rsidR="00716C76">
        <w:rPr>
          <w:rFonts w:cstheme="majorBidi"/>
          <w:color w:val="0000FF"/>
          <w:lang w:val="en-US"/>
        </w:rPr>
        <w:t>i</w:t>
      </w:r>
      <w:proofErr w:type="spellEnd"/>
      <w:r w:rsidR="00716C76">
        <w:rPr>
          <w:rFonts w:cstheme="majorBidi"/>
          <w:color w:val="0000FF"/>
          <w:lang w:val="en-US"/>
        </w:rPr>
        <w:t xml:space="preserve">) </w:t>
      </w:r>
      <w:r w:rsidR="00724F2D">
        <w:rPr>
          <w:rFonts w:cstheme="majorBidi"/>
          <w:color w:val="0000FF"/>
          <w:lang w:val="en-US"/>
        </w:rPr>
        <w:t xml:space="preserve">for regressions of return as a dependent variable </w:t>
      </w:r>
      <w:r w:rsidR="00724F2D" w:rsidRPr="001A6641">
        <w:rPr>
          <w:rFonts w:cstheme="majorBidi"/>
          <w:color w:val="0000FF"/>
          <w:lang w:val="en-US"/>
        </w:rPr>
        <w:t>(table 6 panel A</w:t>
      </w:r>
      <w:r w:rsidR="00724F2D">
        <w:rPr>
          <w:rFonts w:cstheme="majorBidi"/>
          <w:color w:val="0000FF"/>
          <w:lang w:val="en-US"/>
        </w:rPr>
        <w:t>),</w:t>
      </w:r>
      <w:r w:rsidR="00724F2D" w:rsidRPr="001A6641">
        <w:rPr>
          <w:rFonts w:cstheme="majorBidi"/>
          <w:color w:val="0000FF"/>
          <w:lang w:val="en-US"/>
        </w:rPr>
        <w:t xml:space="preserve"> </w:t>
      </w:r>
      <w:r w:rsidR="00724F2D">
        <w:rPr>
          <w:rFonts w:cstheme="majorBidi"/>
          <w:color w:val="0000FF"/>
          <w:lang w:val="en-US"/>
        </w:rPr>
        <w:t>we</w:t>
      </w:r>
      <w:r w:rsidR="00EC0588" w:rsidRPr="001A6641">
        <w:rPr>
          <w:rFonts w:cstheme="majorBidi"/>
          <w:color w:val="0000FF"/>
          <w:lang w:val="en-US"/>
        </w:rPr>
        <w:t xml:space="preserve"> replace the beta independent variable with RM variable for a better specified model</w:t>
      </w:r>
      <w:r>
        <w:rPr>
          <w:rFonts w:cstheme="majorBidi"/>
          <w:color w:val="0000FF"/>
          <w:lang w:val="en-US"/>
        </w:rPr>
        <w:t xml:space="preserve"> </w:t>
      </w:r>
      <w:r w:rsidR="00716C76">
        <w:rPr>
          <w:rFonts w:cstheme="majorBidi"/>
          <w:color w:val="0000FF"/>
          <w:lang w:val="en-US"/>
        </w:rPr>
        <w:t xml:space="preserve">ii) </w:t>
      </w:r>
      <w:r w:rsidR="00EC0588" w:rsidRPr="001A6641">
        <w:rPr>
          <w:color w:val="0000FF"/>
          <w:lang w:val="en-US"/>
        </w:rPr>
        <w:t>We re-estimate</w:t>
      </w:r>
      <w:r w:rsidR="00724F2D">
        <w:rPr>
          <w:color w:val="0000FF"/>
          <w:lang w:val="en-US"/>
        </w:rPr>
        <w:t>d</w:t>
      </w:r>
      <w:r w:rsidR="00EC0588" w:rsidRPr="001A6641">
        <w:rPr>
          <w:color w:val="0000FF"/>
          <w:lang w:val="en-US"/>
        </w:rPr>
        <w:t xml:space="preserve"> betas for the years IPO+1 and IPO+2 based on a time window ending 10 trading days before the first observation of that year</w:t>
      </w:r>
      <w:r w:rsidR="00724F2D">
        <w:rPr>
          <w:color w:val="0000FF"/>
          <w:lang w:val="en-US"/>
        </w:rPr>
        <w:t>,</w:t>
      </w:r>
      <w:r w:rsidR="00EC0588" w:rsidRPr="001A6641">
        <w:rPr>
          <w:color w:val="0000FF"/>
          <w:lang w:val="en-US"/>
        </w:rPr>
        <w:t xml:space="preserve"> to ensure updated betas</w:t>
      </w:r>
      <w:r w:rsidR="00716C76">
        <w:rPr>
          <w:color w:val="0000FF"/>
          <w:lang w:val="en-US"/>
        </w:rPr>
        <w:t>.</w:t>
      </w:r>
      <w:r w:rsidR="00EC0588" w:rsidRPr="001A6641">
        <w:rPr>
          <w:color w:val="0000FF"/>
          <w:lang w:val="en-US"/>
        </w:rPr>
        <w:t xml:space="preserve"> The AR part (Panel B of table 6) was recalculated, embracing the new betas. </w:t>
      </w:r>
    </w:p>
    <w:bookmarkEnd w:id="2"/>
    <w:bookmarkEnd w:id="3"/>
    <w:p w14:paraId="33679774" w14:textId="77777777" w:rsidR="007369E1" w:rsidRPr="007369E1" w:rsidRDefault="007369E1" w:rsidP="007369E1">
      <w:pPr>
        <w:autoSpaceDE w:val="0"/>
        <w:autoSpaceDN w:val="0"/>
        <w:adjustRightInd w:val="0"/>
        <w:spacing w:after="0" w:line="276" w:lineRule="auto"/>
        <w:ind w:right="-625"/>
        <w:rPr>
          <w:rFonts w:cstheme="majorBidi"/>
          <w:color w:val="0000FF"/>
        </w:rPr>
      </w:pPr>
    </w:p>
    <w:tbl>
      <w:tblPr>
        <w:tblW w:w="14399" w:type="dxa"/>
        <w:tblCellMar>
          <w:left w:w="0" w:type="dxa"/>
          <w:right w:w="0" w:type="dxa"/>
        </w:tblCellMar>
        <w:tblLook w:val="04A0" w:firstRow="1" w:lastRow="0" w:firstColumn="1" w:lastColumn="0" w:noHBand="0" w:noVBand="1"/>
      </w:tblPr>
      <w:tblGrid>
        <w:gridCol w:w="14399"/>
      </w:tblGrid>
      <w:tr w:rsidR="009D7247" w:rsidRPr="00357915" w14:paraId="0C17DD9E" w14:textId="77777777" w:rsidTr="0031432A">
        <w:tc>
          <w:tcPr>
            <w:tcW w:w="0" w:type="auto"/>
            <w:vAlign w:val="center"/>
            <w:hideMark/>
          </w:tcPr>
          <w:p w14:paraId="07E58B26" w14:textId="77777777" w:rsidR="009D7247" w:rsidRPr="00357915" w:rsidRDefault="009D7247" w:rsidP="0031432A">
            <w:pPr>
              <w:spacing w:after="0" w:line="240" w:lineRule="auto"/>
              <w:rPr>
                <w:rFonts w:ascii="Arial" w:eastAsia="Times New Roman" w:hAnsi="Arial" w:cs="Arial"/>
                <w:color w:val="0A0A0A"/>
                <w:sz w:val="20"/>
                <w:szCs w:val="20"/>
                <w:lang w:eastAsia="en-IL"/>
              </w:rPr>
            </w:pPr>
          </w:p>
        </w:tc>
      </w:tr>
    </w:tbl>
    <w:p w14:paraId="0A9D9B57" w14:textId="77777777" w:rsidR="009D7247" w:rsidRPr="00357915" w:rsidRDefault="009D7247" w:rsidP="009D7247">
      <w:pPr>
        <w:spacing w:after="0" w:line="240" w:lineRule="auto"/>
        <w:rPr>
          <w:rFonts w:ascii="Times New Roman" w:eastAsia="Times New Roman" w:hAnsi="Times New Roman" w:cs="Times New Roman"/>
          <w:vanish/>
          <w:sz w:val="24"/>
          <w:szCs w:val="24"/>
          <w:lang w:eastAsia="en-IL"/>
        </w:rPr>
      </w:pPr>
    </w:p>
    <w:p w14:paraId="5B5D2122" w14:textId="77777777" w:rsidR="009D7247" w:rsidRPr="00357915" w:rsidRDefault="009D7247" w:rsidP="009D7247">
      <w:pPr>
        <w:spacing w:after="0" w:line="240" w:lineRule="auto"/>
        <w:rPr>
          <w:rFonts w:ascii="Arial" w:eastAsia="Times New Roman" w:hAnsi="Arial" w:cs="Arial"/>
          <w:color w:val="0A0A0A"/>
          <w:sz w:val="18"/>
          <w:szCs w:val="18"/>
          <w:lang w:eastAsia="en-IL"/>
        </w:rPr>
      </w:pPr>
      <w:r w:rsidRPr="00357915">
        <w:rPr>
          <w:rFonts w:ascii="Arial" w:eastAsia="Times New Roman" w:hAnsi="Arial" w:cs="Arial"/>
          <w:color w:val="0A0A0A"/>
          <w:sz w:val="18"/>
          <w:szCs w:val="18"/>
          <w:lang w:eastAsia="en-IL"/>
        </w:rPr>
        <w:t>Comments and Suggestions for Authors</w:t>
      </w:r>
    </w:p>
    <w:p w14:paraId="1ECD0EF6" w14:textId="77777777" w:rsidR="009D7247" w:rsidRPr="00357915" w:rsidRDefault="009D7247" w:rsidP="009D7247">
      <w:pPr>
        <w:spacing w:before="100" w:beforeAutospacing="1" w:after="100" w:afterAutospacing="1" w:line="240" w:lineRule="auto"/>
        <w:rPr>
          <w:rFonts w:ascii="Arial" w:eastAsia="Times New Roman" w:hAnsi="Arial" w:cs="Arial"/>
          <w:color w:val="0A0A0A"/>
          <w:sz w:val="18"/>
          <w:szCs w:val="18"/>
          <w:lang w:eastAsia="en-IL"/>
        </w:rPr>
      </w:pPr>
      <w:r w:rsidRPr="00357915">
        <w:rPr>
          <w:rFonts w:ascii="Arial" w:eastAsia="Times New Roman" w:hAnsi="Arial" w:cs="Arial"/>
          <w:color w:val="0A0A0A"/>
          <w:sz w:val="18"/>
          <w:szCs w:val="18"/>
          <w:lang w:eastAsia="en-IL"/>
        </w:rPr>
        <w:lastRenderedPageBreak/>
        <w:t>Dear authors,</w:t>
      </w:r>
    </w:p>
    <w:p w14:paraId="3BC3C5A4" w14:textId="77777777" w:rsidR="009D7247" w:rsidRPr="00357915" w:rsidRDefault="009D7247" w:rsidP="009D7247">
      <w:pPr>
        <w:spacing w:before="100" w:beforeAutospacing="1" w:after="100" w:afterAutospacing="1" w:line="240" w:lineRule="auto"/>
        <w:rPr>
          <w:rFonts w:ascii="Arial" w:eastAsia="Times New Roman" w:hAnsi="Arial" w:cs="Arial"/>
          <w:color w:val="0A0A0A"/>
          <w:sz w:val="20"/>
          <w:szCs w:val="20"/>
          <w:lang w:eastAsia="en-IL"/>
        </w:rPr>
      </w:pPr>
      <w:r w:rsidRPr="00357915">
        <w:rPr>
          <w:rFonts w:ascii="Arial" w:eastAsia="Times New Roman" w:hAnsi="Arial" w:cs="Arial"/>
          <w:color w:val="0A0A0A"/>
          <w:sz w:val="20"/>
          <w:szCs w:val="20"/>
          <w:lang w:eastAsia="en-IL"/>
        </w:rPr>
        <w:t>Below I place synthetic remarks regarding the article</w:t>
      </w:r>
    </w:p>
    <w:p w14:paraId="6081E8FC" w14:textId="1E7B867A" w:rsidR="009D7247" w:rsidRDefault="009D7247" w:rsidP="00C000B6">
      <w:pPr>
        <w:numPr>
          <w:ilvl w:val="0"/>
          <w:numId w:val="1"/>
        </w:numPr>
        <w:tabs>
          <w:tab w:val="clear" w:pos="720"/>
          <w:tab w:val="num" w:pos="284"/>
        </w:tabs>
        <w:spacing w:before="75" w:after="75" w:line="240" w:lineRule="auto"/>
        <w:ind w:left="0" w:firstLine="0"/>
        <w:rPr>
          <w:rFonts w:ascii="Arial" w:eastAsia="Times New Roman" w:hAnsi="Arial" w:cs="Arial"/>
          <w:b/>
          <w:bCs/>
          <w:color w:val="0A0A0A"/>
          <w:sz w:val="20"/>
          <w:szCs w:val="20"/>
          <w:lang w:eastAsia="en-IL"/>
        </w:rPr>
      </w:pPr>
      <w:r w:rsidRPr="00C000B6">
        <w:rPr>
          <w:rFonts w:ascii="Arial" w:eastAsia="Times New Roman" w:hAnsi="Arial" w:cs="Arial"/>
          <w:b/>
          <w:bCs/>
          <w:color w:val="0A0A0A"/>
          <w:sz w:val="20"/>
          <w:szCs w:val="20"/>
          <w:lang w:eastAsia="en-IL"/>
        </w:rPr>
        <w:t>Literature requires a firm update for articles from 2018 and later</w:t>
      </w:r>
    </w:p>
    <w:p w14:paraId="76B238A8" w14:textId="03B1BA0E" w:rsidR="00875A55" w:rsidRDefault="00B30EF2" w:rsidP="00B30EF2">
      <w:pPr>
        <w:autoSpaceDE w:val="0"/>
        <w:autoSpaceDN w:val="0"/>
        <w:adjustRightInd w:val="0"/>
        <w:spacing w:after="0" w:line="276" w:lineRule="auto"/>
        <w:ind w:left="-426" w:right="-625"/>
        <w:jc w:val="both"/>
        <w:rPr>
          <w:rFonts w:eastAsia="Times New Roman" w:cstheme="majorBidi"/>
          <w:color w:val="0000FF"/>
          <w:lang w:val="en-US"/>
        </w:rPr>
      </w:pPr>
      <w:bookmarkStart w:id="4" w:name="_Hlk80615245"/>
      <w:r>
        <w:rPr>
          <w:rFonts w:eastAsia="Times New Roman" w:cstheme="majorBidi"/>
          <w:color w:val="0000FF"/>
          <w:lang w:val="en-US"/>
        </w:rPr>
        <w:t xml:space="preserve">Thank you for bringing this fact to my attention. While rewriting the literature review. I hold in mind your comment that the article </w:t>
      </w:r>
      <w:r w:rsidR="003E3553">
        <w:rPr>
          <w:rFonts w:eastAsia="Times New Roman" w:cstheme="majorBidi"/>
          <w:color w:val="0000FF"/>
          <w:lang w:val="en-US"/>
        </w:rPr>
        <w:t>wa</w:t>
      </w:r>
      <w:r>
        <w:rPr>
          <w:rFonts w:eastAsia="Times New Roman" w:cstheme="majorBidi"/>
          <w:color w:val="0000FF"/>
          <w:lang w:val="en-US"/>
        </w:rPr>
        <w:t xml:space="preserve">s too long. Hence, I omitted the section dealt with stocks behavior </w:t>
      </w:r>
      <w:r w:rsidR="003E3553">
        <w:rPr>
          <w:rFonts w:eastAsia="Times New Roman" w:cstheme="majorBidi"/>
          <w:color w:val="0000FF"/>
          <w:lang w:val="en-US"/>
        </w:rPr>
        <w:t>at</w:t>
      </w:r>
      <w:r>
        <w:rPr>
          <w:rFonts w:eastAsia="Times New Roman" w:cstheme="majorBidi"/>
          <w:color w:val="0000FF"/>
          <w:lang w:val="en-US"/>
        </w:rPr>
        <w:t xml:space="preserve"> the expiration of the lock-up period</w:t>
      </w:r>
      <w:r w:rsidR="008342F0">
        <w:rPr>
          <w:rFonts w:eastAsia="Times New Roman" w:cstheme="majorBidi"/>
          <w:color w:val="0000FF"/>
          <w:lang w:val="en-US"/>
        </w:rPr>
        <w:t xml:space="preserve"> which seems now less relevant</w:t>
      </w:r>
      <w:r w:rsidR="00440375">
        <w:rPr>
          <w:rFonts w:eastAsia="Times New Roman" w:cstheme="majorBidi"/>
          <w:color w:val="0000FF"/>
          <w:lang w:val="en-US"/>
        </w:rPr>
        <w:t xml:space="preserve">. </w:t>
      </w:r>
      <w:r w:rsidR="00731DAE">
        <w:rPr>
          <w:rFonts w:eastAsia="Times New Roman" w:cstheme="majorBidi"/>
          <w:color w:val="0000FF"/>
          <w:lang w:val="en-US"/>
        </w:rPr>
        <w:t>As a result,</w:t>
      </w:r>
      <w:r w:rsidR="00440375">
        <w:rPr>
          <w:rFonts w:eastAsia="Times New Roman" w:cstheme="majorBidi"/>
          <w:color w:val="0000FF"/>
          <w:lang w:val="en-US"/>
        </w:rPr>
        <w:t xml:space="preserve"> the following papers were removed from the revised version. </w:t>
      </w:r>
    </w:p>
    <w:p w14:paraId="01CF22F1" w14:textId="027C2988" w:rsidR="00875A55" w:rsidRDefault="00875A55" w:rsidP="00B30EF2">
      <w:pPr>
        <w:autoSpaceDE w:val="0"/>
        <w:autoSpaceDN w:val="0"/>
        <w:adjustRightInd w:val="0"/>
        <w:spacing w:after="0" w:line="276" w:lineRule="auto"/>
        <w:ind w:left="-426" w:right="-625"/>
        <w:jc w:val="both"/>
        <w:rPr>
          <w:rFonts w:eastAsia="Times New Roman" w:cstheme="majorBidi"/>
          <w:color w:val="0000FF"/>
          <w:lang w:val="en-US"/>
        </w:rPr>
      </w:pPr>
    </w:p>
    <w:p w14:paraId="14CF518F" w14:textId="77777777" w:rsidR="00875A55" w:rsidRPr="00875A55" w:rsidRDefault="00875A55" w:rsidP="00875A55">
      <w:pPr>
        <w:pStyle w:val="ListParagraph"/>
        <w:numPr>
          <w:ilvl w:val="0"/>
          <w:numId w:val="4"/>
        </w:numPr>
        <w:autoSpaceDE w:val="0"/>
        <w:autoSpaceDN w:val="0"/>
        <w:adjustRightInd w:val="0"/>
        <w:spacing w:after="0" w:line="276" w:lineRule="auto"/>
        <w:ind w:left="142" w:right="-625" w:hanging="426"/>
        <w:jc w:val="both"/>
        <w:rPr>
          <w:rFonts w:eastAsia="Times New Roman" w:cstheme="majorBidi"/>
          <w:color w:val="0000FF"/>
          <w:lang w:val="en-US"/>
        </w:rPr>
      </w:pPr>
      <w:proofErr w:type="spellStart"/>
      <w:r w:rsidRPr="00875A55">
        <w:rPr>
          <w:rFonts w:eastAsia="Times New Roman" w:cstheme="majorBidi"/>
          <w:color w:val="0000FF"/>
          <w:lang w:val="en-US"/>
        </w:rPr>
        <w:t>Ofek</w:t>
      </w:r>
      <w:proofErr w:type="spellEnd"/>
      <w:r w:rsidRPr="00875A55">
        <w:rPr>
          <w:rFonts w:eastAsia="Times New Roman" w:cstheme="majorBidi"/>
          <w:color w:val="0000FF"/>
          <w:lang w:val="en-US"/>
        </w:rPr>
        <w:t>, E. (2000). The IPO lock-up period: Implications for market efficiency and downward sloping demand curves.</w:t>
      </w:r>
    </w:p>
    <w:p w14:paraId="412F68CB" w14:textId="04A78587" w:rsidR="00875A55" w:rsidRPr="00875A55" w:rsidRDefault="00875A55" w:rsidP="00875A55">
      <w:pPr>
        <w:pStyle w:val="ListParagraph"/>
        <w:numPr>
          <w:ilvl w:val="0"/>
          <w:numId w:val="4"/>
        </w:numPr>
        <w:autoSpaceDE w:val="0"/>
        <w:autoSpaceDN w:val="0"/>
        <w:adjustRightInd w:val="0"/>
        <w:spacing w:after="0" w:line="276" w:lineRule="auto"/>
        <w:ind w:left="142" w:right="-625" w:hanging="426"/>
        <w:jc w:val="both"/>
        <w:rPr>
          <w:rFonts w:eastAsia="Times New Roman" w:cstheme="majorBidi"/>
          <w:color w:val="0000FF"/>
          <w:lang w:val="en-US"/>
        </w:rPr>
      </w:pPr>
      <w:r w:rsidRPr="00875A55">
        <w:rPr>
          <w:rFonts w:eastAsia="Times New Roman" w:cstheme="majorBidi"/>
          <w:color w:val="0000FF"/>
          <w:lang w:val="en-US"/>
        </w:rPr>
        <w:t xml:space="preserve">Bradley, D. J., Jordan, B. D., Yi, H. C., &amp; </w:t>
      </w:r>
      <w:proofErr w:type="spellStart"/>
      <w:r w:rsidRPr="00875A55">
        <w:rPr>
          <w:rFonts w:eastAsia="Times New Roman" w:cstheme="majorBidi"/>
          <w:color w:val="0000FF"/>
          <w:lang w:val="en-US"/>
        </w:rPr>
        <w:t>Roten</w:t>
      </w:r>
      <w:proofErr w:type="spellEnd"/>
      <w:r w:rsidRPr="00875A55">
        <w:rPr>
          <w:rFonts w:eastAsia="Times New Roman" w:cstheme="majorBidi"/>
          <w:color w:val="0000FF"/>
          <w:lang w:val="en-US"/>
        </w:rPr>
        <w:t>, I. C. (2001). Venture capital and IPO lockup expiration: An empirical analysis. Journal of Financial Research, 24(4), 465-493.</w:t>
      </w:r>
    </w:p>
    <w:p w14:paraId="2E7E499E" w14:textId="77777777" w:rsidR="00875A55" w:rsidRPr="00875A55" w:rsidRDefault="00875A55" w:rsidP="00875A55">
      <w:pPr>
        <w:pStyle w:val="ListParagraph"/>
        <w:numPr>
          <w:ilvl w:val="0"/>
          <w:numId w:val="4"/>
        </w:numPr>
        <w:autoSpaceDE w:val="0"/>
        <w:autoSpaceDN w:val="0"/>
        <w:adjustRightInd w:val="0"/>
        <w:spacing w:after="0" w:line="276" w:lineRule="auto"/>
        <w:ind w:left="142" w:right="-625" w:hanging="426"/>
        <w:jc w:val="both"/>
        <w:rPr>
          <w:rFonts w:eastAsia="Times New Roman" w:cstheme="majorBidi"/>
          <w:color w:val="0000FF"/>
          <w:lang w:val="en-US"/>
        </w:rPr>
      </w:pPr>
      <w:proofErr w:type="spellStart"/>
      <w:r w:rsidRPr="00875A55">
        <w:rPr>
          <w:rFonts w:eastAsia="Times New Roman" w:cstheme="majorBidi"/>
          <w:color w:val="0000FF"/>
          <w:lang w:val="en-US"/>
        </w:rPr>
        <w:t>Brav</w:t>
      </w:r>
      <w:proofErr w:type="spellEnd"/>
      <w:r w:rsidRPr="00875A55">
        <w:rPr>
          <w:rFonts w:eastAsia="Times New Roman" w:cstheme="majorBidi"/>
          <w:color w:val="0000FF"/>
          <w:lang w:val="en-US"/>
        </w:rPr>
        <w:t>, A., &amp; Gompers, P. A. (2003). The role of lockups in initial public offerings. The Review of Financial Studies, 16(1), 1-29.</w:t>
      </w:r>
      <w:r w:rsidRPr="00875A55">
        <w:rPr>
          <w:rFonts w:eastAsia="Times New Roman" w:cstheme="majorBidi"/>
          <w:color w:val="0000FF"/>
          <w:rtl/>
          <w:lang w:val="en-US"/>
        </w:rPr>
        <w:t>‏</w:t>
      </w:r>
    </w:p>
    <w:p w14:paraId="23FB8EF1" w14:textId="77777777" w:rsidR="00875A55" w:rsidRPr="00875A55" w:rsidRDefault="00875A55" w:rsidP="00875A55">
      <w:pPr>
        <w:pStyle w:val="ListParagraph"/>
        <w:numPr>
          <w:ilvl w:val="0"/>
          <w:numId w:val="4"/>
        </w:numPr>
        <w:autoSpaceDE w:val="0"/>
        <w:autoSpaceDN w:val="0"/>
        <w:adjustRightInd w:val="0"/>
        <w:spacing w:after="0" w:line="276" w:lineRule="auto"/>
        <w:ind w:left="142" w:right="-625" w:hanging="426"/>
        <w:jc w:val="both"/>
        <w:rPr>
          <w:rFonts w:eastAsia="Times New Roman" w:cstheme="majorBidi"/>
          <w:color w:val="0000FF"/>
          <w:lang w:val="en-US"/>
        </w:rPr>
      </w:pPr>
      <w:r w:rsidRPr="00875A55">
        <w:rPr>
          <w:rFonts w:eastAsia="Times New Roman" w:cstheme="majorBidi"/>
          <w:color w:val="0000FF"/>
          <w:lang w:val="en-US"/>
        </w:rPr>
        <w:t xml:space="preserve">Field, L. C., &amp; </w:t>
      </w:r>
      <w:proofErr w:type="spellStart"/>
      <w:r w:rsidRPr="00875A55">
        <w:rPr>
          <w:rFonts w:eastAsia="Times New Roman" w:cstheme="majorBidi"/>
          <w:color w:val="0000FF"/>
          <w:lang w:val="en-US"/>
        </w:rPr>
        <w:t>Hanka</w:t>
      </w:r>
      <w:proofErr w:type="spellEnd"/>
      <w:r w:rsidRPr="00875A55">
        <w:rPr>
          <w:rFonts w:eastAsia="Times New Roman" w:cstheme="majorBidi"/>
          <w:color w:val="0000FF"/>
          <w:lang w:val="en-US"/>
        </w:rPr>
        <w:t>, G. (2001). The expiration of IPO share lockups. The Journal of Finance, 56(2), 471-500.</w:t>
      </w:r>
      <w:r w:rsidRPr="00875A55">
        <w:rPr>
          <w:rFonts w:eastAsia="Times New Roman" w:cstheme="majorBidi"/>
          <w:color w:val="0000FF"/>
          <w:rtl/>
          <w:lang w:val="en-US"/>
        </w:rPr>
        <w:t>‏</w:t>
      </w:r>
    </w:p>
    <w:p w14:paraId="39E443C8" w14:textId="77777777" w:rsidR="00875A55" w:rsidRDefault="00875A55" w:rsidP="00875A55">
      <w:pPr>
        <w:autoSpaceDE w:val="0"/>
        <w:autoSpaceDN w:val="0"/>
        <w:adjustRightInd w:val="0"/>
        <w:spacing w:after="0" w:line="276" w:lineRule="auto"/>
        <w:ind w:left="-426" w:right="-625"/>
        <w:jc w:val="both"/>
        <w:rPr>
          <w:rFonts w:eastAsia="Times New Roman" w:cstheme="majorBidi"/>
          <w:color w:val="0000FF"/>
          <w:lang w:val="en-US"/>
        </w:rPr>
      </w:pPr>
    </w:p>
    <w:p w14:paraId="710A6ECA" w14:textId="502C1A1D" w:rsidR="00875A55" w:rsidRDefault="00875A55" w:rsidP="00875A55">
      <w:pPr>
        <w:autoSpaceDE w:val="0"/>
        <w:autoSpaceDN w:val="0"/>
        <w:adjustRightInd w:val="0"/>
        <w:spacing w:after="0" w:line="276" w:lineRule="auto"/>
        <w:ind w:left="-426" w:right="-625"/>
        <w:jc w:val="both"/>
        <w:rPr>
          <w:rFonts w:eastAsia="Times New Roman" w:cstheme="majorBidi"/>
          <w:color w:val="0000FF"/>
          <w:lang w:val="en-US"/>
        </w:rPr>
      </w:pPr>
      <w:r>
        <w:rPr>
          <w:rFonts w:eastAsia="Times New Roman" w:cstheme="majorBidi"/>
          <w:color w:val="0000FF"/>
          <w:lang w:val="en-US"/>
        </w:rPr>
        <w:t>In addition,</w:t>
      </w:r>
      <w:r w:rsidR="00440375">
        <w:rPr>
          <w:rFonts w:eastAsia="Times New Roman" w:cstheme="majorBidi"/>
          <w:color w:val="0000FF"/>
          <w:lang w:val="en-US"/>
        </w:rPr>
        <w:t xml:space="preserve"> I</w:t>
      </w:r>
      <w:r>
        <w:rPr>
          <w:rFonts w:eastAsia="Times New Roman" w:cstheme="majorBidi"/>
          <w:color w:val="0000FF"/>
          <w:lang w:val="en-US"/>
        </w:rPr>
        <w:t xml:space="preserve"> have also omitted </w:t>
      </w:r>
    </w:p>
    <w:p w14:paraId="49584411" w14:textId="77777777" w:rsidR="00875A55" w:rsidRDefault="00875A55" w:rsidP="00875A55">
      <w:pPr>
        <w:autoSpaceDE w:val="0"/>
        <w:autoSpaceDN w:val="0"/>
        <w:adjustRightInd w:val="0"/>
        <w:spacing w:after="0" w:line="276" w:lineRule="auto"/>
        <w:ind w:left="-426" w:right="-625"/>
        <w:jc w:val="both"/>
        <w:rPr>
          <w:rFonts w:eastAsia="Times New Roman" w:cstheme="majorBidi"/>
          <w:color w:val="0000FF"/>
          <w:lang w:val="en-US"/>
        </w:rPr>
      </w:pPr>
    </w:p>
    <w:p w14:paraId="347066F4" w14:textId="77777777" w:rsidR="00875A55" w:rsidRPr="00875A55" w:rsidRDefault="00875A55" w:rsidP="00875A55">
      <w:pPr>
        <w:pStyle w:val="ListParagraph"/>
        <w:numPr>
          <w:ilvl w:val="0"/>
          <w:numId w:val="4"/>
        </w:numPr>
        <w:autoSpaceDE w:val="0"/>
        <w:autoSpaceDN w:val="0"/>
        <w:adjustRightInd w:val="0"/>
        <w:spacing w:after="0" w:line="276" w:lineRule="auto"/>
        <w:ind w:left="142" w:right="-625" w:hanging="426"/>
        <w:jc w:val="both"/>
        <w:rPr>
          <w:rFonts w:eastAsia="Times New Roman" w:cstheme="majorBidi"/>
          <w:color w:val="0000FF"/>
          <w:lang w:val="en-US"/>
        </w:rPr>
      </w:pPr>
      <w:r w:rsidRPr="00875A55">
        <w:rPr>
          <w:rFonts w:eastAsia="Times New Roman" w:cstheme="majorBidi"/>
          <w:color w:val="0000FF"/>
          <w:lang w:val="en-US"/>
        </w:rPr>
        <w:t>Chang, C., Chiang, Y. M., Qian, Y., &amp; Ritter, J. R. (2017). Pre-market trading and IPO pricing. The Review of Financial Studies, 30(3), 835-865.</w:t>
      </w:r>
    </w:p>
    <w:p w14:paraId="7A1A41B9" w14:textId="77777777" w:rsidR="00875A55" w:rsidRDefault="00875A55" w:rsidP="00B30EF2">
      <w:pPr>
        <w:autoSpaceDE w:val="0"/>
        <w:autoSpaceDN w:val="0"/>
        <w:adjustRightInd w:val="0"/>
        <w:spacing w:after="0" w:line="276" w:lineRule="auto"/>
        <w:ind w:left="-426" w:right="-625"/>
        <w:jc w:val="both"/>
        <w:rPr>
          <w:rFonts w:eastAsia="Times New Roman" w:cstheme="majorBidi"/>
          <w:color w:val="0000FF"/>
          <w:lang w:val="en-US"/>
        </w:rPr>
      </w:pPr>
    </w:p>
    <w:p w14:paraId="03E2AB99" w14:textId="56392204" w:rsidR="00B30EF2" w:rsidRDefault="00731DAE" w:rsidP="00B30EF2">
      <w:pPr>
        <w:autoSpaceDE w:val="0"/>
        <w:autoSpaceDN w:val="0"/>
        <w:adjustRightInd w:val="0"/>
        <w:spacing w:after="0" w:line="276" w:lineRule="auto"/>
        <w:ind w:left="-426" w:right="-625"/>
        <w:jc w:val="both"/>
        <w:rPr>
          <w:rFonts w:eastAsia="Times New Roman" w:cstheme="majorBidi"/>
          <w:color w:val="0000FF"/>
          <w:lang w:val="en-US"/>
        </w:rPr>
      </w:pPr>
      <w:r>
        <w:rPr>
          <w:rFonts w:eastAsia="Times New Roman" w:cstheme="majorBidi"/>
          <w:color w:val="0000FF"/>
          <w:lang w:val="en-US"/>
        </w:rPr>
        <w:t>T</w:t>
      </w:r>
      <w:r w:rsidR="00B30EF2">
        <w:rPr>
          <w:rFonts w:eastAsia="Times New Roman" w:cstheme="majorBidi"/>
          <w:color w:val="0000FF"/>
          <w:lang w:val="en-US"/>
        </w:rPr>
        <w:t>he followings</w:t>
      </w:r>
      <w:r>
        <w:rPr>
          <w:rFonts w:eastAsia="Times New Roman" w:cstheme="majorBidi"/>
          <w:color w:val="0000FF"/>
          <w:lang w:val="en-US"/>
        </w:rPr>
        <w:t xml:space="preserve"> recent papers were added</w:t>
      </w:r>
    </w:p>
    <w:p w14:paraId="127EBC84" w14:textId="746A595B" w:rsidR="00B650CF" w:rsidRDefault="00B650CF" w:rsidP="00B30EF2">
      <w:pPr>
        <w:autoSpaceDE w:val="0"/>
        <w:autoSpaceDN w:val="0"/>
        <w:adjustRightInd w:val="0"/>
        <w:spacing w:after="0" w:line="276" w:lineRule="auto"/>
        <w:ind w:left="-426" w:right="-625"/>
        <w:jc w:val="both"/>
        <w:rPr>
          <w:rFonts w:eastAsia="Times New Roman" w:cstheme="majorBidi"/>
          <w:color w:val="0000FF"/>
          <w:lang w:val="en-US"/>
        </w:rPr>
      </w:pPr>
    </w:p>
    <w:p w14:paraId="0D0D92F9" w14:textId="77777777" w:rsidR="00A75783" w:rsidRPr="00A75783" w:rsidRDefault="00B650CF" w:rsidP="00A75783">
      <w:pPr>
        <w:pStyle w:val="ListParagraph"/>
        <w:numPr>
          <w:ilvl w:val="0"/>
          <w:numId w:val="4"/>
        </w:numPr>
        <w:spacing w:line="360" w:lineRule="auto"/>
        <w:jc w:val="both"/>
        <w:rPr>
          <w:rFonts w:ascii="Arial" w:eastAsia="Times New Roman" w:hAnsi="Arial" w:cs="Arial"/>
          <w:color w:val="0000FF"/>
          <w:sz w:val="20"/>
          <w:szCs w:val="20"/>
          <w:shd w:val="clear" w:color="auto" w:fill="FFFFFF"/>
          <w:lang w:val="en-US" w:bidi="ar-SA"/>
        </w:rPr>
      </w:pPr>
      <w:r w:rsidRPr="00A75783">
        <w:rPr>
          <w:rFonts w:ascii="Arial" w:eastAsia="Times New Roman" w:hAnsi="Arial" w:cs="Arial"/>
          <w:color w:val="0000FF"/>
          <w:sz w:val="20"/>
          <w:szCs w:val="20"/>
          <w:shd w:val="clear" w:color="auto" w:fill="FFFFFF"/>
          <w:lang w:val="en-US" w:bidi="ar-SA"/>
        </w:rPr>
        <w:t xml:space="preserve">Berk, A. S., &amp; </w:t>
      </w:r>
      <w:proofErr w:type="spellStart"/>
      <w:r w:rsidRPr="00A75783">
        <w:rPr>
          <w:rFonts w:ascii="Arial" w:eastAsia="Times New Roman" w:hAnsi="Arial" w:cs="Arial"/>
          <w:color w:val="0000FF"/>
          <w:sz w:val="20"/>
          <w:szCs w:val="20"/>
          <w:shd w:val="clear" w:color="auto" w:fill="FFFFFF"/>
          <w:lang w:val="en-US" w:bidi="ar-SA"/>
        </w:rPr>
        <w:t>Peterle</w:t>
      </w:r>
      <w:proofErr w:type="spellEnd"/>
      <w:r w:rsidRPr="00A75783">
        <w:rPr>
          <w:rFonts w:ascii="Arial" w:eastAsia="Times New Roman" w:hAnsi="Arial" w:cs="Arial"/>
          <w:color w:val="0000FF"/>
          <w:sz w:val="20"/>
          <w:szCs w:val="20"/>
          <w:shd w:val="clear" w:color="auto" w:fill="FFFFFF"/>
          <w:lang w:val="en-US" w:bidi="ar-SA"/>
        </w:rPr>
        <w:t>, P. (2015). Initial and long-run IPO returns in Central and Eastern Europe. </w:t>
      </w:r>
      <w:r w:rsidRPr="00A75783">
        <w:rPr>
          <w:rFonts w:ascii="Arial" w:eastAsia="Times New Roman" w:hAnsi="Arial" w:cs="Arial"/>
          <w:i/>
          <w:iCs/>
          <w:color w:val="0000FF"/>
          <w:sz w:val="20"/>
          <w:szCs w:val="20"/>
          <w:shd w:val="clear" w:color="auto" w:fill="FFFFFF"/>
          <w:lang w:val="en-US" w:bidi="ar-SA"/>
        </w:rPr>
        <w:t>Emerging Markets Finance and Trade</w:t>
      </w:r>
      <w:r w:rsidRPr="00A75783">
        <w:rPr>
          <w:rFonts w:ascii="Arial" w:eastAsia="Times New Roman" w:hAnsi="Arial" w:cs="Arial"/>
          <w:color w:val="0000FF"/>
          <w:sz w:val="20"/>
          <w:szCs w:val="20"/>
          <w:shd w:val="clear" w:color="auto" w:fill="FFFFFF"/>
          <w:lang w:val="en-US" w:bidi="ar-SA"/>
        </w:rPr>
        <w:t>, </w:t>
      </w:r>
      <w:r w:rsidRPr="00A75783">
        <w:rPr>
          <w:rFonts w:ascii="Arial" w:eastAsia="Times New Roman" w:hAnsi="Arial" w:cs="Arial"/>
          <w:i/>
          <w:iCs/>
          <w:color w:val="0000FF"/>
          <w:sz w:val="20"/>
          <w:szCs w:val="20"/>
          <w:shd w:val="clear" w:color="auto" w:fill="FFFFFF"/>
          <w:lang w:val="en-US" w:bidi="ar-SA"/>
        </w:rPr>
        <w:t>51</w:t>
      </w:r>
      <w:r w:rsidRPr="00A75783">
        <w:rPr>
          <w:rFonts w:ascii="Arial" w:eastAsia="Times New Roman" w:hAnsi="Arial" w:cs="Arial"/>
          <w:color w:val="0000FF"/>
          <w:sz w:val="20"/>
          <w:szCs w:val="20"/>
          <w:shd w:val="clear" w:color="auto" w:fill="FFFFFF"/>
          <w:lang w:val="en-US" w:bidi="ar-SA"/>
        </w:rPr>
        <w:t>(sup6), S42-S60.</w:t>
      </w:r>
      <w:r w:rsidRPr="00A75783">
        <w:rPr>
          <w:rFonts w:ascii="Arial" w:eastAsia="Times New Roman" w:hAnsi="Arial" w:cs="Arial"/>
          <w:color w:val="0000FF"/>
          <w:sz w:val="20"/>
          <w:szCs w:val="20"/>
          <w:shd w:val="clear" w:color="auto" w:fill="FFFFFF"/>
          <w:rtl/>
          <w:lang w:val="en-US" w:bidi="ar-SA"/>
        </w:rPr>
        <w:t>‏</w:t>
      </w:r>
      <w:bookmarkStart w:id="5" w:name="_Hlk80629246"/>
      <w:r w:rsidR="00A75783" w:rsidRPr="00A75783">
        <w:rPr>
          <w:rFonts w:ascii="Arial" w:eastAsia="Times New Roman" w:hAnsi="Arial" w:cs="Arial"/>
          <w:color w:val="0000FF"/>
          <w:sz w:val="20"/>
          <w:szCs w:val="20"/>
          <w:shd w:val="clear" w:color="auto" w:fill="FFFFFF"/>
          <w:lang w:val="en-US" w:bidi="ar-SA"/>
        </w:rPr>
        <w:t xml:space="preserve"> </w:t>
      </w:r>
    </w:p>
    <w:p w14:paraId="4C8DC246" w14:textId="7FFC4C71" w:rsidR="00A75783" w:rsidRPr="00A75783" w:rsidRDefault="00A75783" w:rsidP="00A75783">
      <w:pPr>
        <w:pStyle w:val="ListParagraph"/>
        <w:numPr>
          <w:ilvl w:val="0"/>
          <w:numId w:val="4"/>
        </w:numPr>
        <w:spacing w:line="360" w:lineRule="auto"/>
        <w:jc w:val="both"/>
        <w:rPr>
          <w:rFonts w:ascii="Arial" w:eastAsia="Times New Roman" w:hAnsi="Arial" w:cs="Arial"/>
          <w:color w:val="0000FF"/>
          <w:sz w:val="20"/>
          <w:szCs w:val="20"/>
          <w:shd w:val="clear" w:color="auto" w:fill="FFFFFF"/>
          <w:lang w:val="en-US" w:bidi="ar-SA"/>
        </w:rPr>
      </w:pPr>
      <w:r w:rsidRPr="00A75783">
        <w:rPr>
          <w:rFonts w:ascii="Arial" w:eastAsia="Times New Roman" w:hAnsi="Arial" w:cs="Arial"/>
          <w:color w:val="0000FF"/>
          <w:sz w:val="20"/>
          <w:szCs w:val="20"/>
          <w:shd w:val="clear" w:color="auto" w:fill="FFFFFF"/>
          <w:lang w:val="en-US" w:bidi="ar-SA"/>
        </w:rPr>
        <w:t xml:space="preserve">Binder, J. (1998). </w:t>
      </w:r>
      <w:bookmarkEnd w:id="5"/>
      <w:r w:rsidRPr="00A75783">
        <w:rPr>
          <w:rFonts w:ascii="Arial" w:eastAsia="Times New Roman" w:hAnsi="Arial" w:cs="Arial"/>
          <w:color w:val="0000FF"/>
          <w:sz w:val="20"/>
          <w:szCs w:val="20"/>
          <w:shd w:val="clear" w:color="auto" w:fill="FFFFFF"/>
          <w:lang w:val="en-US" w:bidi="ar-SA"/>
        </w:rPr>
        <w:t>The event study methodology since 1969. </w:t>
      </w:r>
      <w:r w:rsidRPr="00A75783">
        <w:rPr>
          <w:rFonts w:ascii="Arial" w:eastAsia="Times New Roman" w:hAnsi="Arial" w:cs="Arial"/>
          <w:i/>
          <w:iCs/>
          <w:color w:val="0000FF"/>
          <w:sz w:val="20"/>
          <w:szCs w:val="20"/>
          <w:shd w:val="clear" w:color="auto" w:fill="FFFFFF"/>
          <w:lang w:val="en-US" w:bidi="ar-SA"/>
        </w:rPr>
        <w:t>Review of quantitative Finance and Accounting</w:t>
      </w:r>
      <w:r w:rsidRPr="00A75783">
        <w:rPr>
          <w:rFonts w:ascii="Arial" w:eastAsia="Times New Roman" w:hAnsi="Arial" w:cs="Arial"/>
          <w:color w:val="0000FF"/>
          <w:sz w:val="20"/>
          <w:szCs w:val="20"/>
          <w:shd w:val="clear" w:color="auto" w:fill="FFFFFF"/>
          <w:lang w:val="en-US" w:bidi="ar-SA"/>
        </w:rPr>
        <w:t>, </w:t>
      </w:r>
      <w:r w:rsidRPr="00A75783">
        <w:rPr>
          <w:rFonts w:ascii="Arial" w:eastAsia="Times New Roman" w:hAnsi="Arial" w:cs="Arial"/>
          <w:i/>
          <w:iCs/>
          <w:color w:val="0000FF"/>
          <w:sz w:val="20"/>
          <w:szCs w:val="20"/>
          <w:shd w:val="clear" w:color="auto" w:fill="FFFFFF"/>
          <w:lang w:val="en-US" w:bidi="ar-SA"/>
        </w:rPr>
        <w:t>11</w:t>
      </w:r>
      <w:r w:rsidRPr="00A75783">
        <w:rPr>
          <w:rFonts w:ascii="Arial" w:eastAsia="Times New Roman" w:hAnsi="Arial" w:cs="Arial"/>
          <w:color w:val="0000FF"/>
          <w:sz w:val="20"/>
          <w:szCs w:val="20"/>
          <w:shd w:val="clear" w:color="auto" w:fill="FFFFFF"/>
          <w:lang w:val="en-US" w:bidi="ar-SA"/>
        </w:rPr>
        <w:t>(2), 111-137.</w:t>
      </w:r>
      <w:r w:rsidRPr="00A75783">
        <w:rPr>
          <w:rFonts w:ascii="Arial" w:eastAsia="Times New Roman" w:hAnsi="Arial" w:cs="Arial"/>
          <w:color w:val="0000FF"/>
          <w:sz w:val="20"/>
          <w:szCs w:val="20"/>
          <w:shd w:val="clear" w:color="auto" w:fill="FFFFFF"/>
          <w:rtl/>
          <w:lang w:val="en-US" w:bidi="ar-SA"/>
        </w:rPr>
        <w:t>‏</w:t>
      </w:r>
    </w:p>
    <w:p w14:paraId="29944344" w14:textId="52D12041" w:rsidR="00A75783" w:rsidRDefault="00A75783" w:rsidP="00A75783">
      <w:pPr>
        <w:spacing w:after="0" w:line="360" w:lineRule="auto"/>
        <w:jc w:val="both"/>
        <w:rPr>
          <w:rFonts w:ascii="Arial" w:eastAsia="Times New Roman" w:hAnsi="Arial" w:cs="Arial"/>
          <w:color w:val="0000FF"/>
          <w:sz w:val="20"/>
          <w:szCs w:val="20"/>
          <w:shd w:val="clear" w:color="auto" w:fill="FFFFFF"/>
          <w:lang w:val="en-US" w:bidi="ar-SA"/>
        </w:rPr>
      </w:pPr>
    </w:p>
    <w:p w14:paraId="3BCF3461" w14:textId="1719541E" w:rsidR="00A75783" w:rsidRPr="00A75783" w:rsidRDefault="00A75783" w:rsidP="00A75783">
      <w:pPr>
        <w:spacing w:after="0" w:line="360" w:lineRule="auto"/>
        <w:jc w:val="both"/>
        <w:rPr>
          <w:rFonts w:ascii="Arial" w:eastAsia="Times New Roman" w:hAnsi="Arial" w:cs="Arial"/>
          <w:color w:val="0000FF"/>
          <w:sz w:val="20"/>
          <w:szCs w:val="20"/>
          <w:shd w:val="clear" w:color="auto" w:fill="FFFFFF"/>
          <w:lang w:val="en-US" w:bidi="ar-SA"/>
        </w:rPr>
      </w:pPr>
      <w:r w:rsidRPr="0074162C">
        <w:rPr>
          <w:rFonts w:ascii="Arial" w:hAnsi="Arial" w:cs="Arial"/>
          <w:color w:val="0000FF"/>
          <w:sz w:val="20"/>
          <w:szCs w:val="20"/>
          <w:shd w:val="clear" w:color="auto" w:fill="FFFFFF"/>
        </w:rPr>
        <w:t>Binder, J. (1998).</w:t>
      </w:r>
    </w:p>
    <w:p w14:paraId="180AD8B0" w14:textId="77777777" w:rsidR="00625E53" w:rsidRPr="00440375" w:rsidRDefault="00625E53" w:rsidP="00440375">
      <w:pPr>
        <w:pStyle w:val="ListParagraph"/>
        <w:numPr>
          <w:ilvl w:val="0"/>
          <w:numId w:val="4"/>
        </w:numPr>
        <w:spacing w:after="0" w:line="360" w:lineRule="auto"/>
        <w:ind w:left="142" w:hanging="426"/>
        <w:jc w:val="both"/>
        <w:rPr>
          <w:rFonts w:ascii="Times New Roman" w:eastAsia="Times New Roman" w:hAnsi="Times New Roman" w:cs="Times New Roman"/>
          <w:color w:val="0000FF"/>
          <w:sz w:val="24"/>
          <w:szCs w:val="24"/>
          <w:lang w:val="en-US" w:bidi="ar-SA"/>
        </w:rPr>
      </w:pPr>
      <w:proofErr w:type="spellStart"/>
      <w:r w:rsidRPr="00440375">
        <w:rPr>
          <w:rFonts w:ascii="Arial" w:eastAsia="Times New Roman" w:hAnsi="Arial" w:cs="Arial"/>
          <w:color w:val="0000FF"/>
          <w:sz w:val="20"/>
          <w:szCs w:val="20"/>
          <w:shd w:val="clear" w:color="auto" w:fill="FFFFFF"/>
          <w:lang w:val="en-US" w:bidi="ar-SA"/>
        </w:rPr>
        <w:t>Boubaker</w:t>
      </w:r>
      <w:proofErr w:type="spellEnd"/>
      <w:r w:rsidRPr="00440375">
        <w:rPr>
          <w:rFonts w:ascii="Arial" w:eastAsia="Times New Roman" w:hAnsi="Arial" w:cs="Arial"/>
          <w:color w:val="0000FF"/>
          <w:sz w:val="20"/>
          <w:szCs w:val="20"/>
          <w:shd w:val="clear" w:color="auto" w:fill="FFFFFF"/>
          <w:lang w:val="en-US" w:bidi="ar-SA"/>
        </w:rPr>
        <w:t xml:space="preserve">, S., </w:t>
      </w:r>
      <w:proofErr w:type="spellStart"/>
      <w:r w:rsidRPr="00440375">
        <w:rPr>
          <w:rFonts w:ascii="Arial" w:eastAsia="Times New Roman" w:hAnsi="Arial" w:cs="Arial"/>
          <w:color w:val="0000FF"/>
          <w:sz w:val="20"/>
          <w:szCs w:val="20"/>
          <w:shd w:val="clear" w:color="auto" w:fill="FFFFFF"/>
          <w:lang w:val="en-US" w:bidi="ar-SA"/>
        </w:rPr>
        <w:t>Cellier</w:t>
      </w:r>
      <w:proofErr w:type="spellEnd"/>
      <w:r w:rsidRPr="00440375">
        <w:rPr>
          <w:rFonts w:ascii="Arial" w:eastAsia="Times New Roman" w:hAnsi="Arial" w:cs="Arial"/>
          <w:color w:val="0000FF"/>
          <w:sz w:val="20"/>
          <w:szCs w:val="20"/>
          <w:shd w:val="clear" w:color="auto" w:fill="FFFFFF"/>
          <w:lang w:val="en-US" w:bidi="ar-SA"/>
        </w:rPr>
        <w:t xml:space="preserve">, A., </w:t>
      </w:r>
      <w:proofErr w:type="spellStart"/>
      <w:r w:rsidRPr="00440375">
        <w:rPr>
          <w:rFonts w:ascii="Arial" w:eastAsia="Times New Roman" w:hAnsi="Arial" w:cs="Arial"/>
          <w:color w:val="0000FF"/>
          <w:sz w:val="20"/>
          <w:szCs w:val="20"/>
          <w:shd w:val="clear" w:color="auto" w:fill="FFFFFF"/>
          <w:lang w:val="en-US" w:bidi="ar-SA"/>
        </w:rPr>
        <w:t>Manita</w:t>
      </w:r>
      <w:proofErr w:type="spellEnd"/>
      <w:r w:rsidRPr="00440375">
        <w:rPr>
          <w:rFonts w:ascii="Arial" w:eastAsia="Times New Roman" w:hAnsi="Arial" w:cs="Arial"/>
          <w:color w:val="0000FF"/>
          <w:sz w:val="20"/>
          <w:szCs w:val="20"/>
          <w:shd w:val="clear" w:color="auto" w:fill="FFFFFF"/>
          <w:lang w:val="en-US" w:bidi="ar-SA"/>
        </w:rPr>
        <w:t xml:space="preserve">, R., &amp; </w:t>
      </w:r>
      <w:proofErr w:type="spellStart"/>
      <w:r w:rsidRPr="00440375">
        <w:rPr>
          <w:rFonts w:ascii="Arial" w:eastAsia="Times New Roman" w:hAnsi="Arial" w:cs="Arial"/>
          <w:color w:val="0000FF"/>
          <w:sz w:val="20"/>
          <w:szCs w:val="20"/>
          <w:shd w:val="clear" w:color="auto" w:fill="FFFFFF"/>
          <w:lang w:val="en-US" w:bidi="ar-SA"/>
        </w:rPr>
        <w:t>Toumi</w:t>
      </w:r>
      <w:proofErr w:type="spellEnd"/>
      <w:r w:rsidRPr="00440375">
        <w:rPr>
          <w:rFonts w:ascii="Arial" w:eastAsia="Times New Roman" w:hAnsi="Arial" w:cs="Arial"/>
          <w:color w:val="0000FF"/>
          <w:sz w:val="20"/>
          <w:szCs w:val="20"/>
          <w:shd w:val="clear" w:color="auto" w:fill="FFFFFF"/>
          <w:lang w:val="en-US" w:bidi="ar-SA"/>
        </w:rPr>
        <w:t>, N. (2020). Ownership Structure and Long-Run Performance of French IPO Firms. </w:t>
      </w:r>
      <w:r w:rsidRPr="00440375">
        <w:rPr>
          <w:rFonts w:ascii="Arial" w:eastAsia="Times New Roman" w:hAnsi="Arial" w:cs="Arial"/>
          <w:i/>
          <w:iCs/>
          <w:color w:val="0000FF"/>
          <w:sz w:val="20"/>
          <w:szCs w:val="20"/>
          <w:shd w:val="clear" w:color="auto" w:fill="FFFFFF"/>
          <w:lang w:val="en-US" w:bidi="ar-SA"/>
        </w:rPr>
        <w:t>Management international/International Management/</w:t>
      </w:r>
      <w:proofErr w:type="spellStart"/>
      <w:r w:rsidRPr="00440375">
        <w:rPr>
          <w:rFonts w:ascii="Arial" w:eastAsia="Times New Roman" w:hAnsi="Arial" w:cs="Arial"/>
          <w:i/>
          <w:iCs/>
          <w:color w:val="0000FF"/>
          <w:sz w:val="20"/>
          <w:szCs w:val="20"/>
          <w:shd w:val="clear" w:color="auto" w:fill="FFFFFF"/>
          <w:lang w:val="en-US" w:bidi="ar-SA"/>
        </w:rPr>
        <w:t>Gestiòn</w:t>
      </w:r>
      <w:proofErr w:type="spellEnd"/>
      <w:r w:rsidRPr="00440375">
        <w:rPr>
          <w:rFonts w:ascii="Arial" w:eastAsia="Times New Roman" w:hAnsi="Arial" w:cs="Arial"/>
          <w:i/>
          <w:iCs/>
          <w:color w:val="0000FF"/>
          <w:sz w:val="20"/>
          <w:szCs w:val="20"/>
          <w:shd w:val="clear" w:color="auto" w:fill="FFFFFF"/>
          <w:lang w:val="en-US" w:bidi="ar-SA"/>
        </w:rPr>
        <w:t xml:space="preserve"> </w:t>
      </w:r>
      <w:proofErr w:type="spellStart"/>
      <w:r w:rsidRPr="00440375">
        <w:rPr>
          <w:rFonts w:ascii="Arial" w:eastAsia="Times New Roman" w:hAnsi="Arial" w:cs="Arial"/>
          <w:i/>
          <w:iCs/>
          <w:color w:val="0000FF"/>
          <w:sz w:val="20"/>
          <w:szCs w:val="20"/>
          <w:shd w:val="clear" w:color="auto" w:fill="FFFFFF"/>
          <w:lang w:val="en-US" w:bidi="ar-SA"/>
        </w:rPr>
        <w:t>Internacional</w:t>
      </w:r>
      <w:proofErr w:type="spellEnd"/>
      <w:r w:rsidRPr="00440375">
        <w:rPr>
          <w:rFonts w:ascii="Arial" w:eastAsia="Times New Roman" w:hAnsi="Arial" w:cs="Arial"/>
          <w:color w:val="0000FF"/>
          <w:sz w:val="20"/>
          <w:szCs w:val="20"/>
          <w:shd w:val="clear" w:color="auto" w:fill="FFFFFF"/>
          <w:lang w:val="en-US" w:bidi="ar-SA"/>
        </w:rPr>
        <w:t>, </w:t>
      </w:r>
      <w:r w:rsidRPr="00440375">
        <w:rPr>
          <w:rFonts w:ascii="Arial" w:eastAsia="Times New Roman" w:hAnsi="Arial" w:cs="Arial"/>
          <w:i/>
          <w:iCs/>
          <w:color w:val="0000FF"/>
          <w:sz w:val="20"/>
          <w:szCs w:val="20"/>
          <w:shd w:val="clear" w:color="auto" w:fill="FFFFFF"/>
          <w:lang w:val="en-US" w:bidi="ar-SA"/>
        </w:rPr>
        <w:t>24</w:t>
      </w:r>
      <w:r w:rsidRPr="00440375">
        <w:rPr>
          <w:rFonts w:ascii="Arial" w:eastAsia="Times New Roman" w:hAnsi="Arial" w:cs="Arial"/>
          <w:color w:val="0000FF"/>
          <w:sz w:val="20"/>
          <w:szCs w:val="20"/>
          <w:shd w:val="clear" w:color="auto" w:fill="FFFFFF"/>
          <w:lang w:val="en-US" w:bidi="ar-SA"/>
        </w:rPr>
        <w:t>(5), 135-152.</w:t>
      </w:r>
      <w:r w:rsidRPr="00440375">
        <w:rPr>
          <w:rFonts w:ascii="Arial" w:eastAsia="Times New Roman" w:hAnsi="Arial" w:cs="Arial"/>
          <w:color w:val="0000FF"/>
          <w:sz w:val="20"/>
          <w:szCs w:val="20"/>
          <w:shd w:val="clear" w:color="auto" w:fill="FFFFFF"/>
          <w:rtl/>
          <w:lang w:val="en-US" w:bidi="ar-SA"/>
        </w:rPr>
        <w:t>‏</w:t>
      </w:r>
    </w:p>
    <w:p w14:paraId="12DA1AFC" w14:textId="39B80D11" w:rsidR="00E02060" w:rsidRPr="007F2475" w:rsidRDefault="00E02060" w:rsidP="00440375">
      <w:pPr>
        <w:pStyle w:val="ListParagraph"/>
        <w:numPr>
          <w:ilvl w:val="0"/>
          <w:numId w:val="4"/>
        </w:numPr>
        <w:spacing w:after="0" w:line="360" w:lineRule="auto"/>
        <w:ind w:left="142" w:hanging="426"/>
        <w:jc w:val="both"/>
        <w:rPr>
          <w:rFonts w:ascii="Times New Roman" w:eastAsia="Times New Roman" w:hAnsi="Times New Roman" w:cs="Times New Roman"/>
          <w:color w:val="0000FF"/>
          <w:sz w:val="24"/>
          <w:szCs w:val="24"/>
          <w:lang w:val="en-US" w:bidi="ar-SA"/>
        </w:rPr>
      </w:pPr>
      <w:r w:rsidRPr="00440375">
        <w:rPr>
          <w:rFonts w:ascii="Arial" w:eastAsia="Times New Roman" w:hAnsi="Arial" w:cs="Arial"/>
          <w:color w:val="0000FF"/>
          <w:sz w:val="20"/>
          <w:szCs w:val="20"/>
          <w:shd w:val="clear" w:color="auto" w:fill="FFFFFF"/>
          <w:lang w:val="en-US" w:bidi="ar-SA"/>
        </w:rPr>
        <w:t>Chen, C., &amp; Xu, H. (2015). The Roles of Innovation Input and Outcome in IPO Pricing--Evidence from the Bio-Pharmaceutical Industry in China.</w:t>
      </w:r>
      <w:r w:rsidRPr="00440375">
        <w:rPr>
          <w:rFonts w:ascii="Arial" w:eastAsia="Times New Roman" w:hAnsi="Arial" w:cs="Arial"/>
          <w:color w:val="0000FF"/>
          <w:sz w:val="20"/>
          <w:szCs w:val="20"/>
          <w:shd w:val="clear" w:color="auto" w:fill="FFFFFF"/>
          <w:rtl/>
          <w:lang w:val="en-US" w:bidi="ar-SA"/>
        </w:rPr>
        <w:t>‏</w:t>
      </w:r>
    </w:p>
    <w:p w14:paraId="50E2DF8E" w14:textId="77777777" w:rsidR="007F2475" w:rsidRPr="004A6A1B" w:rsidRDefault="007F2475" w:rsidP="007F2475">
      <w:pPr>
        <w:pStyle w:val="ListParagraph"/>
        <w:numPr>
          <w:ilvl w:val="0"/>
          <w:numId w:val="4"/>
        </w:numPr>
        <w:spacing w:line="360" w:lineRule="auto"/>
        <w:ind w:left="142" w:hanging="426"/>
        <w:jc w:val="both"/>
        <w:rPr>
          <w:rFonts w:ascii="Arial" w:hAnsi="Arial" w:cs="Arial"/>
          <w:color w:val="0000FF"/>
          <w:sz w:val="20"/>
          <w:szCs w:val="20"/>
          <w:shd w:val="clear" w:color="auto" w:fill="FFFFFF"/>
        </w:rPr>
      </w:pPr>
      <w:proofErr w:type="spellStart"/>
      <w:r w:rsidRPr="004A6A1B">
        <w:rPr>
          <w:rFonts w:ascii="Arial" w:hAnsi="Arial" w:cs="Arial"/>
          <w:color w:val="0000FF"/>
          <w:sz w:val="20"/>
          <w:szCs w:val="20"/>
          <w:shd w:val="clear" w:color="auto" w:fill="FFFFFF"/>
        </w:rPr>
        <w:t>Dambra</w:t>
      </w:r>
      <w:proofErr w:type="spellEnd"/>
      <w:r w:rsidRPr="004A6A1B">
        <w:rPr>
          <w:rFonts w:ascii="Arial" w:hAnsi="Arial" w:cs="Arial"/>
          <w:color w:val="0000FF"/>
          <w:sz w:val="20"/>
          <w:szCs w:val="20"/>
          <w:shd w:val="clear" w:color="auto" w:fill="FFFFFF"/>
        </w:rPr>
        <w:t>, M., Field, L. C., &amp; Gustafson, M. T. (2015). The JOBS Act and IPO volume: Evidence that disclosure costs affect the IPO decision. Journal of Financial Economics, 116(1), 121-143.</w:t>
      </w:r>
      <w:r w:rsidRPr="004A6A1B">
        <w:rPr>
          <w:rFonts w:ascii="Arial" w:hAnsi="Arial" w:cs="Arial"/>
          <w:color w:val="0000FF"/>
          <w:sz w:val="20"/>
          <w:szCs w:val="20"/>
          <w:shd w:val="clear" w:color="auto" w:fill="FFFFFF"/>
          <w:rtl/>
        </w:rPr>
        <w:t>‏</w:t>
      </w:r>
    </w:p>
    <w:p w14:paraId="4C464D2C" w14:textId="196FF74E" w:rsidR="00F6103D" w:rsidRDefault="00F6103D" w:rsidP="00440375">
      <w:pPr>
        <w:pStyle w:val="ListParagraph"/>
        <w:numPr>
          <w:ilvl w:val="0"/>
          <w:numId w:val="4"/>
        </w:numPr>
        <w:spacing w:after="0" w:line="360" w:lineRule="auto"/>
        <w:ind w:left="142" w:hanging="426"/>
        <w:rPr>
          <w:rFonts w:ascii="Times New Roman" w:eastAsia="Times New Roman" w:hAnsi="Times New Roman" w:cs="Calibri"/>
          <w:color w:val="0000FF"/>
          <w:sz w:val="24"/>
          <w:szCs w:val="24"/>
          <w:lang w:val="en-US" w:bidi="ar-SA"/>
        </w:rPr>
      </w:pPr>
      <w:r w:rsidRPr="00440375">
        <w:rPr>
          <w:rFonts w:ascii="Times New Roman" w:eastAsia="Times New Roman" w:hAnsi="Times New Roman" w:cs="Calibri"/>
          <w:color w:val="0000FF"/>
          <w:sz w:val="24"/>
          <w:szCs w:val="24"/>
          <w:lang w:val="en-US" w:bidi="ar-SA"/>
        </w:rPr>
        <w:t>Gao, Y., Mao, C. X., &amp; Zhong, R. (2006). Divergence of opinion and long‐term performance of initial public offerings. Journal of Financial Research, 29(1), 113-129</w:t>
      </w:r>
    </w:p>
    <w:p w14:paraId="679ECD90" w14:textId="77777777" w:rsidR="00E36CFB" w:rsidRPr="00E36CFB" w:rsidRDefault="00E36CFB" w:rsidP="004A6A1B">
      <w:pPr>
        <w:pStyle w:val="ListParagraph"/>
        <w:numPr>
          <w:ilvl w:val="0"/>
          <w:numId w:val="4"/>
        </w:numPr>
        <w:spacing w:line="360" w:lineRule="auto"/>
        <w:ind w:left="142" w:hanging="426"/>
        <w:jc w:val="both"/>
        <w:rPr>
          <w:rFonts w:ascii="Times New Roman" w:eastAsia="Times New Roman" w:hAnsi="Times New Roman" w:cs="Calibri"/>
          <w:color w:val="0000FF"/>
          <w:sz w:val="24"/>
          <w:szCs w:val="24"/>
          <w:lang w:val="en-US" w:bidi="ar-SA"/>
        </w:rPr>
      </w:pPr>
      <w:proofErr w:type="spellStart"/>
      <w:r w:rsidRPr="00E36CFB">
        <w:rPr>
          <w:rFonts w:ascii="Times New Roman" w:eastAsia="Times New Roman" w:hAnsi="Times New Roman" w:cs="Calibri"/>
          <w:color w:val="0000FF"/>
          <w:sz w:val="24"/>
          <w:szCs w:val="24"/>
          <w:lang w:val="en-US" w:bidi="ar-SA"/>
        </w:rPr>
        <w:lastRenderedPageBreak/>
        <w:t>Gregori</w:t>
      </w:r>
      <w:proofErr w:type="spellEnd"/>
      <w:r w:rsidRPr="00E36CFB">
        <w:rPr>
          <w:rFonts w:ascii="Times New Roman" w:eastAsia="Times New Roman" w:hAnsi="Times New Roman" w:cs="Calibri"/>
          <w:color w:val="0000FF"/>
          <w:sz w:val="24"/>
          <w:szCs w:val="24"/>
          <w:lang w:val="en-US" w:bidi="ar-SA"/>
        </w:rPr>
        <w:t xml:space="preserve">, G. L., Marinelli, L., </w:t>
      </w:r>
      <w:proofErr w:type="spellStart"/>
      <w:r w:rsidRPr="00E36CFB">
        <w:rPr>
          <w:rFonts w:ascii="Times New Roman" w:eastAsia="Times New Roman" w:hAnsi="Times New Roman" w:cs="Calibri"/>
          <w:color w:val="0000FF"/>
          <w:sz w:val="24"/>
          <w:szCs w:val="24"/>
          <w:lang w:val="en-US" w:bidi="ar-SA"/>
        </w:rPr>
        <w:t>Mazzoli</w:t>
      </w:r>
      <w:proofErr w:type="spellEnd"/>
      <w:r w:rsidRPr="00E36CFB">
        <w:rPr>
          <w:rFonts w:ascii="Times New Roman" w:eastAsia="Times New Roman" w:hAnsi="Times New Roman" w:cs="Calibri"/>
          <w:color w:val="0000FF"/>
          <w:sz w:val="24"/>
          <w:szCs w:val="24"/>
          <w:lang w:val="en-US" w:bidi="ar-SA"/>
        </w:rPr>
        <w:t xml:space="preserve">, C., &amp; </w:t>
      </w:r>
      <w:proofErr w:type="spellStart"/>
      <w:r w:rsidRPr="00E36CFB">
        <w:rPr>
          <w:rFonts w:ascii="Times New Roman" w:eastAsia="Times New Roman" w:hAnsi="Times New Roman" w:cs="Calibri"/>
          <w:color w:val="0000FF"/>
          <w:sz w:val="24"/>
          <w:szCs w:val="24"/>
          <w:lang w:val="en-US" w:bidi="ar-SA"/>
        </w:rPr>
        <w:t>Severini</w:t>
      </w:r>
      <w:proofErr w:type="spellEnd"/>
      <w:r w:rsidRPr="00E36CFB">
        <w:rPr>
          <w:rFonts w:ascii="Times New Roman" w:eastAsia="Times New Roman" w:hAnsi="Times New Roman" w:cs="Calibri"/>
          <w:color w:val="0000FF"/>
          <w:sz w:val="24"/>
          <w:szCs w:val="24"/>
          <w:lang w:val="en-US" w:bidi="ar-SA"/>
        </w:rPr>
        <w:t xml:space="preserve">, S. (2020). The social side of IPOs: Twitter sentiment and </w:t>
      </w:r>
      <w:proofErr w:type="spellStart"/>
      <w:r w:rsidRPr="00E36CFB">
        <w:rPr>
          <w:rFonts w:ascii="Times New Roman" w:eastAsia="Times New Roman" w:hAnsi="Times New Roman" w:cs="Calibri"/>
          <w:color w:val="0000FF"/>
          <w:sz w:val="24"/>
          <w:szCs w:val="24"/>
          <w:lang w:val="en-US" w:bidi="ar-SA"/>
        </w:rPr>
        <w:t>investors</w:t>
      </w:r>
      <w:proofErr w:type="spellEnd"/>
      <w:r w:rsidRPr="00E36CFB">
        <w:rPr>
          <w:rFonts w:ascii="Times New Roman" w:eastAsia="Times New Roman" w:hAnsi="Times New Roman" w:cs="Calibri"/>
          <w:color w:val="0000FF"/>
          <w:sz w:val="24"/>
          <w:szCs w:val="24"/>
          <w:lang w:val="en-US" w:bidi="ar-SA"/>
        </w:rPr>
        <w:t xml:space="preserve"> attention in the IPO primary market. African Journal of Business Management, 14(12), 529-539.</w:t>
      </w:r>
      <w:r w:rsidRPr="00E36CFB">
        <w:rPr>
          <w:rFonts w:ascii="Times New Roman" w:eastAsia="Times New Roman" w:hAnsi="Times New Roman" w:cs="Calibri"/>
          <w:color w:val="0000FF"/>
          <w:sz w:val="24"/>
          <w:szCs w:val="24"/>
          <w:rtl/>
          <w:lang w:val="en-US"/>
        </w:rPr>
        <w:t>‏</w:t>
      </w:r>
    </w:p>
    <w:p w14:paraId="134158FB" w14:textId="1340E500" w:rsidR="00F6103D" w:rsidRPr="00440375" w:rsidRDefault="00F6103D" w:rsidP="004A6A1B">
      <w:pPr>
        <w:pStyle w:val="ListParagraph"/>
        <w:numPr>
          <w:ilvl w:val="0"/>
          <w:numId w:val="4"/>
        </w:numPr>
        <w:spacing w:after="0" w:line="360" w:lineRule="auto"/>
        <w:ind w:left="142" w:hanging="426"/>
        <w:jc w:val="both"/>
        <w:rPr>
          <w:rFonts w:ascii="Arial" w:eastAsia="Times New Roman" w:hAnsi="Arial" w:cs="Arial"/>
          <w:color w:val="0000FF"/>
          <w:sz w:val="20"/>
          <w:szCs w:val="20"/>
          <w:shd w:val="clear" w:color="auto" w:fill="FFFFFF"/>
          <w:lang w:val="en-US" w:bidi="ar-SA"/>
        </w:rPr>
      </w:pPr>
      <w:r w:rsidRPr="00440375">
        <w:rPr>
          <w:rFonts w:ascii="Arial" w:eastAsia="Times New Roman" w:hAnsi="Arial" w:cs="Arial"/>
          <w:color w:val="0000FF"/>
          <w:sz w:val="20"/>
          <w:szCs w:val="20"/>
          <w:shd w:val="clear" w:color="auto" w:fill="FFFFFF"/>
          <w:lang w:val="en-US" w:bidi="ar-SA"/>
        </w:rPr>
        <w:t>Guo, R. J., &amp; Zhou, N. (2016). Innovation capability and post-IPO performance. </w:t>
      </w:r>
      <w:r w:rsidRPr="00440375">
        <w:rPr>
          <w:rFonts w:ascii="Arial" w:eastAsia="Times New Roman" w:hAnsi="Arial" w:cs="Arial"/>
          <w:i/>
          <w:iCs/>
          <w:color w:val="0000FF"/>
          <w:sz w:val="20"/>
          <w:szCs w:val="20"/>
          <w:shd w:val="clear" w:color="auto" w:fill="FFFFFF"/>
          <w:lang w:val="en-US" w:bidi="ar-SA"/>
        </w:rPr>
        <w:t>Review of Quantitative Finance and Accounting</w:t>
      </w:r>
      <w:r w:rsidRPr="00440375">
        <w:rPr>
          <w:rFonts w:ascii="Arial" w:eastAsia="Times New Roman" w:hAnsi="Arial" w:cs="Arial"/>
          <w:color w:val="0000FF"/>
          <w:sz w:val="20"/>
          <w:szCs w:val="20"/>
          <w:shd w:val="clear" w:color="auto" w:fill="FFFFFF"/>
          <w:lang w:val="en-US" w:bidi="ar-SA"/>
        </w:rPr>
        <w:t>, </w:t>
      </w:r>
      <w:r w:rsidRPr="00440375">
        <w:rPr>
          <w:rFonts w:ascii="Arial" w:eastAsia="Times New Roman" w:hAnsi="Arial" w:cs="Arial"/>
          <w:i/>
          <w:iCs/>
          <w:color w:val="0000FF"/>
          <w:sz w:val="20"/>
          <w:szCs w:val="20"/>
          <w:shd w:val="clear" w:color="auto" w:fill="FFFFFF"/>
          <w:lang w:val="en-US" w:bidi="ar-SA"/>
        </w:rPr>
        <w:t>46</w:t>
      </w:r>
      <w:r w:rsidRPr="00440375">
        <w:rPr>
          <w:rFonts w:ascii="Arial" w:eastAsia="Times New Roman" w:hAnsi="Arial" w:cs="Arial"/>
          <w:color w:val="0000FF"/>
          <w:sz w:val="20"/>
          <w:szCs w:val="20"/>
          <w:shd w:val="clear" w:color="auto" w:fill="FFFFFF"/>
          <w:lang w:val="en-US" w:bidi="ar-SA"/>
        </w:rPr>
        <w:t>(2), 335-357.</w:t>
      </w:r>
      <w:r w:rsidRPr="00440375">
        <w:rPr>
          <w:rFonts w:ascii="Arial" w:eastAsia="Times New Roman" w:hAnsi="Arial" w:cs="Arial"/>
          <w:color w:val="0000FF"/>
          <w:sz w:val="20"/>
          <w:szCs w:val="20"/>
          <w:shd w:val="clear" w:color="auto" w:fill="FFFFFF"/>
          <w:rtl/>
          <w:lang w:val="en-US" w:bidi="ar-SA"/>
        </w:rPr>
        <w:t>‏</w:t>
      </w:r>
    </w:p>
    <w:p w14:paraId="465A83B7" w14:textId="77777777" w:rsidR="00D13915" w:rsidRPr="00440375" w:rsidRDefault="00D13915" w:rsidP="004A6A1B">
      <w:pPr>
        <w:pStyle w:val="ListParagraph"/>
        <w:numPr>
          <w:ilvl w:val="0"/>
          <w:numId w:val="4"/>
        </w:numPr>
        <w:spacing w:after="0" w:line="360" w:lineRule="auto"/>
        <w:ind w:left="142" w:hanging="426"/>
        <w:jc w:val="both"/>
        <w:rPr>
          <w:rFonts w:ascii="Arial" w:eastAsia="Times New Roman" w:hAnsi="Arial" w:cs="Arial"/>
          <w:color w:val="0000FF"/>
          <w:sz w:val="20"/>
          <w:szCs w:val="20"/>
          <w:shd w:val="clear" w:color="auto" w:fill="FFFFFF"/>
          <w:lang w:val="en-US" w:bidi="ar-SA"/>
        </w:rPr>
      </w:pPr>
      <w:proofErr w:type="spellStart"/>
      <w:r w:rsidRPr="00440375">
        <w:rPr>
          <w:rFonts w:ascii="Arial" w:eastAsia="Times New Roman" w:hAnsi="Arial" w:cs="Arial"/>
          <w:color w:val="0000FF"/>
          <w:sz w:val="20"/>
          <w:szCs w:val="20"/>
          <w:shd w:val="clear" w:color="auto" w:fill="FFFFFF"/>
          <w:lang w:val="en-US" w:bidi="ar-SA"/>
        </w:rPr>
        <w:t>Komenkul</w:t>
      </w:r>
      <w:proofErr w:type="spellEnd"/>
      <w:r w:rsidRPr="00440375">
        <w:rPr>
          <w:rFonts w:ascii="Arial" w:eastAsia="Times New Roman" w:hAnsi="Arial" w:cs="Arial"/>
          <w:color w:val="0000FF"/>
          <w:sz w:val="20"/>
          <w:szCs w:val="20"/>
          <w:shd w:val="clear" w:color="auto" w:fill="FFFFFF"/>
          <w:lang w:val="en-US" w:bidi="ar-SA"/>
        </w:rPr>
        <w:t xml:space="preserve">, K., &amp; </w:t>
      </w:r>
      <w:proofErr w:type="spellStart"/>
      <w:r w:rsidRPr="00440375">
        <w:rPr>
          <w:rFonts w:ascii="Arial" w:eastAsia="Times New Roman" w:hAnsi="Arial" w:cs="Arial"/>
          <w:color w:val="0000FF"/>
          <w:sz w:val="20"/>
          <w:szCs w:val="20"/>
          <w:shd w:val="clear" w:color="auto" w:fill="FFFFFF"/>
          <w:lang w:val="en-US" w:bidi="ar-SA"/>
        </w:rPr>
        <w:t>Kiranand</w:t>
      </w:r>
      <w:proofErr w:type="spellEnd"/>
      <w:r w:rsidRPr="00440375">
        <w:rPr>
          <w:rFonts w:ascii="Arial" w:eastAsia="Times New Roman" w:hAnsi="Arial" w:cs="Arial"/>
          <w:color w:val="0000FF"/>
          <w:sz w:val="20"/>
          <w:szCs w:val="20"/>
          <w:shd w:val="clear" w:color="auto" w:fill="FFFFFF"/>
          <w:lang w:val="en-US" w:bidi="ar-SA"/>
        </w:rPr>
        <w:t xml:space="preserve">, S. (2017). Aftermarket Performance of Health Care and Biopharmaceutical IPOs: Evidence </w:t>
      </w:r>
      <w:proofErr w:type="gramStart"/>
      <w:r w:rsidRPr="00440375">
        <w:rPr>
          <w:rFonts w:ascii="Arial" w:eastAsia="Times New Roman" w:hAnsi="Arial" w:cs="Arial"/>
          <w:color w:val="0000FF"/>
          <w:sz w:val="20"/>
          <w:szCs w:val="20"/>
          <w:shd w:val="clear" w:color="auto" w:fill="FFFFFF"/>
          <w:lang w:val="en-US" w:bidi="ar-SA"/>
        </w:rPr>
        <w:t>From</w:t>
      </w:r>
      <w:proofErr w:type="gramEnd"/>
      <w:r w:rsidRPr="00440375">
        <w:rPr>
          <w:rFonts w:ascii="Arial" w:eastAsia="Times New Roman" w:hAnsi="Arial" w:cs="Arial"/>
          <w:color w:val="0000FF"/>
          <w:sz w:val="20"/>
          <w:szCs w:val="20"/>
          <w:shd w:val="clear" w:color="auto" w:fill="FFFFFF"/>
          <w:lang w:val="en-US" w:bidi="ar-SA"/>
        </w:rPr>
        <w:t xml:space="preserve"> ASEAN Countries. </w:t>
      </w:r>
      <w:r w:rsidRPr="00440375">
        <w:rPr>
          <w:rFonts w:ascii="Arial" w:eastAsia="Times New Roman" w:hAnsi="Arial" w:cs="Arial"/>
          <w:i/>
          <w:iCs/>
          <w:color w:val="0000FF"/>
          <w:sz w:val="20"/>
          <w:szCs w:val="20"/>
          <w:shd w:val="clear" w:color="auto" w:fill="FFFFFF"/>
          <w:lang w:val="en-US" w:bidi="ar-SA"/>
        </w:rPr>
        <w:t>INQUIRY: The Journal of Health Care Organization, Provision, and Financing</w:t>
      </w:r>
      <w:r w:rsidRPr="00440375">
        <w:rPr>
          <w:rFonts w:ascii="Arial" w:eastAsia="Times New Roman" w:hAnsi="Arial" w:cs="Arial"/>
          <w:color w:val="0000FF"/>
          <w:sz w:val="20"/>
          <w:szCs w:val="20"/>
          <w:shd w:val="clear" w:color="auto" w:fill="FFFFFF"/>
          <w:lang w:val="en-US" w:bidi="ar-SA"/>
        </w:rPr>
        <w:t>, </w:t>
      </w:r>
      <w:r w:rsidRPr="00440375">
        <w:rPr>
          <w:rFonts w:ascii="Arial" w:eastAsia="Times New Roman" w:hAnsi="Arial" w:cs="Arial"/>
          <w:i/>
          <w:iCs/>
          <w:color w:val="0000FF"/>
          <w:sz w:val="20"/>
          <w:szCs w:val="20"/>
          <w:shd w:val="clear" w:color="auto" w:fill="FFFFFF"/>
          <w:lang w:val="en-US" w:bidi="ar-SA"/>
        </w:rPr>
        <w:t>54</w:t>
      </w:r>
      <w:r w:rsidRPr="00440375">
        <w:rPr>
          <w:rFonts w:ascii="Arial" w:eastAsia="Times New Roman" w:hAnsi="Arial" w:cs="Arial"/>
          <w:color w:val="0000FF"/>
          <w:sz w:val="20"/>
          <w:szCs w:val="20"/>
          <w:shd w:val="clear" w:color="auto" w:fill="FFFFFF"/>
          <w:lang w:val="en-US" w:bidi="ar-SA"/>
        </w:rPr>
        <w:t>, 0046958017727105.</w:t>
      </w:r>
      <w:r w:rsidRPr="00440375">
        <w:rPr>
          <w:rFonts w:ascii="Arial" w:eastAsia="Times New Roman" w:hAnsi="Arial" w:cs="Arial"/>
          <w:color w:val="0000FF"/>
          <w:sz w:val="20"/>
          <w:szCs w:val="20"/>
          <w:shd w:val="clear" w:color="auto" w:fill="FFFFFF"/>
          <w:rtl/>
          <w:lang w:val="en-US" w:bidi="ar-SA"/>
        </w:rPr>
        <w:t>‏</w:t>
      </w:r>
    </w:p>
    <w:p w14:paraId="6A11EB1A" w14:textId="77777777" w:rsidR="00E36CFB" w:rsidRPr="00E36CFB" w:rsidRDefault="00E36CFB" w:rsidP="004A6A1B">
      <w:pPr>
        <w:pStyle w:val="ListParagraph"/>
        <w:numPr>
          <w:ilvl w:val="0"/>
          <w:numId w:val="4"/>
        </w:numPr>
        <w:spacing w:line="360" w:lineRule="auto"/>
        <w:ind w:left="142" w:hanging="426"/>
        <w:jc w:val="both"/>
        <w:rPr>
          <w:rFonts w:ascii="Arial" w:hAnsi="Arial" w:cs="Arial"/>
          <w:color w:val="0000FF"/>
          <w:sz w:val="20"/>
          <w:szCs w:val="20"/>
          <w:shd w:val="clear" w:color="auto" w:fill="FFFFFF"/>
        </w:rPr>
      </w:pPr>
      <w:r w:rsidRPr="00E36CFB">
        <w:rPr>
          <w:rFonts w:ascii="Arial" w:hAnsi="Arial" w:cs="Arial"/>
          <w:color w:val="0000FF"/>
          <w:sz w:val="20"/>
          <w:szCs w:val="20"/>
          <w:shd w:val="clear" w:color="auto" w:fill="FFFFFF"/>
        </w:rPr>
        <w:t>Kwan, T. (2015). Twitter Volume and First Day IPO Performance.</w:t>
      </w:r>
      <w:r w:rsidRPr="00E36CFB">
        <w:rPr>
          <w:rFonts w:ascii="Arial" w:hAnsi="Arial" w:cs="Arial"/>
          <w:color w:val="0000FF"/>
          <w:sz w:val="20"/>
          <w:szCs w:val="20"/>
          <w:shd w:val="clear" w:color="auto" w:fill="FFFFFF"/>
          <w:rtl/>
        </w:rPr>
        <w:t>‏</w:t>
      </w:r>
    </w:p>
    <w:p w14:paraId="3FA439A7" w14:textId="77777777" w:rsidR="0099479A" w:rsidRPr="00440375" w:rsidRDefault="0099479A" w:rsidP="00440375">
      <w:pPr>
        <w:pStyle w:val="ListParagraph"/>
        <w:numPr>
          <w:ilvl w:val="0"/>
          <w:numId w:val="4"/>
        </w:numPr>
        <w:spacing w:after="0" w:line="360" w:lineRule="auto"/>
        <w:ind w:left="142" w:hanging="426"/>
        <w:jc w:val="both"/>
        <w:rPr>
          <w:rFonts w:ascii="Arial" w:eastAsia="Times New Roman" w:hAnsi="Arial" w:cs="Arial"/>
          <w:color w:val="0000FF"/>
          <w:sz w:val="20"/>
          <w:szCs w:val="20"/>
          <w:shd w:val="clear" w:color="auto" w:fill="FFFFFF"/>
          <w:lang w:val="en-US" w:bidi="ar-SA"/>
        </w:rPr>
      </w:pPr>
      <w:r w:rsidRPr="00440375">
        <w:rPr>
          <w:rFonts w:ascii="Arial" w:eastAsia="Times New Roman" w:hAnsi="Arial" w:cs="Arial"/>
          <w:color w:val="0000FF"/>
          <w:sz w:val="20"/>
          <w:szCs w:val="20"/>
          <w:shd w:val="clear" w:color="auto" w:fill="FFFFFF"/>
          <w:lang w:val="en-US" w:bidi="ar-SA"/>
        </w:rPr>
        <w:t>Kumar, A., &amp; Sahoo, S. (2021). Do anchor investors affect long run performance? Evidence from Indian IPO markets. </w:t>
      </w:r>
      <w:r w:rsidRPr="00440375">
        <w:rPr>
          <w:rFonts w:ascii="Arial" w:eastAsia="Times New Roman" w:hAnsi="Arial" w:cs="Arial"/>
          <w:i/>
          <w:iCs/>
          <w:color w:val="0000FF"/>
          <w:sz w:val="20"/>
          <w:szCs w:val="20"/>
          <w:shd w:val="clear" w:color="auto" w:fill="FFFFFF"/>
          <w:lang w:val="en-US" w:bidi="ar-SA"/>
        </w:rPr>
        <w:t>Pacific Accounting Review</w:t>
      </w:r>
      <w:r w:rsidRPr="00440375">
        <w:rPr>
          <w:rFonts w:ascii="Arial" w:eastAsia="Times New Roman" w:hAnsi="Arial" w:cs="Arial"/>
          <w:color w:val="0000FF"/>
          <w:sz w:val="20"/>
          <w:szCs w:val="20"/>
          <w:shd w:val="clear" w:color="auto" w:fill="FFFFFF"/>
          <w:lang w:val="en-US" w:bidi="ar-SA"/>
        </w:rPr>
        <w:t>.</w:t>
      </w:r>
      <w:r w:rsidRPr="00440375">
        <w:rPr>
          <w:rFonts w:ascii="Arial" w:eastAsia="Times New Roman" w:hAnsi="Arial" w:cs="Arial"/>
          <w:color w:val="0000FF"/>
          <w:sz w:val="20"/>
          <w:szCs w:val="20"/>
          <w:shd w:val="clear" w:color="auto" w:fill="FFFFFF"/>
          <w:rtl/>
          <w:lang w:val="en-US" w:bidi="ar-SA"/>
        </w:rPr>
        <w:t>‏</w:t>
      </w:r>
    </w:p>
    <w:p w14:paraId="27160815" w14:textId="3B7530BF" w:rsidR="00F6103D" w:rsidRDefault="00F6103D" w:rsidP="001100A2">
      <w:pPr>
        <w:pStyle w:val="ListParagraph"/>
        <w:numPr>
          <w:ilvl w:val="0"/>
          <w:numId w:val="4"/>
        </w:numPr>
        <w:spacing w:after="0" w:line="360" w:lineRule="auto"/>
        <w:ind w:left="142" w:hanging="568"/>
        <w:jc w:val="both"/>
        <w:rPr>
          <w:rFonts w:ascii="Arial" w:eastAsia="Times New Roman" w:hAnsi="Arial" w:cs="Arial"/>
          <w:color w:val="0000FF"/>
          <w:sz w:val="20"/>
          <w:szCs w:val="20"/>
          <w:shd w:val="clear" w:color="auto" w:fill="FFFFFF"/>
          <w:lang w:val="en-US" w:bidi="ar-SA"/>
        </w:rPr>
      </w:pPr>
      <w:bookmarkStart w:id="6" w:name="_Hlk80103987"/>
      <w:r w:rsidRPr="00440375">
        <w:rPr>
          <w:rFonts w:ascii="Arial" w:eastAsia="Times New Roman" w:hAnsi="Arial" w:cs="Arial"/>
          <w:color w:val="0000FF"/>
          <w:sz w:val="20"/>
          <w:szCs w:val="20"/>
          <w:shd w:val="clear" w:color="auto" w:fill="FFFFFF"/>
          <w:lang w:val="en-US" w:bidi="ar-SA"/>
        </w:rPr>
        <w:t>Lin, T. Y., Yu, J., &amp; Lin, C. Y. (2021). IPO’s Long-Run Performance: Hot Market versus Earnings Management. </w:t>
      </w:r>
      <w:r w:rsidRPr="00440375">
        <w:rPr>
          <w:rFonts w:ascii="Arial" w:eastAsia="Times New Roman" w:hAnsi="Arial" w:cs="Arial"/>
          <w:i/>
          <w:iCs/>
          <w:color w:val="0000FF"/>
          <w:sz w:val="20"/>
          <w:szCs w:val="20"/>
          <w:shd w:val="clear" w:color="auto" w:fill="FFFFFF"/>
          <w:lang w:val="en-US" w:bidi="ar-SA"/>
        </w:rPr>
        <w:t>Journal of Risk and Financial Management</w:t>
      </w:r>
      <w:r w:rsidRPr="00440375">
        <w:rPr>
          <w:rFonts w:ascii="Arial" w:eastAsia="Times New Roman" w:hAnsi="Arial" w:cs="Arial"/>
          <w:color w:val="0000FF"/>
          <w:sz w:val="20"/>
          <w:szCs w:val="20"/>
          <w:shd w:val="clear" w:color="auto" w:fill="FFFFFF"/>
          <w:lang w:val="en-US" w:bidi="ar-SA"/>
        </w:rPr>
        <w:t>, </w:t>
      </w:r>
      <w:r w:rsidRPr="00440375">
        <w:rPr>
          <w:rFonts w:ascii="Arial" w:eastAsia="Times New Roman" w:hAnsi="Arial" w:cs="Arial"/>
          <w:i/>
          <w:iCs/>
          <w:color w:val="0000FF"/>
          <w:sz w:val="20"/>
          <w:szCs w:val="20"/>
          <w:shd w:val="clear" w:color="auto" w:fill="FFFFFF"/>
          <w:lang w:val="en-US" w:bidi="ar-SA"/>
        </w:rPr>
        <w:t>14</w:t>
      </w:r>
      <w:r w:rsidRPr="00440375">
        <w:rPr>
          <w:rFonts w:ascii="Arial" w:eastAsia="Times New Roman" w:hAnsi="Arial" w:cs="Arial"/>
          <w:color w:val="0000FF"/>
          <w:sz w:val="20"/>
          <w:szCs w:val="20"/>
          <w:shd w:val="clear" w:color="auto" w:fill="FFFFFF"/>
          <w:lang w:val="en-US" w:bidi="ar-SA"/>
        </w:rPr>
        <w:t>(3), 132.</w:t>
      </w:r>
      <w:r w:rsidRPr="00440375">
        <w:rPr>
          <w:rFonts w:ascii="Arial" w:eastAsia="Times New Roman" w:hAnsi="Arial" w:cs="Arial"/>
          <w:color w:val="0000FF"/>
          <w:sz w:val="20"/>
          <w:szCs w:val="20"/>
          <w:shd w:val="clear" w:color="auto" w:fill="FFFFFF"/>
          <w:rtl/>
          <w:lang w:val="en-US" w:bidi="ar-SA"/>
        </w:rPr>
        <w:t>‏</w:t>
      </w:r>
    </w:p>
    <w:p w14:paraId="122279AD" w14:textId="77777777" w:rsidR="001100A2" w:rsidRPr="001100A2" w:rsidRDefault="001100A2" w:rsidP="001100A2">
      <w:pPr>
        <w:pStyle w:val="ListParagraph"/>
        <w:numPr>
          <w:ilvl w:val="0"/>
          <w:numId w:val="4"/>
        </w:numPr>
        <w:spacing w:line="360" w:lineRule="auto"/>
        <w:ind w:left="142" w:hanging="568"/>
        <w:rPr>
          <w:rStyle w:val="tlid-translation"/>
          <w:rFonts w:cs="Calibri"/>
          <w:color w:val="0000FF"/>
          <w:sz w:val="24"/>
          <w:szCs w:val="24"/>
          <w:lang w:val="en"/>
        </w:rPr>
      </w:pPr>
      <w:r w:rsidRPr="001100A2">
        <w:rPr>
          <w:rStyle w:val="tlid-translation"/>
          <w:rFonts w:cs="Calibri"/>
          <w:color w:val="0000FF"/>
          <w:sz w:val="24"/>
          <w:szCs w:val="24"/>
          <w:lang w:val="en"/>
        </w:rPr>
        <w:t>Mello, A. S., &amp; Parsons, J. E. (1998). Going public and the ownership structure of the firm. Journal of financial economics, 49(1), 79-109.</w:t>
      </w:r>
      <w:r w:rsidRPr="001100A2">
        <w:rPr>
          <w:rStyle w:val="tlid-translation"/>
          <w:rFonts w:cs="Calibri"/>
          <w:color w:val="0000FF"/>
          <w:sz w:val="24"/>
          <w:szCs w:val="24"/>
          <w:rtl/>
          <w:lang w:val="en"/>
        </w:rPr>
        <w:t>‏</w:t>
      </w:r>
    </w:p>
    <w:bookmarkEnd w:id="6"/>
    <w:p w14:paraId="304D4B5C" w14:textId="00B0D39A" w:rsidR="00B650CF" w:rsidRPr="00440375" w:rsidRDefault="00B650CF" w:rsidP="001100A2">
      <w:pPr>
        <w:pStyle w:val="ListParagraph"/>
        <w:numPr>
          <w:ilvl w:val="0"/>
          <w:numId w:val="4"/>
        </w:numPr>
        <w:spacing w:after="0" w:line="360" w:lineRule="auto"/>
        <w:ind w:left="142" w:hanging="568"/>
        <w:jc w:val="both"/>
        <w:rPr>
          <w:rFonts w:ascii="Arial" w:eastAsia="Times New Roman" w:hAnsi="Arial" w:cs="Arial"/>
          <w:color w:val="0000FF"/>
          <w:sz w:val="20"/>
          <w:szCs w:val="20"/>
          <w:shd w:val="clear" w:color="auto" w:fill="FFFFFF"/>
          <w:lang w:val="en-US" w:bidi="ar-SA"/>
        </w:rPr>
      </w:pPr>
      <w:r w:rsidRPr="00440375">
        <w:rPr>
          <w:rFonts w:ascii="Arial" w:eastAsia="Times New Roman" w:hAnsi="Arial" w:cs="Arial"/>
          <w:color w:val="0000FF"/>
          <w:sz w:val="20"/>
          <w:szCs w:val="20"/>
          <w:shd w:val="clear" w:color="auto" w:fill="FFFFFF"/>
          <w:lang w:val="en-US" w:bidi="ar-SA"/>
        </w:rPr>
        <w:t>Shimizu, Y., &amp; Takei, H. (2016). Examining the Existence of Long-run Initial Public Offering (IPO) Underperformance at Three Different Stock Exchange Markets in Japan. </w:t>
      </w:r>
      <w:r w:rsidRPr="00440375">
        <w:rPr>
          <w:rFonts w:ascii="Arial" w:eastAsia="Times New Roman" w:hAnsi="Arial" w:cs="Arial"/>
          <w:i/>
          <w:iCs/>
          <w:color w:val="0000FF"/>
          <w:sz w:val="20"/>
          <w:szCs w:val="20"/>
          <w:shd w:val="clear" w:color="auto" w:fill="FFFFFF"/>
          <w:lang w:val="en-US" w:bidi="ar-SA"/>
        </w:rPr>
        <w:t>Business Management and Strategy</w:t>
      </w:r>
      <w:r w:rsidRPr="00440375">
        <w:rPr>
          <w:rFonts w:ascii="Arial" w:eastAsia="Times New Roman" w:hAnsi="Arial" w:cs="Arial"/>
          <w:color w:val="0000FF"/>
          <w:sz w:val="20"/>
          <w:szCs w:val="20"/>
          <w:shd w:val="clear" w:color="auto" w:fill="FFFFFF"/>
          <w:lang w:val="en-US" w:bidi="ar-SA"/>
        </w:rPr>
        <w:t>, </w:t>
      </w:r>
      <w:r w:rsidRPr="00440375">
        <w:rPr>
          <w:rFonts w:ascii="Arial" w:eastAsia="Times New Roman" w:hAnsi="Arial" w:cs="Arial"/>
          <w:i/>
          <w:iCs/>
          <w:color w:val="0000FF"/>
          <w:sz w:val="20"/>
          <w:szCs w:val="20"/>
          <w:shd w:val="clear" w:color="auto" w:fill="FFFFFF"/>
          <w:lang w:val="en-US" w:bidi="ar-SA"/>
        </w:rPr>
        <w:t>7</w:t>
      </w:r>
      <w:r w:rsidRPr="00440375">
        <w:rPr>
          <w:rFonts w:ascii="Arial" w:eastAsia="Times New Roman" w:hAnsi="Arial" w:cs="Arial"/>
          <w:color w:val="0000FF"/>
          <w:sz w:val="20"/>
          <w:szCs w:val="20"/>
          <w:shd w:val="clear" w:color="auto" w:fill="FFFFFF"/>
          <w:lang w:val="en-US" w:bidi="ar-SA"/>
        </w:rPr>
        <w:t>(2), 190-206.</w:t>
      </w:r>
      <w:r w:rsidRPr="00440375">
        <w:rPr>
          <w:rFonts w:ascii="Arial" w:eastAsia="Times New Roman" w:hAnsi="Arial" w:cs="Arial"/>
          <w:color w:val="0000FF"/>
          <w:sz w:val="20"/>
          <w:szCs w:val="20"/>
          <w:shd w:val="clear" w:color="auto" w:fill="FFFFFF"/>
          <w:rtl/>
          <w:lang w:val="en-US" w:bidi="ar-SA"/>
        </w:rPr>
        <w:t>‏</w:t>
      </w:r>
    </w:p>
    <w:p w14:paraId="4D8A7477" w14:textId="77777777" w:rsidR="00F5318B" w:rsidRDefault="0099479A" w:rsidP="00721435">
      <w:pPr>
        <w:pStyle w:val="ListParagraph"/>
        <w:numPr>
          <w:ilvl w:val="0"/>
          <w:numId w:val="4"/>
        </w:numPr>
        <w:spacing w:after="0" w:line="360" w:lineRule="auto"/>
        <w:ind w:left="142" w:hanging="426"/>
        <w:rPr>
          <w:rFonts w:ascii="Times New Roman" w:eastAsia="Times New Roman" w:hAnsi="Times New Roman" w:cs="Calibri"/>
          <w:color w:val="0000FF"/>
          <w:sz w:val="24"/>
          <w:szCs w:val="24"/>
          <w:lang w:val="en-US" w:bidi="ar-SA"/>
        </w:rPr>
      </w:pPr>
      <w:proofErr w:type="spellStart"/>
      <w:r w:rsidRPr="00F5318B">
        <w:rPr>
          <w:rFonts w:ascii="Times New Roman" w:eastAsia="Times New Roman" w:hAnsi="Times New Roman" w:cs="Calibri"/>
          <w:color w:val="0000FF"/>
          <w:sz w:val="24"/>
          <w:szCs w:val="24"/>
          <w:lang w:val="en-US" w:bidi="ar-SA"/>
        </w:rPr>
        <w:t>Thakor</w:t>
      </w:r>
      <w:proofErr w:type="spellEnd"/>
      <w:r w:rsidRPr="00F5318B">
        <w:rPr>
          <w:rFonts w:ascii="Times New Roman" w:eastAsia="Times New Roman" w:hAnsi="Times New Roman" w:cs="Calibri"/>
          <w:color w:val="0000FF"/>
          <w:sz w:val="24"/>
          <w:szCs w:val="24"/>
          <w:lang w:val="en-US" w:bidi="ar-SA"/>
        </w:rPr>
        <w:t xml:space="preserve">, R. T., Anaya, N., Zhang, Y., </w:t>
      </w:r>
      <w:proofErr w:type="spellStart"/>
      <w:r w:rsidRPr="00F5318B">
        <w:rPr>
          <w:rFonts w:ascii="Times New Roman" w:eastAsia="Times New Roman" w:hAnsi="Times New Roman" w:cs="Calibri"/>
          <w:color w:val="0000FF"/>
          <w:sz w:val="24"/>
          <w:szCs w:val="24"/>
          <w:lang w:val="en-US" w:bidi="ar-SA"/>
        </w:rPr>
        <w:t>Vilanilam</w:t>
      </w:r>
      <w:proofErr w:type="spellEnd"/>
      <w:r w:rsidRPr="00F5318B">
        <w:rPr>
          <w:rFonts w:ascii="Times New Roman" w:eastAsia="Times New Roman" w:hAnsi="Times New Roman" w:cs="Calibri"/>
          <w:color w:val="0000FF"/>
          <w:sz w:val="24"/>
          <w:szCs w:val="24"/>
          <w:lang w:val="en-US" w:bidi="ar-SA"/>
        </w:rPr>
        <w:t xml:space="preserve">, C., </w:t>
      </w:r>
      <w:proofErr w:type="spellStart"/>
      <w:r w:rsidRPr="00F5318B">
        <w:rPr>
          <w:rFonts w:ascii="Times New Roman" w:eastAsia="Times New Roman" w:hAnsi="Times New Roman" w:cs="Calibri"/>
          <w:color w:val="0000FF"/>
          <w:sz w:val="24"/>
          <w:szCs w:val="24"/>
          <w:lang w:val="en-US" w:bidi="ar-SA"/>
        </w:rPr>
        <w:t>Siah</w:t>
      </w:r>
      <w:proofErr w:type="spellEnd"/>
      <w:r w:rsidRPr="00F5318B">
        <w:rPr>
          <w:rFonts w:ascii="Times New Roman" w:eastAsia="Times New Roman" w:hAnsi="Times New Roman" w:cs="Calibri"/>
          <w:color w:val="0000FF"/>
          <w:sz w:val="24"/>
          <w:szCs w:val="24"/>
          <w:lang w:val="en-US" w:bidi="ar-SA"/>
        </w:rPr>
        <w:t>, K. W., Wong, C. H., &amp; Lo, A. W. (2017). Just how good an investment is the biopharmaceutical sector? Nature biotechnology, 35(12), 1149</w:t>
      </w:r>
    </w:p>
    <w:p w14:paraId="00128724" w14:textId="0E5E2A53" w:rsidR="004C243A" w:rsidRPr="004C243A" w:rsidRDefault="004C243A" w:rsidP="00721435">
      <w:pPr>
        <w:pStyle w:val="ListParagraph"/>
        <w:numPr>
          <w:ilvl w:val="0"/>
          <w:numId w:val="4"/>
        </w:numPr>
        <w:spacing w:after="0" w:line="360" w:lineRule="auto"/>
        <w:ind w:left="142" w:hanging="426"/>
        <w:rPr>
          <w:rFonts w:ascii="Times New Roman" w:eastAsia="Times New Roman" w:hAnsi="Times New Roman" w:cs="Calibri"/>
          <w:color w:val="0000FF"/>
          <w:sz w:val="24"/>
          <w:szCs w:val="24"/>
          <w:lang w:val="en-US" w:bidi="ar-SA"/>
        </w:rPr>
      </w:pPr>
      <w:r w:rsidRPr="004C243A">
        <w:rPr>
          <w:rFonts w:ascii="Times New Roman" w:eastAsia="Times New Roman" w:hAnsi="Times New Roman" w:cs="Calibri"/>
          <w:color w:val="0000FF"/>
          <w:sz w:val="24"/>
          <w:szCs w:val="24"/>
          <w:lang w:val="en-US" w:bidi="ar-SA"/>
        </w:rPr>
        <w:t>Zingales, L. (1995). Insider ownership and the decision to go public. The review of economic studies, 62(3), 425-448.</w:t>
      </w:r>
      <w:r w:rsidRPr="004C243A">
        <w:rPr>
          <w:rFonts w:ascii="Times New Roman" w:eastAsia="Times New Roman" w:hAnsi="Times New Roman" w:cs="Calibri"/>
          <w:color w:val="0000FF"/>
          <w:sz w:val="24"/>
          <w:szCs w:val="24"/>
          <w:rtl/>
          <w:lang w:val="en-US" w:bidi="ar-SA"/>
        </w:rPr>
        <w:t>‏</w:t>
      </w:r>
    </w:p>
    <w:p w14:paraId="6BE0E179" w14:textId="571FAA9C" w:rsidR="004C243A" w:rsidRDefault="004C243A" w:rsidP="004C243A">
      <w:pPr>
        <w:spacing w:after="0" w:line="360" w:lineRule="auto"/>
        <w:rPr>
          <w:rFonts w:ascii="Times New Roman" w:eastAsia="Times New Roman" w:hAnsi="Times New Roman" w:cs="Calibri"/>
          <w:color w:val="0000FF"/>
          <w:sz w:val="24"/>
          <w:szCs w:val="24"/>
          <w:lang w:val="en-US" w:bidi="ar-SA"/>
        </w:rPr>
      </w:pPr>
    </w:p>
    <w:bookmarkEnd w:id="4"/>
    <w:p w14:paraId="329C7411" w14:textId="77777777" w:rsidR="00C000B6" w:rsidRPr="00C000B6" w:rsidRDefault="00C000B6" w:rsidP="00C000B6">
      <w:pPr>
        <w:spacing w:before="75" w:after="75" w:line="240" w:lineRule="auto"/>
        <w:rPr>
          <w:rFonts w:ascii="Arial" w:eastAsia="Times New Roman" w:hAnsi="Arial" w:cs="Arial"/>
          <w:b/>
          <w:bCs/>
          <w:color w:val="0A0A0A"/>
          <w:sz w:val="20"/>
          <w:szCs w:val="20"/>
          <w:lang w:eastAsia="en-IL"/>
        </w:rPr>
      </w:pPr>
    </w:p>
    <w:p w14:paraId="72D40587" w14:textId="543B581E" w:rsidR="009D7247" w:rsidRDefault="009D7247" w:rsidP="00C000B6">
      <w:pPr>
        <w:numPr>
          <w:ilvl w:val="0"/>
          <w:numId w:val="1"/>
        </w:numPr>
        <w:tabs>
          <w:tab w:val="clear" w:pos="720"/>
        </w:tabs>
        <w:spacing w:before="75" w:after="75" w:line="240" w:lineRule="auto"/>
        <w:ind w:left="0" w:firstLine="0"/>
        <w:rPr>
          <w:rFonts w:ascii="Arial" w:eastAsia="Times New Roman" w:hAnsi="Arial" w:cs="Arial"/>
          <w:b/>
          <w:bCs/>
          <w:color w:val="0A0A0A"/>
          <w:sz w:val="20"/>
          <w:szCs w:val="20"/>
          <w:lang w:eastAsia="en-IL"/>
        </w:rPr>
      </w:pPr>
      <w:r w:rsidRPr="00C000B6">
        <w:rPr>
          <w:rFonts w:ascii="Arial" w:eastAsia="Times New Roman" w:hAnsi="Arial" w:cs="Arial"/>
          <w:b/>
          <w:bCs/>
          <w:color w:val="0A0A0A"/>
          <w:sz w:val="20"/>
          <w:szCs w:val="20"/>
          <w:lang w:eastAsia="en-IL"/>
        </w:rPr>
        <w:t>The examined period 2013-2017 should be supplemented by later years. We already have 2021. I would consider including consecutive years to the current analysis or to use them to verify ex post applications.</w:t>
      </w:r>
    </w:p>
    <w:p w14:paraId="03B0571C" w14:textId="77777777" w:rsidR="003E3553" w:rsidRDefault="003E3553" w:rsidP="003E3553">
      <w:pPr>
        <w:spacing w:before="75" w:after="75" w:line="240" w:lineRule="auto"/>
        <w:rPr>
          <w:rFonts w:ascii="Arial" w:eastAsia="Times New Roman" w:hAnsi="Arial" w:cs="Arial"/>
          <w:b/>
          <w:bCs/>
          <w:color w:val="0A0A0A"/>
          <w:sz w:val="20"/>
          <w:szCs w:val="20"/>
          <w:lang w:eastAsia="en-IL"/>
        </w:rPr>
      </w:pPr>
    </w:p>
    <w:p w14:paraId="059471C9" w14:textId="1CF65975" w:rsidR="00C000B6" w:rsidRDefault="00C000B6" w:rsidP="00C000B6">
      <w:pPr>
        <w:autoSpaceDE w:val="0"/>
        <w:autoSpaceDN w:val="0"/>
        <w:adjustRightInd w:val="0"/>
        <w:spacing w:after="0" w:line="276" w:lineRule="auto"/>
        <w:ind w:left="-426" w:right="-625"/>
        <w:jc w:val="both"/>
        <w:rPr>
          <w:rFonts w:eastAsia="Times New Roman" w:cstheme="majorBidi"/>
          <w:color w:val="0000FF"/>
          <w:lang w:val="en-US"/>
        </w:rPr>
      </w:pPr>
      <w:bookmarkStart w:id="7" w:name="_Hlk80618853"/>
      <w:r w:rsidRPr="00C000B6">
        <w:rPr>
          <w:rFonts w:eastAsia="Times New Roman" w:cstheme="majorBidi"/>
          <w:color w:val="0000FF"/>
        </w:rPr>
        <w:t>Thank you</w:t>
      </w:r>
      <w:r>
        <w:rPr>
          <w:rFonts w:eastAsia="Times New Roman" w:cstheme="majorBidi"/>
          <w:color w:val="0000FF"/>
          <w:lang w:val="en-US"/>
        </w:rPr>
        <w:t xml:space="preserve"> </w:t>
      </w:r>
      <w:r w:rsidRPr="00C000B6">
        <w:rPr>
          <w:rFonts w:eastAsia="Times New Roman" w:cstheme="majorBidi"/>
          <w:color w:val="0000FF"/>
        </w:rPr>
        <w:t xml:space="preserve">for your </w:t>
      </w:r>
      <w:r w:rsidR="00B637B1">
        <w:rPr>
          <w:rFonts w:eastAsia="Times New Roman" w:cstheme="majorBidi"/>
          <w:color w:val="0000FF"/>
          <w:lang w:val="en-US"/>
        </w:rPr>
        <w:t xml:space="preserve">valuable </w:t>
      </w:r>
      <w:r>
        <w:rPr>
          <w:rFonts w:eastAsia="Times New Roman" w:cstheme="majorBidi"/>
          <w:color w:val="0000FF"/>
          <w:lang w:val="en-US"/>
        </w:rPr>
        <w:t xml:space="preserve">comment. </w:t>
      </w:r>
      <w:r w:rsidR="003E3553">
        <w:rPr>
          <w:rFonts w:eastAsia="Times New Roman" w:cstheme="majorBidi"/>
          <w:color w:val="0000FF"/>
          <w:lang w:val="en-US"/>
        </w:rPr>
        <w:t>Following your comment, w</w:t>
      </w:r>
      <w:r>
        <w:rPr>
          <w:rFonts w:eastAsia="Times New Roman" w:cstheme="majorBidi"/>
          <w:color w:val="0000FF"/>
          <w:lang w:val="en-US"/>
        </w:rPr>
        <w:t>e extended the sample period</w:t>
      </w:r>
      <w:r w:rsidR="00B637B1">
        <w:rPr>
          <w:rFonts w:eastAsia="Times New Roman" w:cstheme="majorBidi"/>
          <w:color w:val="0000FF"/>
          <w:lang w:val="en-US"/>
        </w:rPr>
        <w:t xml:space="preserve"> </w:t>
      </w:r>
      <w:r w:rsidR="002701F4">
        <w:rPr>
          <w:rFonts w:eastAsia="Times New Roman" w:cstheme="majorBidi"/>
          <w:color w:val="0000FF"/>
          <w:lang w:val="en-US"/>
        </w:rPr>
        <w:t xml:space="preserve">from 2013 – 2017 to 2013 -2019 </w:t>
      </w:r>
      <w:r w:rsidR="00926EB2">
        <w:rPr>
          <w:rFonts w:eastAsia="Times New Roman" w:cstheme="majorBidi"/>
          <w:color w:val="0000FF"/>
          <w:lang w:val="en-US"/>
        </w:rPr>
        <w:t xml:space="preserve">and </w:t>
      </w:r>
      <w:r w:rsidR="00312CB9">
        <w:rPr>
          <w:rFonts w:eastAsia="Times New Roman" w:cstheme="majorBidi"/>
          <w:color w:val="0000FF"/>
          <w:lang w:val="en-US"/>
        </w:rPr>
        <w:t>repeated the</w:t>
      </w:r>
      <w:r w:rsidR="00926EB2">
        <w:rPr>
          <w:rFonts w:eastAsia="Times New Roman" w:cstheme="majorBidi"/>
          <w:color w:val="0000FF"/>
          <w:lang w:val="en-US"/>
        </w:rPr>
        <w:t xml:space="preserve"> CAAR </w:t>
      </w:r>
      <w:r w:rsidR="00312CB9">
        <w:rPr>
          <w:rFonts w:eastAsia="Times New Roman" w:cstheme="majorBidi"/>
          <w:color w:val="0000FF"/>
          <w:lang w:val="en-US"/>
        </w:rPr>
        <w:t xml:space="preserve">calculation </w:t>
      </w:r>
      <w:r w:rsidR="00926EB2">
        <w:rPr>
          <w:rFonts w:eastAsia="Times New Roman" w:cstheme="majorBidi"/>
          <w:color w:val="0000FF"/>
          <w:lang w:val="en-US"/>
        </w:rPr>
        <w:t>for the extended sample</w:t>
      </w:r>
      <w:r w:rsidR="002701F4">
        <w:rPr>
          <w:rFonts w:eastAsia="Times New Roman" w:cstheme="majorBidi"/>
          <w:color w:val="0000FF"/>
          <w:lang w:val="en-US"/>
        </w:rPr>
        <w:t>. This addition more than doubled the number of observations</w:t>
      </w:r>
      <w:r w:rsidR="003E3553">
        <w:rPr>
          <w:rFonts w:eastAsia="Times New Roman" w:cstheme="majorBidi"/>
          <w:color w:val="0000FF"/>
          <w:lang w:val="en-US"/>
        </w:rPr>
        <w:t>,</w:t>
      </w:r>
      <w:r w:rsidR="002701F4">
        <w:rPr>
          <w:rFonts w:eastAsia="Times New Roman" w:cstheme="majorBidi"/>
          <w:color w:val="0000FF"/>
          <w:lang w:val="en-US"/>
        </w:rPr>
        <w:t xml:space="preserve"> from 182 to 367 observations. </w:t>
      </w:r>
      <w:r>
        <w:rPr>
          <w:rFonts w:eastAsia="Times New Roman" w:cstheme="majorBidi"/>
          <w:color w:val="0000FF"/>
          <w:lang w:val="en-US"/>
        </w:rPr>
        <w:t xml:space="preserve">It </w:t>
      </w:r>
      <w:r w:rsidR="00B637B1">
        <w:rPr>
          <w:rFonts w:eastAsia="Times New Roman" w:cstheme="majorBidi"/>
          <w:color w:val="0000FF"/>
          <w:lang w:val="en-US"/>
        </w:rPr>
        <w:t>should be</w:t>
      </w:r>
      <w:r>
        <w:rPr>
          <w:rFonts w:eastAsia="Times New Roman" w:cstheme="majorBidi"/>
          <w:color w:val="0000FF"/>
          <w:lang w:val="en-US"/>
        </w:rPr>
        <w:t xml:space="preserve"> note</w:t>
      </w:r>
      <w:r w:rsidR="00B637B1">
        <w:rPr>
          <w:rFonts w:eastAsia="Times New Roman" w:cstheme="majorBidi"/>
          <w:color w:val="0000FF"/>
          <w:lang w:val="en-US"/>
        </w:rPr>
        <w:t>d</w:t>
      </w:r>
      <w:r>
        <w:rPr>
          <w:rFonts w:eastAsia="Times New Roman" w:cstheme="majorBidi"/>
          <w:color w:val="0000FF"/>
          <w:lang w:val="en-US"/>
        </w:rPr>
        <w:t xml:space="preserve"> that for </w:t>
      </w:r>
      <w:r w:rsidR="00926EB2">
        <w:rPr>
          <w:rFonts w:eastAsia="Times New Roman" w:cstheme="majorBidi"/>
          <w:color w:val="0000FF"/>
          <w:lang w:val="en-US"/>
        </w:rPr>
        <w:t>companies that perform</w:t>
      </w:r>
      <w:r w:rsidR="002701F4">
        <w:rPr>
          <w:rFonts w:eastAsia="Times New Roman" w:cstheme="majorBidi"/>
          <w:color w:val="0000FF"/>
          <w:lang w:val="en-US"/>
        </w:rPr>
        <w:t>ed</w:t>
      </w:r>
      <w:r w:rsidR="00926EB2">
        <w:rPr>
          <w:rFonts w:eastAsia="Times New Roman" w:cstheme="majorBidi"/>
          <w:color w:val="0000FF"/>
          <w:lang w:val="en-US"/>
        </w:rPr>
        <w:t xml:space="preserve"> an IPO after 2018 </w:t>
      </w:r>
      <w:r w:rsidR="00B637B1">
        <w:rPr>
          <w:rFonts w:eastAsia="Times New Roman" w:cstheme="majorBidi"/>
          <w:color w:val="0000FF"/>
          <w:lang w:val="en-US"/>
        </w:rPr>
        <w:t xml:space="preserve">there is </w:t>
      </w:r>
      <w:r w:rsidR="00926EB2">
        <w:rPr>
          <w:rFonts w:eastAsia="Times New Roman" w:cstheme="majorBidi"/>
          <w:color w:val="0000FF"/>
          <w:lang w:val="en-US"/>
        </w:rPr>
        <w:t xml:space="preserve">less than 3 full years </w:t>
      </w:r>
      <w:r w:rsidR="00B637B1">
        <w:rPr>
          <w:rFonts w:eastAsia="Times New Roman" w:cstheme="majorBidi"/>
          <w:color w:val="0000FF"/>
          <w:lang w:val="en-US"/>
        </w:rPr>
        <w:t>of consecutive prices</w:t>
      </w:r>
      <w:r w:rsidR="00813B14">
        <w:rPr>
          <w:rFonts w:eastAsia="Times New Roman" w:cstheme="majorBidi"/>
          <w:color w:val="0000FF"/>
          <w:lang w:val="en-US"/>
        </w:rPr>
        <w:t xml:space="preserve">. </w:t>
      </w:r>
      <w:r w:rsidR="00B637B1">
        <w:rPr>
          <w:rFonts w:eastAsia="Times New Roman" w:cstheme="majorBidi"/>
          <w:color w:val="0000FF"/>
          <w:lang w:val="en-US"/>
        </w:rPr>
        <w:t xml:space="preserve"> </w:t>
      </w:r>
      <w:r w:rsidR="002701F4">
        <w:rPr>
          <w:rFonts w:eastAsia="Times New Roman" w:cstheme="majorBidi"/>
          <w:color w:val="0000FF"/>
          <w:lang w:val="en-US"/>
        </w:rPr>
        <w:t>Accordingly,</w:t>
      </w:r>
      <w:r w:rsidR="00926EB2">
        <w:rPr>
          <w:rFonts w:eastAsia="Times New Roman" w:cstheme="majorBidi"/>
          <w:color w:val="0000FF"/>
          <w:lang w:val="en-US"/>
        </w:rPr>
        <w:t xml:space="preserve"> the following tables were updated. </w:t>
      </w:r>
    </w:p>
    <w:p w14:paraId="7243A2F9" w14:textId="2A4E96E6" w:rsidR="003E3553" w:rsidRDefault="003E3553" w:rsidP="00C000B6">
      <w:pPr>
        <w:autoSpaceDE w:val="0"/>
        <w:autoSpaceDN w:val="0"/>
        <w:adjustRightInd w:val="0"/>
        <w:spacing w:after="0" w:line="276" w:lineRule="auto"/>
        <w:ind w:left="-426" w:right="-625"/>
        <w:jc w:val="both"/>
        <w:rPr>
          <w:rFonts w:eastAsia="Times New Roman" w:cstheme="majorBidi"/>
          <w:color w:val="0000FF"/>
          <w:lang w:val="en-US"/>
        </w:rPr>
      </w:pPr>
    </w:p>
    <w:p w14:paraId="23FFB1B9" w14:textId="2351DA94" w:rsidR="003E3553" w:rsidRDefault="003E3553" w:rsidP="00C000B6">
      <w:pPr>
        <w:autoSpaceDE w:val="0"/>
        <w:autoSpaceDN w:val="0"/>
        <w:adjustRightInd w:val="0"/>
        <w:spacing w:after="0" w:line="276" w:lineRule="auto"/>
        <w:ind w:left="-426" w:right="-625"/>
        <w:jc w:val="both"/>
        <w:rPr>
          <w:rFonts w:eastAsia="Times New Roman" w:cstheme="majorBidi"/>
          <w:color w:val="0000FF"/>
          <w:lang w:val="en-US"/>
        </w:rPr>
      </w:pPr>
    </w:p>
    <w:p w14:paraId="163B277A" w14:textId="76662046" w:rsidR="003E3553" w:rsidRDefault="003E3553" w:rsidP="00C000B6">
      <w:pPr>
        <w:autoSpaceDE w:val="0"/>
        <w:autoSpaceDN w:val="0"/>
        <w:adjustRightInd w:val="0"/>
        <w:spacing w:after="0" w:line="276" w:lineRule="auto"/>
        <w:ind w:left="-426" w:right="-625"/>
        <w:jc w:val="both"/>
        <w:rPr>
          <w:rFonts w:eastAsia="Times New Roman" w:cstheme="majorBidi"/>
          <w:color w:val="0000FF"/>
          <w:lang w:val="en-US"/>
        </w:rPr>
      </w:pPr>
    </w:p>
    <w:p w14:paraId="46F11D08" w14:textId="2AF3A2A2" w:rsidR="003E3553" w:rsidRDefault="003E3553" w:rsidP="00C000B6">
      <w:pPr>
        <w:autoSpaceDE w:val="0"/>
        <w:autoSpaceDN w:val="0"/>
        <w:adjustRightInd w:val="0"/>
        <w:spacing w:after="0" w:line="276" w:lineRule="auto"/>
        <w:ind w:left="-426" w:right="-625"/>
        <w:jc w:val="both"/>
        <w:rPr>
          <w:rFonts w:eastAsia="Times New Roman" w:cstheme="majorBidi"/>
          <w:color w:val="0000FF"/>
          <w:lang w:val="en-US"/>
        </w:rPr>
      </w:pPr>
    </w:p>
    <w:p w14:paraId="5FB2FBD0" w14:textId="77777777" w:rsidR="003E3553" w:rsidRDefault="003E3553" w:rsidP="00C000B6">
      <w:pPr>
        <w:autoSpaceDE w:val="0"/>
        <w:autoSpaceDN w:val="0"/>
        <w:adjustRightInd w:val="0"/>
        <w:spacing w:after="0" w:line="276" w:lineRule="auto"/>
        <w:ind w:left="-426" w:right="-625"/>
        <w:jc w:val="both"/>
        <w:rPr>
          <w:rFonts w:eastAsia="Times New Roman" w:cstheme="majorBidi"/>
          <w:color w:val="0000FF"/>
          <w:lang w:val="en-US"/>
        </w:rPr>
      </w:pPr>
    </w:p>
    <w:p w14:paraId="47C1043B" w14:textId="1619D499" w:rsidR="00D748CA" w:rsidRPr="00C000B6" w:rsidRDefault="00D748CA" w:rsidP="00C000B6">
      <w:pPr>
        <w:autoSpaceDE w:val="0"/>
        <w:autoSpaceDN w:val="0"/>
        <w:adjustRightInd w:val="0"/>
        <w:spacing w:after="0" w:line="276" w:lineRule="auto"/>
        <w:ind w:left="-426" w:right="-625"/>
        <w:jc w:val="both"/>
        <w:rPr>
          <w:rFonts w:eastAsia="Times New Roman" w:cstheme="majorBidi"/>
          <w:color w:val="0000FF"/>
          <w:lang w:val="en-US"/>
        </w:rPr>
      </w:pPr>
      <w:bookmarkStart w:id="8" w:name="_Hlk80177445"/>
      <w:r>
        <w:rPr>
          <w:rFonts w:eastAsia="Times New Roman" w:cstheme="majorBidi"/>
          <w:color w:val="0000FF"/>
          <w:lang w:val="en-US"/>
        </w:rPr>
        <w:lastRenderedPageBreak/>
        <w:t xml:space="preserve">Table 1: </w:t>
      </w:r>
      <w:r w:rsidRPr="002701F4">
        <w:rPr>
          <w:rFonts w:eastAsia="Times New Roman" w:cstheme="majorBidi"/>
          <w:color w:val="0000FF"/>
          <w:lang w:val="en-US"/>
        </w:rPr>
        <w:t>Number</w:t>
      </w:r>
      <w:r>
        <w:rPr>
          <w:rFonts w:eastAsia="Times New Roman" w:cstheme="majorBidi"/>
          <w:color w:val="0000FF"/>
          <w:lang w:val="en-US"/>
        </w:rPr>
        <w:t xml:space="preserve"> of IPOs per year</w:t>
      </w:r>
    </w:p>
    <w:tbl>
      <w:tblPr>
        <w:tblW w:w="5230" w:type="dxa"/>
        <w:tblLook w:val="04A0" w:firstRow="1" w:lastRow="0" w:firstColumn="1" w:lastColumn="0" w:noHBand="0" w:noVBand="1"/>
      </w:tblPr>
      <w:tblGrid>
        <w:gridCol w:w="968"/>
        <w:gridCol w:w="956"/>
        <w:gridCol w:w="963"/>
        <w:gridCol w:w="1317"/>
        <w:gridCol w:w="1026"/>
      </w:tblGrid>
      <w:tr w:rsidR="000A7AB3" w:rsidRPr="000A7AB3" w14:paraId="3302FDA8" w14:textId="77777777" w:rsidTr="000A7AB3">
        <w:trPr>
          <w:trHeight w:val="420"/>
        </w:trPr>
        <w:tc>
          <w:tcPr>
            <w:tcW w:w="968" w:type="dxa"/>
            <w:tcBorders>
              <w:top w:val="single" w:sz="12" w:space="0" w:color="auto"/>
              <w:left w:val="single" w:sz="12" w:space="0" w:color="auto"/>
              <w:bottom w:val="nil"/>
              <w:right w:val="nil"/>
            </w:tcBorders>
            <w:shd w:val="clear" w:color="auto" w:fill="auto"/>
            <w:noWrap/>
            <w:vAlign w:val="center"/>
            <w:hideMark/>
          </w:tcPr>
          <w:p w14:paraId="28BECB4A" w14:textId="772ECE97" w:rsidR="000A7AB3" w:rsidRPr="000A7AB3" w:rsidRDefault="00BE002B" w:rsidP="000A7AB3">
            <w:pPr>
              <w:bidi/>
              <w:spacing w:after="0" w:line="240" w:lineRule="auto"/>
              <w:jc w:val="center"/>
              <w:rPr>
                <w:rFonts w:ascii="Calibri" w:eastAsia="Times New Roman" w:hAnsi="Calibri" w:cs="Calibri"/>
                <w:b/>
                <w:bCs/>
                <w:color w:val="0000FF"/>
                <w:u w:val="single"/>
                <w:lang w:eastAsia="en-IL"/>
              </w:rPr>
            </w:pPr>
            <w:r>
              <w:rPr>
                <w:rFonts w:ascii="Calibri" w:eastAsia="Times New Roman" w:hAnsi="Calibri" w:cs="Calibri"/>
                <w:b/>
                <w:bCs/>
                <w:color w:val="0000FF"/>
                <w:u w:val="single"/>
                <w:lang w:val="en-US" w:eastAsia="en-IL"/>
              </w:rPr>
              <w:t>y</w:t>
            </w:r>
            <w:r w:rsidR="000A7AB3" w:rsidRPr="000A7AB3">
              <w:rPr>
                <w:rFonts w:ascii="Calibri" w:eastAsia="Times New Roman" w:hAnsi="Calibri" w:cs="Calibri"/>
                <w:b/>
                <w:bCs/>
                <w:color w:val="0000FF"/>
                <w:u w:val="single"/>
                <w:lang w:eastAsia="en-IL"/>
              </w:rPr>
              <w:t>ear</w:t>
            </w:r>
          </w:p>
        </w:tc>
        <w:tc>
          <w:tcPr>
            <w:tcW w:w="957" w:type="dxa"/>
            <w:tcBorders>
              <w:top w:val="single" w:sz="12" w:space="0" w:color="auto"/>
              <w:left w:val="nil"/>
              <w:bottom w:val="nil"/>
              <w:right w:val="nil"/>
            </w:tcBorders>
            <w:shd w:val="clear" w:color="auto" w:fill="auto"/>
            <w:vAlign w:val="center"/>
            <w:hideMark/>
          </w:tcPr>
          <w:p w14:paraId="3A8997BF" w14:textId="0EABE3E7" w:rsidR="000A7AB3" w:rsidRPr="00BE002B" w:rsidRDefault="00BE002B" w:rsidP="000A7AB3">
            <w:pPr>
              <w:bidi/>
              <w:spacing w:after="0" w:line="240" w:lineRule="auto"/>
              <w:jc w:val="center"/>
              <w:rPr>
                <w:rFonts w:ascii="Calibri" w:eastAsia="Times New Roman" w:hAnsi="Calibri" w:cs="Calibri"/>
                <w:b/>
                <w:bCs/>
                <w:color w:val="0000FF"/>
                <w:u w:val="single"/>
                <w:rtl/>
                <w:lang w:val="en-US" w:eastAsia="en-IL"/>
              </w:rPr>
            </w:pPr>
            <w:r>
              <w:rPr>
                <w:rFonts w:ascii="Calibri" w:eastAsia="Times New Roman" w:hAnsi="Calibri" w:cs="Calibri"/>
                <w:b/>
                <w:bCs/>
                <w:color w:val="0000FF"/>
                <w:u w:val="single"/>
                <w:lang w:val="en-US" w:eastAsia="en-IL"/>
              </w:rPr>
              <w:t>total</w:t>
            </w:r>
          </w:p>
        </w:tc>
        <w:tc>
          <w:tcPr>
            <w:tcW w:w="959" w:type="dxa"/>
            <w:tcBorders>
              <w:top w:val="single" w:sz="12" w:space="0" w:color="auto"/>
              <w:left w:val="nil"/>
              <w:bottom w:val="nil"/>
              <w:right w:val="nil"/>
            </w:tcBorders>
            <w:shd w:val="clear" w:color="auto" w:fill="auto"/>
            <w:vAlign w:val="center"/>
            <w:hideMark/>
          </w:tcPr>
          <w:p w14:paraId="4B8F4743" w14:textId="138663A5" w:rsidR="000A7AB3" w:rsidRPr="000E5B8E" w:rsidRDefault="00BE002B" w:rsidP="000A7AB3">
            <w:pPr>
              <w:bidi/>
              <w:spacing w:after="0" w:line="240" w:lineRule="auto"/>
              <w:jc w:val="center"/>
              <w:rPr>
                <w:rFonts w:ascii="Calibri" w:eastAsia="Times New Roman" w:hAnsi="Calibri" w:cs="Calibri"/>
                <w:b/>
                <w:bCs/>
                <w:color w:val="0000FF"/>
                <w:u w:val="single"/>
                <w:rtl/>
                <w:lang w:val="en-US" w:eastAsia="en-IL"/>
              </w:rPr>
            </w:pPr>
            <w:r>
              <w:rPr>
                <w:rFonts w:ascii="Calibri" w:eastAsia="Times New Roman" w:hAnsi="Calibri" w:cs="Calibri"/>
                <w:b/>
                <w:bCs/>
                <w:color w:val="0000FF"/>
                <w:u w:val="single"/>
                <w:lang w:val="en-US" w:eastAsia="en-IL"/>
              </w:rPr>
              <w:t>biotech</w:t>
            </w:r>
            <w:r w:rsidR="000E5B8E">
              <w:rPr>
                <w:rFonts w:ascii="Calibri" w:eastAsia="Times New Roman" w:hAnsi="Calibri" w:cs="Calibri"/>
                <w:b/>
                <w:bCs/>
                <w:color w:val="0000FF"/>
                <w:u w:val="single"/>
                <w:lang w:val="en-US" w:eastAsia="en-IL"/>
              </w:rPr>
              <w:t>.</w:t>
            </w:r>
          </w:p>
        </w:tc>
        <w:tc>
          <w:tcPr>
            <w:tcW w:w="1319" w:type="dxa"/>
            <w:tcBorders>
              <w:top w:val="single" w:sz="12" w:space="0" w:color="auto"/>
              <w:left w:val="nil"/>
              <w:bottom w:val="nil"/>
              <w:right w:val="nil"/>
            </w:tcBorders>
            <w:shd w:val="clear" w:color="auto" w:fill="auto"/>
            <w:vAlign w:val="center"/>
            <w:hideMark/>
          </w:tcPr>
          <w:p w14:paraId="52ADBD1D" w14:textId="72BF229E" w:rsidR="000A7AB3" w:rsidRPr="000A7AB3" w:rsidRDefault="00BE002B" w:rsidP="000A7AB3">
            <w:pPr>
              <w:bidi/>
              <w:spacing w:after="0" w:line="240" w:lineRule="auto"/>
              <w:jc w:val="center"/>
              <w:rPr>
                <w:rFonts w:ascii="Calibri" w:eastAsia="Times New Roman" w:hAnsi="Calibri" w:cs="Calibri"/>
                <w:b/>
                <w:bCs/>
                <w:color w:val="0000FF"/>
                <w:u w:val="single"/>
                <w:rtl/>
                <w:lang w:eastAsia="en-IL"/>
              </w:rPr>
            </w:pPr>
            <w:r>
              <w:rPr>
                <w:rFonts w:ascii="Calibri" w:eastAsia="Times New Roman" w:hAnsi="Calibri" w:cs="Calibri"/>
                <w:b/>
                <w:bCs/>
                <w:color w:val="0000FF"/>
                <w:u w:val="single"/>
                <w:lang w:val="en-US" w:eastAsia="en-IL"/>
              </w:rPr>
              <w:t>b</w:t>
            </w:r>
            <w:r w:rsidR="000E5B8E">
              <w:rPr>
                <w:rFonts w:ascii="Calibri" w:eastAsia="Times New Roman" w:hAnsi="Calibri" w:cs="Calibri"/>
                <w:b/>
                <w:bCs/>
                <w:color w:val="0000FF"/>
                <w:u w:val="single"/>
                <w:lang w:val="en-US" w:eastAsia="en-IL"/>
              </w:rPr>
              <w:t>iotech</w:t>
            </w:r>
            <w:r w:rsidR="000A7AB3" w:rsidRPr="000A7AB3">
              <w:rPr>
                <w:rFonts w:ascii="Calibri" w:eastAsia="Times New Roman" w:hAnsi="Calibri" w:cs="Calibri"/>
                <w:b/>
                <w:bCs/>
                <w:color w:val="0000FF"/>
                <w:u w:val="single"/>
                <w:rtl/>
                <w:lang w:eastAsia="en-IL"/>
              </w:rPr>
              <w:t xml:space="preserve"> (%)</w:t>
            </w:r>
          </w:p>
        </w:tc>
        <w:tc>
          <w:tcPr>
            <w:tcW w:w="1027" w:type="dxa"/>
            <w:tcBorders>
              <w:top w:val="single" w:sz="12" w:space="0" w:color="auto"/>
              <w:left w:val="nil"/>
              <w:bottom w:val="nil"/>
              <w:right w:val="single" w:sz="12" w:space="0" w:color="auto"/>
            </w:tcBorders>
            <w:shd w:val="clear" w:color="auto" w:fill="auto"/>
            <w:vAlign w:val="center"/>
            <w:hideMark/>
          </w:tcPr>
          <w:p w14:paraId="6E3CF153" w14:textId="7C19A7A3" w:rsidR="000A7AB3" w:rsidRPr="000A7AB3" w:rsidRDefault="000A7AB3" w:rsidP="000A7AB3">
            <w:pPr>
              <w:bidi/>
              <w:spacing w:after="0" w:line="240" w:lineRule="auto"/>
              <w:jc w:val="center"/>
              <w:rPr>
                <w:rFonts w:ascii="Calibri" w:eastAsia="Times New Roman" w:hAnsi="Calibri" w:cs="Calibri"/>
                <w:b/>
                <w:bCs/>
                <w:color w:val="0000FF"/>
                <w:u w:val="single"/>
                <w:rtl/>
                <w:lang w:eastAsia="en-IL"/>
              </w:rPr>
            </w:pPr>
            <w:r w:rsidRPr="000A7AB3">
              <w:rPr>
                <w:rFonts w:ascii="Calibri" w:eastAsia="Times New Roman" w:hAnsi="Calibri" w:cs="Calibri"/>
                <w:b/>
                <w:bCs/>
                <w:color w:val="0000FF"/>
                <w:u w:val="single"/>
                <w:rtl/>
                <w:lang w:eastAsia="en-IL"/>
              </w:rPr>
              <w:t xml:space="preserve"> </w:t>
            </w:r>
            <w:r w:rsidR="00BE002B">
              <w:rPr>
                <w:rFonts w:ascii="Calibri" w:eastAsia="Times New Roman" w:hAnsi="Calibri" w:cs="Calibri"/>
                <w:b/>
                <w:bCs/>
                <w:color w:val="0000FF"/>
                <w:u w:val="single"/>
                <w:lang w:val="en-US" w:eastAsia="en-IL"/>
              </w:rPr>
              <w:t>s</w:t>
            </w:r>
            <w:r w:rsidRPr="000A7AB3">
              <w:rPr>
                <w:rFonts w:ascii="Calibri" w:eastAsia="Times New Roman" w:hAnsi="Calibri" w:cs="Calibri"/>
                <w:b/>
                <w:bCs/>
                <w:color w:val="0000FF"/>
                <w:u w:val="single"/>
                <w:lang w:eastAsia="en-IL"/>
              </w:rPr>
              <w:t>ample</w:t>
            </w:r>
          </w:p>
        </w:tc>
      </w:tr>
      <w:tr w:rsidR="000A7AB3" w:rsidRPr="000A7AB3" w14:paraId="6DF7F9BB" w14:textId="77777777" w:rsidTr="000A7AB3">
        <w:trPr>
          <w:trHeight w:val="300"/>
        </w:trPr>
        <w:tc>
          <w:tcPr>
            <w:tcW w:w="968" w:type="dxa"/>
            <w:tcBorders>
              <w:top w:val="nil"/>
              <w:left w:val="single" w:sz="12" w:space="0" w:color="auto"/>
              <w:bottom w:val="nil"/>
              <w:right w:val="nil"/>
            </w:tcBorders>
            <w:shd w:val="clear" w:color="auto" w:fill="auto"/>
            <w:noWrap/>
            <w:vAlign w:val="center"/>
            <w:hideMark/>
          </w:tcPr>
          <w:p w14:paraId="14C9DD4B" w14:textId="77777777" w:rsidR="000A7AB3" w:rsidRPr="000A7AB3" w:rsidRDefault="000A7AB3" w:rsidP="000A7AB3">
            <w:pPr>
              <w:bidi/>
              <w:spacing w:after="0" w:line="240" w:lineRule="auto"/>
              <w:jc w:val="center"/>
              <w:rPr>
                <w:rFonts w:ascii="Calibri" w:eastAsia="Times New Roman" w:hAnsi="Calibri" w:cs="Calibri"/>
                <w:color w:val="0000FF"/>
                <w:rtl/>
                <w:lang w:eastAsia="en-IL"/>
              </w:rPr>
            </w:pPr>
            <w:r w:rsidRPr="000A7AB3">
              <w:rPr>
                <w:rFonts w:ascii="Calibri" w:eastAsia="Times New Roman" w:hAnsi="Calibri" w:cs="Calibri"/>
                <w:color w:val="0000FF"/>
                <w:rtl/>
                <w:lang w:eastAsia="en-IL"/>
              </w:rPr>
              <w:t>2013</w:t>
            </w:r>
          </w:p>
        </w:tc>
        <w:tc>
          <w:tcPr>
            <w:tcW w:w="957" w:type="dxa"/>
            <w:tcBorders>
              <w:top w:val="nil"/>
              <w:left w:val="nil"/>
              <w:bottom w:val="nil"/>
              <w:right w:val="nil"/>
            </w:tcBorders>
            <w:shd w:val="clear" w:color="auto" w:fill="auto"/>
            <w:vAlign w:val="center"/>
            <w:hideMark/>
          </w:tcPr>
          <w:p w14:paraId="1F3B2FC2" w14:textId="77777777" w:rsidR="000A7AB3" w:rsidRPr="000A7AB3" w:rsidRDefault="000A7AB3" w:rsidP="000A7AB3">
            <w:pPr>
              <w:bidi/>
              <w:spacing w:after="0" w:line="240" w:lineRule="auto"/>
              <w:jc w:val="center"/>
              <w:rPr>
                <w:rFonts w:ascii="Calibri" w:eastAsia="Times New Roman" w:hAnsi="Calibri" w:cs="Calibri"/>
                <w:color w:val="0000FF"/>
                <w:rtl/>
                <w:lang w:eastAsia="en-IL"/>
              </w:rPr>
            </w:pPr>
            <w:r w:rsidRPr="000A7AB3">
              <w:rPr>
                <w:rFonts w:ascii="Calibri" w:eastAsia="Times New Roman" w:hAnsi="Calibri" w:cs="Calibri"/>
                <w:color w:val="0000FF"/>
                <w:rtl/>
                <w:lang w:eastAsia="en-IL"/>
              </w:rPr>
              <w:t>248</w:t>
            </w:r>
          </w:p>
        </w:tc>
        <w:tc>
          <w:tcPr>
            <w:tcW w:w="959" w:type="dxa"/>
            <w:tcBorders>
              <w:top w:val="nil"/>
              <w:left w:val="nil"/>
              <w:bottom w:val="nil"/>
              <w:right w:val="nil"/>
            </w:tcBorders>
            <w:shd w:val="clear" w:color="auto" w:fill="auto"/>
            <w:noWrap/>
            <w:vAlign w:val="bottom"/>
            <w:hideMark/>
          </w:tcPr>
          <w:p w14:paraId="3CA3F114" w14:textId="5A040FD5" w:rsidR="000A7AB3" w:rsidRPr="000A7AB3" w:rsidRDefault="000E5B8E" w:rsidP="000A7AB3">
            <w:pPr>
              <w:spacing w:after="0" w:line="240" w:lineRule="auto"/>
              <w:jc w:val="center"/>
              <w:rPr>
                <w:rFonts w:ascii="Calibri" w:eastAsia="Times New Roman" w:hAnsi="Calibri" w:cs="Calibri"/>
                <w:color w:val="0000FF"/>
                <w:rtl/>
                <w:lang w:eastAsia="en-IL"/>
              </w:rPr>
            </w:pPr>
            <w:r>
              <w:rPr>
                <w:rFonts w:ascii="Calibri" w:eastAsia="Times New Roman" w:hAnsi="Calibri" w:cs="Calibri" w:hint="cs"/>
                <w:color w:val="0000FF"/>
                <w:rtl/>
                <w:lang w:eastAsia="en-IL"/>
              </w:rPr>
              <w:t>52</w:t>
            </w:r>
          </w:p>
        </w:tc>
        <w:tc>
          <w:tcPr>
            <w:tcW w:w="1319" w:type="dxa"/>
            <w:tcBorders>
              <w:top w:val="nil"/>
              <w:left w:val="nil"/>
              <w:bottom w:val="nil"/>
              <w:right w:val="nil"/>
            </w:tcBorders>
            <w:shd w:val="clear" w:color="auto" w:fill="auto"/>
            <w:vAlign w:val="center"/>
            <w:hideMark/>
          </w:tcPr>
          <w:p w14:paraId="786470AB" w14:textId="77777777" w:rsidR="000A7AB3" w:rsidRPr="000A7AB3" w:rsidRDefault="000A7AB3" w:rsidP="000A7AB3">
            <w:pPr>
              <w:bidi/>
              <w:spacing w:after="0" w:line="240" w:lineRule="auto"/>
              <w:jc w:val="center"/>
              <w:rPr>
                <w:rFonts w:ascii="Calibri" w:eastAsia="Times New Roman" w:hAnsi="Calibri" w:cs="Calibri"/>
                <w:color w:val="0000FF"/>
                <w:lang w:eastAsia="en-IL"/>
              </w:rPr>
            </w:pPr>
            <w:r w:rsidRPr="000A7AB3">
              <w:rPr>
                <w:rFonts w:ascii="Calibri" w:eastAsia="Times New Roman" w:hAnsi="Calibri" w:cs="Calibri"/>
                <w:color w:val="0000FF"/>
                <w:rtl/>
                <w:lang w:eastAsia="en-IL"/>
              </w:rPr>
              <w:t>17%</w:t>
            </w:r>
          </w:p>
        </w:tc>
        <w:tc>
          <w:tcPr>
            <w:tcW w:w="1027" w:type="dxa"/>
            <w:tcBorders>
              <w:top w:val="nil"/>
              <w:left w:val="nil"/>
              <w:bottom w:val="nil"/>
              <w:right w:val="single" w:sz="12" w:space="0" w:color="auto"/>
            </w:tcBorders>
            <w:shd w:val="clear" w:color="auto" w:fill="auto"/>
            <w:vAlign w:val="center"/>
            <w:hideMark/>
          </w:tcPr>
          <w:p w14:paraId="4043393F" w14:textId="77777777" w:rsidR="000A7AB3" w:rsidRPr="000A7AB3" w:rsidRDefault="000A7AB3" w:rsidP="000A7AB3">
            <w:pPr>
              <w:bidi/>
              <w:spacing w:after="0" w:line="240" w:lineRule="auto"/>
              <w:jc w:val="center"/>
              <w:rPr>
                <w:rFonts w:ascii="Calibri" w:eastAsia="Times New Roman" w:hAnsi="Calibri" w:cs="Calibri"/>
                <w:color w:val="0000FF"/>
                <w:rtl/>
                <w:lang w:eastAsia="en-IL"/>
              </w:rPr>
            </w:pPr>
            <w:r w:rsidRPr="000A7AB3">
              <w:rPr>
                <w:rFonts w:ascii="Calibri" w:eastAsia="Times New Roman" w:hAnsi="Calibri" w:cs="Calibri"/>
                <w:color w:val="0000FF"/>
                <w:rtl/>
                <w:lang w:eastAsia="en-IL"/>
              </w:rPr>
              <w:t>30</w:t>
            </w:r>
          </w:p>
        </w:tc>
      </w:tr>
      <w:tr w:rsidR="000A7AB3" w:rsidRPr="000A7AB3" w14:paraId="1339C3CB" w14:textId="77777777" w:rsidTr="000A7AB3">
        <w:trPr>
          <w:trHeight w:val="300"/>
        </w:trPr>
        <w:tc>
          <w:tcPr>
            <w:tcW w:w="968" w:type="dxa"/>
            <w:tcBorders>
              <w:top w:val="nil"/>
              <w:left w:val="single" w:sz="12" w:space="0" w:color="auto"/>
              <w:bottom w:val="nil"/>
              <w:right w:val="nil"/>
            </w:tcBorders>
            <w:shd w:val="clear" w:color="auto" w:fill="auto"/>
            <w:noWrap/>
            <w:vAlign w:val="center"/>
            <w:hideMark/>
          </w:tcPr>
          <w:p w14:paraId="5D345E96" w14:textId="77777777" w:rsidR="000A7AB3" w:rsidRPr="000A7AB3" w:rsidRDefault="000A7AB3" w:rsidP="000A7AB3">
            <w:pPr>
              <w:bidi/>
              <w:spacing w:after="0" w:line="240" w:lineRule="auto"/>
              <w:jc w:val="center"/>
              <w:rPr>
                <w:rFonts w:ascii="Calibri" w:eastAsia="Times New Roman" w:hAnsi="Calibri" w:cs="Calibri"/>
                <w:color w:val="0000FF"/>
                <w:rtl/>
                <w:lang w:eastAsia="en-IL"/>
              </w:rPr>
            </w:pPr>
            <w:r w:rsidRPr="000A7AB3">
              <w:rPr>
                <w:rFonts w:ascii="Calibri" w:eastAsia="Times New Roman" w:hAnsi="Calibri" w:cs="Calibri"/>
                <w:color w:val="0000FF"/>
                <w:rtl/>
                <w:lang w:eastAsia="en-IL"/>
              </w:rPr>
              <w:t>2014</w:t>
            </w:r>
          </w:p>
        </w:tc>
        <w:tc>
          <w:tcPr>
            <w:tcW w:w="957" w:type="dxa"/>
            <w:tcBorders>
              <w:top w:val="nil"/>
              <w:left w:val="nil"/>
              <w:bottom w:val="nil"/>
              <w:right w:val="nil"/>
            </w:tcBorders>
            <w:shd w:val="clear" w:color="auto" w:fill="auto"/>
            <w:vAlign w:val="center"/>
            <w:hideMark/>
          </w:tcPr>
          <w:p w14:paraId="3D1D90CF" w14:textId="77777777" w:rsidR="000A7AB3" w:rsidRPr="000A7AB3" w:rsidRDefault="000A7AB3" w:rsidP="000A7AB3">
            <w:pPr>
              <w:bidi/>
              <w:spacing w:after="0" w:line="240" w:lineRule="auto"/>
              <w:jc w:val="center"/>
              <w:rPr>
                <w:rFonts w:ascii="Calibri" w:eastAsia="Times New Roman" w:hAnsi="Calibri" w:cs="Calibri"/>
                <w:color w:val="0000FF"/>
                <w:rtl/>
                <w:lang w:eastAsia="en-IL"/>
              </w:rPr>
            </w:pPr>
            <w:r w:rsidRPr="000A7AB3">
              <w:rPr>
                <w:rFonts w:ascii="Calibri" w:eastAsia="Times New Roman" w:hAnsi="Calibri" w:cs="Calibri"/>
                <w:color w:val="0000FF"/>
                <w:rtl/>
                <w:lang w:eastAsia="en-IL"/>
              </w:rPr>
              <w:t>312</w:t>
            </w:r>
          </w:p>
        </w:tc>
        <w:tc>
          <w:tcPr>
            <w:tcW w:w="959" w:type="dxa"/>
            <w:tcBorders>
              <w:top w:val="nil"/>
              <w:left w:val="nil"/>
              <w:bottom w:val="nil"/>
              <w:right w:val="nil"/>
            </w:tcBorders>
            <w:shd w:val="clear" w:color="auto" w:fill="auto"/>
            <w:noWrap/>
            <w:vAlign w:val="bottom"/>
            <w:hideMark/>
          </w:tcPr>
          <w:p w14:paraId="324939C1" w14:textId="255863DE" w:rsidR="000A7AB3" w:rsidRPr="000E5B8E" w:rsidRDefault="000E5B8E" w:rsidP="000A7AB3">
            <w:pPr>
              <w:spacing w:after="0" w:line="240" w:lineRule="auto"/>
              <w:jc w:val="center"/>
              <w:rPr>
                <w:rFonts w:ascii="Calibri" w:eastAsia="Times New Roman" w:hAnsi="Calibri" w:cs="Calibri"/>
                <w:color w:val="0000FF"/>
                <w:rtl/>
                <w:lang w:val="en-US" w:eastAsia="en-IL"/>
              </w:rPr>
            </w:pPr>
            <w:r>
              <w:rPr>
                <w:rFonts w:ascii="Calibri" w:eastAsia="Times New Roman" w:hAnsi="Calibri" w:cs="Calibri"/>
                <w:color w:val="0000FF"/>
                <w:lang w:val="en-US" w:eastAsia="en-IL"/>
              </w:rPr>
              <w:t>85</w:t>
            </w:r>
          </w:p>
        </w:tc>
        <w:tc>
          <w:tcPr>
            <w:tcW w:w="1319" w:type="dxa"/>
            <w:tcBorders>
              <w:top w:val="nil"/>
              <w:left w:val="nil"/>
              <w:bottom w:val="nil"/>
              <w:right w:val="nil"/>
            </w:tcBorders>
            <w:shd w:val="clear" w:color="auto" w:fill="auto"/>
            <w:vAlign w:val="center"/>
            <w:hideMark/>
          </w:tcPr>
          <w:p w14:paraId="3E3971D0" w14:textId="77777777" w:rsidR="000A7AB3" w:rsidRPr="000A7AB3" w:rsidRDefault="000A7AB3" w:rsidP="000A7AB3">
            <w:pPr>
              <w:bidi/>
              <w:spacing w:after="0" w:line="240" w:lineRule="auto"/>
              <w:jc w:val="center"/>
              <w:rPr>
                <w:rFonts w:ascii="Calibri" w:eastAsia="Times New Roman" w:hAnsi="Calibri" w:cs="Calibri"/>
                <w:color w:val="0000FF"/>
                <w:lang w:eastAsia="en-IL"/>
              </w:rPr>
            </w:pPr>
            <w:r w:rsidRPr="000A7AB3">
              <w:rPr>
                <w:rFonts w:ascii="Calibri" w:eastAsia="Times New Roman" w:hAnsi="Calibri" w:cs="Calibri"/>
                <w:color w:val="0000FF"/>
                <w:rtl/>
                <w:lang w:eastAsia="en-IL"/>
              </w:rPr>
              <w:t>24%</w:t>
            </w:r>
          </w:p>
        </w:tc>
        <w:tc>
          <w:tcPr>
            <w:tcW w:w="1027" w:type="dxa"/>
            <w:tcBorders>
              <w:top w:val="nil"/>
              <w:left w:val="nil"/>
              <w:bottom w:val="nil"/>
              <w:right w:val="single" w:sz="12" w:space="0" w:color="auto"/>
            </w:tcBorders>
            <w:shd w:val="clear" w:color="auto" w:fill="auto"/>
            <w:vAlign w:val="center"/>
            <w:hideMark/>
          </w:tcPr>
          <w:p w14:paraId="3CD00417" w14:textId="77777777" w:rsidR="000A7AB3" w:rsidRPr="000A7AB3" w:rsidRDefault="000A7AB3" w:rsidP="000A7AB3">
            <w:pPr>
              <w:bidi/>
              <w:spacing w:after="0" w:line="240" w:lineRule="auto"/>
              <w:jc w:val="center"/>
              <w:rPr>
                <w:rFonts w:ascii="Calibri" w:eastAsia="Times New Roman" w:hAnsi="Calibri" w:cs="Calibri"/>
                <w:color w:val="0000FF"/>
                <w:rtl/>
                <w:lang w:eastAsia="en-IL"/>
              </w:rPr>
            </w:pPr>
            <w:r w:rsidRPr="000A7AB3">
              <w:rPr>
                <w:rFonts w:ascii="Calibri" w:eastAsia="Times New Roman" w:hAnsi="Calibri" w:cs="Calibri"/>
                <w:color w:val="0000FF"/>
                <w:rtl/>
                <w:lang w:eastAsia="en-IL"/>
              </w:rPr>
              <w:t>70</w:t>
            </w:r>
          </w:p>
        </w:tc>
      </w:tr>
      <w:tr w:rsidR="000A7AB3" w:rsidRPr="000A7AB3" w14:paraId="3E7D748B" w14:textId="77777777" w:rsidTr="000A7AB3">
        <w:trPr>
          <w:trHeight w:val="300"/>
        </w:trPr>
        <w:tc>
          <w:tcPr>
            <w:tcW w:w="968" w:type="dxa"/>
            <w:tcBorders>
              <w:top w:val="nil"/>
              <w:left w:val="single" w:sz="12" w:space="0" w:color="auto"/>
              <w:bottom w:val="nil"/>
              <w:right w:val="nil"/>
            </w:tcBorders>
            <w:shd w:val="clear" w:color="auto" w:fill="auto"/>
            <w:noWrap/>
            <w:vAlign w:val="center"/>
            <w:hideMark/>
          </w:tcPr>
          <w:p w14:paraId="2A1909A1" w14:textId="77777777" w:rsidR="000A7AB3" w:rsidRPr="000A7AB3" w:rsidRDefault="000A7AB3" w:rsidP="000A7AB3">
            <w:pPr>
              <w:bidi/>
              <w:spacing w:after="0" w:line="240" w:lineRule="auto"/>
              <w:jc w:val="center"/>
              <w:rPr>
                <w:rFonts w:ascii="Calibri" w:eastAsia="Times New Roman" w:hAnsi="Calibri" w:cs="Calibri"/>
                <w:color w:val="0000FF"/>
                <w:rtl/>
                <w:lang w:eastAsia="en-IL"/>
              </w:rPr>
            </w:pPr>
            <w:r w:rsidRPr="000A7AB3">
              <w:rPr>
                <w:rFonts w:ascii="Calibri" w:eastAsia="Times New Roman" w:hAnsi="Calibri" w:cs="Calibri"/>
                <w:color w:val="0000FF"/>
                <w:rtl/>
                <w:lang w:eastAsia="en-IL"/>
              </w:rPr>
              <w:t>2015</w:t>
            </w:r>
          </w:p>
        </w:tc>
        <w:tc>
          <w:tcPr>
            <w:tcW w:w="957" w:type="dxa"/>
            <w:tcBorders>
              <w:top w:val="nil"/>
              <w:left w:val="nil"/>
              <w:bottom w:val="nil"/>
              <w:right w:val="nil"/>
            </w:tcBorders>
            <w:shd w:val="clear" w:color="auto" w:fill="auto"/>
            <w:vAlign w:val="center"/>
            <w:hideMark/>
          </w:tcPr>
          <w:p w14:paraId="1D9338E3" w14:textId="77777777" w:rsidR="000A7AB3" w:rsidRPr="000A7AB3" w:rsidRDefault="000A7AB3" w:rsidP="000A7AB3">
            <w:pPr>
              <w:bidi/>
              <w:spacing w:after="0" w:line="240" w:lineRule="auto"/>
              <w:jc w:val="center"/>
              <w:rPr>
                <w:rFonts w:ascii="Calibri" w:eastAsia="Times New Roman" w:hAnsi="Calibri" w:cs="Calibri"/>
                <w:color w:val="0000FF"/>
                <w:rtl/>
                <w:lang w:eastAsia="en-IL"/>
              </w:rPr>
            </w:pPr>
            <w:r w:rsidRPr="000A7AB3">
              <w:rPr>
                <w:rFonts w:ascii="Calibri" w:eastAsia="Times New Roman" w:hAnsi="Calibri" w:cs="Calibri"/>
                <w:color w:val="0000FF"/>
                <w:rtl/>
                <w:lang w:eastAsia="en-IL"/>
              </w:rPr>
              <w:t>200</w:t>
            </w:r>
          </w:p>
        </w:tc>
        <w:tc>
          <w:tcPr>
            <w:tcW w:w="959" w:type="dxa"/>
            <w:tcBorders>
              <w:top w:val="nil"/>
              <w:left w:val="nil"/>
              <w:bottom w:val="nil"/>
              <w:right w:val="nil"/>
            </w:tcBorders>
            <w:shd w:val="clear" w:color="auto" w:fill="auto"/>
            <w:noWrap/>
            <w:vAlign w:val="bottom"/>
            <w:hideMark/>
          </w:tcPr>
          <w:p w14:paraId="33FA1650" w14:textId="3ECC47E4" w:rsidR="000A7AB3" w:rsidRPr="000A7AB3" w:rsidRDefault="000E5B8E" w:rsidP="000A7AB3">
            <w:pPr>
              <w:spacing w:after="0" w:line="240" w:lineRule="auto"/>
              <w:jc w:val="center"/>
              <w:rPr>
                <w:rFonts w:ascii="Calibri" w:eastAsia="Times New Roman" w:hAnsi="Calibri" w:cs="Calibri"/>
                <w:color w:val="0000FF"/>
                <w:rtl/>
                <w:lang w:eastAsia="en-IL"/>
              </w:rPr>
            </w:pPr>
            <w:r>
              <w:rPr>
                <w:rFonts w:ascii="Calibri" w:eastAsia="Times New Roman" w:hAnsi="Calibri" w:cs="Calibri"/>
                <w:color w:val="0000FF"/>
                <w:lang w:val="en-US" w:eastAsia="en-IL"/>
              </w:rPr>
              <w:t>6</w:t>
            </w:r>
            <w:r w:rsidR="000A7AB3" w:rsidRPr="000A7AB3">
              <w:rPr>
                <w:rFonts w:ascii="Calibri" w:eastAsia="Times New Roman" w:hAnsi="Calibri" w:cs="Calibri"/>
                <w:color w:val="0000FF"/>
                <w:lang w:eastAsia="en-IL"/>
              </w:rPr>
              <w:t>4</w:t>
            </w:r>
          </w:p>
        </w:tc>
        <w:tc>
          <w:tcPr>
            <w:tcW w:w="1319" w:type="dxa"/>
            <w:tcBorders>
              <w:top w:val="nil"/>
              <w:left w:val="nil"/>
              <w:bottom w:val="nil"/>
              <w:right w:val="nil"/>
            </w:tcBorders>
            <w:shd w:val="clear" w:color="auto" w:fill="auto"/>
            <w:vAlign w:val="center"/>
            <w:hideMark/>
          </w:tcPr>
          <w:p w14:paraId="1C36B73C" w14:textId="77777777" w:rsidR="000A7AB3" w:rsidRPr="000A7AB3" w:rsidRDefault="000A7AB3" w:rsidP="000A7AB3">
            <w:pPr>
              <w:bidi/>
              <w:spacing w:after="0" w:line="240" w:lineRule="auto"/>
              <w:jc w:val="center"/>
              <w:rPr>
                <w:rFonts w:ascii="Calibri" w:eastAsia="Times New Roman" w:hAnsi="Calibri" w:cs="Calibri"/>
                <w:color w:val="0000FF"/>
                <w:lang w:eastAsia="en-IL"/>
              </w:rPr>
            </w:pPr>
            <w:r w:rsidRPr="000A7AB3">
              <w:rPr>
                <w:rFonts w:ascii="Calibri" w:eastAsia="Times New Roman" w:hAnsi="Calibri" w:cs="Calibri"/>
                <w:color w:val="0000FF"/>
                <w:rtl/>
                <w:lang w:eastAsia="en-IL"/>
              </w:rPr>
              <w:t>27%</w:t>
            </w:r>
          </w:p>
        </w:tc>
        <w:tc>
          <w:tcPr>
            <w:tcW w:w="1027" w:type="dxa"/>
            <w:tcBorders>
              <w:top w:val="nil"/>
              <w:left w:val="nil"/>
              <w:bottom w:val="nil"/>
              <w:right w:val="single" w:sz="12" w:space="0" w:color="auto"/>
            </w:tcBorders>
            <w:shd w:val="clear" w:color="auto" w:fill="auto"/>
            <w:vAlign w:val="center"/>
            <w:hideMark/>
          </w:tcPr>
          <w:p w14:paraId="7A2026CD" w14:textId="77777777" w:rsidR="000A7AB3" w:rsidRPr="000A7AB3" w:rsidRDefault="000A7AB3" w:rsidP="000A7AB3">
            <w:pPr>
              <w:bidi/>
              <w:spacing w:after="0" w:line="240" w:lineRule="auto"/>
              <w:jc w:val="center"/>
              <w:rPr>
                <w:rFonts w:ascii="Calibri" w:eastAsia="Times New Roman" w:hAnsi="Calibri" w:cs="Calibri"/>
                <w:color w:val="0000FF"/>
                <w:rtl/>
                <w:lang w:eastAsia="en-IL"/>
              </w:rPr>
            </w:pPr>
            <w:r w:rsidRPr="000A7AB3">
              <w:rPr>
                <w:rFonts w:ascii="Calibri" w:eastAsia="Times New Roman" w:hAnsi="Calibri" w:cs="Calibri"/>
                <w:color w:val="0000FF"/>
                <w:rtl/>
                <w:lang w:eastAsia="en-IL"/>
              </w:rPr>
              <w:t>49</w:t>
            </w:r>
          </w:p>
        </w:tc>
      </w:tr>
      <w:tr w:rsidR="000A7AB3" w:rsidRPr="000A7AB3" w14:paraId="062B5CAC" w14:textId="77777777" w:rsidTr="000A7AB3">
        <w:trPr>
          <w:trHeight w:val="300"/>
        </w:trPr>
        <w:tc>
          <w:tcPr>
            <w:tcW w:w="968" w:type="dxa"/>
            <w:tcBorders>
              <w:top w:val="nil"/>
              <w:left w:val="single" w:sz="12" w:space="0" w:color="auto"/>
              <w:bottom w:val="nil"/>
              <w:right w:val="nil"/>
            </w:tcBorders>
            <w:shd w:val="clear" w:color="auto" w:fill="auto"/>
            <w:noWrap/>
            <w:vAlign w:val="center"/>
            <w:hideMark/>
          </w:tcPr>
          <w:p w14:paraId="6DECCBE4" w14:textId="77777777" w:rsidR="000A7AB3" w:rsidRPr="000A7AB3" w:rsidRDefault="000A7AB3" w:rsidP="000A7AB3">
            <w:pPr>
              <w:bidi/>
              <w:spacing w:after="0" w:line="240" w:lineRule="auto"/>
              <w:jc w:val="center"/>
              <w:rPr>
                <w:rFonts w:ascii="Calibri" w:eastAsia="Times New Roman" w:hAnsi="Calibri" w:cs="Calibri"/>
                <w:color w:val="0000FF"/>
                <w:rtl/>
                <w:lang w:eastAsia="en-IL"/>
              </w:rPr>
            </w:pPr>
            <w:r w:rsidRPr="000A7AB3">
              <w:rPr>
                <w:rFonts w:ascii="Calibri" w:eastAsia="Times New Roman" w:hAnsi="Calibri" w:cs="Calibri"/>
                <w:color w:val="0000FF"/>
                <w:rtl/>
                <w:lang w:eastAsia="en-IL"/>
              </w:rPr>
              <w:t>2016</w:t>
            </w:r>
          </w:p>
        </w:tc>
        <w:tc>
          <w:tcPr>
            <w:tcW w:w="957" w:type="dxa"/>
            <w:tcBorders>
              <w:top w:val="nil"/>
              <w:left w:val="nil"/>
              <w:bottom w:val="nil"/>
              <w:right w:val="nil"/>
            </w:tcBorders>
            <w:shd w:val="clear" w:color="auto" w:fill="auto"/>
            <w:vAlign w:val="center"/>
            <w:hideMark/>
          </w:tcPr>
          <w:p w14:paraId="3056CA0A" w14:textId="77777777" w:rsidR="000A7AB3" w:rsidRPr="000A7AB3" w:rsidRDefault="000A7AB3" w:rsidP="000A7AB3">
            <w:pPr>
              <w:bidi/>
              <w:spacing w:after="0" w:line="240" w:lineRule="auto"/>
              <w:jc w:val="center"/>
              <w:rPr>
                <w:rFonts w:ascii="Calibri" w:eastAsia="Times New Roman" w:hAnsi="Calibri" w:cs="Calibri"/>
                <w:color w:val="0000FF"/>
                <w:rtl/>
                <w:lang w:eastAsia="en-IL"/>
              </w:rPr>
            </w:pPr>
            <w:r w:rsidRPr="000A7AB3">
              <w:rPr>
                <w:rFonts w:ascii="Calibri" w:eastAsia="Times New Roman" w:hAnsi="Calibri" w:cs="Calibri"/>
                <w:color w:val="0000FF"/>
                <w:rtl/>
                <w:lang w:eastAsia="en-IL"/>
              </w:rPr>
              <w:t>128</w:t>
            </w:r>
          </w:p>
        </w:tc>
        <w:tc>
          <w:tcPr>
            <w:tcW w:w="959" w:type="dxa"/>
            <w:tcBorders>
              <w:top w:val="nil"/>
              <w:left w:val="nil"/>
              <w:bottom w:val="nil"/>
              <w:right w:val="nil"/>
            </w:tcBorders>
            <w:shd w:val="clear" w:color="auto" w:fill="auto"/>
            <w:noWrap/>
            <w:vAlign w:val="bottom"/>
            <w:hideMark/>
          </w:tcPr>
          <w:p w14:paraId="0C919DCE" w14:textId="0DAA4469" w:rsidR="000A7AB3" w:rsidRPr="000E5B8E" w:rsidRDefault="000A7AB3" w:rsidP="000A7AB3">
            <w:pPr>
              <w:spacing w:after="0" w:line="240" w:lineRule="auto"/>
              <w:jc w:val="center"/>
              <w:rPr>
                <w:rFonts w:ascii="Calibri" w:eastAsia="Times New Roman" w:hAnsi="Calibri" w:cs="Calibri"/>
                <w:color w:val="0000FF"/>
                <w:rtl/>
                <w:lang w:val="en-US" w:eastAsia="en-IL"/>
              </w:rPr>
            </w:pPr>
            <w:r w:rsidRPr="000A7AB3">
              <w:rPr>
                <w:rFonts w:ascii="Calibri" w:eastAsia="Times New Roman" w:hAnsi="Calibri" w:cs="Calibri"/>
                <w:color w:val="0000FF"/>
                <w:lang w:eastAsia="en-IL"/>
              </w:rPr>
              <w:t>3</w:t>
            </w:r>
            <w:r w:rsidR="000E5B8E">
              <w:rPr>
                <w:rFonts w:ascii="Calibri" w:eastAsia="Times New Roman" w:hAnsi="Calibri" w:cs="Calibri"/>
                <w:color w:val="0000FF"/>
                <w:lang w:val="en-US" w:eastAsia="en-IL"/>
              </w:rPr>
              <w:t>3</w:t>
            </w:r>
          </w:p>
        </w:tc>
        <w:tc>
          <w:tcPr>
            <w:tcW w:w="1319" w:type="dxa"/>
            <w:tcBorders>
              <w:top w:val="nil"/>
              <w:left w:val="nil"/>
              <w:bottom w:val="nil"/>
              <w:right w:val="nil"/>
            </w:tcBorders>
            <w:shd w:val="clear" w:color="auto" w:fill="auto"/>
            <w:vAlign w:val="center"/>
            <w:hideMark/>
          </w:tcPr>
          <w:p w14:paraId="495F95D7" w14:textId="77777777" w:rsidR="000A7AB3" w:rsidRPr="000A7AB3" w:rsidRDefault="000A7AB3" w:rsidP="000A7AB3">
            <w:pPr>
              <w:bidi/>
              <w:spacing w:after="0" w:line="240" w:lineRule="auto"/>
              <w:jc w:val="center"/>
              <w:rPr>
                <w:rFonts w:ascii="Calibri" w:eastAsia="Times New Roman" w:hAnsi="Calibri" w:cs="Calibri"/>
                <w:color w:val="0000FF"/>
                <w:lang w:eastAsia="en-IL"/>
              </w:rPr>
            </w:pPr>
            <w:r w:rsidRPr="000A7AB3">
              <w:rPr>
                <w:rFonts w:ascii="Calibri" w:eastAsia="Times New Roman" w:hAnsi="Calibri" w:cs="Calibri"/>
                <w:color w:val="0000FF"/>
                <w:rtl/>
                <w:lang w:eastAsia="en-IL"/>
              </w:rPr>
              <w:t>25%</w:t>
            </w:r>
          </w:p>
        </w:tc>
        <w:tc>
          <w:tcPr>
            <w:tcW w:w="1027" w:type="dxa"/>
            <w:tcBorders>
              <w:top w:val="nil"/>
              <w:left w:val="nil"/>
              <w:bottom w:val="nil"/>
              <w:right w:val="single" w:sz="12" w:space="0" w:color="auto"/>
            </w:tcBorders>
            <w:shd w:val="clear" w:color="auto" w:fill="auto"/>
            <w:vAlign w:val="center"/>
            <w:hideMark/>
          </w:tcPr>
          <w:p w14:paraId="7304472C" w14:textId="77777777" w:rsidR="000A7AB3" w:rsidRPr="000A7AB3" w:rsidRDefault="000A7AB3" w:rsidP="000A7AB3">
            <w:pPr>
              <w:bidi/>
              <w:spacing w:after="0" w:line="240" w:lineRule="auto"/>
              <w:jc w:val="center"/>
              <w:rPr>
                <w:rFonts w:ascii="Calibri" w:eastAsia="Times New Roman" w:hAnsi="Calibri" w:cs="Calibri"/>
                <w:color w:val="0000FF"/>
                <w:rtl/>
                <w:lang w:eastAsia="en-IL"/>
              </w:rPr>
            </w:pPr>
            <w:r w:rsidRPr="000A7AB3">
              <w:rPr>
                <w:rFonts w:ascii="Calibri" w:eastAsia="Times New Roman" w:hAnsi="Calibri" w:cs="Calibri"/>
                <w:color w:val="0000FF"/>
                <w:rtl/>
                <w:lang w:eastAsia="en-IL"/>
              </w:rPr>
              <w:t>29</w:t>
            </w:r>
          </w:p>
        </w:tc>
      </w:tr>
      <w:tr w:rsidR="000A7AB3" w:rsidRPr="000A7AB3" w14:paraId="7A896A7E" w14:textId="77777777" w:rsidTr="000A7AB3">
        <w:trPr>
          <w:trHeight w:val="300"/>
        </w:trPr>
        <w:tc>
          <w:tcPr>
            <w:tcW w:w="968" w:type="dxa"/>
            <w:tcBorders>
              <w:top w:val="nil"/>
              <w:left w:val="single" w:sz="12" w:space="0" w:color="auto"/>
              <w:bottom w:val="nil"/>
              <w:right w:val="nil"/>
            </w:tcBorders>
            <w:shd w:val="clear" w:color="auto" w:fill="auto"/>
            <w:noWrap/>
            <w:vAlign w:val="center"/>
            <w:hideMark/>
          </w:tcPr>
          <w:p w14:paraId="488EE55C" w14:textId="77777777" w:rsidR="000A7AB3" w:rsidRPr="000A7AB3" w:rsidRDefault="000A7AB3" w:rsidP="000A7AB3">
            <w:pPr>
              <w:bidi/>
              <w:spacing w:after="0" w:line="240" w:lineRule="auto"/>
              <w:jc w:val="center"/>
              <w:rPr>
                <w:rFonts w:ascii="Calibri" w:eastAsia="Times New Roman" w:hAnsi="Calibri" w:cs="Calibri"/>
                <w:color w:val="0000FF"/>
                <w:rtl/>
                <w:lang w:eastAsia="en-IL"/>
              </w:rPr>
            </w:pPr>
            <w:r w:rsidRPr="000A7AB3">
              <w:rPr>
                <w:rFonts w:ascii="Calibri" w:eastAsia="Times New Roman" w:hAnsi="Calibri" w:cs="Calibri"/>
                <w:color w:val="0000FF"/>
                <w:rtl/>
                <w:lang w:eastAsia="en-IL"/>
              </w:rPr>
              <w:t>2017</w:t>
            </w:r>
          </w:p>
        </w:tc>
        <w:tc>
          <w:tcPr>
            <w:tcW w:w="957" w:type="dxa"/>
            <w:tcBorders>
              <w:top w:val="nil"/>
              <w:left w:val="nil"/>
              <w:bottom w:val="nil"/>
              <w:right w:val="nil"/>
            </w:tcBorders>
            <w:shd w:val="clear" w:color="auto" w:fill="auto"/>
            <w:vAlign w:val="center"/>
            <w:hideMark/>
          </w:tcPr>
          <w:p w14:paraId="2D01E113" w14:textId="77777777" w:rsidR="000A7AB3" w:rsidRPr="000A7AB3" w:rsidRDefault="000A7AB3" w:rsidP="000A7AB3">
            <w:pPr>
              <w:bidi/>
              <w:spacing w:after="0" w:line="240" w:lineRule="auto"/>
              <w:jc w:val="center"/>
              <w:rPr>
                <w:rFonts w:ascii="Calibri" w:eastAsia="Times New Roman" w:hAnsi="Calibri" w:cs="Calibri"/>
                <w:color w:val="0000FF"/>
                <w:rtl/>
                <w:lang w:eastAsia="en-IL"/>
              </w:rPr>
            </w:pPr>
            <w:r w:rsidRPr="000A7AB3">
              <w:rPr>
                <w:rFonts w:ascii="Calibri" w:eastAsia="Times New Roman" w:hAnsi="Calibri" w:cs="Calibri"/>
                <w:color w:val="0000FF"/>
                <w:rtl/>
                <w:lang w:eastAsia="en-IL"/>
              </w:rPr>
              <w:t>210</w:t>
            </w:r>
          </w:p>
        </w:tc>
        <w:tc>
          <w:tcPr>
            <w:tcW w:w="959" w:type="dxa"/>
            <w:tcBorders>
              <w:top w:val="nil"/>
              <w:left w:val="nil"/>
              <w:bottom w:val="nil"/>
              <w:right w:val="nil"/>
            </w:tcBorders>
            <w:shd w:val="clear" w:color="auto" w:fill="auto"/>
            <w:noWrap/>
            <w:vAlign w:val="bottom"/>
            <w:hideMark/>
          </w:tcPr>
          <w:p w14:paraId="3C2469E6" w14:textId="77777777" w:rsidR="000A7AB3" w:rsidRPr="000A7AB3" w:rsidRDefault="000A7AB3" w:rsidP="000A7AB3">
            <w:pPr>
              <w:spacing w:after="0" w:line="240" w:lineRule="auto"/>
              <w:jc w:val="center"/>
              <w:rPr>
                <w:rFonts w:ascii="Calibri" w:eastAsia="Times New Roman" w:hAnsi="Calibri" w:cs="Calibri"/>
                <w:color w:val="0000FF"/>
                <w:rtl/>
                <w:lang w:eastAsia="en-IL"/>
              </w:rPr>
            </w:pPr>
            <w:r w:rsidRPr="000A7AB3">
              <w:rPr>
                <w:rFonts w:ascii="Calibri" w:eastAsia="Times New Roman" w:hAnsi="Calibri" w:cs="Calibri"/>
                <w:color w:val="0000FF"/>
                <w:lang w:eastAsia="en-IL"/>
              </w:rPr>
              <w:t>51</w:t>
            </w:r>
          </w:p>
        </w:tc>
        <w:tc>
          <w:tcPr>
            <w:tcW w:w="1319" w:type="dxa"/>
            <w:tcBorders>
              <w:top w:val="nil"/>
              <w:left w:val="nil"/>
              <w:bottom w:val="nil"/>
              <w:right w:val="nil"/>
            </w:tcBorders>
            <w:shd w:val="clear" w:color="auto" w:fill="auto"/>
            <w:vAlign w:val="center"/>
            <w:hideMark/>
          </w:tcPr>
          <w:p w14:paraId="5BFF67C8" w14:textId="77777777" w:rsidR="000A7AB3" w:rsidRPr="000A7AB3" w:rsidRDefault="000A7AB3" w:rsidP="000A7AB3">
            <w:pPr>
              <w:bidi/>
              <w:spacing w:after="0" w:line="240" w:lineRule="auto"/>
              <w:jc w:val="center"/>
              <w:rPr>
                <w:rFonts w:ascii="Calibri" w:eastAsia="Times New Roman" w:hAnsi="Calibri" w:cs="Calibri"/>
                <w:color w:val="0000FF"/>
                <w:lang w:eastAsia="en-IL"/>
              </w:rPr>
            </w:pPr>
            <w:r w:rsidRPr="000A7AB3">
              <w:rPr>
                <w:rFonts w:ascii="Calibri" w:eastAsia="Times New Roman" w:hAnsi="Calibri" w:cs="Calibri"/>
                <w:color w:val="0000FF"/>
                <w:rtl/>
                <w:lang w:eastAsia="en-IL"/>
              </w:rPr>
              <w:t>24%</w:t>
            </w:r>
          </w:p>
        </w:tc>
        <w:tc>
          <w:tcPr>
            <w:tcW w:w="1027" w:type="dxa"/>
            <w:tcBorders>
              <w:top w:val="nil"/>
              <w:left w:val="nil"/>
              <w:bottom w:val="nil"/>
              <w:right w:val="single" w:sz="12" w:space="0" w:color="auto"/>
            </w:tcBorders>
            <w:shd w:val="clear" w:color="auto" w:fill="auto"/>
            <w:vAlign w:val="center"/>
            <w:hideMark/>
          </w:tcPr>
          <w:p w14:paraId="703D4B94" w14:textId="77777777" w:rsidR="000A7AB3" w:rsidRPr="000A7AB3" w:rsidRDefault="000A7AB3" w:rsidP="000A7AB3">
            <w:pPr>
              <w:bidi/>
              <w:spacing w:after="0" w:line="240" w:lineRule="auto"/>
              <w:jc w:val="center"/>
              <w:rPr>
                <w:rFonts w:ascii="Calibri" w:eastAsia="Times New Roman" w:hAnsi="Calibri" w:cs="Calibri"/>
                <w:color w:val="0000FF"/>
                <w:rtl/>
                <w:lang w:eastAsia="en-IL"/>
              </w:rPr>
            </w:pPr>
            <w:r w:rsidRPr="000A7AB3">
              <w:rPr>
                <w:rFonts w:ascii="Calibri" w:eastAsia="Times New Roman" w:hAnsi="Calibri" w:cs="Calibri"/>
                <w:color w:val="0000FF"/>
                <w:rtl/>
                <w:lang w:eastAsia="en-IL"/>
              </w:rPr>
              <w:t>50</w:t>
            </w:r>
          </w:p>
        </w:tc>
      </w:tr>
      <w:tr w:rsidR="000A7AB3" w:rsidRPr="000A7AB3" w14:paraId="1EF07834" w14:textId="77777777" w:rsidTr="000A7AB3">
        <w:trPr>
          <w:trHeight w:val="300"/>
        </w:trPr>
        <w:tc>
          <w:tcPr>
            <w:tcW w:w="968" w:type="dxa"/>
            <w:tcBorders>
              <w:top w:val="nil"/>
              <w:left w:val="single" w:sz="12" w:space="0" w:color="auto"/>
              <w:bottom w:val="nil"/>
              <w:right w:val="nil"/>
            </w:tcBorders>
            <w:shd w:val="clear" w:color="auto" w:fill="auto"/>
            <w:noWrap/>
            <w:vAlign w:val="center"/>
            <w:hideMark/>
          </w:tcPr>
          <w:p w14:paraId="04C75C30" w14:textId="77777777" w:rsidR="000A7AB3" w:rsidRPr="000A7AB3" w:rsidRDefault="000A7AB3" w:rsidP="000A7AB3">
            <w:pPr>
              <w:bidi/>
              <w:spacing w:after="0" w:line="240" w:lineRule="auto"/>
              <w:jc w:val="center"/>
              <w:rPr>
                <w:rFonts w:ascii="Calibri" w:eastAsia="Times New Roman" w:hAnsi="Calibri" w:cs="Calibri"/>
                <w:color w:val="0000FF"/>
                <w:rtl/>
                <w:lang w:eastAsia="en-IL"/>
              </w:rPr>
            </w:pPr>
            <w:r w:rsidRPr="000A7AB3">
              <w:rPr>
                <w:rFonts w:ascii="Calibri" w:eastAsia="Times New Roman" w:hAnsi="Calibri" w:cs="Calibri"/>
                <w:color w:val="0000FF"/>
                <w:rtl/>
                <w:lang w:eastAsia="en-IL"/>
              </w:rPr>
              <w:t>2018</w:t>
            </w:r>
          </w:p>
        </w:tc>
        <w:tc>
          <w:tcPr>
            <w:tcW w:w="957" w:type="dxa"/>
            <w:tcBorders>
              <w:top w:val="nil"/>
              <w:left w:val="nil"/>
              <w:bottom w:val="nil"/>
              <w:right w:val="nil"/>
            </w:tcBorders>
            <w:shd w:val="clear" w:color="auto" w:fill="auto"/>
            <w:vAlign w:val="center"/>
            <w:hideMark/>
          </w:tcPr>
          <w:p w14:paraId="6F284D04" w14:textId="77777777" w:rsidR="000A7AB3" w:rsidRPr="000A7AB3" w:rsidRDefault="000A7AB3" w:rsidP="000A7AB3">
            <w:pPr>
              <w:bidi/>
              <w:spacing w:after="0" w:line="240" w:lineRule="auto"/>
              <w:jc w:val="center"/>
              <w:rPr>
                <w:rFonts w:ascii="Calibri" w:eastAsia="Times New Roman" w:hAnsi="Calibri" w:cs="Calibri"/>
                <w:color w:val="0000FF"/>
                <w:rtl/>
                <w:lang w:eastAsia="en-IL"/>
              </w:rPr>
            </w:pPr>
            <w:r w:rsidRPr="000A7AB3">
              <w:rPr>
                <w:rFonts w:ascii="Calibri" w:eastAsia="Times New Roman" w:hAnsi="Calibri" w:cs="Calibri"/>
                <w:color w:val="0000FF"/>
                <w:rtl/>
                <w:lang w:eastAsia="en-IL"/>
              </w:rPr>
              <w:t>258</w:t>
            </w:r>
          </w:p>
        </w:tc>
        <w:tc>
          <w:tcPr>
            <w:tcW w:w="959" w:type="dxa"/>
            <w:tcBorders>
              <w:top w:val="nil"/>
              <w:left w:val="nil"/>
              <w:bottom w:val="nil"/>
              <w:right w:val="nil"/>
            </w:tcBorders>
            <w:shd w:val="clear" w:color="auto" w:fill="auto"/>
            <w:noWrap/>
            <w:vAlign w:val="bottom"/>
            <w:hideMark/>
          </w:tcPr>
          <w:p w14:paraId="781F7967" w14:textId="77777777" w:rsidR="000A7AB3" w:rsidRPr="000A7AB3" w:rsidRDefault="000A7AB3" w:rsidP="000A7AB3">
            <w:pPr>
              <w:spacing w:after="0" w:line="240" w:lineRule="auto"/>
              <w:jc w:val="center"/>
              <w:rPr>
                <w:rFonts w:ascii="Calibri" w:eastAsia="Times New Roman" w:hAnsi="Calibri" w:cs="Calibri"/>
                <w:color w:val="0000FF"/>
                <w:rtl/>
                <w:lang w:eastAsia="en-IL"/>
              </w:rPr>
            </w:pPr>
            <w:r w:rsidRPr="000A7AB3">
              <w:rPr>
                <w:rFonts w:ascii="Calibri" w:eastAsia="Times New Roman" w:hAnsi="Calibri" w:cs="Calibri"/>
                <w:color w:val="0000FF"/>
                <w:lang w:eastAsia="en-IL"/>
              </w:rPr>
              <w:t>82</w:t>
            </w:r>
          </w:p>
        </w:tc>
        <w:tc>
          <w:tcPr>
            <w:tcW w:w="1319" w:type="dxa"/>
            <w:tcBorders>
              <w:top w:val="nil"/>
              <w:left w:val="nil"/>
              <w:bottom w:val="nil"/>
              <w:right w:val="nil"/>
            </w:tcBorders>
            <w:shd w:val="clear" w:color="auto" w:fill="auto"/>
            <w:vAlign w:val="center"/>
            <w:hideMark/>
          </w:tcPr>
          <w:p w14:paraId="6A81546F" w14:textId="77777777" w:rsidR="000A7AB3" w:rsidRPr="000A7AB3" w:rsidRDefault="000A7AB3" w:rsidP="000A7AB3">
            <w:pPr>
              <w:bidi/>
              <w:spacing w:after="0" w:line="240" w:lineRule="auto"/>
              <w:jc w:val="center"/>
              <w:rPr>
                <w:rFonts w:ascii="Calibri" w:eastAsia="Times New Roman" w:hAnsi="Calibri" w:cs="Calibri"/>
                <w:color w:val="0000FF"/>
                <w:lang w:eastAsia="en-IL"/>
              </w:rPr>
            </w:pPr>
            <w:r w:rsidRPr="000A7AB3">
              <w:rPr>
                <w:rFonts w:ascii="Calibri" w:eastAsia="Times New Roman" w:hAnsi="Calibri" w:cs="Calibri"/>
                <w:color w:val="0000FF"/>
                <w:rtl/>
                <w:lang w:eastAsia="en-IL"/>
              </w:rPr>
              <w:t>32%</w:t>
            </w:r>
          </w:p>
        </w:tc>
        <w:tc>
          <w:tcPr>
            <w:tcW w:w="1027" w:type="dxa"/>
            <w:tcBorders>
              <w:top w:val="nil"/>
              <w:left w:val="nil"/>
              <w:bottom w:val="nil"/>
              <w:right w:val="single" w:sz="12" w:space="0" w:color="auto"/>
            </w:tcBorders>
            <w:shd w:val="clear" w:color="auto" w:fill="auto"/>
            <w:vAlign w:val="center"/>
            <w:hideMark/>
          </w:tcPr>
          <w:p w14:paraId="7E911570" w14:textId="77777777" w:rsidR="000A7AB3" w:rsidRPr="000A7AB3" w:rsidRDefault="000A7AB3" w:rsidP="000A7AB3">
            <w:pPr>
              <w:bidi/>
              <w:spacing w:after="0" w:line="240" w:lineRule="auto"/>
              <w:jc w:val="center"/>
              <w:rPr>
                <w:rFonts w:ascii="Calibri" w:eastAsia="Times New Roman" w:hAnsi="Calibri" w:cs="Calibri"/>
                <w:color w:val="0000FF"/>
                <w:rtl/>
                <w:lang w:eastAsia="en-IL"/>
              </w:rPr>
            </w:pPr>
            <w:r w:rsidRPr="000A7AB3">
              <w:rPr>
                <w:rFonts w:ascii="Calibri" w:eastAsia="Times New Roman" w:hAnsi="Calibri" w:cs="Calibri"/>
                <w:color w:val="0000FF"/>
                <w:rtl/>
                <w:lang w:eastAsia="en-IL"/>
              </w:rPr>
              <w:t>82</w:t>
            </w:r>
          </w:p>
        </w:tc>
      </w:tr>
      <w:tr w:rsidR="000A7AB3" w:rsidRPr="000A7AB3" w14:paraId="201282D4" w14:textId="77777777" w:rsidTr="000A7AB3">
        <w:trPr>
          <w:trHeight w:val="300"/>
        </w:trPr>
        <w:tc>
          <w:tcPr>
            <w:tcW w:w="968" w:type="dxa"/>
            <w:tcBorders>
              <w:top w:val="nil"/>
              <w:left w:val="single" w:sz="12" w:space="0" w:color="auto"/>
              <w:bottom w:val="nil"/>
              <w:right w:val="nil"/>
            </w:tcBorders>
            <w:shd w:val="clear" w:color="auto" w:fill="auto"/>
            <w:noWrap/>
            <w:vAlign w:val="center"/>
            <w:hideMark/>
          </w:tcPr>
          <w:p w14:paraId="0A4028F4" w14:textId="77777777" w:rsidR="000A7AB3" w:rsidRPr="000A7AB3" w:rsidRDefault="000A7AB3" w:rsidP="000A7AB3">
            <w:pPr>
              <w:bidi/>
              <w:spacing w:after="0" w:line="240" w:lineRule="auto"/>
              <w:jc w:val="center"/>
              <w:rPr>
                <w:rFonts w:ascii="Calibri" w:eastAsia="Times New Roman" w:hAnsi="Calibri" w:cs="Calibri"/>
                <w:color w:val="0000FF"/>
                <w:rtl/>
                <w:lang w:eastAsia="en-IL"/>
              </w:rPr>
            </w:pPr>
            <w:r w:rsidRPr="000A7AB3">
              <w:rPr>
                <w:rFonts w:ascii="Calibri" w:eastAsia="Times New Roman" w:hAnsi="Calibri" w:cs="Calibri"/>
                <w:color w:val="0000FF"/>
                <w:rtl/>
                <w:lang w:eastAsia="en-IL"/>
              </w:rPr>
              <w:t>2019</w:t>
            </w:r>
          </w:p>
        </w:tc>
        <w:tc>
          <w:tcPr>
            <w:tcW w:w="957" w:type="dxa"/>
            <w:tcBorders>
              <w:top w:val="nil"/>
              <w:left w:val="nil"/>
              <w:bottom w:val="nil"/>
              <w:right w:val="nil"/>
            </w:tcBorders>
            <w:shd w:val="clear" w:color="auto" w:fill="auto"/>
            <w:vAlign w:val="center"/>
            <w:hideMark/>
          </w:tcPr>
          <w:p w14:paraId="5A6FC5BF" w14:textId="77777777" w:rsidR="000A7AB3" w:rsidRPr="000A7AB3" w:rsidRDefault="000A7AB3" w:rsidP="000A7AB3">
            <w:pPr>
              <w:bidi/>
              <w:spacing w:after="0" w:line="240" w:lineRule="auto"/>
              <w:jc w:val="center"/>
              <w:rPr>
                <w:rFonts w:ascii="Calibri" w:eastAsia="Times New Roman" w:hAnsi="Calibri" w:cs="Calibri"/>
                <w:color w:val="0000FF"/>
                <w:u w:val="single"/>
                <w:rtl/>
                <w:lang w:eastAsia="en-IL"/>
              </w:rPr>
            </w:pPr>
            <w:r w:rsidRPr="000A7AB3">
              <w:rPr>
                <w:rFonts w:ascii="Calibri" w:eastAsia="Times New Roman" w:hAnsi="Calibri" w:cs="Calibri"/>
                <w:color w:val="0000FF"/>
                <w:u w:val="single"/>
                <w:rtl/>
                <w:lang w:eastAsia="en-IL"/>
              </w:rPr>
              <w:t>266</w:t>
            </w:r>
          </w:p>
        </w:tc>
        <w:tc>
          <w:tcPr>
            <w:tcW w:w="959" w:type="dxa"/>
            <w:tcBorders>
              <w:top w:val="nil"/>
              <w:left w:val="nil"/>
              <w:bottom w:val="nil"/>
              <w:right w:val="nil"/>
            </w:tcBorders>
            <w:shd w:val="clear" w:color="auto" w:fill="auto"/>
            <w:noWrap/>
            <w:vAlign w:val="bottom"/>
            <w:hideMark/>
          </w:tcPr>
          <w:p w14:paraId="0D021791" w14:textId="77777777" w:rsidR="000A7AB3" w:rsidRPr="000A7AB3" w:rsidRDefault="000A7AB3" w:rsidP="000A7AB3">
            <w:pPr>
              <w:spacing w:after="0" w:line="240" w:lineRule="auto"/>
              <w:jc w:val="center"/>
              <w:rPr>
                <w:rFonts w:ascii="Calibri" w:eastAsia="Times New Roman" w:hAnsi="Calibri" w:cs="Calibri"/>
                <w:color w:val="0000FF"/>
                <w:u w:val="single"/>
                <w:rtl/>
                <w:lang w:eastAsia="en-IL"/>
              </w:rPr>
            </w:pPr>
            <w:r w:rsidRPr="000A7AB3">
              <w:rPr>
                <w:rFonts w:ascii="Calibri" w:eastAsia="Times New Roman" w:hAnsi="Calibri" w:cs="Calibri"/>
                <w:color w:val="0000FF"/>
                <w:u w:val="single"/>
                <w:lang w:eastAsia="en-IL"/>
              </w:rPr>
              <w:t>69</w:t>
            </w:r>
          </w:p>
        </w:tc>
        <w:tc>
          <w:tcPr>
            <w:tcW w:w="1319" w:type="dxa"/>
            <w:tcBorders>
              <w:top w:val="nil"/>
              <w:left w:val="nil"/>
              <w:bottom w:val="nil"/>
              <w:right w:val="nil"/>
            </w:tcBorders>
            <w:shd w:val="clear" w:color="auto" w:fill="auto"/>
            <w:vAlign w:val="center"/>
            <w:hideMark/>
          </w:tcPr>
          <w:p w14:paraId="244ECDB9" w14:textId="77777777" w:rsidR="000A7AB3" w:rsidRPr="000A7AB3" w:rsidRDefault="000A7AB3" w:rsidP="000A7AB3">
            <w:pPr>
              <w:bidi/>
              <w:spacing w:after="0" w:line="240" w:lineRule="auto"/>
              <w:jc w:val="center"/>
              <w:rPr>
                <w:rFonts w:ascii="Calibri" w:eastAsia="Times New Roman" w:hAnsi="Calibri" w:cs="Calibri"/>
                <w:color w:val="0000FF"/>
                <w:lang w:eastAsia="en-IL"/>
              </w:rPr>
            </w:pPr>
            <w:r w:rsidRPr="000A7AB3">
              <w:rPr>
                <w:rFonts w:ascii="Calibri" w:eastAsia="Times New Roman" w:hAnsi="Calibri" w:cs="Calibri"/>
                <w:color w:val="0000FF"/>
                <w:rtl/>
                <w:lang w:eastAsia="en-IL"/>
              </w:rPr>
              <w:t>26%</w:t>
            </w:r>
          </w:p>
        </w:tc>
        <w:tc>
          <w:tcPr>
            <w:tcW w:w="1027" w:type="dxa"/>
            <w:tcBorders>
              <w:top w:val="nil"/>
              <w:left w:val="nil"/>
              <w:bottom w:val="nil"/>
              <w:right w:val="single" w:sz="12" w:space="0" w:color="auto"/>
            </w:tcBorders>
            <w:shd w:val="clear" w:color="auto" w:fill="auto"/>
            <w:vAlign w:val="center"/>
            <w:hideMark/>
          </w:tcPr>
          <w:p w14:paraId="7E3706F3" w14:textId="77777777" w:rsidR="000A7AB3" w:rsidRPr="006E3817" w:rsidRDefault="000A7AB3" w:rsidP="000A7AB3">
            <w:pPr>
              <w:bidi/>
              <w:spacing w:after="0" w:line="240" w:lineRule="auto"/>
              <w:jc w:val="center"/>
              <w:rPr>
                <w:rFonts w:ascii="Calibri" w:eastAsia="Times New Roman" w:hAnsi="Calibri" w:cs="Calibri"/>
                <w:color w:val="0000FF"/>
                <w:u w:val="single"/>
                <w:rtl/>
                <w:lang w:val="en-US" w:eastAsia="en-IL"/>
              </w:rPr>
            </w:pPr>
            <w:r w:rsidRPr="000A7AB3">
              <w:rPr>
                <w:rFonts w:ascii="Calibri" w:eastAsia="Times New Roman" w:hAnsi="Calibri" w:cs="Calibri"/>
                <w:color w:val="0000FF"/>
                <w:u w:val="single"/>
                <w:rtl/>
                <w:lang w:eastAsia="en-IL"/>
              </w:rPr>
              <w:t>57</w:t>
            </w:r>
          </w:p>
        </w:tc>
      </w:tr>
      <w:tr w:rsidR="000A7AB3" w:rsidRPr="000A7AB3" w14:paraId="0870927D" w14:textId="77777777" w:rsidTr="000A7AB3">
        <w:trPr>
          <w:trHeight w:val="315"/>
        </w:trPr>
        <w:tc>
          <w:tcPr>
            <w:tcW w:w="968" w:type="dxa"/>
            <w:tcBorders>
              <w:top w:val="nil"/>
              <w:left w:val="single" w:sz="12" w:space="0" w:color="auto"/>
              <w:bottom w:val="single" w:sz="12" w:space="0" w:color="auto"/>
              <w:right w:val="nil"/>
            </w:tcBorders>
            <w:shd w:val="clear" w:color="auto" w:fill="auto"/>
            <w:noWrap/>
            <w:vAlign w:val="center"/>
            <w:hideMark/>
          </w:tcPr>
          <w:p w14:paraId="0131BDE2" w14:textId="77777777" w:rsidR="000A7AB3" w:rsidRPr="000A7AB3" w:rsidRDefault="000A7AB3" w:rsidP="000A7AB3">
            <w:pPr>
              <w:bidi/>
              <w:spacing w:after="0" w:line="240" w:lineRule="auto"/>
              <w:jc w:val="center"/>
              <w:rPr>
                <w:rFonts w:ascii="Calibri" w:eastAsia="Times New Roman" w:hAnsi="Calibri" w:cs="Calibri"/>
                <w:color w:val="0000FF"/>
                <w:rtl/>
                <w:lang w:eastAsia="en-IL"/>
              </w:rPr>
            </w:pPr>
            <w:r w:rsidRPr="000A7AB3">
              <w:rPr>
                <w:rFonts w:ascii="Calibri" w:eastAsia="Times New Roman" w:hAnsi="Calibri" w:cs="Calibri"/>
                <w:color w:val="0000FF"/>
                <w:lang w:eastAsia="en-IL"/>
              </w:rPr>
              <w:t>Total</w:t>
            </w:r>
          </w:p>
        </w:tc>
        <w:tc>
          <w:tcPr>
            <w:tcW w:w="957" w:type="dxa"/>
            <w:tcBorders>
              <w:top w:val="nil"/>
              <w:left w:val="nil"/>
              <w:bottom w:val="single" w:sz="12" w:space="0" w:color="auto"/>
              <w:right w:val="nil"/>
            </w:tcBorders>
            <w:shd w:val="clear" w:color="auto" w:fill="auto"/>
            <w:vAlign w:val="center"/>
            <w:hideMark/>
          </w:tcPr>
          <w:p w14:paraId="6C4E49C9" w14:textId="77777777" w:rsidR="000A7AB3" w:rsidRPr="000A7AB3" w:rsidRDefault="000A7AB3" w:rsidP="000A7AB3">
            <w:pPr>
              <w:bidi/>
              <w:spacing w:after="0" w:line="240" w:lineRule="auto"/>
              <w:jc w:val="center"/>
              <w:rPr>
                <w:rFonts w:ascii="Calibri" w:eastAsia="Times New Roman" w:hAnsi="Calibri" w:cs="Calibri"/>
                <w:color w:val="0000FF"/>
                <w:rtl/>
                <w:lang w:eastAsia="en-IL"/>
              </w:rPr>
            </w:pPr>
            <w:r w:rsidRPr="000A7AB3">
              <w:rPr>
                <w:rFonts w:ascii="Calibri" w:eastAsia="Times New Roman" w:hAnsi="Calibri" w:cs="Calibri"/>
                <w:color w:val="0000FF"/>
                <w:rtl/>
                <w:lang w:eastAsia="en-IL"/>
              </w:rPr>
              <w:t>1,622</w:t>
            </w:r>
          </w:p>
        </w:tc>
        <w:tc>
          <w:tcPr>
            <w:tcW w:w="959" w:type="dxa"/>
            <w:tcBorders>
              <w:top w:val="nil"/>
              <w:left w:val="nil"/>
              <w:bottom w:val="single" w:sz="12" w:space="0" w:color="auto"/>
              <w:right w:val="nil"/>
            </w:tcBorders>
            <w:shd w:val="clear" w:color="auto" w:fill="auto"/>
            <w:vAlign w:val="center"/>
            <w:hideMark/>
          </w:tcPr>
          <w:p w14:paraId="12719730" w14:textId="77777777" w:rsidR="000A7AB3" w:rsidRPr="000A7AB3" w:rsidRDefault="000A7AB3" w:rsidP="000A7AB3">
            <w:pPr>
              <w:bidi/>
              <w:spacing w:after="0" w:line="240" w:lineRule="auto"/>
              <w:jc w:val="center"/>
              <w:rPr>
                <w:rFonts w:ascii="Calibri" w:eastAsia="Times New Roman" w:hAnsi="Calibri" w:cs="Calibri"/>
                <w:color w:val="0000FF"/>
                <w:rtl/>
                <w:lang w:eastAsia="en-IL"/>
              </w:rPr>
            </w:pPr>
            <w:r w:rsidRPr="000A7AB3">
              <w:rPr>
                <w:rFonts w:ascii="Calibri" w:eastAsia="Times New Roman" w:hAnsi="Calibri" w:cs="Calibri"/>
                <w:color w:val="0000FF"/>
                <w:rtl/>
                <w:lang w:eastAsia="en-IL"/>
              </w:rPr>
              <w:t>403</w:t>
            </w:r>
          </w:p>
        </w:tc>
        <w:tc>
          <w:tcPr>
            <w:tcW w:w="1319" w:type="dxa"/>
            <w:tcBorders>
              <w:top w:val="nil"/>
              <w:left w:val="nil"/>
              <w:bottom w:val="single" w:sz="12" w:space="0" w:color="auto"/>
              <w:right w:val="nil"/>
            </w:tcBorders>
            <w:shd w:val="clear" w:color="auto" w:fill="auto"/>
            <w:vAlign w:val="center"/>
            <w:hideMark/>
          </w:tcPr>
          <w:p w14:paraId="2AC1D27F" w14:textId="77777777" w:rsidR="000A7AB3" w:rsidRPr="000A7AB3" w:rsidRDefault="000A7AB3" w:rsidP="000A7AB3">
            <w:pPr>
              <w:bidi/>
              <w:spacing w:after="0" w:line="240" w:lineRule="auto"/>
              <w:jc w:val="center"/>
              <w:rPr>
                <w:rFonts w:ascii="Calibri" w:eastAsia="Times New Roman" w:hAnsi="Calibri" w:cs="Calibri"/>
                <w:color w:val="0000FF"/>
                <w:rtl/>
                <w:lang w:eastAsia="en-IL"/>
              </w:rPr>
            </w:pPr>
            <w:r w:rsidRPr="000A7AB3">
              <w:rPr>
                <w:rFonts w:ascii="Calibri" w:eastAsia="Times New Roman" w:hAnsi="Calibri" w:cs="Calibri"/>
                <w:color w:val="0000FF"/>
                <w:rtl/>
                <w:lang w:eastAsia="en-IL"/>
              </w:rPr>
              <w:t> </w:t>
            </w:r>
          </w:p>
        </w:tc>
        <w:tc>
          <w:tcPr>
            <w:tcW w:w="1027" w:type="dxa"/>
            <w:tcBorders>
              <w:top w:val="nil"/>
              <w:left w:val="nil"/>
              <w:bottom w:val="single" w:sz="12" w:space="0" w:color="auto"/>
              <w:right w:val="single" w:sz="12" w:space="0" w:color="auto"/>
            </w:tcBorders>
            <w:shd w:val="clear" w:color="auto" w:fill="auto"/>
            <w:vAlign w:val="center"/>
            <w:hideMark/>
          </w:tcPr>
          <w:p w14:paraId="68B5259B" w14:textId="77777777" w:rsidR="000A7AB3" w:rsidRPr="000A7AB3" w:rsidRDefault="000A7AB3" w:rsidP="000A7AB3">
            <w:pPr>
              <w:bidi/>
              <w:spacing w:after="0" w:line="240" w:lineRule="auto"/>
              <w:jc w:val="center"/>
              <w:rPr>
                <w:rFonts w:ascii="Calibri" w:eastAsia="Times New Roman" w:hAnsi="Calibri" w:cs="Calibri"/>
                <w:color w:val="0000FF"/>
                <w:rtl/>
                <w:lang w:eastAsia="en-IL"/>
              </w:rPr>
            </w:pPr>
            <w:r w:rsidRPr="000A7AB3">
              <w:rPr>
                <w:rFonts w:ascii="Calibri" w:eastAsia="Times New Roman" w:hAnsi="Calibri" w:cs="Calibri"/>
                <w:color w:val="0000FF"/>
                <w:rtl/>
                <w:lang w:eastAsia="en-IL"/>
              </w:rPr>
              <w:t>367</w:t>
            </w:r>
          </w:p>
        </w:tc>
      </w:tr>
    </w:tbl>
    <w:p w14:paraId="03E865C2" w14:textId="0E7DC839" w:rsidR="00C000B6" w:rsidRPr="000E5B8E" w:rsidRDefault="000E5B8E" w:rsidP="00C000B6">
      <w:pPr>
        <w:spacing w:before="75" w:after="75" w:line="240" w:lineRule="auto"/>
        <w:rPr>
          <w:rFonts w:ascii="Arial" w:eastAsia="Times New Roman" w:hAnsi="Arial" w:cs="Arial"/>
          <w:color w:val="0A0A0A"/>
          <w:sz w:val="20"/>
          <w:szCs w:val="20"/>
          <w:lang w:val="en-US" w:eastAsia="en-IL"/>
        </w:rPr>
      </w:pPr>
      <w:r w:rsidRPr="000E5B8E">
        <w:rPr>
          <w:rFonts w:eastAsia="Times New Roman" w:cstheme="majorBidi"/>
          <w:color w:val="0000FF"/>
          <w:lang w:val="en-US"/>
        </w:rPr>
        <w:t>Note: This table presents the number IPOs that took place in the USA during the years of the sample</w:t>
      </w:r>
      <w:r>
        <w:rPr>
          <w:rFonts w:eastAsia="Times New Roman" w:cstheme="majorBidi"/>
          <w:color w:val="0000FF"/>
          <w:lang w:val="en-US"/>
        </w:rPr>
        <w:t>,</w:t>
      </w:r>
      <w:r w:rsidRPr="000E5B8E">
        <w:rPr>
          <w:rFonts w:eastAsia="Times New Roman" w:cstheme="majorBidi"/>
          <w:color w:val="0000FF"/>
          <w:lang w:val="en-US"/>
        </w:rPr>
        <w:t xml:space="preserve"> the number of Biotech IPOs in these </w:t>
      </w:r>
      <w:r>
        <w:rPr>
          <w:rFonts w:eastAsia="Times New Roman" w:cstheme="majorBidi"/>
          <w:color w:val="0000FF"/>
          <w:lang w:val="en-US"/>
        </w:rPr>
        <w:t xml:space="preserve">years </w:t>
      </w:r>
      <w:r w:rsidRPr="000E5B8E">
        <w:rPr>
          <w:rFonts w:eastAsia="Times New Roman" w:cstheme="majorBidi"/>
          <w:color w:val="0000FF"/>
          <w:lang w:val="en-US"/>
        </w:rPr>
        <w:t xml:space="preserve">and the number of </w:t>
      </w:r>
      <w:r w:rsidR="00BE002B">
        <w:rPr>
          <w:rFonts w:eastAsia="Times New Roman" w:cstheme="majorBidi"/>
          <w:color w:val="0000FF"/>
          <w:lang w:val="en-US"/>
        </w:rPr>
        <w:t>IPOs included</w:t>
      </w:r>
      <w:r w:rsidRPr="000E5B8E">
        <w:rPr>
          <w:rFonts w:eastAsia="Times New Roman" w:cstheme="majorBidi"/>
          <w:color w:val="0000FF"/>
          <w:lang w:val="en-US"/>
        </w:rPr>
        <w:t xml:space="preserve"> in the sample</w:t>
      </w:r>
      <w:r w:rsidRPr="000E5B8E">
        <w:rPr>
          <w:rFonts w:ascii="Arial" w:eastAsia="Times New Roman" w:hAnsi="Arial" w:cs="Arial"/>
          <w:color w:val="0A0A0A"/>
          <w:sz w:val="20"/>
          <w:szCs w:val="20"/>
          <w:lang w:val="en-US" w:eastAsia="en-IL"/>
        </w:rPr>
        <w:t xml:space="preserve">. </w:t>
      </w:r>
    </w:p>
    <w:p w14:paraId="2EC3E710" w14:textId="77777777" w:rsidR="00D748CA" w:rsidRPr="000E5B8E" w:rsidRDefault="00D748CA" w:rsidP="00A23938">
      <w:pPr>
        <w:spacing w:after="0" w:line="240" w:lineRule="auto"/>
        <w:rPr>
          <w:rFonts w:ascii="Calibri" w:eastAsia="Times New Roman" w:hAnsi="Calibri" w:cs="Calibri"/>
          <w:color w:val="000000"/>
          <w:lang w:val="en-US" w:eastAsia="en-IL"/>
        </w:rPr>
      </w:pPr>
    </w:p>
    <w:bookmarkEnd w:id="8"/>
    <w:p w14:paraId="6093F1D2" w14:textId="77777777" w:rsidR="00D748CA" w:rsidRPr="000E5B8E" w:rsidRDefault="00D748CA" w:rsidP="00A23938">
      <w:pPr>
        <w:spacing w:after="0" w:line="240" w:lineRule="auto"/>
        <w:rPr>
          <w:rFonts w:ascii="Calibri" w:eastAsia="Times New Roman" w:hAnsi="Calibri" w:cs="Calibri"/>
          <w:color w:val="000000"/>
          <w:lang w:eastAsia="en-IL"/>
        </w:rPr>
      </w:pPr>
    </w:p>
    <w:p w14:paraId="6AD721DF" w14:textId="00BBCADF" w:rsidR="00D748CA" w:rsidRDefault="00D748CA" w:rsidP="00A23938">
      <w:pPr>
        <w:spacing w:after="0" w:line="240" w:lineRule="auto"/>
        <w:rPr>
          <w:rFonts w:ascii="Calibri" w:eastAsia="Times New Roman" w:hAnsi="Calibri" w:cs="Calibri"/>
          <w:b/>
          <w:bCs/>
          <w:color w:val="000000"/>
          <w:lang w:eastAsia="en-IL"/>
        </w:rPr>
      </w:pPr>
    </w:p>
    <w:p w14:paraId="44B16D5A" w14:textId="77777777" w:rsidR="000A7AB3" w:rsidRPr="002701F4" w:rsidRDefault="000A7AB3" w:rsidP="000A7AB3">
      <w:pPr>
        <w:spacing w:after="0" w:line="240" w:lineRule="auto"/>
        <w:rPr>
          <w:rFonts w:ascii="Calibri" w:eastAsia="Times New Roman" w:hAnsi="Calibri" w:cs="Calibri"/>
          <w:color w:val="0000FF"/>
          <w:lang w:eastAsia="en-IL"/>
        </w:rPr>
      </w:pPr>
      <w:bookmarkStart w:id="9" w:name="_Hlk80177487"/>
      <w:r w:rsidRPr="000A7AB3">
        <w:rPr>
          <w:rFonts w:ascii="Calibri" w:eastAsia="Times New Roman" w:hAnsi="Calibri" w:cs="Calibri"/>
          <w:color w:val="0000FF"/>
          <w:lang w:eastAsia="en-IL"/>
        </w:rPr>
        <w:t>Table 2: Descriptive statistics for Market Value ($M) as of the end of the IPO year</w:t>
      </w:r>
    </w:p>
    <w:p w14:paraId="3F628249" w14:textId="412D09FB" w:rsidR="000A7AB3" w:rsidRPr="002701F4" w:rsidRDefault="000A7AB3" w:rsidP="00A23938">
      <w:pPr>
        <w:spacing w:after="0" w:line="240" w:lineRule="auto"/>
        <w:rPr>
          <w:rFonts w:ascii="Calibri" w:eastAsia="Times New Roman" w:hAnsi="Calibri" w:cs="Calibri"/>
          <w:b/>
          <w:bCs/>
          <w:color w:val="0000FF"/>
          <w:lang w:eastAsia="en-IL"/>
        </w:rPr>
      </w:pPr>
    </w:p>
    <w:tbl>
      <w:tblPr>
        <w:tblW w:w="8840" w:type="dxa"/>
        <w:tblLook w:val="04A0" w:firstRow="1" w:lastRow="0" w:firstColumn="1" w:lastColumn="0" w:noHBand="0" w:noVBand="1"/>
      </w:tblPr>
      <w:tblGrid>
        <w:gridCol w:w="980"/>
        <w:gridCol w:w="960"/>
        <w:gridCol w:w="960"/>
        <w:gridCol w:w="960"/>
        <w:gridCol w:w="960"/>
        <w:gridCol w:w="960"/>
        <w:gridCol w:w="960"/>
        <w:gridCol w:w="960"/>
        <w:gridCol w:w="1160"/>
      </w:tblGrid>
      <w:tr w:rsidR="002701F4" w:rsidRPr="000A7AB3" w14:paraId="1F3D6DB4" w14:textId="77777777" w:rsidTr="000A7AB3">
        <w:trPr>
          <w:trHeight w:val="330"/>
        </w:trPr>
        <w:tc>
          <w:tcPr>
            <w:tcW w:w="960" w:type="dxa"/>
            <w:tcBorders>
              <w:top w:val="single" w:sz="12" w:space="0" w:color="auto"/>
              <w:left w:val="single" w:sz="12" w:space="0" w:color="auto"/>
              <w:bottom w:val="single" w:sz="12" w:space="0" w:color="auto"/>
              <w:right w:val="nil"/>
            </w:tcBorders>
            <w:shd w:val="clear" w:color="auto" w:fill="auto"/>
            <w:noWrap/>
            <w:vAlign w:val="bottom"/>
            <w:hideMark/>
          </w:tcPr>
          <w:p w14:paraId="031692A0" w14:textId="77777777" w:rsidR="000A7AB3" w:rsidRPr="000A7AB3" w:rsidRDefault="000A7AB3" w:rsidP="000A7AB3">
            <w:pPr>
              <w:spacing w:after="0" w:line="240" w:lineRule="auto"/>
              <w:rPr>
                <w:rFonts w:ascii="Calibri" w:eastAsia="Times New Roman" w:hAnsi="Calibri" w:cs="Calibri"/>
                <w:color w:val="0000FF"/>
                <w:lang w:eastAsia="en-IL"/>
              </w:rPr>
            </w:pPr>
            <w:r w:rsidRPr="000A7AB3">
              <w:rPr>
                <w:rFonts w:ascii="Calibri" w:eastAsia="Times New Roman" w:hAnsi="Calibri" w:cs="Calibri"/>
                <w:color w:val="0000FF"/>
                <w:lang w:eastAsia="en-IL"/>
              </w:rPr>
              <w:t> </w:t>
            </w:r>
          </w:p>
        </w:tc>
        <w:tc>
          <w:tcPr>
            <w:tcW w:w="960" w:type="dxa"/>
            <w:tcBorders>
              <w:top w:val="single" w:sz="12" w:space="0" w:color="auto"/>
              <w:left w:val="single" w:sz="12" w:space="0" w:color="auto"/>
              <w:bottom w:val="single" w:sz="12" w:space="0" w:color="auto"/>
              <w:right w:val="nil"/>
            </w:tcBorders>
            <w:shd w:val="clear" w:color="auto" w:fill="auto"/>
            <w:noWrap/>
            <w:vAlign w:val="bottom"/>
            <w:hideMark/>
          </w:tcPr>
          <w:p w14:paraId="1403B0A3" w14:textId="77777777" w:rsidR="000A7AB3" w:rsidRPr="000A7AB3" w:rsidRDefault="000A7AB3" w:rsidP="000A7AB3">
            <w:pPr>
              <w:spacing w:after="0" w:line="240" w:lineRule="auto"/>
              <w:jc w:val="center"/>
              <w:rPr>
                <w:rFonts w:ascii="Calibri" w:eastAsia="Times New Roman" w:hAnsi="Calibri" w:cs="Calibri"/>
                <w:b/>
                <w:bCs/>
                <w:color w:val="0000FF"/>
                <w:lang w:eastAsia="en-IL"/>
              </w:rPr>
            </w:pPr>
            <w:r w:rsidRPr="000A7AB3">
              <w:rPr>
                <w:rFonts w:ascii="Calibri" w:eastAsia="Times New Roman" w:hAnsi="Calibri" w:cs="Calibri"/>
                <w:b/>
                <w:bCs/>
                <w:color w:val="0000FF"/>
                <w:lang w:eastAsia="en-IL"/>
              </w:rPr>
              <w:t>2013</w:t>
            </w:r>
          </w:p>
        </w:tc>
        <w:tc>
          <w:tcPr>
            <w:tcW w:w="960" w:type="dxa"/>
            <w:tcBorders>
              <w:top w:val="single" w:sz="12" w:space="0" w:color="auto"/>
              <w:left w:val="single" w:sz="4" w:space="0" w:color="auto"/>
              <w:bottom w:val="single" w:sz="12" w:space="0" w:color="auto"/>
              <w:right w:val="single" w:sz="4" w:space="0" w:color="auto"/>
            </w:tcBorders>
            <w:shd w:val="clear" w:color="auto" w:fill="auto"/>
            <w:noWrap/>
            <w:vAlign w:val="bottom"/>
            <w:hideMark/>
          </w:tcPr>
          <w:p w14:paraId="6C9C0CA5" w14:textId="77777777" w:rsidR="000A7AB3" w:rsidRPr="000A7AB3" w:rsidRDefault="000A7AB3" w:rsidP="000A7AB3">
            <w:pPr>
              <w:spacing w:after="0" w:line="240" w:lineRule="auto"/>
              <w:jc w:val="center"/>
              <w:rPr>
                <w:rFonts w:ascii="Calibri" w:eastAsia="Times New Roman" w:hAnsi="Calibri" w:cs="Calibri"/>
                <w:b/>
                <w:bCs/>
                <w:color w:val="0000FF"/>
                <w:lang w:eastAsia="en-IL"/>
              </w:rPr>
            </w:pPr>
            <w:r w:rsidRPr="000A7AB3">
              <w:rPr>
                <w:rFonts w:ascii="Calibri" w:eastAsia="Times New Roman" w:hAnsi="Calibri" w:cs="Calibri"/>
                <w:b/>
                <w:bCs/>
                <w:color w:val="0000FF"/>
                <w:lang w:eastAsia="en-IL"/>
              </w:rPr>
              <w:t>2014</w:t>
            </w:r>
          </w:p>
        </w:tc>
        <w:tc>
          <w:tcPr>
            <w:tcW w:w="960" w:type="dxa"/>
            <w:tcBorders>
              <w:top w:val="single" w:sz="12" w:space="0" w:color="auto"/>
              <w:left w:val="nil"/>
              <w:bottom w:val="single" w:sz="12" w:space="0" w:color="auto"/>
              <w:right w:val="nil"/>
            </w:tcBorders>
            <w:shd w:val="clear" w:color="auto" w:fill="auto"/>
            <w:noWrap/>
            <w:vAlign w:val="bottom"/>
            <w:hideMark/>
          </w:tcPr>
          <w:p w14:paraId="399E05F6" w14:textId="77777777" w:rsidR="000A7AB3" w:rsidRPr="000A7AB3" w:rsidRDefault="000A7AB3" w:rsidP="000A7AB3">
            <w:pPr>
              <w:spacing w:after="0" w:line="240" w:lineRule="auto"/>
              <w:jc w:val="center"/>
              <w:rPr>
                <w:rFonts w:ascii="Calibri" w:eastAsia="Times New Roman" w:hAnsi="Calibri" w:cs="Calibri"/>
                <w:b/>
                <w:bCs/>
                <w:color w:val="0000FF"/>
                <w:lang w:eastAsia="en-IL"/>
              </w:rPr>
            </w:pPr>
            <w:r w:rsidRPr="000A7AB3">
              <w:rPr>
                <w:rFonts w:ascii="Calibri" w:eastAsia="Times New Roman" w:hAnsi="Calibri" w:cs="Calibri"/>
                <w:b/>
                <w:bCs/>
                <w:color w:val="0000FF"/>
                <w:lang w:eastAsia="en-IL"/>
              </w:rPr>
              <w:t>2015</w:t>
            </w:r>
          </w:p>
        </w:tc>
        <w:tc>
          <w:tcPr>
            <w:tcW w:w="960" w:type="dxa"/>
            <w:tcBorders>
              <w:top w:val="single" w:sz="12" w:space="0" w:color="auto"/>
              <w:left w:val="single" w:sz="4" w:space="0" w:color="auto"/>
              <w:bottom w:val="single" w:sz="12" w:space="0" w:color="auto"/>
              <w:right w:val="single" w:sz="4" w:space="0" w:color="auto"/>
            </w:tcBorders>
            <w:shd w:val="clear" w:color="auto" w:fill="auto"/>
            <w:noWrap/>
            <w:vAlign w:val="bottom"/>
            <w:hideMark/>
          </w:tcPr>
          <w:p w14:paraId="7E57771E" w14:textId="77777777" w:rsidR="000A7AB3" w:rsidRPr="000A7AB3" w:rsidRDefault="000A7AB3" w:rsidP="000A7AB3">
            <w:pPr>
              <w:spacing w:after="0" w:line="240" w:lineRule="auto"/>
              <w:jc w:val="center"/>
              <w:rPr>
                <w:rFonts w:ascii="Calibri" w:eastAsia="Times New Roman" w:hAnsi="Calibri" w:cs="Calibri"/>
                <w:b/>
                <w:bCs/>
                <w:color w:val="0000FF"/>
                <w:lang w:eastAsia="en-IL"/>
              </w:rPr>
            </w:pPr>
            <w:r w:rsidRPr="000A7AB3">
              <w:rPr>
                <w:rFonts w:ascii="Calibri" w:eastAsia="Times New Roman" w:hAnsi="Calibri" w:cs="Calibri"/>
                <w:b/>
                <w:bCs/>
                <w:color w:val="0000FF"/>
                <w:lang w:eastAsia="en-IL"/>
              </w:rPr>
              <w:t>2016</w:t>
            </w:r>
          </w:p>
        </w:tc>
        <w:tc>
          <w:tcPr>
            <w:tcW w:w="960" w:type="dxa"/>
            <w:tcBorders>
              <w:top w:val="single" w:sz="12" w:space="0" w:color="auto"/>
              <w:left w:val="nil"/>
              <w:bottom w:val="single" w:sz="12" w:space="0" w:color="auto"/>
              <w:right w:val="nil"/>
            </w:tcBorders>
            <w:shd w:val="clear" w:color="auto" w:fill="auto"/>
            <w:noWrap/>
            <w:vAlign w:val="bottom"/>
            <w:hideMark/>
          </w:tcPr>
          <w:p w14:paraId="7C81C869" w14:textId="77777777" w:rsidR="000A7AB3" w:rsidRPr="000A7AB3" w:rsidRDefault="000A7AB3" w:rsidP="000A7AB3">
            <w:pPr>
              <w:spacing w:after="0" w:line="240" w:lineRule="auto"/>
              <w:jc w:val="center"/>
              <w:rPr>
                <w:rFonts w:ascii="Calibri" w:eastAsia="Times New Roman" w:hAnsi="Calibri" w:cs="Calibri"/>
                <w:b/>
                <w:bCs/>
                <w:color w:val="0000FF"/>
                <w:lang w:eastAsia="en-IL"/>
              </w:rPr>
            </w:pPr>
            <w:r w:rsidRPr="000A7AB3">
              <w:rPr>
                <w:rFonts w:ascii="Calibri" w:eastAsia="Times New Roman" w:hAnsi="Calibri" w:cs="Calibri"/>
                <w:b/>
                <w:bCs/>
                <w:color w:val="0000FF"/>
                <w:lang w:eastAsia="en-IL"/>
              </w:rPr>
              <w:t>2017</w:t>
            </w:r>
          </w:p>
        </w:tc>
        <w:tc>
          <w:tcPr>
            <w:tcW w:w="960" w:type="dxa"/>
            <w:tcBorders>
              <w:top w:val="single" w:sz="12" w:space="0" w:color="auto"/>
              <w:left w:val="single" w:sz="4" w:space="0" w:color="auto"/>
              <w:bottom w:val="single" w:sz="12" w:space="0" w:color="auto"/>
              <w:right w:val="single" w:sz="4" w:space="0" w:color="auto"/>
            </w:tcBorders>
            <w:shd w:val="clear" w:color="auto" w:fill="auto"/>
            <w:noWrap/>
            <w:vAlign w:val="bottom"/>
            <w:hideMark/>
          </w:tcPr>
          <w:p w14:paraId="19F25092" w14:textId="77777777" w:rsidR="000A7AB3" w:rsidRPr="000A7AB3" w:rsidRDefault="000A7AB3" w:rsidP="000A7AB3">
            <w:pPr>
              <w:spacing w:after="0" w:line="240" w:lineRule="auto"/>
              <w:jc w:val="center"/>
              <w:rPr>
                <w:rFonts w:ascii="Calibri" w:eastAsia="Times New Roman" w:hAnsi="Calibri" w:cs="Calibri"/>
                <w:b/>
                <w:bCs/>
                <w:color w:val="0000FF"/>
                <w:lang w:eastAsia="en-IL"/>
              </w:rPr>
            </w:pPr>
            <w:r w:rsidRPr="000A7AB3">
              <w:rPr>
                <w:rFonts w:ascii="Calibri" w:eastAsia="Times New Roman" w:hAnsi="Calibri" w:cs="Calibri"/>
                <w:b/>
                <w:bCs/>
                <w:color w:val="0000FF"/>
                <w:lang w:eastAsia="en-IL"/>
              </w:rPr>
              <w:t>2018</w:t>
            </w:r>
          </w:p>
        </w:tc>
        <w:tc>
          <w:tcPr>
            <w:tcW w:w="960" w:type="dxa"/>
            <w:tcBorders>
              <w:top w:val="single" w:sz="12" w:space="0" w:color="auto"/>
              <w:left w:val="nil"/>
              <w:bottom w:val="single" w:sz="12" w:space="0" w:color="auto"/>
              <w:right w:val="nil"/>
            </w:tcBorders>
            <w:shd w:val="clear" w:color="auto" w:fill="auto"/>
            <w:noWrap/>
            <w:vAlign w:val="bottom"/>
            <w:hideMark/>
          </w:tcPr>
          <w:p w14:paraId="00099E3A" w14:textId="77777777" w:rsidR="000A7AB3" w:rsidRPr="000A7AB3" w:rsidRDefault="000A7AB3" w:rsidP="000A7AB3">
            <w:pPr>
              <w:spacing w:after="0" w:line="240" w:lineRule="auto"/>
              <w:jc w:val="center"/>
              <w:rPr>
                <w:rFonts w:ascii="Calibri" w:eastAsia="Times New Roman" w:hAnsi="Calibri" w:cs="Calibri"/>
                <w:b/>
                <w:bCs/>
                <w:color w:val="0000FF"/>
                <w:lang w:eastAsia="en-IL"/>
              </w:rPr>
            </w:pPr>
            <w:r w:rsidRPr="000A7AB3">
              <w:rPr>
                <w:rFonts w:ascii="Calibri" w:eastAsia="Times New Roman" w:hAnsi="Calibri" w:cs="Calibri"/>
                <w:b/>
                <w:bCs/>
                <w:color w:val="0000FF"/>
                <w:lang w:eastAsia="en-IL"/>
              </w:rPr>
              <w:t>2019</w:t>
            </w:r>
          </w:p>
        </w:tc>
        <w:tc>
          <w:tcPr>
            <w:tcW w:w="1160" w:type="dxa"/>
            <w:tcBorders>
              <w:top w:val="single" w:sz="12" w:space="0" w:color="auto"/>
              <w:left w:val="single" w:sz="4" w:space="0" w:color="auto"/>
              <w:bottom w:val="single" w:sz="12" w:space="0" w:color="auto"/>
              <w:right w:val="single" w:sz="12" w:space="0" w:color="auto"/>
            </w:tcBorders>
            <w:shd w:val="clear" w:color="auto" w:fill="auto"/>
            <w:noWrap/>
            <w:vAlign w:val="bottom"/>
            <w:hideMark/>
          </w:tcPr>
          <w:p w14:paraId="0C07B87E" w14:textId="77777777" w:rsidR="000A7AB3" w:rsidRPr="000A7AB3" w:rsidRDefault="000A7AB3" w:rsidP="000A7AB3">
            <w:pPr>
              <w:spacing w:after="0" w:line="240" w:lineRule="auto"/>
              <w:jc w:val="center"/>
              <w:rPr>
                <w:rFonts w:ascii="Calibri" w:eastAsia="Times New Roman" w:hAnsi="Calibri" w:cs="Calibri"/>
                <w:b/>
                <w:bCs/>
                <w:color w:val="0000FF"/>
                <w:lang w:eastAsia="en-IL"/>
              </w:rPr>
            </w:pPr>
            <w:r w:rsidRPr="000A7AB3">
              <w:rPr>
                <w:rFonts w:ascii="Calibri" w:eastAsia="Times New Roman" w:hAnsi="Calibri" w:cs="Calibri"/>
                <w:b/>
                <w:bCs/>
                <w:color w:val="0000FF"/>
                <w:lang w:eastAsia="en-IL"/>
              </w:rPr>
              <w:t>2013-2019</w:t>
            </w:r>
          </w:p>
        </w:tc>
      </w:tr>
      <w:tr w:rsidR="002701F4" w:rsidRPr="000A7AB3" w14:paraId="25E00852" w14:textId="77777777" w:rsidTr="000A7AB3">
        <w:trPr>
          <w:trHeight w:val="315"/>
        </w:trPr>
        <w:tc>
          <w:tcPr>
            <w:tcW w:w="960" w:type="dxa"/>
            <w:tcBorders>
              <w:top w:val="nil"/>
              <w:left w:val="single" w:sz="12" w:space="0" w:color="auto"/>
              <w:bottom w:val="nil"/>
              <w:right w:val="nil"/>
            </w:tcBorders>
            <w:shd w:val="clear" w:color="auto" w:fill="auto"/>
            <w:noWrap/>
            <w:vAlign w:val="bottom"/>
            <w:hideMark/>
          </w:tcPr>
          <w:p w14:paraId="12A64ECE" w14:textId="77777777" w:rsidR="000A7AB3" w:rsidRPr="000A7AB3" w:rsidRDefault="000A7AB3" w:rsidP="000A7AB3">
            <w:pPr>
              <w:spacing w:after="0" w:line="240" w:lineRule="auto"/>
              <w:rPr>
                <w:rFonts w:ascii="Calibri" w:eastAsia="Times New Roman" w:hAnsi="Calibri" w:cs="Calibri"/>
                <w:b/>
                <w:bCs/>
                <w:color w:val="0000FF"/>
                <w:lang w:eastAsia="en-IL"/>
              </w:rPr>
            </w:pPr>
            <w:r w:rsidRPr="000A7AB3">
              <w:rPr>
                <w:rFonts w:ascii="Calibri" w:eastAsia="Times New Roman" w:hAnsi="Calibri" w:cs="Calibri"/>
                <w:b/>
                <w:bCs/>
                <w:color w:val="0000FF"/>
                <w:lang w:eastAsia="en-IL"/>
              </w:rPr>
              <w:t>Average</w:t>
            </w:r>
          </w:p>
        </w:tc>
        <w:tc>
          <w:tcPr>
            <w:tcW w:w="960" w:type="dxa"/>
            <w:tcBorders>
              <w:top w:val="nil"/>
              <w:left w:val="single" w:sz="12" w:space="0" w:color="auto"/>
              <w:bottom w:val="nil"/>
              <w:right w:val="nil"/>
            </w:tcBorders>
            <w:shd w:val="clear" w:color="auto" w:fill="auto"/>
            <w:noWrap/>
            <w:vAlign w:val="bottom"/>
            <w:hideMark/>
          </w:tcPr>
          <w:p w14:paraId="1129EFE2" w14:textId="77777777" w:rsidR="000A7AB3" w:rsidRPr="000A7AB3" w:rsidRDefault="000A7AB3" w:rsidP="000A7AB3">
            <w:pPr>
              <w:spacing w:after="0" w:line="240" w:lineRule="auto"/>
              <w:jc w:val="center"/>
              <w:rPr>
                <w:rFonts w:ascii="Calibri" w:eastAsia="Times New Roman" w:hAnsi="Calibri" w:cs="Calibri"/>
                <w:color w:val="0000FF"/>
                <w:lang w:eastAsia="en-IL"/>
              </w:rPr>
            </w:pPr>
            <w:r w:rsidRPr="000A7AB3">
              <w:rPr>
                <w:rFonts w:ascii="Calibri" w:eastAsia="Times New Roman" w:hAnsi="Calibri" w:cs="Calibri"/>
                <w:color w:val="0000FF"/>
                <w:lang w:eastAsia="en-IL"/>
              </w:rPr>
              <w:t>487</w:t>
            </w:r>
          </w:p>
        </w:tc>
        <w:tc>
          <w:tcPr>
            <w:tcW w:w="960" w:type="dxa"/>
            <w:tcBorders>
              <w:top w:val="nil"/>
              <w:left w:val="single" w:sz="4" w:space="0" w:color="auto"/>
              <w:bottom w:val="nil"/>
              <w:right w:val="single" w:sz="4" w:space="0" w:color="auto"/>
            </w:tcBorders>
            <w:shd w:val="clear" w:color="auto" w:fill="auto"/>
            <w:noWrap/>
            <w:vAlign w:val="bottom"/>
            <w:hideMark/>
          </w:tcPr>
          <w:p w14:paraId="10E469AD" w14:textId="77777777" w:rsidR="000A7AB3" w:rsidRPr="000A7AB3" w:rsidRDefault="000A7AB3" w:rsidP="000A7AB3">
            <w:pPr>
              <w:spacing w:after="0" w:line="240" w:lineRule="auto"/>
              <w:jc w:val="center"/>
              <w:rPr>
                <w:rFonts w:ascii="Calibri" w:eastAsia="Times New Roman" w:hAnsi="Calibri" w:cs="Calibri"/>
                <w:color w:val="0000FF"/>
                <w:lang w:eastAsia="en-IL"/>
              </w:rPr>
            </w:pPr>
            <w:r w:rsidRPr="000A7AB3">
              <w:rPr>
                <w:rFonts w:ascii="Calibri" w:eastAsia="Times New Roman" w:hAnsi="Calibri" w:cs="Calibri"/>
                <w:color w:val="0000FF"/>
                <w:lang w:eastAsia="en-IL"/>
              </w:rPr>
              <w:t>405</w:t>
            </w:r>
          </w:p>
        </w:tc>
        <w:tc>
          <w:tcPr>
            <w:tcW w:w="960" w:type="dxa"/>
            <w:tcBorders>
              <w:top w:val="nil"/>
              <w:left w:val="nil"/>
              <w:bottom w:val="nil"/>
              <w:right w:val="nil"/>
            </w:tcBorders>
            <w:shd w:val="clear" w:color="auto" w:fill="auto"/>
            <w:noWrap/>
            <w:vAlign w:val="bottom"/>
            <w:hideMark/>
          </w:tcPr>
          <w:p w14:paraId="25B6CAA5" w14:textId="77777777" w:rsidR="000A7AB3" w:rsidRPr="000A7AB3" w:rsidRDefault="000A7AB3" w:rsidP="000A7AB3">
            <w:pPr>
              <w:spacing w:after="0" w:line="240" w:lineRule="auto"/>
              <w:jc w:val="center"/>
              <w:rPr>
                <w:rFonts w:ascii="Calibri" w:eastAsia="Times New Roman" w:hAnsi="Calibri" w:cs="Calibri"/>
                <w:color w:val="0000FF"/>
                <w:lang w:eastAsia="en-IL"/>
              </w:rPr>
            </w:pPr>
            <w:r w:rsidRPr="000A7AB3">
              <w:rPr>
                <w:rFonts w:ascii="Calibri" w:eastAsia="Times New Roman" w:hAnsi="Calibri" w:cs="Calibri"/>
                <w:color w:val="0000FF"/>
                <w:lang w:eastAsia="en-IL"/>
              </w:rPr>
              <w:t>489</w:t>
            </w:r>
          </w:p>
        </w:tc>
        <w:tc>
          <w:tcPr>
            <w:tcW w:w="960" w:type="dxa"/>
            <w:tcBorders>
              <w:top w:val="nil"/>
              <w:left w:val="single" w:sz="4" w:space="0" w:color="auto"/>
              <w:bottom w:val="nil"/>
              <w:right w:val="single" w:sz="4" w:space="0" w:color="auto"/>
            </w:tcBorders>
            <w:shd w:val="clear" w:color="auto" w:fill="auto"/>
            <w:noWrap/>
            <w:vAlign w:val="bottom"/>
            <w:hideMark/>
          </w:tcPr>
          <w:p w14:paraId="7088E9A4" w14:textId="77777777" w:rsidR="000A7AB3" w:rsidRPr="000A7AB3" w:rsidRDefault="000A7AB3" w:rsidP="000A7AB3">
            <w:pPr>
              <w:spacing w:after="0" w:line="240" w:lineRule="auto"/>
              <w:jc w:val="center"/>
              <w:rPr>
                <w:rFonts w:ascii="Calibri" w:eastAsia="Times New Roman" w:hAnsi="Calibri" w:cs="Calibri"/>
                <w:color w:val="0000FF"/>
                <w:lang w:eastAsia="en-IL"/>
              </w:rPr>
            </w:pPr>
            <w:r w:rsidRPr="000A7AB3">
              <w:rPr>
                <w:rFonts w:ascii="Calibri" w:eastAsia="Times New Roman" w:hAnsi="Calibri" w:cs="Calibri"/>
                <w:color w:val="0000FF"/>
                <w:lang w:eastAsia="en-IL"/>
              </w:rPr>
              <w:t>425</w:t>
            </w:r>
          </w:p>
        </w:tc>
        <w:tc>
          <w:tcPr>
            <w:tcW w:w="960" w:type="dxa"/>
            <w:tcBorders>
              <w:top w:val="nil"/>
              <w:left w:val="nil"/>
              <w:bottom w:val="nil"/>
              <w:right w:val="nil"/>
            </w:tcBorders>
            <w:shd w:val="clear" w:color="auto" w:fill="auto"/>
            <w:noWrap/>
            <w:vAlign w:val="bottom"/>
            <w:hideMark/>
          </w:tcPr>
          <w:p w14:paraId="4F782047" w14:textId="77777777" w:rsidR="000A7AB3" w:rsidRPr="000A7AB3" w:rsidRDefault="000A7AB3" w:rsidP="000A7AB3">
            <w:pPr>
              <w:spacing w:after="0" w:line="240" w:lineRule="auto"/>
              <w:jc w:val="center"/>
              <w:rPr>
                <w:rFonts w:ascii="Calibri" w:eastAsia="Times New Roman" w:hAnsi="Calibri" w:cs="Calibri"/>
                <w:color w:val="0000FF"/>
                <w:lang w:eastAsia="en-IL"/>
              </w:rPr>
            </w:pPr>
            <w:r w:rsidRPr="000A7AB3">
              <w:rPr>
                <w:rFonts w:ascii="Calibri" w:eastAsia="Times New Roman" w:hAnsi="Calibri" w:cs="Calibri"/>
                <w:color w:val="0000FF"/>
                <w:lang w:eastAsia="en-IL"/>
              </w:rPr>
              <w:t>499</w:t>
            </w:r>
          </w:p>
        </w:tc>
        <w:tc>
          <w:tcPr>
            <w:tcW w:w="960" w:type="dxa"/>
            <w:tcBorders>
              <w:top w:val="nil"/>
              <w:left w:val="single" w:sz="4" w:space="0" w:color="auto"/>
              <w:bottom w:val="nil"/>
              <w:right w:val="single" w:sz="4" w:space="0" w:color="auto"/>
            </w:tcBorders>
            <w:shd w:val="clear" w:color="auto" w:fill="auto"/>
            <w:noWrap/>
            <w:vAlign w:val="bottom"/>
            <w:hideMark/>
          </w:tcPr>
          <w:p w14:paraId="4E7B2C9E" w14:textId="77777777" w:rsidR="000A7AB3" w:rsidRPr="000A7AB3" w:rsidRDefault="000A7AB3" w:rsidP="000A7AB3">
            <w:pPr>
              <w:spacing w:after="0" w:line="240" w:lineRule="auto"/>
              <w:jc w:val="center"/>
              <w:rPr>
                <w:rFonts w:ascii="Calibri" w:eastAsia="Times New Roman" w:hAnsi="Calibri" w:cs="Calibri"/>
                <w:color w:val="0000FF"/>
                <w:lang w:eastAsia="en-IL"/>
              </w:rPr>
            </w:pPr>
            <w:r w:rsidRPr="000A7AB3">
              <w:rPr>
                <w:rFonts w:ascii="Calibri" w:eastAsia="Times New Roman" w:hAnsi="Calibri" w:cs="Calibri"/>
                <w:color w:val="0000FF"/>
                <w:lang w:eastAsia="en-IL"/>
              </w:rPr>
              <w:t>766</w:t>
            </w:r>
          </w:p>
        </w:tc>
        <w:tc>
          <w:tcPr>
            <w:tcW w:w="960" w:type="dxa"/>
            <w:tcBorders>
              <w:top w:val="nil"/>
              <w:left w:val="nil"/>
              <w:bottom w:val="nil"/>
              <w:right w:val="nil"/>
            </w:tcBorders>
            <w:shd w:val="clear" w:color="auto" w:fill="auto"/>
            <w:noWrap/>
            <w:vAlign w:val="bottom"/>
            <w:hideMark/>
          </w:tcPr>
          <w:p w14:paraId="666B87A8" w14:textId="77777777" w:rsidR="000A7AB3" w:rsidRPr="000A7AB3" w:rsidRDefault="000A7AB3" w:rsidP="000A7AB3">
            <w:pPr>
              <w:spacing w:after="0" w:line="240" w:lineRule="auto"/>
              <w:jc w:val="center"/>
              <w:rPr>
                <w:rFonts w:ascii="Calibri" w:eastAsia="Times New Roman" w:hAnsi="Calibri" w:cs="Calibri"/>
                <w:color w:val="0000FF"/>
                <w:lang w:eastAsia="en-IL"/>
              </w:rPr>
            </w:pPr>
            <w:r w:rsidRPr="000A7AB3">
              <w:rPr>
                <w:rFonts w:ascii="Calibri" w:eastAsia="Times New Roman" w:hAnsi="Calibri" w:cs="Calibri"/>
                <w:color w:val="0000FF"/>
                <w:lang w:eastAsia="en-IL"/>
              </w:rPr>
              <w:t>650</w:t>
            </w:r>
          </w:p>
        </w:tc>
        <w:tc>
          <w:tcPr>
            <w:tcW w:w="1160" w:type="dxa"/>
            <w:tcBorders>
              <w:top w:val="nil"/>
              <w:left w:val="single" w:sz="4" w:space="0" w:color="auto"/>
              <w:bottom w:val="nil"/>
              <w:right w:val="single" w:sz="12" w:space="0" w:color="auto"/>
            </w:tcBorders>
            <w:shd w:val="clear" w:color="auto" w:fill="auto"/>
            <w:noWrap/>
            <w:vAlign w:val="bottom"/>
            <w:hideMark/>
          </w:tcPr>
          <w:p w14:paraId="46402534" w14:textId="77777777" w:rsidR="000A7AB3" w:rsidRPr="000A7AB3" w:rsidRDefault="000A7AB3" w:rsidP="000A7AB3">
            <w:pPr>
              <w:spacing w:after="0" w:line="240" w:lineRule="auto"/>
              <w:jc w:val="center"/>
              <w:rPr>
                <w:rFonts w:ascii="Calibri" w:eastAsia="Times New Roman" w:hAnsi="Calibri" w:cs="Calibri"/>
                <w:color w:val="0000FF"/>
                <w:lang w:eastAsia="en-IL"/>
              </w:rPr>
            </w:pPr>
            <w:r w:rsidRPr="000A7AB3">
              <w:rPr>
                <w:rFonts w:ascii="Calibri" w:eastAsia="Times New Roman" w:hAnsi="Calibri" w:cs="Calibri"/>
                <w:color w:val="0000FF"/>
                <w:lang w:eastAsia="en-IL"/>
              </w:rPr>
              <w:t>556</w:t>
            </w:r>
          </w:p>
        </w:tc>
      </w:tr>
      <w:tr w:rsidR="002701F4" w:rsidRPr="000A7AB3" w14:paraId="38329F97" w14:textId="77777777" w:rsidTr="000A7AB3">
        <w:trPr>
          <w:trHeight w:val="300"/>
        </w:trPr>
        <w:tc>
          <w:tcPr>
            <w:tcW w:w="960" w:type="dxa"/>
            <w:tcBorders>
              <w:top w:val="nil"/>
              <w:left w:val="single" w:sz="12" w:space="0" w:color="auto"/>
              <w:bottom w:val="nil"/>
              <w:right w:val="nil"/>
            </w:tcBorders>
            <w:shd w:val="clear" w:color="auto" w:fill="auto"/>
            <w:noWrap/>
            <w:vAlign w:val="bottom"/>
            <w:hideMark/>
          </w:tcPr>
          <w:p w14:paraId="1EABEFC2" w14:textId="77777777" w:rsidR="000A7AB3" w:rsidRPr="000A7AB3" w:rsidRDefault="000A7AB3" w:rsidP="000A7AB3">
            <w:pPr>
              <w:spacing w:after="0" w:line="240" w:lineRule="auto"/>
              <w:rPr>
                <w:rFonts w:ascii="Calibri" w:eastAsia="Times New Roman" w:hAnsi="Calibri" w:cs="Calibri"/>
                <w:b/>
                <w:bCs/>
                <w:color w:val="0000FF"/>
                <w:lang w:eastAsia="en-IL"/>
              </w:rPr>
            </w:pPr>
            <w:r w:rsidRPr="000A7AB3">
              <w:rPr>
                <w:rFonts w:ascii="Calibri" w:eastAsia="Times New Roman" w:hAnsi="Calibri" w:cs="Calibri"/>
                <w:b/>
                <w:bCs/>
                <w:color w:val="0000FF"/>
                <w:lang w:eastAsia="en-IL"/>
              </w:rPr>
              <w:t>Median</w:t>
            </w:r>
          </w:p>
        </w:tc>
        <w:tc>
          <w:tcPr>
            <w:tcW w:w="960" w:type="dxa"/>
            <w:tcBorders>
              <w:top w:val="nil"/>
              <w:left w:val="single" w:sz="12" w:space="0" w:color="auto"/>
              <w:bottom w:val="nil"/>
              <w:right w:val="nil"/>
            </w:tcBorders>
            <w:shd w:val="clear" w:color="auto" w:fill="auto"/>
            <w:noWrap/>
            <w:vAlign w:val="bottom"/>
            <w:hideMark/>
          </w:tcPr>
          <w:p w14:paraId="4519A145" w14:textId="77777777" w:rsidR="000A7AB3" w:rsidRPr="000A7AB3" w:rsidRDefault="000A7AB3" w:rsidP="000A7AB3">
            <w:pPr>
              <w:spacing w:after="0" w:line="240" w:lineRule="auto"/>
              <w:jc w:val="center"/>
              <w:rPr>
                <w:rFonts w:ascii="Calibri" w:eastAsia="Times New Roman" w:hAnsi="Calibri" w:cs="Calibri"/>
                <w:color w:val="0000FF"/>
                <w:lang w:eastAsia="en-IL"/>
              </w:rPr>
            </w:pPr>
            <w:r w:rsidRPr="000A7AB3">
              <w:rPr>
                <w:rFonts w:ascii="Calibri" w:eastAsia="Times New Roman" w:hAnsi="Calibri" w:cs="Calibri"/>
                <w:color w:val="0000FF"/>
                <w:lang w:eastAsia="en-IL"/>
              </w:rPr>
              <w:t>374</w:t>
            </w:r>
          </w:p>
        </w:tc>
        <w:tc>
          <w:tcPr>
            <w:tcW w:w="960" w:type="dxa"/>
            <w:tcBorders>
              <w:top w:val="nil"/>
              <w:left w:val="single" w:sz="4" w:space="0" w:color="auto"/>
              <w:bottom w:val="nil"/>
              <w:right w:val="single" w:sz="4" w:space="0" w:color="auto"/>
            </w:tcBorders>
            <w:shd w:val="clear" w:color="auto" w:fill="auto"/>
            <w:noWrap/>
            <w:vAlign w:val="bottom"/>
            <w:hideMark/>
          </w:tcPr>
          <w:p w14:paraId="034CABF6" w14:textId="77777777" w:rsidR="000A7AB3" w:rsidRPr="000A7AB3" w:rsidRDefault="000A7AB3" w:rsidP="000A7AB3">
            <w:pPr>
              <w:spacing w:after="0" w:line="240" w:lineRule="auto"/>
              <w:jc w:val="center"/>
              <w:rPr>
                <w:rFonts w:ascii="Calibri" w:eastAsia="Times New Roman" w:hAnsi="Calibri" w:cs="Calibri"/>
                <w:color w:val="0000FF"/>
                <w:lang w:eastAsia="en-IL"/>
              </w:rPr>
            </w:pPr>
            <w:r w:rsidRPr="000A7AB3">
              <w:rPr>
                <w:rFonts w:ascii="Calibri" w:eastAsia="Times New Roman" w:hAnsi="Calibri" w:cs="Calibri"/>
                <w:color w:val="0000FF"/>
                <w:lang w:eastAsia="en-IL"/>
              </w:rPr>
              <w:t>229</w:t>
            </w:r>
          </w:p>
        </w:tc>
        <w:tc>
          <w:tcPr>
            <w:tcW w:w="960" w:type="dxa"/>
            <w:tcBorders>
              <w:top w:val="nil"/>
              <w:left w:val="nil"/>
              <w:bottom w:val="nil"/>
              <w:right w:val="nil"/>
            </w:tcBorders>
            <w:shd w:val="clear" w:color="auto" w:fill="auto"/>
            <w:noWrap/>
            <w:vAlign w:val="bottom"/>
            <w:hideMark/>
          </w:tcPr>
          <w:p w14:paraId="2F6DB251" w14:textId="77777777" w:rsidR="000A7AB3" w:rsidRPr="000A7AB3" w:rsidRDefault="000A7AB3" w:rsidP="000A7AB3">
            <w:pPr>
              <w:spacing w:after="0" w:line="240" w:lineRule="auto"/>
              <w:jc w:val="center"/>
              <w:rPr>
                <w:rFonts w:ascii="Calibri" w:eastAsia="Times New Roman" w:hAnsi="Calibri" w:cs="Calibri"/>
                <w:color w:val="0000FF"/>
                <w:lang w:eastAsia="en-IL"/>
              </w:rPr>
            </w:pPr>
            <w:r w:rsidRPr="000A7AB3">
              <w:rPr>
                <w:rFonts w:ascii="Calibri" w:eastAsia="Times New Roman" w:hAnsi="Calibri" w:cs="Calibri"/>
                <w:color w:val="0000FF"/>
                <w:lang w:eastAsia="en-IL"/>
              </w:rPr>
              <w:t>287</w:t>
            </w:r>
          </w:p>
        </w:tc>
        <w:tc>
          <w:tcPr>
            <w:tcW w:w="960" w:type="dxa"/>
            <w:tcBorders>
              <w:top w:val="nil"/>
              <w:left w:val="single" w:sz="4" w:space="0" w:color="auto"/>
              <w:bottom w:val="nil"/>
              <w:right w:val="single" w:sz="4" w:space="0" w:color="auto"/>
            </w:tcBorders>
            <w:shd w:val="clear" w:color="auto" w:fill="auto"/>
            <w:noWrap/>
            <w:vAlign w:val="bottom"/>
            <w:hideMark/>
          </w:tcPr>
          <w:p w14:paraId="1E5E9EE1" w14:textId="77777777" w:rsidR="000A7AB3" w:rsidRPr="000A7AB3" w:rsidRDefault="000A7AB3" w:rsidP="000A7AB3">
            <w:pPr>
              <w:spacing w:after="0" w:line="240" w:lineRule="auto"/>
              <w:jc w:val="center"/>
              <w:rPr>
                <w:rFonts w:ascii="Calibri" w:eastAsia="Times New Roman" w:hAnsi="Calibri" w:cs="Calibri"/>
                <w:color w:val="0000FF"/>
                <w:lang w:eastAsia="en-IL"/>
              </w:rPr>
            </w:pPr>
            <w:r w:rsidRPr="000A7AB3">
              <w:rPr>
                <w:rFonts w:ascii="Calibri" w:eastAsia="Times New Roman" w:hAnsi="Calibri" w:cs="Calibri"/>
                <w:color w:val="0000FF"/>
                <w:lang w:eastAsia="en-IL"/>
              </w:rPr>
              <w:t>299</w:t>
            </w:r>
          </w:p>
        </w:tc>
        <w:tc>
          <w:tcPr>
            <w:tcW w:w="960" w:type="dxa"/>
            <w:tcBorders>
              <w:top w:val="nil"/>
              <w:left w:val="nil"/>
              <w:bottom w:val="nil"/>
              <w:right w:val="nil"/>
            </w:tcBorders>
            <w:shd w:val="clear" w:color="auto" w:fill="auto"/>
            <w:noWrap/>
            <w:vAlign w:val="bottom"/>
            <w:hideMark/>
          </w:tcPr>
          <w:p w14:paraId="2F01D2DD" w14:textId="77777777" w:rsidR="000A7AB3" w:rsidRPr="000A7AB3" w:rsidRDefault="000A7AB3" w:rsidP="000A7AB3">
            <w:pPr>
              <w:spacing w:after="0" w:line="240" w:lineRule="auto"/>
              <w:jc w:val="center"/>
              <w:rPr>
                <w:rFonts w:ascii="Calibri" w:eastAsia="Times New Roman" w:hAnsi="Calibri" w:cs="Calibri"/>
                <w:color w:val="0000FF"/>
                <w:lang w:eastAsia="en-IL"/>
              </w:rPr>
            </w:pPr>
            <w:r w:rsidRPr="000A7AB3">
              <w:rPr>
                <w:rFonts w:ascii="Calibri" w:eastAsia="Times New Roman" w:hAnsi="Calibri" w:cs="Calibri"/>
                <w:color w:val="0000FF"/>
                <w:lang w:eastAsia="en-IL"/>
              </w:rPr>
              <w:t>368</w:t>
            </w:r>
          </w:p>
        </w:tc>
        <w:tc>
          <w:tcPr>
            <w:tcW w:w="960" w:type="dxa"/>
            <w:tcBorders>
              <w:top w:val="nil"/>
              <w:left w:val="single" w:sz="4" w:space="0" w:color="auto"/>
              <w:bottom w:val="nil"/>
              <w:right w:val="single" w:sz="4" w:space="0" w:color="auto"/>
            </w:tcBorders>
            <w:shd w:val="clear" w:color="auto" w:fill="auto"/>
            <w:noWrap/>
            <w:vAlign w:val="bottom"/>
            <w:hideMark/>
          </w:tcPr>
          <w:p w14:paraId="740339CE" w14:textId="77777777" w:rsidR="000A7AB3" w:rsidRPr="000A7AB3" w:rsidRDefault="000A7AB3" w:rsidP="000A7AB3">
            <w:pPr>
              <w:spacing w:after="0" w:line="240" w:lineRule="auto"/>
              <w:jc w:val="center"/>
              <w:rPr>
                <w:rFonts w:ascii="Calibri" w:eastAsia="Times New Roman" w:hAnsi="Calibri" w:cs="Calibri"/>
                <w:color w:val="0000FF"/>
                <w:lang w:eastAsia="en-IL"/>
              </w:rPr>
            </w:pPr>
            <w:r w:rsidRPr="000A7AB3">
              <w:rPr>
                <w:rFonts w:ascii="Calibri" w:eastAsia="Times New Roman" w:hAnsi="Calibri" w:cs="Calibri"/>
                <w:color w:val="0000FF"/>
                <w:lang w:eastAsia="en-IL"/>
              </w:rPr>
              <w:t>337</w:t>
            </w:r>
          </w:p>
        </w:tc>
        <w:tc>
          <w:tcPr>
            <w:tcW w:w="960" w:type="dxa"/>
            <w:tcBorders>
              <w:top w:val="nil"/>
              <w:left w:val="nil"/>
              <w:bottom w:val="nil"/>
              <w:right w:val="nil"/>
            </w:tcBorders>
            <w:shd w:val="clear" w:color="auto" w:fill="auto"/>
            <w:noWrap/>
            <w:vAlign w:val="bottom"/>
            <w:hideMark/>
          </w:tcPr>
          <w:p w14:paraId="3ACD85A7" w14:textId="77777777" w:rsidR="000A7AB3" w:rsidRPr="000A7AB3" w:rsidRDefault="000A7AB3" w:rsidP="000A7AB3">
            <w:pPr>
              <w:spacing w:after="0" w:line="240" w:lineRule="auto"/>
              <w:jc w:val="center"/>
              <w:rPr>
                <w:rFonts w:ascii="Calibri" w:eastAsia="Times New Roman" w:hAnsi="Calibri" w:cs="Calibri"/>
                <w:color w:val="0000FF"/>
                <w:lang w:eastAsia="en-IL"/>
              </w:rPr>
            </w:pPr>
            <w:r w:rsidRPr="000A7AB3">
              <w:rPr>
                <w:rFonts w:ascii="Calibri" w:eastAsia="Times New Roman" w:hAnsi="Calibri" w:cs="Calibri"/>
                <w:color w:val="0000FF"/>
                <w:lang w:eastAsia="en-IL"/>
              </w:rPr>
              <w:t>301</w:t>
            </w:r>
          </w:p>
        </w:tc>
        <w:tc>
          <w:tcPr>
            <w:tcW w:w="1160" w:type="dxa"/>
            <w:tcBorders>
              <w:top w:val="nil"/>
              <w:left w:val="single" w:sz="4" w:space="0" w:color="auto"/>
              <w:bottom w:val="nil"/>
              <w:right w:val="single" w:sz="12" w:space="0" w:color="auto"/>
            </w:tcBorders>
            <w:shd w:val="clear" w:color="auto" w:fill="auto"/>
            <w:noWrap/>
            <w:vAlign w:val="bottom"/>
            <w:hideMark/>
          </w:tcPr>
          <w:p w14:paraId="798D2E35" w14:textId="77777777" w:rsidR="000A7AB3" w:rsidRPr="000A7AB3" w:rsidRDefault="000A7AB3" w:rsidP="000A7AB3">
            <w:pPr>
              <w:spacing w:after="0" w:line="240" w:lineRule="auto"/>
              <w:jc w:val="center"/>
              <w:rPr>
                <w:rFonts w:ascii="Calibri" w:eastAsia="Times New Roman" w:hAnsi="Calibri" w:cs="Calibri"/>
                <w:color w:val="0000FF"/>
                <w:lang w:eastAsia="en-IL"/>
              </w:rPr>
            </w:pPr>
            <w:r w:rsidRPr="000A7AB3">
              <w:rPr>
                <w:rFonts w:ascii="Calibri" w:eastAsia="Times New Roman" w:hAnsi="Calibri" w:cs="Calibri"/>
                <w:color w:val="0000FF"/>
                <w:lang w:eastAsia="en-IL"/>
              </w:rPr>
              <w:t>297</w:t>
            </w:r>
          </w:p>
        </w:tc>
      </w:tr>
      <w:tr w:rsidR="002701F4" w:rsidRPr="000A7AB3" w14:paraId="4916C09C" w14:textId="77777777" w:rsidTr="000A7AB3">
        <w:trPr>
          <w:trHeight w:val="300"/>
        </w:trPr>
        <w:tc>
          <w:tcPr>
            <w:tcW w:w="960" w:type="dxa"/>
            <w:tcBorders>
              <w:top w:val="nil"/>
              <w:left w:val="single" w:sz="12" w:space="0" w:color="auto"/>
              <w:bottom w:val="nil"/>
              <w:right w:val="nil"/>
            </w:tcBorders>
            <w:shd w:val="clear" w:color="auto" w:fill="auto"/>
            <w:noWrap/>
            <w:vAlign w:val="bottom"/>
            <w:hideMark/>
          </w:tcPr>
          <w:p w14:paraId="092132E9" w14:textId="77777777" w:rsidR="000A7AB3" w:rsidRPr="000A7AB3" w:rsidRDefault="000A7AB3" w:rsidP="000A7AB3">
            <w:pPr>
              <w:spacing w:after="0" w:line="240" w:lineRule="auto"/>
              <w:rPr>
                <w:rFonts w:ascii="Calibri" w:eastAsia="Times New Roman" w:hAnsi="Calibri" w:cs="Calibri"/>
                <w:b/>
                <w:bCs/>
                <w:color w:val="0000FF"/>
                <w:lang w:eastAsia="en-IL"/>
              </w:rPr>
            </w:pPr>
            <w:r w:rsidRPr="000A7AB3">
              <w:rPr>
                <w:rFonts w:ascii="Calibri" w:eastAsia="Times New Roman" w:hAnsi="Calibri" w:cs="Calibri"/>
                <w:b/>
                <w:bCs/>
                <w:color w:val="0000FF"/>
                <w:lang w:eastAsia="en-IL"/>
              </w:rPr>
              <w:t>Min</w:t>
            </w:r>
          </w:p>
        </w:tc>
        <w:tc>
          <w:tcPr>
            <w:tcW w:w="960" w:type="dxa"/>
            <w:tcBorders>
              <w:top w:val="nil"/>
              <w:left w:val="single" w:sz="12" w:space="0" w:color="auto"/>
              <w:bottom w:val="nil"/>
              <w:right w:val="nil"/>
            </w:tcBorders>
            <w:shd w:val="clear" w:color="auto" w:fill="auto"/>
            <w:noWrap/>
            <w:vAlign w:val="bottom"/>
            <w:hideMark/>
          </w:tcPr>
          <w:p w14:paraId="59AAB9F5" w14:textId="77777777" w:rsidR="000A7AB3" w:rsidRPr="000A7AB3" w:rsidRDefault="000A7AB3" w:rsidP="000A7AB3">
            <w:pPr>
              <w:spacing w:after="0" w:line="240" w:lineRule="auto"/>
              <w:jc w:val="center"/>
              <w:rPr>
                <w:rFonts w:ascii="Calibri" w:eastAsia="Times New Roman" w:hAnsi="Calibri" w:cs="Calibri"/>
                <w:color w:val="0000FF"/>
                <w:lang w:eastAsia="en-IL"/>
              </w:rPr>
            </w:pPr>
            <w:r w:rsidRPr="000A7AB3">
              <w:rPr>
                <w:rFonts w:ascii="Calibri" w:eastAsia="Times New Roman" w:hAnsi="Calibri" w:cs="Calibri"/>
                <w:color w:val="0000FF"/>
                <w:lang w:eastAsia="en-IL"/>
              </w:rPr>
              <w:t>45</w:t>
            </w:r>
          </w:p>
        </w:tc>
        <w:tc>
          <w:tcPr>
            <w:tcW w:w="960" w:type="dxa"/>
            <w:tcBorders>
              <w:top w:val="nil"/>
              <w:left w:val="single" w:sz="4" w:space="0" w:color="auto"/>
              <w:bottom w:val="nil"/>
              <w:right w:val="single" w:sz="4" w:space="0" w:color="auto"/>
            </w:tcBorders>
            <w:shd w:val="clear" w:color="auto" w:fill="auto"/>
            <w:noWrap/>
            <w:vAlign w:val="bottom"/>
            <w:hideMark/>
          </w:tcPr>
          <w:p w14:paraId="05ACD761" w14:textId="77777777" w:rsidR="000A7AB3" w:rsidRPr="000A7AB3" w:rsidRDefault="000A7AB3" w:rsidP="000A7AB3">
            <w:pPr>
              <w:spacing w:after="0" w:line="240" w:lineRule="auto"/>
              <w:jc w:val="center"/>
              <w:rPr>
                <w:rFonts w:ascii="Calibri" w:eastAsia="Times New Roman" w:hAnsi="Calibri" w:cs="Calibri"/>
                <w:color w:val="0000FF"/>
                <w:lang w:eastAsia="en-IL"/>
              </w:rPr>
            </w:pPr>
            <w:r w:rsidRPr="000A7AB3">
              <w:rPr>
                <w:rFonts w:ascii="Calibri" w:eastAsia="Times New Roman" w:hAnsi="Calibri" w:cs="Calibri"/>
                <w:color w:val="0000FF"/>
                <w:lang w:eastAsia="en-IL"/>
              </w:rPr>
              <w:t>11</w:t>
            </w:r>
          </w:p>
        </w:tc>
        <w:tc>
          <w:tcPr>
            <w:tcW w:w="960" w:type="dxa"/>
            <w:tcBorders>
              <w:top w:val="nil"/>
              <w:left w:val="nil"/>
              <w:bottom w:val="nil"/>
              <w:right w:val="nil"/>
            </w:tcBorders>
            <w:shd w:val="clear" w:color="auto" w:fill="auto"/>
            <w:noWrap/>
            <w:vAlign w:val="bottom"/>
            <w:hideMark/>
          </w:tcPr>
          <w:p w14:paraId="52CF62E1" w14:textId="77777777" w:rsidR="000A7AB3" w:rsidRPr="000A7AB3" w:rsidRDefault="000A7AB3" w:rsidP="000A7AB3">
            <w:pPr>
              <w:spacing w:after="0" w:line="240" w:lineRule="auto"/>
              <w:jc w:val="center"/>
              <w:rPr>
                <w:rFonts w:ascii="Calibri" w:eastAsia="Times New Roman" w:hAnsi="Calibri" w:cs="Calibri"/>
                <w:color w:val="0000FF"/>
                <w:lang w:eastAsia="en-IL"/>
              </w:rPr>
            </w:pPr>
            <w:r w:rsidRPr="000A7AB3">
              <w:rPr>
                <w:rFonts w:ascii="Calibri" w:eastAsia="Times New Roman" w:hAnsi="Calibri" w:cs="Calibri"/>
                <w:color w:val="0000FF"/>
                <w:lang w:eastAsia="en-IL"/>
              </w:rPr>
              <w:t>1</w:t>
            </w:r>
          </w:p>
        </w:tc>
        <w:tc>
          <w:tcPr>
            <w:tcW w:w="960" w:type="dxa"/>
            <w:tcBorders>
              <w:top w:val="nil"/>
              <w:left w:val="single" w:sz="4" w:space="0" w:color="auto"/>
              <w:bottom w:val="nil"/>
              <w:right w:val="single" w:sz="4" w:space="0" w:color="auto"/>
            </w:tcBorders>
            <w:shd w:val="clear" w:color="auto" w:fill="auto"/>
            <w:noWrap/>
            <w:vAlign w:val="bottom"/>
            <w:hideMark/>
          </w:tcPr>
          <w:p w14:paraId="791125E1" w14:textId="77777777" w:rsidR="000A7AB3" w:rsidRPr="000A7AB3" w:rsidRDefault="000A7AB3" w:rsidP="000A7AB3">
            <w:pPr>
              <w:spacing w:after="0" w:line="240" w:lineRule="auto"/>
              <w:jc w:val="center"/>
              <w:rPr>
                <w:rFonts w:ascii="Calibri" w:eastAsia="Times New Roman" w:hAnsi="Calibri" w:cs="Calibri"/>
                <w:color w:val="0000FF"/>
                <w:lang w:eastAsia="en-IL"/>
              </w:rPr>
            </w:pPr>
            <w:r w:rsidRPr="000A7AB3">
              <w:rPr>
                <w:rFonts w:ascii="Calibri" w:eastAsia="Times New Roman" w:hAnsi="Calibri" w:cs="Calibri"/>
                <w:color w:val="0000FF"/>
                <w:lang w:eastAsia="en-IL"/>
              </w:rPr>
              <w:t>9</w:t>
            </w:r>
          </w:p>
        </w:tc>
        <w:tc>
          <w:tcPr>
            <w:tcW w:w="960" w:type="dxa"/>
            <w:tcBorders>
              <w:top w:val="nil"/>
              <w:left w:val="nil"/>
              <w:bottom w:val="nil"/>
              <w:right w:val="nil"/>
            </w:tcBorders>
            <w:shd w:val="clear" w:color="auto" w:fill="auto"/>
            <w:noWrap/>
            <w:vAlign w:val="bottom"/>
            <w:hideMark/>
          </w:tcPr>
          <w:p w14:paraId="21E72845" w14:textId="77777777" w:rsidR="000A7AB3" w:rsidRPr="000A7AB3" w:rsidRDefault="000A7AB3" w:rsidP="000A7AB3">
            <w:pPr>
              <w:spacing w:after="0" w:line="240" w:lineRule="auto"/>
              <w:jc w:val="center"/>
              <w:rPr>
                <w:rFonts w:ascii="Calibri" w:eastAsia="Times New Roman" w:hAnsi="Calibri" w:cs="Calibri"/>
                <w:color w:val="0000FF"/>
                <w:lang w:eastAsia="en-IL"/>
              </w:rPr>
            </w:pPr>
            <w:r w:rsidRPr="000A7AB3">
              <w:rPr>
                <w:rFonts w:ascii="Calibri" w:eastAsia="Times New Roman" w:hAnsi="Calibri" w:cs="Calibri"/>
                <w:color w:val="0000FF"/>
                <w:lang w:eastAsia="en-IL"/>
              </w:rPr>
              <w:t>19</w:t>
            </w:r>
          </w:p>
        </w:tc>
        <w:tc>
          <w:tcPr>
            <w:tcW w:w="960" w:type="dxa"/>
            <w:tcBorders>
              <w:top w:val="nil"/>
              <w:left w:val="single" w:sz="4" w:space="0" w:color="auto"/>
              <w:bottom w:val="nil"/>
              <w:right w:val="single" w:sz="4" w:space="0" w:color="auto"/>
            </w:tcBorders>
            <w:shd w:val="clear" w:color="auto" w:fill="auto"/>
            <w:noWrap/>
            <w:vAlign w:val="bottom"/>
            <w:hideMark/>
          </w:tcPr>
          <w:p w14:paraId="3C009889" w14:textId="77777777" w:rsidR="000A7AB3" w:rsidRPr="000A7AB3" w:rsidRDefault="000A7AB3" w:rsidP="000A7AB3">
            <w:pPr>
              <w:spacing w:after="0" w:line="240" w:lineRule="auto"/>
              <w:jc w:val="center"/>
              <w:rPr>
                <w:rFonts w:ascii="Calibri" w:eastAsia="Times New Roman" w:hAnsi="Calibri" w:cs="Calibri"/>
                <w:color w:val="0000FF"/>
                <w:lang w:eastAsia="en-IL"/>
              </w:rPr>
            </w:pPr>
            <w:r w:rsidRPr="000A7AB3">
              <w:rPr>
                <w:rFonts w:ascii="Calibri" w:eastAsia="Times New Roman" w:hAnsi="Calibri" w:cs="Calibri"/>
                <w:color w:val="0000FF"/>
                <w:lang w:eastAsia="en-IL"/>
              </w:rPr>
              <w:t>12</w:t>
            </w:r>
          </w:p>
        </w:tc>
        <w:tc>
          <w:tcPr>
            <w:tcW w:w="960" w:type="dxa"/>
            <w:tcBorders>
              <w:top w:val="nil"/>
              <w:left w:val="nil"/>
              <w:bottom w:val="nil"/>
              <w:right w:val="nil"/>
            </w:tcBorders>
            <w:shd w:val="clear" w:color="auto" w:fill="auto"/>
            <w:noWrap/>
            <w:vAlign w:val="bottom"/>
            <w:hideMark/>
          </w:tcPr>
          <w:p w14:paraId="7DE8A5D2" w14:textId="77777777" w:rsidR="000A7AB3" w:rsidRPr="000A7AB3" w:rsidRDefault="000A7AB3" w:rsidP="000A7AB3">
            <w:pPr>
              <w:spacing w:after="0" w:line="240" w:lineRule="auto"/>
              <w:jc w:val="center"/>
              <w:rPr>
                <w:rFonts w:ascii="Calibri" w:eastAsia="Times New Roman" w:hAnsi="Calibri" w:cs="Calibri"/>
                <w:color w:val="0000FF"/>
                <w:lang w:eastAsia="en-IL"/>
              </w:rPr>
            </w:pPr>
            <w:r w:rsidRPr="000A7AB3">
              <w:rPr>
                <w:rFonts w:ascii="Calibri" w:eastAsia="Times New Roman" w:hAnsi="Calibri" w:cs="Calibri"/>
                <w:color w:val="0000FF"/>
                <w:lang w:eastAsia="en-IL"/>
              </w:rPr>
              <w:t>8</w:t>
            </w:r>
          </w:p>
        </w:tc>
        <w:tc>
          <w:tcPr>
            <w:tcW w:w="1160" w:type="dxa"/>
            <w:tcBorders>
              <w:top w:val="nil"/>
              <w:left w:val="single" w:sz="4" w:space="0" w:color="auto"/>
              <w:bottom w:val="nil"/>
              <w:right w:val="single" w:sz="12" w:space="0" w:color="auto"/>
            </w:tcBorders>
            <w:shd w:val="clear" w:color="auto" w:fill="auto"/>
            <w:noWrap/>
            <w:vAlign w:val="bottom"/>
            <w:hideMark/>
          </w:tcPr>
          <w:p w14:paraId="612E5243" w14:textId="77777777" w:rsidR="000A7AB3" w:rsidRPr="000A7AB3" w:rsidRDefault="000A7AB3" w:rsidP="000A7AB3">
            <w:pPr>
              <w:spacing w:after="0" w:line="240" w:lineRule="auto"/>
              <w:jc w:val="center"/>
              <w:rPr>
                <w:rFonts w:ascii="Calibri" w:eastAsia="Times New Roman" w:hAnsi="Calibri" w:cs="Calibri"/>
                <w:color w:val="0000FF"/>
                <w:lang w:eastAsia="en-IL"/>
              </w:rPr>
            </w:pPr>
            <w:r w:rsidRPr="000A7AB3">
              <w:rPr>
                <w:rFonts w:ascii="Calibri" w:eastAsia="Times New Roman" w:hAnsi="Calibri" w:cs="Calibri"/>
                <w:color w:val="0000FF"/>
                <w:lang w:eastAsia="en-IL"/>
              </w:rPr>
              <w:t>1</w:t>
            </w:r>
          </w:p>
        </w:tc>
      </w:tr>
      <w:tr w:rsidR="002701F4" w:rsidRPr="000A7AB3" w14:paraId="56F0CD16" w14:textId="77777777" w:rsidTr="000A7AB3">
        <w:trPr>
          <w:trHeight w:val="300"/>
        </w:trPr>
        <w:tc>
          <w:tcPr>
            <w:tcW w:w="960" w:type="dxa"/>
            <w:tcBorders>
              <w:top w:val="nil"/>
              <w:left w:val="single" w:sz="12" w:space="0" w:color="auto"/>
              <w:bottom w:val="nil"/>
              <w:right w:val="nil"/>
            </w:tcBorders>
            <w:shd w:val="clear" w:color="auto" w:fill="auto"/>
            <w:noWrap/>
            <w:vAlign w:val="bottom"/>
            <w:hideMark/>
          </w:tcPr>
          <w:p w14:paraId="08E80C93" w14:textId="77777777" w:rsidR="000A7AB3" w:rsidRPr="000A7AB3" w:rsidRDefault="000A7AB3" w:rsidP="000A7AB3">
            <w:pPr>
              <w:spacing w:after="0" w:line="240" w:lineRule="auto"/>
              <w:rPr>
                <w:rFonts w:ascii="Calibri" w:eastAsia="Times New Roman" w:hAnsi="Calibri" w:cs="Calibri"/>
                <w:b/>
                <w:bCs/>
                <w:color w:val="0000FF"/>
                <w:lang w:eastAsia="en-IL"/>
              </w:rPr>
            </w:pPr>
            <w:r w:rsidRPr="000A7AB3">
              <w:rPr>
                <w:rFonts w:ascii="Calibri" w:eastAsia="Times New Roman" w:hAnsi="Calibri" w:cs="Calibri"/>
                <w:b/>
                <w:bCs/>
                <w:color w:val="0000FF"/>
                <w:lang w:eastAsia="en-IL"/>
              </w:rPr>
              <w:t>Max</w:t>
            </w:r>
          </w:p>
        </w:tc>
        <w:tc>
          <w:tcPr>
            <w:tcW w:w="960" w:type="dxa"/>
            <w:tcBorders>
              <w:top w:val="nil"/>
              <w:left w:val="single" w:sz="12" w:space="0" w:color="auto"/>
              <w:bottom w:val="nil"/>
              <w:right w:val="nil"/>
            </w:tcBorders>
            <w:shd w:val="clear" w:color="auto" w:fill="auto"/>
            <w:noWrap/>
            <w:vAlign w:val="bottom"/>
            <w:hideMark/>
          </w:tcPr>
          <w:p w14:paraId="49370618" w14:textId="77777777" w:rsidR="000A7AB3" w:rsidRPr="000A7AB3" w:rsidRDefault="000A7AB3" w:rsidP="000A7AB3">
            <w:pPr>
              <w:spacing w:after="0" w:line="240" w:lineRule="auto"/>
              <w:jc w:val="center"/>
              <w:rPr>
                <w:rFonts w:ascii="Calibri" w:eastAsia="Times New Roman" w:hAnsi="Calibri" w:cs="Calibri"/>
                <w:color w:val="0000FF"/>
                <w:lang w:eastAsia="en-IL"/>
              </w:rPr>
            </w:pPr>
            <w:r w:rsidRPr="000A7AB3">
              <w:rPr>
                <w:rFonts w:ascii="Calibri" w:eastAsia="Times New Roman" w:hAnsi="Calibri" w:cs="Calibri"/>
                <w:color w:val="0000FF"/>
                <w:lang w:eastAsia="en-IL"/>
              </w:rPr>
              <w:t>2,308</w:t>
            </w:r>
          </w:p>
        </w:tc>
        <w:tc>
          <w:tcPr>
            <w:tcW w:w="960" w:type="dxa"/>
            <w:tcBorders>
              <w:top w:val="nil"/>
              <w:left w:val="single" w:sz="4" w:space="0" w:color="auto"/>
              <w:bottom w:val="nil"/>
              <w:right w:val="single" w:sz="4" w:space="0" w:color="auto"/>
            </w:tcBorders>
            <w:shd w:val="clear" w:color="auto" w:fill="auto"/>
            <w:noWrap/>
            <w:vAlign w:val="bottom"/>
            <w:hideMark/>
          </w:tcPr>
          <w:p w14:paraId="5EF1A461" w14:textId="77777777" w:rsidR="000A7AB3" w:rsidRPr="000A7AB3" w:rsidRDefault="000A7AB3" w:rsidP="000A7AB3">
            <w:pPr>
              <w:spacing w:after="0" w:line="240" w:lineRule="auto"/>
              <w:jc w:val="center"/>
              <w:rPr>
                <w:rFonts w:ascii="Calibri" w:eastAsia="Times New Roman" w:hAnsi="Calibri" w:cs="Calibri"/>
                <w:color w:val="0000FF"/>
                <w:lang w:eastAsia="en-IL"/>
              </w:rPr>
            </w:pPr>
            <w:r w:rsidRPr="000A7AB3">
              <w:rPr>
                <w:rFonts w:ascii="Calibri" w:eastAsia="Times New Roman" w:hAnsi="Calibri" w:cs="Calibri"/>
                <w:color w:val="0000FF"/>
                <w:lang w:eastAsia="en-IL"/>
              </w:rPr>
              <w:t>2,165</w:t>
            </w:r>
          </w:p>
        </w:tc>
        <w:tc>
          <w:tcPr>
            <w:tcW w:w="960" w:type="dxa"/>
            <w:tcBorders>
              <w:top w:val="nil"/>
              <w:left w:val="nil"/>
              <w:bottom w:val="nil"/>
              <w:right w:val="nil"/>
            </w:tcBorders>
            <w:shd w:val="clear" w:color="auto" w:fill="auto"/>
            <w:noWrap/>
            <w:vAlign w:val="bottom"/>
            <w:hideMark/>
          </w:tcPr>
          <w:p w14:paraId="773BF906" w14:textId="77777777" w:rsidR="000A7AB3" w:rsidRPr="000A7AB3" w:rsidRDefault="000A7AB3" w:rsidP="000A7AB3">
            <w:pPr>
              <w:spacing w:after="0" w:line="240" w:lineRule="auto"/>
              <w:jc w:val="center"/>
              <w:rPr>
                <w:rFonts w:ascii="Calibri" w:eastAsia="Times New Roman" w:hAnsi="Calibri" w:cs="Calibri"/>
                <w:color w:val="0000FF"/>
                <w:lang w:eastAsia="en-IL"/>
              </w:rPr>
            </w:pPr>
            <w:r w:rsidRPr="000A7AB3">
              <w:rPr>
                <w:rFonts w:ascii="Calibri" w:eastAsia="Times New Roman" w:hAnsi="Calibri" w:cs="Calibri"/>
                <w:color w:val="0000FF"/>
                <w:lang w:eastAsia="en-IL"/>
              </w:rPr>
              <w:t>2,347</w:t>
            </w:r>
          </w:p>
        </w:tc>
        <w:tc>
          <w:tcPr>
            <w:tcW w:w="960" w:type="dxa"/>
            <w:tcBorders>
              <w:top w:val="nil"/>
              <w:left w:val="single" w:sz="4" w:space="0" w:color="auto"/>
              <w:bottom w:val="nil"/>
              <w:right w:val="single" w:sz="4" w:space="0" w:color="auto"/>
            </w:tcBorders>
            <w:shd w:val="clear" w:color="auto" w:fill="auto"/>
            <w:noWrap/>
            <w:vAlign w:val="bottom"/>
            <w:hideMark/>
          </w:tcPr>
          <w:p w14:paraId="52CD4893" w14:textId="77777777" w:rsidR="000A7AB3" w:rsidRPr="000A7AB3" w:rsidRDefault="000A7AB3" w:rsidP="000A7AB3">
            <w:pPr>
              <w:spacing w:after="0" w:line="240" w:lineRule="auto"/>
              <w:jc w:val="center"/>
              <w:rPr>
                <w:rFonts w:ascii="Calibri" w:eastAsia="Times New Roman" w:hAnsi="Calibri" w:cs="Calibri"/>
                <w:color w:val="0000FF"/>
                <w:lang w:eastAsia="en-IL"/>
              </w:rPr>
            </w:pPr>
            <w:r w:rsidRPr="000A7AB3">
              <w:rPr>
                <w:rFonts w:ascii="Calibri" w:eastAsia="Times New Roman" w:hAnsi="Calibri" w:cs="Calibri"/>
                <w:color w:val="0000FF"/>
                <w:lang w:eastAsia="en-IL"/>
              </w:rPr>
              <w:t>1,843</w:t>
            </w:r>
          </w:p>
        </w:tc>
        <w:tc>
          <w:tcPr>
            <w:tcW w:w="960" w:type="dxa"/>
            <w:tcBorders>
              <w:top w:val="nil"/>
              <w:left w:val="nil"/>
              <w:bottom w:val="nil"/>
              <w:right w:val="nil"/>
            </w:tcBorders>
            <w:shd w:val="clear" w:color="auto" w:fill="auto"/>
            <w:noWrap/>
            <w:vAlign w:val="bottom"/>
            <w:hideMark/>
          </w:tcPr>
          <w:p w14:paraId="286610BC" w14:textId="77777777" w:rsidR="000A7AB3" w:rsidRPr="000A7AB3" w:rsidRDefault="000A7AB3" w:rsidP="000A7AB3">
            <w:pPr>
              <w:spacing w:after="0" w:line="240" w:lineRule="auto"/>
              <w:jc w:val="center"/>
              <w:rPr>
                <w:rFonts w:ascii="Calibri" w:eastAsia="Times New Roman" w:hAnsi="Calibri" w:cs="Calibri"/>
                <w:color w:val="0000FF"/>
                <w:lang w:eastAsia="en-IL"/>
              </w:rPr>
            </w:pPr>
            <w:r w:rsidRPr="000A7AB3">
              <w:rPr>
                <w:rFonts w:ascii="Calibri" w:eastAsia="Times New Roman" w:hAnsi="Calibri" w:cs="Calibri"/>
                <w:color w:val="0000FF"/>
                <w:lang w:eastAsia="en-IL"/>
              </w:rPr>
              <w:t>2,685</w:t>
            </w:r>
          </w:p>
        </w:tc>
        <w:tc>
          <w:tcPr>
            <w:tcW w:w="960" w:type="dxa"/>
            <w:tcBorders>
              <w:top w:val="nil"/>
              <w:left w:val="single" w:sz="4" w:space="0" w:color="auto"/>
              <w:bottom w:val="nil"/>
              <w:right w:val="single" w:sz="4" w:space="0" w:color="auto"/>
            </w:tcBorders>
            <w:shd w:val="clear" w:color="auto" w:fill="auto"/>
            <w:noWrap/>
            <w:vAlign w:val="bottom"/>
            <w:hideMark/>
          </w:tcPr>
          <w:p w14:paraId="6E9CD443" w14:textId="77777777" w:rsidR="000A7AB3" w:rsidRPr="000A7AB3" w:rsidRDefault="000A7AB3" w:rsidP="000A7AB3">
            <w:pPr>
              <w:spacing w:after="0" w:line="240" w:lineRule="auto"/>
              <w:jc w:val="center"/>
              <w:rPr>
                <w:rFonts w:ascii="Calibri" w:eastAsia="Times New Roman" w:hAnsi="Calibri" w:cs="Calibri"/>
                <w:color w:val="0000FF"/>
                <w:lang w:eastAsia="en-IL"/>
              </w:rPr>
            </w:pPr>
            <w:r w:rsidRPr="000A7AB3">
              <w:rPr>
                <w:rFonts w:ascii="Calibri" w:eastAsia="Times New Roman" w:hAnsi="Calibri" w:cs="Calibri"/>
                <w:color w:val="0000FF"/>
                <w:lang w:eastAsia="en-IL"/>
              </w:rPr>
              <w:t>11,528</w:t>
            </w:r>
          </w:p>
        </w:tc>
        <w:tc>
          <w:tcPr>
            <w:tcW w:w="960" w:type="dxa"/>
            <w:tcBorders>
              <w:top w:val="nil"/>
              <w:left w:val="nil"/>
              <w:bottom w:val="nil"/>
              <w:right w:val="nil"/>
            </w:tcBorders>
            <w:shd w:val="clear" w:color="auto" w:fill="auto"/>
            <w:noWrap/>
            <w:vAlign w:val="bottom"/>
            <w:hideMark/>
          </w:tcPr>
          <w:p w14:paraId="1187F19F" w14:textId="77777777" w:rsidR="000A7AB3" w:rsidRPr="000A7AB3" w:rsidRDefault="000A7AB3" w:rsidP="000A7AB3">
            <w:pPr>
              <w:spacing w:after="0" w:line="240" w:lineRule="auto"/>
              <w:jc w:val="center"/>
              <w:rPr>
                <w:rFonts w:ascii="Calibri" w:eastAsia="Times New Roman" w:hAnsi="Calibri" w:cs="Calibri"/>
                <w:color w:val="0000FF"/>
                <w:lang w:eastAsia="en-IL"/>
              </w:rPr>
            </w:pPr>
            <w:r w:rsidRPr="000A7AB3">
              <w:rPr>
                <w:rFonts w:ascii="Calibri" w:eastAsia="Times New Roman" w:hAnsi="Calibri" w:cs="Calibri"/>
                <w:color w:val="0000FF"/>
                <w:lang w:eastAsia="en-IL"/>
              </w:rPr>
              <w:t>7,166</w:t>
            </w:r>
          </w:p>
        </w:tc>
        <w:tc>
          <w:tcPr>
            <w:tcW w:w="1160" w:type="dxa"/>
            <w:tcBorders>
              <w:top w:val="nil"/>
              <w:left w:val="single" w:sz="4" w:space="0" w:color="auto"/>
              <w:bottom w:val="nil"/>
              <w:right w:val="single" w:sz="12" w:space="0" w:color="auto"/>
            </w:tcBorders>
            <w:shd w:val="clear" w:color="auto" w:fill="auto"/>
            <w:noWrap/>
            <w:vAlign w:val="bottom"/>
            <w:hideMark/>
          </w:tcPr>
          <w:p w14:paraId="274D2E2A" w14:textId="77777777" w:rsidR="000A7AB3" w:rsidRPr="000A7AB3" w:rsidRDefault="000A7AB3" w:rsidP="000A7AB3">
            <w:pPr>
              <w:spacing w:after="0" w:line="240" w:lineRule="auto"/>
              <w:jc w:val="center"/>
              <w:rPr>
                <w:rFonts w:ascii="Calibri" w:eastAsia="Times New Roman" w:hAnsi="Calibri" w:cs="Calibri"/>
                <w:color w:val="0000FF"/>
                <w:lang w:eastAsia="en-IL"/>
              </w:rPr>
            </w:pPr>
            <w:r w:rsidRPr="000A7AB3">
              <w:rPr>
                <w:rFonts w:ascii="Calibri" w:eastAsia="Times New Roman" w:hAnsi="Calibri" w:cs="Calibri"/>
                <w:color w:val="0000FF"/>
                <w:lang w:eastAsia="en-IL"/>
              </w:rPr>
              <w:t>11,528</w:t>
            </w:r>
          </w:p>
        </w:tc>
      </w:tr>
      <w:tr w:rsidR="002701F4" w:rsidRPr="000A7AB3" w14:paraId="18C8605D" w14:textId="77777777" w:rsidTr="000A7AB3">
        <w:trPr>
          <w:trHeight w:val="300"/>
        </w:trPr>
        <w:tc>
          <w:tcPr>
            <w:tcW w:w="960" w:type="dxa"/>
            <w:tcBorders>
              <w:top w:val="nil"/>
              <w:left w:val="single" w:sz="12" w:space="0" w:color="auto"/>
              <w:bottom w:val="nil"/>
              <w:right w:val="nil"/>
            </w:tcBorders>
            <w:shd w:val="clear" w:color="auto" w:fill="auto"/>
            <w:noWrap/>
            <w:vAlign w:val="bottom"/>
            <w:hideMark/>
          </w:tcPr>
          <w:p w14:paraId="6EF897EF" w14:textId="77777777" w:rsidR="000A7AB3" w:rsidRPr="000A7AB3" w:rsidRDefault="000A7AB3" w:rsidP="000A7AB3">
            <w:pPr>
              <w:spacing w:after="0" w:line="240" w:lineRule="auto"/>
              <w:rPr>
                <w:rFonts w:ascii="Calibri" w:eastAsia="Times New Roman" w:hAnsi="Calibri" w:cs="Calibri"/>
                <w:b/>
                <w:bCs/>
                <w:color w:val="0000FF"/>
                <w:lang w:eastAsia="en-IL"/>
              </w:rPr>
            </w:pPr>
            <w:proofErr w:type="spellStart"/>
            <w:r w:rsidRPr="000A7AB3">
              <w:rPr>
                <w:rFonts w:ascii="Calibri" w:eastAsia="Times New Roman" w:hAnsi="Calibri" w:cs="Calibri"/>
                <w:b/>
                <w:bCs/>
                <w:color w:val="0000FF"/>
                <w:lang w:eastAsia="en-IL"/>
              </w:rPr>
              <w:t>STD.Dev</w:t>
            </w:r>
            <w:proofErr w:type="spellEnd"/>
          </w:p>
        </w:tc>
        <w:tc>
          <w:tcPr>
            <w:tcW w:w="960" w:type="dxa"/>
            <w:tcBorders>
              <w:top w:val="nil"/>
              <w:left w:val="single" w:sz="12" w:space="0" w:color="auto"/>
              <w:bottom w:val="nil"/>
              <w:right w:val="nil"/>
            </w:tcBorders>
            <w:shd w:val="clear" w:color="auto" w:fill="auto"/>
            <w:noWrap/>
            <w:vAlign w:val="bottom"/>
            <w:hideMark/>
          </w:tcPr>
          <w:p w14:paraId="51E9AEF3" w14:textId="77777777" w:rsidR="000A7AB3" w:rsidRPr="000A7AB3" w:rsidRDefault="000A7AB3" w:rsidP="000A7AB3">
            <w:pPr>
              <w:spacing w:after="0" w:line="240" w:lineRule="auto"/>
              <w:jc w:val="center"/>
              <w:rPr>
                <w:rFonts w:ascii="Calibri" w:eastAsia="Times New Roman" w:hAnsi="Calibri" w:cs="Calibri"/>
                <w:color w:val="0000FF"/>
                <w:lang w:eastAsia="en-IL"/>
              </w:rPr>
            </w:pPr>
            <w:r w:rsidRPr="000A7AB3">
              <w:rPr>
                <w:rFonts w:ascii="Calibri" w:eastAsia="Times New Roman" w:hAnsi="Calibri" w:cs="Calibri"/>
                <w:color w:val="0000FF"/>
                <w:lang w:eastAsia="en-IL"/>
              </w:rPr>
              <w:t>456</w:t>
            </w:r>
          </w:p>
        </w:tc>
        <w:tc>
          <w:tcPr>
            <w:tcW w:w="960" w:type="dxa"/>
            <w:tcBorders>
              <w:top w:val="nil"/>
              <w:left w:val="single" w:sz="4" w:space="0" w:color="auto"/>
              <w:bottom w:val="nil"/>
              <w:right w:val="single" w:sz="4" w:space="0" w:color="auto"/>
            </w:tcBorders>
            <w:shd w:val="clear" w:color="auto" w:fill="auto"/>
            <w:noWrap/>
            <w:vAlign w:val="bottom"/>
            <w:hideMark/>
          </w:tcPr>
          <w:p w14:paraId="0CE97553" w14:textId="77777777" w:rsidR="000A7AB3" w:rsidRPr="000A7AB3" w:rsidRDefault="000A7AB3" w:rsidP="000A7AB3">
            <w:pPr>
              <w:spacing w:after="0" w:line="240" w:lineRule="auto"/>
              <w:jc w:val="center"/>
              <w:rPr>
                <w:rFonts w:ascii="Calibri" w:eastAsia="Times New Roman" w:hAnsi="Calibri" w:cs="Calibri"/>
                <w:color w:val="0000FF"/>
                <w:lang w:eastAsia="en-IL"/>
              </w:rPr>
            </w:pPr>
            <w:r w:rsidRPr="000A7AB3">
              <w:rPr>
                <w:rFonts w:ascii="Calibri" w:eastAsia="Times New Roman" w:hAnsi="Calibri" w:cs="Calibri"/>
                <w:color w:val="0000FF"/>
                <w:lang w:eastAsia="en-IL"/>
              </w:rPr>
              <w:t>452</w:t>
            </w:r>
          </w:p>
        </w:tc>
        <w:tc>
          <w:tcPr>
            <w:tcW w:w="960" w:type="dxa"/>
            <w:tcBorders>
              <w:top w:val="nil"/>
              <w:left w:val="nil"/>
              <w:bottom w:val="nil"/>
              <w:right w:val="nil"/>
            </w:tcBorders>
            <w:shd w:val="clear" w:color="auto" w:fill="auto"/>
            <w:noWrap/>
            <w:vAlign w:val="bottom"/>
            <w:hideMark/>
          </w:tcPr>
          <w:p w14:paraId="7346AAD8" w14:textId="77777777" w:rsidR="000A7AB3" w:rsidRPr="000A7AB3" w:rsidRDefault="000A7AB3" w:rsidP="000A7AB3">
            <w:pPr>
              <w:spacing w:after="0" w:line="240" w:lineRule="auto"/>
              <w:jc w:val="center"/>
              <w:rPr>
                <w:rFonts w:ascii="Calibri" w:eastAsia="Times New Roman" w:hAnsi="Calibri" w:cs="Calibri"/>
                <w:color w:val="0000FF"/>
                <w:lang w:eastAsia="en-IL"/>
              </w:rPr>
            </w:pPr>
            <w:r w:rsidRPr="000A7AB3">
              <w:rPr>
                <w:rFonts w:ascii="Calibri" w:eastAsia="Times New Roman" w:hAnsi="Calibri" w:cs="Calibri"/>
                <w:color w:val="0000FF"/>
                <w:lang w:eastAsia="en-IL"/>
              </w:rPr>
              <w:t>576</w:t>
            </w:r>
          </w:p>
        </w:tc>
        <w:tc>
          <w:tcPr>
            <w:tcW w:w="960" w:type="dxa"/>
            <w:tcBorders>
              <w:top w:val="nil"/>
              <w:left w:val="single" w:sz="4" w:space="0" w:color="auto"/>
              <w:bottom w:val="nil"/>
              <w:right w:val="single" w:sz="4" w:space="0" w:color="auto"/>
            </w:tcBorders>
            <w:shd w:val="clear" w:color="auto" w:fill="auto"/>
            <w:noWrap/>
            <w:vAlign w:val="bottom"/>
            <w:hideMark/>
          </w:tcPr>
          <w:p w14:paraId="79151B6C" w14:textId="77777777" w:rsidR="000A7AB3" w:rsidRPr="000A7AB3" w:rsidRDefault="000A7AB3" w:rsidP="000A7AB3">
            <w:pPr>
              <w:spacing w:after="0" w:line="240" w:lineRule="auto"/>
              <w:jc w:val="center"/>
              <w:rPr>
                <w:rFonts w:ascii="Calibri" w:eastAsia="Times New Roman" w:hAnsi="Calibri" w:cs="Calibri"/>
                <w:color w:val="0000FF"/>
                <w:lang w:eastAsia="en-IL"/>
              </w:rPr>
            </w:pPr>
            <w:r w:rsidRPr="000A7AB3">
              <w:rPr>
                <w:rFonts w:ascii="Calibri" w:eastAsia="Times New Roman" w:hAnsi="Calibri" w:cs="Calibri"/>
                <w:color w:val="0000FF"/>
                <w:lang w:eastAsia="en-IL"/>
              </w:rPr>
              <w:t>444</w:t>
            </w:r>
          </w:p>
        </w:tc>
        <w:tc>
          <w:tcPr>
            <w:tcW w:w="960" w:type="dxa"/>
            <w:tcBorders>
              <w:top w:val="nil"/>
              <w:left w:val="nil"/>
              <w:bottom w:val="nil"/>
              <w:right w:val="nil"/>
            </w:tcBorders>
            <w:shd w:val="clear" w:color="auto" w:fill="auto"/>
            <w:noWrap/>
            <w:vAlign w:val="bottom"/>
            <w:hideMark/>
          </w:tcPr>
          <w:p w14:paraId="39CA0149" w14:textId="77777777" w:rsidR="000A7AB3" w:rsidRPr="000A7AB3" w:rsidRDefault="000A7AB3" w:rsidP="000A7AB3">
            <w:pPr>
              <w:spacing w:after="0" w:line="240" w:lineRule="auto"/>
              <w:jc w:val="center"/>
              <w:rPr>
                <w:rFonts w:ascii="Calibri" w:eastAsia="Times New Roman" w:hAnsi="Calibri" w:cs="Calibri"/>
                <w:color w:val="0000FF"/>
                <w:lang w:eastAsia="en-IL"/>
              </w:rPr>
            </w:pPr>
            <w:r w:rsidRPr="000A7AB3">
              <w:rPr>
                <w:rFonts w:ascii="Calibri" w:eastAsia="Times New Roman" w:hAnsi="Calibri" w:cs="Calibri"/>
                <w:color w:val="0000FF"/>
                <w:lang w:eastAsia="en-IL"/>
              </w:rPr>
              <w:t>521</w:t>
            </w:r>
          </w:p>
        </w:tc>
        <w:tc>
          <w:tcPr>
            <w:tcW w:w="960" w:type="dxa"/>
            <w:tcBorders>
              <w:top w:val="nil"/>
              <w:left w:val="single" w:sz="4" w:space="0" w:color="auto"/>
              <w:bottom w:val="nil"/>
              <w:right w:val="single" w:sz="4" w:space="0" w:color="auto"/>
            </w:tcBorders>
            <w:shd w:val="clear" w:color="auto" w:fill="auto"/>
            <w:noWrap/>
            <w:vAlign w:val="bottom"/>
            <w:hideMark/>
          </w:tcPr>
          <w:p w14:paraId="15A01B86" w14:textId="77777777" w:rsidR="000A7AB3" w:rsidRPr="000A7AB3" w:rsidRDefault="000A7AB3" w:rsidP="000A7AB3">
            <w:pPr>
              <w:spacing w:after="0" w:line="240" w:lineRule="auto"/>
              <w:jc w:val="center"/>
              <w:rPr>
                <w:rFonts w:ascii="Calibri" w:eastAsia="Times New Roman" w:hAnsi="Calibri" w:cs="Calibri"/>
                <w:color w:val="0000FF"/>
                <w:lang w:eastAsia="en-IL"/>
              </w:rPr>
            </w:pPr>
            <w:r w:rsidRPr="000A7AB3">
              <w:rPr>
                <w:rFonts w:ascii="Calibri" w:eastAsia="Times New Roman" w:hAnsi="Calibri" w:cs="Calibri"/>
                <w:color w:val="0000FF"/>
                <w:lang w:eastAsia="en-IL"/>
              </w:rPr>
              <w:t>1,600</w:t>
            </w:r>
          </w:p>
        </w:tc>
        <w:tc>
          <w:tcPr>
            <w:tcW w:w="960" w:type="dxa"/>
            <w:tcBorders>
              <w:top w:val="nil"/>
              <w:left w:val="nil"/>
              <w:bottom w:val="nil"/>
              <w:right w:val="nil"/>
            </w:tcBorders>
            <w:shd w:val="clear" w:color="auto" w:fill="auto"/>
            <w:noWrap/>
            <w:vAlign w:val="bottom"/>
            <w:hideMark/>
          </w:tcPr>
          <w:p w14:paraId="3A4C9A87" w14:textId="77777777" w:rsidR="000A7AB3" w:rsidRPr="000A7AB3" w:rsidRDefault="000A7AB3" w:rsidP="000A7AB3">
            <w:pPr>
              <w:spacing w:after="0" w:line="240" w:lineRule="auto"/>
              <w:jc w:val="center"/>
              <w:rPr>
                <w:rFonts w:ascii="Calibri" w:eastAsia="Times New Roman" w:hAnsi="Calibri" w:cs="Calibri"/>
                <w:color w:val="0000FF"/>
                <w:lang w:eastAsia="en-IL"/>
              </w:rPr>
            </w:pPr>
            <w:r w:rsidRPr="000A7AB3">
              <w:rPr>
                <w:rFonts w:ascii="Calibri" w:eastAsia="Times New Roman" w:hAnsi="Calibri" w:cs="Calibri"/>
                <w:color w:val="0000FF"/>
                <w:lang w:eastAsia="en-IL"/>
              </w:rPr>
              <w:t>1,129</w:t>
            </w:r>
          </w:p>
        </w:tc>
        <w:tc>
          <w:tcPr>
            <w:tcW w:w="1160" w:type="dxa"/>
            <w:tcBorders>
              <w:top w:val="nil"/>
              <w:left w:val="single" w:sz="4" w:space="0" w:color="auto"/>
              <w:bottom w:val="nil"/>
              <w:right w:val="single" w:sz="12" w:space="0" w:color="auto"/>
            </w:tcBorders>
            <w:shd w:val="clear" w:color="auto" w:fill="auto"/>
            <w:noWrap/>
            <w:vAlign w:val="bottom"/>
            <w:hideMark/>
          </w:tcPr>
          <w:p w14:paraId="27D10563" w14:textId="77777777" w:rsidR="000A7AB3" w:rsidRPr="000A7AB3" w:rsidRDefault="000A7AB3" w:rsidP="000A7AB3">
            <w:pPr>
              <w:spacing w:after="0" w:line="240" w:lineRule="auto"/>
              <w:jc w:val="center"/>
              <w:rPr>
                <w:rFonts w:ascii="Calibri" w:eastAsia="Times New Roman" w:hAnsi="Calibri" w:cs="Calibri"/>
                <w:color w:val="0000FF"/>
                <w:lang w:eastAsia="en-IL"/>
              </w:rPr>
            </w:pPr>
            <w:r w:rsidRPr="000A7AB3">
              <w:rPr>
                <w:rFonts w:ascii="Calibri" w:eastAsia="Times New Roman" w:hAnsi="Calibri" w:cs="Calibri"/>
                <w:color w:val="0000FF"/>
                <w:lang w:eastAsia="en-IL"/>
              </w:rPr>
              <w:t>964</w:t>
            </w:r>
          </w:p>
        </w:tc>
      </w:tr>
      <w:tr w:rsidR="002701F4" w:rsidRPr="000A7AB3" w14:paraId="45FB2E07" w14:textId="77777777" w:rsidTr="000A7AB3">
        <w:trPr>
          <w:trHeight w:val="315"/>
        </w:trPr>
        <w:tc>
          <w:tcPr>
            <w:tcW w:w="960" w:type="dxa"/>
            <w:tcBorders>
              <w:top w:val="nil"/>
              <w:left w:val="single" w:sz="12" w:space="0" w:color="auto"/>
              <w:bottom w:val="single" w:sz="12" w:space="0" w:color="auto"/>
              <w:right w:val="nil"/>
            </w:tcBorders>
            <w:shd w:val="clear" w:color="auto" w:fill="auto"/>
            <w:noWrap/>
            <w:vAlign w:val="bottom"/>
            <w:hideMark/>
          </w:tcPr>
          <w:p w14:paraId="5A258881" w14:textId="77777777" w:rsidR="000A7AB3" w:rsidRPr="000A7AB3" w:rsidRDefault="000A7AB3" w:rsidP="000A7AB3">
            <w:pPr>
              <w:spacing w:after="0" w:line="240" w:lineRule="auto"/>
              <w:rPr>
                <w:rFonts w:ascii="Calibri" w:eastAsia="Times New Roman" w:hAnsi="Calibri" w:cs="Calibri"/>
                <w:b/>
                <w:bCs/>
                <w:color w:val="0000FF"/>
                <w:lang w:eastAsia="en-IL"/>
              </w:rPr>
            </w:pPr>
            <w:r w:rsidRPr="000A7AB3">
              <w:rPr>
                <w:rFonts w:ascii="Calibri" w:eastAsia="Times New Roman" w:hAnsi="Calibri" w:cs="Calibri"/>
                <w:b/>
                <w:bCs/>
                <w:color w:val="0000FF"/>
                <w:lang w:eastAsia="en-IL"/>
              </w:rPr>
              <w:t>Count</w:t>
            </w:r>
          </w:p>
        </w:tc>
        <w:tc>
          <w:tcPr>
            <w:tcW w:w="960" w:type="dxa"/>
            <w:tcBorders>
              <w:top w:val="nil"/>
              <w:left w:val="single" w:sz="12" w:space="0" w:color="auto"/>
              <w:bottom w:val="single" w:sz="12" w:space="0" w:color="auto"/>
              <w:right w:val="nil"/>
            </w:tcBorders>
            <w:shd w:val="clear" w:color="auto" w:fill="auto"/>
            <w:noWrap/>
            <w:vAlign w:val="bottom"/>
            <w:hideMark/>
          </w:tcPr>
          <w:p w14:paraId="6CF2A9F5" w14:textId="77777777" w:rsidR="000A7AB3" w:rsidRPr="000A7AB3" w:rsidRDefault="000A7AB3" w:rsidP="000A7AB3">
            <w:pPr>
              <w:spacing w:after="0" w:line="240" w:lineRule="auto"/>
              <w:jc w:val="center"/>
              <w:rPr>
                <w:rFonts w:ascii="Calibri" w:eastAsia="Times New Roman" w:hAnsi="Calibri" w:cs="Calibri"/>
                <w:color w:val="0000FF"/>
                <w:lang w:eastAsia="en-IL"/>
              </w:rPr>
            </w:pPr>
            <w:r w:rsidRPr="000A7AB3">
              <w:rPr>
                <w:rFonts w:ascii="Calibri" w:eastAsia="Times New Roman" w:hAnsi="Calibri" w:cs="Calibri"/>
                <w:color w:val="0000FF"/>
                <w:lang w:eastAsia="en-IL"/>
              </w:rPr>
              <w:t>30</w:t>
            </w:r>
          </w:p>
        </w:tc>
        <w:tc>
          <w:tcPr>
            <w:tcW w:w="960" w:type="dxa"/>
            <w:tcBorders>
              <w:top w:val="nil"/>
              <w:left w:val="single" w:sz="4" w:space="0" w:color="auto"/>
              <w:bottom w:val="single" w:sz="12" w:space="0" w:color="auto"/>
              <w:right w:val="single" w:sz="4" w:space="0" w:color="auto"/>
            </w:tcBorders>
            <w:shd w:val="clear" w:color="auto" w:fill="auto"/>
            <w:noWrap/>
            <w:vAlign w:val="bottom"/>
            <w:hideMark/>
          </w:tcPr>
          <w:p w14:paraId="346F07D4" w14:textId="77777777" w:rsidR="000A7AB3" w:rsidRPr="000A7AB3" w:rsidRDefault="000A7AB3" w:rsidP="000A7AB3">
            <w:pPr>
              <w:spacing w:after="0" w:line="240" w:lineRule="auto"/>
              <w:jc w:val="center"/>
              <w:rPr>
                <w:rFonts w:ascii="Calibri" w:eastAsia="Times New Roman" w:hAnsi="Calibri" w:cs="Calibri"/>
                <w:color w:val="0000FF"/>
                <w:lang w:eastAsia="en-IL"/>
              </w:rPr>
            </w:pPr>
            <w:r w:rsidRPr="000A7AB3">
              <w:rPr>
                <w:rFonts w:ascii="Calibri" w:eastAsia="Times New Roman" w:hAnsi="Calibri" w:cs="Calibri"/>
                <w:color w:val="0000FF"/>
                <w:lang w:eastAsia="en-IL"/>
              </w:rPr>
              <w:t>70</w:t>
            </w:r>
          </w:p>
        </w:tc>
        <w:tc>
          <w:tcPr>
            <w:tcW w:w="960" w:type="dxa"/>
            <w:tcBorders>
              <w:top w:val="nil"/>
              <w:left w:val="nil"/>
              <w:bottom w:val="single" w:sz="12" w:space="0" w:color="auto"/>
              <w:right w:val="nil"/>
            </w:tcBorders>
            <w:shd w:val="clear" w:color="auto" w:fill="auto"/>
            <w:noWrap/>
            <w:vAlign w:val="bottom"/>
            <w:hideMark/>
          </w:tcPr>
          <w:p w14:paraId="228C122E" w14:textId="77777777" w:rsidR="000A7AB3" w:rsidRPr="000A7AB3" w:rsidRDefault="000A7AB3" w:rsidP="000A7AB3">
            <w:pPr>
              <w:spacing w:after="0" w:line="240" w:lineRule="auto"/>
              <w:jc w:val="center"/>
              <w:rPr>
                <w:rFonts w:ascii="Calibri" w:eastAsia="Times New Roman" w:hAnsi="Calibri" w:cs="Calibri"/>
                <w:color w:val="0000FF"/>
                <w:lang w:eastAsia="en-IL"/>
              </w:rPr>
            </w:pPr>
            <w:r w:rsidRPr="000A7AB3">
              <w:rPr>
                <w:rFonts w:ascii="Calibri" w:eastAsia="Times New Roman" w:hAnsi="Calibri" w:cs="Calibri"/>
                <w:color w:val="0000FF"/>
                <w:lang w:eastAsia="en-IL"/>
              </w:rPr>
              <w:t>49</w:t>
            </w:r>
          </w:p>
        </w:tc>
        <w:tc>
          <w:tcPr>
            <w:tcW w:w="960" w:type="dxa"/>
            <w:tcBorders>
              <w:top w:val="nil"/>
              <w:left w:val="single" w:sz="4" w:space="0" w:color="auto"/>
              <w:bottom w:val="single" w:sz="12" w:space="0" w:color="auto"/>
              <w:right w:val="single" w:sz="4" w:space="0" w:color="auto"/>
            </w:tcBorders>
            <w:shd w:val="clear" w:color="auto" w:fill="auto"/>
            <w:noWrap/>
            <w:vAlign w:val="bottom"/>
            <w:hideMark/>
          </w:tcPr>
          <w:p w14:paraId="72A23118" w14:textId="77777777" w:rsidR="000A7AB3" w:rsidRPr="000A7AB3" w:rsidRDefault="000A7AB3" w:rsidP="000A7AB3">
            <w:pPr>
              <w:spacing w:after="0" w:line="240" w:lineRule="auto"/>
              <w:jc w:val="center"/>
              <w:rPr>
                <w:rFonts w:ascii="Calibri" w:eastAsia="Times New Roman" w:hAnsi="Calibri" w:cs="Calibri"/>
                <w:color w:val="0000FF"/>
                <w:lang w:eastAsia="en-IL"/>
              </w:rPr>
            </w:pPr>
            <w:r w:rsidRPr="000A7AB3">
              <w:rPr>
                <w:rFonts w:ascii="Calibri" w:eastAsia="Times New Roman" w:hAnsi="Calibri" w:cs="Calibri"/>
                <w:color w:val="0000FF"/>
                <w:lang w:eastAsia="en-IL"/>
              </w:rPr>
              <w:t>29</w:t>
            </w:r>
          </w:p>
        </w:tc>
        <w:tc>
          <w:tcPr>
            <w:tcW w:w="960" w:type="dxa"/>
            <w:tcBorders>
              <w:top w:val="nil"/>
              <w:left w:val="nil"/>
              <w:bottom w:val="single" w:sz="12" w:space="0" w:color="auto"/>
              <w:right w:val="nil"/>
            </w:tcBorders>
            <w:shd w:val="clear" w:color="auto" w:fill="auto"/>
            <w:noWrap/>
            <w:vAlign w:val="bottom"/>
            <w:hideMark/>
          </w:tcPr>
          <w:p w14:paraId="5342635F" w14:textId="77777777" w:rsidR="000A7AB3" w:rsidRPr="000A7AB3" w:rsidRDefault="000A7AB3" w:rsidP="000A7AB3">
            <w:pPr>
              <w:spacing w:after="0" w:line="240" w:lineRule="auto"/>
              <w:jc w:val="center"/>
              <w:rPr>
                <w:rFonts w:ascii="Calibri" w:eastAsia="Times New Roman" w:hAnsi="Calibri" w:cs="Calibri"/>
                <w:color w:val="0000FF"/>
                <w:lang w:eastAsia="en-IL"/>
              </w:rPr>
            </w:pPr>
            <w:r w:rsidRPr="000A7AB3">
              <w:rPr>
                <w:rFonts w:ascii="Calibri" w:eastAsia="Times New Roman" w:hAnsi="Calibri" w:cs="Calibri"/>
                <w:color w:val="0000FF"/>
                <w:lang w:eastAsia="en-IL"/>
              </w:rPr>
              <w:t>50</w:t>
            </w:r>
          </w:p>
        </w:tc>
        <w:tc>
          <w:tcPr>
            <w:tcW w:w="960" w:type="dxa"/>
            <w:tcBorders>
              <w:top w:val="nil"/>
              <w:left w:val="single" w:sz="4" w:space="0" w:color="auto"/>
              <w:bottom w:val="single" w:sz="12" w:space="0" w:color="auto"/>
              <w:right w:val="single" w:sz="4" w:space="0" w:color="auto"/>
            </w:tcBorders>
            <w:shd w:val="clear" w:color="auto" w:fill="auto"/>
            <w:noWrap/>
            <w:vAlign w:val="bottom"/>
            <w:hideMark/>
          </w:tcPr>
          <w:p w14:paraId="34EB24E1" w14:textId="77777777" w:rsidR="000A7AB3" w:rsidRPr="000A7AB3" w:rsidRDefault="000A7AB3" w:rsidP="000A7AB3">
            <w:pPr>
              <w:spacing w:after="0" w:line="240" w:lineRule="auto"/>
              <w:jc w:val="center"/>
              <w:rPr>
                <w:rFonts w:ascii="Calibri" w:eastAsia="Times New Roman" w:hAnsi="Calibri" w:cs="Calibri"/>
                <w:color w:val="0000FF"/>
                <w:lang w:eastAsia="en-IL"/>
              </w:rPr>
            </w:pPr>
            <w:r w:rsidRPr="000A7AB3">
              <w:rPr>
                <w:rFonts w:ascii="Calibri" w:eastAsia="Times New Roman" w:hAnsi="Calibri" w:cs="Calibri"/>
                <w:color w:val="0000FF"/>
                <w:lang w:eastAsia="en-IL"/>
              </w:rPr>
              <w:t>82</w:t>
            </w:r>
          </w:p>
        </w:tc>
        <w:tc>
          <w:tcPr>
            <w:tcW w:w="960" w:type="dxa"/>
            <w:tcBorders>
              <w:top w:val="nil"/>
              <w:left w:val="nil"/>
              <w:bottom w:val="single" w:sz="12" w:space="0" w:color="auto"/>
              <w:right w:val="nil"/>
            </w:tcBorders>
            <w:shd w:val="clear" w:color="auto" w:fill="auto"/>
            <w:noWrap/>
            <w:vAlign w:val="bottom"/>
            <w:hideMark/>
          </w:tcPr>
          <w:p w14:paraId="3BF29EC2" w14:textId="77777777" w:rsidR="000A7AB3" w:rsidRPr="000A7AB3" w:rsidRDefault="000A7AB3" w:rsidP="000A7AB3">
            <w:pPr>
              <w:spacing w:after="0" w:line="240" w:lineRule="auto"/>
              <w:jc w:val="center"/>
              <w:rPr>
                <w:rFonts w:ascii="Calibri" w:eastAsia="Times New Roman" w:hAnsi="Calibri" w:cs="Calibri"/>
                <w:color w:val="0000FF"/>
                <w:lang w:eastAsia="en-IL"/>
              </w:rPr>
            </w:pPr>
            <w:r w:rsidRPr="000A7AB3">
              <w:rPr>
                <w:rFonts w:ascii="Calibri" w:eastAsia="Times New Roman" w:hAnsi="Calibri" w:cs="Calibri"/>
                <w:color w:val="0000FF"/>
                <w:lang w:eastAsia="en-IL"/>
              </w:rPr>
              <w:t>57</w:t>
            </w:r>
          </w:p>
        </w:tc>
        <w:tc>
          <w:tcPr>
            <w:tcW w:w="1160" w:type="dxa"/>
            <w:tcBorders>
              <w:top w:val="nil"/>
              <w:left w:val="single" w:sz="4" w:space="0" w:color="auto"/>
              <w:bottom w:val="single" w:sz="12" w:space="0" w:color="auto"/>
              <w:right w:val="single" w:sz="12" w:space="0" w:color="auto"/>
            </w:tcBorders>
            <w:shd w:val="clear" w:color="auto" w:fill="auto"/>
            <w:noWrap/>
            <w:vAlign w:val="bottom"/>
            <w:hideMark/>
          </w:tcPr>
          <w:p w14:paraId="65C15C34" w14:textId="77777777" w:rsidR="000A7AB3" w:rsidRPr="000A7AB3" w:rsidRDefault="000A7AB3" w:rsidP="000A7AB3">
            <w:pPr>
              <w:spacing w:after="0" w:line="240" w:lineRule="auto"/>
              <w:jc w:val="center"/>
              <w:rPr>
                <w:rFonts w:ascii="Calibri" w:eastAsia="Times New Roman" w:hAnsi="Calibri" w:cs="Calibri"/>
                <w:color w:val="0000FF"/>
                <w:lang w:eastAsia="en-IL"/>
              </w:rPr>
            </w:pPr>
            <w:r w:rsidRPr="000A7AB3">
              <w:rPr>
                <w:rFonts w:ascii="Calibri" w:eastAsia="Times New Roman" w:hAnsi="Calibri" w:cs="Calibri"/>
                <w:color w:val="0000FF"/>
                <w:lang w:eastAsia="en-IL"/>
              </w:rPr>
              <w:t>367</w:t>
            </w:r>
          </w:p>
        </w:tc>
      </w:tr>
    </w:tbl>
    <w:p w14:paraId="77E4B0DB" w14:textId="1B61B720" w:rsidR="000A7AB3" w:rsidRPr="002701F4" w:rsidRDefault="000A7AB3" w:rsidP="00A23938">
      <w:pPr>
        <w:spacing w:after="0" w:line="240" w:lineRule="auto"/>
        <w:rPr>
          <w:rFonts w:ascii="Calibri" w:eastAsia="Times New Roman" w:hAnsi="Calibri" w:cs="Calibri"/>
          <w:b/>
          <w:bCs/>
          <w:color w:val="0000FF"/>
          <w:lang w:eastAsia="en-IL"/>
        </w:rPr>
      </w:pPr>
    </w:p>
    <w:bookmarkEnd w:id="9"/>
    <w:p w14:paraId="0EBAF9F4" w14:textId="77777777" w:rsidR="000A7AB3" w:rsidRPr="002701F4" w:rsidRDefault="000A7AB3" w:rsidP="00A23938">
      <w:pPr>
        <w:spacing w:after="0" w:line="240" w:lineRule="auto"/>
        <w:rPr>
          <w:rFonts w:ascii="Calibri" w:eastAsia="Times New Roman" w:hAnsi="Calibri" w:cs="Calibri"/>
          <w:b/>
          <w:bCs/>
          <w:color w:val="0000FF"/>
          <w:lang w:val="en-US" w:eastAsia="en-IL"/>
        </w:rPr>
      </w:pPr>
    </w:p>
    <w:p w14:paraId="342DF6E6" w14:textId="77777777" w:rsidR="00D748CA" w:rsidRPr="002701F4" w:rsidRDefault="00D748CA" w:rsidP="00A23938">
      <w:pPr>
        <w:spacing w:after="0" w:line="240" w:lineRule="auto"/>
        <w:rPr>
          <w:rFonts w:ascii="Calibri" w:eastAsia="Times New Roman" w:hAnsi="Calibri" w:cs="Calibri"/>
          <w:b/>
          <w:bCs/>
          <w:color w:val="0000FF"/>
          <w:lang w:eastAsia="en-IL"/>
        </w:rPr>
      </w:pPr>
    </w:p>
    <w:p w14:paraId="6FB941DF" w14:textId="77777777" w:rsidR="00D748CA" w:rsidRPr="002701F4" w:rsidRDefault="00D748CA" w:rsidP="00A23938">
      <w:pPr>
        <w:spacing w:after="0" w:line="240" w:lineRule="auto"/>
        <w:rPr>
          <w:rFonts w:ascii="Calibri" w:eastAsia="Times New Roman" w:hAnsi="Calibri" w:cs="Calibri"/>
          <w:b/>
          <w:bCs/>
          <w:color w:val="0000FF"/>
          <w:lang w:eastAsia="en-IL"/>
        </w:rPr>
      </w:pPr>
    </w:p>
    <w:p w14:paraId="7F7165C0" w14:textId="5116D1BB" w:rsidR="00A23938" w:rsidRDefault="00A23938" w:rsidP="00A23938">
      <w:pPr>
        <w:spacing w:after="0" w:line="240" w:lineRule="auto"/>
        <w:rPr>
          <w:rFonts w:ascii="Calibri" w:eastAsia="Times New Roman" w:hAnsi="Calibri" w:cs="Calibri"/>
          <w:b/>
          <w:bCs/>
          <w:color w:val="0000FF"/>
          <w:lang w:eastAsia="en-IL"/>
        </w:rPr>
      </w:pPr>
      <w:r w:rsidRPr="00A23938">
        <w:rPr>
          <w:rFonts w:ascii="Calibri" w:eastAsia="Times New Roman" w:hAnsi="Calibri" w:cs="Calibri"/>
          <w:b/>
          <w:bCs/>
          <w:color w:val="0000FF"/>
          <w:lang w:eastAsia="en-IL"/>
        </w:rPr>
        <w:t>Table 3: CAAR for selected time periods after the IPO</w:t>
      </w:r>
    </w:p>
    <w:p w14:paraId="610A9FDD" w14:textId="6FA3DA4B" w:rsidR="005C2549" w:rsidRDefault="005C2549" w:rsidP="00A23938">
      <w:pPr>
        <w:spacing w:after="0" w:line="240" w:lineRule="auto"/>
        <w:rPr>
          <w:rFonts w:ascii="Calibri" w:eastAsia="Times New Roman" w:hAnsi="Calibri" w:cs="Calibri"/>
          <w:b/>
          <w:bCs/>
          <w:color w:val="0000FF"/>
          <w:lang w:eastAsia="en-IL"/>
        </w:rPr>
      </w:pPr>
    </w:p>
    <w:tbl>
      <w:tblPr>
        <w:tblW w:w="9979" w:type="dxa"/>
        <w:tblLook w:val="04A0" w:firstRow="1" w:lastRow="0" w:firstColumn="1" w:lastColumn="0" w:noHBand="0" w:noVBand="1"/>
      </w:tblPr>
      <w:tblGrid>
        <w:gridCol w:w="760"/>
        <w:gridCol w:w="816"/>
        <w:gridCol w:w="647"/>
        <w:gridCol w:w="816"/>
        <w:gridCol w:w="670"/>
        <w:gridCol w:w="950"/>
        <w:gridCol w:w="697"/>
        <w:gridCol w:w="266"/>
        <w:gridCol w:w="764"/>
        <w:gridCol w:w="645"/>
        <w:gridCol w:w="798"/>
        <w:gridCol w:w="676"/>
        <w:gridCol w:w="807"/>
        <w:gridCol w:w="667"/>
      </w:tblGrid>
      <w:tr w:rsidR="00D043C6" w:rsidRPr="005C2549" w14:paraId="008E2612" w14:textId="77777777" w:rsidTr="00D043C6">
        <w:trPr>
          <w:trHeight w:val="345"/>
        </w:trPr>
        <w:tc>
          <w:tcPr>
            <w:tcW w:w="760" w:type="dxa"/>
            <w:tcBorders>
              <w:top w:val="nil"/>
              <w:left w:val="nil"/>
              <w:bottom w:val="nil"/>
              <w:right w:val="nil"/>
            </w:tcBorders>
            <w:shd w:val="clear" w:color="auto" w:fill="auto"/>
            <w:noWrap/>
            <w:vAlign w:val="bottom"/>
            <w:hideMark/>
          </w:tcPr>
          <w:p w14:paraId="29DA9682" w14:textId="77777777" w:rsidR="005C2549" w:rsidRPr="005C2549" w:rsidRDefault="005C2549" w:rsidP="005C2549">
            <w:pPr>
              <w:spacing w:after="0" w:line="240" w:lineRule="auto"/>
              <w:rPr>
                <w:rFonts w:ascii="Times New Roman" w:eastAsia="Times New Roman" w:hAnsi="Times New Roman" w:cs="Times New Roman"/>
                <w:color w:val="0000FF"/>
                <w:sz w:val="24"/>
                <w:szCs w:val="24"/>
                <w:lang w:eastAsia="en-IL"/>
              </w:rPr>
            </w:pPr>
          </w:p>
        </w:tc>
        <w:tc>
          <w:tcPr>
            <w:tcW w:w="4596" w:type="dxa"/>
            <w:gridSpan w:val="6"/>
            <w:tcBorders>
              <w:top w:val="nil"/>
              <w:left w:val="nil"/>
              <w:bottom w:val="single" w:sz="12" w:space="0" w:color="auto"/>
              <w:right w:val="nil"/>
            </w:tcBorders>
            <w:shd w:val="clear" w:color="auto" w:fill="auto"/>
            <w:noWrap/>
            <w:vAlign w:val="bottom"/>
            <w:hideMark/>
          </w:tcPr>
          <w:p w14:paraId="41CCB0C0" w14:textId="77777777" w:rsidR="005C2549" w:rsidRPr="005C2549" w:rsidRDefault="005C2549" w:rsidP="005C2549">
            <w:pPr>
              <w:spacing w:after="0" w:line="240" w:lineRule="auto"/>
              <w:jc w:val="center"/>
              <w:rPr>
                <w:rFonts w:ascii="Calibri" w:eastAsia="Times New Roman" w:hAnsi="Calibri" w:cs="Calibri"/>
                <w:b/>
                <w:bCs/>
                <w:color w:val="0000FF"/>
                <w:sz w:val="24"/>
                <w:szCs w:val="24"/>
                <w:lang w:eastAsia="en-IL"/>
              </w:rPr>
            </w:pPr>
            <w:r w:rsidRPr="005C2549">
              <w:rPr>
                <w:rFonts w:ascii="Calibri" w:eastAsia="Times New Roman" w:hAnsi="Calibri" w:cs="Calibri"/>
                <w:b/>
                <w:bCs/>
                <w:color w:val="0000FF"/>
                <w:sz w:val="24"/>
                <w:szCs w:val="24"/>
                <w:lang w:eastAsia="en-IL"/>
              </w:rPr>
              <w:t>Sector Index</w:t>
            </w:r>
          </w:p>
        </w:tc>
        <w:tc>
          <w:tcPr>
            <w:tcW w:w="266" w:type="dxa"/>
            <w:tcBorders>
              <w:top w:val="nil"/>
              <w:left w:val="nil"/>
              <w:bottom w:val="nil"/>
              <w:right w:val="nil"/>
            </w:tcBorders>
            <w:shd w:val="clear" w:color="auto" w:fill="auto"/>
            <w:noWrap/>
            <w:vAlign w:val="bottom"/>
            <w:hideMark/>
          </w:tcPr>
          <w:p w14:paraId="64A58014" w14:textId="77777777" w:rsidR="005C2549" w:rsidRPr="005C2549" w:rsidRDefault="005C2549" w:rsidP="005C2549">
            <w:pPr>
              <w:spacing w:after="0" w:line="240" w:lineRule="auto"/>
              <w:jc w:val="center"/>
              <w:rPr>
                <w:rFonts w:ascii="Calibri" w:eastAsia="Times New Roman" w:hAnsi="Calibri" w:cs="Calibri"/>
                <w:b/>
                <w:bCs/>
                <w:color w:val="0000FF"/>
                <w:sz w:val="24"/>
                <w:szCs w:val="24"/>
                <w:lang w:eastAsia="en-IL"/>
              </w:rPr>
            </w:pPr>
          </w:p>
        </w:tc>
        <w:tc>
          <w:tcPr>
            <w:tcW w:w="4357" w:type="dxa"/>
            <w:gridSpan w:val="6"/>
            <w:tcBorders>
              <w:top w:val="nil"/>
              <w:left w:val="nil"/>
              <w:bottom w:val="single" w:sz="12" w:space="0" w:color="auto"/>
              <w:right w:val="nil"/>
            </w:tcBorders>
            <w:shd w:val="clear" w:color="auto" w:fill="auto"/>
            <w:noWrap/>
            <w:vAlign w:val="bottom"/>
            <w:hideMark/>
          </w:tcPr>
          <w:p w14:paraId="3C2F604C" w14:textId="77777777" w:rsidR="005C2549" w:rsidRPr="005C2549" w:rsidRDefault="005C2549" w:rsidP="005C2549">
            <w:pPr>
              <w:spacing w:after="0" w:line="240" w:lineRule="auto"/>
              <w:jc w:val="center"/>
              <w:rPr>
                <w:rFonts w:ascii="Calibri" w:eastAsia="Times New Roman" w:hAnsi="Calibri" w:cs="Calibri"/>
                <w:b/>
                <w:bCs/>
                <w:color w:val="0000FF"/>
                <w:sz w:val="24"/>
                <w:szCs w:val="24"/>
                <w:lang w:eastAsia="en-IL"/>
              </w:rPr>
            </w:pPr>
            <w:r w:rsidRPr="005C2549">
              <w:rPr>
                <w:rFonts w:ascii="Calibri" w:eastAsia="Times New Roman" w:hAnsi="Calibri" w:cs="Calibri"/>
                <w:b/>
                <w:bCs/>
                <w:color w:val="0000FF"/>
                <w:sz w:val="24"/>
                <w:szCs w:val="24"/>
                <w:lang w:eastAsia="en-IL"/>
              </w:rPr>
              <w:t>Market Index</w:t>
            </w:r>
          </w:p>
        </w:tc>
      </w:tr>
      <w:tr w:rsidR="00D043C6" w:rsidRPr="005C2549" w14:paraId="7BEC5089" w14:textId="77777777" w:rsidTr="00D043C6">
        <w:trPr>
          <w:trHeight w:val="315"/>
        </w:trPr>
        <w:tc>
          <w:tcPr>
            <w:tcW w:w="7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8572793" w14:textId="77777777" w:rsidR="005C2549" w:rsidRPr="005C2549" w:rsidRDefault="005C2549" w:rsidP="005C2549">
            <w:pPr>
              <w:spacing w:after="0" w:line="240" w:lineRule="auto"/>
              <w:jc w:val="center"/>
              <w:rPr>
                <w:rFonts w:ascii="Times New Roman" w:eastAsia="Times New Roman" w:hAnsi="Times New Roman" w:cs="Times New Roman"/>
                <w:color w:val="0000FF"/>
                <w:sz w:val="20"/>
                <w:szCs w:val="20"/>
                <w:lang w:eastAsia="en-IL"/>
              </w:rPr>
            </w:pPr>
            <w:r w:rsidRPr="005C2549">
              <w:rPr>
                <w:rFonts w:ascii="Times New Roman" w:eastAsia="Times New Roman" w:hAnsi="Times New Roman" w:cs="Times New Roman"/>
                <w:color w:val="0000FF"/>
                <w:sz w:val="20"/>
                <w:szCs w:val="20"/>
                <w:lang w:eastAsia="en-IL"/>
              </w:rPr>
              <w:t>Days</w:t>
            </w:r>
          </w:p>
        </w:tc>
        <w:tc>
          <w:tcPr>
            <w:tcW w:w="1463" w:type="dxa"/>
            <w:gridSpan w:val="2"/>
            <w:tcBorders>
              <w:top w:val="single" w:sz="12" w:space="0" w:color="auto"/>
              <w:left w:val="single" w:sz="12" w:space="0" w:color="auto"/>
              <w:bottom w:val="nil"/>
              <w:right w:val="single" w:sz="12" w:space="0" w:color="000000"/>
            </w:tcBorders>
            <w:shd w:val="clear" w:color="auto" w:fill="auto"/>
            <w:vAlign w:val="center"/>
            <w:hideMark/>
          </w:tcPr>
          <w:p w14:paraId="72962497" w14:textId="77777777" w:rsidR="005C2549" w:rsidRPr="005C2549" w:rsidRDefault="005C2549" w:rsidP="005C2549">
            <w:pPr>
              <w:spacing w:after="0" w:line="240" w:lineRule="auto"/>
              <w:jc w:val="center"/>
              <w:rPr>
                <w:rFonts w:ascii="Calibri" w:eastAsia="Times New Roman" w:hAnsi="Calibri" w:cs="Calibri"/>
                <w:b/>
                <w:bCs/>
                <w:color w:val="0000FF"/>
                <w:lang w:eastAsia="en-IL"/>
              </w:rPr>
            </w:pPr>
            <w:r w:rsidRPr="005C2549">
              <w:rPr>
                <w:rFonts w:ascii="Calibri" w:eastAsia="Times New Roman" w:hAnsi="Calibri" w:cs="Calibri"/>
                <w:b/>
                <w:bCs/>
                <w:color w:val="0000FF"/>
                <w:lang w:eastAsia="en-IL"/>
              </w:rPr>
              <w:t>All sample</w:t>
            </w:r>
          </w:p>
        </w:tc>
        <w:tc>
          <w:tcPr>
            <w:tcW w:w="1486" w:type="dxa"/>
            <w:gridSpan w:val="2"/>
            <w:tcBorders>
              <w:top w:val="single" w:sz="12" w:space="0" w:color="auto"/>
              <w:left w:val="nil"/>
              <w:bottom w:val="nil"/>
              <w:right w:val="single" w:sz="12" w:space="0" w:color="000000"/>
            </w:tcBorders>
            <w:shd w:val="clear" w:color="auto" w:fill="auto"/>
            <w:vAlign w:val="center"/>
            <w:hideMark/>
          </w:tcPr>
          <w:p w14:paraId="0506B9A2" w14:textId="11094C0B" w:rsidR="005C2549" w:rsidRPr="005C2549" w:rsidRDefault="00BA7F5A" w:rsidP="005C2549">
            <w:pPr>
              <w:spacing w:after="0" w:line="240" w:lineRule="auto"/>
              <w:jc w:val="center"/>
              <w:rPr>
                <w:rFonts w:ascii="Calibri" w:eastAsia="Times New Roman" w:hAnsi="Calibri" w:cs="Calibri"/>
                <w:b/>
                <w:bCs/>
                <w:color w:val="0000FF"/>
                <w:lang w:eastAsia="en-IL"/>
              </w:rPr>
            </w:pPr>
            <w:r>
              <w:rPr>
                <w:rFonts w:ascii="Calibri" w:eastAsia="Times New Roman" w:hAnsi="Calibri" w:cs="Calibri"/>
                <w:b/>
                <w:bCs/>
                <w:color w:val="0000FF"/>
                <w:lang w:val="en-US" w:eastAsia="en-IL"/>
              </w:rPr>
              <w:t>Large</w:t>
            </w:r>
            <w:r w:rsidR="005C2549" w:rsidRPr="005C2549">
              <w:rPr>
                <w:rFonts w:ascii="Calibri" w:eastAsia="Times New Roman" w:hAnsi="Calibri" w:cs="Calibri"/>
                <w:b/>
                <w:bCs/>
                <w:color w:val="0000FF"/>
                <w:lang w:eastAsia="en-IL"/>
              </w:rPr>
              <w:t xml:space="preserve"> Firms</w:t>
            </w:r>
          </w:p>
        </w:tc>
        <w:tc>
          <w:tcPr>
            <w:tcW w:w="1647" w:type="dxa"/>
            <w:gridSpan w:val="2"/>
            <w:tcBorders>
              <w:top w:val="single" w:sz="12" w:space="0" w:color="auto"/>
              <w:left w:val="nil"/>
              <w:bottom w:val="nil"/>
              <w:right w:val="single" w:sz="12" w:space="0" w:color="000000"/>
            </w:tcBorders>
            <w:shd w:val="clear" w:color="auto" w:fill="auto"/>
            <w:vAlign w:val="center"/>
            <w:hideMark/>
          </w:tcPr>
          <w:p w14:paraId="6E0C2A3B" w14:textId="77777777" w:rsidR="005C2549" w:rsidRPr="005C2549" w:rsidRDefault="005C2549" w:rsidP="005C2549">
            <w:pPr>
              <w:spacing w:after="0" w:line="240" w:lineRule="auto"/>
              <w:jc w:val="center"/>
              <w:rPr>
                <w:rFonts w:ascii="Calibri" w:eastAsia="Times New Roman" w:hAnsi="Calibri" w:cs="Calibri"/>
                <w:b/>
                <w:bCs/>
                <w:color w:val="0000FF"/>
                <w:lang w:eastAsia="en-IL"/>
              </w:rPr>
            </w:pPr>
            <w:r w:rsidRPr="005C2549">
              <w:rPr>
                <w:rFonts w:ascii="Calibri" w:eastAsia="Times New Roman" w:hAnsi="Calibri" w:cs="Calibri"/>
                <w:b/>
                <w:bCs/>
                <w:color w:val="0000FF"/>
                <w:lang w:eastAsia="en-IL"/>
              </w:rPr>
              <w:t>Small Firms</w:t>
            </w:r>
          </w:p>
        </w:tc>
        <w:tc>
          <w:tcPr>
            <w:tcW w:w="266" w:type="dxa"/>
            <w:vMerge w:val="restart"/>
            <w:tcBorders>
              <w:top w:val="single" w:sz="12" w:space="0" w:color="auto"/>
              <w:left w:val="single" w:sz="12" w:space="0" w:color="auto"/>
              <w:bottom w:val="single" w:sz="8" w:space="0" w:color="000000"/>
              <w:right w:val="nil"/>
            </w:tcBorders>
            <w:shd w:val="clear" w:color="auto" w:fill="auto"/>
            <w:vAlign w:val="center"/>
            <w:hideMark/>
          </w:tcPr>
          <w:p w14:paraId="63BD03FB" w14:textId="77777777" w:rsidR="005C2549" w:rsidRPr="005C2549" w:rsidRDefault="005C2549" w:rsidP="005C2549">
            <w:pPr>
              <w:spacing w:after="0" w:line="240" w:lineRule="auto"/>
              <w:jc w:val="center"/>
              <w:rPr>
                <w:rFonts w:ascii="Times New Roman" w:eastAsia="Times New Roman" w:hAnsi="Times New Roman" w:cs="Times New Roman"/>
                <w:color w:val="0000FF"/>
                <w:sz w:val="20"/>
                <w:szCs w:val="20"/>
                <w:lang w:eastAsia="en-IL"/>
              </w:rPr>
            </w:pPr>
            <w:r w:rsidRPr="005C2549">
              <w:rPr>
                <w:rFonts w:ascii="Times New Roman" w:eastAsia="Times New Roman" w:hAnsi="Times New Roman" w:cs="Times New Roman"/>
                <w:color w:val="0000FF"/>
                <w:sz w:val="20"/>
                <w:szCs w:val="20"/>
                <w:lang w:eastAsia="en-IL"/>
              </w:rPr>
              <w:t> </w:t>
            </w:r>
          </w:p>
        </w:tc>
        <w:tc>
          <w:tcPr>
            <w:tcW w:w="1409" w:type="dxa"/>
            <w:gridSpan w:val="2"/>
            <w:tcBorders>
              <w:top w:val="single" w:sz="12" w:space="0" w:color="auto"/>
              <w:left w:val="single" w:sz="12" w:space="0" w:color="auto"/>
              <w:bottom w:val="nil"/>
              <w:right w:val="single" w:sz="12" w:space="0" w:color="000000"/>
            </w:tcBorders>
            <w:shd w:val="clear" w:color="auto" w:fill="auto"/>
            <w:vAlign w:val="center"/>
            <w:hideMark/>
          </w:tcPr>
          <w:p w14:paraId="654E9969" w14:textId="77777777" w:rsidR="005C2549" w:rsidRPr="005C2549" w:rsidRDefault="005C2549" w:rsidP="005C2549">
            <w:pPr>
              <w:spacing w:after="0" w:line="240" w:lineRule="auto"/>
              <w:jc w:val="center"/>
              <w:rPr>
                <w:rFonts w:ascii="Calibri" w:eastAsia="Times New Roman" w:hAnsi="Calibri" w:cs="Calibri"/>
                <w:b/>
                <w:bCs/>
                <w:color w:val="0000FF"/>
                <w:lang w:eastAsia="en-IL"/>
              </w:rPr>
            </w:pPr>
            <w:r w:rsidRPr="005C2549">
              <w:rPr>
                <w:rFonts w:ascii="Calibri" w:eastAsia="Times New Roman" w:hAnsi="Calibri" w:cs="Calibri"/>
                <w:b/>
                <w:bCs/>
                <w:color w:val="0000FF"/>
                <w:lang w:eastAsia="en-IL"/>
              </w:rPr>
              <w:t>All sample</w:t>
            </w:r>
          </w:p>
        </w:tc>
        <w:tc>
          <w:tcPr>
            <w:tcW w:w="1474" w:type="dxa"/>
            <w:gridSpan w:val="2"/>
            <w:tcBorders>
              <w:top w:val="single" w:sz="12" w:space="0" w:color="auto"/>
              <w:left w:val="nil"/>
              <w:bottom w:val="nil"/>
              <w:right w:val="single" w:sz="12" w:space="0" w:color="000000"/>
            </w:tcBorders>
            <w:shd w:val="clear" w:color="auto" w:fill="auto"/>
            <w:vAlign w:val="center"/>
            <w:hideMark/>
          </w:tcPr>
          <w:p w14:paraId="13603A32" w14:textId="027CFBBC" w:rsidR="005C2549" w:rsidRPr="005C2549" w:rsidRDefault="00BA7F5A" w:rsidP="005C2549">
            <w:pPr>
              <w:spacing w:after="0" w:line="240" w:lineRule="auto"/>
              <w:jc w:val="center"/>
              <w:rPr>
                <w:rFonts w:ascii="Calibri" w:eastAsia="Times New Roman" w:hAnsi="Calibri" w:cs="Calibri"/>
                <w:b/>
                <w:bCs/>
                <w:color w:val="0000FF"/>
                <w:lang w:eastAsia="en-IL"/>
              </w:rPr>
            </w:pPr>
            <w:r>
              <w:rPr>
                <w:rFonts w:ascii="Calibri" w:eastAsia="Times New Roman" w:hAnsi="Calibri" w:cs="Calibri"/>
                <w:b/>
                <w:bCs/>
                <w:color w:val="0000FF"/>
                <w:lang w:val="en-US" w:eastAsia="en-IL"/>
              </w:rPr>
              <w:t>Large</w:t>
            </w:r>
            <w:r w:rsidR="005C2549" w:rsidRPr="005C2549">
              <w:rPr>
                <w:rFonts w:ascii="Calibri" w:eastAsia="Times New Roman" w:hAnsi="Calibri" w:cs="Calibri"/>
                <w:b/>
                <w:bCs/>
                <w:color w:val="0000FF"/>
                <w:lang w:eastAsia="en-IL"/>
              </w:rPr>
              <w:t xml:space="preserve"> Firms</w:t>
            </w:r>
          </w:p>
        </w:tc>
        <w:tc>
          <w:tcPr>
            <w:tcW w:w="1474" w:type="dxa"/>
            <w:gridSpan w:val="2"/>
            <w:tcBorders>
              <w:top w:val="single" w:sz="12" w:space="0" w:color="auto"/>
              <w:left w:val="nil"/>
              <w:bottom w:val="nil"/>
              <w:right w:val="single" w:sz="12" w:space="0" w:color="000000"/>
            </w:tcBorders>
            <w:shd w:val="clear" w:color="auto" w:fill="auto"/>
            <w:vAlign w:val="center"/>
            <w:hideMark/>
          </w:tcPr>
          <w:p w14:paraId="6DA55CF7" w14:textId="77777777" w:rsidR="005C2549" w:rsidRPr="005C2549" w:rsidRDefault="005C2549" w:rsidP="005C2549">
            <w:pPr>
              <w:spacing w:after="0" w:line="240" w:lineRule="auto"/>
              <w:jc w:val="center"/>
              <w:rPr>
                <w:rFonts w:ascii="Calibri" w:eastAsia="Times New Roman" w:hAnsi="Calibri" w:cs="Calibri"/>
                <w:b/>
                <w:bCs/>
                <w:color w:val="0000FF"/>
                <w:lang w:eastAsia="en-IL"/>
              </w:rPr>
            </w:pPr>
            <w:r w:rsidRPr="005C2549">
              <w:rPr>
                <w:rFonts w:ascii="Calibri" w:eastAsia="Times New Roman" w:hAnsi="Calibri" w:cs="Calibri"/>
                <w:b/>
                <w:bCs/>
                <w:color w:val="0000FF"/>
                <w:lang w:eastAsia="en-IL"/>
              </w:rPr>
              <w:t>Small Firms</w:t>
            </w:r>
          </w:p>
        </w:tc>
      </w:tr>
      <w:tr w:rsidR="00D043C6" w:rsidRPr="00D043C6" w14:paraId="03EED947" w14:textId="77777777" w:rsidTr="00D043C6">
        <w:trPr>
          <w:trHeight w:val="525"/>
        </w:trPr>
        <w:tc>
          <w:tcPr>
            <w:tcW w:w="760" w:type="dxa"/>
            <w:vMerge/>
            <w:tcBorders>
              <w:top w:val="single" w:sz="8" w:space="0" w:color="auto"/>
              <w:left w:val="single" w:sz="8" w:space="0" w:color="auto"/>
              <w:bottom w:val="single" w:sz="8" w:space="0" w:color="000000"/>
              <w:right w:val="single" w:sz="8" w:space="0" w:color="auto"/>
            </w:tcBorders>
            <w:vAlign w:val="center"/>
            <w:hideMark/>
          </w:tcPr>
          <w:p w14:paraId="33DA8BAF" w14:textId="77777777" w:rsidR="005C2549" w:rsidRPr="005C2549" w:rsidRDefault="005C2549" w:rsidP="005C2549">
            <w:pPr>
              <w:spacing w:after="0" w:line="240" w:lineRule="auto"/>
              <w:rPr>
                <w:rFonts w:ascii="Times New Roman" w:eastAsia="Times New Roman" w:hAnsi="Times New Roman" w:cs="Times New Roman"/>
                <w:color w:val="0000FF"/>
                <w:sz w:val="20"/>
                <w:szCs w:val="20"/>
                <w:lang w:eastAsia="en-IL"/>
              </w:rPr>
            </w:pPr>
          </w:p>
        </w:tc>
        <w:tc>
          <w:tcPr>
            <w:tcW w:w="816" w:type="dxa"/>
            <w:tcBorders>
              <w:top w:val="nil"/>
              <w:left w:val="single" w:sz="12" w:space="0" w:color="auto"/>
              <w:bottom w:val="single" w:sz="8" w:space="0" w:color="auto"/>
              <w:right w:val="nil"/>
            </w:tcBorders>
            <w:shd w:val="clear" w:color="auto" w:fill="auto"/>
            <w:vAlign w:val="center"/>
            <w:hideMark/>
          </w:tcPr>
          <w:p w14:paraId="622D9269" w14:textId="77777777" w:rsidR="005C2549" w:rsidRPr="005C2549" w:rsidRDefault="005C2549" w:rsidP="005C2549">
            <w:pPr>
              <w:spacing w:after="0" w:line="240" w:lineRule="auto"/>
              <w:jc w:val="center"/>
              <w:rPr>
                <w:rFonts w:ascii="Times New Roman" w:eastAsia="Times New Roman" w:hAnsi="Times New Roman" w:cs="Times New Roman"/>
                <w:color w:val="0000FF"/>
                <w:sz w:val="18"/>
                <w:szCs w:val="18"/>
                <w:lang w:eastAsia="en-IL"/>
              </w:rPr>
            </w:pPr>
            <w:r w:rsidRPr="005C2549">
              <w:rPr>
                <w:rFonts w:ascii="Times New Roman" w:eastAsia="Times New Roman" w:hAnsi="Times New Roman" w:cs="Times New Roman"/>
                <w:color w:val="0000FF"/>
                <w:sz w:val="18"/>
                <w:szCs w:val="18"/>
                <w:lang w:eastAsia="en-IL"/>
              </w:rPr>
              <w:t>CAAR</w:t>
            </w:r>
          </w:p>
        </w:tc>
        <w:tc>
          <w:tcPr>
            <w:tcW w:w="647" w:type="dxa"/>
            <w:tcBorders>
              <w:top w:val="nil"/>
              <w:left w:val="nil"/>
              <w:bottom w:val="single" w:sz="8" w:space="0" w:color="auto"/>
              <w:right w:val="single" w:sz="12" w:space="0" w:color="auto"/>
            </w:tcBorders>
            <w:shd w:val="clear" w:color="auto" w:fill="auto"/>
            <w:vAlign w:val="center"/>
            <w:hideMark/>
          </w:tcPr>
          <w:p w14:paraId="0956BE2F" w14:textId="77777777" w:rsidR="005C2549" w:rsidRPr="005C2549" w:rsidRDefault="005C2549" w:rsidP="005C2549">
            <w:pPr>
              <w:spacing w:after="0" w:line="240" w:lineRule="auto"/>
              <w:jc w:val="center"/>
              <w:rPr>
                <w:rFonts w:ascii="Times New Roman" w:eastAsia="Times New Roman" w:hAnsi="Times New Roman" w:cs="Times New Roman"/>
                <w:color w:val="0000FF"/>
                <w:sz w:val="18"/>
                <w:szCs w:val="18"/>
                <w:lang w:eastAsia="en-IL"/>
              </w:rPr>
            </w:pPr>
            <w:r w:rsidRPr="005C2549">
              <w:rPr>
                <w:rFonts w:ascii="Times New Roman" w:eastAsia="Times New Roman" w:hAnsi="Times New Roman" w:cs="Times New Roman"/>
                <w:color w:val="0000FF"/>
                <w:sz w:val="18"/>
                <w:szCs w:val="18"/>
                <w:lang w:eastAsia="en-IL"/>
              </w:rPr>
              <w:t>t-stat.</w:t>
            </w:r>
          </w:p>
        </w:tc>
        <w:tc>
          <w:tcPr>
            <w:tcW w:w="816" w:type="dxa"/>
            <w:tcBorders>
              <w:top w:val="nil"/>
              <w:left w:val="single" w:sz="12" w:space="0" w:color="auto"/>
              <w:bottom w:val="nil"/>
              <w:right w:val="nil"/>
            </w:tcBorders>
            <w:shd w:val="clear" w:color="auto" w:fill="auto"/>
            <w:noWrap/>
            <w:vAlign w:val="center"/>
            <w:hideMark/>
          </w:tcPr>
          <w:p w14:paraId="5FCAC419" w14:textId="77777777" w:rsidR="005C2549" w:rsidRPr="005C2549" w:rsidRDefault="005C2549" w:rsidP="005C2549">
            <w:pPr>
              <w:spacing w:after="0" w:line="240" w:lineRule="auto"/>
              <w:jc w:val="center"/>
              <w:rPr>
                <w:rFonts w:ascii="Calibri" w:eastAsia="Times New Roman" w:hAnsi="Calibri" w:cs="Calibri"/>
                <w:color w:val="0000FF"/>
                <w:sz w:val="18"/>
                <w:szCs w:val="18"/>
                <w:lang w:eastAsia="en-IL"/>
              </w:rPr>
            </w:pPr>
            <w:r w:rsidRPr="005C2549">
              <w:rPr>
                <w:rFonts w:ascii="Calibri" w:eastAsia="Times New Roman" w:hAnsi="Calibri" w:cs="Calibri"/>
                <w:color w:val="0000FF"/>
                <w:sz w:val="18"/>
                <w:szCs w:val="18"/>
                <w:lang w:eastAsia="en-IL"/>
              </w:rPr>
              <w:t>CAAR</w:t>
            </w:r>
          </w:p>
        </w:tc>
        <w:tc>
          <w:tcPr>
            <w:tcW w:w="670" w:type="dxa"/>
            <w:tcBorders>
              <w:top w:val="nil"/>
              <w:left w:val="nil"/>
              <w:bottom w:val="single" w:sz="8" w:space="0" w:color="auto"/>
              <w:right w:val="single" w:sz="12" w:space="0" w:color="auto"/>
            </w:tcBorders>
            <w:shd w:val="clear" w:color="auto" w:fill="auto"/>
            <w:vAlign w:val="center"/>
            <w:hideMark/>
          </w:tcPr>
          <w:p w14:paraId="00D1E7AD" w14:textId="77777777" w:rsidR="005C2549" w:rsidRPr="005C2549" w:rsidRDefault="005C2549" w:rsidP="005C2549">
            <w:pPr>
              <w:spacing w:after="0" w:line="240" w:lineRule="auto"/>
              <w:jc w:val="center"/>
              <w:rPr>
                <w:rFonts w:ascii="Times New Roman" w:eastAsia="Times New Roman" w:hAnsi="Times New Roman" w:cs="Times New Roman"/>
                <w:color w:val="0000FF"/>
                <w:sz w:val="18"/>
                <w:szCs w:val="18"/>
                <w:lang w:eastAsia="en-IL"/>
              </w:rPr>
            </w:pPr>
            <w:r w:rsidRPr="005C2549">
              <w:rPr>
                <w:rFonts w:ascii="Times New Roman" w:eastAsia="Times New Roman" w:hAnsi="Times New Roman" w:cs="Times New Roman"/>
                <w:color w:val="0000FF"/>
                <w:sz w:val="18"/>
                <w:szCs w:val="18"/>
                <w:lang w:eastAsia="en-IL"/>
              </w:rPr>
              <w:t>t-stat.</w:t>
            </w:r>
          </w:p>
        </w:tc>
        <w:tc>
          <w:tcPr>
            <w:tcW w:w="950" w:type="dxa"/>
            <w:tcBorders>
              <w:top w:val="nil"/>
              <w:left w:val="nil"/>
              <w:bottom w:val="nil"/>
              <w:right w:val="nil"/>
            </w:tcBorders>
            <w:shd w:val="clear" w:color="auto" w:fill="auto"/>
            <w:noWrap/>
            <w:vAlign w:val="center"/>
            <w:hideMark/>
          </w:tcPr>
          <w:p w14:paraId="0FB17D3D" w14:textId="77777777" w:rsidR="005C2549" w:rsidRPr="005C2549" w:rsidRDefault="005C2549" w:rsidP="005C2549">
            <w:pPr>
              <w:spacing w:after="0" w:line="240" w:lineRule="auto"/>
              <w:jc w:val="center"/>
              <w:rPr>
                <w:rFonts w:ascii="Calibri" w:eastAsia="Times New Roman" w:hAnsi="Calibri" w:cs="Calibri"/>
                <w:color w:val="0000FF"/>
                <w:sz w:val="18"/>
                <w:szCs w:val="18"/>
                <w:lang w:eastAsia="en-IL"/>
              </w:rPr>
            </w:pPr>
            <w:r w:rsidRPr="005C2549">
              <w:rPr>
                <w:rFonts w:ascii="Calibri" w:eastAsia="Times New Roman" w:hAnsi="Calibri" w:cs="Calibri"/>
                <w:color w:val="0000FF"/>
                <w:sz w:val="18"/>
                <w:szCs w:val="18"/>
                <w:lang w:eastAsia="en-IL"/>
              </w:rPr>
              <w:t>CAAR</w:t>
            </w:r>
          </w:p>
        </w:tc>
        <w:tc>
          <w:tcPr>
            <w:tcW w:w="697" w:type="dxa"/>
            <w:tcBorders>
              <w:top w:val="nil"/>
              <w:left w:val="nil"/>
              <w:bottom w:val="single" w:sz="8" w:space="0" w:color="auto"/>
              <w:right w:val="single" w:sz="12" w:space="0" w:color="auto"/>
            </w:tcBorders>
            <w:shd w:val="clear" w:color="auto" w:fill="auto"/>
            <w:vAlign w:val="center"/>
            <w:hideMark/>
          </w:tcPr>
          <w:p w14:paraId="271E5924" w14:textId="77777777" w:rsidR="005C2549" w:rsidRPr="005C2549" w:rsidRDefault="005C2549" w:rsidP="005C2549">
            <w:pPr>
              <w:spacing w:after="0" w:line="240" w:lineRule="auto"/>
              <w:jc w:val="center"/>
              <w:rPr>
                <w:rFonts w:ascii="Times New Roman" w:eastAsia="Times New Roman" w:hAnsi="Times New Roman" w:cs="Times New Roman"/>
                <w:color w:val="0000FF"/>
                <w:sz w:val="18"/>
                <w:szCs w:val="18"/>
                <w:lang w:eastAsia="en-IL"/>
              </w:rPr>
            </w:pPr>
            <w:r w:rsidRPr="005C2549">
              <w:rPr>
                <w:rFonts w:ascii="Times New Roman" w:eastAsia="Times New Roman" w:hAnsi="Times New Roman" w:cs="Times New Roman"/>
                <w:color w:val="0000FF"/>
                <w:sz w:val="18"/>
                <w:szCs w:val="18"/>
                <w:lang w:eastAsia="en-IL"/>
              </w:rPr>
              <w:t>t-stat.</w:t>
            </w:r>
          </w:p>
        </w:tc>
        <w:tc>
          <w:tcPr>
            <w:tcW w:w="266" w:type="dxa"/>
            <w:vMerge/>
            <w:tcBorders>
              <w:top w:val="single" w:sz="12" w:space="0" w:color="auto"/>
              <w:left w:val="single" w:sz="12" w:space="0" w:color="auto"/>
              <w:bottom w:val="single" w:sz="8" w:space="0" w:color="000000"/>
              <w:right w:val="nil"/>
            </w:tcBorders>
            <w:vAlign w:val="center"/>
            <w:hideMark/>
          </w:tcPr>
          <w:p w14:paraId="524E8019" w14:textId="77777777" w:rsidR="005C2549" w:rsidRPr="005C2549" w:rsidRDefault="005C2549" w:rsidP="005C2549">
            <w:pPr>
              <w:spacing w:after="0" w:line="240" w:lineRule="auto"/>
              <w:rPr>
                <w:rFonts w:ascii="Times New Roman" w:eastAsia="Times New Roman" w:hAnsi="Times New Roman" w:cs="Times New Roman"/>
                <w:color w:val="0000FF"/>
                <w:sz w:val="18"/>
                <w:szCs w:val="18"/>
                <w:lang w:eastAsia="en-IL"/>
              </w:rPr>
            </w:pPr>
          </w:p>
        </w:tc>
        <w:tc>
          <w:tcPr>
            <w:tcW w:w="764" w:type="dxa"/>
            <w:tcBorders>
              <w:top w:val="nil"/>
              <w:left w:val="single" w:sz="12" w:space="0" w:color="auto"/>
              <w:bottom w:val="single" w:sz="8" w:space="0" w:color="auto"/>
              <w:right w:val="nil"/>
            </w:tcBorders>
            <w:shd w:val="clear" w:color="auto" w:fill="auto"/>
            <w:vAlign w:val="center"/>
            <w:hideMark/>
          </w:tcPr>
          <w:p w14:paraId="28952240" w14:textId="77777777" w:rsidR="005C2549" w:rsidRPr="005C2549" w:rsidRDefault="005C2549" w:rsidP="005C2549">
            <w:pPr>
              <w:spacing w:after="0" w:line="240" w:lineRule="auto"/>
              <w:jc w:val="center"/>
              <w:rPr>
                <w:rFonts w:ascii="Times New Roman" w:eastAsia="Times New Roman" w:hAnsi="Times New Roman" w:cs="Times New Roman"/>
                <w:color w:val="0000FF"/>
                <w:sz w:val="18"/>
                <w:szCs w:val="18"/>
                <w:lang w:eastAsia="en-IL"/>
              </w:rPr>
            </w:pPr>
            <w:r w:rsidRPr="005C2549">
              <w:rPr>
                <w:rFonts w:ascii="Times New Roman" w:eastAsia="Times New Roman" w:hAnsi="Times New Roman" w:cs="Times New Roman"/>
                <w:color w:val="0000FF"/>
                <w:sz w:val="18"/>
                <w:szCs w:val="18"/>
                <w:lang w:eastAsia="en-IL"/>
              </w:rPr>
              <w:t>CAAR</w:t>
            </w:r>
          </w:p>
        </w:tc>
        <w:tc>
          <w:tcPr>
            <w:tcW w:w="645" w:type="dxa"/>
            <w:tcBorders>
              <w:top w:val="nil"/>
              <w:left w:val="nil"/>
              <w:bottom w:val="single" w:sz="8" w:space="0" w:color="auto"/>
              <w:right w:val="single" w:sz="12" w:space="0" w:color="auto"/>
            </w:tcBorders>
            <w:shd w:val="clear" w:color="auto" w:fill="auto"/>
            <w:vAlign w:val="center"/>
            <w:hideMark/>
          </w:tcPr>
          <w:p w14:paraId="7C4FC744" w14:textId="77777777" w:rsidR="005C2549" w:rsidRPr="005C2549" w:rsidRDefault="005C2549" w:rsidP="005C2549">
            <w:pPr>
              <w:spacing w:after="0" w:line="240" w:lineRule="auto"/>
              <w:jc w:val="center"/>
              <w:rPr>
                <w:rFonts w:ascii="Times New Roman" w:eastAsia="Times New Roman" w:hAnsi="Times New Roman" w:cs="Times New Roman"/>
                <w:color w:val="0000FF"/>
                <w:sz w:val="18"/>
                <w:szCs w:val="18"/>
                <w:lang w:eastAsia="en-IL"/>
              </w:rPr>
            </w:pPr>
            <w:r w:rsidRPr="005C2549">
              <w:rPr>
                <w:rFonts w:ascii="Times New Roman" w:eastAsia="Times New Roman" w:hAnsi="Times New Roman" w:cs="Times New Roman"/>
                <w:color w:val="0000FF"/>
                <w:sz w:val="18"/>
                <w:szCs w:val="18"/>
                <w:lang w:eastAsia="en-IL"/>
              </w:rPr>
              <w:t>t-stat.</w:t>
            </w:r>
          </w:p>
        </w:tc>
        <w:tc>
          <w:tcPr>
            <w:tcW w:w="798" w:type="dxa"/>
            <w:tcBorders>
              <w:top w:val="nil"/>
              <w:left w:val="single" w:sz="12" w:space="0" w:color="auto"/>
              <w:bottom w:val="nil"/>
              <w:right w:val="nil"/>
            </w:tcBorders>
            <w:shd w:val="clear" w:color="auto" w:fill="auto"/>
            <w:noWrap/>
            <w:vAlign w:val="center"/>
            <w:hideMark/>
          </w:tcPr>
          <w:p w14:paraId="1B9C69A0" w14:textId="77777777" w:rsidR="005C2549" w:rsidRPr="005C2549" w:rsidRDefault="005C2549" w:rsidP="005C2549">
            <w:pPr>
              <w:spacing w:after="0" w:line="240" w:lineRule="auto"/>
              <w:jc w:val="center"/>
              <w:rPr>
                <w:rFonts w:ascii="Calibri" w:eastAsia="Times New Roman" w:hAnsi="Calibri" w:cs="Calibri"/>
                <w:color w:val="0000FF"/>
                <w:sz w:val="18"/>
                <w:szCs w:val="18"/>
                <w:lang w:eastAsia="en-IL"/>
              </w:rPr>
            </w:pPr>
            <w:r w:rsidRPr="005C2549">
              <w:rPr>
                <w:rFonts w:ascii="Calibri" w:eastAsia="Times New Roman" w:hAnsi="Calibri" w:cs="Calibri"/>
                <w:color w:val="0000FF"/>
                <w:sz w:val="18"/>
                <w:szCs w:val="18"/>
                <w:lang w:eastAsia="en-IL"/>
              </w:rPr>
              <w:t>CAAR</w:t>
            </w:r>
          </w:p>
        </w:tc>
        <w:tc>
          <w:tcPr>
            <w:tcW w:w="676" w:type="dxa"/>
            <w:tcBorders>
              <w:top w:val="nil"/>
              <w:left w:val="nil"/>
              <w:bottom w:val="single" w:sz="8" w:space="0" w:color="auto"/>
              <w:right w:val="single" w:sz="12" w:space="0" w:color="auto"/>
            </w:tcBorders>
            <w:shd w:val="clear" w:color="auto" w:fill="auto"/>
            <w:vAlign w:val="center"/>
            <w:hideMark/>
          </w:tcPr>
          <w:p w14:paraId="5A8CE495" w14:textId="77777777" w:rsidR="005C2549" w:rsidRPr="005C2549" w:rsidRDefault="005C2549" w:rsidP="005C2549">
            <w:pPr>
              <w:spacing w:after="0" w:line="240" w:lineRule="auto"/>
              <w:jc w:val="center"/>
              <w:rPr>
                <w:rFonts w:ascii="Times New Roman" w:eastAsia="Times New Roman" w:hAnsi="Times New Roman" w:cs="Times New Roman"/>
                <w:color w:val="0000FF"/>
                <w:sz w:val="18"/>
                <w:szCs w:val="18"/>
                <w:lang w:eastAsia="en-IL"/>
              </w:rPr>
            </w:pPr>
            <w:r w:rsidRPr="005C2549">
              <w:rPr>
                <w:rFonts w:ascii="Times New Roman" w:eastAsia="Times New Roman" w:hAnsi="Times New Roman" w:cs="Times New Roman"/>
                <w:color w:val="0000FF"/>
                <w:sz w:val="18"/>
                <w:szCs w:val="18"/>
                <w:lang w:eastAsia="en-IL"/>
              </w:rPr>
              <w:t>t-stat.</w:t>
            </w:r>
          </w:p>
        </w:tc>
        <w:tc>
          <w:tcPr>
            <w:tcW w:w="807" w:type="dxa"/>
            <w:tcBorders>
              <w:top w:val="nil"/>
              <w:left w:val="nil"/>
              <w:bottom w:val="nil"/>
              <w:right w:val="nil"/>
            </w:tcBorders>
            <w:shd w:val="clear" w:color="auto" w:fill="auto"/>
            <w:noWrap/>
            <w:vAlign w:val="center"/>
            <w:hideMark/>
          </w:tcPr>
          <w:p w14:paraId="6A2A1094" w14:textId="77777777" w:rsidR="005C2549" w:rsidRPr="005C2549" w:rsidRDefault="005C2549" w:rsidP="005C2549">
            <w:pPr>
              <w:spacing w:after="0" w:line="240" w:lineRule="auto"/>
              <w:jc w:val="center"/>
              <w:rPr>
                <w:rFonts w:ascii="Calibri" w:eastAsia="Times New Roman" w:hAnsi="Calibri" w:cs="Calibri"/>
                <w:color w:val="0000FF"/>
                <w:sz w:val="18"/>
                <w:szCs w:val="18"/>
                <w:lang w:eastAsia="en-IL"/>
              </w:rPr>
            </w:pPr>
            <w:r w:rsidRPr="005C2549">
              <w:rPr>
                <w:rFonts w:ascii="Calibri" w:eastAsia="Times New Roman" w:hAnsi="Calibri" w:cs="Calibri"/>
                <w:color w:val="0000FF"/>
                <w:sz w:val="18"/>
                <w:szCs w:val="18"/>
                <w:lang w:eastAsia="en-IL"/>
              </w:rPr>
              <w:t>CAAR</w:t>
            </w:r>
          </w:p>
        </w:tc>
        <w:tc>
          <w:tcPr>
            <w:tcW w:w="667" w:type="dxa"/>
            <w:tcBorders>
              <w:top w:val="nil"/>
              <w:left w:val="nil"/>
              <w:bottom w:val="single" w:sz="8" w:space="0" w:color="auto"/>
              <w:right w:val="single" w:sz="12" w:space="0" w:color="auto"/>
            </w:tcBorders>
            <w:shd w:val="clear" w:color="auto" w:fill="auto"/>
            <w:vAlign w:val="center"/>
            <w:hideMark/>
          </w:tcPr>
          <w:p w14:paraId="6ACADF8B" w14:textId="77777777" w:rsidR="005C2549" w:rsidRPr="005C2549" w:rsidRDefault="005C2549" w:rsidP="005C2549">
            <w:pPr>
              <w:spacing w:after="0" w:line="240" w:lineRule="auto"/>
              <w:jc w:val="center"/>
              <w:rPr>
                <w:rFonts w:ascii="Times New Roman" w:eastAsia="Times New Roman" w:hAnsi="Times New Roman" w:cs="Times New Roman"/>
                <w:color w:val="0000FF"/>
                <w:sz w:val="18"/>
                <w:szCs w:val="18"/>
                <w:lang w:eastAsia="en-IL"/>
              </w:rPr>
            </w:pPr>
            <w:r w:rsidRPr="005C2549">
              <w:rPr>
                <w:rFonts w:ascii="Times New Roman" w:eastAsia="Times New Roman" w:hAnsi="Times New Roman" w:cs="Times New Roman"/>
                <w:color w:val="0000FF"/>
                <w:sz w:val="18"/>
                <w:szCs w:val="18"/>
                <w:lang w:eastAsia="en-IL"/>
              </w:rPr>
              <w:t>t-stat.</w:t>
            </w:r>
          </w:p>
        </w:tc>
      </w:tr>
      <w:tr w:rsidR="00D043C6" w:rsidRPr="00D043C6" w14:paraId="1D528A6F" w14:textId="77777777" w:rsidTr="00D043C6">
        <w:trPr>
          <w:trHeight w:val="300"/>
        </w:trPr>
        <w:tc>
          <w:tcPr>
            <w:tcW w:w="760" w:type="dxa"/>
            <w:tcBorders>
              <w:top w:val="nil"/>
              <w:left w:val="single" w:sz="8" w:space="0" w:color="auto"/>
              <w:bottom w:val="nil"/>
              <w:right w:val="single" w:sz="8" w:space="0" w:color="auto"/>
            </w:tcBorders>
            <w:shd w:val="clear" w:color="auto" w:fill="auto"/>
            <w:vAlign w:val="center"/>
            <w:hideMark/>
          </w:tcPr>
          <w:p w14:paraId="7D121CFB"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1 to 10</w:t>
            </w:r>
          </w:p>
        </w:tc>
        <w:tc>
          <w:tcPr>
            <w:tcW w:w="816" w:type="dxa"/>
            <w:tcBorders>
              <w:top w:val="nil"/>
              <w:left w:val="nil"/>
              <w:bottom w:val="nil"/>
              <w:right w:val="single" w:sz="8" w:space="0" w:color="auto"/>
            </w:tcBorders>
            <w:shd w:val="clear" w:color="auto" w:fill="auto"/>
            <w:vAlign w:val="center"/>
            <w:hideMark/>
          </w:tcPr>
          <w:p w14:paraId="3AEEBF1F"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0.21%</w:t>
            </w:r>
          </w:p>
        </w:tc>
        <w:tc>
          <w:tcPr>
            <w:tcW w:w="647" w:type="dxa"/>
            <w:tcBorders>
              <w:top w:val="nil"/>
              <w:left w:val="nil"/>
              <w:bottom w:val="nil"/>
              <w:right w:val="single" w:sz="8" w:space="0" w:color="auto"/>
            </w:tcBorders>
            <w:shd w:val="clear" w:color="auto" w:fill="auto"/>
            <w:noWrap/>
            <w:vAlign w:val="center"/>
            <w:hideMark/>
          </w:tcPr>
          <w:p w14:paraId="7426DE80" w14:textId="77777777" w:rsidR="005C2549" w:rsidRPr="005C2549" w:rsidRDefault="005C2549" w:rsidP="005C2549">
            <w:pPr>
              <w:spacing w:after="0" w:line="240" w:lineRule="auto"/>
              <w:jc w:val="center"/>
              <w:rPr>
                <w:rFonts w:ascii="Calibri" w:eastAsia="Times New Roman" w:hAnsi="Calibri" w:cs="Calibri"/>
                <w:color w:val="0000FF"/>
                <w:sz w:val="16"/>
                <w:szCs w:val="16"/>
                <w:lang w:eastAsia="en-IL"/>
              </w:rPr>
            </w:pPr>
            <w:r w:rsidRPr="005C2549">
              <w:rPr>
                <w:rFonts w:ascii="Calibri" w:eastAsia="Times New Roman" w:hAnsi="Calibri" w:cs="Calibri"/>
                <w:color w:val="0000FF"/>
                <w:sz w:val="16"/>
                <w:szCs w:val="16"/>
                <w:lang w:eastAsia="en-IL"/>
              </w:rPr>
              <w:t>0.04</w:t>
            </w:r>
          </w:p>
        </w:tc>
        <w:tc>
          <w:tcPr>
            <w:tcW w:w="816" w:type="dxa"/>
            <w:tcBorders>
              <w:top w:val="single" w:sz="8" w:space="0" w:color="auto"/>
              <w:left w:val="nil"/>
              <w:bottom w:val="nil"/>
              <w:right w:val="single" w:sz="8" w:space="0" w:color="auto"/>
            </w:tcBorders>
            <w:shd w:val="clear" w:color="auto" w:fill="auto"/>
            <w:vAlign w:val="center"/>
            <w:hideMark/>
          </w:tcPr>
          <w:p w14:paraId="1232D754"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2.39%</w:t>
            </w:r>
          </w:p>
        </w:tc>
        <w:tc>
          <w:tcPr>
            <w:tcW w:w="670" w:type="dxa"/>
            <w:tcBorders>
              <w:top w:val="nil"/>
              <w:left w:val="nil"/>
              <w:bottom w:val="nil"/>
              <w:right w:val="single" w:sz="8" w:space="0" w:color="auto"/>
            </w:tcBorders>
            <w:shd w:val="clear" w:color="auto" w:fill="auto"/>
            <w:noWrap/>
            <w:vAlign w:val="center"/>
            <w:hideMark/>
          </w:tcPr>
          <w:p w14:paraId="437B6AB0" w14:textId="77777777" w:rsidR="005C2549" w:rsidRPr="005C2549" w:rsidRDefault="005C2549" w:rsidP="005C2549">
            <w:pPr>
              <w:spacing w:after="0" w:line="240" w:lineRule="auto"/>
              <w:jc w:val="center"/>
              <w:rPr>
                <w:rFonts w:ascii="Calibri" w:eastAsia="Times New Roman" w:hAnsi="Calibri" w:cs="Calibri"/>
                <w:color w:val="0000FF"/>
                <w:sz w:val="16"/>
                <w:szCs w:val="16"/>
                <w:lang w:eastAsia="en-IL"/>
              </w:rPr>
            </w:pPr>
            <w:r w:rsidRPr="005C2549">
              <w:rPr>
                <w:rFonts w:ascii="Calibri" w:eastAsia="Times New Roman" w:hAnsi="Calibri" w:cs="Calibri"/>
                <w:color w:val="0000FF"/>
                <w:sz w:val="16"/>
                <w:szCs w:val="16"/>
                <w:lang w:eastAsia="en-IL"/>
              </w:rPr>
              <w:t>0.43</w:t>
            </w:r>
          </w:p>
        </w:tc>
        <w:tc>
          <w:tcPr>
            <w:tcW w:w="950" w:type="dxa"/>
            <w:tcBorders>
              <w:top w:val="single" w:sz="8" w:space="0" w:color="auto"/>
              <w:left w:val="nil"/>
              <w:bottom w:val="nil"/>
              <w:right w:val="single" w:sz="8" w:space="0" w:color="auto"/>
            </w:tcBorders>
            <w:shd w:val="clear" w:color="auto" w:fill="auto"/>
            <w:vAlign w:val="center"/>
            <w:hideMark/>
          </w:tcPr>
          <w:p w14:paraId="70B8AC1D"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-0.66%</w:t>
            </w:r>
          </w:p>
        </w:tc>
        <w:tc>
          <w:tcPr>
            <w:tcW w:w="697" w:type="dxa"/>
            <w:tcBorders>
              <w:top w:val="nil"/>
              <w:left w:val="nil"/>
              <w:bottom w:val="nil"/>
              <w:right w:val="single" w:sz="8" w:space="0" w:color="auto"/>
            </w:tcBorders>
            <w:shd w:val="clear" w:color="auto" w:fill="auto"/>
            <w:noWrap/>
            <w:vAlign w:val="center"/>
            <w:hideMark/>
          </w:tcPr>
          <w:p w14:paraId="77AFCDFE" w14:textId="77777777" w:rsidR="005C2549" w:rsidRPr="005C2549" w:rsidRDefault="005C2549" w:rsidP="005C2549">
            <w:pPr>
              <w:spacing w:after="0" w:line="240" w:lineRule="auto"/>
              <w:jc w:val="center"/>
              <w:rPr>
                <w:rFonts w:ascii="Calibri" w:eastAsia="Times New Roman" w:hAnsi="Calibri" w:cs="Calibri"/>
                <w:color w:val="0000FF"/>
                <w:sz w:val="16"/>
                <w:szCs w:val="16"/>
                <w:lang w:eastAsia="en-IL"/>
              </w:rPr>
            </w:pPr>
            <w:r w:rsidRPr="005C2549">
              <w:rPr>
                <w:rFonts w:ascii="Calibri" w:eastAsia="Times New Roman" w:hAnsi="Calibri" w:cs="Calibri"/>
                <w:color w:val="0000FF"/>
                <w:sz w:val="16"/>
                <w:szCs w:val="16"/>
                <w:lang w:eastAsia="en-IL"/>
              </w:rPr>
              <w:t>-0.12</w:t>
            </w:r>
          </w:p>
        </w:tc>
        <w:tc>
          <w:tcPr>
            <w:tcW w:w="266" w:type="dxa"/>
            <w:tcBorders>
              <w:top w:val="nil"/>
              <w:left w:val="single" w:sz="12" w:space="0" w:color="auto"/>
              <w:bottom w:val="nil"/>
              <w:right w:val="nil"/>
            </w:tcBorders>
            <w:shd w:val="clear" w:color="auto" w:fill="auto"/>
            <w:vAlign w:val="center"/>
            <w:hideMark/>
          </w:tcPr>
          <w:p w14:paraId="2E7E740C"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 </w:t>
            </w:r>
          </w:p>
        </w:tc>
        <w:tc>
          <w:tcPr>
            <w:tcW w:w="764" w:type="dxa"/>
            <w:tcBorders>
              <w:top w:val="nil"/>
              <w:left w:val="single" w:sz="12" w:space="0" w:color="auto"/>
              <w:bottom w:val="nil"/>
              <w:right w:val="single" w:sz="8" w:space="0" w:color="auto"/>
            </w:tcBorders>
            <w:shd w:val="clear" w:color="auto" w:fill="auto"/>
            <w:vAlign w:val="center"/>
            <w:hideMark/>
          </w:tcPr>
          <w:p w14:paraId="4436C40E"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0.35%</w:t>
            </w:r>
          </w:p>
        </w:tc>
        <w:tc>
          <w:tcPr>
            <w:tcW w:w="645" w:type="dxa"/>
            <w:tcBorders>
              <w:top w:val="nil"/>
              <w:left w:val="nil"/>
              <w:bottom w:val="nil"/>
              <w:right w:val="single" w:sz="12" w:space="0" w:color="auto"/>
            </w:tcBorders>
            <w:shd w:val="clear" w:color="auto" w:fill="auto"/>
            <w:noWrap/>
            <w:vAlign w:val="center"/>
            <w:hideMark/>
          </w:tcPr>
          <w:p w14:paraId="040C22CF" w14:textId="77777777" w:rsidR="005C2549" w:rsidRPr="005C2549" w:rsidRDefault="005C2549" w:rsidP="005C2549">
            <w:pPr>
              <w:spacing w:after="0" w:line="240" w:lineRule="auto"/>
              <w:jc w:val="center"/>
              <w:rPr>
                <w:rFonts w:ascii="Calibri" w:eastAsia="Times New Roman" w:hAnsi="Calibri" w:cs="Calibri"/>
                <w:color w:val="0000FF"/>
                <w:sz w:val="16"/>
                <w:szCs w:val="16"/>
                <w:lang w:eastAsia="en-IL"/>
              </w:rPr>
            </w:pPr>
            <w:r w:rsidRPr="005C2549">
              <w:rPr>
                <w:rFonts w:ascii="Calibri" w:eastAsia="Times New Roman" w:hAnsi="Calibri" w:cs="Calibri"/>
                <w:color w:val="0000FF"/>
                <w:sz w:val="16"/>
                <w:szCs w:val="16"/>
                <w:lang w:eastAsia="en-IL"/>
              </w:rPr>
              <w:t>0.06</w:t>
            </w:r>
          </w:p>
        </w:tc>
        <w:tc>
          <w:tcPr>
            <w:tcW w:w="798" w:type="dxa"/>
            <w:tcBorders>
              <w:top w:val="single" w:sz="8" w:space="0" w:color="auto"/>
              <w:left w:val="nil"/>
              <w:bottom w:val="nil"/>
              <w:right w:val="single" w:sz="8" w:space="0" w:color="auto"/>
            </w:tcBorders>
            <w:shd w:val="clear" w:color="auto" w:fill="auto"/>
            <w:vAlign w:val="center"/>
            <w:hideMark/>
          </w:tcPr>
          <w:p w14:paraId="60A00AE1"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2.54%</w:t>
            </w:r>
          </w:p>
        </w:tc>
        <w:tc>
          <w:tcPr>
            <w:tcW w:w="676" w:type="dxa"/>
            <w:tcBorders>
              <w:top w:val="nil"/>
              <w:left w:val="nil"/>
              <w:bottom w:val="nil"/>
              <w:right w:val="single" w:sz="12" w:space="0" w:color="auto"/>
            </w:tcBorders>
            <w:shd w:val="clear" w:color="auto" w:fill="auto"/>
            <w:noWrap/>
            <w:vAlign w:val="center"/>
            <w:hideMark/>
          </w:tcPr>
          <w:p w14:paraId="76CE55F7" w14:textId="77777777" w:rsidR="005C2549" w:rsidRPr="005C2549" w:rsidRDefault="005C2549" w:rsidP="005C2549">
            <w:pPr>
              <w:spacing w:after="0" w:line="240" w:lineRule="auto"/>
              <w:jc w:val="center"/>
              <w:rPr>
                <w:rFonts w:ascii="Calibri" w:eastAsia="Times New Roman" w:hAnsi="Calibri" w:cs="Calibri"/>
                <w:color w:val="0000FF"/>
                <w:sz w:val="16"/>
                <w:szCs w:val="16"/>
                <w:lang w:eastAsia="en-IL"/>
              </w:rPr>
            </w:pPr>
            <w:r w:rsidRPr="005C2549">
              <w:rPr>
                <w:rFonts w:ascii="Calibri" w:eastAsia="Times New Roman" w:hAnsi="Calibri" w:cs="Calibri"/>
                <w:color w:val="0000FF"/>
                <w:sz w:val="16"/>
                <w:szCs w:val="16"/>
                <w:lang w:eastAsia="en-IL"/>
              </w:rPr>
              <w:t>0.46</w:t>
            </w:r>
          </w:p>
        </w:tc>
        <w:tc>
          <w:tcPr>
            <w:tcW w:w="807" w:type="dxa"/>
            <w:tcBorders>
              <w:top w:val="single" w:sz="8" w:space="0" w:color="auto"/>
              <w:left w:val="nil"/>
              <w:bottom w:val="nil"/>
              <w:right w:val="single" w:sz="8" w:space="0" w:color="auto"/>
            </w:tcBorders>
            <w:shd w:val="clear" w:color="auto" w:fill="auto"/>
            <w:vAlign w:val="center"/>
            <w:hideMark/>
          </w:tcPr>
          <w:p w14:paraId="64C4EB13"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-0.80%</w:t>
            </w:r>
          </w:p>
        </w:tc>
        <w:tc>
          <w:tcPr>
            <w:tcW w:w="667" w:type="dxa"/>
            <w:tcBorders>
              <w:top w:val="nil"/>
              <w:left w:val="nil"/>
              <w:bottom w:val="nil"/>
              <w:right w:val="single" w:sz="12" w:space="0" w:color="auto"/>
            </w:tcBorders>
            <w:shd w:val="clear" w:color="auto" w:fill="auto"/>
            <w:noWrap/>
            <w:vAlign w:val="center"/>
            <w:hideMark/>
          </w:tcPr>
          <w:p w14:paraId="717B2BF7" w14:textId="77777777" w:rsidR="005C2549" w:rsidRPr="005C2549" w:rsidRDefault="005C2549" w:rsidP="005C2549">
            <w:pPr>
              <w:spacing w:after="0" w:line="240" w:lineRule="auto"/>
              <w:jc w:val="center"/>
              <w:rPr>
                <w:rFonts w:ascii="Calibri" w:eastAsia="Times New Roman" w:hAnsi="Calibri" w:cs="Calibri"/>
                <w:color w:val="0000FF"/>
                <w:sz w:val="16"/>
                <w:szCs w:val="16"/>
                <w:lang w:eastAsia="en-IL"/>
              </w:rPr>
            </w:pPr>
            <w:r w:rsidRPr="005C2549">
              <w:rPr>
                <w:rFonts w:ascii="Calibri" w:eastAsia="Times New Roman" w:hAnsi="Calibri" w:cs="Calibri"/>
                <w:color w:val="0000FF"/>
                <w:sz w:val="16"/>
                <w:szCs w:val="16"/>
                <w:lang w:eastAsia="en-IL"/>
              </w:rPr>
              <w:t>-0.14</w:t>
            </w:r>
          </w:p>
        </w:tc>
      </w:tr>
      <w:tr w:rsidR="00D043C6" w:rsidRPr="00D043C6" w14:paraId="61760D8C" w14:textId="77777777" w:rsidTr="00D043C6">
        <w:trPr>
          <w:trHeight w:val="300"/>
        </w:trPr>
        <w:tc>
          <w:tcPr>
            <w:tcW w:w="760" w:type="dxa"/>
            <w:tcBorders>
              <w:top w:val="nil"/>
              <w:left w:val="single" w:sz="8" w:space="0" w:color="auto"/>
              <w:bottom w:val="nil"/>
              <w:right w:val="single" w:sz="8" w:space="0" w:color="auto"/>
            </w:tcBorders>
            <w:shd w:val="clear" w:color="auto" w:fill="auto"/>
            <w:vAlign w:val="center"/>
            <w:hideMark/>
          </w:tcPr>
          <w:p w14:paraId="029586CA"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1 to 20</w:t>
            </w:r>
          </w:p>
        </w:tc>
        <w:tc>
          <w:tcPr>
            <w:tcW w:w="816" w:type="dxa"/>
            <w:tcBorders>
              <w:top w:val="nil"/>
              <w:left w:val="nil"/>
              <w:bottom w:val="nil"/>
              <w:right w:val="single" w:sz="8" w:space="0" w:color="auto"/>
            </w:tcBorders>
            <w:shd w:val="clear" w:color="auto" w:fill="auto"/>
            <w:vAlign w:val="center"/>
            <w:hideMark/>
          </w:tcPr>
          <w:p w14:paraId="3D60AB48"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1.71%</w:t>
            </w:r>
          </w:p>
        </w:tc>
        <w:tc>
          <w:tcPr>
            <w:tcW w:w="647" w:type="dxa"/>
            <w:tcBorders>
              <w:top w:val="nil"/>
              <w:left w:val="nil"/>
              <w:bottom w:val="nil"/>
              <w:right w:val="single" w:sz="8" w:space="0" w:color="auto"/>
            </w:tcBorders>
            <w:shd w:val="clear" w:color="auto" w:fill="auto"/>
            <w:noWrap/>
            <w:vAlign w:val="center"/>
            <w:hideMark/>
          </w:tcPr>
          <w:p w14:paraId="4097AFF7" w14:textId="77777777" w:rsidR="005C2549" w:rsidRPr="005C2549" w:rsidRDefault="005C2549" w:rsidP="005C2549">
            <w:pPr>
              <w:spacing w:after="0" w:line="240" w:lineRule="auto"/>
              <w:jc w:val="center"/>
              <w:rPr>
                <w:rFonts w:ascii="Calibri" w:eastAsia="Times New Roman" w:hAnsi="Calibri" w:cs="Calibri"/>
                <w:color w:val="0000FF"/>
                <w:sz w:val="16"/>
                <w:szCs w:val="16"/>
                <w:lang w:eastAsia="en-IL"/>
              </w:rPr>
            </w:pPr>
            <w:r w:rsidRPr="005C2549">
              <w:rPr>
                <w:rFonts w:ascii="Calibri" w:eastAsia="Times New Roman" w:hAnsi="Calibri" w:cs="Calibri"/>
                <w:color w:val="0000FF"/>
                <w:sz w:val="16"/>
                <w:szCs w:val="16"/>
                <w:lang w:eastAsia="en-IL"/>
              </w:rPr>
              <w:t>0.34</w:t>
            </w:r>
          </w:p>
        </w:tc>
        <w:tc>
          <w:tcPr>
            <w:tcW w:w="816" w:type="dxa"/>
            <w:tcBorders>
              <w:top w:val="nil"/>
              <w:left w:val="nil"/>
              <w:bottom w:val="nil"/>
              <w:right w:val="single" w:sz="8" w:space="0" w:color="auto"/>
            </w:tcBorders>
            <w:shd w:val="clear" w:color="auto" w:fill="auto"/>
            <w:vAlign w:val="center"/>
            <w:hideMark/>
          </w:tcPr>
          <w:p w14:paraId="16467A2A"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5.58%</w:t>
            </w:r>
          </w:p>
        </w:tc>
        <w:tc>
          <w:tcPr>
            <w:tcW w:w="670" w:type="dxa"/>
            <w:tcBorders>
              <w:top w:val="nil"/>
              <w:left w:val="nil"/>
              <w:bottom w:val="nil"/>
              <w:right w:val="single" w:sz="8" w:space="0" w:color="auto"/>
            </w:tcBorders>
            <w:shd w:val="clear" w:color="auto" w:fill="auto"/>
            <w:noWrap/>
            <w:vAlign w:val="center"/>
            <w:hideMark/>
          </w:tcPr>
          <w:p w14:paraId="28C95229" w14:textId="77777777" w:rsidR="005C2549" w:rsidRPr="005C2549" w:rsidRDefault="005C2549" w:rsidP="005C2549">
            <w:pPr>
              <w:spacing w:after="0" w:line="240" w:lineRule="auto"/>
              <w:jc w:val="center"/>
              <w:rPr>
                <w:rFonts w:ascii="Calibri" w:eastAsia="Times New Roman" w:hAnsi="Calibri" w:cs="Calibri"/>
                <w:color w:val="0000FF"/>
                <w:sz w:val="16"/>
                <w:szCs w:val="16"/>
                <w:lang w:eastAsia="en-IL"/>
              </w:rPr>
            </w:pPr>
            <w:r w:rsidRPr="005C2549">
              <w:rPr>
                <w:rFonts w:ascii="Calibri" w:eastAsia="Times New Roman" w:hAnsi="Calibri" w:cs="Calibri"/>
                <w:color w:val="0000FF"/>
                <w:sz w:val="16"/>
                <w:szCs w:val="16"/>
                <w:lang w:eastAsia="en-IL"/>
              </w:rPr>
              <w:t>1.20</w:t>
            </w:r>
          </w:p>
        </w:tc>
        <w:tc>
          <w:tcPr>
            <w:tcW w:w="950" w:type="dxa"/>
            <w:tcBorders>
              <w:top w:val="nil"/>
              <w:left w:val="nil"/>
              <w:bottom w:val="nil"/>
              <w:right w:val="single" w:sz="8" w:space="0" w:color="auto"/>
            </w:tcBorders>
            <w:shd w:val="clear" w:color="auto" w:fill="auto"/>
            <w:vAlign w:val="center"/>
            <w:hideMark/>
          </w:tcPr>
          <w:p w14:paraId="4E61AB83"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0.25%</w:t>
            </w:r>
          </w:p>
        </w:tc>
        <w:tc>
          <w:tcPr>
            <w:tcW w:w="697" w:type="dxa"/>
            <w:tcBorders>
              <w:top w:val="nil"/>
              <w:left w:val="nil"/>
              <w:bottom w:val="nil"/>
              <w:right w:val="single" w:sz="8" w:space="0" w:color="auto"/>
            </w:tcBorders>
            <w:shd w:val="clear" w:color="auto" w:fill="auto"/>
            <w:noWrap/>
            <w:vAlign w:val="center"/>
            <w:hideMark/>
          </w:tcPr>
          <w:p w14:paraId="13FD9869" w14:textId="77777777" w:rsidR="005C2549" w:rsidRPr="005C2549" w:rsidRDefault="005C2549" w:rsidP="005C2549">
            <w:pPr>
              <w:spacing w:after="0" w:line="240" w:lineRule="auto"/>
              <w:jc w:val="center"/>
              <w:rPr>
                <w:rFonts w:ascii="Calibri" w:eastAsia="Times New Roman" w:hAnsi="Calibri" w:cs="Calibri"/>
                <w:color w:val="0000FF"/>
                <w:sz w:val="16"/>
                <w:szCs w:val="16"/>
                <w:lang w:eastAsia="en-IL"/>
              </w:rPr>
            </w:pPr>
            <w:r w:rsidRPr="005C2549">
              <w:rPr>
                <w:rFonts w:ascii="Calibri" w:eastAsia="Times New Roman" w:hAnsi="Calibri" w:cs="Calibri"/>
                <w:color w:val="0000FF"/>
                <w:sz w:val="16"/>
                <w:szCs w:val="16"/>
                <w:lang w:eastAsia="en-IL"/>
              </w:rPr>
              <w:t>0.05</w:t>
            </w:r>
          </w:p>
        </w:tc>
        <w:tc>
          <w:tcPr>
            <w:tcW w:w="266" w:type="dxa"/>
            <w:tcBorders>
              <w:top w:val="nil"/>
              <w:left w:val="single" w:sz="12" w:space="0" w:color="auto"/>
              <w:bottom w:val="nil"/>
              <w:right w:val="nil"/>
            </w:tcBorders>
            <w:shd w:val="clear" w:color="auto" w:fill="auto"/>
            <w:vAlign w:val="center"/>
            <w:hideMark/>
          </w:tcPr>
          <w:p w14:paraId="02CCA321"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 </w:t>
            </w:r>
          </w:p>
        </w:tc>
        <w:tc>
          <w:tcPr>
            <w:tcW w:w="764" w:type="dxa"/>
            <w:tcBorders>
              <w:top w:val="nil"/>
              <w:left w:val="single" w:sz="12" w:space="0" w:color="auto"/>
              <w:bottom w:val="nil"/>
              <w:right w:val="single" w:sz="8" w:space="0" w:color="auto"/>
            </w:tcBorders>
            <w:shd w:val="clear" w:color="auto" w:fill="auto"/>
            <w:vAlign w:val="center"/>
            <w:hideMark/>
          </w:tcPr>
          <w:p w14:paraId="7F9AD831"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1.97%</w:t>
            </w:r>
          </w:p>
        </w:tc>
        <w:tc>
          <w:tcPr>
            <w:tcW w:w="645" w:type="dxa"/>
            <w:tcBorders>
              <w:top w:val="nil"/>
              <w:left w:val="nil"/>
              <w:bottom w:val="nil"/>
              <w:right w:val="single" w:sz="12" w:space="0" w:color="auto"/>
            </w:tcBorders>
            <w:shd w:val="clear" w:color="auto" w:fill="auto"/>
            <w:noWrap/>
            <w:vAlign w:val="center"/>
            <w:hideMark/>
          </w:tcPr>
          <w:p w14:paraId="7264BA46" w14:textId="77777777" w:rsidR="005C2549" w:rsidRPr="005C2549" w:rsidRDefault="005C2549" w:rsidP="005C2549">
            <w:pPr>
              <w:spacing w:after="0" w:line="240" w:lineRule="auto"/>
              <w:jc w:val="center"/>
              <w:rPr>
                <w:rFonts w:ascii="Calibri" w:eastAsia="Times New Roman" w:hAnsi="Calibri" w:cs="Calibri"/>
                <w:color w:val="0000FF"/>
                <w:sz w:val="16"/>
                <w:szCs w:val="16"/>
                <w:lang w:eastAsia="en-IL"/>
              </w:rPr>
            </w:pPr>
            <w:r w:rsidRPr="005C2549">
              <w:rPr>
                <w:rFonts w:ascii="Calibri" w:eastAsia="Times New Roman" w:hAnsi="Calibri" w:cs="Calibri"/>
                <w:color w:val="0000FF"/>
                <w:sz w:val="16"/>
                <w:szCs w:val="16"/>
                <w:lang w:eastAsia="en-IL"/>
              </w:rPr>
              <w:t>0.39</w:t>
            </w:r>
          </w:p>
        </w:tc>
        <w:tc>
          <w:tcPr>
            <w:tcW w:w="798" w:type="dxa"/>
            <w:tcBorders>
              <w:top w:val="nil"/>
              <w:left w:val="nil"/>
              <w:bottom w:val="nil"/>
              <w:right w:val="single" w:sz="8" w:space="0" w:color="auto"/>
            </w:tcBorders>
            <w:shd w:val="clear" w:color="auto" w:fill="auto"/>
            <w:vAlign w:val="center"/>
            <w:hideMark/>
          </w:tcPr>
          <w:p w14:paraId="1D4B048C"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5.69%</w:t>
            </w:r>
          </w:p>
        </w:tc>
        <w:tc>
          <w:tcPr>
            <w:tcW w:w="676" w:type="dxa"/>
            <w:tcBorders>
              <w:top w:val="nil"/>
              <w:left w:val="nil"/>
              <w:bottom w:val="nil"/>
              <w:right w:val="single" w:sz="12" w:space="0" w:color="auto"/>
            </w:tcBorders>
            <w:shd w:val="clear" w:color="auto" w:fill="auto"/>
            <w:noWrap/>
            <w:vAlign w:val="center"/>
            <w:hideMark/>
          </w:tcPr>
          <w:p w14:paraId="61FA1EBD" w14:textId="77777777" w:rsidR="005C2549" w:rsidRPr="005C2549" w:rsidRDefault="005C2549" w:rsidP="005C2549">
            <w:pPr>
              <w:spacing w:after="0" w:line="240" w:lineRule="auto"/>
              <w:jc w:val="center"/>
              <w:rPr>
                <w:rFonts w:ascii="Calibri" w:eastAsia="Times New Roman" w:hAnsi="Calibri" w:cs="Calibri"/>
                <w:color w:val="0000FF"/>
                <w:sz w:val="16"/>
                <w:szCs w:val="16"/>
                <w:lang w:eastAsia="en-IL"/>
              </w:rPr>
            </w:pPr>
            <w:r w:rsidRPr="005C2549">
              <w:rPr>
                <w:rFonts w:ascii="Calibri" w:eastAsia="Times New Roman" w:hAnsi="Calibri" w:cs="Calibri"/>
                <w:color w:val="0000FF"/>
                <w:sz w:val="16"/>
                <w:szCs w:val="16"/>
                <w:lang w:eastAsia="en-IL"/>
              </w:rPr>
              <w:t>1.21</w:t>
            </w:r>
          </w:p>
        </w:tc>
        <w:tc>
          <w:tcPr>
            <w:tcW w:w="807" w:type="dxa"/>
            <w:tcBorders>
              <w:top w:val="nil"/>
              <w:left w:val="nil"/>
              <w:bottom w:val="nil"/>
              <w:right w:val="single" w:sz="8" w:space="0" w:color="auto"/>
            </w:tcBorders>
            <w:shd w:val="clear" w:color="auto" w:fill="auto"/>
            <w:vAlign w:val="center"/>
            <w:hideMark/>
          </w:tcPr>
          <w:p w14:paraId="537A151F"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-0.08%</w:t>
            </w:r>
          </w:p>
        </w:tc>
        <w:tc>
          <w:tcPr>
            <w:tcW w:w="667" w:type="dxa"/>
            <w:tcBorders>
              <w:top w:val="nil"/>
              <w:left w:val="nil"/>
              <w:bottom w:val="nil"/>
              <w:right w:val="single" w:sz="12" w:space="0" w:color="auto"/>
            </w:tcBorders>
            <w:shd w:val="clear" w:color="auto" w:fill="auto"/>
            <w:noWrap/>
            <w:vAlign w:val="center"/>
            <w:hideMark/>
          </w:tcPr>
          <w:p w14:paraId="0D8925A6" w14:textId="77777777" w:rsidR="005C2549" w:rsidRPr="005C2549" w:rsidRDefault="005C2549" w:rsidP="005C2549">
            <w:pPr>
              <w:spacing w:after="0" w:line="240" w:lineRule="auto"/>
              <w:jc w:val="center"/>
              <w:rPr>
                <w:rFonts w:ascii="Calibri" w:eastAsia="Times New Roman" w:hAnsi="Calibri" w:cs="Calibri"/>
                <w:color w:val="0000FF"/>
                <w:sz w:val="16"/>
                <w:szCs w:val="16"/>
                <w:lang w:eastAsia="en-IL"/>
              </w:rPr>
            </w:pPr>
            <w:r w:rsidRPr="005C2549">
              <w:rPr>
                <w:rFonts w:ascii="Calibri" w:eastAsia="Times New Roman" w:hAnsi="Calibri" w:cs="Calibri"/>
                <w:color w:val="0000FF"/>
                <w:sz w:val="16"/>
                <w:szCs w:val="16"/>
                <w:lang w:eastAsia="en-IL"/>
              </w:rPr>
              <w:t>-0.01</w:t>
            </w:r>
          </w:p>
        </w:tc>
      </w:tr>
      <w:tr w:rsidR="00D043C6" w:rsidRPr="00D043C6" w14:paraId="5513A3A6" w14:textId="77777777" w:rsidTr="00D043C6">
        <w:trPr>
          <w:trHeight w:val="300"/>
        </w:trPr>
        <w:tc>
          <w:tcPr>
            <w:tcW w:w="760" w:type="dxa"/>
            <w:tcBorders>
              <w:top w:val="nil"/>
              <w:left w:val="single" w:sz="8" w:space="0" w:color="auto"/>
              <w:bottom w:val="nil"/>
              <w:right w:val="single" w:sz="8" w:space="0" w:color="auto"/>
            </w:tcBorders>
            <w:shd w:val="clear" w:color="auto" w:fill="auto"/>
            <w:vAlign w:val="center"/>
            <w:hideMark/>
          </w:tcPr>
          <w:p w14:paraId="08F28F33"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1 to 50</w:t>
            </w:r>
          </w:p>
        </w:tc>
        <w:tc>
          <w:tcPr>
            <w:tcW w:w="816" w:type="dxa"/>
            <w:tcBorders>
              <w:top w:val="nil"/>
              <w:left w:val="nil"/>
              <w:bottom w:val="nil"/>
              <w:right w:val="single" w:sz="8" w:space="0" w:color="auto"/>
            </w:tcBorders>
            <w:shd w:val="clear" w:color="auto" w:fill="auto"/>
            <w:vAlign w:val="center"/>
            <w:hideMark/>
          </w:tcPr>
          <w:p w14:paraId="5C6C5B1C"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-1.99%</w:t>
            </w:r>
          </w:p>
        </w:tc>
        <w:tc>
          <w:tcPr>
            <w:tcW w:w="647" w:type="dxa"/>
            <w:tcBorders>
              <w:top w:val="nil"/>
              <w:left w:val="nil"/>
              <w:bottom w:val="nil"/>
              <w:right w:val="single" w:sz="8" w:space="0" w:color="auto"/>
            </w:tcBorders>
            <w:shd w:val="clear" w:color="auto" w:fill="auto"/>
            <w:noWrap/>
            <w:vAlign w:val="center"/>
            <w:hideMark/>
          </w:tcPr>
          <w:p w14:paraId="43F03B3B" w14:textId="77777777" w:rsidR="005C2549" w:rsidRPr="005C2549" w:rsidRDefault="005C2549" w:rsidP="005C2549">
            <w:pPr>
              <w:spacing w:after="0" w:line="240" w:lineRule="auto"/>
              <w:jc w:val="center"/>
              <w:rPr>
                <w:rFonts w:ascii="Calibri" w:eastAsia="Times New Roman" w:hAnsi="Calibri" w:cs="Calibri"/>
                <w:color w:val="0000FF"/>
                <w:sz w:val="16"/>
                <w:szCs w:val="16"/>
                <w:lang w:eastAsia="en-IL"/>
              </w:rPr>
            </w:pPr>
            <w:r w:rsidRPr="005C2549">
              <w:rPr>
                <w:rFonts w:ascii="Calibri" w:eastAsia="Times New Roman" w:hAnsi="Calibri" w:cs="Calibri"/>
                <w:color w:val="0000FF"/>
                <w:sz w:val="16"/>
                <w:szCs w:val="16"/>
                <w:lang w:eastAsia="en-IL"/>
              </w:rPr>
              <w:t>-0.40</w:t>
            </w:r>
          </w:p>
        </w:tc>
        <w:tc>
          <w:tcPr>
            <w:tcW w:w="816" w:type="dxa"/>
            <w:tcBorders>
              <w:top w:val="nil"/>
              <w:left w:val="nil"/>
              <w:bottom w:val="nil"/>
              <w:right w:val="single" w:sz="8" w:space="0" w:color="auto"/>
            </w:tcBorders>
            <w:shd w:val="clear" w:color="auto" w:fill="auto"/>
            <w:vAlign w:val="center"/>
            <w:hideMark/>
          </w:tcPr>
          <w:p w14:paraId="721D1C26"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9.05%</w:t>
            </w:r>
          </w:p>
        </w:tc>
        <w:tc>
          <w:tcPr>
            <w:tcW w:w="670" w:type="dxa"/>
            <w:tcBorders>
              <w:top w:val="nil"/>
              <w:left w:val="nil"/>
              <w:bottom w:val="nil"/>
              <w:right w:val="single" w:sz="8" w:space="0" w:color="auto"/>
            </w:tcBorders>
            <w:shd w:val="clear" w:color="auto" w:fill="auto"/>
            <w:noWrap/>
            <w:vAlign w:val="center"/>
            <w:hideMark/>
          </w:tcPr>
          <w:p w14:paraId="61CDD636" w14:textId="77777777" w:rsidR="005C2549" w:rsidRPr="005C2549" w:rsidRDefault="005C2549" w:rsidP="005C2549">
            <w:pPr>
              <w:spacing w:after="0" w:line="240" w:lineRule="auto"/>
              <w:jc w:val="center"/>
              <w:rPr>
                <w:rFonts w:ascii="Calibri" w:eastAsia="Times New Roman" w:hAnsi="Calibri" w:cs="Calibri"/>
                <w:color w:val="0000FF"/>
                <w:sz w:val="16"/>
                <w:szCs w:val="16"/>
                <w:lang w:eastAsia="en-IL"/>
              </w:rPr>
            </w:pPr>
            <w:r w:rsidRPr="005C2549">
              <w:rPr>
                <w:rFonts w:ascii="Calibri" w:eastAsia="Times New Roman" w:hAnsi="Calibri" w:cs="Calibri"/>
                <w:color w:val="0000FF"/>
                <w:sz w:val="16"/>
                <w:szCs w:val="16"/>
                <w:lang w:eastAsia="en-IL"/>
              </w:rPr>
              <w:t>1.80</w:t>
            </w:r>
          </w:p>
        </w:tc>
        <w:tc>
          <w:tcPr>
            <w:tcW w:w="950" w:type="dxa"/>
            <w:tcBorders>
              <w:top w:val="nil"/>
              <w:left w:val="nil"/>
              <w:bottom w:val="nil"/>
              <w:right w:val="single" w:sz="8" w:space="0" w:color="auto"/>
            </w:tcBorders>
            <w:shd w:val="clear" w:color="auto" w:fill="auto"/>
            <w:vAlign w:val="center"/>
            <w:hideMark/>
          </w:tcPr>
          <w:p w14:paraId="309FD1ED" w14:textId="0E6158A6" w:rsidR="005C2549" w:rsidRPr="005C2549" w:rsidRDefault="005C2549" w:rsidP="005C2549">
            <w:pPr>
              <w:spacing w:after="0" w:line="240" w:lineRule="auto"/>
              <w:jc w:val="center"/>
              <w:rPr>
                <w:rFonts w:ascii="Times New Roman" w:eastAsia="Times New Roman" w:hAnsi="Times New Roman" w:cs="Times New Roman"/>
                <w:color w:val="0000FF"/>
                <w:sz w:val="16"/>
                <w:szCs w:val="16"/>
                <w:highlight w:val="yellow"/>
                <w:lang w:eastAsia="en-IL"/>
              </w:rPr>
            </w:pPr>
            <w:r w:rsidRPr="005C2549">
              <w:rPr>
                <w:rFonts w:ascii="Times New Roman" w:eastAsia="Times New Roman" w:hAnsi="Times New Roman" w:cs="Times New Roman"/>
                <w:color w:val="0000FF"/>
                <w:sz w:val="16"/>
                <w:szCs w:val="16"/>
                <w:highlight w:val="yellow"/>
                <w:lang w:eastAsia="en-IL"/>
              </w:rPr>
              <w:t>-</w:t>
            </w:r>
            <w:r w:rsidR="003020D4" w:rsidRPr="001B3777">
              <w:rPr>
                <w:rFonts w:ascii="Times New Roman" w:eastAsia="Times New Roman" w:hAnsi="Times New Roman" w:cs="Times New Roman"/>
                <w:color w:val="0000FF"/>
                <w:sz w:val="16"/>
                <w:szCs w:val="16"/>
                <w:highlight w:val="yellow"/>
                <w:lang w:val="en-US" w:eastAsia="en-IL"/>
              </w:rPr>
              <w:t>8</w:t>
            </w:r>
            <w:r w:rsidRPr="005C2549">
              <w:rPr>
                <w:rFonts w:ascii="Times New Roman" w:eastAsia="Times New Roman" w:hAnsi="Times New Roman" w:cs="Times New Roman"/>
                <w:color w:val="0000FF"/>
                <w:sz w:val="16"/>
                <w:szCs w:val="16"/>
                <w:highlight w:val="yellow"/>
                <w:lang w:eastAsia="en-IL"/>
              </w:rPr>
              <w:t>.</w:t>
            </w:r>
            <w:r w:rsidR="003020D4" w:rsidRPr="001B3777">
              <w:rPr>
                <w:rFonts w:ascii="Times New Roman" w:eastAsia="Times New Roman" w:hAnsi="Times New Roman" w:cs="Times New Roman"/>
                <w:color w:val="0000FF"/>
                <w:sz w:val="16"/>
                <w:szCs w:val="16"/>
                <w:highlight w:val="yellow"/>
                <w:lang w:val="en-US" w:eastAsia="en-IL"/>
              </w:rPr>
              <w:t>22</w:t>
            </w:r>
            <w:r w:rsidRPr="005C2549">
              <w:rPr>
                <w:rFonts w:ascii="Times New Roman" w:eastAsia="Times New Roman" w:hAnsi="Times New Roman" w:cs="Times New Roman"/>
                <w:color w:val="0000FF"/>
                <w:sz w:val="16"/>
                <w:szCs w:val="16"/>
                <w:highlight w:val="yellow"/>
                <w:lang w:eastAsia="en-IL"/>
              </w:rPr>
              <w:t>%</w:t>
            </w:r>
          </w:p>
        </w:tc>
        <w:tc>
          <w:tcPr>
            <w:tcW w:w="697" w:type="dxa"/>
            <w:tcBorders>
              <w:top w:val="nil"/>
              <w:left w:val="nil"/>
              <w:bottom w:val="nil"/>
              <w:right w:val="single" w:sz="8" w:space="0" w:color="auto"/>
            </w:tcBorders>
            <w:shd w:val="clear" w:color="auto" w:fill="auto"/>
            <w:noWrap/>
            <w:vAlign w:val="center"/>
            <w:hideMark/>
          </w:tcPr>
          <w:p w14:paraId="7E4531AF" w14:textId="1457B036" w:rsidR="005C2549" w:rsidRPr="005C2549" w:rsidRDefault="005C2549" w:rsidP="005C2549">
            <w:pPr>
              <w:spacing w:after="0" w:line="240" w:lineRule="auto"/>
              <w:jc w:val="center"/>
              <w:rPr>
                <w:rFonts w:ascii="Calibri" w:eastAsia="Times New Roman" w:hAnsi="Calibri" w:cs="Calibri"/>
                <w:color w:val="0000FF"/>
                <w:sz w:val="16"/>
                <w:szCs w:val="16"/>
                <w:highlight w:val="yellow"/>
                <w:lang w:val="en-US" w:eastAsia="en-IL"/>
              </w:rPr>
            </w:pPr>
            <w:r w:rsidRPr="005C2549">
              <w:rPr>
                <w:rFonts w:ascii="Calibri" w:eastAsia="Times New Roman" w:hAnsi="Calibri" w:cs="Calibri"/>
                <w:color w:val="0000FF"/>
                <w:sz w:val="16"/>
                <w:szCs w:val="16"/>
                <w:highlight w:val="yellow"/>
                <w:lang w:eastAsia="en-IL"/>
              </w:rPr>
              <w:t>-1.</w:t>
            </w:r>
            <w:r w:rsidR="003020D4" w:rsidRPr="001B3777">
              <w:rPr>
                <w:rFonts w:ascii="Calibri" w:eastAsia="Times New Roman" w:hAnsi="Calibri" w:cs="Calibri"/>
                <w:color w:val="0000FF"/>
                <w:sz w:val="16"/>
                <w:szCs w:val="16"/>
                <w:highlight w:val="yellow"/>
                <w:lang w:val="en-US" w:eastAsia="en-IL"/>
              </w:rPr>
              <w:t>65</w:t>
            </w:r>
          </w:p>
        </w:tc>
        <w:tc>
          <w:tcPr>
            <w:tcW w:w="266" w:type="dxa"/>
            <w:tcBorders>
              <w:top w:val="nil"/>
              <w:left w:val="single" w:sz="12" w:space="0" w:color="auto"/>
              <w:bottom w:val="nil"/>
              <w:right w:val="nil"/>
            </w:tcBorders>
            <w:shd w:val="clear" w:color="auto" w:fill="auto"/>
            <w:vAlign w:val="center"/>
            <w:hideMark/>
          </w:tcPr>
          <w:p w14:paraId="3F8FF671"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 </w:t>
            </w:r>
          </w:p>
        </w:tc>
        <w:tc>
          <w:tcPr>
            <w:tcW w:w="764" w:type="dxa"/>
            <w:tcBorders>
              <w:top w:val="nil"/>
              <w:left w:val="single" w:sz="12" w:space="0" w:color="auto"/>
              <w:bottom w:val="nil"/>
              <w:right w:val="single" w:sz="8" w:space="0" w:color="auto"/>
            </w:tcBorders>
            <w:shd w:val="clear" w:color="auto" w:fill="auto"/>
            <w:vAlign w:val="center"/>
            <w:hideMark/>
          </w:tcPr>
          <w:p w14:paraId="10EE2E3C"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-1.44%</w:t>
            </w:r>
          </w:p>
        </w:tc>
        <w:tc>
          <w:tcPr>
            <w:tcW w:w="645" w:type="dxa"/>
            <w:tcBorders>
              <w:top w:val="nil"/>
              <w:left w:val="nil"/>
              <w:bottom w:val="nil"/>
              <w:right w:val="single" w:sz="12" w:space="0" w:color="auto"/>
            </w:tcBorders>
            <w:shd w:val="clear" w:color="auto" w:fill="auto"/>
            <w:noWrap/>
            <w:vAlign w:val="center"/>
            <w:hideMark/>
          </w:tcPr>
          <w:p w14:paraId="1C707DD4" w14:textId="77777777" w:rsidR="005C2549" w:rsidRPr="005C2549" w:rsidRDefault="005C2549" w:rsidP="005C2549">
            <w:pPr>
              <w:spacing w:after="0" w:line="240" w:lineRule="auto"/>
              <w:jc w:val="center"/>
              <w:rPr>
                <w:rFonts w:ascii="Calibri" w:eastAsia="Times New Roman" w:hAnsi="Calibri" w:cs="Calibri"/>
                <w:color w:val="0000FF"/>
                <w:sz w:val="16"/>
                <w:szCs w:val="16"/>
                <w:lang w:eastAsia="en-IL"/>
              </w:rPr>
            </w:pPr>
            <w:r w:rsidRPr="005C2549">
              <w:rPr>
                <w:rFonts w:ascii="Calibri" w:eastAsia="Times New Roman" w:hAnsi="Calibri" w:cs="Calibri"/>
                <w:color w:val="0000FF"/>
                <w:sz w:val="16"/>
                <w:szCs w:val="16"/>
                <w:lang w:eastAsia="en-IL"/>
              </w:rPr>
              <w:t>-0.29</w:t>
            </w:r>
          </w:p>
        </w:tc>
        <w:tc>
          <w:tcPr>
            <w:tcW w:w="798" w:type="dxa"/>
            <w:tcBorders>
              <w:top w:val="nil"/>
              <w:left w:val="nil"/>
              <w:bottom w:val="nil"/>
              <w:right w:val="single" w:sz="8" w:space="0" w:color="auto"/>
            </w:tcBorders>
            <w:shd w:val="clear" w:color="auto" w:fill="auto"/>
            <w:vAlign w:val="center"/>
            <w:hideMark/>
          </w:tcPr>
          <w:p w14:paraId="2297F32D"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9.60%</w:t>
            </w:r>
          </w:p>
        </w:tc>
        <w:tc>
          <w:tcPr>
            <w:tcW w:w="676" w:type="dxa"/>
            <w:tcBorders>
              <w:top w:val="nil"/>
              <w:left w:val="nil"/>
              <w:bottom w:val="nil"/>
              <w:right w:val="single" w:sz="12" w:space="0" w:color="auto"/>
            </w:tcBorders>
            <w:shd w:val="clear" w:color="auto" w:fill="auto"/>
            <w:noWrap/>
            <w:vAlign w:val="center"/>
            <w:hideMark/>
          </w:tcPr>
          <w:p w14:paraId="3A58D1ED" w14:textId="77777777" w:rsidR="005C2549" w:rsidRPr="005C2549" w:rsidRDefault="005C2549" w:rsidP="005C2549">
            <w:pPr>
              <w:spacing w:after="0" w:line="240" w:lineRule="auto"/>
              <w:jc w:val="center"/>
              <w:rPr>
                <w:rFonts w:ascii="Calibri" w:eastAsia="Times New Roman" w:hAnsi="Calibri" w:cs="Calibri"/>
                <w:color w:val="0000FF"/>
                <w:sz w:val="16"/>
                <w:szCs w:val="16"/>
                <w:lang w:eastAsia="en-IL"/>
              </w:rPr>
            </w:pPr>
            <w:r w:rsidRPr="005C2549">
              <w:rPr>
                <w:rFonts w:ascii="Calibri" w:eastAsia="Times New Roman" w:hAnsi="Calibri" w:cs="Calibri"/>
                <w:color w:val="0000FF"/>
                <w:sz w:val="16"/>
                <w:szCs w:val="16"/>
                <w:lang w:eastAsia="en-IL"/>
              </w:rPr>
              <w:t>1.88</w:t>
            </w:r>
          </w:p>
        </w:tc>
        <w:tc>
          <w:tcPr>
            <w:tcW w:w="807" w:type="dxa"/>
            <w:tcBorders>
              <w:top w:val="nil"/>
              <w:left w:val="nil"/>
              <w:bottom w:val="nil"/>
              <w:right w:val="single" w:sz="8" w:space="0" w:color="auto"/>
            </w:tcBorders>
            <w:shd w:val="clear" w:color="auto" w:fill="auto"/>
            <w:vAlign w:val="center"/>
            <w:hideMark/>
          </w:tcPr>
          <w:p w14:paraId="7C7A3CFF" w14:textId="050356F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w:t>
            </w:r>
            <w:r w:rsidR="003020D4">
              <w:rPr>
                <w:rFonts w:ascii="Times New Roman" w:eastAsia="Times New Roman" w:hAnsi="Times New Roman" w:cs="Times New Roman"/>
                <w:color w:val="0000FF"/>
                <w:sz w:val="16"/>
                <w:szCs w:val="16"/>
                <w:lang w:val="en-US" w:eastAsia="en-IL"/>
              </w:rPr>
              <w:t>8</w:t>
            </w:r>
            <w:r w:rsidRPr="005C2549">
              <w:rPr>
                <w:rFonts w:ascii="Times New Roman" w:eastAsia="Times New Roman" w:hAnsi="Times New Roman" w:cs="Times New Roman"/>
                <w:color w:val="0000FF"/>
                <w:sz w:val="16"/>
                <w:szCs w:val="16"/>
                <w:lang w:eastAsia="en-IL"/>
              </w:rPr>
              <w:t>.</w:t>
            </w:r>
            <w:r w:rsidR="003020D4">
              <w:rPr>
                <w:rFonts w:ascii="Times New Roman" w:eastAsia="Times New Roman" w:hAnsi="Times New Roman" w:cs="Times New Roman"/>
                <w:color w:val="0000FF"/>
                <w:sz w:val="16"/>
                <w:szCs w:val="16"/>
                <w:lang w:val="en-US" w:eastAsia="en-IL"/>
              </w:rPr>
              <w:t>54</w:t>
            </w:r>
            <w:r w:rsidRPr="005C2549">
              <w:rPr>
                <w:rFonts w:ascii="Times New Roman" w:eastAsia="Times New Roman" w:hAnsi="Times New Roman" w:cs="Times New Roman"/>
                <w:color w:val="0000FF"/>
                <w:sz w:val="16"/>
                <w:szCs w:val="16"/>
                <w:lang w:eastAsia="en-IL"/>
              </w:rPr>
              <w:t>%</w:t>
            </w:r>
          </w:p>
        </w:tc>
        <w:tc>
          <w:tcPr>
            <w:tcW w:w="667" w:type="dxa"/>
            <w:tcBorders>
              <w:top w:val="nil"/>
              <w:left w:val="nil"/>
              <w:bottom w:val="nil"/>
              <w:right w:val="single" w:sz="12" w:space="0" w:color="auto"/>
            </w:tcBorders>
            <w:shd w:val="clear" w:color="auto" w:fill="auto"/>
            <w:noWrap/>
            <w:vAlign w:val="center"/>
            <w:hideMark/>
          </w:tcPr>
          <w:p w14:paraId="788302E9" w14:textId="47E90621" w:rsidR="005C2549" w:rsidRPr="005C2549" w:rsidRDefault="005C2549" w:rsidP="005C2549">
            <w:pPr>
              <w:spacing w:after="0" w:line="240" w:lineRule="auto"/>
              <w:jc w:val="center"/>
              <w:rPr>
                <w:rFonts w:ascii="Calibri" w:eastAsia="Times New Roman" w:hAnsi="Calibri" w:cs="Calibri"/>
                <w:color w:val="0000FF"/>
                <w:sz w:val="16"/>
                <w:szCs w:val="16"/>
                <w:lang w:val="en-US" w:eastAsia="en-IL"/>
              </w:rPr>
            </w:pPr>
            <w:r w:rsidRPr="005C2549">
              <w:rPr>
                <w:rFonts w:ascii="Calibri" w:eastAsia="Times New Roman" w:hAnsi="Calibri" w:cs="Calibri"/>
                <w:color w:val="0000FF"/>
                <w:sz w:val="16"/>
                <w:szCs w:val="16"/>
                <w:lang w:eastAsia="en-IL"/>
              </w:rPr>
              <w:t>-1.</w:t>
            </w:r>
            <w:r w:rsidR="003020D4">
              <w:rPr>
                <w:rFonts w:ascii="Calibri" w:eastAsia="Times New Roman" w:hAnsi="Calibri" w:cs="Calibri"/>
                <w:color w:val="0000FF"/>
                <w:sz w:val="16"/>
                <w:szCs w:val="16"/>
                <w:lang w:val="en-US" w:eastAsia="en-IL"/>
              </w:rPr>
              <w:t>71</w:t>
            </w:r>
          </w:p>
        </w:tc>
      </w:tr>
      <w:tr w:rsidR="00D043C6" w:rsidRPr="00D043C6" w14:paraId="36E8903C" w14:textId="77777777" w:rsidTr="00D043C6">
        <w:trPr>
          <w:trHeight w:val="300"/>
        </w:trPr>
        <w:tc>
          <w:tcPr>
            <w:tcW w:w="760" w:type="dxa"/>
            <w:tcBorders>
              <w:top w:val="nil"/>
              <w:left w:val="single" w:sz="8" w:space="0" w:color="auto"/>
              <w:bottom w:val="nil"/>
              <w:right w:val="single" w:sz="8" w:space="0" w:color="auto"/>
            </w:tcBorders>
            <w:shd w:val="clear" w:color="auto" w:fill="auto"/>
            <w:vAlign w:val="center"/>
            <w:hideMark/>
          </w:tcPr>
          <w:p w14:paraId="6D79ECA5"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1 to 100</w:t>
            </w:r>
          </w:p>
        </w:tc>
        <w:tc>
          <w:tcPr>
            <w:tcW w:w="816" w:type="dxa"/>
            <w:tcBorders>
              <w:top w:val="nil"/>
              <w:left w:val="nil"/>
              <w:bottom w:val="nil"/>
              <w:right w:val="single" w:sz="8" w:space="0" w:color="auto"/>
            </w:tcBorders>
            <w:shd w:val="clear" w:color="auto" w:fill="auto"/>
            <w:vAlign w:val="center"/>
            <w:hideMark/>
          </w:tcPr>
          <w:p w14:paraId="797871DF"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-7.10%</w:t>
            </w:r>
          </w:p>
        </w:tc>
        <w:tc>
          <w:tcPr>
            <w:tcW w:w="647" w:type="dxa"/>
            <w:tcBorders>
              <w:top w:val="nil"/>
              <w:left w:val="nil"/>
              <w:bottom w:val="nil"/>
              <w:right w:val="single" w:sz="8" w:space="0" w:color="auto"/>
            </w:tcBorders>
            <w:shd w:val="clear" w:color="auto" w:fill="auto"/>
            <w:noWrap/>
            <w:vAlign w:val="center"/>
            <w:hideMark/>
          </w:tcPr>
          <w:p w14:paraId="1CB562A3" w14:textId="77777777" w:rsidR="005C2549" w:rsidRPr="005C2549" w:rsidRDefault="005C2549" w:rsidP="005C2549">
            <w:pPr>
              <w:spacing w:after="0" w:line="240" w:lineRule="auto"/>
              <w:jc w:val="center"/>
              <w:rPr>
                <w:rFonts w:ascii="Calibri" w:eastAsia="Times New Roman" w:hAnsi="Calibri" w:cs="Calibri"/>
                <w:color w:val="0000FF"/>
                <w:sz w:val="16"/>
                <w:szCs w:val="16"/>
                <w:lang w:eastAsia="en-IL"/>
              </w:rPr>
            </w:pPr>
            <w:r w:rsidRPr="005C2549">
              <w:rPr>
                <w:rFonts w:ascii="Calibri" w:eastAsia="Times New Roman" w:hAnsi="Calibri" w:cs="Calibri"/>
                <w:color w:val="0000FF"/>
                <w:sz w:val="16"/>
                <w:szCs w:val="16"/>
                <w:lang w:eastAsia="en-IL"/>
              </w:rPr>
              <w:t>-1.54</w:t>
            </w:r>
          </w:p>
        </w:tc>
        <w:tc>
          <w:tcPr>
            <w:tcW w:w="816" w:type="dxa"/>
            <w:tcBorders>
              <w:top w:val="nil"/>
              <w:left w:val="nil"/>
              <w:bottom w:val="nil"/>
              <w:right w:val="single" w:sz="8" w:space="0" w:color="auto"/>
            </w:tcBorders>
            <w:shd w:val="clear" w:color="auto" w:fill="auto"/>
            <w:vAlign w:val="center"/>
            <w:hideMark/>
          </w:tcPr>
          <w:p w14:paraId="7595CCF8"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12.91%</w:t>
            </w:r>
          </w:p>
        </w:tc>
        <w:tc>
          <w:tcPr>
            <w:tcW w:w="670" w:type="dxa"/>
            <w:tcBorders>
              <w:top w:val="nil"/>
              <w:left w:val="nil"/>
              <w:bottom w:val="nil"/>
              <w:right w:val="single" w:sz="8" w:space="0" w:color="auto"/>
            </w:tcBorders>
            <w:shd w:val="clear" w:color="auto" w:fill="auto"/>
            <w:noWrap/>
            <w:vAlign w:val="center"/>
            <w:hideMark/>
          </w:tcPr>
          <w:p w14:paraId="0EE54A6C" w14:textId="77777777" w:rsidR="005C2549" w:rsidRPr="005C2549" w:rsidRDefault="005C2549" w:rsidP="005C2549">
            <w:pPr>
              <w:spacing w:after="0" w:line="240" w:lineRule="auto"/>
              <w:jc w:val="center"/>
              <w:rPr>
                <w:rFonts w:ascii="Calibri" w:eastAsia="Times New Roman" w:hAnsi="Calibri" w:cs="Calibri"/>
                <w:color w:val="0000FF"/>
                <w:sz w:val="16"/>
                <w:szCs w:val="16"/>
                <w:lang w:eastAsia="en-IL"/>
              </w:rPr>
            </w:pPr>
            <w:r w:rsidRPr="005C2549">
              <w:rPr>
                <w:rFonts w:ascii="Calibri" w:eastAsia="Times New Roman" w:hAnsi="Calibri" w:cs="Calibri"/>
                <w:color w:val="0000FF"/>
                <w:sz w:val="16"/>
                <w:szCs w:val="16"/>
                <w:lang w:eastAsia="en-IL"/>
              </w:rPr>
              <w:t>3.14</w:t>
            </w:r>
          </w:p>
        </w:tc>
        <w:tc>
          <w:tcPr>
            <w:tcW w:w="950" w:type="dxa"/>
            <w:tcBorders>
              <w:top w:val="nil"/>
              <w:left w:val="nil"/>
              <w:bottom w:val="nil"/>
              <w:right w:val="single" w:sz="8" w:space="0" w:color="auto"/>
            </w:tcBorders>
            <w:shd w:val="clear" w:color="auto" w:fill="auto"/>
            <w:vAlign w:val="center"/>
            <w:hideMark/>
          </w:tcPr>
          <w:p w14:paraId="0D64BC52"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-15.64%</w:t>
            </w:r>
          </w:p>
        </w:tc>
        <w:tc>
          <w:tcPr>
            <w:tcW w:w="697" w:type="dxa"/>
            <w:tcBorders>
              <w:top w:val="nil"/>
              <w:left w:val="nil"/>
              <w:bottom w:val="nil"/>
              <w:right w:val="single" w:sz="8" w:space="0" w:color="auto"/>
            </w:tcBorders>
            <w:shd w:val="clear" w:color="auto" w:fill="auto"/>
            <w:noWrap/>
            <w:vAlign w:val="center"/>
            <w:hideMark/>
          </w:tcPr>
          <w:p w14:paraId="6C995A45" w14:textId="77777777" w:rsidR="005C2549" w:rsidRPr="005C2549" w:rsidRDefault="005C2549" w:rsidP="005C2549">
            <w:pPr>
              <w:spacing w:after="0" w:line="240" w:lineRule="auto"/>
              <w:jc w:val="center"/>
              <w:rPr>
                <w:rFonts w:ascii="Calibri" w:eastAsia="Times New Roman" w:hAnsi="Calibri" w:cs="Calibri"/>
                <w:color w:val="0000FF"/>
                <w:sz w:val="16"/>
                <w:szCs w:val="16"/>
                <w:lang w:eastAsia="en-IL"/>
              </w:rPr>
            </w:pPr>
            <w:r w:rsidRPr="005C2549">
              <w:rPr>
                <w:rFonts w:ascii="Calibri" w:eastAsia="Times New Roman" w:hAnsi="Calibri" w:cs="Calibri"/>
                <w:color w:val="0000FF"/>
                <w:sz w:val="16"/>
                <w:szCs w:val="16"/>
                <w:lang w:eastAsia="en-IL"/>
              </w:rPr>
              <w:t>-3.46</w:t>
            </w:r>
          </w:p>
        </w:tc>
        <w:tc>
          <w:tcPr>
            <w:tcW w:w="266" w:type="dxa"/>
            <w:tcBorders>
              <w:top w:val="nil"/>
              <w:left w:val="single" w:sz="12" w:space="0" w:color="auto"/>
              <w:bottom w:val="nil"/>
              <w:right w:val="nil"/>
            </w:tcBorders>
            <w:shd w:val="clear" w:color="auto" w:fill="auto"/>
            <w:vAlign w:val="center"/>
            <w:hideMark/>
          </w:tcPr>
          <w:p w14:paraId="52290A04"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 </w:t>
            </w:r>
          </w:p>
        </w:tc>
        <w:tc>
          <w:tcPr>
            <w:tcW w:w="764" w:type="dxa"/>
            <w:tcBorders>
              <w:top w:val="nil"/>
              <w:left w:val="single" w:sz="12" w:space="0" w:color="auto"/>
              <w:bottom w:val="nil"/>
              <w:right w:val="single" w:sz="8" w:space="0" w:color="auto"/>
            </w:tcBorders>
            <w:shd w:val="clear" w:color="auto" w:fill="auto"/>
            <w:vAlign w:val="center"/>
            <w:hideMark/>
          </w:tcPr>
          <w:p w14:paraId="0B722C86"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-6.31%</w:t>
            </w:r>
          </w:p>
        </w:tc>
        <w:tc>
          <w:tcPr>
            <w:tcW w:w="645" w:type="dxa"/>
            <w:tcBorders>
              <w:top w:val="nil"/>
              <w:left w:val="nil"/>
              <w:bottom w:val="nil"/>
              <w:right w:val="single" w:sz="12" w:space="0" w:color="auto"/>
            </w:tcBorders>
            <w:shd w:val="clear" w:color="auto" w:fill="auto"/>
            <w:noWrap/>
            <w:vAlign w:val="center"/>
            <w:hideMark/>
          </w:tcPr>
          <w:p w14:paraId="3622C7D4" w14:textId="77777777" w:rsidR="005C2549" w:rsidRPr="005C2549" w:rsidRDefault="005C2549" w:rsidP="005C2549">
            <w:pPr>
              <w:spacing w:after="0" w:line="240" w:lineRule="auto"/>
              <w:jc w:val="center"/>
              <w:rPr>
                <w:rFonts w:ascii="Calibri" w:eastAsia="Times New Roman" w:hAnsi="Calibri" w:cs="Calibri"/>
                <w:color w:val="0000FF"/>
                <w:sz w:val="16"/>
                <w:szCs w:val="16"/>
                <w:lang w:eastAsia="en-IL"/>
              </w:rPr>
            </w:pPr>
            <w:r w:rsidRPr="005C2549">
              <w:rPr>
                <w:rFonts w:ascii="Calibri" w:eastAsia="Times New Roman" w:hAnsi="Calibri" w:cs="Calibri"/>
                <w:color w:val="0000FF"/>
                <w:sz w:val="16"/>
                <w:szCs w:val="16"/>
                <w:lang w:eastAsia="en-IL"/>
              </w:rPr>
              <w:t>-1.36</w:t>
            </w:r>
          </w:p>
        </w:tc>
        <w:tc>
          <w:tcPr>
            <w:tcW w:w="798" w:type="dxa"/>
            <w:tcBorders>
              <w:top w:val="nil"/>
              <w:left w:val="nil"/>
              <w:bottom w:val="nil"/>
              <w:right w:val="single" w:sz="8" w:space="0" w:color="auto"/>
            </w:tcBorders>
            <w:shd w:val="clear" w:color="auto" w:fill="auto"/>
            <w:vAlign w:val="center"/>
            <w:hideMark/>
          </w:tcPr>
          <w:p w14:paraId="6F58DDDD"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13.78%</w:t>
            </w:r>
          </w:p>
        </w:tc>
        <w:tc>
          <w:tcPr>
            <w:tcW w:w="676" w:type="dxa"/>
            <w:tcBorders>
              <w:top w:val="nil"/>
              <w:left w:val="nil"/>
              <w:bottom w:val="nil"/>
              <w:right w:val="single" w:sz="12" w:space="0" w:color="auto"/>
            </w:tcBorders>
            <w:shd w:val="clear" w:color="auto" w:fill="auto"/>
            <w:noWrap/>
            <w:vAlign w:val="center"/>
            <w:hideMark/>
          </w:tcPr>
          <w:p w14:paraId="3F445CEC" w14:textId="77777777" w:rsidR="005C2549" w:rsidRPr="005C2549" w:rsidRDefault="005C2549" w:rsidP="005C2549">
            <w:pPr>
              <w:spacing w:after="0" w:line="240" w:lineRule="auto"/>
              <w:jc w:val="center"/>
              <w:rPr>
                <w:rFonts w:ascii="Calibri" w:eastAsia="Times New Roman" w:hAnsi="Calibri" w:cs="Calibri"/>
                <w:color w:val="0000FF"/>
                <w:sz w:val="16"/>
                <w:szCs w:val="16"/>
                <w:lang w:eastAsia="en-IL"/>
              </w:rPr>
            </w:pPr>
            <w:r w:rsidRPr="005C2549">
              <w:rPr>
                <w:rFonts w:ascii="Calibri" w:eastAsia="Times New Roman" w:hAnsi="Calibri" w:cs="Calibri"/>
                <w:color w:val="0000FF"/>
                <w:sz w:val="16"/>
                <w:szCs w:val="16"/>
                <w:lang w:eastAsia="en-IL"/>
              </w:rPr>
              <w:t>3.25</w:t>
            </w:r>
          </w:p>
        </w:tc>
        <w:tc>
          <w:tcPr>
            <w:tcW w:w="807" w:type="dxa"/>
            <w:tcBorders>
              <w:top w:val="nil"/>
              <w:left w:val="nil"/>
              <w:bottom w:val="nil"/>
              <w:right w:val="single" w:sz="8" w:space="0" w:color="auto"/>
            </w:tcBorders>
            <w:shd w:val="clear" w:color="auto" w:fill="auto"/>
            <w:vAlign w:val="center"/>
            <w:hideMark/>
          </w:tcPr>
          <w:p w14:paraId="3CADAA78"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-16.38%</w:t>
            </w:r>
          </w:p>
        </w:tc>
        <w:tc>
          <w:tcPr>
            <w:tcW w:w="667" w:type="dxa"/>
            <w:tcBorders>
              <w:top w:val="nil"/>
              <w:left w:val="nil"/>
              <w:bottom w:val="nil"/>
              <w:right w:val="single" w:sz="12" w:space="0" w:color="auto"/>
            </w:tcBorders>
            <w:shd w:val="clear" w:color="auto" w:fill="auto"/>
            <w:noWrap/>
            <w:vAlign w:val="center"/>
            <w:hideMark/>
          </w:tcPr>
          <w:p w14:paraId="6D71842C" w14:textId="77777777" w:rsidR="005C2549" w:rsidRPr="005C2549" w:rsidRDefault="005C2549" w:rsidP="005C2549">
            <w:pPr>
              <w:spacing w:after="0" w:line="240" w:lineRule="auto"/>
              <w:jc w:val="center"/>
              <w:rPr>
                <w:rFonts w:ascii="Calibri" w:eastAsia="Times New Roman" w:hAnsi="Calibri" w:cs="Calibri"/>
                <w:color w:val="0000FF"/>
                <w:sz w:val="16"/>
                <w:szCs w:val="16"/>
                <w:lang w:eastAsia="en-IL"/>
              </w:rPr>
            </w:pPr>
            <w:r w:rsidRPr="005C2549">
              <w:rPr>
                <w:rFonts w:ascii="Calibri" w:eastAsia="Times New Roman" w:hAnsi="Calibri" w:cs="Calibri"/>
                <w:color w:val="0000FF"/>
                <w:sz w:val="16"/>
                <w:szCs w:val="16"/>
                <w:lang w:eastAsia="en-IL"/>
              </w:rPr>
              <w:t>-3.62</w:t>
            </w:r>
          </w:p>
        </w:tc>
      </w:tr>
      <w:tr w:rsidR="00D043C6" w:rsidRPr="00D043C6" w14:paraId="3A7EF1B2" w14:textId="77777777" w:rsidTr="00D043C6">
        <w:trPr>
          <w:trHeight w:val="300"/>
        </w:trPr>
        <w:tc>
          <w:tcPr>
            <w:tcW w:w="760" w:type="dxa"/>
            <w:tcBorders>
              <w:top w:val="nil"/>
              <w:left w:val="single" w:sz="8" w:space="0" w:color="auto"/>
              <w:bottom w:val="nil"/>
              <w:right w:val="single" w:sz="8" w:space="0" w:color="auto"/>
            </w:tcBorders>
            <w:shd w:val="clear" w:color="auto" w:fill="auto"/>
            <w:vAlign w:val="center"/>
            <w:hideMark/>
          </w:tcPr>
          <w:p w14:paraId="12F21834"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1 to 150</w:t>
            </w:r>
          </w:p>
        </w:tc>
        <w:tc>
          <w:tcPr>
            <w:tcW w:w="816" w:type="dxa"/>
            <w:tcBorders>
              <w:top w:val="nil"/>
              <w:left w:val="nil"/>
              <w:bottom w:val="nil"/>
              <w:right w:val="single" w:sz="8" w:space="0" w:color="auto"/>
            </w:tcBorders>
            <w:shd w:val="clear" w:color="auto" w:fill="auto"/>
            <w:vAlign w:val="center"/>
            <w:hideMark/>
          </w:tcPr>
          <w:p w14:paraId="6C974487"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-16.04%</w:t>
            </w:r>
          </w:p>
        </w:tc>
        <w:tc>
          <w:tcPr>
            <w:tcW w:w="647" w:type="dxa"/>
            <w:tcBorders>
              <w:top w:val="nil"/>
              <w:left w:val="nil"/>
              <w:bottom w:val="nil"/>
              <w:right w:val="single" w:sz="8" w:space="0" w:color="auto"/>
            </w:tcBorders>
            <w:shd w:val="clear" w:color="auto" w:fill="auto"/>
            <w:noWrap/>
            <w:vAlign w:val="center"/>
            <w:hideMark/>
          </w:tcPr>
          <w:p w14:paraId="022CCD62" w14:textId="77777777" w:rsidR="005C2549" w:rsidRPr="005C2549" w:rsidRDefault="005C2549" w:rsidP="005C2549">
            <w:pPr>
              <w:spacing w:after="0" w:line="240" w:lineRule="auto"/>
              <w:jc w:val="center"/>
              <w:rPr>
                <w:rFonts w:ascii="Calibri" w:eastAsia="Times New Roman" w:hAnsi="Calibri" w:cs="Calibri"/>
                <w:color w:val="0000FF"/>
                <w:sz w:val="16"/>
                <w:szCs w:val="16"/>
                <w:lang w:eastAsia="en-IL"/>
              </w:rPr>
            </w:pPr>
            <w:r w:rsidRPr="005C2549">
              <w:rPr>
                <w:rFonts w:ascii="Calibri" w:eastAsia="Times New Roman" w:hAnsi="Calibri" w:cs="Calibri"/>
                <w:color w:val="0000FF"/>
                <w:sz w:val="16"/>
                <w:szCs w:val="16"/>
                <w:lang w:eastAsia="en-IL"/>
              </w:rPr>
              <w:t>-3.55</w:t>
            </w:r>
          </w:p>
        </w:tc>
        <w:tc>
          <w:tcPr>
            <w:tcW w:w="816" w:type="dxa"/>
            <w:tcBorders>
              <w:top w:val="nil"/>
              <w:left w:val="nil"/>
              <w:bottom w:val="nil"/>
              <w:right w:val="single" w:sz="8" w:space="0" w:color="auto"/>
            </w:tcBorders>
            <w:shd w:val="clear" w:color="auto" w:fill="auto"/>
            <w:vAlign w:val="center"/>
            <w:hideMark/>
          </w:tcPr>
          <w:p w14:paraId="0BCFD018"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9.07%</w:t>
            </w:r>
          </w:p>
        </w:tc>
        <w:tc>
          <w:tcPr>
            <w:tcW w:w="670" w:type="dxa"/>
            <w:tcBorders>
              <w:top w:val="nil"/>
              <w:left w:val="nil"/>
              <w:bottom w:val="nil"/>
              <w:right w:val="single" w:sz="8" w:space="0" w:color="auto"/>
            </w:tcBorders>
            <w:shd w:val="clear" w:color="auto" w:fill="auto"/>
            <w:noWrap/>
            <w:vAlign w:val="center"/>
            <w:hideMark/>
          </w:tcPr>
          <w:p w14:paraId="3E6ED1A2" w14:textId="77777777" w:rsidR="005C2549" w:rsidRPr="005C2549" w:rsidRDefault="005C2549" w:rsidP="005C2549">
            <w:pPr>
              <w:spacing w:after="0" w:line="240" w:lineRule="auto"/>
              <w:jc w:val="center"/>
              <w:rPr>
                <w:rFonts w:ascii="Calibri" w:eastAsia="Times New Roman" w:hAnsi="Calibri" w:cs="Calibri"/>
                <w:color w:val="0000FF"/>
                <w:sz w:val="16"/>
                <w:szCs w:val="16"/>
                <w:lang w:eastAsia="en-IL"/>
              </w:rPr>
            </w:pPr>
            <w:r w:rsidRPr="005C2549">
              <w:rPr>
                <w:rFonts w:ascii="Calibri" w:eastAsia="Times New Roman" w:hAnsi="Calibri" w:cs="Calibri"/>
                <w:color w:val="0000FF"/>
                <w:sz w:val="16"/>
                <w:szCs w:val="16"/>
                <w:lang w:eastAsia="en-IL"/>
              </w:rPr>
              <w:t>2.26</w:t>
            </w:r>
          </w:p>
        </w:tc>
        <w:tc>
          <w:tcPr>
            <w:tcW w:w="950" w:type="dxa"/>
            <w:tcBorders>
              <w:top w:val="nil"/>
              <w:left w:val="nil"/>
              <w:bottom w:val="nil"/>
              <w:right w:val="single" w:sz="8" w:space="0" w:color="auto"/>
            </w:tcBorders>
            <w:shd w:val="clear" w:color="auto" w:fill="auto"/>
            <w:vAlign w:val="center"/>
            <w:hideMark/>
          </w:tcPr>
          <w:p w14:paraId="3C6D0511"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-26.80%</w:t>
            </w:r>
          </w:p>
        </w:tc>
        <w:tc>
          <w:tcPr>
            <w:tcW w:w="697" w:type="dxa"/>
            <w:tcBorders>
              <w:top w:val="nil"/>
              <w:left w:val="nil"/>
              <w:bottom w:val="nil"/>
              <w:right w:val="single" w:sz="8" w:space="0" w:color="auto"/>
            </w:tcBorders>
            <w:shd w:val="clear" w:color="auto" w:fill="auto"/>
            <w:noWrap/>
            <w:vAlign w:val="center"/>
            <w:hideMark/>
          </w:tcPr>
          <w:p w14:paraId="3D6823D5" w14:textId="77777777" w:rsidR="005C2549" w:rsidRPr="005C2549" w:rsidRDefault="005C2549" w:rsidP="005C2549">
            <w:pPr>
              <w:spacing w:after="0" w:line="240" w:lineRule="auto"/>
              <w:jc w:val="center"/>
              <w:rPr>
                <w:rFonts w:ascii="Calibri" w:eastAsia="Times New Roman" w:hAnsi="Calibri" w:cs="Calibri"/>
                <w:color w:val="0000FF"/>
                <w:sz w:val="16"/>
                <w:szCs w:val="16"/>
                <w:lang w:eastAsia="en-IL"/>
              </w:rPr>
            </w:pPr>
            <w:r w:rsidRPr="005C2549">
              <w:rPr>
                <w:rFonts w:ascii="Calibri" w:eastAsia="Times New Roman" w:hAnsi="Calibri" w:cs="Calibri"/>
                <w:color w:val="0000FF"/>
                <w:sz w:val="16"/>
                <w:szCs w:val="16"/>
                <w:lang w:eastAsia="en-IL"/>
              </w:rPr>
              <w:t>-5.99</w:t>
            </w:r>
          </w:p>
        </w:tc>
        <w:tc>
          <w:tcPr>
            <w:tcW w:w="266" w:type="dxa"/>
            <w:tcBorders>
              <w:top w:val="nil"/>
              <w:left w:val="single" w:sz="12" w:space="0" w:color="auto"/>
              <w:bottom w:val="nil"/>
              <w:right w:val="nil"/>
            </w:tcBorders>
            <w:shd w:val="clear" w:color="auto" w:fill="auto"/>
            <w:vAlign w:val="center"/>
            <w:hideMark/>
          </w:tcPr>
          <w:p w14:paraId="5F33873B"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 </w:t>
            </w:r>
          </w:p>
        </w:tc>
        <w:tc>
          <w:tcPr>
            <w:tcW w:w="764" w:type="dxa"/>
            <w:tcBorders>
              <w:top w:val="nil"/>
              <w:left w:val="single" w:sz="12" w:space="0" w:color="auto"/>
              <w:bottom w:val="nil"/>
              <w:right w:val="single" w:sz="8" w:space="0" w:color="auto"/>
            </w:tcBorders>
            <w:shd w:val="clear" w:color="auto" w:fill="auto"/>
            <w:vAlign w:val="center"/>
            <w:hideMark/>
          </w:tcPr>
          <w:p w14:paraId="56D7CF01"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-15.08%</w:t>
            </w:r>
          </w:p>
        </w:tc>
        <w:tc>
          <w:tcPr>
            <w:tcW w:w="645" w:type="dxa"/>
            <w:tcBorders>
              <w:top w:val="nil"/>
              <w:left w:val="nil"/>
              <w:bottom w:val="nil"/>
              <w:right w:val="single" w:sz="12" w:space="0" w:color="auto"/>
            </w:tcBorders>
            <w:shd w:val="clear" w:color="auto" w:fill="auto"/>
            <w:noWrap/>
            <w:vAlign w:val="center"/>
            <w:hideMark/>
          </w:tcPr>
          <w:p w14:paraId="302D3AC5" w14:textId="77777777" w:rsidR="005C2549" w:rsidRPr="005C2549" w:rsidRDefault="005C2549" w:rsidP="005C2549">
            <w:pPr>
              <w:spacing w:after="0" w:line="240" w:lineRule="auto"/>
              <w:jc w:val="center"/>
              <w:rPr>
                <w:rFonts w:ascii="Calibri" w:eastAsia="Times New Roman" w:hAnsi="Calibri" w:cs="Calibri"/>
                <w:color w:val="0000FF"/>
                <w:sz w:val="16"/>
                <w:szCs w:val="16"/>
                <w:lang w:eastAsia="en-IL"/>
              </w:rPr>
            </w:pPr>
            <w:r w:rsidRPr="005C2549">
              <w:rPr>
                <w:rFonts w:ascii="Calibri" w:eastAsia="Times New Roman" w:hAnsi="Calibri" w:cs="Calibri"/>
                <w:color w:val="0000FF"/>
                <w:sz w:val="16"/>
                <w:szCs w:val="16"/>
                <w:lang w:eastAsia="en-IL"/>
              </w:rPr>
              <w:t>-3.29</w:t>
            </w:r>
          </w:p>
        </w:tc>
        <w:tc>
          <w:tcPr>
            <w:tcW w:w="798" w:type="dxa"/>
            <w:tcBorders>
              <w:top w:val="nil"/>
              <w:left w:val="nil"/>
              <w:bottom w:val="nil"/>
              <w:right w:val="single" w:sz="8" w:space="0" w:color="auto"/>
            </w:tcBorders>
            <w:shd w:val="clear" w:color="auto" w:fill="auto"/>
            <w:vAlign w:val="center"/>
            <w:hideMark/>
          </w:tcPr>
          <w:p w14:paraId="52347680"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10.20%</w:t>
            </w:r>
          </w:p>
        </w:tc>
        <w:tc>
          <w:tcPr>
            <w:tcW w:w="676" w:type="dxa"/>
            <w:tcBorders>
              <w:top w:val="nil"/>
              <w:left w:val="nil"/>
              <w:bottom w:val="nil"/>
              <w:right w:val="single" w:sz="12" w:space="0" w:color="auto"/>
            </w:tcBorders>
            <w:shd w:val="clear" w:color="auto" w:fill="auto"/>
            <w:noWrap/>
            <w:vAlign w:val="center"/>
            <w:hideMark/>
          </w:tcPr>
          <w:p w14:paraId="41B2EBA9" w14:textId="77777777" w:rsidR="005C2549" w:rsidRPr="005C2549" w:rsidRDefault="005C2549" w:rsidP="005C2549">
            <w:pPr>
              <w:spacing w:after="0" w:line="240" w:lineRule="auto"/>
              <w:jc w:val="center"/>
              <w:rPr>
                <w:rFonts w:ascii="Calibri" w:eastAsia="Times New Roman" w:hAnsi="Calibri" w:cs="Calibri"/>
                <w:color w:val="0000FF"/>
                <w:sz w:val="16"/>
                <w:szCs w:val="16"/>
                <w:lang w:eastAsia="en-IL"/>
              </w:rPr>
            </w:pPr>
            <w:r w:rsidRPr="005C2549">
              <w:rPr>
                <w:rFonts w:ascii="Calibri" w:eastAsia="Times New Roman" w:hAnsi="Calibri" w:cs="Calibri"/>
                <w:color w:val="0000FF"/>
                <w:sz w:val="16"/>
                <w:szCs w:val="16"/>
                <w:lang w:eastAsia="en-IL"/>
              </w:rPr>
              <w:t>2.47</w:t>
            </w:r>
          </w:p>
        </w:tc>
        <w:tc>
          <w:tcPr>
            <w:tcW w:w="807" w:type="dxa"/>
            <w:tcBorders>
              <w:top w:val="nil"/>
              <w:left w:val="nil"/>
              <w:bottom w:val="nil"/>
              <w:right w:val="single" w:sz="8" w:space="0" w:color="auto"/>
            </w:tcBorders>
            <w:shd w:val="clear" w:color="auto" w:fill="auto"/>
            <w:vAlign w:val="center"/>
            <w:hideMark/>
          </w:tcPr>
          <w:p w14:paraId="08078019"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-27.70%</w:t>
            </w:r>
          </w:p>
        </w:tc>
        <w:tc>
          <w:tcPr>
            <w:tcW w:w="667" w:type="dxa"/>
            <w:tcBorders>
              <w:top w:val="nil"/>
              <w:left w:val="nil"/>
              <w:bottom w:val="nil"/>
              <w:right w:val="single" w:sz="12" w:space="0" w:color="auto"/>
            </w:tcBorders>
            <w:shd w:val="clear" w:color="auto" w:fill="auto"/>
            <w:noWrap/>
            <w:vAlign w:val="center"/>
            <w:hideMark/>
          </w:tcPr>
          <w:p w14:paraId="22CA006C" w14:textId="77777777" w:rsidR="005C2549" w:rsidRPr="005C2549" w:rsidRDefault="005C2549" w:rsidP="005C2549">
            <w:pPr>
              <w:spacing w:after="0" w:line="240" w:lineRule="auto"/>
              <w:jc w:val="center"/>
              <w:rPr>
                <w:rFonts w:ascii="Calibri" w:eastAsia="Times New Roman" w:hAnsi="Calibri" w:cs="Calibri"/>
                <w:color w:val="0000FF"/>
                <w:sz w:val="16"/>
                <w:szCs w:val="16"/>
                <w:lang w:eastAsia="en-IL"/>
              </w:rPr>
            </w:pPr>
            <w:r w:rsidRPr="005C2549">
              <w:rPr>
                <w:rFonts w:ascii="Calibri" w:eastAsia="Times New Roman" w:hAnsi="Calibri" w:cs="Calibri"/>
                <w:color w:val="0000FF"/>
                <w:sz w:val="16"/>
                <w:szCs w:val="16"/>
                <w:lang w:eastAsia="en-IL"/>
              </w:rPr>
              <w:t>-6.28</w:t>
            </w:r>
          </w:p>
        </w:tc>
      </w:tr>
      <w:tr w:rsidR="00D043C6" w:rsidRPr="00D043C6" w14:paraId="53FFD80A" w14:textId="77777777" w:rsidTr="00D043C6">
        <w:trPr>
          <w:trHeight w:val="300"/>
        </w:trPr>
        <w:tc>
          <w:tcPr>
            <w:tcW w:w="760" w:type="dxa"/>
            <w:tcBorders>
              <w:top w:val="nil"/>
              <w:left w:val="single" w:sz="8" w:space="0" w:color="auto"/>
              <w:bottom w:val="nil"/>
              <w:right w:val="single" w:sz="8" w:space="0" w:color="auto"/>
            </w:tcBorders>
            <w:shd w:val="clear" w:color="auto" w:fill="auto"/>
            <w:vAlign w:val="center"/>
            <w:hideMark/>
          </w:tcPr>
          <w:p w14:paraId="330B17ED"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1 to 200</w:t>
            </w:r>
          </w:p>
        </w:tc>
        <w:tc>
          <w:tcPr>
            <w:tcW w:w="816" w:type="dxa"/>
            <w:tcBorders>
              <w:top w:val="nil"/>
              <w:left w:val="nil"/>
              <w:bottom w:val="nil"/>
              <w:right w:val="single" w:sz="8" w:space="0" w:color="auto"/>
            </w:tcBorders>
            <w:shd w:val="clear" w:color="auto" w:fill="auto"/>
            <w:vAlign w:val="center"/>
            <w:hideMark/>
          </w:tcPr>
          <w:p w14:paraId="4BA1A5E8"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-21.46%</w:t>
            </w:r>
          </w:p>
        </w:tc>
        <w:tc>
          <w:tcPr>
            <w:tcW w:w="647" w:type="dxa"/>
            <w:tcBorders>
              <w:top w:val="nil"/>
              <w:left w:val="nil"/>
              <w:bottom w:val="nil"/>
              <w:right w:val="single" w:sz="8" w:space="0" w:color="auto"/>
            </w:tcBorders>
            <w:shd w:val="clear" w:color="auto" w:fill="auto"/>
            <w:noWrap/>
            <w:vAlign w:val="center"/>
            <w:hideMark/>
          </w:tcPr>
          <w:p w14:paraId="136681B6" w14:textId="77777777" w:rsidR="005C2549" w:rsidRPr="005C2549" w:rsidRDefault="005C2549" w:rsidP="005C2549">
            <w:pPr>
              <w:spacing w:after="0" w:line="240" w:lineRule="auto"/>
              <w:jc w:val="center"/>
              <w:rPr>
                <w:rFonts w:ascii="Calibri" w:eastAsia="Times New Roman" w:hAnsi="Calibri" w:cs="Calibri"/>
                <w:color w:val="0000FF"/>
                <w:sz w:val="16"/>
                <w:szCs w:val="16"/>
                <w:lang w:eastAsia="en-IL"/>
              </w:rPr>
            </w:pPr>
            <w:r w:rsidRPr="005C2549">
              <w:rPr>
                <w:rFonts w:ascii="Calibri" w:eastAsia="Times New Roman" w:hAnsi="Calibri" w:cs="Calibri"/>
                <w:color w:val="0000FF"/>
                <w:sz w:val="16"/>
                <w:szCs w:val="16"/>
                <w:lang w:eastAsia="en-IL"/>
              </w:rPr>
              <w:t>-4.62</w:t>
            </w:r>
          </w:p>
        </w:tc>
        <w:tc>
          <w:tcPr>
            <w:tcW w:w="816" w:type="dxa"/>
            <w:tcBorders>
              <w:top w:val="nil"/>
              <w:left w:val="nil"/>
              <w:bottom w:val="nil"/>
              <w:right w:val="single" w:sz="8" w:space="0" w:color="auto"/>
            </w:tcBorders>
            <w:shd w:val="clear" w:color="auto" w:fill="auto"/>
            <w:vAlign w:val="center"/>
            <w:hideMark/>
          </w:tcPr>
          <w:p w14:paraId="5E8AE115"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12.47%</w:t>
            </w:r>
          </w:p>
        </w:tc>
        <w:tc>
          <w:tcPr>
            <w:tcW w:w="670" w:type="dxa"/>
            <w:tcBorders>
              <w:top w:val="nil"/>
              <w:left w:val="nil"/>
              <w:bottom w:val="nil"/>
              <w:right w:val="single" w:sz="8" w:space="0" w:color="auto"/>
            </w:tcBorders>
            <w:shd w:val="clear" w:color="auto" w:fill="auto"/>
            <w:noWrap/>
            <w:vAlign w:val="center"/>
            <w:hideMark/>
          </w:tcPr>
          <w:p w14:paraId="10E9C4CA" w14:textId="77777777" w:rsidR="005C2549" w:rsidRPr="005C2549" w:rsidRDefault="005C2549" w:rsidP="005C2549">
            <w:pPr>
              <w:spacing w:after="0" w:line="240" w:lineRule="auto"/>
              <w:jc w:val="center"/>
              <w:rPr>
                <w:rFonts w:ascii="Calibri" w:eastAsia="Times New Roman" w:hAnsi="Calibri" w:cs="Calibri"/>
                <w:color w:val="0000FF"/>
                <w:sz w:val="16"/>
                <w:szCs w:val="16"/>
                <w:lang w:eastAsia="en-IL"/>
              </w:rPr>
            </w:pPr>
            <w:r w:rsidRPr="005C2549">
              <w:rPr>
                <w:rFonts w:ascii="Calibri" w:eastAsia="Times New Roman" w:hAnsi="Calibri" w:cs="Calibri"/>
                <w:color w:val="0000FF"/>
                <w:sz w:val="16"/>
                <w:szCs w:val="16"/>
                <w:lang w:eastAsia="en-IL"/>
              </w:rPr>
              <w:t>3.28</w:t>
            </w:r>
          </w:p>
        </w:tc>
        <w:tc>
          <w:tcPr>
            <w:tcW w:w="950" w:type="dxa"/>
            <w:tcBorders>
              <w:top w:val="nil"/>
              <w:left w:val="nil"/>
              <w:bottom w:val="nil"/>
              <w:right w:val="single" w:sz="8" w:space="0" w:color="auto"/>
            </w:tcBorders>
            <w:shd w:val="clear" w:color="auto" w:fill="auto"/>
            <w:vAlign w:val="center"/>
            <w:hideMark/>
          </w:tcPr>
          <w:p w14:paraId="732F2AE8"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-36.35%</w:t>
            </w:r>
          </w:p>
        </w:tc>
        <w:tc>
          <w:tcPr>
            <w:tcW w:w="697" w:type="dxa"/>
            <w:tcBorders>
              <w:top w:val="nil"/>
              <w:left w:val="nil"/>
              <w:bottom w:val="nil"/>
              <w:right w:val="single" w:sz="8" w:space="0" w:color="auto"/>
            </w:tcBorders>
            <w:shd w:val="clear" w:color="auto" w:fill="auto"/>
            <w:noWrap/>
            <w:vAlign w:val="center"/>
            <w:hideMark/>
          </w:tcPr>
          <w:p w14:paraId="738E08F4" w14:textId="77777777" w:rsidR="005C2549" w:rsidRPr="005C2549" w:rsidRDefault="005C2549" w:rsidP="005C2549">
            <w:pPr>
              <w:spacing w:after="0" w:line="240" w:lineRule="auto"/>
              <w:jc w:val="center"/>
              <w:rPr>
                <w:rFonts w:ascii="Calibri" w:eastAsia="Times New Roman" w:hAnsi="Calibri" w:cs="Calibri"/>
                <w:color w:val="0000FF"/>
                <w:sz w:val="16"/>
                <w:szCs w:val="16"/>
                <w:lang w:eastAsia="en-IL"/>
              </w:rPr>
            </w:pPr>
            <w:r w:rsidRPr="005C2549">
              <w:rPr>
                <w:rFonts w:ascii="Calibri" w:eastAsia="Times New Roman" w:hAnsi="Calibri" w:cs="Calibri"/>
                <w:color w:val="0000FF"/>
                <w:sz w:val="16"/>
                <w:szCs w:val="16"/>
                <w:lang w:eastAsia="en-IL"/>
              </w:rPr>
              <w:t>-7.77</w:t>
            </w:r>
          </w:p>
        </w:tc>
        <w:tc>
          <w:tcPr>
            <w:tcW w:w="266" w:type="dxa"/>
            <w:tcBorders>
              <w:top w:val="nil"/>
              <w:left w:val="single" w:sz="12" w:space="0" w:color="auto"/>
              <w:bottom w:val="nil"/>
              <w:right w:val="nil"/>
            </w:tcBorders>
            <w:shd w:val="clear" w:color="auto" w:fill="auto"/>
            <w:vAlign w:val="center"/>
            <w:hideMark/>
          </w:tcPr>
          <w:p w14:paraId="2AFA7074"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 </w:t>
            </w:r>
          </w:p>
        </w:tc>
        <w:tc>
          <w:tcPr>
            <w:tcW w:w="764" w:type="dxa"/>
            <w:tcBorders>
              <w:top w:val="nil"/>
              <w:left w:val="single" w:sz="12" w:space="0" w:color="auto"/>
              <w:bottom w:val="nil"/>
              <w:right w:val="single" w:sz="8" w:space="0" w:color="auto"/>
            </w:tcBorders>
            <w:shd w:val="clear" w:color="auto" w:fill="auto"/>
            <w:vAlign w:val="center"/>
            <w:hideMark/>
          </w:tcPr>
          <w:p w14:paraId="64B8D6B3"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-20.53%</w:t>
            </w:r>
          </w:p>
        </w:tc>
        <w:tc>
          <w:tcPr>
            <w:tcW w:w="645" w:type="dxa"/>
            <w:tcBorders>
              <w:top w:val="nil"/>
              <w:left w:val="nil"/>
              <w:bottom w:val="nil"/>
              <w:right w:val="single" w:sz="12" w:space="0" w:color="auto"/>
            </w:tcBorders>
            <w:shd w:val="clear" w:color="auto" w:fill="auto"/>
            <w:noWrap/>
            <w:vAlign w:val="center"/>
            <w:hideMark/>
          </w:tcPr>
          <w:p w14:paraId="22117296" w14:textId="77777777" w:rsidR="005C2549" w:rsidRPr="005C2549" w:rsidRDefault="005C2549" w:rsidP="005C2549">
            <w:pPr>
              <w:spacing w:after="0" w:line="240" w:lineRule="auto"/>
              <w:jc w:val="center"/>
              <w:rPr>
                <w:rFonts w:ascii="Calibri" w:eastAsia="Times New Roman" w:hAnsi="Calibri" w:cs="Calibri"/>
                <w:color w:val="0000FF"/>
                <w:sz w:val="16"/>
                <w:szCs w:val="16"/>
                <w:lang w:eastAsia="en-IL"/>
              </w:rPr>
            </w:pPr>
            <w:r w:rsidRPr="005C2549">
              <w:rPr>
                <w:rFonts w:ascii="Calibri" w:eastAsia="Times New Roman" w:hAnsi="Calibri" w:cs="Calibri"/>
                <w:color w:val="0000FF"/>
                <w:sz w:val="16"/>
                <w:szCs w:val="16"/>
                <w:lang w:eastAsia="en-IL"/>
              </w:rPr>
              <w:t>-4.32</w:t>
            </w:r>
          </w:p>
        </w:tc>
        <w:tc>
          <w:tcPr>
            <w:tcW w:w="798" w:type="dxa"/>
            <w:tcBorders>
              <w:top w:val="nil"/>
              <w:left w:val="nil"/>
              <w:bottom w:val="nil"/>
              <w:right w:val="single" w:sz="8" w:space="0" w:color="auto"/>
            </w:tcBorders>
            <w:shd w:val="clear" w:color="auto" w:fill="auto"/>
            <w:vAlign w:val="center"/>
            <w:hideMark/>
          </w:tcPr>
          <w:p w14:paraId="1265AB01"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13.88%</w:t>
            </w:r>
          </w:p>
        </w:tc>
        <w:tc>
          <w:tcPr>
            <w:tcW w:w="676" w:type="dxa"/>
            <w:tcBorders>
              <w:top w:val="nil"/>
              <w:left w:val="nil"/>
              <w:bottom w:val="nil"/>
              <w:right w:val="single" w:sz="12" w:space="0" w:color="auto"/>
            </w:tcBorders>
            <w:shd w:val="clear" w:color="auto" w:fill="auto"/>
            <w:noWrap/>
            <w:vAlign w:val="center"/>
            <w:hideMark/>
          </w:tcPr>
          <w:p w14:paraId="615DF5EA" w14:textId="77777777" w:rsidR="005C2549" w:rsidRPr="005C2549" w:rsidRDefault="005C2549" w:rsidP="005C2549">
            <w:pPr>
              <w:spacing w:after="0" w:line="240" w:lineRule="auto"/>
              <w:jc w:val="center"/>
              <w:rPr>
                <w:rFonts w:ascii="Calibri" w:eastAsia="Times New Roman" w:hAnsi="Calibri" w:cs="Calibri"/>
                <w:color w:val="0000FF"/>
                <w:sz w:val="16"/>
                <w:szCs w:val="16"/>
                <w:lang w:eastAsia="en-IL"/>
              </w:rPr>
            </w:pPr>
            <w:r w:rsidRPr="005C2549">
              <w:rPr>
                <w:rFonts w:ascii="Calibri" w:eastAsia="Times New Roman" w:hAnsi="Calibri" w:cs="Calibri"/>
                <w:color w:val="0000FF"/>
                <w:sz w:val="16"/>
                <w:szCs w:val="16"/>
                <w:lang w:eastAsia="en-IL"/>
              </w:rPr>
              <w:t>3.55</w:t>
            </w:r>
          </w:p>
        </w:tc>
        <w:tc>
          <w:tcPr>
            <w:tcW w:w="807" w:type="dxa"/>
            <w:tcBorders>
              <w:top w:val="nil"/>
              <w:left w:val="nil"/>
              <w:bottom w:val="nil"/>
              <w:right w:val="single" w:sz="8" w:space="0" w:color="auto"/>
            </w:tcBorders>
            <w:shd w:val="clear" w:color="auto" w:fill="auto"/>
            <w:vAlign w:val="center"/>
            <w:hideMark/>
          </w:tcPr>
          <w:p w14:paraId="6CB006D2"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-37.06%</w:t>
            </w:r>
          </w:p>
        </w:tc>
        <w:tc>
          <w:tcPr>
            <w:tcW w:w="667" w:type="dxa"/>
            <w:tcBorders>
              <w:top w:val="nil"/>
              <w:left w:val="nil"/>
              <w:bottom w:val="nil"/>
              <w:right w:val="single" w:sz="12" w:space="0" w:color="auto"/>
            </w:tcBorders>
            <w:shd w:val="clear" w:color="auto" w:fill="auto"/>
            <w:noWrap/>
            <w:vAlign w:val="center"/>
            <w:hideMark/>
          </w:tcPr>
          <w:p w14:paraId="380286F3" w14:textId="77777777" w:rsidR="005C2549" w:rsidRPr="005C2549" w:rsidRDefault="005C2549" w:rsidP="005C2549">
            <w:pPr>
              <w:spacing w:after="0" w:line="240" w:lineRule="auto"/>
              <w:jc w:val="center"/>
              <w:rPr>
                <w:rFonts w:ascii="Calibri" w:eastAsia="Times New Roman" w:hAnsi="Calibri" w:cs="Calibri"/>
                <w:color w:val="0000FF"/>
                <w:sz w:val="16"/>
                <w:szCs w:val="16"/>
                <w:lang w:eastAsia="en-IL"/>
              </w:rPr>
            </w:pPr>
            <w:r w:rsidRPr="005C2549">
              <w:rPr>
                <w:rFonts w:ascii="Calibri" w:eastAsia="Times New Roman" w:hAnsi="Calibri" w:cs="Calibri"/>
                <w:color w:val="0000FF"/>
                <w:sz w:val="16"/>
                <w:szCs w:val="16"/>
                <w:lang w:eastAsia="en-IL"/>
              </w:rPr>
              <w:t>-8.09</w:t>
            </w:r>
          </w:p>
        </w:tc>
      </w:tr>
      <w:tr w:rsidR="00D043C6" w:rsidRPr="00D043C6" w14:paraId="551DAD85" w14:textId="77777777" w:rsidTr="00D043C6">
        <w:trPr>
          <w:trHeight w:val="300"/>
        </w:trPr>
        <w:tc>
          <w:tcPr>
            <w:tcW w:w="760" w:type="dxa"/>
            <w:tcBorders>
              <w:top w:val="nil"/>
              <w:left w:val="single" w:sz="8" w:space="0" w:color="auto"/>
              <w:bottom w:val="nil"/>
              <w:right w:val="single" w:sz="8" w:space="0" w:color="auto"/>
            </w:tcBorders>
            <w:shd w:val="clear" w:color="auto" w:fill="auto"/>
            <w:vAlign w:val="center"/>
            <w:hideMark/>
          </w:tcPr>
          <w:p w14:paraId="190FE794"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1 to 250</w:t>
            </w:r>
          </w:p>
        </w:tc>
        <w:tc>
          <w:tcPr>
            <w:tcW w:w="816" w:type="dxa"/>
            <w:tcBorders>
              <w:top w:val="nil"/>
              <w:left w:val="nil"/>
              <w:bottom w:val="nil"/>
              <w:right w:val="single" w:sz="8" w:space="0" w:color="auto"/>
            </w:tcBorders>
            <w:shd w:val="clear" w:color="auto" w:fill="auto"/>
            <w:vAlign w:val="center"/>
            <w:hideMark/>
          </w:tcPr>
          <w:p w14:paraId="1233DA7B"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-26.74%</w:t>
            </w:r>
          </w:p>
        </w:tc>
        <w:tc>
          <w:tcPr>
            <w:tcW w:w="647" w:type="dxa"/>
            <w:tcBorders>
              <w:top w:val="nil"/>
              <w:left w:val="nil"/>
              <w:bottom w:val="nil"/>
              <w:right w:val="single" w:sz="8" w:space="0" w:color="auto"/>
            </w:tcBorders>
            <w:shd w:val="clear" w:color="auto" w:fill="auto"/>
            <w:noWrap/>
            <w:vAlign w:val="center"/>
            <w:hideMark/>
          </w:tcPr>
          <w:p w14:paraId="6A515F9F" w14:textId="77777777" w:rsidR="005C2549" w:rsidRPr="005C2549" w:rsidRDefault="005C2549" w:rsidP="005C2549">
            <w:pPr>
              <w:spacing w:after="0" w:line="240" w:lineRule="auto"/>
              <w:jc w:val="center"/>
              <w:rPr>
                <w:rFonts w:ascii="Calibri" w:eastAsia="Times New Roman" w:hAnsi="Calibri" w:cs="Calibri"/>
                <w:color w:val="0000FF"/>
                <w:sz w:val="16"/>
                <w:szCs w:val="16"/>
                <w:lang w:eastAsia="en-IL"/>
              </w:rPr>
            </w:pPr>
            <w:r w:rsidRPr="005C2549">
              <w:rPr>
                <w:rFonts w:ascii="Calibri" w:eastAsia="Times New Roman" w:hAnsi="Calibri" w:cs="Calibri"/>
                <w:color w:val="0000FF"/>
                <w:sz w:val="16"/>
                <w:szCs w:val="16"/>
                <w:lang w:eastAsia="en-IL"/>
              </w:rPr>
              <w:t>-5.71</w:t>
            </w:r>
          </w:p>
        </w:tc>
        <w:tc>
          <w:tcPr>
            <w:tcW w:w="816" w:type="dxa"/>
            <w:tcBorders>
              <w:top w:val="nil"/>
              <w:left w:val="nil"/>
              <w:bottom w:val="nil"/>
              <w:right w:val="single" w:sz="8" w:space="0" w:color="auto"/>
            </w:tcBorders>
            <w:shd w:val="clear" w:color="auto" w:fill="auto"/>
            <w:vAlign w:val="center"/>
            <w:hideMark/>
          </w:tcPr>
          <w:p w14:paraId="4ECE46C7"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6.00%</w:t>
            </w:r>
          </w:p>
        </w:tc>
        <w:tc>
          <w:tcPr>
            <w:tcW w:w="670" w:type="dxa"/>
            <w:tcBorders>
              <w:top w:val="nil"/>
              <w:left w:val="nil"/>
              <w:bottom w:val="nil"/>
              <w:right w:val="single" w:sz="8" w:space="0" w:color="auto"/>
            </w:tcBorders>
            <w:shd w:val="clear" w:color="auto" w:fill="auto"/>
            <w:noWrap/>
            <w:vAlign w:val="center"/>
            <w:hideMark/>
          </w:tcPr>
          <w:p w14:paraId="5A7E2F56" w14:textId="77777777" w:rsidR="005C2549" w:rsidRPr="005C2549" w:rsidRDefault="005C2549" w:rsidP="005C2549">
            <w:pPr>
              <w:spacing w:after="0" w:line="240" w:lineRule="auto"/>
              <w:jc w:val="center"/>
              <w:rPr>
                <w:rFonts w:ascii="Calibri" w:eastAsia="Times New Roman" w:hAnsi="Calibri" w:cs="Calibri"/>
                <w:color w:val="0000FF"/>
                <w:sz w:val="16"/>
                <w:szCs w:val="16"/>
                <w:lang w:eastAsia="en-IL"/>
              </w:rPr>
            </w:pPr>
            <w:r w:rsidRPr="005C2549">
              <w:rPr>
                <w:rFonts w:ascii="Calibri" w:eastAsia="Times New Roman" w:hAnsi="Calibri" w:cs="Calibri"/>
                <w:color w:val="0000FF"/>
                <w:sz w:val="16"/>
                <w:szCs w:val="16"/>
                <w:lang w:eastAsia="en-IL"/>
              </w:rPr>
              <w:t>1.58</w:t>
            </w:r>
          </w:p>
        </w:tc>
        <w:tc>
          <w:tcPr>
            <w:tcW w:w="950" w:type="dxa"/>
            <w:tcBorders>
              <w:top w:val="nil"/>
              <w:left w:val="nil"/>
              <w:bottom w:val="nil"/>
              <w:right w:val="single" w:sz="8" w:space="0" w:color="auto"/>
            </w:tcBorders>
            <w:shd w:val="clear" w:color="auto" w:fill="auto"/>
            <w:vAlign w:val="center"/>
            <w:hideMark/>
          </w:tcPr>
          <w:p w14:paraId="35EAD76D"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-40.56%</w:t>
            </w:r>
          </w:p>
        </w:tc>
        <w:tc>
          <w:tcPr>
            <w:tcW w:w="697" w:type="dxa"/>
            <w:tcBorders>
              <w:top w:val="nil"/>
              <w:left w:val="nil"/>
              <w:bottom w:val="nil"/>
              <w:right w:val="single" w:sz="8" w:space="0" w:color="auto"/>
            </w:tcBorders>
            <w:shd w:val="clear" w:color="auto" w:fill="auto"/>
            <w:noWrap/>
            <w:vAlign w:val="center"/>
            <w:hideMark/>
          </w:tcPr>
          <w:p w14:paraId="0D573AA1" w14:textId="77777777" w:rsidR="005C2549" w:rsidRPr="005C2549" w:rsidRDefault="005C2549" w:rsidP="005C2549">
            <w:pPr>
              <w:spacing w:after="0" w:line="240" w:lineRule="auto"/>
              <w:jc w:val="center"/>
              <w:rPr>
                <w:rFonts w:ascii="Calibri" w:eastAsia="Times New Roman" w:hAnsi="Calibri" w:cs="Calibri"/>
                <w:color w:val="0000FF"/>
                <w:sz w:val="16"/>
                <w:szCs w:val="16"/>
                <w:lang w:eastAsia="en-IL"/>
              </w:rPr>
            </w:pPr>
            <w:r w:rsidRPr="005C2549">
              <w:rPr>
                <w:rFonts w:ascii="Calibri" w:eastAsia="Times New Roman" w:hAnsi="Calibri" w:cs="Calibri"/>
                <w:color w:val="0000FF"/>
                <w:sz w:val="16"/>
                <w:szCs w:val="16"/>
                <w:lang w:eastAsia="en-IL"/>
              </w:rPr>
              <w:t>-8.46</w:t>
            </w:r>
          </w:p>
        </w:tc>
        <w:tc>
          <w:tcPr>
            <w:tcW w:w="266" w:type="dxa"/>
            <w:tcBorders>
              <w:top w:val="nil"/>
              <w:left w:val="single" w:sz="12" w:space="0" w:color="auto"/>
              <w:bottom w:val="nil"/>
              <w:right w:val="nil"/>
            </w:tcBorders>
            <w:shd w:val="clear" w:color="auto" w:fill="auto"/>
            <w:vAlign w:val="center"/>
            <w:hideMark/>
          </w:tcPr>
          <w:p w14:paraId="6670F7A5"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 </w:t>
            </w:r>
          </w:p>
        </w:tc>
        <w:tc>
          <w:tcPr>
            <w:tcW w:w="764" w:type="dxa"/>
            <w:tcBorders>
              <w:top w:val="nil"/>
              <w:left w:val="single" w:sz="12" w:space="0" w:color="auto"/>
              <w:bottom w:val="nil"/>
              <w:right w:val="single" w:sz="8" w:space="0" w:color="auto"/>
            </w:tcBorders>
            <w:shd w:val="clear" w:color="auto" w:fill="auto"/>
            <w:vAlign w:val="center"/>
            <w:hideMark/>
          </w:tcPr>
          <w:p w14:paraId="16D967E2"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-25.21%</w:t>
            </w:r>
          </w:p>
        </w:tc>
        <w:tc>
          <w:tcPr>
            <w:tcW w:w="645" w:type="dxa"/>
            <w:tcBorders>
              <w:top w:val="nil"/>
              <w:left w:val="nil"/>
              <w:bottom w:val="nil"/>
              <w:right w:val="single" w:sz="12" w:space="0" w:color="auto"/>
            </w:tcBorders>
            <w:shd w:val="clear" w:color="auto" w:fill="auto"/>
            <w:noWrap/>
            <w:vAlign w:val="center"/>
            <w:hideMark/>
          </w:tcPr>
          <w:p w14:paraId="2D731501" w14:textId="77777777" w:rsidR="005C2549" w:rsidRPr="005C2549" w:rsidRDefault="005C2549" w:rsidP="005C2549">
            <w:pPr>
              <w:spacing w:after="0" w:line="240" w:lineRule="auto"/>
              <w:jc w:val="center"/>
              <w:rPr>
                <w:rFonts w:ascii="Calibri" w:eastAsia="Times New Roman" w:hAnsi="Calibri" w:cs="Calibri"/>
                <w:color w:val="0000FF"/>
                <w:sz w:val="16"/>
                <w:szCs w:val="16"/>
                <w:lang w:eastAsia="en-IL"/>
              </w:rPr>
            </w:pPr>
            <w:r w:rsidRPr="005C2549">
              <w:rPr>
                <w:rFonts w:ascii="Calibri" w:eastAsia="Times New Roman" w:hAnsi="Calibri" w:cs="Calibri"/>
                <w:color w:val="0000FF"/>
                <w:sz w:val="16"/>
                <w:szCs w:val="16"/>
                <w:lang w:eastAsia="en-IL"/>
              </w:rPr>
              <w:t>-5.33</w:t>
            </w:r>
          </w:p>
        </w:tc>
        <w:tc>
          <w:tcPr>
            <w:tcW w:w="798" w:type="dxa"/>
            <w:tcBorders>
              <w:top w:val="nil"/>
              <w:left w:val="nil"/>
              <w:bottom w:val="nil"/>
              <w:right w:val="single" w:sz="8" w:space="0" w:color="auto"/>
            </w:tcBorders>
            <w:shd w:val="clear" w:color="auto" w:fill="auto"/>
            <w:vAlign w:val="center"/>
            <w:hideMark/>
          </w:tcPr>
          <w:p w14:paraId="32F9A147"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7.81%</w:t>
            </w:r>
          </w:p>
        </w:tc>
        <w:tc>
          <w:tcPr>
            <w:tcW w:w="676" w:type="dxa"/>
            <w:tcBorders>
              <w:top w:val="nil"/>
              <w:left w:val="nil"/>
              <w:bottom w:val="nil"/>
              <w:right w:val="single" w:sz="12" w:space="0" w:color="auto"/>
            </w:tcBorders>
            <w:shd w:val="clear" w:color="auto" w:fill="auto"/>
            <w:noWrap/>
            <w:vAlign w:val="center"/>
            <w:hideMark/>
          </w:tcPr>
          <w:p w14:paraId="2DACF96F" w14:textId="77777777" w:rsidR="005C2549" w:rsidRPr="005C2549" w:rsidRDefault="005C2549" w:rsidP="005C2549">
            <w:pPr>
              <w:spacing w:after="0" w:line="240" w:lineRule="auto"/>
              <w:jc w:val="center"/>
              <w:rPr>
                <w:rFonts w:ascii="Calibri" w:eastAsia="Times New Roman" w:hAnsi="Calibri" w:cs="Calibri"/>
                <w:color w:val="0000FF"/>
                <w:sz w:val="16"/>
                <w:szCs w:val="16"/>
                <w:lang w:eastAsia="en-IL"/>
              </w:rPr>
            </w:pPr>
            <w:r w:rsidRPr="005C2549">
              <w:rPr>
                <w:rFonts w:ascii="Calibri" w:eastAsia="Times New Roman" w:hAnsi="Calibri" w:cs="Calibri"/>
                <w:color w:val="0000FF"/>
                <w:sz w:val="16"/>
                <w:szCs w:val="16"/>
                <w:lang w:eastAsia="en-IL"/>
              </w:rPr>
              <w:t>2.03</w:t>
            </w:r>
          </w:p>
        </w:tc>
        <w:tc>
          <w:tcPr>
            <w:tcW w:w="807" w:type="dxa"/>
            <w:tcBorders>
              <w:top w:val="nil"/>
              <w:left w:val="nil"/>
              <w:bottom w:val="nil"/>
              <w:right w:val="single" w:sz="8" w:space="0" w:color="auto"/>
            </w:tcBorders>
            <w:shd w:val="clear" w:color="auto" w:fill="auto"/>
            <w:vAlign w:val="center"/>
            <w:hideMark/>
          </w:tcPr>
          <w:p w14:paraId="5FE9EC97"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-41.89%</w:t>
            </w:r>
          </w:p>
        </w:tc>
        <w:tc>
          <w:tcPr>
            <w:tcW w:w="667" w:type="dxa"/>
            <w:tcBorders>
              <w:top w:val="nil"/>
              <w:left w:val="nil"/>
              <w:bottom w:val="nil"/>
              <w:right w:val="single" w:sz="12" w:space="0" w:color="auto"/>
            </w:tcBorders>
            <w:shd w:val="clear" w:color="auto" w:fill="auto"/>
            <w:noWrap/>
            <w:vAlign w:val="center"/>
            <w:hideMark/>
          </w:tcPr>
          <w:p w14:paraId="2C2651D2" w14:textId="77777777" w:rsidR="005C2549" w:rsidRPr="005C2549" w:rsidRDefault="005C2549" w:rsidP="005C2549">
            <w:pPr>
              <w:spacing w:after="0" w:line="240" w:lineRule="auto"/>
              <w:jc w:val="center"/>
              <w:rPr>
                <w:rFonts w:ascii="Calibri" w:eastAsia="Times New Roman" w:hAnsi="Calibri" w:cs="Calibri"/>
                <w:color w:val="0000FF"/>
                <w:sz w:val="16"/>
                <w:szCs w:val="16"/>
                <w:lang w:eastAsia="en-IL"/>
              </w:rPr>
            </w:pPr>
            <w:r w:rsidRPr="005C2549">
              <w:rPr>
                <w:rFonts w:ascii="Calibri" w:eastAsia="Times New Roman" w:hAnsi="Calibri" w:cs="Calibri"/>
                <w:color w:val="0000FF"/>
                <w:sz w:val="16"/>
                <w:szCs w:val="16"/>
                <w:lang w:eastAsia="en-IL"/>
              </w:rPr>
              <w:t>-8.84</w:t>
            </w:r>
          </w:p>
        </w:tc>
      </w:tr>
      <w:tr w:rsidR="00D043C6" w:rsidRPr="00D043C6" w14:paraId="7D697EE4" w14:textId="77777777" w:rsidTr="00D043C6">
        <w:trPr>
          <w:trHeight w:val="300"/>
        </w:trPr>
        <w:tc>
          <w:tcPr>
            <w:tcW w:w="760" w:type="dxa"/>
            <w:tcBorders>
              <w:top w:val="nil"/>
              <w:left w:val="single" w:sz="8" w:space="0" w:color="auto"/>
              <w:bottom w:val="nil"/>
              <w:right w:val="single" w:sz="8" w:space="0" w:color="auto"/>
            </w:tcBorders>
            <w:shd w:val="clear" w:color="auto" w:fill="auto"/>
            <w:vAlign w:val="center"/>
            <w:hideMark/>
          </w:tcPr>
          <w:p w14:paraId="6E96A50D"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1 to 375</w:t>
            </w:r>
          </w:p>
        </w:tc>
        <w:tc>
          <w:tcPr>
            <w:tcW w:w="816" w:type="dxa"/>
            <w:tcBorders>
              <w:top w:val="nil"/>
              <w:left w:val="nil"/>
              <w:bottom w:val="nil"/>
              <w:right w:val="single" w:sz="8" w:space="0" w:color="auto"/>
            </w:tcBorders>
            <w:shd w:val="clear" w:color="auto" w:fill="auto"/>
            <w:vAlign w:val="center"/>
            <w:hideMark/>
          </w:tcPr>
          <w:p w14:paraId="2446C67B"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-36.80%</w:t>
            </w:r>
          </w:p>
        </w:tc>
        <w:tc>
          <w:tcPr>
            <w:tcW w:w="647" w:type="dxa"/>
            <w:tcBorders>
              <w:top w:val="nil"/>
              <w:left w:val="nil"/>
              <w:bottom w:val="nil"/>
              <w:right w:val="single" w:sz="8" w:space="0" w:color="auto"/>
            </w:tcBorders>
            <w:shd w:val="clear" w:color="auto" w:fill="auto"/>
            <w:noWrap/>
            <w:vAlign w:val="center"/>
            <w:hideMark/>
          </w:tcPr>
          <w:p w14:paraId="4A391FBE" w14:textId="77777777" w:rsidR="005C2549" w:rsidRPr="005C2549" w:rsidRDefault="005C2549" w:rsidP="005C2549">
            <w:pPr>
              <w:spacing w:after="0" w:line="240" w:lineRule="auto"/>
              <w:jc w:val="center"/>
              <w:rPr>
                <w:rFonts w:ascii="Calibri" w:eastAsia="Times New Roman" w:hAnsi="Calibri" w:cs="Calibri"/>
                <w:color w:val="0000FF"/>
                <w:sz w:val="16"/>
                <w:szCs w:val="16"/>
                <w:lang w:eastAsia="en-IL"/>
              </w:rPr>
            </w:pPr>
            <w:r w:rsidRPr="005C2549">
              <w:rPr>
                <w:rFonts w:ascii="Calibri" w:eastAsia="Times New Roman" w:hAnsi="Calibri" w:cs="Calibri"/>
                <w:color w:val="0000FF"/>
                <w:sz w:val="16"/>
                <w:szCs w:val="16"/>
                <w:lang w:eastAsia="en-IL"/>
              </w:rPr>
              <w:t>-8.03</w:t>
            </w:r>
          </w:p>
        </w:tc>
        <w:tc>
          <w:tcPr>
            <w:tcW w:w="816" w:type="dxa"/>
            <w:tcBorders>
              <w:top w:val="nil"/>
              <w:left w:val="nil"/>
              <w:bottom w:val="nil"/>
              <w:right w:val="single" w:sz="8" w:space="0" w:color="auto"/>
            </w:tcBorders>
            <w:shd w:val="clear" w:color="auto" w:fill="auto"/>
            <w:vAlign w:val="center"/>
            <w:hideMark/>
          </w:tcPr>
          <w:p w14:paraId="0C83ABAC"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5.96%</w:t>
            </w:r>
          </w:p>
        </w:tc>
        <w:tc>
          <w:tcPr>
            <w:tcW w:w="670" w:type="dxa"/>
            <w:tcBorders>
              <w:top w:val="nil"/>
              <w:left w:val="nil"/>
              <w:bottom w:val="nil"/>
              <w:right w:val="single" w:sz="8" w:space="0" w:color="auto"/>
            </w:tcBorders>
            <w:shd w:val="clear" w:color="auto" w:fill="auto"/>
            <w:noWrap/>
            <w:vAlign w:val="center"/>
            <w:hideMark/>
          </w:tcPr>
          <w:p w14:paraId="325D8B53" w14:textId="77777777" w:rsidR="005C2549" w:rsidRPr="005C2549" w:rsidRDefault="005C2549" w:rsidP="005C2549">
            <w:pPr>
              <w:spacing w:after="0" w:line="240" w:lineRule="auto"/>
              <w:jc w:val="center"/>
              <w:rPr>
                <w:rFonts w:ascii="Calibri" w:eastAsia="Times New Roman" w:hAnsi="Calibri" w:cs="Calibri"/>
                <w:color w:val="0000FF"/>
                <w:sz w:val="16"/>
                <w:szCs w:val="16"/>
                <w:lang w:eastAsia="en-IL"/>
              </w:rPr>
            </w:pPr>
            <w:r w:rsidRPr="005C2549">
              <w:rPr>
                <w:rFonts w:ascii="Calibri" w:eastAsia="Times New Roman" w:hAnsi="Calibri" w:cs="Calibri"/>
                <w:color w:val="0000FF"/>
                <w:sz w:val="16"/>
                <w:szCs w:val="16"/>
                <w:lang w:eastAsia="en-IL"/>
              </w:rPr>
              <w:t>1.49</w:t>
            </w:r>
          </w:p>
        </w:tc>
        <w:tc>
          <w:tcPr>
            <w:tcW w:w="950" w:type="dxa"/>
            <w:tcBorders>
              <w:top w:val="nil"/>
              <w:left w:val="nil"/>
              <w:bottom w:val="nil"/>
              <w:right w:val="single" w:sz="8" w:space="0" w:color="auto"/>
            </w:tcBorders>
            <w:shd w:val="clear" w:color="auto" w:fill="auto"/>
            <w:vAlign w:val="center"/>
            <w:hideMark/>
          </w:tcPr>
          <w:p w14:paraId="49B6BE93"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-55.31%</w:t>
            </w:r>
          </w:p>
        </w:tc>
        <w:tc>
          <w:tcPr>
            <w:tcW w:w="697" w:type="dxa"/>
            <w:tcBorders>
              <w:top w:val="nil"/>
              <w:left w:val="nil"/>
              <w:bottom w:val="nil"/>
              <w:right w:val="single" w:sz="8" w:space="0" w:color="auto"/>
            </w:tcBorders>
            <w:shd w:val="clear" w:color="auto" w:fill="auto"/>
            <w:noWrap/>
            <w:vAlign w:val="center"/>
            <w:hideMark/>
          </w:tcPr>
          <w:p w14:paraId="02B9FBED" w14:textId="77777777" w:rsidR="005C2549" w:rsidRPr="005C2549" w:rsidRDefault="005C2549" w:rsidP="005C2549">
            <w:pPr>
              <w:spacing w:after="0" w:line="240" w:lineRule="auto"/>
              <w:jc w:val="center"/>
              <w:rPr>
                <w:rFonts w:ascii="Calibri" w:eastAsia="Times New Roman" w:hAnsi="Calibri" w:cs="Calibri"/>
                <w:color w:val="0000FF"/>
                <w:sz w:val="16"/>
                <w:szCs w:val="16"/>
                <w:lang w:eastAsia="en-IL"/>
              </w:rPr>
            </w:pPr>
            <w:r w:rsidRPr="005C2549">
              <w:rPr>
                <w:rFonts w:ascii="Calibri" w:eastAsia="Times New Roman" w:hAnsi="Calibri" w:cs="Calibri"/>
                <w:color w:val="0000FF"/>
                <w:sz w:val="16"/>
                <w:szCs w:val="16"/>
                <w:lang w:eastAsia="en-IL"/>
              </w:rPr>
              <w:t>-12.01</w:t>
            </w:r>
          </w:p>
        </w:tc>
        <w:tc>
          <w:tcPr>
            <w:tcW w:w="266" w:type="dxa"/>
            <w:tcBorders>
              <w:top w:val="nil"/>
              <w:left w:val="single" w:sz="12" w:space="0" w:color="auto"/>
              <w:bottom w:val="nil"/>
              <w:right w:val="nil"/>
            </w:tcBorders>
            <w:shd w:val="clear" w:color="auto" w:fill="auto"/>
            <w:vAlign w:val="center"/>
            <w:hideMark/>
          </w:tcPr>
          <w:p w14:paraId="34026381"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 </w:t>
            </w:r>
          </w:p>
        </w:tc>
        <w:tc>
          <w:tcPr>
            <w:tcW w:w="764" w:type="dxa"/>
            <w:tcBorders>
              <w:top w:val="nil"/>
              <w:left w:val="single" w:sz="12" w:space="0" w:color="auto"/>
              <w:bottom w:val="nil"/>
              <w:right w:val="single" w:sz="8" w:space="0" w:color="auto"/>
            </w:tcBorders>
            <w:shd w:val="clear" w:color="auto" w:fill="auto"/>
            <w:vAlign w:val="center"/>
            <w:hideMark/>
          </w:tcPr>
          <w:p w14:paraId="5AB00C61"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-36.72%</w:t>
            </w:r>
          </w:p>
        </w:tc>
        <w:tc>
          <w:tcPr>
            <w:tcW w:w="645" w:type="dxa"/>
            <w:tcBorders>
              <w:top w:val="nil"/>
              <w:left w:val="nil"/>
              <w:bottom w:val="nil"/>
              <w:right w:val="single" w:sz="12" w:space="0" w:color="auto"/>
            </w:tcBorders>
            <w:shd w:val="clear" w:color="auto" w:fill="auto"/>
            <w:noWrap/>
            <w:vAlign w:val="center"/>
            <w:hideMark/>
          </w:tcPr>
          <w:p w14:paraId="2ED7BEC7" w14:textId="77777777" w:rsidR="005C2549" w:rsidRPr="005C2549" w:rsidRDefault="005C2549" w:rsidP="005C2549">
            <w:pPr>
              <w:spacing w:after="0" w:line="240" w:lineRule="auto"/>
              <w:jc w:val="center"/>
              <w:rPr>
                <w:rFonts w:ascii="Calibri" w:eastAsia="Times New Roman" w:hAnsi="Calibri" w:cs="Calibri"/>
                <w:color w:val="0000FF"/>
                <w:sz w:val="16"/>
                <w:szCs w:val="16"/>
                <w:lang w:eastAsia="en-IL"/>
              </w:rPr>
            </w:pPr>
            <w:r w:rsidRPr="005C2549">
              <w:rPr>
                <w:rFonts w:ascii="Calibri" w:eastAsia="Times New Roman" w:hAnsi="Calibri" w:cs="Calibri"/>
                <w:color w:val="0000FF"/>
                <w:sz w:val="16"/>
                <w:szCs w:val="16"/>
                <w:lang w:eastAsia="en-IL"/>
              </w:rPr>
              <w:t>-7.84</w:t>
            </w:r>
          </w:p>
        </w:tc>
        <w:tc>
          <w:tcPr>
            <w:tcW w:w="798" w:type="dxa"/>
            <w:tcBorders>
              <w:top w:val="nil"/>
              <w:left w:val="nil"/>
              <w:bottom w:val="nil"/>
              <w:right w:val="single" w:sz="8" w:space="0" w:color="auto"/>
            </w:tcBorders>
            <w:shd w:val="clear" w:color="auto" w:fill="auto"/>
            <w:vAlign w:val="center"/>
            <w:hideMark/>
          </w:tcPr>
          <w:p w14:paraId="25BEB475"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6.26%</w:t>
            </w:r>
          </w:p>
        </w:tc>
        <w:tc>
          <w:tcPr>
            <w:tcW w:w="676" w:type="dxa"/>
            <w:tcBorders>
              <w:top w:val="nil"/>
              <w:left w:val="nil"/>
              <w:bottom w:val="nil"/>
              <w:right w:val="single" w:sz="12" w:space="0" w:color="auto"/>
            </w:tcBorders>
            <w:shd w:val="clear" w:color="auto" w:fill="auto"/>
            <w:noWrap/>
            <w:vAlign w:val="center"/>
            <w:hideMark/>
          </w:tcPr>
          <w:p w14:paraId="201DB004" w14:textId="77777777" w:rsidR="005C2549" w:rsidRPr="005C2549" w:rsidRDefault="005C2549" w:rsidP="005C2549">
            <w:pPr>
              <w:spacing w:after="0" w:line="240" w:lineRule="auto"/>
              <w:jc w:val="center"/>
              <w:rPr>
                <w:rFonts w:ascii="Calibri" w:eastAsia="Times New Roman" w:hAnsi="Calibri" w:cs="Calibri"/>
                <w:color w:val="0000FF"/>
                <w:sz w:val="16"/>
                <w:szCs w:val="16"/>
                <w:lang w:eastAsia="en-IL"/>
              </w:rPr>
            </w:pPr>
            <w:r w:rsidRPr="005C2549">
              <w:rPr>
                <w:rFonts w:ascii="Calibri" w:eastAsia="Times New Roman" w:hAnsi="Calibri" w:cs="Calibri"/>
                <w:color w:val="0000FF"/>
                <w:sz w:val="16"/>
                <w:szCs w:val="16"/>
                <w:lang w:eastAsia="en-IL"/>
              </w:rPr>
              <w:t>1.54</w:t>
            </w:r>
          </w:p>
        </w:tc>
        <w:tc>
          <w:tcPr>
            <w:tcW w:w="807" w:type="dxa"/>
            <w:tcBorders>
              <w:top w:val="nil"/>
              <w:left w:val="nil"/>
              <w:bottom w:val="nil"/>
              <w:right w:val="single" w:sz="8" w:space="0" w:color="auto"/>
            </w:tcBorders>
            <w:shd w:val="clear" w:color="auto" w:fill="auto"/>
            <w:vAlign w:val="center"/>
            <w:hideMark/>
          </w:tcPr>
          <w:p w14:paraId="2DF6562E"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-55.30%</w:t>
            </w:r>
          </w:p>
        </w:tc>
        <w:tc>
          <w:tcPr>
            <w:tcW w:w="667" w:type="dxa"/>
            <w:tcBorders>
              <w:top w:val="nil"/>
              <w:left w:val="nil"/>
              <w:bottom w:val="nil"/>
              <w:right w:val="single" w:sz="12" w:space="0" w:color="auto"/>
            </w:tcBorders>
            <w:shd w:val="clear" w:color="auto" w:fill="auto"/>
            <w:noWrap/>
            <w:vAlign w:val="center"/>
            <w:hideMark/>
          </w:tcPr>
          <w:p w14:paraId="5E54FC8C" w14:textId="77777777" w:rsidR="005C2549" w:rsidRPr="005C2549" w:rsidRDefault="005C2549" w:rsidP="005C2549">
            <w:pPr>
              <w:spacing w:after="0" w:line="240" w:lineRule="auto"/>
              <w:jc w:val="center"/>
              <w:rPr>
                <w:rFonts w:ascii="Calibri" w:eastAsia="Times New Roman" w:hAnsi="Calibri" w:cs="Calibri"/>
                <w:color w:val="0000FF"/>
                <w:sz w:val="16"/>
                <w:szCs w:val="16"/>
                <w:lang w:eastAsia="en-IL"/>
              </w:rPr>
            </w:pPr>
            <w:r w:rsidRPr="005C2549">
              <w:rPr>
                <w:rFonts w:ascii="Calibri" w:eastAsia="Times New Roman" w:hAnsi="Calibri" w:cs="Calibri"/>
                <w:color w:val="0000FF"/>
                <w:sz w:val="16"/>
                <w:szCs w:val="16"/>
                <w:lang w:eastAsia="en-IL"/>
              </w:rPr>
              <w:t>-12.32</w:t>
            </w:r>
          </w:p>
        </w:tc>
      </w:tr>
      <w:tr w:rsidR="00D043C6" w:rsidRPr="00D043C6" w14:paraId="095ED47B" w14:textId="77777777" w:rsidTr="00D043C6">
        <w:trPr>
          <w:trHeight w:val="300"/>
        </w:trPr>
        <w:tc>
          <w:tcPr>
            <w:tcW w:w="760" w:type="dxa"/>
            <w:tcBorders>
              <w:top w:val="nil"/>
              <w:left w:val="single" w:sz="8" w:space="0" w:color="auto"/>
              <w:bottom w:val="nil"/>
              <w:right w:val="nil"/>
            </w:tcBorders>
            <w:shd w:val="clear" w:color="auto" w:fill="auto"/>
            <w:vAlign w:val="center"/>
            <w:hideMark/>
          </w:tcPr>
          <w:p w14:paraId="5335F094"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1 to 550</w:t>
            </w:r>
          </w:p>
        </w:tc>
        <w:tc>
          <w:tcPr>
            <w:tcW w:w="816" w:type="dxa"/>
            <w:tcBorders>
              <w:top w:val="nil"/>
              <w:left w:val="single" w:sz="8" w:space="0" w:color="auto"/>
              <w:bottom w:val="nil"/>
              <w:right w:val="single" w:sz="8" w:space="0" w:color="auto"/>
            </w:tcBorders>
            <w:shd w:val="clear" w:color="auto" w:fill="auto"/>
            <w:vAlign w:val="center"/>
            <w:hideMark/>
          </w:tcPr>
          <w:p w14:paraId="575B526E"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-58.61%</w:t>
            </w:r>
          </w:p>
        </w:tc>
        <w:tc>
          <w:tcPr>
            <w:tcW w:w="647" w:type="dxa"/>
            <w:tcBorders>
              <w:top w:val="nil"/>
              <w:left w:val="nil"/>
              <w:bottom w:val="nil"/>
              <w:right w:val="single" w:sz="8" w:space="0" w:color="auto"/>
            </w:tcBorders>
            <w:shd w:val="clear" w:color="auto" w:fill="auto"/>
            <w:noWrap/>
            <w:vAlign w:val="center"/>
            <w:hideMark/>
          </w:tcPr>
          <w:p w14:paraId="657618AE" w14:textId="77777777" w:rsidR="005C2549" w:rsidRPr="005C2549" w:rsidRDefault="005C2549" w:rsidP="005C2549">
            <w:pPr>
              <w:spacing w:after="0" w:line="240" w:lineRule="auto"/>
              <w:jc w:val="center"/>
              <w:rPr>
                <w:rFonts w:ascii="Calibri" w:eastAsia="Times New Roman" w:hAnsi="Calibri" w:cs="Calibri"/>
                <w:color w:val="0000FF"/>
                <w:sz w:val="16"/>
                <w:szCs w:val="16"/>
                <w:lang w:eastAsia="en-IL"/>
              </w:rPr>
            </w:pPr>
            <w:r w:rsidRPr="005C2549">
              <w:rPr>
                <w:rFonts w:ascii="Calibri" w:eastAsia="Times New Roman" w:hAnsi="Calibri" w:cs="Calibri"/>
                <w:color w:val="0000FF"/>
                <w:sz w:val="16"/>
                <w:szCs w:val="16"/>
                <w:lang w:eastAsia="en-IL"/>
              </w:rPr>
              <w:t>-11.92</w:t>
            </w:r>
          </w:p>
        </w:tc>
        <w:tc>
          <w:tcPr>
            <w:tcW w:w="816" w:type="dxa"/>
            <w:tcBorders>
              <w:top w:val="nil"/>
              <w:left w:val="nil"/>
              <w:bottom w:val="nil"/>
              <w:right w:val="single" w:sz="8" w:space="0" w:color="auto"/>
            </w:tcBorders>
            <w:shd w:val="clear" w:color="auto" w:fill="auto"/>
            <w:vAlign w:val="center"/>
            <w:hideMark/>
          </w:tcPr>
          <w:p w14:paraId="7E9DB96D"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-4.09%</w:t>
            </w:r>
          </w:p>
        </w:tc>
        <w:tc>
          <w:tcPr>
            <w:tcW w:w="670" w:type="dxa"/>
            <w:tcBorders>
              <w:top w:val="nil"/>
              <w:left w:val="nil"/>
              <w:bottom w:val="nil"/>
              <w:right w:val="single" w:sz="8" w:space="0" w:color="auto"/>
            </w:tcBorders>
            <w:shd w:val="clear" w:color="auto" w:fill="auto"/>
            <w:noWrap/>
            <w:vAlign w:val="center"/>
            <w:hideMark/>
          </w:tcPr>
          <w:p w14:paraId="03DF9239" w14:textId="77777777" w:rsidR="005C2549" w:rsidRPr="005C2549" w:rsidRDefault="005C2549" w:rsidP="005C2549">
            <w:pPr>
              <w:spacing w:after="0" w:line="240" w:lineRule="auto"/>
              <w:jc w:val="center"/>
              <w:rPr>
                <w:rFonts w:ascii="Calibri" w:eastAsia="Times New Roman" w:hAnsi="Calibri" w:cs="Calibri"/>
                <w:color w:val="0000FF"/>
                <w:sz w:val="16"/>
                <w:szCs w:val="16"/>
                <w:lang w:eastAsia="en-IL"/>
              </w:rPr>
            </w:pPr>
            <w:r w:rsidRPr="005C2549">
              <w:rPr>
                <w:rFonts w:ascii="Calibri" w:eastAsia="Times New Roman" w:hAnsi="Calibri" w:cs="Calibri"/>
                <w:color w:val="0000FF"/>
                <w:sz w:val="16"/>
                <w:szCs w:val="16"/>
                <w:lang w:eastAsia="en-IL"/>
              </w:rPr>
              <w:t>-1.11</w:t>
            </w:r>
          </w:p>
        </w:tc>
        <w:tc>
          <w:tcPr>
            <w:tcW w:w="950" w:type="dxa"/>
            <w:tcBorders>
              <w:top w:val="nil"/>
              <w:left w:val="nil"/>
              <w:bottom w:val="nil"/>
              <w:right w:val="single" w:sz="8" w:space="0" w:color="auto"/>
            </w:tcBorders>
            <w:shd w:val="clear" w:color="auto" w:fill="auto"/>
            <w:vAlign w:val="center"/>
            <w:hideMark/>
          </w:tcPr>
          <w:p w14:paraId="32F93F7E"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-83.62%</w:t>
            </w:r>
          </w:p>
        </w:tc>
        <w:tc>
          <w:tcPr>
            <w:tcW w:w="697" w:type="dxa"/>
            <w:tcBorders>
              <w:top w:val="nil"/>
              <w:left w:val="nil"/>
              <w:bottom w:val="nil"/>
              <w:right w:val="single" w:sz="8" w:space="0" w:color="auto"/>
            </w:tcBorders>
            <w:shd w:val="clear" w:color="auto" w:fill="auto"/>
            <w:noWrap/>
            <w:vAlign w:val="center"/>
            <w:hideMark/>
          </w:tcPr>
          <w:p w14:paraId="1F0593C0" w14:textId="77777777" w:rsidR="005C2549" w:rsidRPr="005C2549" w:rsidRDefault="005C2549" w:rsidP="005C2549">
            <w:pPr>
              <w:spacing w:after="0" w:line="240" w:lineRule="auto"/>
              <w:jc w:val="center"/>
              <w:rPr>
                <w:rFonts w:ascii="Calibri" w:eastAsia="Times New Roman" w:hAnsi="Calibri" w:cs="Calibri"/>
                <w:color w:val="0000FF"/>
                <w:sz w:val="16"/>
                <w:szCs w:val="16"/>
                <w:lang w:eastAsia="en-IL"/>
              </w:rPr>
            </w:pPr>
            <w:r w:rsidRPr="005C2549">
              <w:rPr>
                <w:rFonts w:ascii="Calibri" w:eastAsia="Times New Roman" w:hAnsi="Calibri" w:cs="Calibri"/>
                <w:color w:val="0000FF"/>
                <w:sz w:val="16"/>
                <w:szCs w:val="16"/>
                <w:lang w:eastAsia="en-IL"/>
              </w:rPr>
              <w:t>-16.24</w:t>
            </w:r>
          </w:p>
        </w:tc>
        <w:tc>
          <w:tcPr>
            <w:tcW w:w="266" w:type="dxa"/>
            <w:tcBorders>
              <w:top w:val="nil"/>
              <w:left w:val="single" w:sz="12" w:space="0" w:color="auto"/>
              <w:bottom w:val="nil"/>
              <w:right w:val="nil"/>
            </w:tcBorders>
            <w:shd w:val="clear" w:color="auto" w:fill="auto"/>
            <w:vAlign w:val="center"/>
            <w:hideMark/>
          </w:tcPr>
          <w:p w14:paraId="3401F176"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 </w:t>
            </w:r>
          </w:p>
        </w:tc>
        <w:tc>
          <w:tcPr>
            <w:tcW w:w="764" w:type="dxa"/>
            <w:tcBorders>
              <w:top w:val="nil"/>
              <w:left w:val="single" w:sz="12" w:space="0" w:color="auto"/>
              <w:bottom w:val="nil"/>
              <w:right w:val="single" w:sz="8" w:space="0" w:color="auto"/>
            </w:tcBorders>
            <w:shd w:val="clear" w:color="auto" w:fill="auto"/>
            <w:vAlign w:val="center"/>
            <w:hideMark/>
          </w:tcPr>
          <w:p w14:paraId="499904FF"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-60.40%</w:t>
            </w:r>
          </w:p>
        </w:tc>
        <w:tc>
          <w:tcPr>
            <w:tcW w:w="645" w:type="dxa"/>
            <w:tcBorders>
              <w:top w:val="nil"/>
              <w:left w:val="nil"/>
              <w:bottom w:val="nil"/>
              <w:right w:val="single" w:sz="12" w:space="0" w:color="auto"/>
            </w:tcBorders>
            <w:shd w:val="clear" w:color="auto" w:fill="auto"/>
            <w:noWrap/>
            <w:vAlign w:val="center"/>
            <w:hideMark/>
          </w:tcPr>
          <w:p w14:paraId="0E618F45" w14:textId="77777777" w:rsidR="005C2549" w:rsidRPr="005C2549" w:rsidRDefault="005C2549" w:rsidP="005C2549">
            <w:pPr>
              <w:spacing w:after="0" w:line="240" w:lineRule="auto"/>
              <w:jc w:val="center"/>
              <w:rPr>
                <w:rFonts w:ascii="Calibri" w:eastAsia="Times New Roman" w:hAnsi="Calibri" w:cs="Calibri"/>
                <w:color w:val="0000FF"/>
                <w:sz w:val="16"/>
                <w:szCs w:val="16"/>
                <w:lang w:eastAsia="en-IL"/>
              </w:rPr>
            </w:pPr>
            <w:r w:rsidRPr="005C2549">
              <w:rPr>
                <w:rFonts w:ascii="Calibri" w:eastAsia="Times New Roman" w:hAnsi="Calibri" w:cs="Calibri"/>
                <w:color w:val="0000FF"/>
                <w:sz w:val="16"/>
                <w:szCs w:val="16"/>
                <w:lang w:eastAsia="en-IL"/>
              </w:rPr>
              <w:t>-12.07</w:t>
            </w:r>
          </w:p>
        </w:tc>
        <w:tc>
          <w:tcPr>
            <w:tcW w:w="798" w:type="dxa"/>
            <w:tcBorders>
              <w:top w:val="nil"/>
              <w:left w:val="nil"/>
              <w:bottom w:val="nil"/>
              <w:right w:val="single" w:sz="8" w:space="0" w:color="auto"/>
            </w:tcBorders>
            <w:shd w:val="clear" w:color="auto" w:fill="auto"/>
            <w:vAlign w:val="center"/>
            <w:hideMark/>
          </w:tcPr>
          <w:p w14:paraId="4FC1FB5E"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-5.62%</w:t>
            </w:r>
          </w:p>
        </w:tc>
        <w:tc>
          <w:tcPr>
            <w:tcW w:w="676" w:type="dxa"/>
            <w:tcBorders>
              <w:top w:val="nil"/>
              <w:left w:val="nil"/>
              <w:bottom w:val="nil"/>
              <w:right w:val="single" w:sz="12" w:space="0" w:color="auto"/>
            </w:tcBorders>
            <w:shd w:val="clear" w:color="auto" w:fill="auto"/>
            <w:noWrap/>
            <w:vAlign w:val="center"/>
            <w:hideMark/>
          </w:tcPr>
          <w:p w14:paraId="5FD532EB" w14:textId="77777777" w:rsidR="005C2549" w:rsidRPr="005C2549" w:rsidRDefault="005C2549" w:rsidP="005C2549">
            <w:pPr>
              <w:spacing w:after="0" w:line="240" w:lineRule="auto"/>
              <w:jc w:val="center"/>
              <w:rPr>
                <w:rFonts w:ascii="Calibri" w:eastAsia="Times New Roman" w:hAnsi="Calibri" w:cs="Calibri"/>
                <w:color w:val="0000FF"/>
                <w:sz w:val="16"/>
                <w:szCs w:val="16"/>
                <w:lang w:eastAsia="en-IL"/>
              </w:rPr>
            </w:pPr>
            <w:r w:rsidRPr="005C2549">
              <w:rPr>
                <w:rFonts w:ascii="Calibri" w:eastAsia="Times New Roman" w:hAnsi="Calibri" w:cs="Calibri"/>
                <w:color w:val="0000FF"/>
                <w:sz w:val="16"/>
                <w:szCs w:val="16"/>
                <w:lang w:eastAsia="en-IL"/>
              </w:rPr>
              <w:t>-1.51</w:t>
            </w:r>
          </w:p>
        </w:tc>
        <w:tc>
          <w:tcPr>
            <w:tcW w:w="807" w:type="dxa"/>
            <w:tcBorders>
              <w:top w:val="nil"/>
              <w:left w:val="nil"/>
              <w:bottom w:val="nil"/>
              <w:right w:val="single" w:sz="8" w:space="0" w:color="auto"/>
            </w:tcBorders>
            <w:shd w:val="clear" w:color="auto" w:fill="auto"/>
            <w:vAlign w:val="center"/>
            <w:hideMark/>
          </w:tcPr>
          <w:p w14:paraId="110F3F2F"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-81.71%</w:t>
            </w:r>
          </w:p>
        </w:tc>
        <w:tc>
          <w:tcPr>
            <w:tcW w:w="667" w:type="dxa"/>
            <w:tcBorders>
              <w:top w:val="nil"/>
              <w:left w:val="nil"/>
              <w:bottom w:val="nil"/>
              <w:right w:val="single" w:sz="12" w:space="0" w:color="auto"/>
            </w:tcBorders>
            <w:shd w:val="clear" w:color="auto" w:fill="auto"/>
            <w:noWrap/>
            <w:vAlign w:val="center"/>
            <w:hideMark/>
          </w:tcPr>
          <w:p w14:paraId="10F7B170" w14:textId="77777777" w:rsidR="005C2549" w:rsidRPr="005C2549" w:rsidRDefault="005C2549" w:rsidP="005C2549">
            <w:pPr>
              <w:spacing w:after="0" w:line="240" w:lineRule="auto"/>
              <w:jc w:val="center"/>
              <w:rPr>
                <w:rFonts w:ascii="Calibri" w:eastAsia="Times New Roman" w:hAnsi="Calibri" w:cs="Calibri"/>
                <w:color w:val="0000FF"/>
                <w:sz w:val="16"/>
                <w:szCs w:val="16"/>
                <w:lang w:eastAsia="en-IL"/>
              </w:rPr>
            </w:pPr>
            <w:r w:rsidRPr="005C2549">
              <w:rPr>
                <w:rFonts w:ascii="Calibri" w:eastAsia="Times New Roman" w:hAnsi="Calibri" w:cs="Calibri"/>
                <w:color w:val="0000FF"/>
                <w:sz w:val="16"/>
                <w:szCs w:val="16"/>
                <w:lang w:eastAsia="en-IL"/>
              </w:rPr>
              <w:t>-16.23</w:t>
            </w:r>
          </w:p>
        </w:tc>
      </w:tr>
      <w:tr w:rsidR="00D043C6" w:rsidRPr="00D043C6" w14:paraId="425A1759" w14:textId="77777777" w:rsidTr="00D043C6">
        <w:trPr>
          <w:trHeight w:val="315"/>
        </w:trPr>
        <w:tc>
          <w:tcPr>
            <w:tcW w:w="760" w:type="dxa"/>
            <w:tcBorders>
              <w:top w:val="nil"/>
              <w:left w:val="single" w:sz="8" w:space="0" w:color="auto"/>
              <w:bottom w:val="single" w:sz="8" w:space="0" w:color="auto"/>
              <w:right w:val="nil"/>
            </w:tcBorders>
            <w:shd w:val="clear" w:color="auto" w:fill="auto"/>
            <w:vAlign w:val="center"/>
            <w:hideMark/>
          </w:tcPr>
          <w:p w14:paraId="160A2E68"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1 to 755</w:t>
            </w:r>
          </w:p>
        </w:tc>
        <w:tc>
          <w:tcPr>
            <w:tcW w:w="816" w:type="dxa"/>
            <w:tcBorders>
              <w:top w:val="nil"/>
              <w:left w:val="single" w:sz="8" w:space="0" w:color="auto"/>
              <w:bottom w:val="single" w:sz="8" w:space="0" w:color="auto"/>
              <w:right w:val="single" w:sz="8" w:space="0" w:color="auto"/>
            </w:tcBorders>
            <w:shd w:val="clear" w:color="auto" w:fill="auto"/>
            <w:vAlign w:val="center"/>
            <w:hideMark/>
          </w:tcPr>
          <w:p w14:paraId="1FA2F658"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-84.08%</w:t>
            </w:r>
          </w:p>
        </w:tc>
        <w:tc>
          <w:tcPr>
            <w:tcW w:w="647" w:type="dxa"/>
            <w:tcBorders>
              <w:top w:val="nil"/>
              <w:left w:val="nil"/>
              <w:bottom w:val="single" w:sz="8" w:space="0" w:color="auto"/>
              <w:right w:val="single" w:sz="8" w:space="0" w:color="auto"/>
            </w:tcBorders>
            <w:shd w:val="clear" w:color="auto" w:fill="auto"/>
            <w:noWrap/>
            <w:vAlign w:val="center"/>
            <w:hideMark/>
          </w:tcPr>
          <w:p w14:paraId="49D1480A" w14:textId="77777777" w:rsidR="005C2549" w:rsidRPr="005C2549" w:rsidRDefault="005C2549" w:rsidP="005C2549">
            <w:pPr>
              <w:spacing w:after="0" w:line="240" w:lineRule="auto"/>
              <w:jc w:val="center"/>
              <w:rPr>
                <w:rFonts w:ascii="Calibri" w:eastAsia="Times New Roman" w:hAnsi="Calibri" w:cs="Calibri"/>
                <w:color w:val="0000FF"/>
                <w:sz w:val="16"/>
                <w:szCs w:val="16"/>
                <w:lang w:eastAsia="en-IL"/>
              </w:rPr>
            </w:pPr>
            <w:r w:rsidRPr="005C2549">
              <w:rPr>
                <w:rFonts w:ascii="Calibri" w:eastAsia="Times New Roman" w:hAnsi="Calibri" w:cs="Calibri"/>
                <w:color w:val="0000FF"/>
                <w:sz w:val="16"/>
                <w:szCs w:val="16"/>
                <w:lang w:eastAsia="en-IL"/>
              </w:rPr>
              <w:t>-19.00</w:t>
            </w:r>
          </w:p>
        </w:tc>
        <w:tc>
          <w:tcPr>
            <w:tcW w:w="816" w:type="dxa"/>
            <w:tcBorders>
              <w:top w:val="nil"/>
              <w:left w:val="nil"/>
              <w:bottom w:val="single" w:sz="8" w:space="0" w:color="auto"/>
              <w:right w:val="single" w:sz="8" w:space="0" w:color="auto"/>
            </w:tcBorders>
            <w:shd w:val="clear" w:color="auto" w:fill="auto"/>
            <w:vAlign w:val="center"/>
            <w:hideMark/>
          </w:tcPr>
          <w:p w14:paraId="7CC578B4"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-38.45%</w:t>
            </w:r>
          </w:p>
        </w:tc>
        <w:tc>
          <w:tcPr>
            <w:tcW w:w="670" w:type="dxa"/>
            <w:tcBorders>
              <w:top w:val="nil"/>
              <w:left w:val="nil"/>
              <w:bottom w:val="single" w:sz="8" w:space="0" w:color="auto"/>
              <w:right w:val="single" w:sz="8" w:space="0" w:color="auto"/>
            </w:tcBorders>
            <w:shd w:val="clear" w:color="auto" w:fill="auto"/>
            <w:noWrap/>
            <w:vAlign w:val="center"/>
            <w:hideMark/>
          </w:tcPr>
          <w:p w14:paraId="3EB47FC3" w14:textId="77777777" w:rsidR="005C2549" w:rsidRPr="005C2549" w:rsidRDefault="005C2549" w:rsidP="005C2549">
            <w:pPr>
              <w:spacing w:after="0" w:line="240" w:lineRule="auto"/>
              <w:jc w:val="center"/>
              <w:rPr>
                <w:rFonts w:ascii="Calibri" w:eastAsia="Times New Roman" w:hAnsi="Calibri" w:cs="Calibri"/>
                <w:color w:val="0000FF"/>
                <w:sz w:val="16"/>
                <w:szCs w:val="16"/>
                <w:lang w:eastAsia="en-IL"/>
              </w:rPr>
            </w:pPr>
            <w:r w:rsidRPr="005C2549">
              <w:rPr>
                <w:rFonts w:ascii="Calibri" w:eastAsia="Times New Roman" w:hAnsi="Calibri" w:cs="Calibri"/>
                <w:color w:val="0000FF"/>
                <w:sz w:val="16"/>
                <w:szCs w:val="16"/>
                <w:lang w:eastAsia="en-IL"/>
              </w:rPr>
              <w:t>-11.55</w:t>
            </w:r>
          </w:p>
        </w:tc>
        <w:tc>
          <w:tcPr>
            <w:tcW w:w="950" w:type="dxa"/>
            <w:tcBorders>
              <w:top w:val="nil"/>
              <w:left w:val="nil"/>
              <w:bottom w:val="single" w:sz="8" w:space="0" w:color="auto"/>
              <w:right w:val="single" w:sz="8" w:space="0" w:color="auto"/>
            </w:tcBorders>
            <w:shd w:val="clear" w:color="auto" w:fill="auto"/>
            <w:vAlign w:val="center"/>
            <w:hideMark/>
          </w:tcPr>
          <w:p w14:paraId="2D9624BF"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-104.17%</w:t>
            </w:r>
          </w:p>
        </w:tc>
        <w:tc>
          <w:tcPr>
            <w:tcW w:w="697" w:type="dxa"/>
            <w:tcBorders>
              <w:top w:val="nil"/>
              <w:left w:val="nil"/>
              <w:bottom w:val="single" w:sz="8" w:space="0" w:color="auto"/>
              <w:right w:val="single" w:sz="8" w:space="0" w:color="auto"/>
            </w:tcBorders>
            <w:shd w:val="clear" w:color="auto" w:fill="auto"/>
            <w:noWrap/>
            <w:vAlign w:val="center"/>
            <w:hideMark/>
          </w:tcPr>
          <w:p w14:paraId="740C831C" w14:textId="77777777" w:rsidR="005C2549" w:rsidRPr="005C2549" w:rsidRDefault="005C2549" w:rsidP="005C2549">
            <w:pPr>
              <w:spacing w:after="0" w:line="240" w:lineRule="auto"/>
              <w:jc w:val="center"/>
              <w:rPr>
                <w:rFonts w:ascii="Calibri" w:eastAsia="Times New Roman" w:hAnsi="Calibri" w:cs="Calibri"/>
                <w:color w:val="0000FF"/>
                <w:sz w:val="16"/>
                <w:szCs w:val="16"/>
                <w:lang w:eastAsia="en-IL"/>
              </w:rPr>
            </w:pPr>
            <w:r w:rsidRPr="005C2549">
              <w:rPr>
                <w:rFonts w:ascii="Calibri" w:eastAsia="Times New Roman" w:hAnsi="Calibri" w:cs="Calibri"/>
                <w:color w:val="0000FF"/>
                <w:sz w:val="16"/>
                <w:szCs w:val="16"/>
                <w:lang w:eastAsia="en-IL"/>
              </w:rPr>
              <w:t>-22.45</w:t>
            </w:r>
          </w:p>
        </w:tc>
        <w:tc>
          <w:tcPr>
            <w:tcW w:w="266" w:type="dxa"/>
            <w:tcBorders>
              <w:top w:val="nil"/>
              <w:left w:val="single" w:sz="12" w:space="0" w:color="auto"/>
              <w:bottom w:val="single" w:sz="12" w:space="0" w:color="auto"/>
              <w:right w:val="nil"/>
            </w:tcBorders>
            <w:shd w:val="clear" w:color="auto" w:fill="auto"/>
            <w:vAlign w:val="center"/>
            <w:hideMark/>
          </w:tcPr>
          <w:p w14:paraId="1F0EAD34"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 </w:t>
            </w:r>
          </w:p>
        </w:tc>
        <w:tc>
          <w:tcPr>
            <w:tcW w:w="764" w:type="dxa"/>
            <w:tcBorders>
              <w:top w:val="nil"/>
              <w:left w:val="single" w:sz="12" w:space="0" w:color="auto"/>
              <w:bottom w:val="single" w:sz="12" w:space="0" w:color="auto"/>
              <w:right w:val="single" w:sz="8" w:space="0" w:color="auto"/>
            </w:tcBorders>
            <w:shd w:val="clear" w:color="auto" w:fill="auto"/>
            <w:vAlign w:val="center"/>
            <w:hideMark/>
          </w:tcPr>
          <w:p w14:paraId="11176A40"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-85.40%</w:t>
            </w:r>
          </w:p>
        </w:tc>
        <w:tc>
          <w:tcPr>
            <w:tcW w:w="645" w:type="dxa"/>
            <w:tcBorders>
              <w:top w:val="nil"/>
              <w:left w:val="nil"/>
              <w:bottom w:val="single" w:sz="12" w:space="0" w:color="auto"/>
              <w:right w:val="single" w:sz="12" w:space="0" w:color="auto"/>
            </w:tcBorders>
            <w:shd w:val="clear" w:color="auto" w:fill="auto"/>
            <w:noWrap/>
            <w:vAlign w:val="center"/>
            <w:hideMark/>
          </w:tcPr>
          <w:p w14:paraId="4A53E23B" w14:textId="77777777" w:rsidR="005C2549" w:rsidRPr="005C2549" w:rsidRDefault="005C2549" w:rsidP="005C2549">
            <w:pPr>
              <w:spacing w:after="0" w:line="240" w:lineRule="auto"/>
              <w:jc w:val="center"/>
              <w:rPr>
                <w:rFonts w:ascii="Calibri" w:eastAsia="Times New Roman" w:hAnsi="Calibri" w:cs="Calibri"/>
                <w:color w:val="0000FF"/>
                <w:sz w:val="16"/>
                <w:szCs w:val="16"/>
                <w:lang w:eastAsia="en-IL"/>
              </w:rPr>
            </w:pPr>
            <w:r w:rsidRPr="005C2549">
              <w:rPr>
                <w:rFonts w:ascii="Calibri" w:eastAsia="Times New Roman" w:hAnsi="Calibri" w:cs="Calibri"/>
                <w:color w:val="0000FF"/>
                <w:sz w:val="16"/>
                <w:szCs w:val="16"/>
                <w:lang w:eastAsia="en-IL"/>
              </w:rPr>
              <w:t>-19.19</w:t>
            </w:r>
          </w:p>
        </w:tc>
        <w:tc>
          <w:tcPr>
            <w:tcW w:w="798" w:type="dxa"/>
            <w:tcBorders>
              <w:top w:val="nil"/>
              <w:left w:val="nil"/>
              <w:bottom w:val="single" w:sz="12" w:space="0" w:color="auto"/>
              <w:right w:val="single" w:sz="8" w:space="0" w:color="auto"/>
            </w:tcBorders>
            <w:shd w:val="clear" w:color="auto" w:fill="auto"/>
            <w:vAlign w:val="center"/>
            <w:hideMark/>
          </w:tcPr>
          <w:p w14:paraId="0F1AC821" w14:textId="77777777"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-38.46%</w:t>
            </w:r>
          </w:p>
        </w:tc>
        <w:tc>
          <w:tcPr>
            <w:tcW w:w="676" w:type="dxa"/>
            <w:tcBorders>
              <w:top w:val="nil"/>
              <w:left w:val="nil"/>
              <w:bottom w:val="single" w:sz="12" w:space="0" w:color="auto"/>
              <w:right w:val="single" w:sz="12" w:space="0" w:color="auto"/>
            </w:tcBorders>
            <w:shd w:val="clear" w:color="auto" w:fill="auto"/>
            <w:noWrap/>
            <w:vAlign w:val="center"/>
            <w:hideMark/>
          </w:tcPr>
          <w:p w14:paraId="117C5389" w14:textId="77777777" w:rsidR="005C2549" w:rsidRPr="005C2549" w:rsidRDefault="005C2549" w:rsidP="005C2549">
            <w:pPr>
              <w:spacing w:after="0" w:line="240" w:lineRule="auto"/>
              <w:jc w:val="center"/>
              <w:rPr>
                <w:rFonts w:ascii="Calibri" w:eastAsia="Times New Roman" w:hAnsi="Calibri" w:cs="Calibri"/>
                <w:color w:val="0000FF"/>
                <w:sz w:val="16"/>
                <w:szCs w:val="16"/>
                <w:lang w:eastAsia="en-IL"/>
              </w:rPr>
            </w:pPr>
            <w:r w:rsidRPr="005C2549">
              <w:rPr>
                <w:rFonts w:ascii="Calibri" w:eastAsia="Times New Roman" w:hAnsi="Calibri" w:cs="Calibri"/>
                <w:color w:val="0000FF"/>
                <w:sz w:val="16"/>
                <w:szCs w:val="16"/>
                <w:lang w:eastAsia="en-IL"/>
              </w:rPr>
              <w:t>-11.39</w:t>
            </w:r>
          </w:p>
        </w:tc>
        <w:tc>
          <w:tcPr>
            <w:tcW w:w="807" w:type="dxa"/>
            <w:tcBorders>
              <w:top w:val="nil"/>
              <w:left w:val="nil"/>
              <w:bottom w:val="single" w:sz="12" w:space="0" w:color="auto"/>
              <w:right w:val="single" w:sz="8" w:space="0" w:color="auto"/>
            </w:tcBorders>
            <w:shd w:val="clear" w:color="auto" w:fill="auto"/>
            <w:vAlign w:val="center"/>
            <w:hideMark/>
          </w:tcPr>
          <w:p w14:paraId="699D756D" w14:textId="2A3129E0" w:rsidR="005C2549" w:rsidRPr="005C2549" w:rsidRDefault="005C2549" w:rsidP="005C2549">
            <w:pPr>
              <w:spacing w:after="0" w:line="240" w:lineRule="auto"/>
              <w:jc w:val="center"/>
              <w:rPr>
                <w:rFonts w:ascii="Times New Roman" w:eastAsia="Times New Roman" w:hAnsi="Times New Roman" w:cs="Times New Roman"/>
                <w:color w:val="0000FF"/>
                <w:sz w:val="16"/>
                <w:szCs w:val="16"/>
                <w:lang w:eastAsia="en-IL"/>
              </w:rPr>
            </w:pPr>
            <w:r w:rsidRPr="005C2549">
              <w:rPr>
                <w:rFonts w:ascii="Times New Roman" w:eastAsia="Times New Roman" w:hAnsi="Times New Roman" w:cs="Times New Roman"/>
                <w:color w:val="0000FF"/>
                <w:sz w:val="16"/>
                <w:szCs w:val="16"/>
                <w:lang w:eastAsia="en-IL"/>
              </w:rPr>
              <w:t>-102.3%</w:t>
            </w:r>
          </w:p>
        </w:tc>
        <w:tc>
          <w:tcPr>
            <w:tcW w:w="667" w:type="dxa"/>
            <w:tcBorders>
              <w:top w:val="nil"/>
              <w:left w:val="nil"/>
              <w:bottom w:val="single" w:sz="12" w:space="0" w:color="auto"/>
              <w:right w:val="single" w:sz="12" w:space="0" w:color="auto"/>
            </w:tcBorders>
            <w:shd w:val="clear" w:color="auto" w:fill="auto"/>
            <w:noWrap/>
            <w:vAlign w:val="center"/>
            <w:hideMark/>
          </w:tcPr>
          <w:p w14:paraId="58AEBB73" w14:textId="77777777" w:rsidR="005C2549" w:rsidRPr="005C2549" w:rsidRDefault="005C2549" w:rsidP="005C2549">
            <w:pPr>
              <w:spacing w:after="0" w:line="240" w:lineRule="auto"/>
              <w:jc w:val="center"/>
              <w:rPr>
                <w:rFonts w:ascii="Calibri" w:eastAsia="Times New Roman" w:hAnsi="Calibri" w:cs="Calibri"/>
                <w:color w:val="0000FF"/>
                <w:sz w:val="16"/>
                <w:szCs w:val="16"/>
                <w:lang w:eastAsia="en-IL"/>
              </w:rPr>
            </w:pPr>
            <w:r w:rsidRPr="005C2549">
              <w:rPr>
                <w:rFonts w:ascii="Calibri" w:eastAsia="Times New Roman" w:hAnsi="Calibri" w:cs="Calibri"/>
                <w:color w:val="0000FF"/>
                <w:sz w:val="16"/>
                <w:szCs w:val="16"/>
                <w:lang w:eastAsia="en-IL"/>
              </w:rPr>
              <w:t>-22.10</w:t>
            </w:r>
          </w:p>
        </w:tc>
      </w:tr>
      <w:tr w:rsidR="00D043C6" w:rsidRPr="005C2549" w14:paraId="62C014C0" w14:textId="77777777" w:rsidTr="00D043C6">
        <w:trPr>
          <w:trHeight w:val="315"/>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153E92BE" w14:textId="77777777" w:rsidR="005C2549" w:rsidRPr="005C2549" w:rsidRDefault="005C2549" w:rsidP="005C2549">
            <w:pPr>
              <w:spacing w:after="0" w:line="240" w:lineRule="auto"/>
              <w:jc w:val="center"/>
              <w:rPr>
                <w:rFonts w:ascii="Times New Roman" w:eastAsia="Times New Roman" w:hAnsi="Times New Roman" w:cs="Times New Roman"/>
                <w:color w:val="0000FF"/>
                <w:sz w:val="20"/>
                <w:szCs w:val="20"/>
                <w:lang w:eastAsia="en-IL"/>
              </w:rPr>
            </w:pPr>
            <w:r w:rsidRPr="005C2549">
              <w:rPr>
                <w:rFonts w:ascii="Times New Roman" w:eastAsia="Times New Roman" w:hAnsi="Times New Roman" w:cs="Times New Roman"/>
                <w:color w:val="0000FF"/>
                <w:sz w:val="20"/>
                <w:szCs w:val="20"/>
                <w:lang w:eastAsia="en-IL"/>
              </w:rPr>
              <w:t>Obs.</w:t>
            </w:r>
          </w:p>
        </w:tc>
        <w:tc>
          <w:tcPr>
            <w:tcW w:w="1463" w:type="dxa"/>
            <w:gridSpan w:val="2"/>
            <w:tcBorders>
              <w:top w:val="single" w:sz="8" w:space="0" w:color="auto"/>
              <w:left w:val="nil"/>
              <w:bottom w:val="single" w:sz="8" w:space="0" w:color="auto"/>
              <w:right w:val="nil"/>
            </w:tcBorders>
            <w:shd w:val="clear" w:color="auto" w:fill="auto"/>
            <w:noWrap/>
            <w:vAlign w:val="center"/>
            <w:hideMark/>
          </w:tcPr>
          <w:p w14:paraId="1C903B99" w14:textId="44F6A84F" w:rsidR="005C2549" w:rsidRPr="005C2549" w:rsidRDefault="005C2549" w:rsidP="005C2549">
            <w:pPr>
              <w:spacing w:after="0" w:line="240" w:lineRule="auto"/>
              <w:jc w:val="center"/>
              <w:rPr>
                <w:rFonts w:ascii="Calibri" w:eastAsia="Times New Roman" w:hAnsi="Calibri" w:cs="Calibri"/>
                <w:color w:val="0000FF"/>
                <w:lang w:val="en-US" w:eastAsia="en-IL"/>
              </w:rPr>
            </w:pPr>
            <w:r w:rsidRPr="005C2549">
              <w:rPr>
                <w:rFonts w:ascii="Calibri" w:eastAsia="Times New Roman" w:hAnsi="Calibri" w:cs="Calibri"/>
                <w:color w:val="0000FF"/>
                <w:lang w:eastAsia="en-IL"/>
              </w:rPr>
              <w:t>3</w:t>
            </w:r>
            <w:r w:rsidR="006E3817">
              <w:rPr>
                <w:rFonts w:ascii="Calibri" w:eastAsia="Times New Roman" w:hAnsi="Calibri" w:cs="Calibri"/>
                <w:color w:val="0000FF"/>
                <w:lang w:val="en-US" w:eastAsia="en-IL"/>
              </w:rPr>
              <w:t>67</w:t>
            </w:r>
          </w:p>
        </w:tc>
        <w:tc>
          <w:tcPr>
            <w:tcW w:w="148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44B1560" w14:textId="1A0BAA94" w:rsidR="005C2549" w:rsidRPr="005C2549" w:rsidRDefault="005C2549" w:rsidP="005C2549">
            <w:pPr>
              <w:spacing w:after="0" w:line="240" w:lineRule="auto"/>
              <w:jc w:val="center"/>
              <w:rPr>
                <w:rFonts w:ascii="Calibri" w:eastAsia="Times New Roman" w:hAnsi="Calibri" w:cs="Calibri"/>
                <w:color w:val="0000FF"/>
                <w:lang w:val="en-US" w:eastAsia="en-IL"/>
              </w:rPr>
            </w:pPr>
            <w:r w:rsidRPr="005C2549">
              <w:rPr>
                <w:rFonts w:ascii="Calibri" w:eastAsia="Times New Roman" w:hAnsi="Calibri" w:cs="Calibri"/>
                <w:color w:val="0000FF"/>
                <w:lang w:eastAsia="en-IL"/>
              </w:rPr>
              <w:t>1</w:t>
            </w:r>
            <w:r w:rsidR="006E3817">
              <w:rPr>
                <w:rFonts w:ascii="Calibri" w:eastAsia="Times New Roman" w:hAnsi="Calibri" w:cs="Calibri"/>
                <w:color w:val="0000FF"/>
                <w:lang w:val="en-US" w:eastAsia="en-IL"/>
              </w:rPr>
              <w:t>16</w:t>
            </w:r>
          </w:p>
        </w:tc>
        <w:tc>
          <w:tcPr>
            <w:tcW w:w="16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F7FF7F1" w14:textId="6C6A0ECE" w:rsidR="005C2549" w:rsidRPr="005C2549" w:rsidRDefault="005C2549" w:rsidP="005C2549">
            <w:pPr>
              <w:spacing w:after="0" w:line="240" w:lineRule="auto"/>
              <w:jc w:val="center"/>
              <w:rPr>
                <w:rFonts w:ascii="Calibri" w:eastAsia="Times New Roman" w:hAnsi="Calibri" w:cs="Calibri"/>
                <w:color w:val="0000FF"/>
                <w:lang w:val="en-US" w:eastAsia="en-IL"/>
              </w:rPr>
            </w:pPr>
            <w:r w:rsidRPr="005C2549">
              <w:rPr>
                <w:rFonts w:ascii="Calibri" w:eastAsia="Times New Roman" w:hAnsi="Calibri" w:cs="Calibri"/>
                <w:color w:val="0000FF"/>
                <w:lang w:eastAsia="en-IL"/>
              </w:rPr>
              <w:t>2</w:t>
            </w:r>
            <w:r w:rsidR="006E3817">
              <w:rPr>
                <w:rFonts w:ascii="Calibri" w:eastAsia="Times New Roman" w:hAnsi="Calibri" w:cs="Calibri"/>
                <w:color w:val="0000FF"/>
                <w:lang w:val="en-US" w:eastAsia="en-IL"/>
              </w:rPr>
              <w:t>51</w:t>
            </w:r>
          </w:p>
        </w:tc>
        <w:tc>
          <w:tcPr>
            <w:tcW w:w="266" w:type="dxa"/>
            <w:tcBorders>
              <w:top w:val="nil"/>
              <w:left w:val="nil"/>
              <w:bottom w:val="nil"/>
              <w:right w:val="nil"/>
            </w:tcBorders>
            <w:shd w:val="clear" w:color="auto" w:fill="auto"/>
            <w:noWrap/>
            <w:vAlign w:val="center"/>
            <w:hideMark/>
          </w:tcPr>
          <w:p w14:paraId="5B5799E3" w14:textId="77777777" w:rsidR="005C2549" w:rsidRPr="005C2549" w:rsidRDefault="005C2549" w:rsidP="005C2549">
            <w:pPr>
              <w:spacing w:after="0" w:line="240" w:lineRule="auto"/>
              <w:jc w:val="center"/>
              <w:rPr>
                <w:rFonts w:ascii="Calibri" w:eastAsia="Times New Roman" w:hAnsi="Calibri" w:cs="Calibri"/>
                <w:color w:val="0000FF"/>
                <w:lang w:eastAsia="en-IL"/>
              </w:rPr>
            </w:pPr>
          </w:p>
        </w:tc>
        <w:tc>
          <w:tcPr>
            <w:tcW w:w="1409" w:type="dxa"/>
            <w:gridSpan w:val="2"/>
            <w:tcBorders>
              <w:top w:val="single" w:sz="8" w:space="0" w:color="auto"/>
              <w:left w:val="single" w:sz="8" w:space="0" w:color="auto"/>
              <w:bottom w:val="single" w:sz="8" w:space="0" w:color="auto"/>
              <w:right w:val="nil"/>
            </w:tcBorders>
            <w:shd w:val="clear" w:color="auto" w:fill="auto"/>
            <w:noWrap/>
            <w:vAlign w:val="center"/>
            <w:hideMark/>
          </w:tcPr>
          <w:p w14:paraId="4AB7824A" w14:textId="20212702" w:rsidR="005C2549" w:rsidRPr="005C2549" w:rsidRDefault="005C2549" w:rsidP="005C2549">
            <w:pPr>
              <w:spacing w:after="0" w:line="240" w:lineRule="auto"/>
              <w:jc w:val="center"/>
              <w:rPr>
                <w:rFonts w:ascii="Calibri" w:eastAsia="Times New Roman" w:hAnsi="Calibri" w:cs="Calibri"/>
                <w:color w:val="0000FF"/>
                <w:lang w:val="en-US" w:eastAsia="en-IL"/>
              </w:rPr>
            </w:pPr>
            <w:r w:rsidRPr="005C2549">
              <w:rPr>
                <w:rFonts w:ascii="Calibri" w:eastAsia="Times New Roman" w:hAnsi="Calibri" w:cs="Calibri"/>
                <w:color w:val="0000FF"/>
                <w:lang w:eastAsia="en-IL"/>
              </w:rPr>
              <w:t>3</w:t>
            </w:r>
            <w:r w:rsidR="006E3817">
              <w:rPr>
                <w:rFonts w:ascii="Calibri" w:eastAsia="Times New Roman" w:hAnsi="Calibri" w:cs="Calibri"/>
                <w:color w:val="0000FF"/>
                <w:lang w:val="en-US" w:eastAsia="en-IL"/>
              </w:rPr>
              <w:t>67</w:t>
            </w:r>
          </w:p>
        </w:tc>
        <w:tc>
          <w:tcPr>
            <w:tcW w:w="147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D0E2F24" w14:textId="00FD3FEF" w:rsidR="005C2549" w:rsidRPr="005C2549" w:rsidRDefault="005C2549" w:rsidP="005C2549">
            <w:pPr>
              <w:spacing w:after="0" w:line="240" w:lineRule="auto"/>
              <w:jc w:val="center"/>
              <w:rPr>
                <w:rFonts w:ascii="Calibri" w:eastAsia="Times New Roman" w:hAnsi="Calibri" w:cs="Calibri"/>
                <w:color w:val="0000FF"/>
                <w:lang w:val="en-US" w:eastAsia="en-IL"/>
              </w:rPr>
            </w:pPr>
            <w:r w:rsidRPr="005C2549">
              <w:rPr>
                <w:rFonts w:ascii="Calibri" w:eastAsia="Times New Roman" w:hAnsi="Calibri" w:cs="Calibri"/>
                <w:color w:val="0000FF"/>
                <w:lang w:eastAsia="en-IL"/>
              </w:rPr>
              <w:t>1</w:t>
            </w:r>
            <w:r w:rsidR="006E3817">
              <w:rPr>
                <w:rFonts w:ascii="Calibri" w:eastAsia="Times New Roman" w:hAnsi="Calibri" w:cs="Calibri"/>
                <w:color w:val="0000FF"/>
                <w:lang w:val="en-US" w:eastAsia="en-IL"/>
              </w:rPr>
              <w:t>16</w:t>
            </w:r>
          </w:p>
        </w:tc>
        <w:tc>
          <w:tcPr>
            <w:tcW w:w="147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4336540" w14:textId="64780CCE" w:rsidR="005C2549" w:rsidRPr="005C2549" w:rsidRDefault="005C2549" w:rsidP="005C2549">
            <w:pPr>
              <w:spacing w:after="0" w:line="240" w:lineRule="auto"/>
              <w:jc w:val="center"/>
              <w:rPr>
                <w:rFonts w:ascii="Calibri" w:eastAsia="Times New Roman" w:hAnsi="Calibri" w:cs="Calibri"/>
                <w:color w:val="0000FF"/>
                <w:lang w:val="en-US" w:eastAsia="en-IL"/>
              </w:rPr>
            </w:pPr>
            <w:r w:rsidRPr="005C2549">
              <w:rPr>
                <w:rFonts w:ascii="Calibri" w:eastAsia="Times New Roman" w:hAnsi="Calibri" w:cs="Calibri"/>
                <w:color w:val="0000FF"/>
                <w:lang w:eastAsia="en-IL"/>
              </w:rPr>
              <w:t>2</w:t>
            </w:r>
            <w:r w:rsidR="006E3817">
              <w:rPr>
                <w:rFonts w:ascii="Calibri" w:eastAsia="Times New Roman" w:hAnsi="Calibri" w:cs="Calibri"/>
                <w:color w:val="0000FF"/>
                <w:lang w:val="en-US" w:eastAsia="en-IL"/>
              </w:rPr>
              <w:t>51</w:t>
            </w:r>
          </w:p>
        </w:tc>
      </w:tr>
    </w:tbl>
    <w:p w14:paraId="7BFA567E" w14:textId="77777777" w:rsidR="005C2549" w:rsidRPr="005C2549" w:rsidRDefault="005C2549" w:rsidP="005C2549">
      <w:pPr>
        <w:spacing w:after="0" w:line="240" w:lineRule="auto"/>
        <w:jc w:val="center"/>
        <w:rPr>
          <w:rFonts w:ascii="Calibri" w:eastAsia="Times New Roman" w:hAnsi="Calibri" w:cs="Calibri"/>
          <w:b/>
          <w:bCs/>
          <w:color w:val="0000FF"/>
          <w:lang w:val="en-US" w:eastAsia="en-IL"/>
        </w:rPr>
      </w:pPr>
    </w:p>
    <w:p w14:paraId="480C64FF" w14:textId="444C2588" w:rsidR="00C000B6" w:rsidRPr="002701F4" w:rsidRDefault="00C000B6" w:rsidP="00C000B6">
      <w:pPr>
        <w:spacing w:before="75" w:after="75" w:line="240" w:lineRule="auto"/>
        <w:rPr>
          <w:rFonts w:ascii="Arial" w:eastAsia="Times New Roman" w:hAnsi="Arial" w:cs="Arial"/>
          <w:b/>
          <w:bCs/>
          <w:color w:val="0000FF"/>
          <w:sz w:val="16"/>
          <w:szCs w:val="16"/>
          <w:lang w:eastAsia="en-IL"/>
        </w:rPr>
      </w:pPr>
    </w:p>
    <w:p w14:paraId="413591B2" w14:textId="6222E899" w:rsidR="003242C4" w:rsidRPr="002701F4" w:rsidRDefault="00C2219C" w:rsidP="00C000B6">
      <w:pPr>
        <w:spacing w:before="75" w:after="75" w:line="240" w:lineRule="auto"/>
        <w:rPr>
          <w:rFonts w:ascii="Arial" w:eastAsia="Times New Roman" w:hAnsi="Arial" w:cs="Arial"/>
          <w:b/>
          <w:bCs/>
          <w:color w:val="0000FF"/>
          <w:sz w:val="20"/>
          <w:szCs w:val="20"/>
          <w:lang w:val="en-US" w:eastAsia="en-IL"/>
        </w:rPr>
      </w:pPr>
      <w:r>
        <w:rPr>
          <w:rFonts w:ascii="Arial" w:eastAsia="Times New Roman" w:hAnsi="Arial" w:cs="Arial"/>
          <w:b/>
          <w:bCs/>
          <w:color w:val="0000FF"/>
          <w:sz w:val="16"/>
          <w:szCs w:val="16"/>
          <w:lang w:val="en-US" w:eastAsia="en-IL"/>
        </w:rPr>
        <w:t xml:space="preserve">Panel A: </w:t>
      </w:r>
      <w:r w:rsidR="001070B2" w:rsidRPr="002701F4">
        <w:rPr>
          <w:rFonts w:ascii="Arial" w:eastAsia="Times New Roman" w:hAnsi="Arial" w:cs="Arial"/>
          <w:b/>
          <w:bCs/>
          <w:color w:val="0000FF"/>
          <w:sz w:val="16"/>
          <w:szCs w:val="16"/>
          <w:lang w:val="en-US" w:eastAsia="en-IL"/>
        </w:rPr>
        <w:t xml:space="preserve">CAAR </w:t>
      </w:r>
      <w:r>
        <w:rPr>
          <w:rFonts w:ascii="Arial" w:eastAsia="Times New Roman" w:hAnsi="Arial" w:cs="Arial"/>
          <w:b/>
          <w:bCs/>
          <w:color w:val="0000FF"/>
          <w:sz w:val="16"/>
          <w:szCs w:val="16"/>
          <w:lang w:val="en-US" w:eastAsia="en-IL"/>
        </w:rPr>
        <w:t xml:space="preserve">to </w:t>
      </w:r>
      <w:r w:rsidR="001070B2" w:rsidRPr="002701F4">
        <w:rPr>
          <w:rFonts w:ascii="Arial" w:eastAsia="Times New Roman" w:hAnsi="Arial" w:cs="Arial"/>
          <w:b/>
          <w:bCs/>
          <w:color w:val="0000FF"/>
          <w:sz w:val="16"/>
          <w:szCs w:val="16"/>
          <w:lang w:val="en-US" w:eastAsia="en-IL"/>
        </w:rPr>
        <w:t>Sector</w:t>
      </w:r>
      <w:r>
        <w:rPr>
          <w:rFonts w:ascii="Arial" w:eastAsia="Times New Roman" w:hAnsi="Arial" w:cs="Arial"/>
          <w:b/>
          <w:bCs/>
          <w:color w:val="0000FF"/>
          <w:sz w:val="16"/>
          <w:szCs w:val="16"/>
          <w:lang w:val="en-US" w:eastAsia="en-IL"/>
        </w:rPr>
        <w:t xml:space="preserve"> Index</w:t>
      </w:r>
    </w:p>
    <w:p w14:paraId="63BC9D8E" w14:textId="4E92C133" w:rsidR="001070B2" w:rsidRPr="001070B2" w:rsidRDefault="001070B2" w:rsidP="001070B2">
      <w:pPr>
        <w:spacing w:before="75" w:after="75" w:line="240" w:lineRule="auto"/>
        <w:rPr>
          <w:rFonts w:ascii="Arial" w:eastAsia="Times New Roman" w:hAnsi="Arial" w:cs="Arial"/>
          <w:b/>
          <w:bCs/>
          <w:color w:val="0A0A0A"/>
          <w:sz w:val="20"/>
          <w:szCs w:val="20"/>
          <w:lang w:val="en-US" w:eastAsia="en-IL"/>
        </w:rPr>
      </w:pPr>
      <w:r w:rsidRPr="001070B2">
        <w:rPr>
          <w:rFonts w:ascii="Arial" w:eastAsia="Times New Roman" w:hAnsi="Arial" w:cs="Arial"/>
          <w:b/>
          <w:bCs/>
          <w:color w:val="0A0A0A"/>
          <w:sz w:val="20"/>
          <w:szCs w:val="20"/>
          <w:lang w:val="en-US" w:eastAsia="en-IL"/>
        </w:rPr>
        <w:tab/>
      </w:r>
      <w:r w:rsidR="00D93387" w:rsidRPr="00D93387">
        <w:rPr>
          <w:noProof/>
        </w:rPr>
        <w:drawing>
          <wp:inline distT="0" distB="0" distL="0" distR="0" wp14:anchorId="5A993FB1" wp14:editId="1299E08F">
            <wp:extent cx="6358153" cy="1331366"/>
            <wp:effectExtent l="0" t="0" r="508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3940" cy="1336766"/>
                    </a:xfrm>
                    <a:prstGeom prst="rect">
                      <a:avLst/>
                    </a:prstGeom>
                    <a:noFill/>
                    <a:ln>
                      <a:noFill/>
                    </a:ln>
                  </pic:spPr>
                </pic:pic>
              </a:graphicData>
            </a:graphic>
          </wp:inline>
        </w:drawing>
      </w:r>
    </w:p>
    <w:p w14:paraId="3AC259C0" w14:textId="58AB2766" w:rsidR="001070B2" w:rsidRPr="001070B2" w:rsidRDefault="001070B2" w:rsidP="00C2219C">
      <w:pPr>
        <w:spacing w:before="75" w:after="75" w:line="240" w:lineRule="auto"/>
        <w:rPr>
          <w:rFonts w:ascii="Arial" w:eastAsia="Times New Roman" w:hAnsi="Arial" w:cs="Arial"/>
          <w:b/>
          <w:bCs/>
          <w:color w:val="0A0A0A"/>
          <w:sz w:val="20"/>
          <w:szCs w:val="20"/>
          <w:lang w:val="en-US" w:eastAsia="en-IL"/>
        </w:rPr>
      </w:pPr>
      <w:r w:rsidRPr="001070B2">
        <w:rPr>
          <w:rFonts w:ascii="Arial" w:eastAsia="Times New Roman" w:hAnsi="Arial" w:cs="Arial"/>
          <w:b/>
          <w:bCs/>
          <w:color w:val="0A0A0A"/>
          <w:sz w:val="20"/>
          <w:szCs w:val="20"/>
          <w:lang w:val="en-US" w:eastAsia="en-IL"/>
        </w:rPr>
        <w:tab/>
      </w:r>
      <w:r w:rsidRPr="001070B2">
        <w:rPr>
          <w:rFonts w:ascii="Arial" w:eastAsia="Times New Roman" w:hAnsi="Arial" w:cs="Arial"/>
          <w:b/>
          <w:bCs/>
          <w:color w:val="0A0A0A"/>
          <w:sz w:val="20"/>
          <w:szCs w:val="20"/>
          <w:lang w:val="en-US" w:eastAsia="en-IL"/>
        </w:rPr>
        <w:tab/>
      </w:r>
      <w:r w:rsidRPr="001070B2">
        <w:rPr>
          <w:rFonts w:ascii="Arial" w:eastAsia="Times New Roman" w:hAnsi="Arial" w:cs="Arial"/>
          <w:b/>
          <w:bCs/>
          <w:color w:val="0A0A0A"/>
          <w:sz w:val="20"/>
          <w:szCs w:val="20"/>
          <w:lang w:val="en-US" w:eastAsia="en-IL"/>
        </w:rPr>
        <w:tab/>
      </w:r>
      <w:r w:rsidRPr="001070B2">
        <w:rPr>
          <w:rFonts w:ascii="Arial" w:eastAsia="Times New Roman" w:hAnsi="Arial" w:cs="Arial"/>
          <w:b/>
          <w:bCs/>
          <w:color w:val="0A0A0A"/>
          <w:sz w:val="20"/>
          <w:szCs w:val="20"/>
          <w:lang w:val="en-US" w:eastAsia="en-IL"/>
        </w:rPr>
        <w:tab/>
      </w:r>
      <w:r w:rsidRPr="001070B2">
        <w:rPr>
          <w:rFonts w:ascii="Arial" w:eastAsia="Times New Roman" w:hAnsi="Arial" w:cs="Arial"/>
          <w:b/>
          <w:bCs/>
          <w:color w:val="0A0A0A"/>
          <w:sz w:val="20"/>
          <w:szCs w:val="20"/>
          <w:lang w:val="en-US" w:eastAsia="en-IL"/>
        </w:rPr>
        <w:tab/>
      </w:r>
      <w:r w:rsidRPr="001070B2">
        <w:rPr>
          <w:rFonts w:ascii="Arial" w:eastAsia="Times New Roman" w:hAnsi="Arial" w:cs="Arial"/>
          <w:b/>
          <w:bCs/>
          <w:color w:val="0A0A0A"/>
          <w:sz w:val="20"/>
          <w:szCs w:val="20"/>
          <w:lang w:val="en-US" w:eastAsia="en-IL"/>
        </w:rPr>
        <w:tab/>
      </w:r>
      <w:r w:rsidRPr="001070B2">
        <w:rPr>
          <w:rFonts w:ascii="Arial" w:eastAsia="Times New Roman" w:hAnsi="Arial" w:cs="Arial"/>
          <w:b/>
          <w:bCs/>
          <w:color w:val="0A0A0A"/>
          <w:sz w:val="20"/>
          <w:szCs w:val="20"/>
          <w:lang w:val="en-US" w:eastAsia="en-IL"/>
        </w:rPr>
        <w:tab/>
      </w:r>
      <w:r w:rsidRPr="001070B2">
        <w:rPr>
          <w:rFonts w:ascii="Arial" w:eastAsia="Times New Roman" w:hAnsi="Arial" w:cs="Arial"/>
          <w:b/>
          <w:bCs/>
          <w:color w:val="0A0A0A"/>
          <w:sz w:val="20"/>
          <w:szCs w:val="20"/>
          <w:lang w:val="en-US" w:eastAsia="en-IL"/>
        </w:rPr>
        <w:tab/>
      </w:r>
      <w:r w:rsidRPr="001070B2">
        <w:rPr>
          <w:rFonts w:ascii="Arial" w:eastAsia="Times New Roman" w:hAnsi="Arial" w:cs="Arial"/>
          <w:b/>
          <w:bCs/>
          <w:color w:val="0A0A0A"/>
          <w:sz w:val="20"/>
          <w:szCs w:val="20"/>
          <w:lang w:val="en-US" w:eastAsia="en-IL"/>
        </w:rPr>
        <w:tab/>
      </w:r>
      <w:r w:rsidRPr="001070B2">
        <w:rPr>
          <w:rFonts w:ascii="Arial" w:eastAsia="Times New Roman" w:hAnsi="Arial" w:cs="Arial"/>
          <w:b/>
          <w:bCs/>
          <w:color w:val="0A0A0A"/>
          <w:sz w:val="20"/>
          <w:szCs w:val="20"/>
          <w:lang w:val="en-US" w:eastAsia="en-IL"/>
        </w:rPr>
        <w:tab/>
      </w:r>
      <w:r w:rsidRPr="001070B2">
        <w:rPr>
          <w:rFonts w:ascii="Arial" w:eastAsia="Times New Roman" w:hAnsi="Arial" w:cs="Arial"/>
          <w:b/>
          <w:bCs/>
          <w:color w:val="0A0A0A"/>
          <w:sz w:val="20"/>
          <w:szCs w:val="20"/>
          <w:lang w:val="en-US" w:eastAsia="en-IL"/>
        </w:rPr>
        <w:tab/>
      </w:r>
      <w:r w:rsidRPr="001070B2">
        <w:rPr>
          <w:rFonts w:ascii="Arial" w:eastAsia="Times New Roman" w:hAnsi="Arial" w:cs="Arial"/>
          <w:b/>
          <w:bCs/>
          <w:color w:val="0A0A0A"/>
          <w:sz w:val="20"/>
          <w:szCs w:val="20"/>
          <w:lang w:val="en-US" w:eastAsia="en-IL"/>
        </w:rPr>
        <w:tab/>
      </w:r>
    </w:p>
    <w:p w14:paraId="2CB8D010" w14:textId="09DC04A7" w:rsidR="001070B2" w:rsidRPr="001070B2" w:rsidRDefault="00C2219C" w:rsidP="00C2219C">
      <w:pPr>
        <w:spacing w:before="75" w:after="75" w:line="240" w:lineRule="auto"/>
        <w:rPr>
          <w:rFonts w:ascii="Arial" w:eastAsia="Times New Roman" w:hAnsi="Arial" w:cs="Arial"/>
          <w:b/>
          <w:bCs/>
          <w:color w:val="0A0A0A"/>
          <w:sz w:val="20"/>
          <w:szCs w:val="20"/>
          <w:lang w:val="en-US" w:eastAsia="en-IL"/>
        </w:rPr>
      </w:pPr>
      <w:r w:rsidRPr="00247FC7">
        <w:rPr>
          <w:rFonts w:ascii="Arial" w:eastAsia="Times New Roman" w:hAnsi="Arial" w:cs="Arial"/>
          <w:b/>
          <w:bCs/>
          <w:color w:val="0000FF"/>
          <w:sz w:val="16"/>
          <w:szCs w:val="16"/>
          <w:lang w:val="en-US" w:eastAsia="en-IL"/>
        </w:rPr>
        <w:t xml:space="preserve">Panel B: </w:t>
      </w:r>
      <w:r w:rsidR="001070B2" w:rsidRPr="00247FC7">
        <w:rPr>
          <w:rFonts w:ascii="Arial" w:eastAsia="Times New Roman" w:hAnsi="Arial" w:cs="Arial"/>
          <w:b/>
          <w:bCs/>
          <w:color w:val="0000FF"/>
          <w:sz w:val="16"/>
          <w:szCs w:val="16"/>
          <w:lang w:val="en-US" w:eastAsia="en-IL"/>
        </w:rPr>
        <w:t>CAAR to Market</w:t>
      </w:r>
      <w:r w:rsidRPr="00247FC7">
        <w:rPr>
          <w:rFonts w:ascii="Arial" w:eastAsia="Times New Roman" w:hAnsi="Arial" w:cs="Arial"/>
          <w:b/>
          <w:bCs/>
          <w:color w:val="0000FF"/>
          <w:sz w:val="16"/>
          <w:szCs w:val="16"/>
          <w:lang w:val="en-US" w:eastAsia="en-IL"/>
        </w:rPr>
        <w:t xml:space="preserve"> Index</w:t>
      </w:r>
      <w:r w:rsidR="001070B2" w:rsidRPr="001070B2">
        <w:rPr>
          <w:rFonts w:ascii="Arial" w:eastAsia="Times New Roman" w:hAnsi="Arial" w:cs="Arial"/>
          <w:b/>
          <w:bCs/>
          <w:color w:val="0A0A0A"/>
          <w:sz w:val="16"/>
          <w:szCs w:val="16"/>
          <w:lang w:val="en-US" w:eastAsia="en-IL"/>
        </w:rPr>
        <w:tab/>
      </w:r>
      <w:r w:rsidR="001070B2" w:rsidRPr="001070B2">
        <w:rPr>
          <w:rFonts w:ascii="Arial" w:eastAsia="Times New Roman" w:hAnsi="Arial" w:cs="Arial"/>
          <w:b/>
          <w:bCs/>
          <w:color w:val="0A0A0A"/>
          <w:sz w:val="16"/>
          <w:szCs w:val="16"/>
          <w:lang w:val="en-US" w:eastAsia="en-IL"/>
        </w:rPr>
        <w:tab/>
      </w:r>
      <w:r w:rsidR="001070B2" w:rsidRPr="001070B2">
        <w:rPr>
          <w:rFonts w:ascii="Arial" w:eastAsia="Times New Roman" w:hAnsi="Arial" w:cs="Arial"/>
          <w:b/>
          <w:bCs/>
          <w:color w:val="0A0A0A"/>
          <w:sz w:val="16"/>
          <w:szCs w:val="16"/>
          <w:lang w:val="en-US" w:eastAsia="en-IL"/>
        </w:rPr>
        <w:tab/>
      </w:r>
      <w:r w:rsidR="001070B2" w:rsidRPr="001070B2">
        <w:rPr>
          <w:rFonts w:ascii="Arial" w:eastAsia="Times New Roman" w:hAnsi="Arial" w:cs="Arial"/>
          <w:b/>
          <w:bCs/>
          <w:color w:val="0A0A0A"/>
          <w:sz w:val="16"/>
          <w:szCs w:val="16"/>
          <w:lang w:val="en-US" w:eastAsia="en-IL"/>
        </w:rPr>
        <w:tab/>
      </w:r>
      <w:r w:rsidR="001070B2" w:rsidRPr="001070B2">
        <w:rPr>
          <w:rFonts w:ascii="Arial" w:eastAsia="Times New Roman" w:hAnsi="Arial" w:cs="Arial"/>
          <w:b/>
          <w:bCs/>
          <w:color w:val="0A0A0A"/>
          <w:sz w:val="16"/>
          <w:szCs w:val="16"/>
          <w:lang w:val="en-US" w:eastAsia="en-IL"/>
        </w:rPr>
        <w:tab/>
      </w:r>
      <w:r w:rsidR="001070B2" w:rsidRPr="001070B2">
        <w:rPr>
          <w:rFonts w:ascii="Arial" w:eastAsia="Times New Roman" w:hAnsi="Arial" w:cs="Arial"/>
          <w:b/>
          <w:bCs/>
          <w:color w:val="0A0A0A"/>
          <w:sz w:val="16"/>
          <w:szCs w:val="16"/>
          <w:lang w:val="en-US" w:eastAsia="en-IL"/>
        </w:rPr>
        <w:tab/>
      </w:r>
    </w:p>
    <w:p w14:paraId="4912C0F7" w14:textId="53F4E476" w:rsidR="001070B2" w:rsidRPr="001070B2" w:rsidRDefault="00D93387" w:rsidP="001070B2">
      <w:pPr>
        <w:spacing w:before="75" w:after="75" w:line="240" w:lineRule="auto"/>
        <w:rPr>
          <w:rFonts w:ascii="Arial" w:eastAsia="Times New Roman" w:hAnsi="Arial" w:cs="Arial"/>
          <w:b/>
          <w:bCs/>
          <w:color w:val="0A0A0A"/>
          <w:sz w:val="20"/>
          <w:szCs w:val="20"/>
          <w:lang w:val="en-US" w:eastAsia="en-IL"/>
        </w:rPr>
      </w:pPr>
      <w:r w:rsidRPr="00D93387">
        <w:rPr>
          <w:noProof/>
        </w:rPr>
        <w:drawing>
          <wp:inline distT="0" distB="0" distL="0" distR="0" wp14:anchorId="5F98396E" wp14:editId="51EE6AC2">
            <wp:extent cx="6288285" cy="131673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3280" cy="1319876"/>
                    </a:xfrm>
                    <a:prstGeom prst="rect">
                      <a:avLst/>
                    </a:prstGeom>
                    <a:noFill/>
                    <a:ln>
                      <a:noFill/>
                    </a:ln>
                  </pic:spPr>
                </pic:pic>
              </a:graphicData>
            </a:graphic>
          </wp:inline>
        </w:drawing>
      </w:r>
      <w:r w:rsidR="001070B2" w:rsidRPr="001070B2">
        <w:rPr>
          <w:rFonts w:ascii="Arial" w:eastAsia="Times New Roman" w:hAnsi="Arial" w:cs="Arial"/>
          <w:b/>
          <w:bCs/>
          <w:color w:val="0A0A0A"/>
          <w:sz w:val="20"/>
          <w:szCs w:val="20"/>
          <w:lang w:val="en-US" w:eastAsia="en-IL"/>
        </w:rPr>
        <w:tab/>
      </w:r>
      <w:r w:rsidR="001070B2" w:rsidRPr="001070B2">
        <w:rPr>
          <w:rFonts w:ascii="Arial" w:eastAsia="Times New Roman" w:hAnsi="Arial" w:cs="Arial"/>
          <w:b/>
          <w:bCs/>
          <w:color w:val="0A0A0A"/>
          <w:sz w:val="20"/>
          <w:szCs w:val="20"/>
          <w:lang w:val="en-US" w:eastAsia="en-IL"/>
        </w:rPr>
        <w:tab/>
      </w:r>
      <w:r w:rsidR="001070B2" w:rsidRPr="001070B2">
        <w:rPr>
          <w:rFonts w:ascii="Arial" w:eastAsia="Times New Roman" w:hAnsi="Arial" w:cs="Arial"/>
          <w:b/>
          <w:bCs/>
          <w:color w:val="0A0A0A"/>
          <w:sz w:val="20"/>
          <w:szCs w:val="20"/>
          <w:lang w:val="en-US" w:eastAsia="en-IL"/>
        </w:rPr>
        <w:tab/>
      </w:r>
      <w:r w:rsidR="001070B2" w:rsidRPr="001070B2">
        <w:rPr>
          <w:rFonts w:ascii="Arial" w:eastAsia="Times New Roman" w:hAnsi="Arial" w:cs="Arial"/>
          <w:b/>
          <w:bCs/>
          <w:color w:val="0A0A0A"/>
          <w:sz w:val="20"/>
          <w:szCs w:val="20"/>
          <w:lang w:val="en-US" w:eastAsia="en-IL"/>
        </w:rPr>
        <w:tab/>
      </w:r>
      <w:r w:rsidR="001070B2" w:rsidRPr="001070B2">
        <w:rPr>
          <w:rFonts w:ascii="Arial" w:eastAsia="Times New Roman" w:hAnsi="Arial" w:cs="Arial"/>
          <w:b/>
          <w:bCs/>
          <w:color w:val="0A0A0A"/>
          <w:sz w:val="20"/>
          <w:szCs w:val="20"/>
          <w:lang w:val="en-US" w:eastAsia="en-IL"/>
        </w:rPr>
        <w:tab/>
      </w:r>
      <w:r w:rsidR="001070B2" w:rsidRPr="001070B2">
        <w:rPr>
          <w:rFonts w:ascii="Arial" w:eastAsia="Times New Roman" w:hAnsi="Arial" w:cs="Arial"/>
          <w:b/>
          <w:bCs/>
          <w:color w:val="0A0A0A"/>
          <w:sz w:val="20"/>
          <w:szCs w:val="20"/>
          <w:lang w:val="en-US" w:eastAsia="en-IL"/>
        </w:rPr>
        <w:tab/>
      </w:r>
      <w:r w:rsidR="001070B2" w:rsidRPr="001070B2">
        <w:rPr>
          <w:rFonts w:ascii="Arial" w:eastAsia="Times New Roman" w:hAnsi="Arial" w:cs="Arial"/>
          <w:b/>
          <w:bCs/>
          <w:color w:val="0A0A0A"/>
          <w:sz w:val="20"/>
          <w:szCs w:val="20"/>
          <w:lang w:val="en-US" w:eastAsia="en-IL"/>
        </w:rPr>
        <w:tab/>
      </w:r>
      <w:r w:rsidR="001070B2" w:rsidRPr="001070B2">
        <w:rPr>
          <w:rFonts w:ascii="Arial" w:eastAsia="Times New Roman" w:hAnsi="Arial" w:cs="Arial"/>
          <w:b/>
          <w:bCs/>
          <w:color w:val="0A0A0A"/>
          <w:sz w:val="20"/>
          <w:szCs w:val="20"/>
          <w:lang w:val="en-US" w:eastAsia="en-IL"/>
        </w:rPr>
        <w:tab/>
      </w:r>
      <w:r w:rsidR="001070B2" w:rsidRPr="001070B2">
        <w:rPr>
          <w:rFonts w:ascii="Arial" w:eastAsia="Times New Roman" w:hAnsi="Arial" w:cs="Arial"/>
          <w:b/>
          <w:bCs/>
          <w:color w:val="0A0A0A"/>
          <w:sz w:val="20"/>
          <w:szCs w:val="20"/>
          <w:lang w:val="en-US" w:eastAsia="en-IL"/>
        </w:rPr>
        <w:tab/>
      </w:r>
      <w:r w:rsidR="001070B2" w:rsidRPr="001070B2">
        <w:rPr>
          <w:rFonts w:ascii="Arial" w:eastAsia="Times New Roman" w:hAnsi="Arial" w:cs="Arial"/>
          <w:b/>
          <w:bCs/>
          <w:color w:val="0A0A0A"/>
          <w:sz w:val="20"/>
          <w:szCs w:val="20"/>
          <w:lang w:val="en-US" w:eastAsia="en-IL"/>
        </w:rPr>
        <w:tab/>
      </w:r>
      <w:r w:rsidR="001070B2" w:rsidRPr="001070B2">
        <w:rPr>
          <w:rFonts w:ascii="Arial" w:eastAsia="Times New Roman" w:hAnsi="Arial" w:cs="Arial"/>
          <w:b/>
          <w:bCs/>
          <w:color w:val="0A0A0A"/>
          <w:sz w:val="20"/>
          <w:szCs w:val="20"/>
          <w:lang w:val="en-US" w:eastAsia="en-IL"/>
        </w:rPr>
        <w:tab/>
      </w:r>
    </w:p>
    <w:p w14:paraId="05AD2EB3" w14:textId="7CF331ED" w:rsidR="00415609" w:rsidRPr="00415609" w:rsidRDefault="008A5F98" w:rsidP="00415609">
      <w:pPr>
        <w:spacing w:after="0" w:line="360" w:lineRule="auto"/>
        <w:rPr>
          <w:rFonts w:ascii="Times New Roman" w:eastAsia="Times New Roman" w:hAnsi="Times New Roman" w:cs="Times New Roman"/>
          <w:color w:val="0000FF"/>
          <w:sz w:val="24"/>
          <w:szCs w:val="24"/>
          <w:lang w:val="en-US"/>
        </w:rPr>
      </w:pPr>
      <w:r w:rsidRPr="006122B5">
        <w:rPr>
          <w:rFonts w:ascii="Calibri" w:eastAsia="Times New Roman" w:hAnsi="Calibri" w:cs="Calibri"/>
          <w:color w:val="0000FF"/>
          <w:lang w:val="en-US" w:eastAsia="en-IL"/>
        </w:rPr>
        <w:t xml:space="preserve">Regarding the </w:t>
      </w:r>
      <w:r w:rsidR="006122B5">
        <w:rPr>
          <w:rFonts w:ascii="Calibri" w:eastAsia="Times New Roman" w:hAnsi="Calibri" w:cs="Calibri"/>
          <w:color w:val="0000FF"/>
          <w:lang w:val="en-US" w:eastAsia="en-IL"/>
        </w:rPr>
        <w:t xml:space="preserve">second part of the </w:t>
      </w:r>
      <w:r w:rsidR="00585080">
        <w:rPr>
          <w:rFonts w:ascii="Calibri" w:eastAsia="Times New Roman" w:hAnsi="Calibri" w:cs="Calibri"/>
          <w:color w:val="0000FF"/>
          <w:lang w:val="en-US" w:eastAsia="en-IL"/>
        </w:rPr>
        <w:t>paper,</w:t>
      </w:r>
      <w:r w:rsidR="006122B5">
        <w:rPr>
          <w:rFonts w:ascii="Calibri" w:eastAsia="Times New Roman" w:hAnsi="Calibri" w:cs="Calibri"/>
          <w:color w:val="0000FF"/>
          <w:lang w:val="en-US" w:eastAsia="en-IL"/>
        </w:rPr>
        <w:t xml:space="preserve"> using tweets volume</w:t>
      </w:r>
      <w:r w:rsidR="00585080" w:rsidRPr="00585080">
        <w:rPr>
          <w:rFonts w:ascii="Calibri" w:eastAsia="Times New Roman" w:hAnsi="Calibri" w:cs="Calibri"/>
          <w:color w:val="0000FF"/>
          <w:lang w:val="en-US" w:eastAsia="en-IL"/>
        </w:rPr>
        <w:t xml:space="preserve"> </w:t>
      </w:r>
      <w:r w:rsidR="00585080">
        <w:rPr>
          <w:rFonts w:ascii="Calibri" w:eastAsia="Times New Roman" w:hAnsi="Calibri" w:cs="Calibri"/>
          <w:color w:val="0000FF"/>
          <w:lang w:val="en-US" w:eastAsia="en-IL"/>
        </w:rPr>
        <w:t xml:space="preserve">as a proxy for investors’ attention. Due to many limitations </w:t>
      </w:r>
      <w:r w:rsidR="00C8553D">
        <w:rPr>
          <w:rFonts w:ascii="Calibri" w:eastAsia="Times New Roman" w:hAnsi="Calibri" w:cs="Calibri"/>
          <w:color w:val="0000FF"/>
          <w:lang w:val="en-US" w:eastAsia="en-IL"/>
        </w:rPr>
        <w:t xml:space="preserve">of </w:t>
      </w:r>
      <w:r w:rsidR="00585080">
        <w:rPr>
          <w:rFonts w:ascii="Calibri" w:eastAsia="Times New Roman" w:hAnsi="Calibri" w:cs="Calibri"/>
          <w:color w:val="0000FF"/>
          <w:lang w:val="en-US" w:eastAsia="en-IL"/>
        </w:rPr>
        <w:t xml:space="preserve">using </w:t>
      </w:r>
      <w:r w:rsidR="00585080">
        <w:rPr>
          <w:rFonts w:ascii="Calibri" w:eastAsia="Times New Roman" w:hAnsi="Calibri" w:cs="Calibri" w:hint="cs"/>
          <w:color w:val="0000FF"/>
          <w:lang w:val="en-US" w:eastAsia="en-IL"/>
        </w:rPr>
        <w:t>T</w:t>
      </w:r>
      <w:r w:rsidR="00585080">
        <w:rPr>
          <w:rFonts w:ascii="Calibri" w:eastAsia="Times New Roman" w:hAnsi="Calibri" w:cs="Calibri"/>
          <w:color w:val="0000FF"/>
          <w:lang w:val="en-US" w:eastAsia="en-IL"/>
        </w:rPr>
        <w:t>witter AP</w:t>
      </w:r>
      <w:r w:rsidR="00C8553D">
        <w:rPr>
          <w:rFonts w:ascii="Calibri" w:eastAsia="Times New Roman" w:hAnsi="Calibri" w:cs="Calibri"/>
          <w:color w:val="0000FF"/>
          <w:lang w:val="en-US" w:eastAsia="en-IL"/>
        </w:rPr>
        <w:t xml:space="preserve">I, retrieving </w:t>
      </w:r>
      <w:r w:rsidR="00585080">
        <w:rPr>
          <w:rFonts w:ascii="Calibri" w:eastAsia="Times New Roman" w:hAnsi="Calibri" w:cs="Calibri"/>
          <w:color w:val="0000FF"/>
          <w:lang w:val="en-US" w:eastAsia="en-IL"/>
        </w:rPr>
        <w:t xml:space="preserve">tweets took </w:t>
      </w:r>
      <w:r w:rsidR="00C8553D">
        <w:rPr>
          <w:rFonts w:ascii="Calibri" w:eastAsia="Times New Roman" w:hAnsi="Calibri" w:cs="Calibri"/>
          <w:color w:val="0000FF"/>
          <w:lang w:val="en-US" w:eastAsia="en-IL"/>
        </w:rPr>
        <w:t xml:space="preserve">many </w:t>
      </w:r>
      <w:r w:rsidR="00585080">
        <w:rPr>
          <w:rFonts w:ascii="Calibri" w:eastAsia="Times New Roman" w:hAnsi="Calibri" w:cs="Calibri"/>
          <w:color w:val="0000FF"/>
          <w:lang w:val="en-US" w:eastAsia="en-IL"/>
        </w:rPr>
        <w:t xml:space="preserve">hundreds of hours.  </w:t>
      </w:r>
      <w:r w:rsidR="00C8553D">
        <w:rPr>
          <w:rFonts w:ascii="Calibri" w:eastAsia="Times New Roman" w:hAnsi="Calibri" w:cs="Calibri"/>
          <w:color w:val="0000FF"/>
          <w:lang w:val="en-US" w:eastAsia="en-IL"/>
        </w:rPr>
        <w:t xml:space="preserve">If we add the time required to read and </w:t>
      </w:r>
      <w:r w:rsidR="00585080" w:rsidRPr="00E84EB5">
        <w:rPr>
          <w:rFonts w:ascii="Calibri" w:eastAsia="Times New Roman" w:hAnsi="Calibri" w:cs="Calibri"/>
          <w:color w:val="0000FF"/>
          <w:lang w:val="en-US" w:eastAsia="en-IL"/>
        </w:rPr>
        <w:t xml:space="preserve">filter out irrelevant </w:t>
      </w:r>
      <w:r w:rsidR="007D661C" w:rsidRPr="00E84EB5">
        <w:rPr>
          <w:rFonts w:ascii="Calibri" w:eastAsia="Times New Roman" w:hAnsi="Calibri" w:cs="Calibri"/>
          <w:color w:val="0000FF"/>
          <w:lang w:val="en-US" w:eastAsia="en-IL"/>
        </w:rPr>
        <w:t>tweets</w:t>
      </w:r>
      <w:r w:rsidR="007D661C">
        <w:rPr>
          <w:rFonts w:ascii="Calibri" w:eastAsia="Times New Roman" w:hAnsi="Calibri" w:cs="Calibri"/>
          <w:color w:val="0000FF"/>
          <w:lang w:val="en-US" w:eastAsia="en-IL"/>
        </w:rPr>
        <w:t>, the</w:t>
      </w:r>
      <w:r w:rsidR="00C8553D">
        <w:rPr>
          <w:rFonts w:ascii="Calibri" w:eastAsia="Times New Roman" w:hAnsi="Calibri" w:cs="Calibri"/>
          <w:color w:val="0000FF"/>
          <w:lang w:val="en-US" w:eastAsia="en-IL"/>
        </w:rPr>
        <w:t xml:space="preserve"> task becomes impossible in the time </w:t>
      </w:r>
      <w:r w:rsidR="007D661C">
        <w:rPr>
          <w:rFonts w:ascii="Calibri" w:eastAsia="Times New Roman" w:hAnsi="Calibri" w:cs="Calibri"/>
          <w:color w:val="0000FF"/>
          <w:lang w:val="en-US" w:eastAsia="en-IL"/>
        </w:rPr>
        <w:t xml:space="preserve">frame </w:t>
      </w:r>
      <w:r w:rsidR="00415609">
        <w:rPr>
          <w:rFonts w:ascii="Calibri" w:eastAsia="Times New Roman" w:hAnsi="Calibri" w:cs="Calibri"/>
          <w:color w:val="0000FF"/>
          <w:lang w:val="en-US" w:eastAsia="en-IL"/>
        </w:rPr>
        <w:t xml:space="preserve">given </w:t>
      </w:r>
      <w:r w:rsidR="007D661C">
        <w:rPr>
          <w:rFonts w:ascii="Calibri" w:eastAsia="Times New Roman" w:hAnsi="Calibri" w:cs="Calibri"/>
          <w:color w:val="0000FF"/>
          <w:lang w:val="en-US" w:eastAsia="en-IL"/>
        </w:rPr>
        <w:t>for</w:t>
      </w:r>
      <w:r w:rsidR="00585080">
        <w:rPr>
          <w:rFonts w:ascii="Calibri" w:eastAsia="Times New Roman" w:hAnsi="Calibri" w:cs="Calibri"/>
          <w:color w:val="0000FF"/>
          <w:lang w:val="en-US" w:eastAsia="en-IL"/>
        </w:rPr>
        <w:t xml:space="preserve"> revis</w:t>
      </w:r>
      <w:r w:rsidR="00C8553D">
        <w:rPr>
          <w:rFonts w:ascii="Calibri" w:eastAsia="Times New Roman" w:hAnsi="Calibri" w:cs="Calibri"/>
          <w:color w:val="0000FF"/>
          <w:lang w:val="en-US" w:eastAsia="en-IL"/>
        </w:rPr>
        <w:t>ing the</w:t>
      </w:r>
      <w:r w:rsidR="00585080">
        <w:rPr>
          <w:rFonts w:ascii="Calibri" w:eastAsia="Times New Roman" w:hAnsi="Calibri" w:cs="Calibri"/>
          <w:color w:val="0000FF"/>
          <w:lang w:val="en-US" w:eastAsia="en-IL"/>
        </w:rPr>
        <w:t xml:space="preserve"> manuscript.  </w:t>
      </w:r>
      <w:r w:rsidR="007D661C">
        <w:rPr>
          <w:rFonts w:ascii="Calibri" w:eastAsia="Times New Roman" w:hAnsi="Calibri" w:cs="Calibri"/>
          <w:color w:val="0000FF"/>
          <w:lang w:val="en-US" w:eastAsia="en-IL"/>
        </w:rPr>
        <w:t xml:space="preserve">As a result, </w:t>
      </w:r>
      <w:r w:rsidR="00415609">
        <w:rPr>
          <w:rFonts w:ascii="Calibri" w:eastAsia="Times New Roman" w:hAnsi="Calibri" w:cs="Calibri"/>
          <w:color w:val="0000FF"/>
          <w:lang w:val="en-US" w:eastAsia="en-IL"/>
        </w:rPr>
        <w:t xml:space="preserve">we do not retrieved tweets for the additional 2018 -2019 years that we add in the first part, and the second part stays as before </w:t>
      </w:r>
      <w:r w:rsidR="00E84EB5" w:rsidRPr="00E84EB5">
        <w:rPr>
          <w:rFonts w:ascii="Calibri" w:eastAsia="Times New Roman" w:hAnsi="Calibri" w:cs="Calibri"/>
          <w:color w:val="0000FF"/>
          <w:lang w:val="en-US" w:eastAsia="en-IL"/>
        </w:rPr>
        <w:t xml:space="preserve">analyzes the impact of tweets for </w:t>
      </w:r>
      <w:r w:rsidR="007D661C">
        <w:rPr>
          <w:rFonts w:ascii="Calibri" w:eastAsia="Times New Roman" w:hAnsi="Calibri" w:cs="Calibri"/>
          <w:color w:val="0000FF"/>
          <w:lang w:val="en-US" w:eastAsia="en-IL"/>
        </w:rPr>
        <w:t>firms</w:t>
      </w:r>
      <w:r w:rsidR="00E84EB5" w:rsidRPr="00E84EB5">
        <w:rPr>
          <w:rFonts w:ascii="Calibri" w:eastAsia="Times New Roman" w:hAnsi="Calibri" w:cs="Calibri"/>
          <w:color w:val="0000FF"/>
          <w:lang w:val="en-US" w:eastAsia="en-IL"/>
        </w:rPr>
        <w:t xml:space="preserve"> issued between 2017-2013.</w:t>
      </w:r>
      <w:r w:rsidR="00415609">
        <w:rPr>
          <w:rFonts w:ascii="Calibri" w:eastAsia="Times New Roman" w:hAnsi="Calibri" w:cs="Calibri"/>
          <w:color w:val="0000FF"/>
          <w:lang w:val="en-US" w:eastAsia="en-IL"/>
        </w:rPr>
        <w:t xml:space="preserve"> However, </w:t>
      </w:r>
      <w:r w:rsidR="00324A0D" w:rsidRPr="00324A0D">
        <w:rPr>
          <w:rFonts w:ascii="Calibri" w:eastAsia="Times New Roman" w:hAnsi="Calibri" w:cs="Calibri"/>
          <w:color w:val="0000FF"/>
          <w:lang w:val="en-US" w:eastAsia="en-IL"/>
        </w:rPr>
        <w:t>we have drawn the reader's attention to this by adding footnote number 8</w:t>
      </w:r>
      <w:r w:rsidR="00324A0D">
        <w:rPr>
          <w:rFonts w:ascii="Calibri" w:eastAsia="Times New Roman" w:hAnsi="Calibri" w:cs="Calibri"/>
          <w:color w:val="0000FF"/>
          <w:lang w:val="en-US" w:eastAsia="en-IL"/>
        </w:rPr>
        <w:t>:</w:t>
      </w:r>
      <w:r w:rsidR="001070B2" w:rsidRPr="006122B5">
        <w:rPr>
          <w:rFonts w:ascii="Calibri" w:eastAsia="Times New Roman" w:hAnsi="Calibri" w:cs="Calibri"/>
          <w:color w:val="0000FF"/>
          <w:lang w:val="en-US" w:eastAsia="en-IL"/>
        </w:rPr>
        <w:tab/>
      </w:r>
      <w:bookmarkStart w:id="10" w:name="_Hlk80528055"/>
      <w:r w:rsidR="00324A0D">
        <w:rPr>
          <w:rFonts w:ascii="Calibri" w:eastAsia="Times New Roman" w:hAnsi="Calibri" w:cs="Calibri"/>
          <w:color w:val="0000FF"/>
          <w:lang w:val="en-US" w:eastAsia="en-IL"/>
        </w:rPr>
        <w:t>“</w:t>
      </w:r>
      <w:r w:rsidR="00415609" w:rsidRPr="00245445">
        <w:rPr>
          <w:color w:val="0000FF"/>
        </w:rPr>
        <w:t xml:space="preserve">Due to </w:t>
      </w:r>
      <w:r w:rsidR="00415609">
        <w:rPr>
          <w:rFonts w:ascii="Calibri" w:eastAsia="Times New Roman" w:hAnsi="Calibri" w:cs="Calibri"/>
          <w:color w:val="0000FF"/>
          <w:lang w:val="en-US" w:eastAsia="en-IL"/>
        </w:rPr>
        <w:t xml:space="preserve">limitations of using </w:t>
      </w:r>
      <w:r w:rsidR="00415609">
        <w:rPr>
          <w:rFonts w:ascii="Calibri" w:eastAsia="Times New Roman" w:hAnsi="Calibri" w:cs="Calibri" w:hint="cs"/>
          <w:color w:val="0000FF"/>
          <w:lang w:val="en-US" w:eastAsia="en-IL"/>
        </w:rPr>
        <w:t>T</w:t>
      </w:r>
      <w:r w:rsidR="00415609">
        <w:rPr>
          <w:rFonts w:ascii="Calibri" w:eastAsia="Times New Roman" w:hAnsi="Calibri" w:cs="Calibri"/>
          <w:color w:val="0000FF"/>
          <w:lang w:val="en-US" w:eastAsia="en-IL"/>
        </w:rPr>
        <w:t>witter API</w:t>
      </w:r>
      <w:r w:rsidR="00415609">
        <w:rPr>
          <w:color w:val="0000FF"/>
          <w:lang w:val="en-US"/>
        </w:rPr>
        <w:t>, w</w:t>
      </w:r>
      <w:r w:rsidR="00415609" w:rsidRPr="00245445">
        <w:rPr>
          <w:color w:val="0000FF"/>
        </w:rPr>
        <w:t>e perform this analysis only for the years</w:t>
      </w:r>
      <w:r w:rsidR="00415609">
        <w:rPr>
          <w:rFonts w:ascii="Arial" w:eastAsia="Times New Roman" w:hAnsi="Arial" w:cs="Arial"/>
          <w:b/>
          <w:bCs/>
          <w:color w:val="0A0A0A"/>
          <w:sz w:val="20"/>
          <w:szCs w:val="20"/>
          <w:lang w:val="en-US" w:eastAsia="en-IL"/>
        </w:rPr>
        <w:t xml:space="preserve"> </w:t>
      </w:r>
      <w:r w:rsidR="00415609" w:rsidRPr="00245445">
        <w:rPr>
          <w:color w:val="0000FF"/>
        </w:rPr>
        <w:t>2013</w:t>
      </w:r>
      <w:r w:rsidR="00415609">
        <w:rPr>
          <w:color w:val="0000FF"/>
          <w:lang w:val="en-US"/>
        </w:rPr>
        <w:t xml:space="preserve"> to </w:t>
      </w:r>
      <w:r w:rsidR="00415609" w:rsidRPr="00245445">
        <w:rPr>
          <w:color w:val="0000FF"/>
        </w:rPr>
        <w:t xml:space="preserve">2017 </w:t>
      </w:r>
      <w:bookmarkEnd w:id="10"/>
      <w:r w:rsidR="00415609">
        <w:rPr>
          <w:rFonts w:ascii="Arial" w:eastAsia="Times New Roman" w:hAnsi="Arial" w:cs="Arial"/>
          <w:b/>
          <w:bCs/>
          <w:color w:val="0A0A0A"/>
          <w:sz w:val="20"/>
          <w:szCs w:val="20"/>
          <w:lang w:val="en-US" w:eastAsia="en-IL"/>
        </w:rPr>
        <w:t>“</w:t>
      </w:r>
      <w:r w:rsidR="00324A0D" w:rsidRPr="00324A0D">
        <w:rPr>
          <w:rFonts w:ascii="Calibri" w:eastAsia="Times New Roman" w:hAnsi="Calibri" w:cs="Calibri"/>
          <w:color w:val="0000FF"/>
          <w:lang w:val="en-US" w:eastAsia="en-IL"/>
        </w:rPr>
        <w:t xml:space="preserve">and updating the </w:t>
      </w:r>
      <w:r w:rsidR="00324A0D">
        <w:rPr>
          <w:rFonts w:ascii="Calibri" w:eastAsia="Times New Roman" w:hAnsi="Calibri" w:cs="Calibri"/>
          <w:color w:val="0000FF"/>
          <w:lang w:val="en-US" w:eastAsia="en-IL"/>
        </w:rPr>
        <w:t>note</w:t>
      </w:r>
      <w:r w:rsidR="00324A0D" w:rsidRPr="00324A0D">
        <w:rPr>
          <w:rFonts w:ascii="Calibri" w:eastAsia="Times New Roman" w:hAnsi="Calibri" w:cs="Calibri"/>
          <w:color w:val="0000FF"/>
          <w:lang w:val="en-US" w:eastAsia="en-IL"/>
        </w:rPr>
        <w:t xml:space="preserve"> below Table 4 by adding</w:t>
      </w:r>
      <w:r w:rsidR="00324A0D">
        <w:rPr>
          <w:rFonts w:ascii="Calibri" w:eastAsia="Times New Roman" w:hAnsi="Calibri" w:cs="Calibri"/>
          <w:color w:val="0000FF"/>
          <w:lang w:val="en-US" w:eastAsia="en-IL"/>
        </w:rPr>
        <w:t xml:space="preserve"> </w:t>
      </w:r>
      <w:r w:rsidR="00415609">
        <w:rPr>
          <w:rFonts w:ascii="Calibri" w:eastAsia="Times New Roman" w:hAnsi="Calibri" w:cs="Calibri"/>
          <w:color w:val="0000FF"/>
          <w:lang w:val="en-US" w:eastAsia="en-IL"/>
        </w:rPr>
        <w:t>“</w:t>
      </w:r>
      <w:r w:rsidR="00415609" w:rsidRPr="00415609">
        <w:rPr>
          <w:rFonts w:ascii="Times New Roman" w:eastAsia="Times New Roman" w:hAnsi="Times New Roman" w:cs="Times New Roman"/>
          <w:color w:val="0000FF"/>
          <w:sz w:val="24"/>
          <w:szCs w:val="24"/>
          <w:lang w:val="en-US" w:bidi="ar-SA"/>
        </w:rPr>
        <w:t xml:space="preserve">Tweets were extracted only for firms that performed IPO between 2013 – 2017. </w:t>
      </w:r>
      <w:r w:rsidR="00415609">
        <w:rPr>
          <w:rFonts w:ascii="Times New Roman" w:eastAsia="Times New Roman" w:hAnsi="Times New Roman" w:cs="Times New Roman"/>
          <w:color w:val="0000FF"/>
          <w:sz w:val="24"/>
          <w:szCs w:val="24"/>
          <w:lang w:val="en-US" w:bidi="ar-SA"/>
        </w:rPr>
        <w:t>“</w:t>
      </w:r>
    </w:p>
    <w:p w14:paraId="3474AC23" w14:textId="5FE545A5" w:rsidR="00291E5A" w:rsidRDefault="001070B2" w:rsidP="00585080">
      <w:pPr>
        <w:spacing w:after="0" w:line="360" w:lineRule="auto"/>
        <w:rPr>
          <w:rFonts w:ascii="Arial" w:eastAsia="Times New Roman" w:hAnsi="Arial" w:cs="Arial"/>
          <w:b/>
          <w:bCs/>
          <w:color w:val="0A0A0A"/>
          <w:sz w:val="20"/>
          <w:szCs w:val="20"/>
          <w:lang w:val="en-US" w:eastAsia="en-IL"/>
        </w:rPr>
      </w:pPr>
      <w:r w:rsidRPr="001070B2">
        <w:rPr>
          <w:rFonts w:ascii="Arial" w:eastAsia="Times New Roman" w:hAnsi="Arial" w:cs="Arial"/>
          <w:b/>
          <w:bCs/>
          <w:color w:val="0A0A0A"/>
          <w:sz w:val="20"/>
          <w:szCs w:val="20"/>
          <w:lang w:val="en-US" w:eastAsia="en-IL"/>
        </w:rPr>
        <w:tab/>
      </w:r>
      <w:r w:rsidRPr="001070B2">
        <w:rPr>
          <w:rFonts w:ascii="Arial" w:eastAsia="Times New Roman" w:hAnsi="Arial" w:cs="Arial"/>
          <w:b/>
          <w:bCs/>
          <w:color w:val="0A0A0A"/>
          <w:sz w:val="20"/>
          <w:szCs w:val="20"/>
          <w:lang w:val="en-US" w:eastAsia="en-IL"/>
        </w:rPr>
        <w:tab/>
      </w:r>
    </w:p>
    <w:p w14:paraId="474BF837" w14:textId="77777777" w:rsidR="00291E5A" w:rsidRDefault="00291E5A" w:rsidP="00585080">
      <w:pPr>
        <w:spacing w:after="0" w:line="360" w:lineRule="auto"/>
        <w:rPr>
          <w:rFonts w:ascii="Arial" w:eastAsia="Times New Roman" w:hAnsi="Arial" w:cs="Arial"/>
          <w:b/>
          <w:bCs/>
          <w:color w:val="0A0A0A"/>
          <w:sz w:val="20"/>
          <w:szCs w:val="20"/>
          <w:lang w:val="en-US" w:eastAsia="en-IL"/>
        </w:rPr>
      </w:pPr>
    </w:p>
    <w:bookmarkEnd w:id="7"/>
    <w:p w14:paraId="46A01109" w14:textId="77777777" w:rsidR="003242C4" w:rsidRPr="00C000B6" w:rsidRDefault="003242C4" w:rsidP="00C000B6">
      <w:pPr>
        <w:spacing w:before="75" w:after="75" w:line="240" w:lineRule="auto"/>
        <w:rPr>
          <w:rFonts w:ascii="Arial" w:eastAsia="Times New Roman" w:hAnsi="Arial" w:cs="Arial"/>
          <w:b/>
          <w:bCs/>
          <w:color w:val="0A0A0A"/>
          <w:sz w:val="20"/>
          <w:szCs w:val="20"/>
          <w:lang w:eastAsia="en-IL"/>
        </w:rPr>
      </w:pPr>
    </w:p>
    <w:p w14:paraId="4AE50128" w14:textId="4F4A299A" w:rsidR="009D7247" w:rsidRDefault="009D7247" w:rsidP="00C000B6">
      <w:pPr>
        <w:numPr>
          <w:ilvl w:val="0"/>
          <w:numId w:val="1"/>
        </w:numPr>
        <w:tabs>
          <w:tab w:val="clear" w:pos="720"/>
          <w:tab w:val="num" w:pos="0"/>
        </w:tabs>
        <w:spacing w:before="75" w:after="75" w:line="240" w:lineRule="auto"/>
        <w:ind w:left="0" w:firstLine="0"/>
        <w:rPr>
          <w:rFonts w:ascii="Arial" w:eastAsia="Times New Roman" w:hAnsi="Arial" w:cs="Arial"/>
          <w:b/>
          <w:bCs/>
          <w:color w:val="0A0A0A"/>
          <w:sz w:val="20"/>
          <w:szCs w:val="20"/>
          <w:lang w:eastAsia="en-IL"/>
        </w:rPr>
      </w:pPr>
      <w:r w:rsidRPr="00C000B6">
        <w:rPr>
          <w:rFonts w:ascii="Arial" w:eastAsia="Times New Roman" w:hAnsi="Arial" w:cs="Arial"/>
          <w:b/>
          <w:bCs/>
          <w:color w:val="0A0A0A"/>
          <w:sz w:val="20"/>
          <w:szCs w:val="20"/>
          <w:lang w:eastAsia="en-IL"/>
        </w:rPr>
        <w:t>I would consider adding a decomposition normality test for a variable presented in Table 2.</w:t>
      </w:r>
    </w:p>
    <w:p w14:paraId="64635D64" w14:textId="68EFFAF3" w:rsidR="003F5EEA" w:rsidRDefault="003F5EEA" w:rsidP="00784F46">
      <w:pPr>
        <w:spacing w:after="0" w:line="360" w:lineRule="auto"/>
        <w:rPr>
          <w:rFonts w:ascii="Arial" w:eastAsia="Times New Roman" w:hAnsi="Arial" w:cs="Arial"/>
          <w:b/>
          <w:bCs/>
          <w:color w:val="0A0A0A"/>
          <w:sz w:val="20"/>
          <w:szCs w:val="20"/>
          <w:lang w:eastAsia="en-IL"/>
        </w:rPr>
      </w:pPr>
      <w:r w:rsidRPr="007902FD">
        <w:rPr>
          <w:rFonts w:ascii="Calibri" w:eastAsia="Times New Roman" w:hAnsi="Calibri" w:cs="Calibri" w:hint="cs"/>
          <w:color w:val="0000FF"/>
          <w:lang w:eastAsia="en-IL"/>
        </w:rPr>
        <w:t>T</w:t>
      </w:r>
      <w:r w:rsidR="007825B9" w:rsidRPr="007825B9">
        <w:rPr>
          <w:rFonts w:ascii="Calibri" w:eastAsia="Times New Roman" w:hAnsi="Calibri" w:cs="Calibri"/>
          <w:color w:val="0000FF"/>
          <w:lang w:eastAsia="en-IL"/>
        </w:rPr>
        <w:t xml:space="preserve">hanks for </w:t>
      </w:r>
      <w:r w:rsidR="007825B9">
        <w:rPr>
          <w:rFonts w:ascii="Calibri" w:eastAsia="Times New Roman" w:hAnsi="Calibri" w:cs="Calibri"/>
          <w:color w:val="0000FF"/>
          <w:lang w:val="en-US" w:eastAsia="en-IL"/>
        </w:rPr>
        <w:t>your</w:t>
      </w:r>
      <w:r w:rsidR="007825B9" w:rsidRPr="007825B9">
        <w:rPr>
          <w:rFonts w:ascii="Calibri" w:eastAsia="Times New Roman" w:hAnsi="Calibri" w:cs="Calibri"/>
          <w:color w:val="0000FF"/>
          <w:lang w:eastAsia="en-IL"/>
        </w:rPr>
        <w:t xml:space="preserve"> comment. Indeed, </w:t>
      </w:r>
      <w:r w:rsidR="007825B9">
        <w:rPr>
          <w:rFonts w:ascii="Calibri" w:eastAsia="Times New Roman" w:hAnsi="Calibri" w:cs="Calibri"/>
          <w:color w:val="0000FF"/>
          <w:lang w:val="en-US" w:eastAsia="en-IL"/>
        </w:rPr>
        <w:t>the</w:t>
      </w:r>
      <w:r w:rsidR="007825B9" w:rsidRPr="007825B9">
        <w:rPr>
          <w:rFonts w:ascii="Calibri" w:eastAsia="Times New Roman" w:hAnsi="Calibri" w:cs="Calibri"/>
          <w:color w:val="0000FF"/>
          <w:lang w:eastAsia="en-IL"/>
        </w:rPr>
        <w:t xml:space="preserve"> market capitalization series is not normally </w:t>
      </w:r>
      <w:r w:rsidR="007825B9">
        <w:rPr>
          <w:rFonts w:ascii="Calibri" w:eastAsia="Times New Roman" w:hAnsi="Calibri" w:cs="Calibri"/>
          <w:color w:val="0000FF"/>
          <w:lang w:eastAsia="en-IL"/>
        </w:rPr>
        <w:t>distributed</w:t>
      </w:r>
      <w:r w:rsidR="007825B9">
        <w:rPr>
          <w:rFonts w:ascii="Calibri" w:eastAsia="Times New Roman" w:hAnsi="Calibri" w:cs="Calibri"/>
          <w:color w:val="0000FF"/>
          <w:lang w:val="en-US" w:eastAsia="en-IL"/>
        </w:rPr>
        <w:t xml:space="preserve"> </w:t>
      </w:r>
      <w:r w:rsidR="007825B9" w:rsidRPr="007825B9">
        <w:rPr>
          <w:rFonts w:ascii="Calibri" w:eastAsia="Times New Roman" w:hAnsi="Calibri" w:cs="Calibri"/>
          <w:color w:val="0000FF"/>
          <w:lang w:eastAsia="en-IL"/>
        </w:rPr>
        <w:t xml:space="preserve">as can be suspected </w:t>
      </w:r>
      <w:r w:rsidR="006A4820">
        <w:rPr>
          <w:rFonts w:ascii="Calibri" w:eastAsia="Times New Roman" w:hAnsi="Calibri" w:cs="Calibri"/>
          <w:color w:val="0000FF"/>
          <w:lang w:val="en-US" w:eastAsia="en-IL"/>
        </w:rPr>
        <w:t xml:space="preserve">difference between the average and the median and as </w:t>
      </w:r>
      <w:r w:rsidR="007825B9" w:rsidRPr="007825B9">
        <w:rPr>
          <w:rFonts w:ascii="Calibri" w:eastAsia="Times New Roman" w:hAnsi="Calibri" w:cs="Calibri"/>
          <w:color w:val="0000FF"/>
          <w:lang w:eastAsia="en-IL"/>
        </w:rPr>
        <w:t>verified</w:t>
      </w:r>
      <w:r w:rsidR="000E1393" w:rsidRPr="000E1393">
        <w:rPr>
          <w:rFonts w:ascii="Calibri" w:eastAsia="Times New Roman" w:hAnsi="Calibri" w:cs="Calibri"/>
          <w:color w:val="0000FF"/>
          <w:lang w:eastAsia="en-IL"/>
        </w:rPr>
        <w:t xml:space="preserve"> </w:t>
      </w:r>
      <w:r w:rsidR="000E1393">
        <w:rPr>
          <w:rFonts w:ascii="Calibri" w:eastAsia="Times New Roman" w:hAnsi="Calibri" w:cs="Calibri"/>
          <w:color w:val="0000FF"/>
          <w:lang w:val="en-US" w:eastAsia="en-IL"/>
        </w:rPr>
        <w:t>by</w:t>
      </w:r>
      <w:r w:rsidR="007825B9" w:rsidRPr="007825B9">
        <w:rPr>
          <w:rFonts w:ascii="Calibri" w:eastAsia="Times New Roman" w:hAnsi="Calibri" w:cs="Calibri"/>
          <w:color w:val="0000FF"/>
          <w:lang w:eastAsia="en-IL"/>
        </w:rPr>
        <w:t xml:space="preserve"> </w:t>
      </w:r>
      <w:bookmarkStart w:id="11" w:name="_Hlk80265578"/>
      <w:r w:rsidR="007825B9" w:rsidRPr="007825B9">
        <w:rPr>
          <w:rFonts w:ascii="Calibri" w:eastAsia="Times New Roman" w:hAnsi="Calibri" w:cs="Calibri"/>
          <w:color w:val="0000FF"/>
          <w:lang w:eastAsia="en-IL"/>
        </w:rPr>
        <w:t>Jarque-Bera Test</w:t>
      </w:r>
      <w:bookmarkEnd w:id="11"/>
      <w:r w:rsidR="006A4820">
        <w:rPr>
          <w:rFonts w:ascii="Calibri" w:eastAsia="Times New Roman" w:hAnsi="Calibri" w:cs="Calibri"/>
          <w:color w:val="0000FF"/>
          <w:lang w:val="en-US" w:eastAsia="en-IL"/>
        </w:rPr>
        <w:t xml:space="preserve"> for normality</w:t>
      </w:r>
      <w:r w:rsidR="007825B9" w:rsidRPr="007825B9">
        <w:rPr>
          <w:rFonts w:ascii="Calibri" w:eastAsia="Times New Roman" w:hAnsi="Calibri" w:cs="Calibri"/>
          <w:color w:val="0000FF"/>
          <w:lang w:eastAsia="en-IL"/>
        </w:rPr>
        <w:t>.</w:t>
      </w:r>
      <w:r w:rsidR="009E4B8C">
        <w:rPr>
          <w:rFonts w:ascii="Calibri" w:eastAsia="Times New Roman" w:hAnsi="Calibri" w:cs="Calibri"/>
          <w:color w:val="0000FF"/>
          <w:lang w:val="en-US" w:eastAsia="en-IL"/>
        </w:rPr>
        <w:t xml:space="preserve"> </w:t>
      </w:r>
      <w:r w:rsidR="009E4B8C" w:rsidRPr="009E4B8C">
        <w:rPr>
          <w:rFonts w:ascii="Calibri" w:eastAsia="Times New Roman" w:hAnsi="Calibri" w:cs="Calibri"/>
          <w:color w:val="0000FF"/>
          <w:lang w:eastAsia="en-IL"/>
        </w:rPr>
        <w:t xml:space="preserve">The average firm value in the revised manuscript is 556M$ and the median is </w:t>
      </w:r>
      <w:r w:rsidR="008415F9">
        <w:rPr>
          <w:rFonts w:ascii="Calibri" w:eastAsia="Times New Roman" w:hAnsi="Calibri" w:cs="Calibri"/>
          <w:color w:val="0000FF"/>
          <w:lang w:val="en-US" w:eastAsia="en-IL"/>
        </w:rPr>
        <w:t>$</w:t>
      </w:r>
      <w:r w:rsidR="009E4B8C" w:rsidRPr="009E4B8C">
        <w:rPr>
          <w:rFonts w:ascii="Calibri" w:eastAsia="Times New Roman" w:hAnsi="Calibri" w:cs="Calibri"/>
          <w:color w:val="0000FF"/>
          <w:lang w:eastAsia="en-IL"/>
        </w:rPr>
        <w:t>297</w:t>
      </w:r>
      <w:r w:rsidR="008415F9">
        <w:rPr>
          <w:rFonts w:ascii="Calibri" w:eastAsia="Times New Roman" w:hAnsi="Calibri" w:cs="Calibri"/>
          <w:color w:val="0000FF"/>
          <w:lang w:val="en-US" w:eastAsia="en-IL"/>
        </w:rPr>
        <w:t>M</w:t>
      </w:r>
      <w:r w:rsidR="009E4B8C" w:rsidRPr="009E4B8C">
        <w:rPr>
          <w:rFonts w:ascii="Calibri" w:eastAsia="Times New Roman" w:hAnsi="Calibri" w:cs="Calibri"/>
          <w:color w:val="0000FF"/>
          <w:lang w:eastAsia="en-IL"/>
        </w:rPr>
        <w:t xml:space="preserve"> versus average of </w:t>
      </w:r>
      <w:r w:rsidR="008415F9">
        <w:rPr>
          <w:rFonts w:ascii="Calibri" w:eastAsia="Times New Roman" w:hAnsi="Calibri" w:cs="Calibri"/>
          <w:color w:val="0000FF"/>
          <w:lang w:val="en-US" w:eastAsia="en-IL"/>
        </w:rPr>
        <w:t>$</w:t>
      </w:r>
      <w:r w:rsidR="009E4B8C" w:rsidRPr="009E4B8C">
        <w:rPr>
          <w:rFonts w:ascii="Calibri" w:eastAsia="Times New Roman" w:hAnsi="Calibri" w:cs="Calibri"/>
          <w:color w:val="0000FF"/>
          <w:lang w:eastAsia="en-IL"/>
        </w:rPr>
        <w:t xml:space="preserve">454M and a median of </w:t>
      </w:r>
      <w:r w:rsidR="008415F9">
        <w:rPr>
          <w:rFonts w:ascii="Calibri" w:eastAsia="Times New Roman" w:hAnsi="Calibri" w:cs="Calibri"/>
          <w:color w:val="0000FF"/>
          <w:lang w:val="en-US" w:eastAsia="en-IL"/>
        </w:rPr>
        <w:t>$</w:t>
      </w:r>
      <w:r w:rsidR="009E4B8C" w:rsidRPr="009E4B8C">
        <w:rPr>
          <w:rFonts w:ascii="Calibri" w:eastAsia="Times New Roman" w:hAnsi="Calibri" w:cs="Calibri"/>
          <w:color w:val="0000FF"/>
          <w:lang w:eastAsia="en-IL"/>
        </w:rPr>
        <w:t>287</w:t>
      </w:r>
      <w:r w:rsidR="008415F9">
        <w:rPr>
          <w:rFonts w:ascii="Calibri" w:eastAsia="Times New Roman" w:hAnsi="Calibri" w:cs="Calibri"/>
          <w:color w:val="0000FF"/>
          <w:lang w:val="en-US" w:eastAsia="en-IL"/>
        </w:rPr>
        <w:t>M</w:t>
      </w:r>
      <w:r w:rsidR="009E4B8C" w:rsidRPr="009E4B8C">
        <w:rPr>
          <w:rFonts w:ascii="Calibri" w:eastAsia="Times New Roman" w:hAnsi="Calibri" w:cs="Calibri"/>
          <w:color w:val="0000FF"/>
          <w:lang w:eastAsia="en-IL"/>
        </w:rPr>
        <w:t xml:space="preserve"> in the original one</w:t>
      </w:r>
      <w:r w:rsidR="003355BB">
        <w:rPr>
          <w:rFonts w:ascii="Calibri" w:eastAsia="Times New Roman" w:hAnsi="Calibri" w:cs="Calibri"/>
          <w:color w:val="0000FF"/>
          <w:lang w:val="en-US" w:eastAsia="en-IL"/>
        </w:rPr>
        <w:t>. Hence,</w:t>
      </w:r>
      <w:r w:rsidR="008415F9">
        <w:rPr>
          <w:rFonts w:ascii="Calibri" w:eastAsia="Times New Roman" w:hAnsi="Calibri" w:cs="Calibri"/>
          <w:color w:val="0000FF"/>
          <w:lang w:val="en-US" w:eastAsia="en-IL"/>
        </w:rPr>
        <w:t xml:space="preserve"> I </w:t>
      </w:r>
      <w:r w:rsidR="003355BB">
        <w:rPr>
          <w:rFonts w:ascii="Calibri" w:eastAsia="Times New Roman" w:hAnsi="Calibri" w:cs="Calibri"/>
          <w:color w:val="0000FF"/>
          <w:lang w:val="en-US" w:eastAsia="en-IL"/>
        </w:rPr>
        <w:t>kept over</w:t>
      </w:r>
      <w:r w:rsidR="008415F9">
        <w:rPr>
          <w:rFonts w:ascii="Calibri" w:eastAsia="Times New Roman" w:hAnsi="Calibri" w:cs="Calibri"/>
          <w:color w:val="0000FF"/>
          <w:lang w:val="en-US" w:eastAsia="en-IL"/>
        </w:rPr>
        <w:t xml:space="preserve"> the value of $500$ as in the original version.</w:t>
      </w:r>
      <w:r w:rsidR="009E4B8C">
        <w:rPr>
          <w:rFonts w:ascii="Calibri" w:eastAsia="Times New Roman" w:hAnsi="Calibri" w:cs="Calibri"/>
          <w:color w:val="0000FF"/>
          <w:lang w:val="en-US" w:eastAsia="en-IL"/>
        </w:rPr>
        <w:t xml:space="preserve">  </w:t>
      </w:r>
      <w:r w:rsidR="009E4B8C" w:rsidRPr="009E4B8C">
        <w:rPr>
          <w:rFonts w:ascii="Calibri" w:eastAsia="Times New Roman" w:hAnsi="Calibri" w:cs="Calibri"/>
          <w:color w:val="0000FF"/>
          <w:lang w:eastAsia="en-IL"/>
        </w:rPr>
        <w:t xml:space="preserve"> </w:t>
      </w:r>
      <w:r w:rsidR="007825B9" w:rsidRPr="007825B9">
        <w:rPr>
          <w:rFonts w:ascii="Calibri" w:eastAsia="Times New Roman" w:hAnsi="Calibri" w:cs="Calibri"/>
          <w:color w:val="0000FF"/>
          <w:lang w:eastAsia="en-IL"/>
        </w:rPr>
        <w:t xml:space="preserve">I added </w:t>
      </w:r>
      <w:r w:rsidR="008415F9">
        <w:rPr>
          <w:rFonts w:ascii="Calibri" w:eastAsia="Times New Roman" w:hAnsi="Calibri" w:cs="Calibri"/>
          <w:color w:val="0000FF"/>
          <w:lang w:val="en-US" w:eastAsia="en-IL"/>
        </w:rPr>
        <w:t xml:space="preserve">to the manuscript the </w:t>
      </w:r>
      <w:r w:rsidR="00784F46">
        <w:rPr>
          <w:rFonts w:ascii="Calibri" w:eastAsia="Times New Roman" w:hAnsi="Calibri" w:cs="Calibri"/>
          <w:color w:val="0000FF"/>
          <w:lang w:val="en-US" w:eastAsia="en-IL"/>
        </w:rPr>
        <w:t>footnote 6</w:t>
      </w:r>
      <w:r w:rsidR="008415F9">
        <w:rPr>
          <w:rFonts w:ascii="Calibri" w:eastAsia="Times New Roman" w:hAnsi="Calibri" w:cs="Calibri"/>
          <w:color w:val="0000FF"/>
          <w:lang w:val="en-US" w:eastAsia="en-IL"/>
        </w:rPr>
        <w:t>: “</w:t>
      </w:r>
      <w:r w:rsidR="00784F46" w:rsidRPr="00B22577">
        <w:rPr>
          <w:color w:val="0000FF"/>
        </w:rPr>
        <w:t xml:space="preserve">The companies' market capitalization series is not normally distributed as evidenced by </w:t>
      </w:r>
      <w:r w:rsidR="00784F46" w:rsidRPr="00B22577">
        <w:rPr>
          <w:rFonts w:ascii="Calibri" w:eastAsia="Times New Roman" w:hAnsi="Calibri" w:cs="Calibri"/>
          <w:color w:val="0000FF"/>
          <w:lang w:eastAsia="en-IL"/>
        </w:rPr>
        <w:t>Jarque-Bera Test</w:t>
      </w:r>
      <w:r w:rsidR="00784F46" w:rsidRPr="00B22577">
        <w:rPr>
          <w:color w:val="0000FF"/>
        </w:rPr>
        <w:t xml:space="preserve"> results</w:t>
      </w:r>
      <w:r w:rsidR="00784F46">
        <w:rPr>
          <w:color w:val="0000FF"/>
          <w:lang w:val="en-US"/>
        </w:rPr>
        <w:t>”</w:t>
      </w:r>
      <w:r w:rsidR="007825B9" w:rsidRPr="007825B9">
        <w:rPr>
          <w:rFonts w:ascii="Calibri" w:eastAsia="Times New Roman" w:hAnsi="Calibri" w:cs="Calibri"/>
          <w:color w:val="0000FF"/>
          <w:lang w:eastAsia="en-IL"/>
        </w:rPr>
        <w:t>.</w:t>
      </w:r>
    </w:p>
    <w:p w14:paraId="2BBCEB74" w14:textId="77777777" w:rsidR="003F5EEA" w:rsidRPr="00C000B6" w:rsidRDefault="003F5EEA" w:rsidP="00022115">
      <w:pPr>
        <w:spacing w:before="75" w:after="75" w:line="240" w:lineRule="auto"/>
        <w:rPr>
          <w:rFonts w:ascii="Arial" w:eastAsia="Times New Roman" w:hAnsi="Arial" w:cs="Arial"/>
          <w:b/>
          <w:bCs/>
          <w:color w:val="0A0A0A"/>
          <w:sz w:val="20"/>
          <w:szCs w:val="20"/>
          <w:lang w:eastAsia="en-IL"/>
        </w:rPr>
      </w:pPr>
    </w:p>
    <w:p w14:paraId="4E6A31C6" w14:textId="64B895BA" w:rsidR="009D7247" w:rsidRDefault="009D7247" w:rsidP="00C000B6">
      <w:pPr>
        <w:numPr>
          <w:ilvl w:val="0"/>
          <w:numId w:val="1"/>
        </w:numPr>
        <w:tabs>
          <w:tab w:val="clear" w:pos="720"/>
          <w:tab w:val="num" w:pos="0"/>
        </w:tabs>
        <w:spacing w:before="75" w:after="75" w:line="240" w:lineRule="auto"/>
        <w:ind w:left="0" w:firstLine="0"/>
        <w:rPr>
          <w:rFonts w:ascii="Arial" w:eastAsia="Times New Roman" w:hAnsi="Arial" w:cs="Arial"/>
          <w:b/>
          <w:bCs/>
          <w:color w:val="0A0A0A"/>
          <w:sz w:val="20"/>
          <w:szCs w:val="20"/>
          <w:lang w:eastAsia="en-IL"/>
        </w:rPr>
      </w:pPr>
      <w:r w:rsidRPr="00C000B6">
        <w:rPr>
          <w:rFonts w:ascii="Arial" w:eastAsia="Times New Roman" w:hAnsi="Arial" w:cs="Arial"/>
          <w:b/>
          <w:bCs/>
          <w:color w:val="0A0A0A"/>
          <w:sz w:val="20"/>
          <w:szCs w:val="20"/>
          <w:lang w:eastAsia="en-IL"/>
        </w:rPr>
        <w:t>The assumptions described in lines 246-248 and 256 seem to be very arbitrary and inconsistent with table 2 statistics.</w:t>
      </w:r>
    </w:p>
    <w:p w14:paraId="1D83F54A" w14:textId="21F95E8D" w:rsidR="00D74E15" w:rsidRDefault="006E1E0D" w:rsidP="006E1E0D">
      <w:pPr>
        <w:spacing w:after="0" w:line="360" w:lineRule="auto"/>
        <w:rPr>
          <w:rFonts w:ascii="Calibri" w:eastAsia="Times New Roman" w:hAnsi="Calibri" w:cs="Calibri"/>
          <w:color w:val="0000FF"/>
          <w:lang w:val="en-US" w:eastAsia="en-IL"/>
        </w:rPr>
      </w:pPr>
      <w:r w:rsidRPr="006E1E0D">
        <w:rPr>
          <w:rFonts w:ascii="Calibri" w:eastAsia="Times New Roman" w:hAnsi="Calibri" w:cs="Calibri"/>
          <w:color w:val="0000FF"/>
          <w:lang w:eastAsia="en-IL"/>
        </w:rPr>
        <w:t xml:space="preserve">Thank you for this </w:t>
      </w:r>
      <w:r w:rsidR="00D3005F">
        <w:rPr>
          <w:rFonts w:ascii="Calibri" w:eastAsia="Times New Roman" w:hAnsi="Calibri" w:cs="Calibri"/>
          <w:color w:val="0000FF"/>
          <w:lang w:val="en-US" w:eastAsia="en-IL"/>
        </w:rPr>
        <w:t xml:space="preserve">important </w:t>
      </w:r>
      <w:r w:rsidRPr="006E1E0D">
        <w:rPr>
          <w:rFonts w:ascii="Calibri" w:eastAsia="Times New Roman" w:hAnsi="Calibri" w:cs="Calibri"/>
          <w:color w:val="0000FF"/>
          <w:lang w:eastAsia="en-IL"/>
        </w:rPr>
        <w:t>comment</w:t>
      </w:r>
      <w:r>
        <w:rPr>
          <w:rFonts w:ascii="Calibri" w:eastAsia="Times New Roman" w:hAnsi="Calibri" w:cs="Calibri"/>
          <w:color w:val="0000FF"/>
          <w:lang w:val="en-US" w:eastAsia="en-IL"/>
        </w:rPr>
        <w:t>.</w:t>
      </w:r>
    </w:p>
    <w:p w14:paraId="76AD17D8" w14:textId="6978A464" w:rsidR="006C4BBD" w:rsidRDefault="006C4BBD" w:rsidP="006E1E0D">
      <w:pPr>
        <w:spacing w:after="0" w:line="360" w:lineRule="auto"/>
        <w:rPr>
          <w:rFonts w:ascii="Calibri" w:eastAsia="Times New Roman" w:hAnsi="Calibri" w:cs="Calibri"/>
          <w:color w:val="0000FF"/>
          <w:lang w:val="en-US" w:eastAsia="en-IL"/>
        </w:rPr>
      </w:pPr>
    </w:p>
    <w:p w14:paraId="446D67F0" w14:textId="77777777" w:rsidR="006C4BBD" w:rsidRDefault="006C4BBD" w:rsidP="006C4BBD">
      <w:pPr>
        <w:spacing w:after="0" w:line="360" w:lineRule="auto"/>
        <w:rPr>
          <w:rFonts w:ascii="Calibri" w:eastAsia="Times New Roman" w:hAnsi="Calibri" w:cs="Calibri"/>
          <w:color w:val="0000FF"/>
          <w:rtl/>
          <w:lang w:val="en-US" w:eastAsia="en-IL"/>
        </w:rPr>
      </w:pPr>
      <w:r>
        <w:rPr>
          <w:rFonts w:ascii="Calibri" w:eastAsia="Times New Roman" w:hAnsi="Calibri" w:cs="Calibri"/>
          <w:color w:val="0000FF"/>
          <w:lang w:val="en-US" w:eastAsia="en-IL"/>
        </w:rPr>
        <w:t>We tried to clarify our choice</w:t>
      </w:r>
      <w:r w:rsidRPr="006E1E0D">
        <w:rPr>
          <w:rFonts w:ascii="Calibri" w:eastAsia="Times New Roman" w:hAnsi="Calibri" w:cs="Calibri"/>
          <w:color w:val="0000FF"/>
          <w:lang w:eastAsia="en-IL"/>
        </w:rPr>
        <w:t xml:space="preserve"> </w:t>
      </w:r>
      <w:r>
        <w:rPr>
          <w:rFonts w:ascii="Calibri" w:eastAsia="Times New Roman" w:hAnsi="Calibri" w:cs="Calibri"/>
          <w:color w:val="0000FF"/>
          <w:lang w:val="en-US" w:eastAsia="en-IL"/>
        </w:rPr>
        <w:t>by adding the following explanation to the manuscript: “</w:t>
      </w:r>
    </w:p>
    <w:p w14:paraId="34392C71" w14:textId="202E7706" w:rsidR="006C4BBD" w:rsidRDefault="006C4BBD" w:rsidP="006C4BBD">
      <w:pPr>
        <w:spacing w:after="0" w:line="360" w:lineRule="auto"/>
        <w:rPr>
          <w:rFonts w:ascii="Calibri" w:eastAsia="Times New Roman" w:hAnsi="Calibri" w:cs="Calibri"/>
          <w:color w:val="0000FF"/>
          <w:lang w:val="en-US" w:eastAsia="en-IL"/>
        </w:rPr>
      </w:pPr>
      <w:r>
        <w:rPr>
          <w:rFonts w:ascii="Calibri" w:eastAsia="Times New Roman" w:hAnsi="Calibri" w:cs="Calibri" w:hint="cs"/>
          <w:color w:val="0000FF"/>
          <w:rtl/>
          <w:lang w:val="en-US" w:eastAsia="en-IL"/>
        </w:rPr>
        <w:t>"</w:t>
      </w:r>
      <w:r w:rsidRPr="00926CFD">
        <w:rPr>
          <w:rFonts w:ascii="Calibri" w:eastAsia="Times New Roman" w:hAnsi="Calibri" w:cs="Calibri"/>
          <w:color w:val="0000FF"/>
          <w:lang w:val="en-US" w:eastAsia="en-IL"/>
        </w:rPr>
        <w:t xml:space="preserve"> </w:t>
      </w:r>
      <w:r w:rsidRPr="004742D9">
        <w:rPr>
          <w:rFonts w:ascii="Calibri" w:eastAsia="Times New Roman" w:hAnsi="Calibri" w:cs="Calibri"/>
          <w:color w:val="0000FF"/>
          <w:lang w:val="en-US" w:eastAsia="en-IL"/>
        </w:rPr>
        <w:t xml:space="preserve">Biotech companies have </w:t>
      </w:r>
      <w:r>
        <w:rPr>
          <w:rFonts w:ascii="Calibri" w:eastAsia="Times New Roman" w:hAnsi="Calibri" w:cs="Calibri"/>
          <w:color w:val="0000FF"/>
          <w:lang w:val="en-US" w:eastAsia="en-IL"/>
        </w:rPr>
        <w:t xml:space="preserve">well utilized </w:t>
      </w:r>
      <w:r w:rsidRPr="004742D9">
        <w:rPr>
          <w:rFonts w:ascii="Calibri" w:eastAsia="Times New Roman" w:hAnsi="Calibri" w:cs="Calibri"/>
          <w:color w:val="0000FF"/>
          <w:lang w:val="en-US" w:eastAsia="en-IL"/>
        </w:rPr>
        <w:t xml:space="preserve">the JOBS </w:t>
      </w:r>
      <w:r>
        <w:rPr>
          <w:rFonts w:ascii="Calibri" w:eastAsia="Times New Roman" w:hAnsi="Calibri" w:cs="Calibri"/>
          <w:color w:val="0000FF"/>
          <w:lang w:val="en-US" w:eastAsia="en-IL"/>
        </w:rPr>
        <w:t>ACT</w:t>
      </w:r>
      <w:r w:rsidRPr="004742D9">
        <w:rPr>
          <w:rFonts w:ascii="Calibri" w:eastAsia="Times New Roman" w:hAnsi="Calibri" w:cs="Calibri"/>
          <w:color w:val="0000FF"/>
          <w:lang w:val="en-US" w:eastAsia="en-IL"/>
        </w:rPr>
        <w:t xml:space="preserve"> that </w:t>
      </w:r>
      <w:r>
        <w:rPr>
          <w:rFonts w:ascii="Calibri" w:eastAsia="Times New Roman" w:hAnsi="Calibri" w:cs="Calibri"/>
          <w:color w:val="0000FF"/>
          <w:lang w:val="en-US" w:eastAsia="en-IL"/>
        </w:rPr>
        <w:t>enable ECG</w:t>
      </w:r>
      <w:r w:rsidRPr="004742D9">
        <w:rPr>
          <w:rFonts w:ascii="Calibri" w:eastAsia="Times New Roman" w:hAnsi="Calibri" w:cs="Calibri"/>
          <w:color w:val="0000FF"/>
          <w:lang w:val="en-US" w:eastAsia="en-IL"/>
        </w:rPr>
        <w:t xml:space="preserve"> companies to issue shares to the public. Overall, the average size of biotech </w:t>
      </w:r>
      <w:r>
        <w:rPr>
          <w:rFonts w:ascii="Calibri" w:eastAsia="Times New Roman" w:hAnsi="Calibri" w:cs="Calibri"/>
          <w:color w:val="0000FF"/>
          <w:lang w:val="en-US" w:eastAsia="en-IL"/>
        </w:rPr>
        <w:t>firms</w:t>
      </w:r>
      <w:r w:rsidRPr="004742D9">
        <w:rPr>
          <w:rFonts w:ascii="Calibri" w:eastAsia="Times New Roman" w:hAnsi="Calibri" w:cs="Calibri"/>
          <w:color w:val="0000FF"/>
          <w:lang w:val="en-US" w:eastAsia="en-IL"/>
        </w:rPr>
        <w:t xml:space="preserve"> in our sample is very small in terms of average issue size and is about 20% of the size of companies that issued in those years. According to data from Ritter's website, the average size of </w:t>
      </w:r>
      <w:r>
        <w:rPr>
          <w:rFonts w:ascii="Calibri" w:eastAsia="Times New Roman" w:hAnsi="Calibri" w:cs="Calibri"/>
          <w:color w:val="0000FF"/>
          <w:lang w:val="en-US" w:eastAsia="en-IL"/>
        </w:rPr>
        <w:t>a firm</w:t>
      </w:r>
      <w:r w:rsidRPr="004742D9">
        <w:rPr>
          <w:rFonts w:ascii="Calibri" w:eastAsia="Times New Roman" w:hAnsi="Calibri" w:cs="Calibri"/>
          <w:color w:val="0000FF"/>
          <w:lang w:val="en-US" w:eastAsia="en-IL"/>
        </w:rPr>
        <w:t xml:space="preserve"> issued in the years 201</w:t>
      </w:r>
      <w:r>
        <w:rPr>
          <w:rFonts w:ascii="Calibri" w:eastAsia="Times New Roman" w:hAnsi="Calibri" w:cs="Calibri"/>
          <w:color w:val="0000FF"/>
          <w:lang w:val="en-US" w:eastAsia="en-IL"/>
        </w:rPr>
        <w:t>3</w:t>
      </w:r>
      <w:r w:rsidRPr="004742D9">
        <w:rPr>
          <w:rFonts w:ascii="Calibri" w:eastAsia="Times New Roman" w:hAnsi="Calibri" w:cs="Calibri"/>
          <w:color w:val="0000FF"/>
          <w:lang w:val="en-US" w:eastAsia="en-IL"/>
        </w:rPr>
        <w:t>-201</w:t>
      </w:r>
      <w:r>
        <w:rPr>
          <w:rFonts w:ascii="Calibri" w:eastAsia="Times New Roman" w:hAnsi="Calibri" w:cs="Calibri"/>
          <w:color w:val="0000FF"/>
          <w:lang w:val="en-US" w:eastAsia="en-IL"/>
        </w:rPr>
        <w:t>9</w:t>
      </w:r>
      <w:r w:rsidRPr="004742D9">
        <w:rPr>
          <w:rFonts w:ascii="Calibri" w:eastAsia="Times New Roman" w:hAnsi="Calibri" w:cs="Calibri"/>
          <w:color w:val="0000FF"/>
          <w:lang w:val="en-US" w:eastAsia="en-IL"/>
        </w:rPr>
        <w:t xml:space="preserve"> </w:t>
      </w:r>
      <w:r>
        <w:rPr>
          <w:rFonts w:ascii="Calibri" w:eastAsia="Times New Roman" w:hAnsi="Calibri" w:cs="Calibri"/>
          <w:color w:val="0000FF"/>
          <w:lang w:val="en-US" w:eastAsia="en-IL"/>
        </w:rPr>
        <w:t>wa</w:t>
      </w:r>
      <w:r w:rsidRPr="004742D9">
        <w:rPr>
          <w:rFonts w:ascii="Calibri" w:eastAsia="Times New Roman" w:hAnsi="Calibri" w:cs="Calibri"/>
          <w:color w:val="0000FF"/>
          <w:lang w:val="en-US" w:eastAsia="en-IL"/>
        </w:rPr>
        <w:t xml:space="preserve">s </w:t>
      </w:r>
      <w:r>
        <w:rPr>
          <w:rFonts w:ascii="Calibri" w:eastAsia="Times New Roman" w:hAnsi="Calibri" w:cs="Calibri"/>
          <w:color w:val="0000FF"/>
          <w:lang w:val="en-US" w:eastAsia="en-IL"/>
        </w:rPr>
        <w:t>$</w:t>
      </w:r>
      <w:r w:rsidRPr="004742D9">
        <w:rPr>
          <w:rFonts w:ascii="Calibri" w:eastAsia="Times New Roman" w:hAnsi="Calibri" w:cs="Calibri"/>
          <w:color w:val="0000FF"/>
          <w:lang w:val="en-US" w:eastAsia="en-IL"/>
        </w:rPr>
        <w:t>2</w:t>
      </w:r>
      <w:r>
        <w:rPr>
          <w:rFonts w:ascii="Calibri" w:eastAsia="Times New Roman" w:hAnsi="Calibri" w:cs="Calibri"/>
          <w:color w:val="0000FF"/>
          <w:lang w:val="en-US" w:eastAsia="en-IL"/>
        </w:rPr>
        <w:t>,</w:t>
      </w:r>
      <w:r w:rsidRPr="004742D9">
        <w:rPr>
          <w:rFonts w:ascii="Calibri" w:eastAsia="Times New Roman" w:hAnsi="Calibri" w:cs="Calibri"/>
          <w:color w:val="0000FF"/>
          <w:lang w:val="en-US" w:eastAsia="en-IL"/>
        </w:rPr>
        <w:t xml:space="preserve">024M and </w:t>
      </w:r>
      <w:r>
        <w:rPr>
          <w:rFonts w:ascii="Calibri" w:eastAsia="Times New Roman" w:hAnsi="Calibri" w:cs="Calibri"/>
          <w:color w:val="0000FF"/>
          <w:lang w:val="en-US" w:eastAsia="en-IL"/>
        </w:rPr>
        <w:t>the</w:t>
      </w:r>
      <w:r w:rsidRPr="004742D9">
        <w:rPr>
          <w:rFonts w:ascii="Calibri" w:eastAsia="Times New Roman" w:hAnsi="Calibri" w:cs="Calibri"/>
          <w:color w:val="0000FF"/>
          <w:lang w:val="en-US" w:eastAsia="en-IL"/>
        </w:rPr>
        <w:t xml:space="preserve"> median</w:t>
      </w:r>
      <w:r>
        <w:rPr>
          <w:rFonts w:ascii="Calibri" w:eastAsia="Times New Roman" w:hAnsi="Calibri" w:cs="Calibri"/>
          <w:color w:val="0000FF"/>
          <w:lang w:val="en-US" w:eastAsia="en-IL"/>
        </w:rPr>
        <w:t xml:space="preserve"> was $</w:t>
      </w:r>
      <w:r w:rsidRPr="004742D9">
        <w:rPr>
          <w:rFonts w:ascii="Calibri" w:eastAsia="Times New Roman" w:hAnsi="Calibri" w:cs="Calibri"/>
          <w:color w:val="0000FF"/>
          <w:lang w:val="en-US" w:eastAsia="en-IL"/>
        </w:rPr>
        <w:t>1</w:t>
      </w:r>
      <w:r>
        <w:rPr>
          <w:rFonts w:ascii="Calibri" w:eastAsia="Times New Roman" w:hAnsi="Calibri" w:cs="Calibri"/>
          <w:color w:val="0000FF"/>
          <w:lang w:val="en-US" w:eastAsia="en-IL"/>
        </w:rPr>
        <w:t>,</w:t>
      </w:r>
      <w:r w:rsidRPr="004742D9">
        <w:rPr>
          <w:rFonts w:ascii="Calibri" w:eastAsia="Times New Roman" w:hAnsi="Calibri" w:cs="Calibri"/>
          <w:color w:val="0000FF"/>
          <w:lang w:val="en-US" w:eastAsia="en-IL"/>
        </w:rPr>
        <w:t xml:space="preserve">202M compared to </w:t>
      </w:r>
      <w:r>
        <w:rPr>
          <w:rFonts w:ascii="Calibri" w:eastAsia="Times New Roman" w:hAnsi="Calibri" w:cs="Calibri"/>
          <w:color w:val="0000FF"/>
          <w:lang w:val="en-US" w:eastAsia="en-IL"/>
        </w:rPr>
        <w:t>$</w:t>
      </w:r>
      <w:r w:rsidRPr="004742D9">
        <w:rPr>
          <w:rFonts w:ascii="Calibri" w:eastAsia="Times New Roman" w:hAnsi="Calibri" w:cs="Calibri"/>
          <w:color w:val="0000FF"/>
          <w:lang w:val="en-US" w:eastAsia="en-IL"/>
        </w:rPr>
        <w:t>556</w:t>
      </w:r>
      <w:r>
        <w:rPr>
          <w:rFonts w:ascii="Calibri" w:eastAsia="Times New Roman" w:hAnsi="Calibri" w:cs="Calibri"/>
          <w:color w:val="0000FF"/>
          <w:lang w:val="en-US" w:eastAsia="en-IL"/>
        </w:rPr>
        <w:t>M</w:t>
      </w:r>
      <w:r w:rsidRPr="004742D9">
        <w:rPr>
          <w:rFonts w:ascii="Calibri" w:eastAsia="Times New Roman" w:hAnsi="Calibri" w:cs="Calibri"/>
          <w:color w:val="0000FF"/>
          <w:lang w:val="en-US" w:eastAsia="en-IL"/>
        </w:rPr>
        <w:t xml:space="preserve"> and </w:t>
      </w:r>
      <w:r>
        <w:rPr>
          <w:rFonts w:ascii="Calibri" w:eastAsia="Times New Roman" w:hAnsi="Calibri" w:cs="Calibri"/>
          <w:color w:val="0000FF"/>
          <w:lang w:val="en-US" w:eastAsia="en-IL"/>
        </w:rPr>
        <w:t>$</w:t>
      </w:r>
      <w:r w:rsidRPr="004742D9">
        <w:rPr>
          <w:rFonts w:ascii="Calibri" w:eastAsia="Times New Roman" w:hAnsi="Calibri" w:cs="Calibri"/>
          <w:color w:val="0000FF"/>
          <w:lang w:val="en-US" w:eastAsia="en-IL"/>
        </w:rPr>
        <w:t>297</w:t>
      </w:r>
      <w:r>
        <w:rPr>
          <w:rFonts w:ascii="Calibri" w:eastAsia="Times New Roman" w:hAnsi="Calibri" w:cs="Calibri"/>
          <w:color w:val="0000FF"/>
          <w:lang w:val="en-US" w:eastAsia="en-IL"/>
        </w:rPr>
        <w:t>M</w:t>
      </w:r>
      <w:r w:rsidRPr="004742D9">
        <w:rPr>
          <w:rFonts w:ascii="Calibri" w:eastAsia="Times New Roman" w:hAnsi="Calibri" w:cs="Calibri"/>
          <w:color w:val="0000FF"/>
          <w:lang w:val="en-US" w:eastAsia="en-IL"/>
        </w:rPr>
        <w:t xml:space="preserve"> in our sample</w:t>
      </w:r>
      <w:r w:rsidR="007716CD">
        <w:rPr>
          <w:rFonts w:ascii="Calibri" w:eastAsia="Times New Roman" w:hAnsi="Calibri" w:cs="Calibri"/>
          <w:color w:val="0000FF"/>
          <w:lang w:val="en-US" w:eastAsia="en-IL"/>
        </w:rPr>
        <w:t xml:space="preserve"> (Table 2</w:t>
      </w:r>
      <w:proofErr w:type="gramStart"/>
      <w:r w:rsidR="007716CD">
        <w:rPr>
          <w:rFonts w:ascii="Calibri" w:eastAsia="Times New Roman" w:hAnsi="Calibri" w:cs="Calibri"/>
          <w:color w:val="0000FF"/>
          <w:lang w:val="en-US" w:eastAsia="en-IL"/>
        </w:rPr>
        <w:t xml:space="preserve">) </w:t>
      </w:r>
      <w:r>
        <w:rPr>
          <w:rFonts w:ascii="Calibri" w:eastAsia="Times New Roman" w:hAnsi="Calibri" w:cs="Calibri"/>
          <w:color w:val="0000FF"/>
          <w:lang w:val="en-US" w:eastAsia="en-IL"/>
        </w:rPr>
        <w:t>.</w:t>
      </w:r>
      <w:proofErr w:type="gramEnd"/>
      <w:r>
        <w:rPr>
          <w:rFonts w:ascii="Calibri" w:eastAsia="Times New Roman" w:hAnsi="Calibri" w:cs="Calibri"/>
          <w:color w:val="0000FF"/>
          <w:lang w:val="en-US" w:eastAsia="en-IL"/>
        </w:rPr>
        <w:t xml:space="preserve"> Given that the MV series is not normally</w:t>
      </w:r>
      <w:r w:rsidRPr="00D3005F">
        <w:rPr>
          <w:rFonts w:ascii="Calibri" w:eastAsia="Times New Roman" w:hAnsi="Calibri" w:cs="Calibri"/>
          <w:color w:val="0000FF"/>
          <w:lang w:val="en-US" w:eastAsia="en-IL"/>
        </w:rPr>
        <w:t xml:space="preserve"> </w:t>
      </w:r>
      <w:r>
        <w:rPr>
          <w:rFonts w:ascii="Calibri" w:eastAsia="Times New Roman" w:hAnsi="Calibri" w:cs="Calibri"/>
          <w:color w:val="0000FF"/>
          <w:lang w:val="en-US" w:eastAsia="en-IL"/>
        </w:rPr>
        <w:t>distributed, one can argue that using the median as a separation value between small and large firms is as good as the average. W</w:t>
      </w:r>
      <w:r w:rsidRPr="00D3005F">
        <w:rPr>
          <w:rFonts w:ascii="Calibri" w:eastAsia="Times New Roman" w:hAnsi="Calibri" w:cs="Calibri"/>
          <w:color w:val="0000FF"/>
          <w:lang w:val="en-US" w:eastAsia="en-IL"/>
        </w:rPr>
        <w:t>e chose a numbe</w:t>
      </w:r>
      <w:r>
        <w:rPr>
          <w:rFonts w:ascii="Calibri" w:eastAsia="Times New Roman" w:hAnsi="Calibri" w:cs="Calibri"/>
          <w:color w:val="0000FF"/>
          <w:lang w:val="en-US" w:eastAsia="en-IL"/>
        </w:rPr>
        <w:t xml:space="preserve">r close to the average, because of our feeling </w:t>
      </w:r>
      <w:r w:rsidRPr="00D3005F">
        <w:rPr>
          <w:rFonts w:ascii="Calibri" w:eastAsia="Times New Roman" w:hAnsi="Calibri" w:cs="Calibri"/>
          <w:color w:val="0000FF"/>
          <w:lang w:val="en-US" w:eastAsia="en-IL"/>
        </w:rPr>
        <w:t xml:space="preserve">the </w:t>
      </w:r>
      <w:r>
        <w:rPr>
          <w:rFonts w:ascii="Calibri" w:eastAsia="Times New Roman" w:hAnsi="Calibri" w:cs="Calibri"/>
          <w:color w:val="0000FF"/>
          <w:lang w:val="en-US" w:eastAsia="en-IL"/>
        </w:rPr>
        <w:t xml:space="preserve">market value of $500M better perceived as a separator between small-sized and large-sized </w:t>
      </w:r>
      <w:proofErr w:type="gramStart"/>
      <w:r>
        <w:rPr>
          <w:rFonts w:ascii="Calibri" w:eastAsia="Times New Roman" w:hAnsi="Calibri" w:cs="Calibri"/>
          <w:color w:val="0000FF"/>
          <w:lang w:val="en-US" w:eastAsia="en-IL"/>
        </w:rPr>
        <w:t>firms.“</w:t>
      </w:r>
      <w:proofErr w:type="gramEnd"/>
      <w:r w:rsidRPr="00D3005F">
        <w:rPr>
          <w:rFonts w:ascii="Calibri" w:eastAsia="Times New Roman" w:hAnsi="Calibri" w:cs="Calibri"/>
          <w:color w:val="0000FF"/>
          <w:lang w:val="en-US" w:eastAsia="en-IL"/>
        </w:rPr>
        <w:t xml:space="preserve"> </w:t>
      </w:r>
    </w:p>
    <w:p w14:paraId="73121DD0" w14:textId="681F920E" w:rsidR="0016284E" w:rsidRDefault="003261CC" w:rsidP="00926CFD">
      <w:pPr>
        <w:spacing w:after="0" w:line="360" w:lineRule="auto"/>
        <w:rPr>
          <w:rFonts w:ascii="Calibri" w:eastAsia="Times New Roman" w:hAnsi="Calibri" w:cs="Calibri"/>
          <w:color w:val="0000FF"/>
          <w:rtl/>
          <w:lang w:val="en-US" w:eastAsia="en-IL"/>
        </w:rPr>
      </w:pPr>
      <w:r>
        <w:rPr>
          <w:rFonts w:ascii="Calibri" w:eastAsia="Times New Roman" w:hAnsi="Calibri" w:cs="Calibri"/>
          <w:color w:val="0000FF"/>
          <w:lang w:val="en-US" w:eastAsia="en-IL"/>
        </w:rPr>
        <w:t xml:space="preserve">As </w:t>
      </w:r>
      <w:r>
        <w:rPr>
          <w:rFonts w:ascii="Arial" w:hAnsi="Arial" w:cs="Arial"/>
          <w:color w:val="222222"/>
          <w:sz w:val="20"/>
          <w:szCs w:val="20"/>
          <w:shd w:val="clear" w:color="auto" w:fill="FFFFFF"/>
        </w:rPr>
        <w:t xml:space="preserve">He, D., He, X., Zhao, T., Wang, J., Li, L., &amp; </w:t>
      </w:r>
      <w:proofErr w:type="spellStart"/>
      <w:r>
        <w:rPr>
          <w:rFonts w:ascii="Arial" w:hAnsi="Arial" w:cs="Arial"/>
          <w:color w:val="222222"/>
          <w:sz w:val="20"/>
          <w:szCs w:val="20"/>
          <w:shd w:val="clear" w:color="auto" w:fill="FFFFFF"/>
        </w:rPr>
        <w:t>Louwerse</w:t>
      </w:r>
      <w:proofErr w:type="spellEnd"/>
      <w:r>
        <w:rPr>
          <w:rFonts w:ascii="Arial" w:hAnsi="Arial" w:cs="Arial"/>
          <w:color w:val="222222"/>
          <w:sz w:val="20"/>
          <w:szCs w:val="20"/>
          <w:shd w:val="clear" w:color="auto" w:fill="FFFFFF"/>
        </w:rPr>
        <w:t>, M. (2020).</w:t>
      </w:r>
      <w:r>
        <w:rPr>
          <w:rFonts w:ascii="Arial" w:hAnsi="Arial" w:cs="Arial"/>
          <w:color w:val="222222"/>
          <w:sz w:val="20"/>
          <w:szCs w:val="20"/>
          <w:shd w:val="clear" w:color="auto" w:fill="FFFFFF"/>
          <w:lang w:val="en-US"/>
        </w:rPr>
        <w:t xml:space="preserve"> Described that </w:t>
      </w:r>
      <w:r w:rsidR="00D3005F" w:rsidRPr="00D3005F">
        <w:rPr>
          <w:rFonts w:ascii="Calibri" w:eastAsia="Times New Roman" w:hAnsi="Calibri" w:cs="Calibri"/>
          <w:color w:val="0000FF"/>
          <w:lang w:val="en-US" w:eastAsia="en-IL"/>
        </w:rPr>
        <w:t>number</w:t>
      </w:r>
      <w:r w:rsidR="00D3005F">
        <w:rPr>
          <w:rFonts w:ascii="Calibri" w:eastAsia="Times New Roman" w:hAnsi="Calibri" w:cs="Calibri"/>
          <w:color w:val="0000FF"/>
          <w:lang w:val="en-US" w:eastAsia="en-IL"/>
        </w:rPr>
        <w:t>s</w:t>
      </w:r>
      <w:r w:rsidR="00D3005F" w:rsidRPr="00D3005F">
        <w:rPr>
          <w:rFonts w:ascii="Calibri" w:eastAsia="Times New Roman" w:hAnsi="Calibri" w:cs="Calibri"/>
          <w:color w:val="0000FF"/>
          <w:lang w:val="en-US" w:eastAsia="en-IL"/>
        </w:rPr>
        <w:t xml:space="preserve"> perception </w:t>
      </w:r>
      <w:r w:rsidR="0016284E">
        <w:rPr>
          <w:rFonts w:ascii="Calibri" w:eastAsia="Times New Roman" w:hAnsi="Calibri" w:cs="Calibri"/>
          <w:color w:val="0000FF"/>
          <w:lang w:val="en-US" w:eastAsia="en-IL"/>
        </w:rPr>
        <w:t xml:space="preserve">can </w:t>
      </w:r>
      <w:r>
        <w:rPr>
          <w:rFonts w:ascii="Calibri" w:eastAsia="Times New Roman" w:hAnsi="Calibri" w:cs="Calibri"/>
          <w:color w:val="0000FF"/>
          <w:lang w:val="en-US" w:eastAsia="en-IL"/>
        </w:rPr>
        <w:t xml:space="preserve">cause </w:t>
      </w:r>
      <w:r w:rsidR="00D3005F" w:rsidRPr="00D3005F">
        <w:rPr>
          <w:rFonts w:ascii="Calibri" w:eastAsia="Times New Roman" w:hAnsi="Calibri" w:cs="Calibri"/>
          <w:color w:val="0000FF"/>
          <w:lang w:val="en-US" w:eastAsia="en-IL"/>
        </w:rPr>
        <w:t>shift of attention.</w:t>
      </w:r>
      <w:r w:rsidR="00926CFD">
        <w:rPr>
          <w:rFonts w:ascii="Calibri" w:eastAsia="Times New Roman" w:hAnsi="Calibri" w:cs="Calibri"/>
          <w:color w:val="0000FF"/>
          <w:lang w:val="en-US" w:eastAsia="en-IL"/>
        </w:rPr>
        <w:t xml:space="preserve"> </w:t>
      </w:r>
      <w:r w:rsidR="0016284E" w:rsidRPr="00FB53A2">
        <w:rPr>
          <w:rFonts w:ascii="Calibri" w:eastAsia="Times New Roman" w:hAnsi="Calibri" w:cs="Calibri"/>
          <w:color w:val="0000FF"/>
          <w:lang w:val="en-US" w:eastAsia="en-IL"/>
        </w:rPr>
        <w:t xml:space="preserve"> </w:t>
      </w:r>
      <w:r w:rsidR="00B2525F">
        <w:rPr>
          <w:rFonts w:ascii="Calibri" w:eastAsia="Times New Roman" w:hAnsi="Calibri" w:cs="Calibri"/>
          <w:color w:val="0000FF"/>
          <w:lang w:val="en-US" w:eastAsia="en-IL"/>
        </w:rPr>
        <w:t>“</w:t>
      </w:r>
      <w:r w:rsidR="0016284E" w:rsidRPr="00FB53A2">
        <w:rPr>
          <w:rFonts w:ascii="Calibri" w:eastAsia="Times New Roman" w:hAnsi="Calibri" w:cs="Calibri"/>
          <w:color w:val="0000FF"/>
          <w:lang w:val="en-US" w:eastAsia="en-IL"/>
        </w:rPr>
        <w:t>People frequently use numbers in real life situations to represent quantity and order. Consequently, a tight association between space and numbers is established in which left/right spatial codes are linked to small/large number magnitudes.</w:t>
      </w:r>
      <w:r w:rsidR="00B2525F">
        <w:rPr>
          <w:rFonts w:ascii="Calibri" w:eastAsia="Times New Roman" w:hAnsi="Calibri" w:cs="Calibri"/>
          <w:color w:val="0000FF"/>
          <w:lang w:val="en-US" w:eastAsia="en-IL"/>
        </w:rPr>
        <w:t>”</w:t>
      </w:r>
      <w:r w:rsidR="0016284E" w:rsidRPr="00FB53A2">
        <w:rPr>
          <w:rFonts w:ascii="Calibri" w:eastAsia="Times New Roman" w:hAnsi="Calibri" w:cs="Calibri"/>
          <w:color w:val="0000FF"/>
          <w:lang w:val="en-US" w:eastAsia="en-IL"/>
        </w:rPr>
        <w:t xml:space="preserve"> </w:t>
      </w:r>
    </w:p>
    <w:p w14:paraId="389A22A3" w14:textId="77777777" w:rsidR="00D3005F" w:rsidRDefault="00D3005F" w:rsidP="006E1E0D">
      <w:pPr>
        <w:spacing w:after="0" w:line="360" w:lineRule="auto"/>
        <w:rPr>
          <w:rFonts w:ascii="Calibri" w:eastAsia="Times New Roman" w:hAnsi="Calibri" w:cs="Calibri"/>
          <w:color w:val="0000FF"/>
          <w:lang w:val="en-US" w:eastAsia="en-IL"/>
        </w:rPr>
      </w:pPr>
    </w:p>
    <w:p w14:paraId="1ABA8B94" w14:textId="4CEB17C1" w:rsidR="00B2525F" w:rsidRDefault="00B2525F" w:rsidP="00926CFD">
      <w:pPr>
        <w:spacing w:after="0" w:line="360" w:lineRule="auto"/>
        <w:rPr>
          <w:rFonts w:ascii="Calibri" w:eastAsia="Times New Roman" w:hAnsi="Calibri" w:cs="Calibri"/>
          <w:color w:val="0000FF"/>
          <w:lang w:val="en-US" w:eastAsia="en-IL"/>
        </w:rPr>
      </w:pPr>
    </w:p>
    <w:p w14:paraId="724D3C20" w14:textId="180885B3" w:rsidR="0026589C" w:rsidRDefault="0026589C" w:rsidP="006E1E0D">
      <w:pPr>
        <w:spacing w:after="0" w:line="360" w:lineRule="auto"/>
        <w:rPr>
          <w:rFonts w:ascii="Calibri" w:eastAsia="Times New Roman" w:hAnsi="Calibri" w:cs="Calibri"/>
          <w:color w:val="0000FF"/>
          <w:rtl/>
          <w:lang w:val="en-US" w:eastAsia="en-IL"/>
        </w:rPr>
      </w:pPr>
    </w:p>
    <w:p w14:paraId="19FDD110" w14:textId="775CB02D" w:rsidR="0026589C" w:rsidRPr="00B2525F" w:rsidRDefault="00321FD3" w:rsidP="006E1E0D">
      <w:pPr>
        <w:spacing w:after="0" w:line="360" w:lineRule="auto"/>
        <w:rPr>
          <w:rFonts w:ascii="Calibri" w:eastAsia="Times New Roman" w:hAnsi="Calibri" w:cs="Calibri"/>
          <w:color w:val="0000FF"/>
          <w:rtl/>
          <w:lang w:val="en-US" w:eastAsia="en-IL"/>
        </w:rPr>
      </w:pPr>
      <w:r w:rsidRPr="00B2525F">
        <w:rPr>
          <w:rFonts w:ascii="Arial" w:hAnsi="Arial" w:cs="Arial"/>
          <w:color w:val="0000FF"/>
          <w:sz w:val="20"/>
          <w:szCs w:val="20"/>
          <w:shd w:val="clear" w:color="auto" w:fill="FFFFFF"/>
        </w:rPr>
        <w:t xml:space="preserve">He, D., He, X., Zhao, T., Wang, J., Li, L., &amp; </w:t>
      </w:r>
      <w:proofErr w:type="spellStart"/>
      <w:r w:rsidRPr="00B2525F">
        <w:rPr>
          <w:rFonts w:ascii="Arial" w:hAnsi="Arial" w:cs="Arial"/>
          <w:color w:val="0000FF"/>
          <w:sz w:val="20"/>
          <w:szCs w:val="20"/>
          <w:shd w:val="clear" w:color="auto" w:fill="FFFFFF"/>
        </w:rPr>
        <w:t>Louwerse</w:t>
      </w:r>
      <w:proofErr w:type="spellEnd"/>
      <w:r w:rsidRPr="00B2525F">
        <w:rPr>
          <w:rFonts w:ascii="Arial" w:hAnsi="Arial" w:cs="Arial"/>
          <w:color w:val="0000FF"/>
          <w:sz w:val="20"/>
          <w:szCs w:val="20"/>
          <w:shd w:val="clear" w:color="auto" w:fill="FFFFFF"/>
        </w:rPr>
        <w:t xml:space="preserve">, M. (2020). Does number perception cause automatic shifts of spatial attention? A study of the </w:t>
      </w:r>
      <w:proofErr w:type="spellStart"/>
      <w:r w:rsidRPr="00B2525F">
        <w:rPr>
          <w:rFonts w:ascii="Arial" w:hAnsi="Arial" w:cs="Arial"/>
          <w:color w:val="0000FF"/>
          <w:sz w:val="20"/>
          <w:szCs w:val="20"/>
          <w:shd w:val="clear" w:color="auto" w:fill="FFFFFF"/>
        </w:rPr>
        <w:t>Att</w:t>
      </w:r>
      <w:proofErr w:type="spellEnd"/>
      <w:r w:rsidRPr="00B2525F">
        <w:rPr>
          <w:rFonts w:ascii="Arial" w:hAnsi="Arial" w:cs="Arial"/>
          <w:color w:val="0000FF"/>
          <w:sz w:val="20"/>
          <w:szCs w:val="20"/>
          <w:shd w:val="clear" w:color="auto" w:fill="FFFFFF"/>
        </w:rPr>
        <w:t>-SNARC effect in numbers and Chinese months. </w:t>
      </w:r>
      <w:r w:rsidRPr="00B2525F">
        <w:rPr>
          <w:rFonts w:ascii="Arial" w:hAnsi="Arial" w:cs="Arial"/>
          <w:i/>
          <w:iCs/>
          <w:color w:val="0000FF"/>
          <w:sz w:val="20"/>
          <w:szCs w:val="20"/>
          <w:shd w:val="clear" w:color="auto" w:fill="FFFFFF"/>
        </w:rPr>
        <w:t>Frontiers in psychology</w:t>
      </w:r>
      <w:r w:rsidRPr="00B2525F">
        <w:rPr>
          <w:rFonts w:ascii="Arial" w:hAnsi="Arial" w:cs="Arial"/>
          <w:color w:val="0000FF"/>
          <w:sz w:val="20"/>
          <w:szCs w:val="20"/>
          <w:shd w:val="clear" w:color="auto" w:fill="FFFFFF"/>
        </w:rPr>
        <w:t>, </w:t>
      </w:r>
      <w:r w:rsidRPr="00B2525F">
        <w:rPr>
          <w:rFonts w:ascii="Arial" w:hAnsi="Arial" w:cs="Arial"/>
          <w:i/>
          <w:iCs/>
          <w:color w:val="0000FF"/>
          <w:sz w:val="20"/>
          <w:szCs w:val="20"/>
          <w:shd w:val="clear" w:color="auto" w:fill="FFFFFF"/>
        </w:rPr>
        <w:t>11</w:t>
      </w:r>
      <w:r w:rsidRPr="00B2525F">
        <w:rPr>
          <w:rFonts w:ascii="Arial" w:hAnsi="Arial" w:cs="Arial"/>
          <w:color w:val="0000FF"/>
          <w:sz w:val="20"/>
          <w:szCs w:val="20"/>
          <w:shd w:val="clear" w:color="auto" w:fill="FFFFFF"/>
        </w:rPr>
        <w:t>, 680.</w:t>
      </w:r>
      <w:r w:rsidRPr="00B2525F">
        <w:rPr>
          <w:rFonts w:ascii="Arial" w:hAnsi="Arial" w:cs="Arial"/>
          <w:color w:val="0000FF"/>
          <w:sz w:val="20"/>
          <w:szCs w:val="20"/>
          <w:shd w:val="clear" w:color="auto" w:fill="FFFFFF"/>
          <w:rtl/>
        </w:rPr>
        <w:t>‏</w:t>
      </w:r>
    </w:p>
    <w:p w14:paraId="1855002D" w14:textId="77777777" w:rsidR="00022115" w:rsidRPr="00C000B6" w:rsidRDefault="00022115" w:rsidP="00022115">
      <w:pPr>
        <w:spacing w:before="75" w:after="75" w:line="240" w:lineRule="auto"/>
        <w:rPr>
          <w:rFonts w:ascii="Arial" w:eastAsia="Times New Roman" w:hAnsi="Arial" w:cs="Arial"/>
          <w:b/>
          <w:bCs/>
          <w:color w:val="0A0A0A"/>
          <w:sz w:val="20"/>
          <w:szCs w:val="20"/>
          <w:lang w:eastAsia="en-IL"/>
        </w:rPr>
      </w:pPr>
    </w:p>
    <w:p w14:paraId="09406DD9" w14:textId="028485BE" w:rsidR="00022115" w:rsidRDefault="009D7247" w:rsidP="007D75AD">
      <w:pPr>
        <w:numPr>
          <w:ilvl w:val="0"/>
          <w:numId w:val="1"/>
        </w:numPr>
        <w:tabs>
          <w:tab w:val="clear" w:pos="720"/>
          <w:tab w:val="num" w:pos="0"/>
        </w:tabs>
        <w:spacing w:before="75" w:after="75" w:line="240" w:lineRule="auto"/>
        <w:ind w:left="0" w:firstLine="0"/>
        <w:rPr>
          <w:rFonts w:ascii="Arial" w:eastAsia="Times New Roman" w:hAnsi="Arial" w:cs="Arial"/>
          <w:b/>
          <w:bCs/>
          <w:color w:val="0A0A0A"/>
          <w:sz w:val="20"/>
          <w:szCs w:val="20"/>
          <w:lang w:eastAsia="en-IL"/>
        </w:rPr>
      </w:pPr>
      <w:r w:rsidRPr="009174B0">
        <w:rPr>
          <w:rFonts w:ascii="Arial" w:eastAsia="Times New Roman" w:hAnsi="Arial" w:cs="Arial"/>
          <w:b/>
          <w:bCs/>
          <w:color w:val="0A0A0A"/>
          <w:sz w:val="20"/>
          <w:szCs w:val="20"/>
          <w:lang w:eastAsia="en-IL"/>
        </w:rPr>
        <w:t>the assumption of CARR in the number of days (table 3) is also very arbitral. It needs more context and background. (line 263)</w:t>
      </w:r>
    </w:p>
    <w:p w14:paraId="310B6BBE" w14:textId="1E3127D4" w:rsidR="009174B0" w:rsidRDefault="009174B0" w:rsidP="009174B0">
      <w:pPr>
        <w:spacing w:before="75" w:after="75" w:line="240" w:lineRule="auto"/>
        <w:rPr>
          <w:rFonts w:ascii="Arial" w:eastAsia="Times New Roman" w:hAnsi="Arial" w:cs="Arial"/>
          <w:b/>
          <w:bCs/>
          <w:color w:val="0A0A0A"/>
          <w:sz w:val="20"/>
          <w:szCs w:val="20"/>
          <w:lang w:eastAsia="en-IL"/>
        </w:rPr>
      </w:pPr>
    </w:p>
    <w:p w14:paraId="30606AB2" w14:textId="38798E62" w:rsidR="007D2DFF" w:rsidRDefault="009174B0" w:rsidP="009174B0">
      <w:pPr>
        <w:spacing w:before="75" w:after="75" w:line="240" w:lineRule="auto"/>
        <w:rPr>
          <w:rFonts w:ascii="Arial" w:eastAsia="Times New Roman" w:hAnsi="Arial" w:cs="Arial"/>
          <w:b/>
          <w:bCs/>
          <w:color w:val="0A0A0A"/>
          <w:sz w:val="20"/>
          <w:szCs w:val="20"/>
          <w:rtl/>
          <w:lang w:val="en-US" w:eastAsia="en-IL"/>
        </w:rPr>
      </w:pPr>
      <w:r>
        <w:rPr>
          <w:rFonts w:ascii="Arial" w:eastAsia="Times New Roman" w:hAnsi="Arial" w:cs="Arial"/>
          <w:b/>
          <w:bCs/>
          <w:color w:val="0A0A0A"/>
          <w:sz w:val="20"/>
          <w:szCs w:val="20"/>
          <w:lang w:val="en-US" w:eastAsia="en-IL"/>
        </w:rPr>
        <w:t xml:space="preserve">Thank you for bringing this to our attention. </w:t>
      </w:r>
    </w:p>
    <w:p w14:paraId="269E9B1E" w14:textId="5431AC37" w:rsidR="007D2DFF" w:rsidRPr="003B4DF0" w:rsidRDefault="003B4DF0" w:rsidP="00B634EA">
      <w:pPr>
        <w:spacing w:after="0" w:line="360" w:lineRule="auto"/>
        <w:rPr>
          <w:rFonts w:ascii="Calibri" w:eastAsia="Times New Roman" w:hAnsi="Calibri" w:cs="Calibri"/>
          <w:color w:val="0000FF"/>
          <w:sz w:val="24"/>
          <w:szCs w:val="24"/>
          <w:lang w:val="en-US" w:eastAsia="en-IL"/>
        </w:rPr>
      </w:pPr>
      <w:r w:rsidRPr="003B4DF0">
        <w:rPr>
          <w:rFonts w:ascii="Calibri" w:eastAsia="Times New Roman" w:hAnsi="Calibri" w:cs="Calibri" w:hint="cs"/>
          <w:color w:val="0000FF"/>
          <w:sz w:val="24"/>
          <w:szCs w:val="24"/>
          <w:lang w:val="en-US" w:eastAsia="en-IL"/>
        </w:rPr>
        <w:t>I</w:t>
      </w:r>
      <w:r w:rsidRPr="003B4DF0">
        <w:rPr>
          <w:rFonts w:ascii="Calibri" w:eastAsia="Times New Roman" w:hAnsi="Calibri" w:cs="Calibri"/>
          <w:color w:val="0000FF"/>
          <w:sz w:val="24"/>
          <w:szCs w:val="24"/>
          <w:lang w:val="en-US" w:eastAsia="en-IL"/>
        </w:rPr>
        <w:t>n presenting long-term adjusted</w:t>
      </w:r>
      <w:r w:rsidR="00F73490">
        <w:rPr>
          <w:rFonts w:ascii="Calibri" w:eastAsia="Times New Roman" w:hAnsi="Calibri" w:cs="Calibri"/>
          <w:color w:val="0000FF"/>
          <w:sz w:val="24"/>
          <w:szCs w:val="24"/>
          <w:lang w:val="en-US" w:eastAsia="en-IL"/>
        </w:rPr>
        <w:t xml:space="preserve"> cumulative return</w:t>
      </w:r>
      <w:r w:rsidRPr="003B4DF0">
        <w:rPr>
          <w:rFonts w:ascii="Calibri" w:eastAsia="Times New Roman" w:hAnsi="Calibri" w:cs="Calibri"/>
          <w:color w:val="0000FF"/>
          <w:sz w:val="24"/>
          <w:szCs w:val="24"/>
          <w:lang w:val="en-US" w:eastAsia="en-IL"/>
        </w:rPr>
        <w:t xml:space="preserve">, most researchers </w:t>
      </w:r>
      <w:r>
        <w:rPr>
          <w:rFonts w:ascii="Calibri" w:eastAsia="Times New Roman" w:hAnsi="Calibri" w:cs="Calibri"/>
          <w:color w:val="0000FF"/>
          <w:sz w:val="24"/>
          <w:szCs w:val="24"/>
          <w:lang w:val="en-US" w:eastAsia="en-IL"/>
        </w:rPr>
        <w:t xml:space="preserve">presented </w:t>
      </w:r>
      <w:r w:rsidRPr="003B4DF0">
        <w:rPr>
          <w:rFonts w:ascii="Calibri" w:eastAsia="Times New Roman" w:hAnsi="Calibri" w:cs="Calibri"/>
          <w:color w:val="0000FF"/>
          <w:sz w:val="24"/>
          <w:szCs w:val="24"/>
          <w:lang w:val="en-US" w:eastAsia="en-IL"/>
        </w:rPr>
        <w:t xml:space="preserve">time windows of 1, 6, 12, 18, 24 and 36 months </w:t>
      </w:r>
      <w:r w:rsidR="00F73490">
        <w:rPr>
          <w:rFonts w:ascii="Calibri" w:eastAsia="Times New Roman" w:hAnsi="Calibri" w:cs="Calibri"/>
          <w:color w:val="0000FF"/>
          <w:sz w:val="24"/>
          <w:szCs w:val="24"/>
          <w:lang w:val="en-US" w:eastAsia="en-IL"/>
        </w:rPr>
        <w:t>relative</w:t>
      </w:r>
      <w:r w:rsidRPr="003B4DF0">
        <w:rPr>
          <w:rFonts w:ascii="Calibri" w:eastAsia="Times New Roman" w:hAnsi="Calibri" w:cs="Calibri"/>
          <w:color w:val="0000FF"/>
          <w:sz w:val="24"/>
          <w:szCs w:val="24"/>
          <w:lang w:val="en-US" w:eastAsia="en-IL"/>
        </w:rPr>
        <w:t xml:space="preserve"> the issuance date</w:t>
      </w:r>
      <w:r w:rsidR="00F73490">
        <w:rPr>
          <w:rFonts w:ascii="Calibri" w:eastAsia="Times New Roman" w:hAnsi="Calibri" w:cs="Calibri"/>
          <w:color w:val="0000FF"/>
          <w:sz w:val="24"/>
          <w:szCs w:val="24"/>
          <w:lang w:val="en-US" w:eastAsia="en-IL"/>
        </w:rPr>
        <w:t xml:space="preserve"> (see</w:t>
      </w:r>
      <w:r w:rsidR="00B634EA">
        <w:rPr>
          <w:rFonts w:ascii="Calibri" w:eastAsia="Times New Roman" w:hAnsi="Calibri" w:cs="Calibri"/>
          <w:color w:val="0000FF"/>
          <w:sz w:val="24"/>
          <w:szCs w:val="24"/>
          <w:lang w:val="en-US" w:eastAsia="en-IL"/>
        </w:rPr>
        <w:t xml:space="preserve"> for example</w:t>
      </w:r>
      <w:r w:rsidR="00F73490">
        <w:rPr>
          <w:rFonts w:ascii="Calibri" w:eastAsia="Times New Roman" w:hAnsi="Calibri" w:cs="Calibri"/>
          <w:color w:val="0000FF"/>
          <w:sz w:val="24"/>
          <w:szCs w:val="24"/>
          <w:lang w:val="en-US" w:eastAsia="en-IL"/>
        </w:rPr>
        <w:t xml:space="preserve">: </w:t>
      </w:r>
      <w:r w:rsidR="00F04686" w:rsidRPr="003B4DF0">
        <w:rPr>
          <w:rFonts w:ascii="Calibri" w:eastAsia="Times New Roman" w:hAnsi="Calibri" w:cs="Calibri"/>
          <w:color w:val="0000FF"/>
          <w:sz w:val="24"/>
          <w:szCs w:val="24"/>
          <w:lang w:val="en-US" w:eastAsia="en-IL"/>
        </w:rPr>
        <w:t xml:space="preserve"> </w:t>
      </w:r>
      <w:r w:rsidR="007D2DFF" w:rsidRPr="003B4DF0">
        <w:rPr>
          <w:rFonts w:ascii="Calibri" w:eastAsia="Times New Roman" w:hAnsi="Calibri" w:cs="Calibri"/>
          <w:color w:val="0000FF"/>
          <w:sz w:val="24"/>
          <w:szCs w:val="24"/>
          <w:lang w:val="en-US" w:eastAsia="en-IL"/>
        </w:rPr>
        <w:t>Kumar</w:t>
      </w:r>
      <w:r w:rsidR="00F04686" w:rsidRPr="003B4DF0">
        <w:rPr>
          <w:rFonts w:ascii="Calibri" w:eastAsia="Times New Roman" w:hAnsi="Calibri" w:cs="Calibri"/>
          <w:color w:val="0000FF"/>
          <w:sz w:val="24"/>
          <w:szCs w:val="24"/>
          <w:lang w:val="en-US" w:eastAsia="en-IL"/>
        </w:rPr>
        <w:t xml:space="preserve"> (</w:t>
      </w:r>
      <w:r w:rsidR="007D2DFF" w:rsidRPr="003B4DF0">
        <w:rPr>
          <w:rFonts w:ascii="Calibri" w:eastAsia="Times New Roman" w:hAnsi="Calibri" w:cs="Calibri"/>
          <w:color w:val="0000FF"/>
          <w:sz w:val="24"/>
          <w:szCs w:val="24"/>
          <w:lang w:val="en-US" w:eastAsia="en-IL"/>
        </w:rPr>
        <w:t>2020</w:t>
      </w:r>
      <w:r w:rsidR="00F04686" w:rsidRPr="003B4DF0">
        <w:rPr>
          <w:rFonts w:ascii="Calibri" w:eastAsia="Times New Roman" w:hAnsi="Calibri" w:cs="Calibri"/>
          <w:color w:val="0000FF"/>
          <w:sz w:val="24"/>
          <w:szCs w:val="24"/>
          <w:lang w:val="en-US" w:eastAsia="en-IL"/>
        </w:rPr>
        <w:t>)</w:t>
      </w:r>
      <w:r w:rsidR="002223EA" w:rsidRPr="003B4DF0">
        <w:rPr>
          <w:rFonts w:ascii="Calibri" w:eastAsia="Times New Roman" w:hAnsi="Calibri" w:cs="Calibri"/>
          <w:color w:val="0000FF"/>
          <w:sz w:val="24"/>
          <w:szCs w:val="24"/>
          <w:lang w:val="en-US" w:eastAsia="en-IL"/>
        </w:rPr>
        <w:t>;</w:t>
      </w:r>
      <w:r w:rsidR="007D2DFF" w:rsidRPr="003B4DF0">
        <w:rPr>
          <w:rFonts w:ascii="Calibri" w:eastAsia="Times New Roman" w:hAnsi="Calibri" w:cs="Calibri"/>
          <w:color w:val="0000FF"/>
          <w:sz w:val="24"/>
          <w:szCs w:val="24"/>
          <w:lang w:val="en-US" w:eastAsia="en-IL"/>
        </w:rPr>
        <w:t xml:space="preserve"> Shimizu </w:t>
      </w:r>
      <w:r w:rsidR="00F04686" w:rsidRPr="003B4DF0">
        <w:rPr>
          <w:rFonts w:ascii="Calibri" w:eastAsia="Times New Roman" w:hAnsi="Calibri" w:cs="Calibri"/>
          <w:color w:val="0000FF"/>
          <w:sz w:val="24"/>
          <w:szCs w:val="24"/>
          <w:lang w:val="en-US" w:eastAsia="en-IL"/>
        </w:rPr>
        <w:t>(</w:t>
      </w:r>
      <w:r w:rsidR="007D2DFF" w:rsidRPr="003B4DF0">
        <w:rPr>
          <w:rFonts w:ascii="Calibri" w:eastAsia="Times New Roman" w:hAnsi="Calibri" w:cs="Calibri"/>
          <w:color w:val="0000FF"/>
          <w:sz w:val="24"/>
          <w:szCs w:val="24"/>
          <w:lang w:val="en-US" w:eastAsia="en-IL"/>
        </w:rPr>
        <w:t>2016</w:t>
      </w:r>
      <w:r w:rsidR="00F04686" w:rsidRPr="003B4DF0">
        <w:rPr>
          <w:rFonts w:ascii="Calibri" w:eastAsia="Times New Roman" w:hAnsi="Calibri" w:cs="Calibri"/>
          <w:color w:val="0000FF"/>
          <w:sz w:val="24"/>
          <w:szCs w:val="24"/>
          <w:lang w:val="en-US" w:eastAsia="en-IL"/>
        </w:rPr>
        <w:t>)</w:t>
      </w:r>
      <w:r w:rsidR="00141E6B" w:rsidRPr="003B4DF0">
        <w:rPr>
          <w:rFonts w:ascii="Calibri" w:eastAsia="Times New Roman" w:hAnsi="Calibri" w:cs="Calibri"/>
          <w:color w:val="0000FF"/>
          <w:sz w:val="24"/>
          <w:szCs w:val="24"/>
          <w:lang w:val="en-US" w:eastAsia="en-IL"/>
        </w:rPr>
        <w:t>;</w:t>
      </w:r>
      <w:r w:rsidR="00F04686" w:rsidRPr="003B4DF0">
        <w:rPr>
          <w:rFonts w:ascii="Calibri" w:eastAsia="Times New Roman" w:hAnsi="Calibri" w:cs="Calibri"/>
          <w:color w:val="0000FF"/>
          <w:sz w:val="24"/>
          <w:szCs w:val="24"/>
          <w:lang w:val="en-US" w:eastAsia="en-IL"/>
        </w:rPr>
        <w:t xml:space="preserve"> </w:t>
      </w:r>
      <w:r w:rsidR="007D2DFF" w:rsidRPr="003B4DF0">
        <w:rPr>
          <w:rFonts w:ascii="Calibri" w:eastAsia="Times New Roman" w:hAnsi="Calibri" w:cs="Calibri"/>
          <w:color w:val="0000FF"/>
          <w:sz w:val="24"/>
          <w:szCs w:val="24"/>
          <w:lang w:val="en-US" w:eastAsia="en-IL"/>
        </w:rPr>
        <w:t>Lin (2021</w:t>
      </w:r>
      <w:proofErr w:type="gramStart"/>
      <w:r w:rsidR="007D2DFF" w:rsidRPr="003B4DF0">
        <w:rPr>
          <w:rFonts w:ascii="Calibri" w:eastAsia="Times New Roman" w:hAnsi="Calibri" w:cs="Calibri"/>
          <w:color w:val="0000FF"/>
          <w:sz w:val="24"/>
          <w:szCs w:val="24"/>
          <w:lang w:val="en-US" w:eastAsia="en-IL"/>
        </w:rPr>
        <w:t xml:space="preserve">) </w:t>
      </w:r>
      <w:r>
        <w:rPr>
          <w:rFonts w:ascii="Calibri" w:eastAsia="Times New Roman" w:hAnsi="Calibri" w:cs="Calibri"/>
          <w:color w:val="0000FF"/>
          <w:sz w:val="24"/>
          <w:szCs w:val="24"/>
          <w:lang w:val="en-US" w:eastAsia="en-IL"/>
        </w:rPr>
        <w:t>;</w:t>
      </w:r>
      <w:proofErr w:type="spellStart"/>
      <w:r w:rsidR="002223EA" w:rsidRPr="004856FC">
        <w:rPr>
          <w:rFonts w:ascii="Calibri" w:eastAsia="Times New Roman" w:hAnsi="Calibri" w:cs="Calibri"/>
          <w:color w:val="0000FF"/>
          <w:sz w:val="24"/>
          <w:szCs w:val="24"/>
          <w:lang w:val="en-US" w:eastAsia="en-IL"/>
        </w:rPr>
        <w:t>Boubaker</w:t>
      </w:r>
      <w:proofErr w:type="spellEnd"/>
      <w:proofErr w:type="gramEnd"/>
      <w:r w:rsidR="002223EA" w:rsidRPr="003B4DF0">
        <w:rPr>
          <w:rFonts w:ascii="Calibri" w:eastAsia="Times New Roman" w:hAnsi="Calibri" w:cs="Calibri"/>
          <w:color w:val="0000FF"/>
          <w:sz w:val="24"/>
          <w:szCs w:val="24"/>
          <w:lang w:val="en-US" w:eastAsia="en-IL"/>
        </w:rPr>
        <w:t xml:space="preserve"> et al (2020)</w:t>
      </w:r>
      <w:r w:rsidR="00F73490">
        <w:rPr>
          <w:rFonts w:ascii="Calibri" w:eastAsia="Times New Roman" w:hAnsi="Calibri" w:cs="Calibri"/>
          <w:color w:val="0000FF"/>
          <w:sz w:val="24"/>
          <w:szCs w:val="24"/>
          <w:lang w:val="en-US" w:eastAsia="en-IL"/>
        </w:rPr>
        <w:t xml:space="preserve">; </w:t>
      </w:r>
      <w:r w:rsidR="00F73490" w:rsidRPr="006303C7">
        <w:rPr>
          <w:rFonts w:ascii="Arial" w:hAnsi="Arial" w:cs="Arial"/>
          <w:color w:val="0000FF"/>
          <w:sz w:val="20"/>
          <w:szCs w:val="20"/>
          <w:shd w:val="clear" w:color="auto" w:fill="FFFFFF"/>
        </w:rPr>
        <w:t xml:space="preserve">Berk, A. S., &amp; </w:t>
      </w:r>
      <w:proofErr w:type="spellStart"/>
      <w:r w:rsidR="00F73490" w:rsidRPr="006303C7">
        <w:rPr>
          <w:rFonts w:ascii="Arial" w:hAnsi="Arial" w:cs="Arial"/>
          <w:color w:val="0000FF"/>
          <w:sz w:val="20"/>
          <w:szCs w:val="20"/>
          <w:shd w:val="clear" w:color="auto" w:fill="FFFFFF"/>
        </w:rPr>
        <w:t>Peterle</w:t>
      </w:r>
      <w:proofErr w:type="spellEnd"/>
      <w:r w:rsidR="00F73490" w:rsidRPr="006303C7">
        <w:rPr>
          <w:rFonts w:ascii="Arial" w:hAnsi="Arial" w:cs="Arial"/>
          <w:color w:val="0000FF"/>
          <w:sz w:val="20"/>
          <w:szCs w:val="20"/>
          <w:shd w:val="clear" w:color="auto" w:fill="FFFFFF"/>
        </w:rPr>
        <w:t>, P. (2015</w:t>
      </w:r>
      <w:r w:rsidR="00F73490">
        <w:rPr>
          <w:rFonts w:ascii="Arial" w:hAnsi="Arial" w:cs="Arial"/>
          <w:color w:val="0000FF"/>
          <w:sz w:val="20"/>
          <w:szCs w:val="20"/>
          <w:shd w:val="clear" w:color="auto" w:fill="FFFFFF"/>
          <w:lang w:val="en-US"/>
        </w:rPr>
        <w:t>))</w:t>
      </w:r>
      <w:r w:rsidR="00B634EA">
        <w:rPr>
          <w:rFonts w:ascii="Arial" w:hAnsi="Arial" w:cs="Arial"/>
          <w:color w:val="0000FF"/>
          <w:sz w:val="20"/>
          <w:szCs w:val="20"/>
          <w:shd w:val="clear" w:color="auto" w:fill="FFFFFF"/>
          <w:lang w:val="en-US"/>
        </w:rPr>
        <w:t xml:space="preserve">. </w:t>
      </w:r>
      <w:r w:rsidR="00B634EA" w:rsidRPr="003B4DF0">
        <w:rPr>
          <w:rFonts w:ascii="Calibri" w:eastAsia="Times New Roman" w:hAnsi="Calibri" w:cs="Calibri"/>
          <w:color w:val="0000FF"/>
          <w:sz w:val="24"/>
          <w:szCs w:val="24"/>
          <w:lang w:val="en-US" w:eastAsia="en-IL"/>
        </w:rPr>
        <w:t>To</w:t>
      </w:r>
      <w:r w:rsidR="009533A0" w:rsidRPr="003B4DF0">
        <w:rPr>
          <w:rFonts w:ascii="Calibri" w:eastAsia="Times New Roman" w:hAnsi="Calibri" w:cs="Calibri"/>
          <w:color w:val="0000FF"/>
          <w:sz w:val="24"/>
          <w:szCs w:val="24"/>
          <w:lang w:val="en-US" w:eastAsia="en-IL"/>
        </w:rPr>
        <w:t xml:space="preserve"> be more informative, we</w:t>
      </w:r>
      <w:r w:rsidR="007D2DFF" w:rsidRPr="003B4DF0">
        <w:rPr>
          <w:rFonts w:ascii="Calibri" w:eastAsia="Times New Roman" w:hAnsi="Calibri" w:cs="Calibri"/>
          <w:color w:val="0000FF"/>
          <w:sz w:val="24"/>
          <w:szCs w:val="24"/>
          <w:lang w:val="en-US" w:eastAsia="en-IL"/>
        </w:rPr>
        <w:t xml:space="preserve"> </w:t>
      </w:r>
      <w:r w:rsidR="009533A0" w:rsidRPr="003B4DF0">
        <w:rPr>
          <w:rFonts w:ascii="Calibri" w:eastAsia="Times New Roman" w:hAnsi="Calibri" w:cs="Calibri"/>
          <w:color w:val="0000FF"/>
          <w:sz w:val="24"/>
          <w:szCs w:val="24"/>
          <w:lang w:val="en-US" w:eastAsia="en-IL"/>
        </w:rPr>
        <w:t>presented somewhat higher</w:t>
      </w:r>
      <w:r w:rsidR="007D2DFF" w:rsidRPr="003B4DF0">
        <w:rPr>
          <w:rFonts w:ascii="Calibri" w:eastAsia="Times New Roman" w:hAnsi="Calibri" w:cs="Calibri"/>
          <w:color w:val="0000FF"/>
          <w:sz w:val="24"/>
          <w:szCs w:val="24"/>
          <w:lang w:val="en-US" w:eastAsia="en-IL"/>
        </w:rPr>
        <w:t xml:space="preserve"> frequency than others</w:t>
      </w:r>
      <w:r w:rsidR="009533A0" w:rsidRPr="003B4DF0">
        <w:rPr>
          <w:rFonts w:ascii="Calibri" w:eastAsia="Times New Roman" w:hAnsi="Calibri" w:cs="Calibri"/>
          <w:color w:val="0000FF"/>
          <w:sz w:val="24"/>
          <w:szCs w:val="24"/>
          <w:lang w:val="en-US" w:eastAsia="en-IL"/>
        </w:rPr>
        <w:t xml:space="preserve"> in the first year</w:t>
      </w:r>
      <w:r w:rsidR="00B634EA">
        <w:rPr>
          <w:rFonts w:ascii="Calibri" w:eastAsia="Times New Roman" w:hAnsi="Calibri" w:cs="Calibri"/>
          <w:color w:val="0000FF"/>
          <w:sz w:val="24"/>
          <w:szCs w:val="24"/>
          <w:lang w:val="en-US" w:eastAsia="en-IL"/>
        </w:rPr>
        <w:t>:</w:t>
      </w:r>
      <w:r w:rsidR="007D2DFF" w:rsidRPr="003B4DF0">
        <w:rPr>
          <w:rFonts w:ascii="Calibri" w:eastAsia="Times New Roman" w:hAnsi="Calibri" w:cs="Calibri"/>
          <w:color w:val="0000FF"/>
          <w:sz w:val="24"/>
          <w:szCs w:val="24"/>
          <w:lang w:val="en-US" w:eastAsia="en-IL"/>
        </w:rPr>
        <w:t xml:space="preserve"> 10,20, 50, 100,150, 200 trading days </w:t>
      </w:r>
      <w:r w:rsidR="009533A0" w:rsidRPr="003B4DF0">
        <w:rPr>
          <w:rFonts w:ascii="Calibri" w:eastAsia="Times New Roman" w:hAnsi="Calibri" w:cs="Calibri"/>
          <w:color w:val="0000FF"/>
          <w:sz w:val="24"/>
          <w:szCs w:val="24"/>
          <w:lang w:val="en-US" w:eastAsia="en-IL"/>
        </w:rPr>
        <w:t>and the rest are quit</w:t>
      </w:r>
      <w:r w:rsidR="00B634EA">
        <w:rPr>
          <w:rFonts w:ascii="Calibri" w:eastAsia="Times New Roman" w:hAnsi="Calibri" w:cs="Calibri"/>
          <w:color w:val="0000FF"/>
          <w:sz w:val="24"/>
          <w:szCs w:val="24"/>
          <w:lang w:val="en-US" w:eastAsia="en-IL"/>
        </w:rPr>
        <w:t>e</w:t>
      </w:r>
      <w:r w:rsidR="009533A0" w:rsidRPr="003B4DF0">
        <w:rPr>
          <w:rFonts w:ascii="Calibri" w:eastAsia="Times New Roman" w:hAnsi="Calibri" w:cs="Calibri"/>
          <w:color w:val="0000FF"/>
          <w:sz w:val="24"/>
          <w:szCs w:val="24"/>
          <w:lang w:val="en-US" w:eastAsia="en-IL"/>
        </w:rPr>
        <w:t xml:space="preserve"> similar to others 1</w:t>
      </w:r>
      <w:r w:rsidR="007D2DFF" w:rsidRPr="003B4DF0">
        <w:rPr>
          <w:rFonts w:ascii="Calibri" w:eastAsia="Times New Roman" w:hAnsi="Calibri" w:cs="Calibri"/>
          <w:color w:val="0000FF"/>
          <w:sz w:val="24"/>
          <w:szCs w:val="24"/>
          <w:lang w:val="en-US" w:eastAsia="en-IL"/>
        </w:rPr>
        <w:t xml:space="preserve"> year (255 days), </w:t>
      </w:r>
      <w:r w:rsidR="009533A0" w:rsidRPr="003B4DF0">
        <w:rPr>
          <w:rFonts w:ascii="Calibri" w:eastAsia="Times New Roman" w:hAnsi="Calibri" w:cs="Calibri"/>
          <w:color w:val="0000FF"/>
          <w:sz w:val="24"/>
          <w:szCs w:val="24"/>
          <w:lang w:val="en-US" w:eastAsia="en-IL"/>
        </w:rPr>
        <w:t>1.5</w:t>
      </w:r>
      <w:r w:rsidR="007D2DFF" w:rsidRPr="003B4DF0">
        <w:rPr>
          <w:rFonts w:ascii="Calibri" w:eastAsia="Times New Roman" w:hAnsi="Calibri" w:cs="Calibri"/>
          <w:color w:val="0000FF"/>
          <w:sz w:val="24"/>
          <w:szCs w:val="24"/>
          <w:lang w:val="en-US" w:eastAsia="en-IL"/>
        </w:rPr>
        <w:t xml:space="preserve"> years (375 days), </w:t>
      </w:r>
      <w:r w:rsidR="009533A0" w:rsidRPr="003B4DF0">
        <w:rPr>
          <w:rFonts w:ascii="Calibri" w:eastAsia="Times New Roman" w:hAnsi="Calibri" w:cs="Calibri"/>
          <w:color w:val="0000FF"/>
          <w:sz w:val="24"/>
          <w:szCs w:val="24"/>
          <w:lang w:val="en-US" w:eastAsia="en-IL"/>
        </w:rPr>
        <w:t>2</w:t>
      </w:r>
      <w:r w:rsidR="007D2DFF" w:rsidRPr="003B4DF0">
        <w:rPr>
          <w:rFonts w:ascii="Calibri" w:eastAsia="Times New Roman" w:hAnsi="Calibri" w:cs="Calibri"/>
          <w:color w:val="0000FF"/>
          <w:sz w:val="24"/>
          <w:szCs w:val="24"/>
          <w:lang w:val="en-US" w:eastAsia="en-IL"/>
        </w:rPr>
        <w:t xml:space="preserve"> years (550 days) and 3 years (755 days).</w:t>
      </w:r>
    </w:p>
    <w:p w14:paraId="134731B7" w14:textId="08B7E443" w:rsidR="007D2DFF" w:rsidRPr="003B4DF0" w:rsidRDefault="007D2DFF" w:rsidP="007D2DFF">
      <w:pPr>
        <w:spacing w:after="0" w:line="360" w:lineRule="auto"/>
        <w:rPr>
          <w:rFonts w:ascii="Calibri" w:eastAsia="Times New Roman" w:hAnsi="Calibri" w:cs="Calibri"/>
          <w:color w:val="0000FF"/>
          <w:sz w:val="24"/>
          <w:szCs w:val="24"/>
          <w:rtl/>
          <w:lang w:val="en-US" w:eastAsia="en-IL"/>
        </w:rPr>
      </w:pPr>
      <w:r w:rsidRPr="003B4DF0">
        <w:rPr>
          <w:rFonts w:ascii="Calibri" w:eastAsia="Times New Roman" w:hAnsi="Calibri" w:cs="Calibri"/>
          <w:color w:val="0000FF"/>
          <w:sz w:val="24"/>
          <w:szCs w:val="24"/>
          <w:lang w:val="en-US" w:eastAsia="en-IL"/>
        </w:rPr>
        <w:lastRenderedPageBreak/>
        <w:t xml:space="preserve">In addition, Figure 2 shows </w:t>
      </w:r>
      <w:r w:rsidR="009533A0" w:rsidRPr="003B4DF0">
        <w:rPr>
          <w:rFonts w:ascii="Calibri" w:eastAsia="Times New Roman" w:hAnsi="Calibri" w:cs="Calibri"/>
          <w:color w:val="0000FF"/>
          <w:sz w:val="24"/>
          <w:szCs w:val="24"/>
          <w:lang w:val="en-US" w:eastAsia="en-IL"/>
        </w:rPr>
        <w:t>the</w:t>
      </w:r>
      <w:r w:rsidRPr="003B4DF0">
        <w:rPr>
          <w:rFonts w:ascii="Calibri" w:eastAsia="Times New Roman" w:hAnsi="Calibri" w:cs="Calibri"/>
          <w:color w:val="0000FF"/>
          <w:sz w:val="24"/>
          <w:szCs w:val="24"/>
          <w:lang w:val="en-US" w:eastAsia="en-IL"/>
        </w:rPr>
        <w:t xml:space="preserve"> daily CAAR display according to the 3 years after the </w:t>
      </w:r>
      <w:r w:rsidR="004856FC" w:rsidRPr="003B4DF0">
        <w:rPr>
          <w:rFonts w:ascii="Calibri" w:eastAsia="Times New Roman" w:hAnsi="Calibri" w:cs="Calibri"/>
          <w:color w:val="0000FF"/>
          <w:sz w:val="24"/>
          <w:szCs w:val="24"/>
          <w:lang w:val="en-US" w:eastAsia="en-IL"/>
        </w:rPr>
        <w:t>issua</w:t>
      </w:r>
      <w:r w:rsidR="004856FC">
        <w:rPr>
          <w:rFonts w:ascii="Calibri" w:eastAsia="Times New Roman" w:hAnsi="Calibri" w:cs="Calibri"/>
          <w:color w:val="0000FF"/>
          <w:sz w:val="24"/>
          <w:szCs w:val="24"/>
          <w:lang w:val="en-US" w:eastAsia="en-IL"/>
        </w:rPr>
        <w:t>nce</w:t>
      </w:r>
      <w:r w:rsidR="009533A0" w:rsidRPr="003B4DF0">
        <w:rPr>
          <w:rFonts w:ascii="Calibri" w:eastAsia="Times New Roman" w:hAnsi="Calibri" w:cs="Calibri"/>
          <w:color w:val="0000FF"/>
          <w:sz w:val="24"/>
          <w:szCs w:val="24"/>
          <w:lang w:val="en-US" w:eastAsia="en-IL"/>
        </w:rPr>
        <w:t>.</w:t>
      </w:r>
    </w:p>
    <w:p w14:paraId="2FA7B6B6" w14:textId="77777777" w:rsidR="007D2DFF" w:rsidRPr="003B4DF0" w:rsidRDefault="007D2DFF" w:rsidP="007D2DFF">
      <w:pPr>
        <w:spacing w:after="0" w:line="360" w:lineRule="auto"/>
        <w:rPr>
          <w:rFonts w:ascii="Calibri" w:eastAsia="Times New Roman" w:hAnsi="Calibri" w:cs="Calibri"/>
          <w:color w:val="0000FF"/>
          <w:sz w:val="24"/>
          <w:szCs w:val="24"/>
          <w:rtl/>
          <w:lang w:val="en-US" w:eastAsia="en-IL"/>
        </w:rPr>
      </w:pPr>
    </w:p>
    <w:p w14:paraId="504CBCB6" w14:textId="2AC95440" w:rsidR="009D7247" w:rsidRDefault="009D7247" w:rsidP="00C000B6">
      <w:pPr>
        <w:numPr>
          <w:ilvl w:val="0"/>
          <w:numId w:val="1"/>
        </w:numPr>
        <w:tabs>
          <w:tab w:val="clear" w:pos="720"/>
          <w:tab w:val="num" w:pos="0"/>
        </w:tabs>
        <w:spacing w:before="75" w:after="75" w:line="240" w:lineRule="auto"/>
        <w:ind w:left="0" w:firstLine="0"/>
        <w:rPr>
          <w:rFonts w:ascii="Arial" w:eastAsia="Times New Roman" w:hAnsi="Arial" w:cs="Arial"/>
          <w:b/>
          <w:bCs/>
          <w:color w:val="0A0A0A"/>
          <w:sz w:val="20"/>
          <w:szCs w:val="20"/>
          <w:lang w:eastAsia="en-IL"/>
        </w:rPr>
      </w:pPr>
      <w:r w:rsidRPr="00C000B6">
        <w:rPr>
          <w:rFonts w:ascii="Arial" w:eastAsia="Times New Roman" w:hAnsi="Arial" w:cs="Arial"/>
          <w:b/>
          <w:bCs/>
          <w:color w:val="0A0A0A"/>
          <w:sz w:val="20"/>
          <w:szCs w:val="20"/>
          <w:lang w:eastAsia="en-IL"/>
        </w:rPr>
        <w:t>I think that the sample is not divided correctly and the results in CARR significance are in fact chaotic</w:t>
      </w:r>
    </w:p>
    <w:p w14:paraId="08B1DDCA" w14:textId="2A964D40" w:rsidR="00F14570" w:rsidRDefault="00F14570" w:rsidP="00F14570">
      <w:pPr>
        <w:spacing w:before="75" w:after="75" w:line="240" w:lineRule="auto"/>
        <w:rPr>
          <w:rFonts w:ascii="Arial" w:eastAsia="Times New Roman" w:hAnsi="Arial" w:cs="Arial"/>
          <w:b/>
          <w:bCs/>
          <w:color w:val="0A0A0A"/>
          <w:sz w:val="20"/>
          <w:szCs w:val="20"/>
          <w:lang w:eastAsia="en-IL"/>
        </w:rPr>
      </w:pPr>
    </w:p>
    <w:p w14:paraId="5E9B89F5" w14:textId="7452FE74" w:rsidR="007113F7" w:rsidRDefault="00F14570" w:rsidP="007113F7">
      <w:pPr>
        <w:spacing w:after="0" w:line="360" w:lineRule="auto"/>
        <w:rPr>
          <w:rFonts w:ascii="Calibri" w:eastAsia="Times New Roman" w:hAnsi="Calibri" w:cs="Calibri"/>
          <w:color w:val="0000FF"/>
          <w:sz w:val="24"/>
          <w:szCs w:val="24"/>
          <w:rtl/>
          <w:lang w:val="en-US" w:eastAsia="en-IL"/>
        </w:rPr>
      </w:pPr>
      <w:r w:rsidRPr="00462416">
        <w:rPr>
          <w:rFonts w:ascii="Calibri" w:eastAsia="Times New Roman" w:hAnsi="Calibri" w:cs="Calibri"/>
          <w:color w:val="0000FF"/>
          <w:sz w:val="24"/>
          <w:szCs w:val="24"/>
          <w:lang w:eastAsia="en-IL"/>
        </w:rPr>
        <w:t>This point is of great importance</w:t>
      </w:r>
      <w:r w:rsidR="00462416">
        <w:rPr>
          <w:rFonts w:ascii="Calibri" w:eastAsia="Times New Roman" w:hAnsi="Calibri" w:cs="Calibri" w:hint="cs"/>
          <w:color w:val="0000FF"/>
          <w:sz w:val="24"/>
          <w:szCs w:val="24"/>
          <w:rtl/>
          <w:lang w:val="en-US" w:eastAsia="en-IL"/>
        </w:rPr>
        <w:t xml:space="preserve">. </w:t>
      </w:r>
      <w:r w:rsidRPr="00462416">
        <w:rPr>
          <w:rFonts w:ascii="Calibri" w:eastAsia="Times New Roman" w:hAnsi="Calibri" w:cs="Calibri"/>
          <w:color w:val="0000FF"/>
          <w:sz w:val="24"/>
          <w:szCs w:val="24"/>
          <w:lang w:eastAsia="en-IL"/>
        </w:rPr>
        <w:t xml:space="preserve"> </w:t>
      </w:r>
      <w:r w:rsidR="00462416">
        <w:rPr>
          <w:rFonts w:ascii="Calibri" w:eastAsia="Times New Roman" w:hAnsi="Calibri" w:cs="Calibri"/>
          <w:color w:val="0000FF"/>
          <w:sz w:val="24"/>
          <w:szCs w:val="24"/>
          <w:lang w:val="en-US" w:eastAsia="en-IL"/>
        </w:rPr>
        <w:t xml:space="preserve"> </w:t>
      </w:r>
      <w:r w:rsidR="00B800CC">
        <w:rPr>
          <w:rFonts w:ascii="Calibri" w:eastAsia="Times New Roman" w:hAnsi="Calibri" w:cs="Calibri"/>
          <w:color w:val="0000FF"/>
          <w:sz w:val="24"/>
          <w:szCs w:val="24"/>
          <w:lang w:val="en-US" w:eastAsia="en-IL"/>
        </w:rPr>
        <w:t>For</w:t>
      </w:r>
      <w:r w:rsidR="00462416">
        <w:rPr>
          <w:rFonts w:ascii="Calibri" w:eastAsia="Times New Roman" w:hAnsi="Calibri" w:cs="Calibri"/>
          <w:color w:val="0000FF"/>
          <w:sz w:val="24"/>
          <w:szCs w:val="24"/>
          <w:lang w:val="en-US" w:eastAsia="en-IL"/>
        </w:rPr>
        <w:t xml:space="preserve"> our findings to be meaningful</w:t>
      </w:r>
      <w:r w:rsidR="00955887">
        <w:rPr>
          <w:rFonts w:ascii="Calibri" w:eastAsia="Times New Roman" w:hAnsi="Calibri" w:cs="Calibri" w:hint="cs"/>
          <w:color w:val="0000FF"/>
          <w:sz w:val="24"/>
          <w:szCs w:val="24"/>
          <w:rtl/>
          <w:lang w:val="en-US" w:eastAsia="en-IL"/>
        </w:rPr>
        <w:t>,</w:t>
      </w:r>
      <w:r w:rsidR="00462416">
        <w:rPr>
          <w:rFonts w:ascii="Calibri" w:eastAsia="Times New Roman" w:hAnsi="Calibri" w:cs="Calibri"/>
          <w:color w:val="0000FF"/>
          <w:sz w:val="24"/>
          <w:szCs w:val="24"/>
          <w:lang w:val="en-US" w:eastAsia="en-IL"/>
        </w:rPr>
        <w:t xml:space="preserve"> </w:t>
      </w:r>
      <w:r w:rsidR="00955887">
        <w:rPr>
          <w:rFonts w:ascii="Calibri" w:eastAsia="Times New Roman" w:hAnsi="Calibri" w:cs="Calibri"/>
          <w:color w:val="0000FF"/>
          <w:sz w:val="24"/>
          <w:szCs w:val="24"/>
          <w:lang w:val="en-US" w:eastAsia="en-IL"/>
        </w:rPr>
        <w:t>and</w:t>
      </w:r>
      <w:r w:rsidRPr="00462416">
        <w:rPr>
          <w:rFonts w:ascii="Calibri" w:eastAsia="Times New Roman" w:hAnsi="Calibri" w:cs="Calibri"/>
          <w:color w:val="0000FF"/>
          <w:sz w:val="24"/>
          <w:szCs w:val="24"/>
          <w:lang w:eastAsia="en-IL"/>
        </w:rPr>
        <w:t xml:space="preserve"> </w:t>
      </w:r>
      <w:r w:rsidR="00955887">
        <w:rPr>
          <w:rFonts w:ascii="Calibri" w:eastAsia="Times New Roman" w:hAnsi="Calibri" w:cs="Calibri"/>
          <w:color w:val="0000FF"/>
          <w:sz w:val="24"/>
          <w:szCs w:val="24"/>
          <w:lang w:val="en-US" w:eastAsia="en-IL"/>
        </w:rPr>
        <w:t xml:space="preserve">both </w:t>
      </w:r>
      <w:r w:rsidRPr="00462416">
        <w:rPr>
          <w:rFonts w:ascii="Calibri" w:eastAsia="Times New Roman" w:hAnsi="Calibri" w:cs="Calibri"/>
          <w:color w:val="0000FF"/>
          <w:sz w:val="24"/>
          <w:szCs w:val="24"/>
          <w:lang w:eastAsia="en-IL"/>
        </w:rPr>
        <w:t xml:space="preserve">firms </w:t>
      </w:r>
      <w:r w:rsidR="00955887">
        <w:rPr>
          <w:rFonts w:ascii="Calibri" w:eastAsia="Times New Roman" w:hAnsi="Calibri" w:cs="Calibri"/>
          <w:color w:val="0000FF"/>
          <w:sz w:val="24"/>
          <w:szCs w:val="24"/>
          <w:lang w:val="en-US" w:eastAsia="en-IL"/>
        </w:rPr>
        <w:t>and</w:t>
      </w:r>
      <w:r w:rsidRPr="00462416">
        <w:rPr>
          <w:rFonts w:ascii="Calibri" w:eastAsia="Times New Roman" w:hAnsi="Calibri" w:cs="Calibri"/>
          <w:color w:val="0000FF"/>
          <w:sz w:val="24"/>
          <w:szCs w:val="24"/>
          <w:lang w:eastAsia="en-IL"/>
        </w:rPr>
        <w:t xml:space="preserve"> </w:t>
      </w:r>
      <w:r w:rsidR="00F42070" w:rsidRPr="00462416">
        <w:rPr>
          <w:rFonts w:ascii="Calibri" w:eastAsia="Times New Roman" w:hAnsi="Calibri" w:cs="Calibri"/>
          <w:color w:val="0000FF"/>
          <w:sz w:val="24"/>
          <w:szCs w:val="24"/>
          <w:lang w:eastAsia="en-IL"/>
        </w:rPr>
        <w:t>investor</w:t>
      </w:r>
      <w:r w:rsidR="00955887">
        <w:rPr>
          <w:rFonts w:ascii="Calibri" w:eastAsia="Times New Roman" w:hAnsi="Calibri" w:cs="Calibri"/>
          <w:color w:val="0000FF"/>
          <w:sz w:val="24"/>
          <w:szCs w:val="24"/>
          <w:lang w:val="en-US" w:eastAsia="en-IL"/>
        </w:rPr>
        <w:t xml:space="preserve">s could use them for </w:t>
      </w:r>
      <w:r w:rsidR="00AF369B">
        <w:rPr>
          <w:rFonts w:ascii="Calibri" w:eastAsia="Times New Roman" w:hAnsi="Calibri" w:cs="Calibri"/>
          <w:color w:val="0000FF"/>
          <w:sz w:val="24"/>
          <w:szCs w:val="24"/>
          <w:lang w:val="en-US" w:eastAsia="en-IL"/>
        </w:rPr>
        <w:t xml:space="preserve">getting </w:t>
      </w:r>
      <w:r w:rsidR="00955887">
        <w:rPr>
          <w:rFonts w:ascii="Calibri" w:eastAsia="Times New Roman" w:hAnsi="Calibri" w:cs="Calibri"/>
          <w:color w:val="0000FF"/>
          <w:sz w:val="24"/>
          <w:szCs w:val="24"/>
          <w:lang w:val="en-US" w:eastAsia="en-IL"/>
        </w:rPr>
        <w:t>better decisions</w:t>
      </w:r>
      <w:r w:rsidR="00462416">
        <w:rPr>
          <w:rFonts w:ascii="Calibri" w:eastAsia="Times New Roman" w:hAnsi="Calibri" w:cs="Calibri"/>
          <w:color w:val="0000FF"/>
          <w:sz w:val="24"/>
          <w:szCs w:val="24"/>
          <w:lang w:val="en-US" w:eastAsia="en-IL"/>
        </w:rPr>
        <w:t xml:space="preserve">, </w:t>
      </w:r>
      <w:r w:rsidR="00B800CC" w:rsidRPr="00B800CC">
        <w:rPr>
          <w:rFonts w:ascii="Calibri" w:eastAsia="Times New Roman" w:hAnsi="Calibri" w:cs="Calibri"/>
          <w:color w:val="0000FF"/>
          <w:sz w:val="24"/>
          <w:szCs w:val="24"/>
          <w:lang w:val="en-US" w:eastAsia="en-IL"/>
        </w:rPr>
        <w:t xml:space="preserve">it is necessary to </w:t>
      </w:r>
      <w:r w:rsidR="00AF369B">
        <w:rPr>
          <w:rFonts w:ascii="Calibri" w:eastAsia="Times New Roman" w:hAnsi="Calibri" w:cs="Calibri"/>
          <w:color w:val="0000FF"/>
          <w:sz w:val="24"/>
          <w:szCs w:val="24"/>
          <w:lang w:val="en-US" w:eastAsia="en-IL"/>
        </w:rPr>
        <w:t>pinpoint</w:t>
      </w:r>
      <w:r w:rsidR="00B800CC" w:rsidRPr="00B800CC">
        <w:rPr>
          <w:rFonts w:ascii="Calibri" w:eastAsia="Times New Roman" w:hAnsi="Calibri" w:cs="Calibri"/>
          <w:color w:val="0000FF"/>
          <w:sz w:val="24"/>
          <w:szCs w:val="24"/>
          <w:lang w:val="en-US" w:eastAsia="en-IL"/>
        </w:rPr>
        <w:t xml:space="preserve"> the </w:t>
      </w:r>
      <w:r w:rsidR="00AF369B">
        <w:rPr>
          <w:rFonts w:ascii="Calibri" w:eastAsia="Times New Roman" w:hAnsi="Calibri" w:cs="Calibri"/>
          <w:color w:val="0000FF"/>
          <w:sz w:val="24"/>
          <w:szCs w:val="24"/>
          <w:lang w:val="en-US" w:eastAsia="en-IL"/>
        </w:rPr>
        <w:t>value</w:t>
      </w:r>
      <w:r w:rsidR="00B800CC" w:rsidRPr="00B800CC">
        <w:rPr>
          <w:rFonts w:ascii="Calibri" w:eastAsia="Times New Roman" w:hAnsi="Calibri" w:cs="Calibri"/>
          <w:color w:val="0000FF"/>
          <w:sz w:val="24"/>
          <w:szCs w:val="24"/>
          <w:lang w:val="en-US" w:eastAsia="en-IL"/>
        </w:rPr>
        <w:t xml:space="preserve"> above which a firm is perceived as "rich" in the eyes of the investor community</w:t>
      </w:r>
      <w:r w:rsidR="007113F7">
        <w:rPr>
          <w:rFonts w:ascii="Calibri" w:eastAsia="Times New Roman" w:hAnsi="Calibri" w:cs="Calibri"/>
          <w:color w:val="0000FF"/>
          <w:sz w:val="24"/>
          <w:szCs w:val="24"/>
          <w:lang w:val="en-US" w:eastAsia="en-IL"/>
        </w:rPr>
        <w:t>.  Following your comment, I repeated CAAR calculation for “large-sized” firms using a separation value of $100M, $200M, $300M and $400M</w:t>
      </w:r>
      <w:r w:rsidR="00AF369B">
        <w:rPr>
          <w:rFonts w:ascii="Calibri" w:eastAsia="Times New Roman" w:hAnsi="Calibri" w:cs="Calibri"/>
          <w:color w:val="0000FF"/>
          <w:sz w:val="24"/>
          <w:szCs w:val="24"/>
          <w:lang w:val="en-US" w:eastAsia="en-IL"/>
        </w:rPr>
        <w:t>.</w:t>
      </w:r>
      <w:r w:rsidR="00B800CC">
        <w:rPr>
          <w:rFonts w:ascii="Calibri" w:eastAsia="Times New Roman" w:hAnsi="Calibri" w:cs="Calibri"/>
          <w:color w:val="0000FF"/>
          <w:sz w:val="24"/>
          <w:szCs w:val="24"/>
          <w:lang w:val="en-US" w:eastAsia="en-IL"/>
        </w:rPr>
        <w:t xml:space="preserve"> </w:t>
      </w:r>
      <w:r w:rsidR="00B800CC" w:rsidRPr="00B800CC">
        <w:rPr>
          <w:rFonts w:ascii="Calibri" w:eastAsia="Times New Roman" w:hAnsi="Calibri" w:cs="Calibri"/>
          <w:color w:val="0000FF"/>
          <w:sz w:val="24"/>
          <w:szCs w:val="24"/>
          <w:lang w:val="en-US" w:eastAsia="en-IL"/>
        </w:rPr>
        <w:t xml:space="preserve">The results </w:t>
      </w:r>
      <w:r w:rsidR="00AF369B">
        <w:rPr>
          <w:rFonts w:ascii="Calibri" w:eastAsia="Times New Roman" w:hAnsi="Calibri" w:cs="Calibri"/>
          <w:color w:val="0000FF"/>
          <w:sz w:val="24"/>
          <w:szCs w:val="24"/>
          <w:lang w:val="en-US" w:eastAsia="en-IL"/>
        </w:rPr>
        <w:t>present in appendix A</w:t>
      </w:r>
      <w:r w:rsidR="00AF369B" w:rsidRPr="00B800CC">
        <w:rPr>
          <w:rFonts w:ascii="Calibri" w:eastAsia="Times New Roman" w:hAnsi="Calibri" w:cs="Calibri"/>
          <w:color w:val="0000FF"/>
          <w:sz w:val="24"/>
          <w:szCs w:val="24"/>
          <w:lang w:val="en-US" w:eastAsia="en-IL"/>
        </w:rPr>
        <w:t xml:space="preserve"> </w:t>
      </w:r>
      <w:r w:rsidR="00B800CC" w:rsidRPr="00B800CC">
        <w:rPr>
          <w:rFonts w:ascii="Calibri" w:eastAsia="Times New Roman" w:hAnsi="Calibri" w:cs="Calibri"/>
          <w:color w:val="0000FF"/>
          <w:sz w:val="24"/>
          <w:szCs w:val="24"/>
          <w:lang w:val="en-US" w:eastAsia="en-IL"/>
        </w:rPr>
        <w:t xml:space="preserve">support the average firm value in </w:t>
      </w:r>
      <w:r w:rsidR="00B800CC">
        <w:rPr>
          <w:rFonts w:ascii="Calibri" w:eastAsia="Times New Roman" w:hAnsi="Calibri" w:cs="Calibri"/>
          <w:color w:val="0000FF"/>
          <w:sz w:val="24"/>
          <w:szCs w:val="24"/>
          <w:lang w:val="en-US" w:eastAsia="en-IL"/>
        </w:rPr>
        <w:t>in</w:t>
      </w:r>
      <w:r w:rsidR="00B800CC" w:rsidRPr="00B800CC">
        <w:rPr>
          <w:rFonts w:ascii="Calibri" w:eastAsia="Times New Roman" w:hAnsi="Calibri" w:cs="Calibri"/>
          <w:color w:val="0000FF"/>
          <w:sz w:val="24"/>
          <w:szCs w:val="24"/>
          <w:lang w:val="en-US" w:eastAsia="en-IL"/>
        </w:rPr>
        <w:t xml:space="preserve"> sample of 500M as a value above which firms are perceived as </w:t>
      </w:r>
      <w:r w:rsidR="00B800CC">
        <w:rPr>
          <w:rFonts w:ascii="Calibri" w:eastAsia="Times New Roman" w:hAnsi="Calibri" w:cs="Calibri"/>
          <w:color w:val="0000FF"/>
          <w:sz w:val="24"/>
          <w:szCs w:val="24"/>
          <w:lang w:val="en-US" w:eastAsia="en-IL"/>
        </w:rPr>
        <w:t>“R</w:t>
      </w:r>
      <w:r w:rsidR="00B800CC" w:rsidRPr="00B800CC">
        <w:rPr>
          <w:rFonts w:ascii="Calibri" w:eastAsia="Times New Roman" w:hAnsi="Calibri" w:cs="Calibri"/>
          <w:color w:val="0000FF"/>
          <w:sz w:val="24"/>
          <w:szCs w:val="24"/>
          <w:lang w:val="en-US" w:eastAsia="en-IL"/>
        </w:rPr>
        <w:t>ich</w:t>
      </w:r>
      <w:r w:rsidR="00B800CC">
        <w:rPr>
          <w:rFonts w:ascii="Calibri" w:eastAsia="Times New Roman" w:hAnsi="Calibri" w:cs="Calibri"/>
          <w:color w:val="0000FF"/>
          <w:sz w:val="24"/>
          <w:szCs w:val="24"/>
          <w:lang w:val="en-US" w:eastAsia="en-IL"/>
        </w:rPr>
        <w:t xml:space="preserve">”. </w:t>
      </w:r>
    </w:p>
    <w:p w14:paraId="578605B3" w14:textId="386F258A" w:rsidR="00F17C9C" w:rsidRDefault="00E349F5" w:rsidP="00F42070">
      <w:pPr>
        <w:spacing w:after="0" w:line="360" w:lineRule="auto"/>
        <w:rPr>
          <w:rFonts w:ascii="Calibri" w:eastAsia="Times New Roman" w:hAnsi="Calibri" w:cs="Calibri"/>
          <w:color w:val="0000FF"/>
          <w:sz w:val="24"/>
          <w:szCs w:val="24"/>
          <w:lang w:val="en-US" w:eastAsia="en-IL"/>
        </w:rPr>
      </w:pPr>
      <w:r>
        <w:rPr>
          <w:rFonts w:ascii="Calibri" w:eastAsia="Times New Roman" w:hAnsi="Calibri" w:cs="Calibri"/>
          <w:color w:val="0000FF"/>
          <w:sz w:val="24"/>
          <w:szCs w:val="24"/>
          <w:lang w:val="en-US" w:eastAsia="en-IL"/>
        </w:rPr>
        <w:t>The following paragraph was added to the manuscript</w:t>
      </w:r>
      <w:r w:rsidR="00F17C9C">
        <w:rPr>
          <w:rFonts w:ascii="Calibri" w:eastAsia="Times New Roman" w:hAnsi="Calibri" w:cs="Calibri"/>
          <w:color w:val="0000FF"/>
          <w:sz w:val="24"/>
          <w:szCs w:val="24"/>
          <w:lang w:val="en-US" w:eastAsia="en-IL"/>
        </w:rPr>
        <w:t xml:space="preserve"> </w:t>
      </w:r>
      <w:r w:rsidR="004714C3">
        <w:rPr>
          <w:rFonts w:ascii="Calibri" w:eastAsia="Times New Roman" w:hAnsi="Calibri" w:cs="Calibri"/>
          <w:color w:val="0000FF"/>
          <w:sz w:val="24"/>
          <w:szCs w:val="24"/>
          <w:lang w:val="en-US" w:eastAsia="en-IL"/>
        </w:rPr>
        <w:t>toward</w:t>
      </w:r>
      <w:r w:rsidR="00F17C9C">
        <w:rPr>
          <w:rFonts w:ascii="Calibri" w:eastAsia="Times New Roman" w:hAnsi="Calibri" w:cs="Calibri"/>
          <w:color w:val="0000FF"/>
          <w:sz w:val="24"/>
          <w:szCs w:val="24"/>
          <w:lang w:val="en-US" w:eastAsia="en-IL"/>
        </w:rPr>
        <w:t xml:space="preserve"> the end of paragraph 3.</w:t>
      </w:r>
      <w:r w:rsidR="004714C3">
        <w:rPr>
          <w:rFonts w:ascii="Calibri" w:eastAsia="Times New Roman" w:hAnsi="Calibri" w:cs="Calibri"/>
          <w:color w:val="0000FF"/>
          <w:sz w:val="24"/>
          <w:szCs w:val="24"/>
          <w:lang w:val="en-US" w:eastAsia="en-IL"/>
        </w:rPr>
        <w:t>3</w:t>
      </w:r>
      <w:r w:rsidR="00F17C9C">
        <w:rPr>
          <w:rFonts w:ascii="Calibri" w:eastAsia="Times New Roman" w:hAnsi="Calibri" w:cs="Calibri"/>
          <w:color w:val="0000FF"/>
          <w:sz w:val="24"/>
          <w:szCs w:val="24"/>
          <w:lang w:val="en-US" w:eastAsia="en-IL"/>
        </w:rPr>
        <w:t>.</w:t>
      </w:r>
    </w:p>
    <w:p w14:paraId="73A63A1B" w14:textId="074C3901" w:rsidR="007113F7" w:rsidRDefault="004714C3" w:rsidP="001D43BD">
      <w:pPr>
        <w:spacing w:after="0" w:line="360" w:lineRule="auto"/>
        <w:rPr>
          <w:rFonts w:ascii="Calibri" w:eastAsia="Times New Roman" w:hAnsi="Calibri" w:cs="Calibri"/>
          <w:color w:val="0000FF"/>
          <w:sz w:val="24"/>
          <w:szCs w:val="24"/>
          <w:lang w:val="en-US" w:eastAsia="en-IL"/>
        </w:rPr>
      </w:pPr>
      <w:bookmarkStart w:id="12" w:name="_Hlk80523345"/>
      <w:r>
        <w:rPr>
          <w:rFonts w:ascii="Calibri" w:eastAsia="Times New Roman" w:hAnsi="Calibri" w:cs="Calibri"/>
          <w:color w:val="0000FF"/>
          <w:sz w:val="24"/>
          <w:szCs w:val="24"/>
          <w:lang w:val="en-US" w:eastAsia="en-IL"/>
        </w:rPr>
        <w:t>”</w:t>
      </w:r>
      <w:r w:rsidRPr="004714C3">
        <w:t xml:space="preserve"> To</w:t>
      </w:r>
      <w:r w:rsidR="00F03D40" w:rsidRPr="004714C3">
        <w:rPr>
          <w:rFonts w:ascii="Calibri" w:eastAsia="Times New Roman" w:hAnsi="Calibri" w:cs="Calibri"/>
          <w:color w:val="0000FF"/>
          <w:sz w:val="24"/>
          <w:szCs w:val="24"/>
          <w:lang w:val="en-US" w:eastAsia="en-IL"/>
        </w:rPr>
        <w:t xml:space="preserve"> strengthen our choice of an average firm value of </w:t>
      </w:r>
      <w:r w:rsidR="005912B5" w:rsidRPr="004714C3">
        <w:rPr>
          <w:rFonts w:ascii="Calibri" w:eastAsia="Times New Roman" w:hAnsi="Calibri" w:cs="Calibri" w:hint="cs"/>
          <w:color w:val="0000FF"/>
          <w:sz w:val="24"/>
          <w:szCs w:val="24"/>
          <w:rtl/>
          <w:lang w:val="en-US" w:eastAsia="en-IL"/>
        </w:rPr>
        <w:t>$</w:t>
      </w:r>
      <w:r w:rsidR="00F03D40" w:rsidRPr="004714C3">
        <w:rPr>
          <w:rFonts w:ascii="Calibri" w:eastAsia="Times New Roman" w:hAnsi="Calibri" w:cs="Calibri"/>
          <w:color w:val="0000FF"/>
          <w:sz w:val="24"/>
          <w:szCs w:val="24"/>
          <w:lang w:val="en-US" w:eastAsia="en-IL"/>
        </w:rPr>
        <w:t>500</w:t>
      </w:r>
      <w:r w:rsidR="005912B5" w:rsidRPr="004714C3">
        <w:rPr>
          <w:rFonts w:ascii="Calibri" w:eastAsia="Times New Roman" w:hAnsi="Calibri" w:cs="Calibri" w:hint="cs"/>
          <w:color w:val="0000FF"/>
          <w:sz w:val="24"/>
          <w:szCs w:val="24"/>
          <w:lang w:val="en-US" w:eastAsia="en-IL"/>
        </w:rPr>
        <w:t>M</w:t>
      </w:r>
      <w:r w:rsidR="00F03D40" w:rsidRPr="004714C3">
        <w:rPr>
          <w:rFonts w:ascii="Calibri" w:eastAsia="Times New Roman" w:hAnsi="Calibri" w:cs="Calibri"/>
          <w:color w:val="0000FF"/>
          <w:sz w:val="24"/>
          <w:szCs w:val="24"/>
          <w:lang w:val="en-US" w:eastAsia="en-IL"/>
        </w:rPr>
        <w:t xml:space="preserve"> as a value above </w:t>
      </w:r>
      <w:r w:rsidR="001D43BD" w:rsidRPr="004714C3">
        <w:rPr>
          <w:rFonts w:ascii="Calibri" w:eastAsia="Times New Roman" w:hAnsi="Calibri" w:cs="Calibri"/>
          <w:color w:val="0000FF"/>
          <w:sz w:val="24"/>
          <w:szCs w:val="24"/>
          <w:lang w:val="en-US" w:eastAsia="en-IL"/>
        </w:rPr>
        <w:t>which,</w:t>
      </w:r>
      <w:r w:rsidR="00F03D40" w:rsidRPr="004714C3">
        <w:rPr>
          <w:rFonts w:ascii="Calibri" w:eastAsia="Times New Roman" w:hAnsi="Calibri" w:cs="Calibri"/>
          <w:color w:val="0000FF"/>
          <w:sz w:val="24"/>
          <w:szCs w:val="24"/>
          <w:lang w:val="en-US" w:eastAsia="en-IL"/>
        </w:rPr>
        <w:t xml:space="preserve"> </w:t>
      </w:r>
      <w:r w:rsidR="005912B5" w:rsidRPr="004714C3">
        <w:rPr>
          <w:rFonts w:ascii="Calibri" w:eastAsia="Times New Roman" w:hAnsi="Calibri" w:cs="Calibri"/>
          <w:color w:val="0000FF"/>
          <w:sz w:val="24"/>
          <w:szCs w:val="24"/>
          <w:lang w:val="en-US" w:eastAsia="en-IL"/>
        </w:rPr>
        <w:t xml:space="preserve">Biotech </w:t>
      </w:r>
      <w:r w:rsidR="00F03D40" w:rsidRPr="004714C3">
        <w:rPr>
          <w:rFonts w:ascii="Calibri" w:eastAsia="Times New Roman" w:hAnsi="Calibri" w:cs="Calibri"/>
          <w:color w:val="0000FF"/>
          <w:sz w:val="24"/>
          <w:szCs w:val="24"/>
          <w:lang w:val="en-US" w:eastAsia="en-IL"/>
        </w:rPr>
        <w:t xml:space="preserve">firms are perceived as </w:t>
      </w:r>
      <w:r w:rsidR="001D43BD" w:rsidRPr="004714C3">
        <w:rPr>
          <w:rFonts w:ascii="Calibri" w:eastAsia="Times New Roman" w:hAnsi="Calibri" w:cs="Calibri"/>
          <w:color w:val="0000FF"/>
          <w:sz w:val="24"/>
          <w:szCs w:val="24"/>
          <w:lang w:val="en-US" w:eastAsia="en-IL"/>
        </w:rPr>
        <w:t>“</w:t>
      </w:r>
      <w:r w:rsidR="00F03D40" w:rsidRPr="004714C3">
        <w:rPr>
          <w:rFonts w:ascii="Calibri" w:eastAsia="Times New Roman" w:hAnsi="Calibri" w:cs="Calibri"/>
          <w:color w:val="0000FF"/>
          <w:sz w:val="24"/>
          <w:szCs w:val="24"/>
          <w:lang w:val="en-US" w:eastAsia="en-IL"/>
        </w:rPr>
        <w:t>rich</w:t>
      </w:r>
      <w:r w:rsidR="001D43BD" w:rsidRPr="004714C3">
        <w:rPr>
          <w:rFonts w:ascii="Calibri" w:eastAsia="Times New Roman" w:hAnsi="Calibri" w:cs="Calibri"/>
          <w:color w:val="0000FF"/>
          <w:sz w:val="24"/>
          <w:szCs w:val="24"/>
          <w:lang w:val="en-US" w:eastAsia="en-IL"/>
        </w:rPr>
        <w:t>”</w:t>
      </w:r>
      <w:r w:rsidR="00F03D40" w:rsidRPr="004714C3">
        <w:rPr>
          <w:rFonts w:ascii="Calibri" w:eastAsia="Times New Roman" w:hAnsi="Calibri" w:cs="Calibri"/>
          <w:color w:val="0000FF"/>
          <w:sz w:val="24"/>
          <w:szCs w:val="24"/>
          <w:lang w:val="en-US" w:eastAsia="en-IL"/>
        </w:rPr>
        <w:t xml:space="preserve"> in the eyes of the investing </w:t>
      </w:r>
      <w:r w:rsidR="005912B5" w:rsidRPr="004714C3">
        <w:rPr>
          <w:rFonts w:ascii="Calibri" w:eastAsia="Times New Roman" w:hAnsi="Calibri" w:cs="Calibri"/>
          <w:color w:val="0000FF"/>
          <w:sz w:val="24"/>
          <w:szCs w:val="24"/>
          <w:lang w:val="en-US" w:eastAsia="en-IL"/>
        </w:rPr>
        <w:t xml:space="preserve">community, </w:t>
      </w:r>
      <w:r w:rsidR="00F03D40" w:rsidRPr="004714C3">
        <w:rPr>
          <w:rFonts w:ascii="Calibri" w:eastAsia="Times New Roman" w:hAnsi="Calibri" w:cs="Calibri"/>
          <w:color w:val="0000FF"/>
          <w:sz w:val="24"/>
          <w:szCs w:val="24"/>
          <w:lang w:val="en-US" w:eastAsia="en-IL"/>
        </w:rPr>
        <w:t>we</w:t>
      </w:r>
      <w:r w:rsidR="00F17C9C" w:rsidRPr="004714C3">
        <w:rPr>
          <w:rFonts w:ascii="Calibri" w:eastAsia="Times New Roman" w:hAnsi="Calibri" w:cs="Calibri"/>
          <w:color w:val="0000FF"/>
          <w:sz w:val="24"/>
          <w:szCs w:val="24"/>
          <w:lang w:val="en-US" w:eastAsia="en-IL"/>
        </w:rPr>
        <w:t xml:space="preserve"> repeated CAAR calculation for large</w:t>
      </w:r>
      <w:r w:rsidR="00296033" w:rsidRPr="004714C3">
        <w:rPr>
          <w:rFonts w:ascii="Calibri" w:eastAsia="Times New Roman" w:hAnsi="Calibri" w:cs="Calibri"/>
          <w:color w:val="0000FF"/>
          <w:sz w:val="24"/>
          <w:szCs w:val="24"/>
          <w:lang w:val="en-US" w:eastAsia="en-IL"/>
        </w:rPr>
        <w:t xml:space="preserve">-sized firm </w:t>
      </w:r>
      <w:r w:rsidR="001D43BD" w:rsidRPr="004714C3">
        <w:rPr>
          <w:rFonts w:ascii="Calibri" w:eastAsia="Times New Roman" w:hAnsi="Calibri" w:cs="Calibri"/>
          <w:color w:val="0000FF"/>
          <w:sz w:val="24"/>
          <w:szCs w:val="24"/>
          <w:lang w:val="en-US" w:eastAsia="en-IL"/>
        </w:rPr>
        <w:t xml:space="preserve">subsample </w:t>
      </w:r>
      <w:r w:rsidR="00296033" w:rsidRPr="004714C3">
        <w:rPr>
          <w:rFonts w:ascii="Calibri" w:eastAsia="Times New Roman" w:hAnsi="Calibri" w:cs="Calibri"/>
          <w:color w:val="0000FF"/>
          <w:sz w:val="24"/>
          <w:szCs w:val="24"/>
          <w:lang w:val="en-US" w:eastAsia="en-IL"/>
        </w:rPr>
        <w:t xml:space="preserve">using </w:t>
      </w:r>
      <w:r w:rsidR="00F17C9C" w:rsidRPr="004714C3">
        <w:rPr>
          <w:rFonts w:ascii="Calibri" w:eastAsia="Times New Roman" w:hAnsi="Calibri" w:cs="Calibri"/>
          <w:color w:val="0000FF"/>
          <w:sz w:val="24"/>
          <w:szCs w:val="24"/>
          <w:lang w:val="en-US" w:eastAsia="en-IL"/>
        </w:rPr>
        <w:t>$100M, $200M, $300M and $400</w:t>
      </w:r>
      <w:r w:rsidR="00296033" w:rsidRPr="004714C3">
        <w:rPr>
          <w:rFonts w:ascii="Calibri" w:eastAsia="Times New Roman" w:hAnsi="Calibri" w:cs="Calibri"/>
          <w:color w:val="0000FF"/>
          <w:sz w:val="24"/>
          <w:szCs w:val="24"/>
          <w:lang w:val="en-US" w:eastAsia="en-IL"/>
        </w:rPr>
        <w:t>M</w:t>
      </w:r>
      <w:r w:rsidR="00F17C9C" w:rsidRPr="004714C3">
        <w:rPr>
          <w:rFonts w:ascii="Calibri" w:eastAsia="Times New Roman" w:hAnsi="Calibri" w:cs="Calibri"/>
          <w:color w:val="0000FF"/>
          <w:sz w:val="24"/>
          <w:szCs w:val="24"/>
          <w:lang w:val="en-US" w:eastAsia="en-IL"/>
        </w:rPr>
        <w:t xml:space="preserve"> as </w:t>
      </w:r>
      <w:r w:rsidR="001D43BD" w:rsidRPr="004714C3">
        <w:rPr>
          <w:rFonts w:ascii="Calibri" w:eastAsia="Times New Roman" w:hAnsi="Calibri" w:cs="Calibri"/>
          <w:color w:val="0000FF"/>
          <w:sz w:val="24"/>
          <w:szCs w:val="24"/>
          <w:lang w:val="en-US" w:eastAsia="en-IL"/>
        </w:rPr>
        <w:t xml:space="preserve">a </w:t>
      </w:r>
      <w:r w:rsidR="00F17C9C" w:rsidRPr="004714C3">
        <w:rPr>
          <w:rFonts w:ascii="Calibri" w:eastAsia="Times New Roman" w:hAnsi="Calibri" w:cs="Calibri"/>
          <w:color w:val="0000FF"/>
          <w:sz w:val="24"/>
          <w:szCs w:val="24"/>
          <w:lang w:val="en-US" w:eastAsia="en-IL"/>
        </w:rPr>
        <w:t>separator</w:t>
      </w:r>
      <w:r w:rsidR="00296033" w:rsidRPr="004714C3">
        <w:rPr>
          <w:rFonts w:ascii="Calibri" w:eastAsia="Times New Roman" w:hAnsi="Calibri" w:cs="Calibri"/>
          <w:color w:val="0000FF"/>
          <w:sz w:val="24"/>
          <w:szCs w:val="24"/>
          <w:lang w:val="en-US" w:eastAsia="en-IL"/>
        </w:rPr>
        <w:t xml:space="preserve"> value</w:t>
      </w:r>
      <w:r w:rsidR="00F17C9C" w:rsidRPr="004714C3">
        <w:rPr>
          <w:rFonts w:ascii="Calibri" w:eastAsia="Times New Roman" w:hAnsi="Calibri" w:cs="Calibri"/>
          <w:color w:val="0000FF"/>
          <w:sz w:val="24"/>
          <w:szCs w:val="24"/>
          <w:lang w:val="en-US" w:eastAsia="en-IL"/>
        </w:rPr>
        <w:t xml:space="preserve">. The results presented in </w:t>
      </w:r>
      <w:r>
        <w:rPr>
          <w:rFonts w:ascii="Calibri" w:eastAsia="Times New Roman" w:hAnsi="Calibri" w:cs="Calibri"/>
          <w:color w:val="0000FF"/>
          <w:sz w:val="24"/>
          <w:szCs w:val="24"/>
          <w:lang w:val="en-US" w:eastAsia="en-IL"/>
        </w:rPr>
        <w:t>Table A</w:t>
      </w:r>
      <w:r w:rsidRPr="004714C3">
        <w:rPr>
          <w:rFonts w:ascii="Calibri" w:eastAsia="Times New Roman" w:hAnsi="Calibri" w:cs="Calibri"/>
          <w:color w:val="0000FF"/>
          <w:sz w:val="24"/>
          <w:szCs w:val="24"/>
          <w:lang w:val="en-US" w:eastAsia="en-IL"/>
        </w:rPr>
        <w:t xml:space="preserve"> </w:t>
      </w:r>
      <w:r>
        <w:rPr>
          <w:rFonts w:ascii="Calibri" w:eastAsia="Times New Roman" w:hAnsi="Calibri" w:cs="Calibri"/>
          <w:color w:val="0000FF"/>
          <w:sz w:val="24"/>
          <w:szCs w:val="24"/>
          <w:lang w:val="en-US" w:eastAsia="en-IL"/>
        </w:rPr>
        <w:t>in the a</w:t>
      </w:r>
      <w:r w:rsidR="00F17C9C" w:rsidRPr="004714C3">
        <w:rPr>
          <w:rFonts w:ascii="Calibri" w:eastAsia="Times New Roman" w:hAnsi="Calibri" w:cs="Calibri"/>
          <w:color w:val="0000FF"/>
          <w:sz w:val="24"/>
          <w:szCs w:val="24"/>
          <w:lang w:val="en-US" w:eastAsia="en-IL"/>
        </w:rPr>
        <w:t>ppendix</w:t>
      </w:r>
      <w:r>
        <w:rPr>
          <w:rFonts w:ascii="Calibri" w:eastAsia="Times New Roman" w:hAnsi="Calibri" w:cs="Calibri"/>
          <w:color w:val="0000FF"/>
          <w:sz w:val="24"/>
          <w:szCs w:val="24"/>
          <w:lang w:val="en-US" w:eastAsia="en-IL"/>
        </w:rPr>
        <w:t xml:space="preserve">, </w:t>
      </w:r>
      <w:r w:rsidR="005912B5" w:rsidRPr="004714C3">
        <w:rPr>
          <w:rFonts w:ascii="Calibri" w:eastAsia="Times New Roman" w:hAnsi="Calibri" w:cs="Calibri"/>
          <w:color w:val="0000FF"/>
          <w:sz w:val="24"/>
          <w:szCs w:val="24"/>
          <w:lang w:val="en-US" w:eastAsia="en-IL"/>
        </w:rPr>
        <w:t xml:space="preserve">support our choice and </w:t>
      </w:r>
      <w:r w:rsidR="00F17C9C" w:rsidRPr="004714C3">
        <w:rPr>
          <w:rFonts w:ascii="Calibri" w:eastAsia="Times New Roman" w:hAnsi="Calibri" w:cs="Calibri"/>
          <w:color w:val="0000FF"/>
          <w:sz w:val="24"/>
          <w:szCs w:val="24"/>
          <w:lang w:val="en-US" w:eastAsia="en-IL"/>
        </w:rPr>
        <w:t>indicat</w:t>
      </w:r>
      <w:r w:rsidR="005912B5" w:rsidRPr="004714C3">
        <w:rPr>
          <w:rFonts w:ascii="Calibri" w:eastAsia="Times New Roman" w:hAnsi="Calibri" w:cs="Calibri"/>
          <w:color w:val="0000FF"/>
          <w:sz w:val="24"/>
          <w:szCs w:val="24"/>
          <w:lang w:val="en-US" w:eastAsia="en-IL"/>
        </w:rPr>
        <w:t>ing</w:t>
      </w:r>
      <w:r w:rsidR="00F17C9C" w:rsidRPr="004714C3">
        <w:rPr>
          <w:rFonts w:ascii="Calibri" w:eastAsia="Times New Roman" w:hAnsi="Calibri" w:cs="Calibri"/>
          <w:color w:val="0000FF"/>
          <w:sz w:val="24"/>
          <w:szCs w:val="24"/>
          <w:lang w:val="en-US" w:eastAsia="en-IL"/>
        </w:rPr>
        <w:t xml:space="preserve"> that </w:t>
      </w:r>
      <w:r w:rsidR="005912B5" w:rsidRPr="004714C3">
        <w:rPr>
          <w:rFonts w:ascii="Calibri" w:eastAsia="Times New Roman" w:hAnsi="Calibri" w:cs="Calibri"/>
          <w:color w:val="0000FF"/>
          <w:sz w:val="24"/>
          <w:szCs w:val="24"/>
          <w:lang w:val="en-US" w:eastAsia="en-IL"/>
        </w:rPr>
        <w:t xml:space="preserve">for </w:t>
      </w:r>
      <w:r w:rsidR="00F17C9C" w:rsidRPr="004714C3">
        <w:rPr>
          <w:rFonts w:ascii="Calibri" w:eastAsia="Times New Roman" w:hAnsi="Calibri" w:cs="Calibri"/>
          <w:color w:val="0000FF"/>
          <w:sz w:val="24"/>
          <w:szCs w:val="24"/>
          <w:lang w:val="en-US" w:eastAsia="en-IL"/>
        </w:rPr>
        <w:t>values</w:t>
      </w:r>
      <w:r w:rsidR="005912B5" w:rsidRPr="004714C3">
        <w:rPr>
          <w:rFonts w:ascii="Calibri" w:eastAsia="Times New Roman" w:hAnsi="Calibri" w:cs="Calibri"/>
          <w:color w:val="0000FF"/>
          <w:sz w:val="24"/>
          <w:szCs w:val="24"/>
          <w:lang w:val="en-US" w:eastAsia="en-IL"/>
        </w:rPr>
        <w:t xml:space="preserve"> smaller than</w:t>
      </w:r>
      <w:r w:rsidR="001D43BD" w:rsidRPr="004714C3">
        <w:rPr>
          <w:rFonts w:ascii="Calibri" w:eastAsia="Times New Roman" w:hAnsi="Calibri" w:cs="Calibri"/>
          <w:color w:val="0000FF"/>
          <w:sz w:val="24"/>
          <w:szCs w:val="24"/>
          <w:lang w:val="en-US" w:eastAsia="en-IL"/>
        </w:rPr>
        <w:t xml:space="preserve"> $500M</w:t>
      </w:r>
      <w:r w:rsidR="00F17C9C" w:rsidRPr="004714C3">
        <w:rPr>
          <w:rFonts w:ascii="Calibri" w:eastAsia="Times New Roman" w:hAnsi="Calibri" w:cs="Calibri"/>
          <w:color w:val="0000FF"/>
          <w:sz w:val="24"/>
          <w:szCs w:val="24"/>
          <w:lang w:val="en-US" w:eastAsia="en-IL"/>
        </w:rPr>
        <w:t>, the positive CAA</w:t>
      </w:r>
      <w:r w:rsidR="00296033" w:rsidRPr="004714C3">
        <w:rPr>
          <w:rFonts w:ascii="Calibri" w:eastAsia="Times New Roman" w:hAnsi="Calibri" w:cs="Calibri"/>
          <w:color w:val="0000FF"/>
          <w:sz w:val="24"/>
          <w:szCs w:val="24"/>
          <w:lang w:val="en-US" w:eastAsia="en-IL"/>
        </w:rPr>
        <w:t>R</w:t>
      </w:r>
      <w:r w:rsidR="00F17C9C" w:rsidRPr="004714C3">
        <w:rPr>
          <w:rFonts w:ascii="Calibri" w:eastAsia="Times New Roman" w:hAnsi="Calibri" w:cs="Calibri"/>
          <w:color w:val="0000FF"/>
          <w:sz w:val="24"/>
          <w:szCs w:val="24"/>
          <w:lang w:val="en-US" w:eastAsia="en-IL"/>
        </w:rPr>
        <w:t xml:space="preserve"> </w:t>
      </w:r>
      <w:r w:rsidR="005912B5" w:rsidRPr="004714C3">
        <w:rPr>
          <w:rFonts w:ascii="Calibri" w:eastAsia="Times New Roman" w:hAnsi="Calibri" w:cs="Calibri"/>
          <w:color w:val="0000FF"/>
          <w:sz w:val="24"/>
          <w:szCs w:val="24"/>
          <w:lang w:val="en-US" w:eastAsia="en-IL"/>
        </w:rPr>
        <w:t xml:space="preserve">is either not significant or </w:t>
      </w:r>
      <w:r w:rsidR="00F17C9C" w:rsidRPr="004714C3">
        <w:rPr>
          <w:rFonts w:ascii="Calibri" w:eastAsia="Times New Roman" w:hAnsi="Calibri" w:cs="Calibri"/>
          <w:color w:val="0000FF"/>
          <w:sz w:val="24"/>
          <w:szCs w:val="24"/>
          <w:lang w:val="en-US" w:eastAsia="en-IL"/>
        </w:rPr>
        <w:t xml:space="preserve">does not last beyond the first 100 days </w:t>
      </w:r>
      <w:r w:rsidR="005912B5" w:rsidRPr="004714C3">
        <w:rPr>
          <w:rFonts w:ascii="Calibri" w:eastAsia="Times New Roman" w:hAnsi="Calibri" w:cs="Calibri"/>
          <w:color w:val="0000FF"/>
          <w:sz w:val="24"/>
          <w:szCs w:val="24"/>
          <w:lang w:val="en-US" w:eastAsia="en-IL"/>
        </w:rPr>
        <w:t>post-IPO</w:t>
      </w:r>
      <w:r w:rsidR="00F17C9C" w:rsidRPr="004714C3">
        <w:rPr>
          <w:rFonts w:ascii="Calibri" w:eastAsia="Times New Roman" w:hAnsi="Calibri" w:cs="Calibri"/>
          <w:color w:val="0000FF"/>
          <w:sz w:val="24"/>
          <w:szCs w:val="24"/>
          <w:lang w:val="en-US" w:eastAsia="en-IL"/>
        </w:rPr>
        <w:t>.</w:t>
      </w:r>
      <w:r w:rsidR="001D43BD" w:rsidRPr="004714C3">
        <w:rPr>
          <w:rFonts w:ascii="Calibri" w:eastAsia="Times New Roman" w:hAnsi="Calibri" w:cs="Calibri"/>
          <w:color w:val="0000FF"/>
          <w:sz w:val="24"/>
          <w:szCs w:val="24"/>
          <w:lang w:val="en-US" w:eastAsia="en-IL"/>
        </w:rPr>
        <w:t>”</w:t>
      </w:r>
    </w:p>
    <w:bookmarkEnd w:id="12"/>
    <w:p w14:paraId="45563FA9" w14:textId="77777777" w:rsidR="007113F7" w:rsidRDefault="007113F7" w:rsidP="00F42070">
      <w:pPr>
        <w:spacing w:after="0" w:line="360" w:lineRule="auto"/>
        <w:rPr>
          <w:rFonts w:ascii="Calibri" w:eastAsia="Times New Roman" w:hAnsi="Calibri" w:cs="Calibri"/>
          <w:color w:val="0000FF"/>
          <w:sz w:val="24"/>
          <w:szCs w:val="24"/>
          <w:lang w:val="en-US" w:eastAsia="en-IL"/>
        </w:rPr>
      </w:pPr>
    </w:p>
    <w:p w14:paraId="367AAB41" w14:textId="4296DB4B" w:rsidR="00F42070" w:rsidRDefault="00F14570" w:rsidP="00802EE9">
      <w:pPr>
        <w:spacing w:after="0" w:line="360" w:lineRule="auto"/>
        <w:rPr>
          <w:rFonts w:ascii="Calibri" w:eastAsia="Times New Roman" w:hAnsi="Calibri" w:cs="Calibri"/>
          <w:color w:val="0000FF"/>
          <w:sz w:val="24"/>
          <w:szCs w:val="24"/>
          <w:lang w:val="en-US" w:eastAsia="en-IL"/>
        </w:rPr>
      </w:pPr>
      <w:bookmarkStart w:id="13" w:name="_Hlk80523503"/>
      <w:r w:rsidRPr="00F42070">
        <w:rPr>
          <w:rFonts w:ascii="Calibri" w:eastAsia="Times New Roman" w:hAnsi="Calibri" w:cs="Calibri"/>
          <w:color w:val="0000FF"/>
          <w:sz w:val="24"/>
          <w:szCs w:val="24"/>
          <w:lang w:val="en-US" w:eastAsia="en-IL"/>
        </w:rPr>
        <w:t xml:space="preserve"> </w:t>
      </w:r>
      <w:r w:rsidR="004714C3">
        <w:rPr>
          <w:rFonts w:ascii="Calibri" w:eastAsia="Times New Roman" w:hAnsi="Calibri" w:cs="Calibri"/>
          <w:color w:val="0000FF"/>
          <w:sz w:val="24"/>
          <w:szCs w:val="24"/>
          <w:lang w:val="en-US" w:eastAsia="en-IL"/>
        </w:rPr>
        <w:t>Table</w:t>
      </w:r>
      <w:r w:rsidR="00802EE9">
        <w:rPr>
          <w:rFonts w:ascii="Calibri" w:eastAsia="Times New Roman" w:hAnsi="Calibri" w:cs="Calibri"/>
          <w:color w:val="0000FF"/>
          <w:sz w:val="24"/>
          <w:szCs w:val="24"/>
          <w:lang w:val="en-US" w:eastAsia="en-IL"/>
        </w:rPr>
        <w:t xml:space="preserve"> A: CAAR for “large-sized” firm using different separation </w:t>
      </w:r>
      <w:r w:rsidR="001D43BD">
        <w:rPr>
          <w:rFonts w:ascii="Calibri" w:eastAsia="Times New Roman" w:hAnsi="Calibri" w:cs="Calibri"/>
          <w:color w:val="0000FF"/>
          <w:sz w:val="24"/>
          <w:szCs w:val="24"/>
          <w:lang w:val="en-US" w:eastAsia="en-IL"/>
        </w:rPr>
        <w:t xml:space="preserve">market </w:t>
      </w:r>
      <w:r w:rsidR="00802EE9">
        <w:rPr>
          <w:rFonts w:ascii="Calibri" w:eastAsia="Times New Roman" w:hAnsi="Calibri" w:cs="Calibri"/>
          <w:color w:val="0000FF"/>
          <w:sz w:val="24"/>
          <w:szCs w:val="24"/>
          <w:lang w:val="en-US" w:eastAsia="en-IL"/>
        </w:rPr>
        <w:t>values</w:t>
      </w:r>
    </w:p>
    <w:p w14:paraId="6AD8941F" w14:textId="77777777" w:rsidR="00247238" w:rsidRDefault="00247238" w:rsidP="00F42070">
      <w:pPr>
        <w:spacing w:after="0" w:line="360" w:lineRule="auto"/>
        <w:rPr>
          <w:rFonts w:ascii="Calibri" w:eastAsia="Times New Roman" w:hAnsi="Calibri" w:cs="Calibri"/>
          <w:color w:val="0000FF"/>
          <w:sz w:val="24"/>
          <w:szCs w:val="24"/>
          <w:lang w:val="en-US" w:eastAsia="en-IL"/>
        </w:rPr>
      </w:pPr>
    </w:p>
    <w:tbl>
      <w:tblPr>
        <w:tblW w:w="9400" w:type="dxa"/>
        <w:tblLook w:val="04A0" w:firstRow="1" w:lastRow="0" w:firstColumn="1" w:lastColumn="0" w:noHBand="0" w:noVBand="1"/>
      </w:tblPr>
      <w:tblGrid>
        <w:gridCol w:w="1403"/>
        <w:gridCol w:w="977"/>
        <w:gridCol w:w="724"/>
        <w:gridCol w:w="936"/>
        <w:gridCol w:w="640"/>
        <w:gridCol w:w="860"/>
        <w:gridCol w:w="740"/>
        <w:gridCol w:w="820"/>
        <w:gridCol w:w="680"/>
        <w:gridCol w:w="900"/>
        <w:gridCol w:w="720"/>
      </w:tblGrid>
      <w:tr w:rsidR="00247238" w:rsidRPr="00247238" w14:paraId="48F78A71" w14:textId="77777777" w:rsidTr="00247238">
        <w:trPr>
          <w:trHeight w:val="315"/>
        </w:trPr>
        <w:tc>
          <w:tcPr>
            <w:tcW w:w="140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506A6D5" w14:textId="56D6ED60" w:rsidR="00247238" w:rsidRPr="001D43BD" w:rsidRDefault="00247238" w:rsidP="00247238">
            <w:pPr>
              <w:spacing w:after="0" w:line="240" w:lineRule="auto"/>
              <w:rPr>
                <w:rFonts w:ascii="Calibri" w:eastAsia="Times New Roman" w:hAnsi="Calibri" w:cs="Calibri"/>
                <w:color w:val="0000FF"/>
                <w:lang w:val="en-US" w:eastAsia="en-IL"/>
              </w:rPr>
            </w:pPr>
            <w:r w:rsidRPr="00802EE9">
              <w:rPr>
                <w:rFonts w:ascii="Calibri" w:eastAsia="Times New Roman" w:hAnsi="Calibri" w:cs="Calibri"/>
                <w:color w:val="0000FF"/>
                <w:lang w:eastAsia="en-IL"/>
              </w:rPr>
              <w:t>Market Value</w:t>
            </w:r>
            <w:r w:rsidR="001D43BD">
              <w:rPr>
                <w:rFonts w:ascii="Calibri" w:eastAsia="Times New Roman" w:hAnsi="Calibri" w:cs="Calibri"/>
                <w:color w:val="0000FF"/>
                <w:lang w:val="en-US" w:eastAsia="en-IL"/>
              </w:rPr>
              <w:t xml:space="preserve"> above</w:t>
            </w:r>
          </w:p>
        </w:tc>
        <w:tc>
          <w:tcPr>
            <w:tcW w:w="1701" w:type="dxa"/>
            <w:gridSpan w:val="2"/>
            <w:tcBorders>
              <w:top w:val="single" w:sz="12" w:space="0" w:color="auto"/>
              <w:left w:val="nil"/>
              <w:bottom w:val="single" w:sz="12" w:space="0" w:color="auto"/>
              <w:right w:val="nil"/>
            </w:tcBorders>
            <w:shd w:val="clear" w:color="auto" w:fill="auto"/>
            <w:noWrap/>
            <w:vAlign w:val="bottom"/>
            <w:hideMark/>
          </w:tcPr>
          <w:p w14:paraId="7B3B0D4C" w14:textId="77777777" w:rsidR="00247238" w:rsidRPr="00802EE9" w:rsidRDefault="00247238" w:rsidP="00247238">
            <w:pPr>
              <w:spacing w:after="0" w:line="240" w:lineRule="auto"/>
              <w:jc w:val="center"/>
              <w:rPr>
                <w:rFonts w:ascii="Calibri" w:eastAsia="Times New Roman" w:hAnsi="Calibri" w:cs="Calibri"/>
                <w:b/>
                <w:bCs/>
                <w:color w:val="0000FF"/>
                <w:sz w:val="24"/>
                <w:szCs w:val="24"/>
                <w:lang w:eastAsia="en-IL"/>
              </w:rPr>
            </w:pPr>
            <w:r w:rsidRPr="00802EE9">
              <w:rPr>
                <w:rFonts w:ascii="Calibri" w:eastAsia="Times New Roman" w:hAnsi="Calibri" w:cs="Calibri"/>
                <w:b/>
                <w:bCs/>
                <w:color w:val="0000FF"/>
                <w:sz w:val="24"/>
                <w:szCs w:val="24"/>
                <w:lang w:eastAsia="en-IL"/>
              </w:rPr>
              <w:t>$100M</w:t>
            </w:r>
          </w:p>
        </w:tc>
        <w:tc>
          <w:tcPr>
            <w:tcW w:w="1576" w:type="dxa"/>
            <w:gridSpan w:val="2"/>
            <w:tcBorders>
              <w:top w:val="single" w:sz="12" w:space="0" w:color="auto"/>
              <w:left w:val="single" w:sz="12" w:space="0" w:color="auto"/>
              <w:bottom w:val="single" w:sz="12" w:space="0" w:color="auto"/>
              <w:right w:val="single" w:sz="12" w:space="0" w:color="000000"/>
            </w:tcBorders>
            <w:shd w:val="clear" w:color="auto" w:fill="auto"/>
            <w:noWrap/>
            <w:vAlign w:val="bottom"/>
            <w:hideMark/>
          </w:tcPr>
          <w:p w14:paraId="237A073C" w14:textId="77777777" w:rsidR="00247238" w:rsidRPr="00802EE9" w:rsidRDefault="00247238" w:rsidP="00247238">
            <w:pPr>
              <w:spacing w:after="0" w:line="240" w:lineRule="auto"/>
              <w:jc w:val="center"/>
              <w:rPr>
                <w:rFonts w:ascii="Calibri" w:eastAsia="Times New Roman" w:hAnsi="Calibri" w:cs="Calibri"/>
                <w:b/>
                <w:bCs/>
                <w:color w:val="0000FF"/>
                <w:sz w:val="24"/>
                <w:szCs w:val="24"/>
                <w:lang w:eastAsia="en-IL"/>
              </w:rPr>
            </w:pPr>
            <w:r w:rsidRPr="00802EE9">
              <w:rPr>
                <w:rFonts w:ascii="Calibri" w:eastAsia="Times New Roman" w:hAnsi="Calibri" w:cs="Calibri"/>
                <w:b/>
                <w:bCs/>
                <w:color w:val="0000FF"/>
                <w:sz w:val="24"/>
                <w:szCs w:val="24"/>
                <w:lang w:eastAsia="en-IL"/>
              </w:rPr>
              <w:t>$200M</w:t>
            </w:r>
          </w:p>
        </w:tc>
        <w:tc>
          <w:tcPr>
            <w:tcW w:w="1600" w:type="dxa"/>
            <w:gridSpan w:val="2"/>
            <w:tcBorders>
              <w:top w:val="single" w:sz="12" w:space="0" w:color="auto"/>
              <w:left w:val="nil"/>
              <w:bottom w:val="single" w:sz="12" w:space="0" w:color="auto"/>
              <w:right w:val="nil"/>
            </w:tcBorders>
            <w:shd w:val="clear" w:color="auto" w:fill="auto"/>
            <w:noWrap/>
            <w:vAlign w:val="bottom"/>
            <w:hideMark/>
          </w:tcPr>
          <w:p w14:paraId="1B744E8F" w14:textId="77777777" w:rsidR="00247238" w:rsidRPr="00802EE9" w:rsidRDefault="00247238" w:rsidP="00247238">
            <w:pPr>
              <w:spacing w:after="0" w:line="240" w:lineRule="auto"/>
              <w:jc w:val="center"/>
              <w:rPr>
                <w:rFonts w:ascii="Calibri" w:eastAsia="Times New Roman" w:hAnsi="Calibri" w:cs="Calibri"/>
                <w:b/>
                <w:bCs/>
                <w:color w:val="0000FF"/>
                <w:sz w:val="24"/>
                <w:szCs w:val="24"/>
                <w:lang w:eastAsia="en-IL"/>
              </w:rPr>
            </w:pPr>
            <w:r w:rsidRPr="00802EE9">
              <w:rPr>
                <w:rFonts w:ascii="Calibri" w:eastAsia="Times New Roman" w:hAnsi="Calibri" w:cs="Calibri"/>
                <w:b/>
                <w:bCs/>
                <w:color w:val="0000FF"/>
                <w:sz w:val="24"/>
                <w:szCs w:val="24"/>
                <w:lang w:eastAsia="en-IL"/>
              </w:rPr>
              <w:t>$300M</w:t>
            </w:r>
          </w:p>
        </w:tc>
        <w:tc>
          <w:tcPr>
            <w:tcW w:w="1500" w:type="dxa"/>
            <w:gridSpan w:val="2"/>
            <w:tcBorders>
              <w:top w:val="single" w:sz="12" w:space="0" w:color="auto"/>
              <w:left w:val="single" w:sz="12" w:space="0" w:color="auto"/>
              <w:bottom w:val="single" w:sz="12" w:space="0" w:color="auto"/>
              <w:right w:val="single" w:sz="12" w:space="0" w:color="000000"/>
            </w:tcBorders>
            <w:shd w:val="clear" w:color="auto" w:fill="auto"/>
            <w:noWrap/>
            <w:vAlign w:val="bottom"/>
            <w:hideMark/>
          </w:tcPr>
          <w:p w14:paraId="57F67B8B" w14:textId="77777777" w:rsidR="00247238" w:rsidRPr="00802EE9" w:rsidRDefault="00247238" w:rsidP="00247238">
            <w:pPr>
              <w:spacing w:after="0" w:line="240" w:lineRule="auto"/>
              <w:jc w:val="center"/>
              <w:rPr>
                <w:rFonts w:ascii="Calibri" w:eastAsia="Times New Roman" w:hAnsi="Calibri" w:cs="Calibri"/>
                <w:b/>
                <w:bCs/>
                <w:color w:val="0000FF"/>
                <w:sz w:val="24"/>
                <w:szCs w:val="24"/>
                <w:lang w:eastAsia="en-IL"/>
              </w:rPr>
            </w:pPr>
            <w:r w:rsidRPr="00802EE9">
              <w:rPr>
                <w:rFonts w:ascii="Calibri" w:eastAsia="Times New Roman" w:hAnsi="Calibri" w:cs="Calibri"/>
                <w:b/>
                <w:bCs/>
                <w:color w:val="0000FF"/>
                <w:sz w:val="24"/>
                <w:szCs w:val="24"/>
                <w:lang w:eastAsia="en-IL"/>
              </w:rPr>
              <w:t>$400M</w:t>
            </w:r>
          </w:p>
        </w:tc>
        <w:tc>
          <w:tcPr>
            <w:tcW w:w="1620" w:type="dxa"/>
            <w:gridSpan w:val="2"/>
            <w:tcBorders>
              <w:top w:val="single" w:sz="12" w:space="0" w:color="auto"/>
              <w:left w:val="nil"/>
              <w:bottom w:val="single" w:sz="12" w:space="0" w:color="auto"/>
              <w:right w:val="single" w:sz="12" w:space="0" w:color="000000"/>
            </w:tcBorders>
            <w:shd w:val="clear" w:color="auto" w:fill="auto"/>
            <w:noWrap/>
            <w:vAlign w:val="bottom"/>
            <w:hideMark/>
          </w:tcPr>
          <w:p w14:paraId="25EE7B29" w14:textId="77777777" w:rsidR="00247238" w:rsidRPr="00802EE9" w:rsidRDefault="00247238" w:rsidP="00247238">
            <w:pPr>
              <w:spacing w:after="0" w:line="240" w:lineRule="auto"/>
              <w:jc w:val="center"/>
              <w:rPr>
                <w:rFonts w:ascii="Calibri" w:eastAsia="Times New Roman" w:hAnsi="Calibri" w:cs="Calibri"/>
                <w:b/>
                <w:bCs/>
                <w:color w:val="0000FF"/>
                <w:sz w:val="24"/>
                <w:szCs w:val="24"/>
                <w:lang w:eastAsia="en-IL"/>
              </w:rPr>
            </w:pPr>
            <w:r w:rsidRPr="00802EE9">
              <w:rPr>
                <w:rFonts w:ascii="Calibri" w:eastAsia="Times New Roman" w:hAnsi="Calibri" w:cs="Calibri"/>
                <w:b/>
                <w:bCs/>
                <w:color w:val="0000FF"/>
                <w:sz w:val="24"/>
                <w:szCs w:val="24"/>
                <w:lang w:eastAsia="en-IL"/>
              </w:rPr>
              <w:t>$500M</w:t>
            </w:r>
          </w:p>
        </w:tc>
      </w:tr>
      <w:tr w:rsidR="00247238" w:rsidRPr="00247238" w14:paraId="11EC1631" w14:textId="77777777" w:rsidTr="00247238">
        <w:trPr>
          <w:trHeight w:val="630"/>
        </w:trPr>
        <w:tc>
          <w:tcPr>
            <w:tcW w:w="1403" w:type="dxa"/>
            <w:tcBorders>
              <w:top w:val="single" w:sz="12" w:space="0" w:color="auto"/>
              <w:left w:val="single" w:sz="12" w:space="0" w:color="auto"/>
              <w:bottom w:val="single" w:sz="12" w:space="0" w:color="auto"/>
              <w:right w:val="nil"/>
            </w:tcBorders>
            <w:shd w:val="clear" w:color="auto" w:fill="auto"/>
            <w:vAlign w:val="bottom"/>
            <w:hideMark/>
          </w:tcPr>
          <w:p w14:paraId="5B86F3E1" w14:textId="77777777" w:rsidR="00247238" w:rsidRPr="00802EE9" w:rsidRDefault="00247238" w:rsidP="00247238">
            <w:pPr>
              <w:spacing w:after="0" w:line="240" w:lineRule="auto"/>
              <w:rPr>
                <w:rFonts w:ascii="Calibri" w:eastAsia="Times New Roman" w:hAnsi="Calibri" w:cs="Calibri"/>
                <w:color w:val="0000FF"/>
                <w:lang w:eastAsia="en-IL"/>
              </w:rPr>
            </w:pPr>
            <w:r w:rsidRPr="00802EE9">
              <w:rPr>
                <w:rFonts w:ascii="Calibri" w:eastAsia="Times New Roman" w:hAnsi="Calibri" w:cs="Calibri"/>
                <w:color w:val="0000FF"/>
                <w:lang w:eastAsia="en-IL"/>
              </w:rPr>
              <w:t>Days relative to event</w:t>
            </w:r>
          </w:p>
        </w:tc>
        <w:tc>
          <w:tcPr>
            <w:tcW w:w="977" w:type="dxa"/>
            <w:tcBorders>
              <w:top w:val="nil"/>
              <w:left w:val="single" w:sz="12" w:space="0" w:color="auto"/>
              <w:bottom w:val="single" w:sz="8" w:space="0" w:color="auto"/>
              <w:right w:val="nil"/>
            </w:tcBorders>
            <w:shd w:val="clear" w:color="auto" w:fill="auto"/>
            <w:noWrap/>
            <w:vAlign w:val="bottom"/>
            <w:hideMark/>
          </w:tcPr>
          <w:p w14:paraId="6346EEFB" w14:textId="77777777" w:rsidR="00247238" w:rsidRPr="00802EE9" w:rsidRDefault="00247238" w:rsidP="00247238">
            <w:pPr>
              <w:spacing w:after="0" w:line="240" w:lineRule="auto"/>
              <w:rPr>
                <w:rFonts w:ascii="Calibri" w:eastAsia="Times New Roman" w:hAnsi="Calibri" w:cs="Calibri"/>
                <w:color w:val="0000FF"/>
                <w:sz w:val="16"/>
                <w:szCs w:val="16"/>
                <w:lang w:eastAsia="en-IL"/>
              </w:rPr>
            </w:pPr>
            <w:r w:rsidRPr="00802EE9">
              <w:rPr>
                <w:rFonts w:ascii="Calibri" w:eastAsia="Times New Roman" w:hAnsi="Calibri" w:cs="Calibri"/>
                <w:color w:val="0000FF"/>
                <w:sz w:val="16"/>
                <w:szCs w:val="16"/>
                <w:lang w:eastAsia="en-IL"/>
              </w:rPr>
              <w:t>CAAR, %</w:t>
            </w:r>
          </w:p>
        </w:tc>
        <w:tc>
          <w:tcPr>
            <w:tcW w:w="724" w:type="dxa"/>
            <w:tcBorders>
              <w:top w:val="nil"/>
              <w:left w:val="nil"/>
              <w:bottom w:val="single" w:sz="8" w:space="0" w:color="auto"/>
              <w:right w:val="single" w:sz="12" w:space="0" w:color="auto"/>
            </w:tcBorders>
            <w:shd w:val="clear" w:color="auto" w:fill="auto"/>
            <w:noWrap/>
            <w:vAlign w:val="bottom"/>
            <w:hideMark/>
          </w:tcPr>
          <w:p w14:paraId="334AF0C5" w14:textId="77777777" w:rsidR="00247238" w:rsidRPr="00802EE9" w:rsidRDefault="00247238" w:rsidP="00247238">
            <w:pPr>
              <w:spacing w:after="0" w:line="240" w:lineRule="auto"/>
              <w:rPr>
                <w:rFonts w:ascii="Calibri" w:eastAsia="Times New Roman" w:hAnsi="Calibri" w:cs="Calibri"/>
                <w:color w:val="0000FF"/>
                <w:sz w:val="16"/>
                <w:szCs w:val="16"/>
                <w:lang w:eastAsia="en-IL"/>
              </w:rPr>
            </w:pPr>
            <w:r w:rsidRPr="00802EE9">
              <w:rPr>
                <w:rFonts w:ascii="Calibri" w:eastAsia="Times New Roman" w:hAnsi="Calibri" w:cs="Calibri"/>
                <w:color w:val="0000FF"/>
                <w:sz w:val="16"/>
                <w:szCs w:val="16"/>
                <w:lang w:eastAsia="en-IL"/>
              </w:rPr>
              <w:t>t-stat.</w:t>
            </w:r>
          </w:p>
        </w:tc>
        <w:tc>
          <w:tcPr>
            <w:tcW w:w="936" w:type="dxa"/>
            <w:tcBorders>
              <w:top w:val="nil"/>
              <w:left w:val="nil"/>
              <w:bottom w:val="single" w:sz="8" w:space="0" w:color="auto"/>
              <w:right w:val="nil"/>
            </w:tcBorders>
            <w:shd w:val="clear" w:color="auto" w:fill="auto"/>
            <w:noWrap/>
            <w:vAlign w:val="bottom"/>
            <w:hideMark/>
          </w:tcPr>
          <w:p w14:paraId="5D038A62" w14:textId="77777777" w:rsidR="00247238" w:rsidRPr="00802EE9" w:rsidRDefault="00247238" w:rsidP="00247238">
            <w:pPr>
              <w:spacing w:after="0" w:line="240" w:lineRule="auto"/>
              <w:rPr>
                <w:rFonts w:ascii="Calibri" w:eastAsia="Times New Roman" w:hAnsi="Calibri" w:cs="Calibri"/>
                <w:color w:val="0000FF"/>
                <w:sz w:val="16"/>
                <w:szCs w:val="16"/>
                <w:lang w:eastAsia="en-IL"/>
              </w:rPr>
            </w:pPr>
            <w:r w:rsidRPr="00802EE9">
              <w:rPr>
                <w:rFonts w:ascii="Calibri" w:eastAsia="Times New Roman" w:hAnsi="Calibri" w:cs="Calibri"/>
                <w:color w:val="0000FF"/>
                <w:sz w:val="16"/>
                <w:szCs w:val="16"/>
                <w:lang w:eastAsia="en-IL"/>
              </w:rPr>
              <w:t>CAAR, %</w:t>
            </w:r>
          </w:p>
        </w:tc>
        <w:tc>
          <w:tcPr>
            <w:tcW w:w="640" w:type="dxa"/>
            <w:tcBorders>
              <w:top w:val="nil"/>
              <w:left w:val="nil"/>
              <w:bottom w:val="single" w:sz="8" w:space="0" w:color="auto"/>
              <w:right w:val="nil"/>
            </w:tcBorders>
            <w:shd w:val="clear" w:color="auto" w:fill="auto"/>
            <w:noWrap/>
            <w:vAlign w:val="bottom"/>
            <w:hideMark/>
          </w:tcPr>
          <w:p w14:paraId="6BE0C31E" w14:textId="77777777" w:rsidR="00247238" w:rsidRPr="00802EE9" w:rsidRDefault="00247238" w:rsidP="00247238">
            <w:pPr>
              <w:spacing w:after="0" w:line="240" w:lineRule="auto"/>
              <w:rPr>
                <w:rFonts w:ascii="Calibri" w:eastAsia="Times New Roman" w:hAnsi="Calibri" w:cs="Calibri"/>
                <w:color w:val="0000FF"/>
                <w:sz w:val="16"/>
                <w:szCs w:val="16"/>
                <w:lang w:eastAsia="en-IL"/>
              </w:rPr>
            </w:pPr>
            <w:r w:rsidRPr="00802EE9">
              <w:rPr>
                <w:rFonts w:ascii="Calibri" w:eastAsia="Times New Roman" w:hAnsi="Calibri" w:cs="Calibri"/>
                <w:color w:val="0000FF"/>
                <w:sz w:val="16"/>
                <w:szCs w:val="16"/>
                <w:lang w:eastAsia="en-IL"/>
              </w:rPr>
              <w:t>t-stat.</w:t>
            </w:r>
          </w:p>
        </w:tc>
        <w:tc>
          <w:tcPr>
            <w:tcW w:w="860" w:type="dxa"/>
            <w:tcBorders>
              <w:top w:val="nil"/>
              <w:left w:val="single" w:sz="12" w:space="0" w:color="auto"/>
              <w:bottom w:val="single" w:sz="8" w:space="0" w:color="auto"/>
              <w:right w:val="nil"/>
            </w:tcBorders>
            <w:shd w:val="clear" w:color="auto" w:fill="auto"/>
            <w:noWrap/>
            <w:vAlign w:val="bottom"/>
            <w:hideMark/>
          </w:tcPr>
          <w:p w14:paraId="28AA36DB" w14:textId="77777777" w:rsidR="00247238" w:rsidRPr="00802EE9" w:rsidRDefault="00247238" w:rsidP="00247238">
            <w:pPr>
              <w:spacing w:after="0" w:line="240" w:lineRule="auto"/>
              <w:rPr>
                <w:rFonts w:ascii="Calibri" w:eastAsia="Times New Roman" w:hAnsi="Calibri" w:cs="Calibri"/>
                <w:color w:val="0000FF"/>
                <w:sz w:val="16"/>
                <w:szCs w:val="16"/>
                <w:lang w:eastAsia="en-IL"/>
              </w:rPr>
            </w:pPr>
            <w:r w:rsidRPr="00802EE9">
              <w:rPr>
                <w:rFonts w:ascii="Calibri" w:eastAsia="Times New Roman" w:hAnsi="Calibri" w:cs="Calibri"/>
                <w:color w:val="0000FF"/>
                <w:sz w:val="16"/>
                <w:szCs w:val="16"/>
                <w:lang w:eastAsia="en-IL"/>
              </w:rPr>
              <w:t>CAAR, %</w:t>
            </w:r>
          </w:p>
        </w:tc>
        <w:tc>
          <w:tcPr>
            <w:tcW w:w="740" w:type="dxa"/>
            <w:tcBorders>
              <w:top w:val="nil"/>
              <w:left w:val="nil"/>
              <w:bottom w:val="single" w:sz="8" w:space="0" w:color="auto"/>
              <w:right w:val="single" w:sz="12" w:space="0" w:color="auto"/>
            </w:tcBorders>
            <w:shd w:val="clear" w:color="auto" w:fill="auto"/>
            <w:noWrap/>
            <w:vAlign w:val="bottom"/>
            <w:hideMark/>
          </w:tcPr>
          <w:p w14:paraId="25074B33" w14:textId="77777777" w:rsidR="00247238" w:rsidRPr="00802EE9" w:rsidRDefault="00247238" w:rsidP="00247238">
            <w:pPr>
              <w:spacing w:after="0" w:line="240" w:lineRule="auto"/>
              <w:rPr>
                <w:rFonts w:ascii="Calibri" w:eastAsia="Times New Roman" w:hAnsi="Calibri" w:cs="Calibri"/>
                <w:color w:val="0000FF"/>
                <w:sz w:val="16"/>
                <w:szCs w:val="16"/>
                <w:lang w:eastAsia="en-IL"/>
              </w:rPr>
            </w:pPr>
            <w:r w:rsidRPr="00802EE9">
              <w:rPr>
                <w:rFonts w:ascii="Calibri" w:eastAsia="Times New Roman" w:hAnsi="Calibri" w:cs="Calibri"/>
                <w:color w:val="0000FF"/>
                <w:sz w:val="16"/>
                <w:szCs w:val="16"/>
                <w:lang w:eastAsia="en-IL"/>
              </w:rPr>
              <w:t>t-stat.</w:t>
            </w:r>
          </w:p>
        </w:tc>
        <w:tc>
          <w:tcPr>
            <w:tcW w:w="820" w:type="dxa"/>
            <w:tcBorders>
              <w:top w:val="nil"/>
              <w:left w:val="nil"/>
              <w:bottom w:val="single" w:sz="8" w:space="0" w:color="auto"/>
              <w:right w:val="nil"/>
            </w:tcBorders>
            <w:shd w:val="clear" w:color="auto" w:fill="auto"/>
            <w:noWrap/>
            <w:vAlign w:val="bottom"/>
            <w:hideMark/>
          </w:tcPr>
          <w:p w14:paraId="23DC9CA0" w14:textId="77777777" w:rsidR="00247238" w:rsidRPr="00802EE9" w:rsidRDefault="00247238" w:rsidP="00247238">
            <w:pPr>
              <w:spacing w:after="0" w:line="240" w:lineRule="auto"/>
              <w:rPr>
                <w:rFonts w:ascii="Calibri" w:eastAsia="Times New Roman" w:hAnsi="Calibri" w:cs="Calibri"/>
                <w:color w:val="0000FF"/>
                <w:sz w:val="16"/>
                <w:szCs w:val="16"/>
                <w:lang w:eastAsia="en-IL"/>
              </w:rPr>
            </w:pPr>
            <w:r w:rsidRPr="00802EE9">
              <w:rPr>
                <w:rFonts w:ascii="Calibri" w:eastAsia="Times New Roman" w:hAnsi="Calibri" w:cs="Calibri"/>
                <w:color w:val="0000FF"/>
                <w:sz w:val="16"/>
                <w:szCs w:val="16"/>
                <w:lang w:eastAsia="en-IL"/>
              </w:rPr>
              <w:t>CAAR, %</w:t>
            </w:r>
          </w:p>
        </w:tc>
        <w:tc>
          <w:tcPr>
            <w:tcW w:w="680" w:type="dxa"/>
            <w:tcBorders>
              <w:top w:val="nil"/>
              <w:left w:val="nil"/>
              <w:bottom w:val="single" w:sz="8" w:space="0" w:color="auto"/>
              <w:right w:val="nil"/>
            </w:tcBorders>
            <w:shd w:val="clear" w:color="auto" w:fill="auto"/>
            <w:noWrap/>
            <w:vAlign w:val="bottom"/>
            <w:hideMark/>
          </w:tcPr>
          <w:p w14:paraId="61716955" w14:textId="77777777" w:rsidR="00247238" w:rsidRPr="00802EE9" w:rsidRDefault="00247238" w:rsidP="00247238">
            <w:pPr>
              <w:spacing w:after="0" w:line="240" w:lineRule="auto"/>
              <w:rPr>
                <w:rFonts w:ascii="Calibri" w:eastAsia="Times New Roman" w:hAnsi="Calibri" w:cs="Calibri"/>
                <w:color w:val="0000FF"/>
                <w:sz w:val="16"/>
                <w:szCs w:val="16"/>
                <w:lang w:eastAsia="en-IL"/>
              </w:rPr>
            </w:pPr>
            <w:r w:rsidRPr="00802EE9">
              <w:rPr>
                <w:rFonts w:ascii="Calibri" w:eastAsia="Times New Roman" w:hAnsi="Calibri" w:cs="Calibri"/>
                <w:color w:val="0000FF"/>
                <w:sz w:val="16"/>
                <w:szCs w:val="16"/>
                <w:lang w:eastAsia="en-IL"/>
              </w:rPr>
              <w:t>t-stat.</w:t>
            </w:r>
          </w:p>
        </w:tc>
        <w:tc>
          <w:tcPr>
            <w:tcW w:w="900" w:type="dxa"/>
            <w:tcBorders>
              <w:top w:val="nil"/>
              <w:left w:val="single" w:sz="12" w:space="0" w:color="auto"/>
              <w:bottom w:val="single" w:sz="8" w:space="0" w:color="auto"/>
              <w:right w:val="nil"/>
            </w:tcBorders>
            <w:shd w:val="clear" w:color="auto" w:fill="auto"/>
            <w:noWrap/>
            <w:vAlign w:val="bottom"/>
            <w:hideMark/>
          </w:tcPr>
          <w:p w14:paraId="56E2DF75" w14:textId="77777777" w:rsidR="00247238" w:rsidRPr="00802EE9" w:rsidRDefault="00247238" w:rsidP="00247238">
            <w:pPr>
              <w:spacing w:after="0" w:line="240" w:lineRule="auto"/>
              <w:rPr>
                <w:rFonts w:ascii="Calibri" w:eastAsia="Times New Roman" w:hAnsi="Calibri" w:cs="Calibri"/>
                <w:color w:val="0000FF"/>
                <w:sz w:val="16"/>
                <w:szCs w:val="16"/>
                <w:lang w:eastAsia="en-IL"/>
              </w:rPr>
            </w:pPr>
            <w:r w:rsidRPr="00802EE9">
              <w:rPr>
                <w:rFonts w:ascii="Calibri" w:eastAsia="Times New Roman" w:hAnsi="Calibri" w:cs="Calibri"/>
                <w:color w:val="0000FF"/>
                <w:sz w:val="16"/>
                <w:szCs w:val="16"/>
                <w:lang w:eastAsia="en-IL"/>
              </w:rPr>
              <w:t>CAAR, %</w:t>
            </w:r>
          </w:p>
        </w:tc>
        <w:tc>
          <w:tcPr>
            <w:tcW w:w="720" w:type="dxa"/>
            <w:tcBorders>
              <w:top w:val="nil"/>
              <w:left w:val="nil"/>
              <w:bottom w:val="single" w:sz="8" w:space="0" w:color="auto"/>
              <w:right w:val="single" w:sz="12" w:space="0" w:color="auto"/>
            </w:tcBorders>
            <w:shd w:val="clear" w:color="auto" w:fill="auto"/>
            <w:noWrap/>
            <w:vAlign w:val="bottom"/>
            <w:hideMark/>
          </w:tcPr>
          <w:p w14:paraId="58A375D3" w14:textId="77777777" w:rsidR="00247238" w:rsidRPr="00802EE9" w:rsidRDefault="00247238" w:rsidP="00247238">
            <w:pPr>
              <w:spacing w:after="0" w:line="240" w:lineRule="auto"/>
              <w:rPr>
                <w:rFonts w:ascii="Calibri" w:eastAsia="Times New Roman" w:hAnsi="Calibri" w:cs="Calibri"/>
                <w:color w:val="0000FF"/>
                <w:sz w:val="16"/>
                <w:szCs w:val="16"/>
                <w:lang w:eastAsia="en-IL"/>
              </w:rPr>
            </w:pPr>
            <w:r w:rsidRPr="00802EE9">
              <w:rPr>
                <w:rFonts w:ascii="Calibri" w:eastAsia="Times New Roman" w:hAnsi="Calibri" w:cs="Calibri"/>
                <w:color w:val="0000FF"/>
                <w:sz w:val="16"/>
                <w:szCs w:val="16"/>
                <w:lang w:eastAsia="en-IL"/>
              </w:rPr>
              <w:t>t-stat.</w:t>
            </w:r>
          </w:p>
        </w:tc>
      </w:tr>
      <w:tr w:rsidR="00247238" w:rsidRPr="00247238" w14:paraId="07874F5C" w14:textId="77777777" w:rsidTr="00247238">
        <w:trPr>
          <w:trHeight w:val="315"/>
        </w:trPr>
        <w:tc>
          <w:tcPr>
            <w:tcW w:w="1403" w:type="dxa"/>
            <w:tcBorders>
              <w:top w:val="nil"/>
              <w:left w:val="single" w:sz="12" w:space="0" w:color="auto"/>
              <w:bottom w:val="nil"/>
              <w:right w:val="nil"/>
            </w:tcBorders>
            <w:shd w:val="clear" w:color="auto" w:fill="auto"/>
            <w:noWrap/>
            <w:vAlign w:val="bottom"/>
            <w:hideMark/>
          </w:tcPr>
          <w:p w14:paraId="291C16EA" w14:textId="77777777" w:rsidR="00247238" w:rsidRPr="00802EE9" w:rsidRDefault="00247238" w:rsidP="00247238">
            <w:pPr>
              <w:spacing w:after="0" w:line="240" w:lineRule="auto"/>
              <w:rPr>
                <w:rFonts w:ascii="Calibri" w:eastAsia="Times New Roman" w:hAnsi="Calibri" w:cs="Calibri"/>
                <w:color w:val="0000FF"/>
                <w:lang w:eastAsia="en-IL"/>
              </w:rPr>
            </w:pPr>
            <w:r w:rsidRPr="00802EE9">
              <w:rPr>
                <w:rFonts w:ascii="Calibri" w:eastAsia="Times New Roman" w:hAnsi="Calibri" w:cs="Calibri"/>
                <w:color w:val="0000FF"/>
                <w:lang w:eastAsia="en-IL"/>
              </w:rPr>
              <w:t>1 to 10</w:t>
            </w:r>
          </w:p>
        </w:tc>
        <w:tc>
          <w:tcPr>
            <w:tcW w:w="977" w:type="dxa"/>
            <w:tcBorders>
              <w:top w:val="nil"/>
              <w:left w:val="single" w:sz="12" w:space="0" w:color="auto"/>
              <w:bottom w:val="nil"/>
              <w:right w:val="nil"/>
            </w:tcBorders>
            <w:shd w:val="clear" w:color="auto" w:fill="auto"/>
            <w:vAlign w:val="center"/>
            <w:hideMark/>
          </w:tcPr>
          <w:p w14:paraId="35A7E2EE" w14:textId="77777777" w:rsidR="00247238" w:rsidRPr="00802EE9" w:rsidRDefault="00247238" w:rsidP="00247238">
            <w:pPr>
              <w:spacing w:after="0" w:line="240" w:lineRule="auto"/>
              <w:jc w:val="center"/>
              <w:rPr>
                <w:rFonts w:ascii="Times New Roman" w:eastAsia="Times New Roman" w:hAnsi="Times New Roman" w:cs="Times New Roman"/>
                <w:color w:val="0000FF"/>
                <w:sz w:val="18"/>
                <w:szCs w:val="18"/>
                <w:lang w:eastAsia="en-IL"/>
              </w:rPr>
            </w:pPr>
            <w:r w:rsidRPr="00802EE9">
              <w:rPr>
                <w:rFonts w:ascii="Times New Roman" w:eastAsia="Times New Roman" w:hAnsi="Times New Roman" w:cs="Times New Roman"/>
                <w:color w:val="0000FF"/>
                <w:sz w:val="18"/>
                <w:szCs w:val="18"/>
                <w:lang w:eastAsia="en-IL"/>
              </w:rPr>
              <w:t>1.70%</w:t>
            </w:r>
          </w:p>
        </w:tc>
        <w:tc>
          <w:tcPr>
            <w:tcW w:w="724" w:type="dxa"/>
            <w:tcBorders>
              <w:top w:val="nil"/>
              <w:left w:val="nil"/>
              <w:bottom w:val="nil"/>
              <w:right w:val="single" w:sz="12" w:space="0" w:color="auto"/>
            </w:tcBorders>
            <w:shd w:val="clear" w:color="auto" w:fill="auto"/>
            <w:noWrap/>
            <w:vAlign w:val="center"/>
            <w:hideMark/>
          </w:tcPr>
          <w:p w14:paraId="04B988B9" w14:textId="77777777" w:rsidR="00247238" w:rsidRPr="00802EE9" w:rsidRDefault="00247238" w:rsidP="00247238">
            <w:pPr>
              <w:spacing w:after="0" w:line="240" w:lineRule="auto"/>
              <w:jc w:val="center"/>
              <w:rPr>
                <w:rFonts w:ascii="Calibri" w:eastAsia="Times New Roman" w:hAnsi="Calibri" w:cs="Calibri"/>
                <w:color w:val="0000FF"/>
                <w:sz w:val="18"/>
                <w:szCs w:val="18"/>
                <w:lang w:eastAsia="en-IL"/>
              </w:rPr>
            </w:pPr>
            <w:r w:rsidRPr="00802EE9">
              <w:rPr>
                <w:rFonts w:ascii="Calibri" w:eastAsia="Times New Roman" w:hAnsi="Calibri" w:cs="Calibri"/>
                <w:color w:val="0000FF"/>
                <w:sz w:val="18"/>
                <w:szCs w:val="18"/>
                <w:lang w:eastAsia="en-IL"/>
              </w:rPr>
              <w:t>0.31</w:t>
            </w:r>
          </w:p>
        </w:tc>
        <w:tc>
          <w:tcPr>
            <w:tcW w:w="936" w:type="dxa"/>
            <w:tcBorders>
              <w:top w:val="nil"/>
              <w:left w:val="nil"/>
              <w:bottom w:val="nil"/>
              <w:right w:val="nil"/>
            </w:tcBorders>
            <w:shd w:val="clear" w:color="auto" w:fill="auto"/>
            <w:vAlign w:val="center"/>
            <w:hideMark/>
          </w:tcPr>
          <w:p w14:paraId="5CBEE6E4" w14:textId="77777777" w:rsidR="00247238" w:rsidRPr="00802EE9" w:rsidRDefault="00247238" w:rsidP="00247238">
            <w:pPr>
              <w:spacing w:after="0" w:line="240" w:lineRule="auto"/>
              <w:jc w:val="center"/>
              <w:rPr>
                <w:rFonts w:ascii="Times New Roman" w:eastAsia="Times New Roman" w:hAnsi="Times New Roman" w:cs="Times New Roman"/>
                <w:color w:val="0000FF"/>
                <w:sz w:val="18"/>
                <w:szCs w:val="18"/>
                <w:lang w:eastAsia="en-IL"/>
              </w:rPr>
            </w:pPr>
            <w:r w:rsidRPr="00802EE9">
              <w:rPr>
                <w:rFonts w:ascii="Times New Roman" w:eastAsia="Times New Roman" w:hAnsi="Times New Roman" w:cs="Times New Roman"/>
                <w:color w:val="0000FF"/>
                <w:sz w:val="18"/>
                <w:szCs w:val="18"/>
                <w:lang w:eastAsia="en-IL"/>
              </w:rPr>
              <w:t>3.15%</w:t>
            </w:r>
          </w:p>
        </w:tc>
        <w:tc>
          <w:tcPr>
            <w:tcW w:w="640" w:type="dxa"/>
            <w:tcBorders>
              <w:top w:val="nil"/>
              <w:left w:val="nil"/>
              <w:bottom w:val="nil"/>
              <w:right w:val="nil"/>
            </w:tcBorders>
            <w:shd w:val="clear" w:color="auto" w:fill="auto"/>
            <w:noWrap/>
            <w:vAlign w:val="center"/>
            <w:hideMark/>
          </w:tcPr>
          <w:p w14:paraId="22AC8FD2" w14:textId="77777777" w:rsidR="00247238" w:rsidRPr="00802EE9" w:rsidRDefault="00247238" w:rsidP="00247238">
            <w:pPr>
              <w:spacing w:after="0" w:line="240" w:lineRule="auto"/>
              <w:jc w:val="center"/>
              <w:rPr>
                <w:rFonts w:ascii="Calibri" w:eastAsia="Times New Roman" w:hAnsi="Calibri" w:cs="Calibri"/>
                <w:color w:val="0000FF"/>
                <w:sz w:val="18"/>
                <w:szCs w:val="18"/>
                <w:lang w:eastAsia="en-IL"/>
              </w:rPr>
            </w:pPr>
            <w:r w:rsidRPr="00802EE9">
              <w:rPr>
                <w:rFonts w:ascii="Calibri" w:eastAsia="Times New Roman" w:hAnsi="Calibri" w:cs="Calibri"/>
                <w:color w:val="0000FF"/>
                <w:sz w:val="18"/>
                <w:szCs w:val="18"/>
                <w:lang w:eastAsia="en-IL"/>
              </w:rPr>
              <w:t>0.58</w:t>
            </w:r>
          </w:p>
        </w:tc>
        <w:tc>
          <w:tcPr>
            <w:tcW w:w="860" w:type="dxa"/>
            <w:tcBorders>
              <w:top w:val="nil"/>
              <w:left w:val="single" w:sz="12" w:space="0" w:color="auto"/>
              <w:bottom w:val="nil"/>
              <w:right w:val="nil"/>
            </w:tcBorders>
            <w:shd w:val="clear" w:color="auto" w:fill="auto"/>
            <w:vAlign w:val="center"/>
            <w:hideMark/>
          </w:tcPr>
          <w:p w14:paraId="511640B5" w14:textId="77777777" w:rsidR="00247238" w:rsidRPr="00802EE9" w:rsidRDefault="00247238" w:rsidP="00247238">
            <w:pPr>
              <w:spacing w:after="0" w:line="240" w:lineRule="auto"/>
              <w:jc w:val="center"/>
              <w:rPr>
                <w:rFonts w:ascii="Times New Roman" w:eastAsia="Times New Roman" w:hAnsi="Times New Roman" w:cs="Times New Roman"/>
                <w:color w:val="0000FF"/>
                <w:sz w:val="18"/>
                <w:szCs w:val="18"/>
                <w:lang w:eastAsia="en-IL"/>
              </w:rPr>
            </w:pPr>
            <w:r w:rsidRPr="00802EE9">
              <w:rPr>
                <w:rFonts w:ascii="Times New Roman" w:eastAsia="Times New Roman" w:hAnsi="Times New Roman" w:cs="Times New Roman"/>
                <w:color w:val="0000FF"/>
                <w:sz w:val="18"/>
                <w:szCs w:val="18"/>
                <w:lang w:eastAsia="en-IL"/>
              </w:rPr>
              <w:t>3.10%</w:t>
            </w:r>
          </w:p>
        </w:tc>
        <w:tc>
          <w:tcPr>
            <w:tcW w:w="740" w:type="dxa"/>
            <w:tcBorders>
              <w:top w:val="nil"/>
              <w:left w:val="nil"/>
              <w:bottom w:val="nil"/>
              <w:right w:val="single" w:sz="12" w:space="0" w:color="auto"/>
            </w:tcBorders>
            <w:shd w:val="clear" w:color="auto" w:fill="auto"/>
            <w:noWrap/>
            <w:vAlign w:val="center"/>
            <w:hideMark/>
          </w:tcPr>
          <w:p w14:paraId="5DBD3C4A" w14:textId="77777777" w:rsidR="00247238" w:rsidRPr="00802EE9" w:rsidRDefault="00247238" w:rsidP="00247238">
            <w:pPr>
              <w:spacing w:after="0" w:line="240" w:lineRule="auto"/>
              <w:jc w:val="center"/>
              <w:rPr>
                <w:rFonts w:ascii="Calibri" w:eastAsia="Times New Roman" w:hAnsi="Calibri" w:cs="Calibri"/>
                <w:color w:val="0000FF"/>
                <w:sz w:val="18"/>
                <w:szCs w:val="18"/>
                <w:lang w:eastAsia="en-IL"/>
              </w:rPr>
            </w:pPr>
            <w:r w:rsidRPr="00802EE9">
              <w:rPr>
                <w:rFonts w:ascii="Calibri" w:eastAsia="Times New Roman" w:hAnsi="Calibri" w:cs="Calibri"/>
                <w:color w:val="0000FF"/>
                <w:sz w:val="18"/>
                <w:szCs w:val="18"/>
                <w:lang w:eastAsia="en-IL"/>
              </w:rPr>
              <w:t>0.56</w:t>
            </w:r>
          </w:p>
        </w:tc>
        <w:tc>
          <w:tcPr>
            <w:tcW w:w="820" w:type="dxa"/>
            <w:tcBorders>
              <w:top w:val="nil"/>
              <w:left w:val="nil"/>
              <w:bottom w:val="nil"/>
              <w:right w:val="nil"/>
            </w:tcBorders>
            <w:shd w:val="clear" w:color="auto" w:fill="auto"/>
            <w:vAlign w:val="center"/>
            <w:hideMark/>
          </w:tcPr>
          <w:p w14:paraId="3FBEC93C" w14:textId="77777777" w:rsidR="00247238" w:rsidRPr="00802EE9" w:rsidRDefault="00247238" w:rsidP="00247238">
            <w:pPr>
              <w:spacing w:after="0" w:line="240" w:lineRule="auto"/>
              <w:jc w:val="center"/>
              <w:rPr>
                <w:rFonts w:ascii="Times New Roman" w:eastAsia="Times New Roman" w:hAnsi="Times New Roman" w:cs="Times New Roman"/>
                <w:color w:val="0000FF"/>
                <w:sz w:val="18"/>
                <w:szCs w:val="18"/>
                <w:lang w:eastAsia="en-IL"/>
              </w:rPr>
            </w:pPr>
            <w:r w:rsidRPr="00802EE9">
              <w:rPr>
                <w:rFonts w:ascii="Times New Roman" w:eastAsia="Times New Roman" w:hAnsi="Times New Roman" w:cs="Times New Roman"/>
                <w:color w:val="0000FF"/>
                <w:sz w:val="18"/>
                <w:szCs w:val="18"/>
                <w:lang w:eastAsia="en-IL"/>
              </w:rPr>
              <w:t>2.59%</w:t>
            </w:r>
          </w:p>
        </w:tc>
        <w:tc>
          <w:tcPr>
            <w:tcW w:w="680" w:type="dxa"/>
            <w:tcBorders>
              <w:top w:val="nil"/>
              <w:left w:val="nil"/>
              <w:bottom w:val="nil"/>
              <w:right w:val="nil"/>
            </w:tcBorders>
            <w:shd w:val="clear" w:color="auto" w:fill="auto"/>
            <w:noWrap/>
            <w:vAlign w:val="center"/>
            <w:hideMark/>
          </w:tcPr>
          <w:p w14:paraId="153AE149" w14:textId="77777777" w:rsidR="00247238" w:rsidRPr="00802EE9" w:rsidRDefault="00247238" w:rsidP="00247238">
            <w:pPr>
              <w:spacing w:after="0" w:line="240" w:lineRule="auto"/>
              <w:jc w:val="center"/>
              <w:rPr>
                <w:rFonts w:ascii="Calibri" w:eastAsia="Times New Roman" w:hAnsi="Calibri" w:cs="Calibri"/>
                <w:color w:val="0000FF"/>
                <w:sz w:val="18"/>
                <w:szCs w:val="18"/>
                <w:lang w:eastAsia="en-IL"/>
              </w:rPr>
            </w:pPr>
            <w:r w:rsidRPr="00802EE9">
              <w:rPr>
                <w:rFonts w:ascii="Calibri" w:eastAsia="Times New Roman" w:hAnsi="Calibri" w:cs="Calibri"/>
                <w:color w:val="0000FF"/>
                <w:sz w:val="18"/>
                <w:szCs w:val="18"/>
                <w:lang w:eastAsia="en-IL"/>
              </w:rPr>
              <w:t>0.47</w:t>
            </w:r>
          </w:p>
        </w:tc>
        <w:tc>
          <w:tcPr>
            <w:tcW w:w="900" w:type="dxa"/>
            <w:tcBorders>
              <w:top w:val="nil"/>
              <w:left w:val="single" w:sz="12" w:space="0" w:color="auto"/>
              <w:bottom w:val="nil"/>
              <w:right w:val="nil"/>
            </w:tcBorders>
            <w:shd w:val="clear" w:color="auto" w:fill="auto"/>
            <w:vAlign w:val="center"/>
            <w:hideMark/>
          </w:tcPr>
          <w:p w14:paraId="0EE162DF" w14:textId="77777777" w:rsidR="00247238" w:rsidRPr="00802EE9" w:rsidRDefault="00247238" w:rsidP="00247238">
            <w:pPr>
              <w:spacing w:after="0" w:line="240" w:lineRule="auto"/>
              <w:jc w:val="center"/>
              <w:rPr>
                <w:rFonts w:ascii="Times New Roman" w:eastAsia="Times New Roman" w:hAnsi="Times New Roman" w:cs="Times New Roman"/>
                <w:color w:val="0000FF"/>
                <w:sz w:val="18"/>
                <w:szCs w:val="18"/>
                <w:lang w:eastAsia="en-IL"/>
              </w:rPr>
            </w:pPr>
            <w:r w:rsidRPr="00802EE9">
              <w:rPr>
                <w:rFonts w:ascii="Times New Roman" w:eastAsia="Times New Roman" w:hAnsi="Times New Roman" w:cs="Times New Roman"/>
                <w:color w:val="0000FF"/>
                <w:sz w:val="18"/>
                <w:szCs w:val="18"/>
                <w:lang w:eastAsia="en-IL"/>
              </w:rPr>
              <w:t>2.54%</w:t>
            </w:r>
          </w:p>
        </w:tc>
        <w:tc>
          <w:tcPr>
            <w:tcW w:w="720" w:type="dxa"/>
            <w:tcBorders>
              <w:top w:val="nil"/>
              <w:left w:val="nil"/>
              <w:bottom w:val="nil"/>
              <w:right w:val="single" w:sz="12" w:space="0" w:color="auto"/>
            </w:tcBorders>
            <w:shd w:val="clear" w:color="auto" w:fill="auto"/>
            <w:noWrap/>
            <w:vAlign w:val="center"/>
            <w:hideMark/>
          </w:tcPr>
          <w:p w14:paraId="779AC513" w14:textId="77777777" w:rsidR="00247238" w:rsidRPr="00802EE9" w:rsidRDefault="00247238" w:rsidP="00247238">
            <w:pPr>
              <w:spacing w:after="0" w:line="240" w:lineRule="auto"/>
              <w:jc w:val="center"/>
              <w:rPr>
                <w:rFonts w:ascii="Calibri" w:eastAsia="Times New Roman" w:hAnsi="Calibri" w:cs="Calibri"/>
                <w:color w:val="0000FF"/>
                <w:sz w:val="18"/>
                <w:szCs w:val="18"/>
                <w:lang w:eastAsia="en-IL"/>
              </w:rPr>
            </w:pPr>
            <w:r w:rsidRPr="00802EE9">
              <w:rPr>
                <w:rFonts w:ascii="Calibri" w:eastAsia="Times New Roman" w:hAnsi="Calibri" w:cs="Calibri"/>
                <w:color w:val="0000FF"/>
                <w:sz w:val="18"/>
                <w:szCs w:val="18"/>
                <w:lang w:eastAsia="en-IL"/>
              </w:rPr>
              <w:t>0.46</w:t>
            </w:r>
          </w:p>
        </w:tc>
      </w:tr>
      <w:tr w:rsidR="00247238" w:rsidRPr="00247238" w14:paraId="4C7DC624" w14:textId="77777777" w:rsidTr="00247238">
        <w:trPr>
          <w:trHeight w:val="300"/>
        </w:trPr>
        <w:tc>
          <w:tcPr>
            <w:tcW w:w="1403" w:type="dxa"/>
            <w:tcBorders>
              <w:top w:val="nil"/>
              <w:left w:val="single" w:sz="12" w:space="0" w:color="auto"/>
              <w:bottom w:val="nil"/>
              <w:right w:val="nil"/>
            </w:tcBorders>
            <w:shd w:val="clear" w:color="auto" w:fill="auto"/>
            <w:noWrap/>
            <w:vAlign w:val="bottom"/>
            <w:hideMark/>
          </w:tcPr>
          <w:p w14:paraId="6CFC2DCC" w14:textId="77777777" w:rsidR="00247238" w:rsidRPr="00802EE9" w:rsidRDefault="00247238" w:rsidP="00247238">
            <w:pPr>
              <w:spacing w:after="0" w:line="240" w:lineRule="auto"/>
              <w:rPr>
                <w:rFonts w:ascii="Calibri" w:eastAsia="Times New Roman" w:hAnsi="Calibri" w:cs="Calibri"/>
                <w:color w:val="0000FF"/>
                <w:lang w:eastAsia="en-IL"/>
              </w:rPr>
            </w:pPr>
            <w:r w:rsidRPr="00802EE9">
              <w:rPr>
                <w:rFonts w:ascii="Calibri" w:eastAsia="Times New Roman" w:hAnsi="Calibri" w:cs="Calibri"/>
                <w:color w:val="0000FF"/>
                <w:lang w:eastAsia="en-IL"/>
              </w:rPr>
              <w:t>1 to 20</w:t>
            </w:r>
          </w:p>
        </w:tc>
        <w:tc>
          <w:tcPr>
            <w:tcW w:w="977" w:type="dxa"/>
            <w:tcBorders>
              <w:top w:val="nil"/>
              <w:left w:val="single" w:sz="12" w:space="0" w:color="auto"/>
              <w:bottom w:val="nil"/>
              <w:right w:val="nil"/>
            </w:tcBorders>
            <w:shd w:val="clear" w:color="auto" w:fill="auto"/>
            <w:vAlign w:val="center"/>
            <w:hideMark/>
          </w:tcPr>
          <w:p w14:paraId="2175DFDA" w14:textId="77777777" w:rsidR="00247238" w:rsidRPr="00802EE9" w:rsidRDefault="00247238" w:rsidP="00247238">
            <w:pPr>
              <w:spacing w:after="0" w:line="240" w:lineRule="auto"/>
              <w:jc w:val="center"/>
              <w:rPr>
                <w:rFonts w:ascii="Times New Roman" w:eastAsia="Times New Roman" w:hAnsi="Times New Roman" w:cs="Times New Roman"/>
                <w:color w:val="0000FF"/>
                <w:sz w:val="18"/>
                <w:szCs w:val="18"/>
                <w:lang w:eastAsia="en-IL"/>
              </w:rPr>
            </w:pPr>
            <w:r w:rsidRPr="00802EE9">
              <w:rPr>
                <w:rFonts w:ascii="Times New Roman" w:eastAsia="Times New Roman" w:hAnsi="Times New Roman" w:cs="Times New Roman"/>
                <w:color w:val="0000FF"/>
                <w:sz w:val="18"/>
                <w:szCs w:val="18"/>
                <w:lang w:eastAsia="en-IL"/>
              </w:rPr>
              <w:t>4.25%</w:t>
            </w:r>
          </w:p>
        </w:tc>
        <w:tc>
          <w:tcPr>
            <w:tcW w:w="724" w:type="dxa"/>
            <w:tcBorders>
              <w:top w:val="nil"/>
              <w:left w:val="nil"/>
              <w:bottom w:val="nil"/>
              <w:right w:val="single" w:sz="12" w:space="0" w:color="auto"/>
            </w:tcBorders>
            <w:shd w:val="clear" w:color="auto" w:fill="auto"/>
            <w:noWrap/>
            <w:vAlign w:val="center"/>
            <w:hideMark/>
          </w:tcPr>
          <w:p w14:paraId="421961AC" w14:textId="77777777" w:rsidR="00247238" w:rsidRPr="00802EE9" w:rsidRDefault="00247238" w:rsidP="00247238">
            <w:pPr>
              <w:spacing w:after="0" w:line="240" w:lineRule="auto"/>
              <w:jc w:val="center"/>
              <w:rPr>
                <w:rFonts w:ascii="Calibri" w:eastAsia="Times New Roman" w:hAnsi="Calibri" w:cs="Calibri"/>
                <w:color w:val="0000FF"/>
                <w:sz w:val="18"/>
                <w:szCs w:val="18"/>
                <w:lang w:eastAsia="en-IL"/>
              </w:rPr>
            </w:pPr>
            <w:r w:rsidRPr="00802EE9">
              <w:rPr>
                <w:rFonts w:ascii="Calibri" w:eastAsia="Times New Roman" w:hAnsi="Calibri" w:cs="Calibri"/>
                <w:color w:val="0000FF"/>
                <w:sz w:val="18"/>
                <w:szCs w:val="18"/>
                <w:lang w:eastAsia="en-IL"/>
              </w:rPr>
              <w:t>0.88</w:t>
            </w:r>
          </w:p>
        </w:tc>
        <w:tc>
          <w:tcPr>
            <w:tcW w:w="936" w:type="dxa"/>
            <w:tcBorders>
              <w:top w:val="nil"/>
              <w:left w:val="nil"/>
              <w:bottom w:val="nil"/>
              <w:right w:val="nil"/>
            </w:tcBorders>
            <w:shd w:val="clear" w:color="auto" w:fill="auto"/>
            <w:vAlign w:val="center"/>
            <w:hideMark/>
          </w:tcPr>
          <w:p w14:paraId="62C4D528" w14:textId="77777777" w:rsidR="00247238" w:rsidRPr="00802EE9" w:rsidRDefault="00247238" w:rsidP="00247238">
            <w:pPr>
              <w:spacing w:after="0" w:line="240" w:lineRule="auto"/>
              <w:jc w:val="center"/>
              <w:rPr>
                <w:rFonts w:ascii="Times New Roman" w:eastAsia="Times New Roman" w:hAnsi="Times New Roman" w:cs="Times New Roman"/>
                <w:color w:val="0000FF"/>
                <w:sz w:val="18"/>
                <w:szCs w:val="18"/>
                <w:lang w:eastAsia="en-IL"/>
              </w:rPr>
            </w:pPr>
            <w:r w:rsidRPr="00802EE9">
              <w:rPr>
                <w:rFonts w:ascii="Times New Roman" w:eastAsia="Times New Roman" w:hAnsi="Times New Roman" w:cs="Times New Roman"/>
                <w:color w:val="0000FF"/>
                <w:sz w:val="18"/>
                <w:szCs w:val="18"/>
                <w:lang w:eastAsia="en-IL"/>
              </w:rPr>
              <w:t>6.16%</w:t>
            </w:r>
          </w:p>
        </w:tc>
        <w:tc>
          <w:tcPr>
            <w:tcW w:w="640" w:type="dxa"/>
            <w:tcBorders>
              <w:top w:val="nil"/>
              <w:left w:val="nil"/>
              <w:bottom w:val="nil"/>
              <w:right w:val="nil"/>
            </w:tcBorders>
            <w:shd w:val="clear" w:color="auto" w:fill="auto"/>
            <w:noWrap/>
            <w:vAlign w:val="center"/>
            <w:hideMark/>
          </w:tcPr>
          <w:p w14:paraId="343238EC" w14:textId="77777777" w:rsidR="00247238" w:rsidRPr="00802EE9" w:rsidRDefault="00247238" w:rsidP="00247238">
            <w:pPr>
              <w:spacing w:after="0" w:line="240" w:lineRule="auto"/>
              <w:jc w:val="center"/>
              <w:rPr>
                <w:rFonts w:ascii="Calibri" w:eastAsia="Times New Roman" w:hAnsi="Calibri" w:cs="Calibri"/>
                <w:color w:val="0000FF"/>
                <w:sz w:val="18"/>
                <w:szCs w:val="18"/>
                <w:lang w:eastAsia="en-IL"/>
              </w:rPr>
            </w:pPr>
            <w:r w:rsidRPr="00802EE9">
              <w:rPr>
                <w:rFonts w:ascii="Calibri" w:eastAsia="Times New Roman" w:hAnsi="Calibri" w:cs="Calibri"/>
                <w:color w:val="0000FF"/>
                <w:sz w:val="18"/>
                <w:szCs w:val="18"/>
                <w:lang w:eastAsia="en-IL"/>
              </w:rPr>
              <w:t>1.37</w:t>
            </w:r>
          </w:p>
        </w:tc>
        <w:tc>
          <w:tcPr>
            <w:tcW w:w="860" w:type="dxa"/>
            <w:tcBorders>
              <w:top w:val="nil"/>
              <w:left w:val="single" w:sz="12" w:space="0" w:color="auto"/>
              <w:bottom w:val="nil"/>
              <w:right w:val="nil"/>
            </w:tcBorders>
            <w:shd w:val="clear" w:color="auto" w:fill="auto"/>
            <w:vAlign w:val="center"/>
            <w:hideMark/>
          </w:tcPr>
          <w:p w14:paraId="05BE83F7" w14:textId="77777777" w:rsidR="00247238" w:rsidRPr="00802EE9" w:rsidRDefault="00247238" w:rsidP="00247238">
            <w:pPr>
              <w:spacing w:after="0" w:line="240" w:lineRule="auto"/>
              <w:jc w:val="center"/>
              <w:rPr>
                <w:rFonts w:ascii="Times New Roman" w:eastAsia="Times New Roman" w:hAnsi="Times New Roman" w:cs="Times New Roman"/>
                <w:color w:val="0000FF"/>
                <w:sz w:val="18"/>
                <w:szCs w:val="18"/>
                <w:lang w:eastAsia="en-IL"/>
              </w:rPr>
            </w:pPr>
            <w:r w:rsidRPr="00802EE9">
              <w:rPr>
                <w:rFonts w:ascii="Times New Roman" w:eastAsia="Times New Roman" w:hAnsi="Times New Roman" w:cs="Times New Roman"/>
                <w:color w:val="0000FF"/>
                <w:sz w:val="18"/>
                <w:szCs w:val="18"/>
                <w:lang w:eastAsia="en-IL"/>
              </w:rPr>
              <w:t>5.76%</w:t>
            </w:r>
          </w:p>
        </w:tc>
        <w:tc>
          <w:tcPr>
            <w:tcW w:w="740" w:type="dxa"/>
            <w:tcBorders>
              <w:top w:val="nil"/>
              <w:left w:val="nil"/>
              <w:bottom w:val="nil"/>
              <w:right w:val="single" w:sz="12" w:space="0" w:color="auto"/>
            </w:tcBorders>
            <w:shd w:val="clear" w:color="auto" w:fill="auto"/>
            <w:noWrap/>
            <w:vAlign w:val="center"/>
            <w:hideMark/>
          </w:tcPr>
          <w:p w14:paraId="78D9401E" w14:textId="77777777" w:rsidR="00247238" w:rsidRPr="00802EE9" w:rsidRDefault="00247238" w:rsidP="00247238">
            <w:pPr>
              <w:spacing w:after="0" w:line="240" w:lineRule="auto"/>
              <w:jc w:val="center"/>
              <w:rPr>
                <w:rFonts w:ascii="Calibri" w:eastAsia="Times New Roman" w:hAnsi="Calibri" w:cs="Calibri"/>
                <w:color w:val="0000FF"/>
                <w:sz w:val="18"/>
                <w:szCs w:val="18"/>
                <w:lang w:eastAsia="en-IL"/>
              </w:rPr>
            </w:pPr>
            <w:r w:rsidRPr="00802EE9">
              <w:rPr>
                <w:rFonts w:ascii="Calibri" w:eastAsia="Times New Roman" w:hAnsi="Calibri" w:cs="Calibri"/>
                <w:color w:val="0000FF"/>
                <w:sz w:val="18"/>
                <w:szCs w:val="18"/>
                <w:lang w:eastAsia="en-IL"/>
              </w:rPr>
              <w:t>1.28</w:t>
            </w:r>
          </w:p>
        </w:tc>
        <w:tc>
          <w:tcPr>
            <w:tcW w:w="820" w:type="dxa"/>
            <w:tcBorders>
              <w:top w:val="nil"/>
              <w:left w:val="nil"/>
              <w:bottom w:val="nil"/>
              <w:right w:val="nil"/>
            </w:tcBorders>
            <w:shd w:val="clear" w:color="auto" w:fill="auto"/>
            <w:vAlign w:val="center"/>
            <w:hideMark/>
          </w:tcPr>
          <w:p w14:paraId="417DB13D" w14:textId="77777777" w:rsidR="00247238" w:rsidRPr="00802EE9" w:rsidRDefault="00247238" w:rsidP="00247238">
            <w:pPr>
              <w:spacing w:after="0" w:line="240" w:lineRule="auto"/>
              <w:jc w:val="center"/>
              <w:rPr>
                <w:rFonts w:ascii="Times New Roman" w:eastAsia="Times New Roman" w:hAnsi="Times New Roman" w:cs="Times New Roman"/>
                <w:color w:val="0000FF"/>
                <w:sz w:val="18"/>
                <w:szCs w:val="18"/>
                <w:lang w:eastAsia="en-IL"/>
              </w:rPr>
            </w:pPr>
            <w:r w:rsidRPr="00802EE9">
              <w:rPr>
                <w:rFonts w:ascii="Times New Roman" w:eastAsia="Times New Roman" w:hAnsi="Times New Roman" w:cs="Times New Roman"/>
                <w:color w:val="0000FF"/>
                <w:sz w:val="18"/>
                <w:szCs w:val="18"/>
                <w:lang w:eastAsia="en-IL"/>
              </w:rPr>
              <w:t>5.50%</w:t>
            </w:r>
          </w:p>
        </w:tc>
        <w:tc>
          <w:tcPr>
            <w:tcW w:w="680" w:type="dxa"/>
            <w:tcBorders>
              <w:top w:val="nil"/>
              <w:left w:val="nil"/>
              <w:bottom w:val="nil"/>
              <w:right w:val="nil"/>
            </w:tcBorders>
            <w:shd w:val="clear" w:color="auto" w:fill="auto"/>
            <w:noWrap/>
            <w:vAlign w:val="center"/>
            <w:hideMark/>
          </w:tcPr>
          <w:p w14:paraId="0E055232" w14:textId="77777777" w:rsidR="00247238" w:rsidRPr="00802EE9" w:rsidRDefault="00247238" w:rsidP="00247238">
            <w:pPr>
              <w:spacing w:after="0" w:line="240" w:lineRule="auto"/>
              <w:jc w:val="center"/>
              <w:rPr>
                <w:rFonts w:ascii="Calibri" w:eastAsia="Times New Roman" w:hAnsi="Calibri" w:cs="Calibri"/>
                <w:color w:val="0000FF"/>
                <w:sz w:val="18"/>
                <w:szCs w:val="18"/>
                <w:lang w:eastAsia="en-IL"/>
              </w:rPr>
            </w:pPr>
            <w:r w:rsidRPr="00802EE9">
              <w:rPr>
                <w:rFonts w:ascii="Calibri" w:eastAsia="Times New Roman" w:hAnsi="Calibri" w:cs="Calibri"/>
                <w:color w:val="0000FF"/>
                <w:sz w:val="18"/>
                <w:szCs w:val="18"/>
                <w:lang w:eastAsia="en-IL"/>
              </w:rPr>
              <w:t>1.18</w:t>
            </w:r>
          </w:p>
        </w:tc>
        <w:tc>
          <w:tcPr>
            <w:tcW w:w="900" w:type="dxa"/>
            <w:tcBorders>
              <w:top w:val="nil"/>
              <w:left w:val="single" w:sz="12" w:space="0" w:color="auto"/>
              <w:bottom w:val="nil"/>
              <w:right w:val="nil"/>
            </w:tcBorders>
            <w:shd w:val="clear" w:color="auto" w:fill="auto"/>
            <w:vAlign w:val="center"/>
            <w:hideMark/>
          </w:tcPr>
          <w:p w14:paraId="7D2F0441" w14:textId="77777777" w:rsidR="00247238" w:rsidRPr="00802EE9" w:rsidRDefault="00247238" w:rsidP="00247238">
            <w:pPr>
              <w:spacing w:after="0" w:line="240" w:lineRule="auto"/>
              <w:jc w:val="center"/>
              <w:rPr>
                <w:rFonts w:ascii="Times New Roman" w:eastAsia="Times New Roman" w:hAnsi="Times New Roman" w:cs="Times New Roman"/>
                <w:color w:val="0000FF"/>
                <w:sz w:val="18"/>
                <w:szCs w:val="18"/>
                <w:lang w:eastAsia="en-IL"/>
              </w:rPr>
            </w:pPr>
            <w:r w:rsidRPr="00802EE9">
              <w:rPr>
                <w:rFonts w:ascii="Times New Roman" w:eastAsia="Times New Roman" w:hAnsi="Times New Roman" w:cs="Times New Roman"/>
                <w:color w:val="0000FF"/>
                <w:sz w:val="18"/>
                <w:szCs w:val="18"/>
                <w:lang w:eastAsia="en-IL"/>
              </w:rPr>
              <w:t>5.69%</w:t>
            </w:r>
          </w:p>
        </w:tc>
        <w:tc>
          <w:tcPr>
            <w:tcW w:w="720" w:type="dxa"/>
            <w:tcBorders>
              <w:top w:val="nil"/>
              <w:left w:val="nil"/>
              <w:bottom w:val="nil"/>
              <w:right w:val="single" w:sz="12" w:space="0" w:color="auto"/>
            </w:tcBorders>
            <w:shd w:val="clear" w:color="auto" w:fill="auto"/>
            <w:noWrap/>
            <w:vAlign w:val="center"/>
            <w:hideMark/>
          </w:tcPr>
          <w:p w14:paraId="0FC32561" w14:textId="77777777" w:rsidR="00247238" w:rsidRPr="00802EE9" w:rsidRDefault="00247238" w:rsidP="00247238">
            <w:pPr>
              <w:spacing w:after="0" w:line="240" w:lineRule="auto"/>
              <w:jc w:val="center"/>
              <w:rPr>
                <w:rFonts w:ascii="Calibri" w:eastAsia="Times New Roman" w:hAnsi="Calibri" w:cs="Calibri"/>
                <w:color w:val="0000FF"/>
                <w:sz w:val="18"/>
                <w:szCs w:val="18"/>
                <w:lang w:eastAsia="en-IL"/>
              </w:rPr>
            </w:pPr>
            <w:r w:rsidRPr="00802EE9">
              <w:rPr>
                <w:rFonts w:ascii="Calibri" w:eastAsia="Times New Roman" w:hAnsi="Calibri" w:cs="Calibri"/>
                <w:color w:val="0000FF"/>
                <w:sz w:val="18"/>
                <w:szCs w:val="18"/>
                <w:lang w:eastAsia="en-IL"/>
              </w:rPr>
              <w:t>1.21</w:t>
            </w:r>
          </w:p>
        </w:tc>
      </w:tr>
      <w:tr w:rsidR="00247238" w:rsidRPr="00247238" w14:paraId="4FFE508E" w14:textId="77777777" w:rsidTr="00247238">
        <w:trPr>
          <w:trHeight w:val="300"/>
        </w:trPr>
        <w:tc>
          <w:tcPr>
            <w:tcW w:w="1403" w:type="dxa"/>
            <w:tcBorders>
              <w:top w:val="nil"/>
              <w:left w:val="single" w:sz="12" w:space="0" w:color="auto"/>
              <w:bottom w:val="nil"/>
              <w:right w:val="nil"/>
            </w:tcBorders>
            <w:shd w:val="clear" w:color="auto" w:fill="auto"/>
            <w:noWrap/>
            <w:vAlign w:val="bottom"/>
            <w:hideMark/>
          </w:tcPr>
          <w:p w14:paraId="10272CFF" w14:textId="77777777" w:rsidR="00247238" w:rsidRPr="00802EE9" w:rsidRDefault="00247238" w:rsidP="00247238">
            <w:pPr>
              <w:spacing w:after="0" w:line="240" w:lineRule="auto"/>
              <w:rPr>
                <w:rFonts w:ascii="Calibri" w:eastAsia="Times New Roman" w:hAnsi="Calibri" w:cs="Calibri"/>
                <w:color w:val="0000FF"/>
                <w:lang w:eastAsia="en-IL"/>
              </w:rPr>
            </w:pPr>
            <w:r w:rsidRPr="00802EE9">
              <w:rPr>
                <w:rFonts w:ascii="Calibri" w:eastAsia="Times New Roman" w:hAnsi="Calibri" w:cs="Calibri"/>
                <w:color w:val="0000FF"/>
                <w:lang w:eastAsia="en-IL"/>
              </w:rPr>
              <w:t>1 to 50</w:t>
            </w:r>
          </w:p>
        </w:tc>
        <w:tc>
          <w:tcPr>
            <w:tcW w:w="977" w:type="dxa"/>
            <w:tcBorders>
              <w:top w:val="nil"/>
              <w:left w:val="single" w:sz="12" w:space="0" w:color="auto"/>
              <w:bottom w:val="nil"/>
              <w:right w:val="nil"/>
            </w:tcBorders>
            <w:shd w:val="clear" w:color="auto" w:fill="auto"/>
            <w:vAlign w:val="center"/>
            <w:hideMark/>
          </w:tcPr>
          <w:p w14:paraId="49F5E4EA" w14:textId="77777777" w:rsidR="00247238" w:rsidRPr="00802EE9" w:rsidRDefault="00247238" w:rsidP="00247238">
            <w:pPr>
              <w:spacing w:after="0" w:line="240" w:lineRule="auto"/>
              <w:jc w:val="center"/>
              <w:rPr>
                <w:rFonts w:ascii="Times New Roman" w:eastAsia="Times New Roman" w:hAnsi="Times New Roman" w:cs="Times New Roman"/>
                <w:color w:val="0000FF"/>
                <w:sz w:val="18"/>
                <w:szCs w:val="18"/>
                <w:lang w:eastAsia="en-IL"/>
              </w:rPr>
            </w:pPr>
            <w:r w:rsidRPr="00802EE9">
              <w:rPr>
                <w:rFonts w:ascii="Times New Roman" w:eastAsia="Times New Roman" w:hAnsi="Times New Roman" w:cs="Times New Roman"/>
                <w:color w:val="0000FF"/>
                <w:sz w:val="18"/>
                <w:szCs w:val="18"/>
                <w:lang w:eastAsia="en-IL"/>
              </w:rPr>
              <w:t>3.08%</w:t>
            </w:r>
          </w:p>
        </w:tc>
        <w:tc>
          <w:tcPr>
            <w:tcW w:w="724" w:type="dxa"/>
            <w:tcBorders>
              <w:top w:val="nil"/>
              <w:left w:val="nil"/>
              <w:bottom w:val="nil"/>
              <w:right w:val="single" w:sz="12" w:space="0" w:color="auto"/>
            </w:tcBorders>
            <w:shd w:val="clear" w:color="auto" w:fill="auto"/>
            <w:noWrap/>
            <w:vAlign w:val="center"/>
            <w:hideMark/>
          </w:tcPr>
          <w:p w14:paraId="795BBA46" w14:textId="77777777" w:rsidR="00247238" w:rsidRPr="00802EE9" w:rsidRDefault="00247238" w:rsidP="00247238">
            <w:pPr>
              <w:spacing w:after="0" w:line="240" w:lineRule="auto"/>
              <w:jc w:val="center"/>
              <w:rPr>
                <w:rFonts w:ascii="Calibri" w:eastAsia="Times New Roman" w:hAnsi="Calibri" w:cs="Calibri"/>
                <w:color w:val="0000FF"/>
                <w:sz w:val="18"/>
                <w:szCs w:val="18"/>
                <w:lang w:eastAsia="en-IL"/>
              </w:rPr>
            </w:pPr>
            <w:r w:rsidRPr="00802EE9">
              <w:rPr>
                <w:rFonts w:ascii="Calibri" w:eastAsia="Times New Roman" w:hAnsi="Calibri" w:cs="Calibri"/>
                <w:color w:val="0000FF"/>
                <w:sz w:val="18"/>
                <w:szCs w:val="18"/>
                <w:lang w:eastAsia="en-IL"/>
              </w:rPr>
              <w:t>0.62</w:t>
            </w:r>
          </w:p>
        </w:tc>
        <w:tc>
          <w:tcPr>
            <w:tcW w:w="936" w:type="dxa"/>
            <w:tcBorders>
              <w:top w:val="nil"/>
              <w:left w:val="nil"/>
              <w:bottom w:val="nil"/>
              <w:right w:val="nil"/>
            </w:tcBorders>
            <w:shd w:val="clear" w:color="auto" w:fill="auto"/>
            <w:vAlign w:val="center"/>
            <w:hideMark/>
          </w:tcPr>
          <w:p w14:paraId="4F060464" w14:textId="77777777" w:rsidR="00247238" w:rsidRPr="00802EE9" w:rsidRDefault="00247238" w:rsidP="00247238">
            <w:pPr>
              <w:spacing w:after="0" w:line="240" w:lineRule="auto"/>
              <w:jc w:val="center"/>
              <w:rPr>
                <w:rFonts w:ascii="Times New Roman" w:eastAsia="Times New Roman" w:hAnsi="Times New Roman" w:cs="Times New Roman"/>
                <w:color w:val="0000FF"/>
                <w:sz w:val="18"/>
                <w:szCs w:val="18"/>
                <w:lang w:eastAsia="en-IL"/>
              </w:rPr>
            </w:pPr>
            <w:r w:rsidRPr="00802EE9">
              <w:rPr>
                <w:rFonts w:ascii="Times New Roman" w:eastAsia="Times New Roman" w:hAnsi="Times New Roman" w:cs="Times New Roman"/>
                <w:color w:val="0000FF"/>
                <w:sz w:val="18"/>
                <w:szCs w:val="18"/>
                <w:lang w:eastAsia="en-IL"/>
              </w:rPr>
              <w:t>6.01%</w:t>
            </w:r>
          </w:p>
        </w:tc>
        <w:tc>
          <w:tcPr>
            <w:tcW w:w="640" w:type="dxa"/>
            <w:tcBorders>
              <w:top w:val="nil"/>
              <w:left w:val="nil"/>
              <w:bottom w:val="nil"/>
              <w:right w:val="nil"/>
            </w:tcBorders>
            <w:shd w:val="clear" w:color="auto" w:fill="auto"/>
            <w:noWrap/>
            <w:vAlign w:val="center"/>
            <w:hideMark/>
          </w:tcPr>
          <w:p w14:paraId="34E35F00" w14:textId="77777777" w:rsidR="00247238" w:rsidRPr="00802EE9" w:rsidRDefault="00247238" w:rsidP="00247238">
            <w:pPr>
              <w:spacing w:after="0" w:line="240" w:lineRule="auto"/>
              <w:jc w:val="center"/>
              <w:rPr>
                <w:rFonts w:ascii="Calibri" w:eastAsia="Times New Roman" w:hAnsi="Calibri" w:cs="Calibri"/>
                <w:color w:val="0000FF"/>
                <w:sz w:val="18"/>
                <w:szCs w:val="18"/>
                <w:lang w:eastAsia="en-IL"/>
              </w:rPr>
            </w:pPr>
            <w:r w:rsidRPr="00802EE9">
              <w:rPr>
                <w:rFonts w:ascii="Calibri" w:eastAsia="Times New Roman" w:hAnsi="Calibri" w:cs="Calibri"/>
                <w:color w:val="0000FF"/>
                <w:sz w:val="18"/>
                <w:szCs w:val="18"/>
                <w:lang w:eastAsia="en-IL"/>
              </w:rPr>
              <w:t>1.22</w:t>
            </w:r>
          </w:p>
        </w:tc>
        <w:tc>
          <w:tcPr>
            <w:tcW w:w="860" w:type="dxa"/>
            <w:tcBorders>
              <w:top w:val="nil"/>
              <w:left w:val="single" w:sz="12" w:space="0" w:color="auto"/>
              <w:bottom w:val="nil"/>
              <w:right w:val="nil"/>
            </w:tcBorders>
            <w:shd w:val="clear" w:color="auto" w:fill="auto"/>
            <w:vAlign w:val="center"/>
            <w:hideMark/>
          </w:tcPr>
          <w:p w14:paraId="11C04158" w14:textId="77777777" w:rsidR="00247238" w:rsidRPr="00802EE9" w:rsidRDefault="00247238" w:rsidP="00247238">
            <w:pPr>
              <w:spacing w:after="0" w:line="240" w:lineRule="auto"/>
              <w:jc w:val="center"/>
              <w:rPr>
                <w:rFonts w:ascii="Times New Roman" w:eastAsia="Times New Roman" w:hAnsi="Times New Roman" w:cs="Times New Roman"/>
                <w:color w:val="0000FF"/>
                <w:sz w:val="18"/>
                <w:szCs w:val="18"/>
                <w:lang w:eastAsia="en-IL"/>
              </w:rPr>
            </w:pPr>
            <w:r w:rsidRPr="00802EE9">
              <w:rPr>
                <w:rFonts w:ascii="Times New Roman" w:eastAsia="Times New Roman" w:hAnsi="Times New Roman" w:cs="Times New Roman"/>
                <w:color w:val="0000FF"/>
                <w:sz w:val="18"/>
                <w:szCs w:val="18"/>
                <w:lang w:eastAsia="en-IL"/>
              </w:rPr>
              <w:t>9.99%</w:t>
            </w:r>
          </w:p>
        </w:tc>
        <w:tc>
          <w:tcPr>
            <w:tcW w:w="740" w:type="dxa"/>
            <w:tcBorders>
              <w:top w:val="nil"/>
              <w:left w:val="nil"/>
              <w:bottom w:val="nil"/>
              <w:right w:val="single" w:sz="12" w:space="0" w:color="auto"/>
            </w:tcBorders>
            <w:shd w:val="clear" w:color="auto" w:fill="auto"/>
            <w:noWrap/>
            <w:vAlign w:val="center"/>
            <w:hideMark/>
          </w:tcPr>
          <w:p w14:paraId="1797853E" w14:textId="77777777" w:rsidR="00247238" w:rsidRPr="00802EE9" w:rsidRDefault="00247238" w:rsidP="00247238">
            <w:pPr>
              <w:spacing w:after="0" w:line="240" w:lineRule="auto"/>
              <w:jc w:val="center"/>
              <w:rPr>
                <w:rFonts w:ascii="Calibri" w:eastAsia="Times New Roman" w:hAnsi="Calibri" w:cs="Calibri"/>
                <w:color w:val="0000FF"/>
                <w:sz w:val="18"/>
                <w:szCs w:val="18"/>
                <w:lang w:eastAsia="en-IL"/>
              </w:rPr>
            </w:pPr>
            <w:r w:rsidRPr="00802EE9">
              <w:rPr>
                <w:rFonts w:ascii="Calibri" w:eastAsia="Times New Roman" w:hAnsi="Calibri" w:cs="Calibri"/>
                <w:color w:val="0000FF"/>
                <w:sz w:val="18"/>
                <w:szCs w:val="18"/>
                <w:lang w:eastAsia="en-IL"/>
              </w:rPr>
              <w:t>2.07</w:t>
            </w:r>
          </w:p>
        </w:tc>
        <w:tc>
          <w:tcPr>
            <w:tcW w:w="820" w:type="dxa"/>
            <w:tcBorders>
              <w:top w:val="nil"/>
              <w:left w:val="nil"/>
              <w:bottom w:val="nil"/>
              <w:right w:val="nil"/>
            </w:tcBorders>
            <w:shd w:val="clear" w:color="auto" w:fill="auto"/>
            <w:vAlign w:val="center"/>
            <w:hideMark/>
          </w:tcPr>
          <w:p w14:paraId="2ADF5ED0" w14:textId="77777777" w:rsidR="00247238" w:rsidRPr="00802EE9" w:rsidRDefault="00247238" w:rsidP="00247238">
            <w:pPr>
              <w:spacing w:after="0" w:line="240" w:lineRule="auto"/>
              <w:jc w:val="center"/>
              <w:rPr>
                <w:rFonts w:ascii="Times New Roman" w:eastAsia="Times New Roman" w:hAnsi="Times New Roman" w:cs="Times New Roman"/>
                <w:color w:val="0000FF"/>
                <w:sz w:val="18"/>
                <w:szCs w:val="18"/>
                <w:lang w:eastAsia="en-IL"/>
              </w:rPr>
            </w:pPr>
            <w:r w:rsidRPr="00802EE9">
              <w:rPr>
                <w:rFonts w:ascii="Times New Roman" w:eastAsia="Times New Roman" w:hAnsi="Times New Roman" w:cs="Times New Roman"/>
                <w:color w:val="0000FF"/>
                <w:sz w:val="18"/>
                <w:szCs w:val="18"/>
                <w:lang w:eastAsia="en-IL"/>
              </w:rPr>
              <w:t>9.48%</w:t>
            </w:r>
          </w:p>
        </w:tc>
        <w:tc>
          <w:tcPr>
            <w:tcW w:w="680" w:type="dxa"/>
            <w:tcBorders>
              <w:top w:val="nil"/>
              <w:left w:val="nil"/>
              <w:bottom w:val="nil"/>
              <w:right w:val="nil"/>
            </w:tcBorders>
            <w:shd w:val="clear" w:color="auto" w:fill="auto"/>
            <w:noWrap/>
            <w:vAlign w:val="center"/>
            <w:hideMark/>
          </w:tcPr>
          <w:p w14:paraId="56450962" w14:textId="77777777" w:rsidR="00247238" w:rsidRPr="00802EE9" w:rsidRDefault="00247238" w:rsidP="00247238">
            <w:pPr>
              <w:spacing w:after="0" w:line="240" w:lineRule="auto"/>
              <w:jc w:val="center"/>
              <w:rPr>
                <w:rFonts w:ascii="Calibri" w:eastAsia="Times New Roman" w:hAnsi="Calibri" w:cs="Calibri"/>
                <w:color w:val="0000FF"/>
                <w:sz w:val="18"/>
                <w:szCs w:val="18"/>
                <w:lang w:eastAsia="en-IL"/>
              </w:rPr>
            </w:pPr>
            <w:r w:rsidRPr="00802EE9">
              <w:rPr>
                <w:rFonts w:ascii="Calibri" w:eastAsia="Times New Roman" w:hAnsi="Calibri" w:cs="Calibri"/>
                <w:color w:val="0000FF"/>
                <w:sz w:val="18"/>
                <w:szCs w:val="18"/>
                <w:lang w:eastAsia="en-IL"/>
              </w:rPr>
              <w:t>1.94</w:t>
            </w:r>
          </w:p>
        </w:tc>
        <w:tc>
          <w:tcPr>
            <w:tcW w:w="900" w:type="dxa"/>
            <w:tcBorders>
              <w:top w:val="nil"/>
              <w:left w:val="single" w:sz="12" w:space="0" w:color="auto"/>
              <w:bottom w:val="nil"/>
              <w:right w:val="nil"/>
            </w:tcBorders>
            <w:shd w:val="clear" w:color="auto" w:fill="auto"/>
            <w:vAlign w:val="center"/>
            <w:hideMark/>
          </w:tcPr>
          <w:p w14:paraId="3185DACE" w14:textId="77777777" w:rsidR="00247238" w:rsidRPr="00802EE9" w:rsidRDefault="00247238" w:rsidP="00247238">
            <w:pPr>
              <w:spacing w:after="0" w:line="240" w:lineRule="auto"/>
              <w:jc w:val="center"/>
              <w:rPr>
                <w:rFonts w:ascii="Times New Roman" w:eastAsia="Times New Roman" w:hAnsi="Times New Roman" w:cs="Times New Roman"/>
                <w:color w:val="0000FF"/>
                <w:sz w:val="18"/>
                <w:szCs w:val="18"/>
                <w:lang w:eastAsia="en-IL"/>
              </w:rPr>
            </w:pPr>
            <w:r w:rsidRPr="00802EE9">
              <w:rPr>
                <w:rFonts w:ascii="Times New Roman" w:eastAsia="Times New Roman" w:hAnsi="Times New Roman" w:cs="Times New Roman"/>
                <w:color w:val="0000FF"/>
                <w:sz w:val="18"/>
                <w:szCs w:val="18"/>
                <w:lang w:eastAsia="en-IL"/>
              </w:rPr>
              <w:t>9.60%</w:t>
            </w:r>
          </w:p>
        </w:tc>
        <w:tc>
          <w:tcPr>
            <w:tcW w:w="720" w:type="dxa"/>
            <w:tcBorders>
              <w:top w:val="nil"/>
              <w:left w:val="nil"/>
              <w:bottom w:val="nil"/>
              <w:right w:val="single" w:sz="12" w:space="0" w:color="auto"/>
            </w:tcBorders>
            <w:shd w:val="clear" w:color="auto" w:fill="auto"/>
            <w:noWrap/>
            <w:vAlign w:val="center"/>
            <w:hideMark/>
          </w:tcPr>
          <w:p w14:paraId="7727E161" w14:textId="77777777" w:rsidR="00247238" w:rsidRPr="00802EE9" w:rsidRDefault="00247238" w:rsidP="00247238">
            <w:pPr>
              <w:spacing w:after="0" w:line="240" w:lineRule="auto"/>
              <w:jc w:val="center"/>
              <w:rPr>
                <w:rFonts w:ascii="Calibri" w:eastAsia="Times New Roman" w:hAnsi="Calibri" w:cs="Calibri"/>
                <w:color w:val="0000FF"/>
                <w:sz w:val="18"/>
                <w:szCs w:val="18"/>
                <w:lang w:eastAsia="en-IL"/>
              </w:rPr>
            </w:pPr>
            <w:r w:rsidRPr="00802EE9">
              <w:rPr>
                <w:rFonts w:ascii="Calibri" w:eastAsia="Times New Roman" w:hAnsi="Calibri" w:cs="Calibri"/>
                <w:color w:val="0000FF"/>
                <w:sz w:val="18"/>
                <w:szCs w:val="18"/>
                <w:lang w:eastAsia="en-IL"/>
              </w:rPr>
              <w:t>1.88</w:t>
            </w:r>
          </w:p>
        </w:tc>
      </w:tr>
      <w:tr w:rsidR="00247238" w:rsidRPr="00247238" w14:paraId="483CC431" w14:textId="77777777" w:rsidTr="00247238">
        <w:trPr>
          <w:trHeight w:val="300"/>
        </w:trPr>
        <w:tc>
          <w:tcPr>
            <w:tcW w:w="1403" w:type="dxa"/>
            <w:tcBorders>
              <w:top w:val="nil"/>
              <w:left w:val="single" w:sz="12" w:space="0" w:color="auto"/>
              <w:bottom w:val="nil"/>
              <w:right w:val="nil"/>
            </w:tcBorders>
            <w:shd w:val="clear" w:color="auto" w:fill="auto"/>
            <w:noWrap/>
            <w:vAlign w:val="bottom"/>
            <w:hideMark/>
          </w:tcPr>
          <w:p w14:paraId="6A653D69" w14:textId="77777777" w:rsidR="00247238" w:rsidRPr="00802EE9" w:rsidRDefault="00247238" w:rsidP="00247238">
            <w:pPr>
              <w:spacing w:after="0" w:line="240" w:lineRule="auto"/>
              <w:rPr>
                <w:rFonts w:ascii="Calibri" w:eastAsia="Times New Roman" w:hAnsi="Calibri" w:cs="Calibri"/>
                <w:color w:val="0000FF"/>
                <w:lang w:eastAsia="en-IL"/>
              </w:rPr>
            </w:pPr>
            <w:r w:rsidRPr="00802EE9">
              <w:rPr>
                <w:rFonts w:ascii="Calibri" w:eastAsia="Times New Roman" w:hAnsi="Calibri" w:cs="Calibri"/>
                <w:color w:val="0000FF"/>
                <w:lang w:eastAsia="en-IL"/>
              </w:rPr>
              <w:t>1 to 100</w:t>
            </w:r>
          </w:p>
        </w:tc>
        <w:tc>
          <w:tcPr>
            <w:tcW w:w="977" w:type="dxa"/>
            <w:tcBorders>
              <w:top w:val="nil"/>
              <w:left w:val="single" w:sz="12" w:space="0" w:color="auto"/>
              <w:bottom w:val="nil"/>
              <w:right w:val="nil"/>
            </w:tcBorders>
            <w:shd w:val="clear" w:color="auto" w:fill="auto"/>
            <w:vAlign w:val="center"/>
            <w:hideMark/>
          </w:tcPr>
          <w:p w14:paraId="48F1DF94" w14:textId="77777777" w:rsidR="00247238" w:rsidRPr="00802EE9" w:rsidRDefault="00247238" w:rsidP="00247238">
            <w:pPr>
              <w:spacing w:after="0" w:line="240" w:lineRule="auto"/>
              <w:jc w:val="center"/>
              <w:rPr>
                <w:rFonts w:ascii="Times New Roman" w:eastAsia="Times New Roman" w:hAnsi="Times New Roman" w:cs="Times New Roman"/>
                <w:color w:val="0000FF"/>
                <w:sz w:val="18"/>
                <w:szCs w:val="18"/>
                <w:lang w:eastAsia="en-IL"/>
              </w:rPr>
            </w:pPr>
            <w:r w:rsidRPr="00802EE9">
              <w:rPr>
                <w:rFonts w:ascii="Times New Roman" w:eastAsia="Times New Roman" w:hAnsi="Times New Roman" w:cs="Times New Roman"/>
                <w:color w:val="0000FF"/>
                <w:sz w:val="18"/>
                <w:szCs w:val="18"/>
                <w:lang w:eastAsia="en-IL"/>
              </w:rPr>
              <w:t>1.16%</w:t>
            </w:r>
          </w:p>
        </w:tc>
        <w:tc>
          <w:tcPr>
            <w:tcW w:w="724" w:type="dxa"/>
            <w:tcBorders>
              <w:top w:val="nil"/>
              <w:left w:val="nil"/>
              <w:bottom w:val="nil"/>
              <w:right w:val="single" w:sz="12" w:space="0" w:color="auto"/>
            </w:tcBorders>
            <w:shd w:val="clear" w:color="auto" w:fill="auto"/>
            <w:noWrap/>
            <w:vAlign w:val="center"/>
            <w:hideMark/>
          </w:tcPr>
          <w:p w14:paraId="021B02F7" w14:textId="77777777" w:rsidR="00247238" w:rsidRPr="00802EE9" w:rsidRDefault="00247238" w:rsidP="00247238">
            <w:pPr>
              <w:spacing w:after="0" w:line="240" w:lineRule="auto"/>
              <w:jc w:val="center"/>
              <w:rPr>
                <w:rFonts w:ascii="Calibri" w:eastAsia="Times New Roman" w:hAnsi="Calibri" w:cs="Calibri"/>
                <w:color w:val="0000FF"/>
                <w:sz w:val="18"/>
                <w:szCs w:val="18"/>
                <w:lang w:eastAsia="en-IL"/>
              </w:rPr>
            </w:pPr>
            <w:r w:rsidRPr="00802EE9">
              <w:rPr>
                <w:rFonts w:ascii="Calibri" w:eastAsia="Times New Roman" w:hAnsi="Calibri" w:cs="Calibri"/>
                <w:color w:val="0000FF"/>
                <w:sz w:val="18"/>
                <w:szCs w:val="18"/>
                <w:lang w:eastAsia="en-IL"/>
              </w:rPr>
              <w:t>0.25</w:t>
            </w:r>
          </w:p>
        </w:tc>
        <w:tc>
          <w:tcPr>
            <w:tcW w:w="936" w:type="dxa"/>
            <w:tcBorders>
              <w:top w:val="nil"/>
              <w:left w:val="nil"/>
              <w:bottom w:val="nil"/>
              <w:right w:val="nil"/>
            </w:tcBorders>
            <w:shd w:val="clear" w:color="auto" w:fill="auto"/>
            <w:vAlign w:val="center"/>
            <w:hideMark/>
          </w:tcPr>
          <w:p w14:paraId="614D7B2C" w14:textId="77777777" w:rsidR="00247238" w:rsidRPr="00802EE9" w:rsidRDefault="00247238" w:rsidP="00247238">
            <w:pPr>
              <w:spacing w:after="0" w:line="240" w:lineRule="auto"/>
              <w:jc w:val="center"/>
              <w:rPr>
                <w:rFonts w:ascii="Times New Roman" w:eastAsia="Times New Roman" w:hAnsi="Times New Roman" w:cs="Times New Roman"/>
                <w:color w:val="0000FF"/>
                <w:sz w:val="18"/>
                <w:szCs w:val="18"/>
                <w:lang w:eastAsia="en-IL"/>
              </w:rPr>
            </w:pPr>
            <w:r w:rsidRPr="00802EE9">
              <w:rPr>
                <w:rFonts w:ascii="Times New Roman" w:eastAsia="Times New Roman" w:hAnsi="Times New Roman" w:cs="Times New Roman"/>
                <w:color w:val="0000FF"/>
                <w:sz w:val="18"/>
                <w:szCs w:val="18"/>
                <w:lang w:eastAsia="en-IL"/>
              </w:rPr>
              <w:t>4.87%</w:t>
            </w:r>
          </w:p>
        </w:tc>
        <w:tc>
          <w:tcPr>
            <w:tcW w:w="640" w:type="dxa"/>
            <w:tcBorders>
              <w:top w:val="nil"/>
              <w:left w:val="nil"/>
              <w:bottom w:val="nil"/>
              <w:right w:val="nil"/>
            </w:tcBorders>
            <w:shd w:val="clear" w:color="auto" w:fill="auto"/>
            <w:noWrap/>
            <w:vAlign w:val="center"/>
            <w:hideMark/>
          </w:tcPr>
          <w:p w14:paraId="747B1EBA" w14:textId="77777777" w:rsidR="00247238" w:rsidRPr="00802EE9" w:rsidRDefault="00247238" w:rsidP="00247238">
            <w:pPr>
              <w:spacing w:after="0" w:line="240" w:lineRule="auto"/>
              <w:jc w:val="center"/>
              <w:rPr>
                <w:rFonts w:ascii="Calibri" w:eastAsia="Times New Roman" w:hAnsi="Calibri" w:cs="Calibri"/>
                <w:color w:val="0000FF"/>
                <w:sz w:val="18"/>
                <w:szCs w:val="18"/>
                <w:lang w:eastAsia="en-IL"/>
              </w:rPr>
            </w:pPr>
            <w:r w:rsidRPr="00802EE9">
              <w:rPr>
                <w:rFonts w:ascii="Calibri" w:eastAsia="Times New Roman" w:hAnsi="Calibri" w:cs="Calibri"/>
                <w:color w:val="0000FF"/>
                <w:sz w:val="18"/>
                <w:szCs w:val="18"/>
                <w:lang w:eastAsia="en-IL"/>
              </w:rPr>
              <w:t>1.10</w:t>
            </w:r>
          </w:p>
        </w:tc>
        <w:tc>
          <w:tcPr>
            <w:tcW w:w="860" w:type="dxa"/>
            <w:tcBorders>
              <w:top w:val="nil"/>
              <w:left w:val="single" w:sz="12" w:space="0" w:color="auto"/>
              <w:bottom w:val="nil"/>
              <w:right w:val="nil"/>
            </w:tcBorders>
            <w:shd w:val="clear" w:color="auto" w:fill="auto"/>
            <w:vAlign w:val="center"/>
            <w:hideMark/>
          </w:tcPr>
          <w:p w14:paraId="3256AAF3" w14:textId="77777777" w:rsidR="00247238" w:rsidRPr="00802EE9" w:rsidRDefault="00247238" w:rsidP="00247238">
            <w:pPr>
              <w:spacing w:after="0" w:line="240" w:lineRule="auto"/>
              <w:jc w:val="center"/>
              <w:rPr>
                <w:rFonts w:ascii="Times New Roman" w:eastAsia="Times New Roman" w:hAnsi="Times New Roman" w:cs="Times New Roman"/>
                <w:color w:val="0000FF"/>
                <w:sz w:val="18"/>
                <w:szCs w:val="18"/>
                <w:lang w:eastAsia="en-IL"/>
              </w:rPr>
            </w:pPr>
            <w:r w:rsidRPr="00802EE9">
              <w:rPr>
                <w:rFonts w:ascii="Times New Roman" w:eastAsia="Times New Roman" w:hAnsi="Times New Roman" w:cs="Times New Roman"/>
                <w:color w:val="0000FF"/>
                <w:sz w:val="18"/>
                <w:szCs w:val="18"/>
                <w:lang w:eastAsia="en-IL"/>
              </w:rPr>
              <w:t>10.23%</w:t>
            </w:r>
          </w:p>
        </w:tc>
        <w:tc>
          <w:tcPr>
            <w:tcW w:w="740" w:type="dxa"/>
            <w:tcBorders>
              <w:top w:val="nil"/>
              <w:left w:val="nil"/>
              <w:bottom w:val="nil"/>
              <w:right w:val="single" w:sz="12" w:space="0" w:color="auto"/>
            </w:tcBorders>
            <w:shd w:val="clear" w:color="auto" w:fill="auto"/>
            <w:noWrap/>
            <w:vAlign w:val="center"/>
            <w:hideMark/>
          </w:tcPr>
          <w:p w14:paraId="41E8FCFA" w14:textId="77777777" w:rsidR="00247238" w:rsidRPr="00802EE9" w:rsidRDefault="00247238" w:rsidP="00247238">
            <w:pPr>
              <w:spacing w:after="0" w:line="240" w:lineRule="auto"/>
              <w:jc w:val="center"/>
              <w:rPr>
                <w:rFonts w:ascii="Calibri" w:eastAsia="Times New Roman" w:hAnsi="Calibri" w:cs="Calibri"/>
                <w:color w:val="0000FF"/>
                <w:sz w:val="18"/>
                <w:szCs w:val="18"/>
                <w:lang w:eastAsia="en-IL"/>
              </w:rPr>
            </w:pPr>
            <w:r w:rsidRPr="00802EE9">
              <w:rPr>
                <w:rFonts w:ascii="Calibri" w:eastAsia="Times New Roman" w:hAnsi="Calibri" w:cs="Calibri"/>
                <w:color w:val="0000FF"/>
                <w:sz w:val="18"/>
                <w:szCs w:val="18"/>
                <w:lang w:eastAsia="en-IL"/>
              </w:rPr>
              <w:t>2.32</w:t>
            </w:r>
          </w:p>
        </w:tc>
        <w:tc>
          <w:tcPr>
            <w:tcW w:w="820" w:type="dxa"/>
            <w:tcBorders>
              <w:top w:val="nil"/>
              <w:left w:val="nil"/>
              <w:bottom w:val="nil"/>
              <w:right w:val="nil"/>
            </w:tcBorders>
            <w:shd w:val="clear" w:color="auto" w:fill="auto"/>
            <w:vAlign w:val="center"/>
            <w:hideMark/>
          </w:tcPr>
          <w:p w14:paraId="223DCE5A" w14:textId="77777777" w:rsidR="00247238" w:rsidRPr="00802EE9" w:rsidRDefault="00247238" w:rsidP="00247238">
            <w:pPr>
              <w:spacing w:after="0" w:line="240" w:lineRule="auto"/>
              <w:jc w:val="center"/>
              <w:rPr>
                <w:rFonts w:ascii="Times New Roman" w:eastAsia="Times New Roman" w:hAnsi="Times New Roman" w:cs="Times New Roman"/>
                <w:color w:val="0000FF"/>
                <w:sz w:val="18"/>
                <w:szCs w:val="18"/>
                <w:lang w:eastAsia="en-IL"/>
              </w:rPr>
            </w:pPr>
            <w:r w:rsidRPr="00802EE9">
              <w:rPr>
                <w:rFonts w:ascii="Times New Roman" w:eastAsia="Times New Roman" w:hAnsi="Times New Roman" w:cs="Times New Roman"/>
                <w:color w:val="0000FF"/>
                <w:sz w:val="18"/>
                <w:szCs w:val="18"/>
                <w:lang w:eastAsia="en-IL"/>
              </w:rPr>
              <w:t>9.38%</w:t>
            </w:r>
          </w:p>
        </w:tc>
        <w:tc>
          <w:tcPr>
            <w:tcW w:w="680" w:type="dxa"/>
            <w:tcBorders>
              <w:top w:val="nil"/>
              <w:left w:val="nil"/>
              <w:bottom w:val="nil"/>
              <w:right w:val="nil"/>
            </w:tcBorders>
            <w:shd w:val="clear" w:color="auto" w:fill="auto"/>
            <w:noWrap/>
            <w:vAlign w:val="center"/>
            <w:hideMark/>
          </w:tcPr>
          <w:p w14:paraId="382209C5" w14:textId="77777777" w:rsidR="00247238" w:rsidRPr="00802EE9" w:rsidRDefault="00247238" w:rsidP="00247238">
            <w:pPr>
              <w:spacing w:after="0" w:line="240" w:lineRule="auto"/>
              <w:jc w:val="center"/>
              <w:rPr>
                <w:rFonts w:ascii="Calibri" w:eastAsia="Times New Roman" w:hAnsi="Calibri" w:cs="Calibri"/>
                <w:color w:val="0000FF"/>
                <w:sz w:val="18"/>
                <w:szCs w:val="18"/>
                <w:lang w:eastAsia="en-IL"/>
              </w:rPr>
            </w:pPr>
            <w:r w:rsidRPr="00802EE9">
              <w:rPr>
                <w:rFonts w:ascii="Calibri" w:eastAsia="Times New Roman" w:hAnsi="Calibri" w:cs="Calibri"/>
                <w:color w:val="0000FF"/>
                <w:sz w:val="18"/>
                <w:szCs w:val="18"/>
                <w:lang w:eastAsia="en-IL"/>
              </w:rPr>
              <w:t>2.11</w:t>
            </w:r>
          </w:p>
        </w:tc>
        <w:tc>
          <w:tcPr>
            <w:tcW w:w="900" w:type="dxa"/>
            <w:tcBorders>
              <w:top w:val="nil"/>
              <w:left w:val="single" w:sz="12" w:space="0" w:color="auto"/>
              <w:bottom w:val="nil"/>
              <w:right w:val="nil"/>
            </w:tcBorders>
            <w:shd w:val="clear" w:color="auto" w:fill="auto"/>
            <w:vAlign w:val="center"/>
            <w:hideMark/>
          </w:tcPr>
          <w:p w14:paraId="0CDD9174" w14:textId="77777777" w:rsidR="00247238" w:rsidRPr="00802EE9" w:rsidRDefault="00247238" w:rsidP="00247238">
            <w:pPr>
              <w:spacing w:after="0" w:line="240" w:lineRule="auto"/>
              <w:jc w:val="center"/>
              <w:rPr>
                <w:rFonts w:ascii="Times New Roman" w:eastAsia="Times New Roman" w:hAnsi="Times New Roman" w:cs="Times New Roman"/>
                <w:color w:val="0000FF"/>
                <w:sz w:val="18"/>
                <w:szCs w:val="18"/>
                <w:lang w:eastAsia="en-IL"/>
              </w:rPr>
            </w:pPr>
            <w:r w:rsidRPr="00802EE9">
              <w:rPr>
                <w:rFonts w:ascii="Times New Roman" w:eastAsia="Times New Roman" w:hAnsi="Times New Roman" w:cs="Times New Roman"/>
                <w:color w:val="0000FF"/>
                <w:sz w:val="18"/>
                <w:szCs w:val="18"/>
                <w:lang w:eastAsia="en-IL"/>
              </w:rPr>
              <w:t>13.78%</w:t>
            </w:r>
          </w:p>
        </w:tc>
        <w:tc>
          <w:tcPr>
            <w:tcW w:w="720" w:type="dxa"/>
            <w:tcBorders>
              <w:top w:val="nil"/>
              <w:left w:val="nil"/>
              <w:bottom w:val="nil"/>
              <w:right w:val="single" w:sz="12" w:space="0" w:color="auto"/>
            </w:tcBorders>
            <w:shd w:val="clear" w:color="auto" w:fill="auto"/>
            <w:noWrap/>
            <w:vAlign w:val="center"/>
            <w:hideMark/>
          </w:tcPr>
          <w:p w14:paraId="2B21BC2D" w14:textId="77777777" w:rsidR="00247238" w:rsidRPr="00802EE9" w:rsidRDefault="00247238" w:rsidP="00247238">
            <w:pPr>
              <w:spacing w:after="0" w:line="240" w:lineRule="auto"/>
              <w:jc w:val="center"/>
              <w:rPr>
                <w:rFonts w:ascii="Calibri" w:eastAsia="Times New Roman" w:hAnsi="Calibri" w:cs="Calibri"/>
                <w:color w:val="0000FF"/>
                <w:sz w:val="18"/>
                <w:szCs w:val="18"/>
                <w:lang w:eastAsia="en-IL"/>
              </w:rPr>
            </w:pPr>
            <w:r w:rsidRPr="00802EE9">
              <w:rPr>
                <w:rFonts w:ascii="Calibri" w:eastAsia="Times New Roman" w:hAnsi="Calibri" w:cs="Calibri"/>
                <w:color w:val="0000FF"/>
                <w:sz w:val="18"/>
                <w:szCs w:val="18"/>
                <w:lang w:eastAsia="en-IL"/>
              </w:rPr>
              <w:t>3.25</w:t>
            </w:r>
          </w:p>
        </w:tc>
      </w:tr>
      <w:tr w:rsidR="00247238" w:rsidRPr="00247238" w14:paraId="060FCEAC" w14:textId="77777777" w:rsidTr="00247238">
        <w:trPr>
          <w:trHeight w:val="300"/>
        </w:trPr>
        <w:tc>
          <w:tcPr>
            <w:tcW w:w="1403" w:type="dxa"/>
            <w:tcBorders>
              <w:top w:val="nil"/>
              <w:left w:val="single" w:sz="12" w:space="0" w:color="auto"/>
              <w:bottom w:val="nil"/>
              <w:right w:val="nil"/>
            </w:tcBorders>
            <w:shd w:val="clear" w:color="auto" w:fill="auto"/>
            <w:noWrap/>
            <w:vAlign w:val="bottom"/>
            <w:hideMark/>
          </w:tcPr>
          <w:p w14:paraId="5E3F6E54" w14:textId="77777777" w:rsidR="00247238" w:rsidRPr="00802EE9" w:rsidRDefault="00247238" w:rsidP="00247238">
            <w:pPr>
              <w:spacing w:after="0" w:line="240" w:lineRule="auto"/>
              <w:rPr>
                <w:rFonts w:ascii="Calibri" w:eastAsia="Times New Roman" w:hAnsi="Calibri" w:cs="Calibri"/>
                <w:color w:val="0000FF"/>
                <w:lang w:eastAsia="en-IL"/>
              </w:rPr>
            </w:pPr>
            <w:r w:rsidRPr="00802EE9">
              <w:rPr>
                <w:rFonts w:ascii="Calibri" w:eastAsia="Times New Roman" w:hAnsi="Calibri" w:cs="Calibri"/>
                <w:color w:val="0000FF"/>
                <w:lang w:eastAsia="en-IL"/>
              </w:rPr>
              <w:t>1 to 150</w:t>
            </w:r>
          </w:p>
        </w:tc>
        <w:tc>
          <w:tcPr>
            <w:tcW w:w="977" w:type="dxa"/>
            <w:tcBorders>
              <w:top w:val="nil"/>
              <w:left w:val="single" w:sz="12" w:space="0" w:color="auto"/>
              <w:bottom w:val="nil"/>
              <w:right w:val="nil"/>
            </w:tcBorders>
            <w:shd w:val="clear" w:color="auto" w:fill="auto"/>
            <w:vAlign w:val="center"/>
            <w:hideMark/>
          </w:tcPr>
          <w:p w14:paraId="42788740" w14:textId="77777777" w:rsidR="00247238" w:rsidRPr="00802EE9" w:rsidRDefault="00247238" w:rsidP="00247238">
            <w:pPr>
              <w:spacing w:after="0" w:line="240" w:lineRule="auto"/>
              <w:jc w:val="center"/>
              <w:rPr>
                <w:rFonts w:ascii="Times New Roman" w:eastAsia="Times New Roman" w:hAnsi="Times New Roman" w:cs="Times New Roman"/>
                <w:color w:val="0000FF"/>
                <w:sz w:val="18"/>
                <w:szCs w:val="18"/>
                <w:lang w:eastAsia="en-IL"/>
              </w:rPr>
            </w:pPr>
            <w:r w:rsidRPr="00802EE9">
              <w:rPr>
                <w:rFonts w:ascii="Times New Roman" w:eastAsia="Times New Roman" w:hAnsi="Times New Roman" w:cs="Times New Roman"/>
                <w:color w:val="0000FF"/>
                <w:sz w:val="18"/>
                <w:szCs w:val="18"/>
                <w:lang w:eastAsia="en-IL"/>
              </w:rPr>
              <w:t>-5.75%</w:t>
            </w:r>
          </w:p>
        </w:tc>
        <w:tc>
          <w:tcPr>
            <w:tcW w:w="724" w:type="dxa"/>
            <w:tcBorders>
              <w:top w:val="nil"/>
              <w:left w:val="nil"/>
              <w:bottom w:val="nil"/>
              <w:right w:val="single" w:sz="12" w:space="0" w:color="auto"/>
            </w:tcBorders>
            <w:shd w:val="clear" w:color="auto" w:fill="auto"/>
            <w:noWrap/>
            <w:vAlign w:val="center"/>
            <w:hideMark/>
          </w:tcPr>
          <w:p w14:paraId="24E969F5" w14:textId="77777777" w:rsidR="00247238" w:rsidRPr="00802EE9" w:rsidRDefault="00247238" w:rsidP="00247238">
            <w:pPr>
              <w:spacing w:after="0" w:line="240" w:lineRule="auto"/>
              <w:jc w:val="center"/>
              <w:rPr>
                <w:rFonts w:ascii="Calibri" w:eastAsia="Times New Roman" w:hAnsi="Calibri" w:cs="Calibri"/>
                <w:color w:val="0000FF"/>
                <w:sz w:val="18"/>
                <w:szCs w:val="18"/>
                <w:lang w:eastAsia="en-IL"/>
              </w:rPr>
            </w:pPr>
            <w:r w:rsidRPr="00802EE9">
              <w:rPr>
                <w:rFonts w:ascii="Calibri" w:eastAsia="Times New Roman" w:hAnsi="Calibri" w:cs="Calibri"/>
                <w:color w:val="0000FF"/>
                <w:sz w:val="18"/>
                <w:szCs w:val="18"/>
                <w:lang w:eastAsia="en-IL"/>
              </w:rPr>
              <w:t>-1.30</w:t>
            </w:r>
          </w:p>
        </w:tc>
        <w:tc>
          <w:tcPr>
            <w:tcW w:w="936" w:type="dxa"/>
            <w:tcBorders>
              <w:top w:val="nil"/>
              <w:left w:val="nil"/>
              <w:bottom w:val="nil"/>
              <w:right w:val="nil"/>
            </w:tcBorders>
            <w:shd w:val="clear" w:color="auto" w:fill="auto"/>
            <w:vAlign w:val="center"/>
            <w:hideMark/>
          </w:tcPr>
          <w:p w14:paraId="2992AF53" w14:textId="77777777" w:rsidR="00247238" w:rsidRPr="00802EE9" w:rsidRDefault="00247238" w:rsidP="00247238">
            <w:pPr>
              <w:spacing w:after="0" w:line="240" w:lineRule="auto"/>
              <w:jc w:val="center"/>
              <w:rPr>
                <w:rFonts w:ascii="Times New Roman" w:eastAsia="Times New Roman" w:hAnsi="Times New Roman" w:cs="Times New Roman"/>
                <w:color w:val="0000FF"/>
                <w:sz w:val="18"/>
                <w:szCs w:val="18"/>
                <w:lang w:eastAsia="en-IL"/>
              </w:rPr>
            </w:pPr>
            <w:r w:rsidRPr="00802EE9">
              <w:rPr>
                <w:rFonts w:ascii="Times New Roman" w:eastAsia="Times New Roman" w:hAnsi="Times New Roman" w:cs="Times New Roman"/>
                <w:color w:val="0000FF"/>
                <w:sz w:val="18"/>
                <w:szCs w:val="18"/>
                <w:lang w:eastAsia="en-IL"/>
              </w:rPr>
              <w:t>-1.49%</w:t>
            </w:r>
          </w:p>
        </w:tc>
        <w:tc>
          <w:tcPr>
            <w:tcW w:w="640" w:type="dxa"/>
            <w:tcBorders>
              <w:top w:val="nil"/>
              <w:left w:val="nil"/>
              <w:bottom w:val="nil"/>
              <w:right w:val="nil"/>
            </w:tcBorders>
            <w:shd w:val="clear" w:color="auto" w:fill="auto"/>
            <w:noWrap/>
            <w:vAlign w:val="center"/>
            <w:hideMark/>
          </w:tcPr>
          <w:p w14:paraId="7B5CDC63" w14:textId="77777777" w:rsidR="00247238" w:rsidRPr="00802EE9" w:rsidRDefault="00247238" w:rsidP="00247238">
            <w:pPr>
              <w:spacing w:after="0" w:line="240" w:lineRule="auto"/>
              <w:jc w:val="center"/>
              <w:rPr>
                <w:rFonts w:ascii="Calibri" w:eastAsia="Times New Roman" w:hAnsi="Calibri" w:cs="Calibri"/>
                <w:color w:val="0000FF"/>
                <w:sz w:val="18"/>
                <w:szCs w:val="18"/>
                <w:lang w:eastAsia="en-IL"/>
              </w:rPr>
            </w:pPr>
            <w:r w:rsidRPr="00802EE9">
              <w:rPr>
                <w:rFonts w:ascii="Calibri" w:eastAsia="Times New Roman" w:hAnsi="Calibri" w:cs="Calibri"/>
                <w:color w:val="0000FF"/>
                <w:sz w:val="18"/>
                <w:szCs w:val="18"/>
                <w:lang w:eastAsia="en-IL"/>
              </w:rPr>
              <w:t>-0.35</w:t>
            </w:r>
          </w:p>
        </w:tc>
        <w:tc>
          <w:tcPr>
            <w:tcW w:w="860" w:type="dxa"/>
            <w:tcBorders>
              <w:top w:val="nil"/>
              <w:left w:val="single" w:sz="12" w:space="0" w:color="auto"/>
              <w:bottom w:val="nil"/>
              <w:right w:val="nil"/>
            </w:tcBorders>
            <w:shd w:val="clear" w:color="auto" w:fill="auto"/>
            <w:vAlign w:val="center"/>
            <w:hideMark/>
          </w:tcPr>
          <w:p w14:paraId="347FCEFB" w14:textId="77777777" w:rsidR="00247238" w:rsidRPr="00802EE9" w:rsidRDefault="00247238" w:rsidP="00247238">
            <w:pPr>
              <w:spacing w:after="0" w:line="240" w:lineRule="auto"/>
              <w:jc w:val="center"/>
              <w:rPr>
                <w:rFonts w:ascii="Times New Roman" w:eastAsia="Times New Roman" w:hAnsi="Times New Roman" w:cs="Times New Roman"/>
                <w:color w:val="0000FF"/>
                <w:sz w:val="18"/>
                <w:szCs w:val="18"/>
                <w:lang w:eastAsia="en-IL"/>
              </w:rPr>
            </w:pPr>
            <w:r w:rsidRPr="00802EE9">
              <w:rPr>
                <w:rFonts w:ascii="Times New Roman" w:eastAsia="Times New Roman" w:hAnsi="Times New Roman" w:cs="Times New Roman"/>
                <w:color w:val="0000FF"/>
                <w:sz w:val="18"/>
                <w:szCs w:val="18"/>
                <w:lang w:eastAsia="en-IL"/>
              </w:rPr>
              <w:t>5.42%</w:t>
            </w:r>
          </w:p>
        </w:tc>
        <w:tc>
          <w:tcPr>
            <w:tcW w:w="740" w:type="dxa"/>
            <w:tcBorders>
              <w:top w:val="nil"/>
              <w:left w:val="nil"/>
              <w:bottom w:val="nil"/>
              <w:right w:val="single" w:sz="12" w:space="0" w:color="auto"/>
            </w:tcBorders>
            <w:shd w:val="clear" w:color="auto" w:fill="auto"/>
            <w:noWrap/>
            <w:vAlign w:val="center"/>
            <w:hideMark/>
          </w:tcPr>
          <w:p w14:paraId="26344754" w14:textId="77777777" w:rsidR="00247238" w:rsidRPr="00802EE9" w:rsidRDefault="00247238" w:rsidP="00247238">
            <w:pPr>
              <w:spacing w:after="0" w:line="240" w:lineRule="auto"/>
              <w:jc w:val="center"/>
              <w:rPr>
                <w:rFonts w:ascii="Calibri" w:eastAsia="Times New Roman" w:hAnsi="Calibri" w:cs="Calibri"/>
                <w:color w:val="0000FF"/>
                <w:sz w:val="18"/>
                <w:szCs w:val="18"/>
                <w:lang w:eastAsia="en-IL"/>
              </w:rPr>
            </w:pPr>
            <w:r w:rsidRPr="00802EE9">
              <w:rPr>
                <w:rFonts w:ascii="Calibri" w:eastAsia="Times New Roman" w:hAnsi="Calibri" w:cs="Calibri"/>
                <w:color w:val="0000FF"/>
                <w:sz w:val="18"/>
                <w:szCs w:val="18"/>
                <w:lang w:eastAsia="en-IL"/>
              </w:rPr>
              <w:t>1.27</w:t>
            </w:r>
          </w:p>
        </w:tc>
        <w:tc>
          <w:tcPr>
            <w:tcW w:w="820" w:type="dxa"/>
            <w:tcBorders>
              <w:top w:val="nil"/>
              <w:left w:val="nil"/>
              <w:bottom w:val="nil"/>
              <w:right w:val="nil"/>
            </w:tcBorders>
            <w:shd w:val="clear" w:color="auto" w:fill="auto"/>
            <w:vAlign w:val="center"/>
            <w:hideMark/>
          </w:tcPr>
          <w:p w14:paraId="3EA13AAE" w14:textId="77777777" w:rsidR="00247238" w:rsidRPr="00802EE9" w:rsidRDefault="00247238" w:rsidP="00247238">
            <w:pPr>
              <w:spacing w:after="0" w:line="240" w:lineRule="auto"/>
              <w:jc w:val="center"/>
              <w:rPr>
                <w:rFonts w:ascii="Times New Roman" w:eastAsia="Times New Roman" w:hAnsi="Times New Roman" w:cs="Times New Roman"/>
                <w:color w:val="0000FF"/>
                <w:sz w:val="18"/>
                <w:szCs w:val="18"/>
                <w:lang w:eastAsia="en-IL"/>
              </w:rPr>
            </w:pPr>
            <w:r w:rsidRPr="00802EE9">
              <w:rPr>
                <w:rFonts w:ascii="Times New Roman" w:eastAsia="Times New Roman" w:hAnsi="Times New Roman" w:cs="Times New Roman"/>
                <w:color w:val="0000FF"/>
                <w:sz w:val="18"/>
                <w:szCs w:val="18"/>
                <w:lang w:eastAsia="en-IL"/>
              </w:rPr>
              <w:t>4.27%</w:t>
            </w:r>
          </w:p>
        </w:tc>
        <w:tc>
          <w:tcPr>
            <w:tcW w:w="680" w:type="dxa"/>
            <w:tcBorders>
              <w:top w:val="nil"/>
              <w:left w:val="nil"/>
              <w:bottom w:val="nil"/>
              <w:right w:val="nil"/>
            </w:tcBorders>
            <w:shd w:val="clear" w:color="auto" w:fill="auto"/>
            <w:noWrap/>
            <w:vAlign w:val="center"/>
            <w:hideMark/>
          </w:tcPr>
          <w:p w14:paraId="4A5504E5" w14:textId="77777777" w:rsidR="00247238" w:rsidRPr="00802EE9" w:rsidRDefault="00247238" w:rsidP="00247238">
            <w:pPr>
              <w:spacing w:after="0" w:line="240" w:lineRule="auto"/>
              <w:jc w:val="center"/>
              <w:rPr>
                <w:rFonts w:ascii="Calibri" w:eastAsia="Times New Roman" w:hAnsi="Calibri" w:cs="Calibri"/>
                <w:color w:val="0000FF"/>
                <w:sz w:val="18"/>
                <w:szCs w:val="18"/>
                <w:lang w:eastAsia="en-IL"/>
              </w:rPr>
            </w:pPr>
            <w:r w:rsidRPr="00802EE9">
              <w:rPr>
                <w:rFonts w:ascii="Calibri" w:eastAsia="Times New Roman" w:hAnsi="Calibri" w:cs="Calibri"/>
                <w:color w:val="0000FF"/>
                <w:sz w:val="18"/>
                <w:szCs w:val="18"/>
                <w:lang w:eastAsia="en-IL"/>
              </w:rPr>
              <w:t>0.99</w:t>
            </w:r>
          </w:p>
        </w:tc>
        <w:tc>
          <w:tcPr>
            <w:tcW w:w="900" w:type="dxa"/>
            <w:tcBorders>
              <w:top w:val="nil"/>
              <w:left w:val="single" w:sz="12" w:space="0" w:color="auto"/>
              <w:bottom w:val="nil"/>
              <w:right w:val="nil"/>
            </w:tcBorders>
            <w:shd w:val="clear" w:color="auto" w:fill="auto"/>
            <w:vAlign w:val="center"/>
            <w:hideMark/>
          </w:tcPr>
          <w:p w14:paraId="3AA99D4F" w14:textId="77777777" w:rsidR="00247238" w:rsidRPr="00802EE9" w:rsidRDefault="00247238" w:rsidP="00247238">
            <w:pPr>
              <w:spacing w:after="0" w:line="240" w:lineRule="auto"/>
              <w:jc w:val="center"/>
              <w:rPr>
                <w:rFonts w:ascii="Times New Roman" w:eastAsia="Times New Roman" w:hAnsi="Times New Roman" w:cs="Times New Roman"/>
                <w:color w:val="0000FF"/>
                <w:sz w:val="18"/>
                <w:szCs w:val="18"/>
                <w:lang w:eastAsia="en-IL"/>
              </w:rPr>
            </w:pPr>
            <w:r w:rsidRPr="00802EE9">
              <w:rPr>
                <w:rFonts w:ascii="Times New Roman" w:eastAsia="Times New Roman" w:hAnsi="Times New Roman" w:cs="Times New Roman"/>
                <w:color w:val="0000FF"/>
                <w:sz w:val="18"/>
                <w:szCs w:val="18"/>
                <w:lang w:eastAsia="en-IL"/>
              </w:rPr>
              <w:t>10.20%</w:t>
            </w:r>
          </w:p>
        </w:tc>
        <w:tc>
          <w:tcPr>
            <w:tcW w:w="720" w:type="dxa"/>
            <w:tcBorders>
              <w:top w:val="nil"/>
              <w:left w:val="nil"/>
              <w:bottom w:val="nil"/>
              <w:right w:val="single" w:sz="12" w:space="0" w:color="auto"/>
            </w:tcBorders>
            <w:shd w:val="clear" w:color="auto" w:fill="auto"/>
            <w:noWrap/>
            <w:vAlign w:val="center"/>
            <w:hideMark/>
          </w:tcPr>
          <w:p w14:paraId="1804AA8E" w14:textId="77777777" w:rsidR="00247238" w:rsidRPr="00802EE9" w:rsidRDefault="00247238" w:rsidP="00247238">
            <w:pPr>
              <w:spacing w:after="0" w:line="240" w:lineRule="auto"/>
              <w:jc w:val="center"/>
              <w:rPr>
                <w:rFonts w:ascii="Calibri" w:eastAsia="Times New Roman" w:hAnsi="Calibri" w:cs="Calibri"/>
                <w:color w:val="0000FF"/>
                <w:sz w:val="18"/>
                <w:szCs w:val="18"/>
                <w:lang w:eastAsia="en-IL"/>
              </w:rPr>
            </w:pPr>
            <w:r w:rsidRPr="00802EE9">
              <w:rPr>
                <w:rFonts w:ascii="Calibri" w:eastAsia="Times New Roman" w:hAnsi="Calibri" w:cs="Calibri"/>
                <w:color w:val="0000FF"/>
                <w:sz w:val="18"/>
                <w:szCs w:val="18"/>
                <w:lang w:eastAsia="en-IL"/>
              </w:rPr>
              <w:t>2.47</w:t>
            </w:r>
          </w:p>
        </w:tc>
      </w:tr>
      <w:tr w:rsidR="00247238" w:rsidRPr="00247238" w14:paraId="77D1D115" w14:textId="77777777" w:rsidTr="00247238">
        <w:trPr>
          <w:trHeight w:val="300"/>
        </w:trPr>
        <w:tc>
          <w:tcPr>
            <w:tcW w:w="1403" w:type="dxa"/>
            <w:tcBorders>
              <w:top w:val="nil"/>
              <w:left w:val="single" w:sz="12" w:space="0" w:color="auto"/>
              <w:bottom w:val="nil"/>
              <w:right w:val="nil"/>
            </w:tcBorders>
            <w:shd w:val="clear" w:color="auto" w:fill="auto"/>
            <w:noWrap/>
            <w:vAlign w:val="bottom"/>
            <w:hideMark/>
          </w:tcPr>
          <w:p w14:paraId="27786218" w14:textId="77777777" w:rsidR="00247238" w:rsidRPr="00802EE9" w:rsidRDefault="00247238" w:rsidP="00247238">
            <w:pPr>
              <w:spacing w:after="0" w:line="240" w:lineRule="auto"/>
              <w:rPr>
                <w:rFonts w:ascii="Calibri" w:eastAsia="Times New Roman" w:hAnsi="Calibri" w:cs="Calibri"/>
                <w:color w:val="0000FF"/>
                <w:lang w:eastAsia="en-IL"/>
              </w:rPr>
            </w:pPr>
            <w:r w:rsidRPr="00802EE9">
              <w:rPr>
                <w:rFonts w:ascii="Calibri" w:eastAsia="Times New Roman" w:hAnsi="Calibri" w:cs="Calibri"/>
                <w:color w:val="0000FF"/>
                <w:lang w:eastAsia="en-IL"/>
              </w:rPr>
              <w:t>1 to 200</w:t>
            </w:r>
          </w:p>
        </w:tc>
        <w:tc>
          <w:tcPr>
            <w:tcW w:w="977" w:type="dxa"/>
            <w:tcBorders>
              <w:top w:val="nil"/>
              <w:left w:val="single" w:sz="12" w:space="0" w:color="auto"/>
              <w:bottom w:val="nil"/>
              <w:right w:val="nil"/>
            </w:tcBorders>
            <w:shd w:val="clear" w:color="auto" w:fill="auto"/>
            <w:vAlign w:val="center"/>
            <w:hideMark/>
          </w:tcPr>
          <w:p w14:paraId="505802BE" w14:textId="77777777" w:rsidR="00247238" w:rsidRPr="00802EE9" w:rsidRDefault="00247238" w:rsidP="00247238">
            <w:pPr>
              <w:spacing w:after="0" w:line="240" w:lineRule="auto"/>
              <w:jc w:val="center"/>
              <w:rPr>
                <w:rFonts w:ascii="Times New Roman" w:eastAsia="Times New Roman" w:hAnsi="Times New Roman" w:cs="Times New Roman"/>
                <w:color w:val="0000FF"/>
                <w:sz w:val="18"/>
                <w:szCs w:val="18"/>
                <w:lang w:eastAsia="en-IL"/>
              </w:rPr>
            </w:pPr>
            <w:r w:rsidRPr="00802EE9">
              <w:rPr>
                <w:rFonts w:ascii="Times New Roman" w:eastAsia="Times New Roman" w:hAnsi="Times New Roman" w:cs="Times New Roman"/>
                <w:color w:val="0000FF"/>
                <w:sz w:val="18"/>
                <w:szCs w:val="18"/>
                <w:lang w:eastAsia="en-IL"/>
              </w:rPr>
              <w:t>-9.59%</w:t>
            </w:r>
          </w:p>
        </w:tc>
        <w:tc>
          <w:tcPr>
            <w:tcW w:w="724" w:type="dxa"/>
            <w:tcBorders>
              <w:top w:val="nil"/>
              <w:left w:val="nil"/>
              <w:bottom w:val="nil"/>
              <w:right w:val="single" w:sz="12" w:space="0" w:color="auto"/>
            </w:tcBorders>
            <w:shd w:val="clear" w:color="auto" w:fill="auto"/>
            <w:noWrap/>
            <w:vAlign w:val="center"/>
            <w:hideMark/>
          </w:tcPr>
          <w:p w14:paraId="5B6E0C90" w14:textId="77777777" w:rsidR="00247238" w:rsidRPr="00802EE9" w:rsidRDefault="00247238" w:rsidP="00247238">
            <w:pPr>
              <w:spacing w:after="0" w:line="240" w:lineRule="auto"/>
              <w:jc w:val="center"/>
              <w:rPr>
                <w:rFonts w:ascii="Calibri" w:eastAsia="Times New Roman" w:hAnsi="Calibri" w:cs="Calibri"/>
                <w:color w:val="0000FF"/>
                <w:sz w:val="18"/>
                <w:szCs w:val="18"/>
                <w:lang w:eastAsia="en-IL"/>
              </w:rPr>
            </w:pPr>
            <w:r w:rsidRPr="00802EE9">
              <w:rPr>
                <w:rFonts w:ascii="Calibri" w:eastAsia="Times New Roman" w:hAnsi="Calibri" w:cs="Calibri"/>
                <w:color w:val="0000FF"/>
                <w:sz w:val="18"/>
                <w:szCs w:val="18"/>
                <w:lang w:eastAsia="en-IL"/>
              </w:rPr>
              <w:t>-2.08</w:t>
            </w:r>
          </w:p>
        </w:tc>
        <w:tc>
          <w:tcPr>
            <w:tcW w:w="936" w:type="dxa"/>
            <w:tcBorders>
              <w:top w:val="nil"/>
              <w:left w:val="nil"/>
              <w:bottom w:val="nil"/>
              <w:right w:val="nil"/>
            </w:tcBorders>
            <w:shd w:val="clear" w:color="auto" w:fill="auto"/>
            <w:vAlign w:val="center"/>
            <w:hideMark/>
          </w:tcPr>
          <w:p w14:paraId="27E4CC7A" w14:textId="77777777" w:rsidR="00247238" w:rsidRPr="00802EE9" w:rsidRDefault="00247238" w:rsidP="00247238">
            <w:pPr>
              <w:spacing w:after="0" w:line="240" w:lineRule="auto"/>
              <w:jc w:val="center"/>
              <w:rPr>
                <w:rFonts w:ascii="Times New Roman" w:eastAsia="Times New Roman" w:hAnsi="Times New Roman" w:cs="Times New Roman"/>
                <w:color w:val="0000FF"/>
                <w:sz w:val="18"/>
                <w:szCs w:val="18"/>
                <w:lang w:eastAsia="en-IL"/>
              </w:rPr>
            </w:pPr>
            <w:r w:rsidRPr="00802EE9">
              <w:rPr>
                <w:rFonts w:ascii="Times New Roman" w:eastAsia="Times New Roman" w:hAnsi="Times New Roman" w:cs="Times New Roman"/>
                <w:color w:val="0000FF"/>
                <w:sz w:val="18"/>
                <w:szCs w:val="18"/>
                <w:lang w:eastAsia="en-IL"/>
              </w:rPr>
              <w:t>-3.24%</w:t>
            </w:r>
          </w:p>
        </w:tc>
        <w:tc>
          <w:tcPr>
            <w:tcW w:w="640" w:type="dxa"/>
            <w:tcBorders>
              <w:top w:val="nil"/>
              <w:left w:val="nil"/>
              <w:bottom w:val="nil"/>
              <w:right w:val="nil"/>
            </w:tcBorders>
            <w:shd w:val="clear" w:color="auto" w:fill="auto"/>
            <w:noWrap/>
            <w:vAlign w:val="center"/>
            <w:hideMark/>
          </w:tcPr>
          <w:p w14:paraId="0F8527D6" w14:textId="77777777" w:rsidR="00247238" w:rsidRPr="00802EE9" w:rsidRDefault="00247238" w:rsidP="00247238">
            <w:pPr>
              <w:spacing w:after="0" w:line="240" w:lineRule="auto"/>
              <w:jc w:val="center"/>
              <w:rPr>
                <w:rFonts w:ascii="Calibri" w:eastAsia="Times New Roman" w:hAnsi="Calibri" w:cs="Calibri"/>
                <w:color w:val="0000FF"/>
                <w:sz w:val="18"/>
                <w:szCs w:val="18"/>
                <w:lang w:eastAsia="en-IL"/>
              </w:rPr>
            </w:pPr>
            <w:r w:rsidRPr="00802EE9">
              <w:rPr>
                <w:rFonts w:ascii="Calibri" w:eastAsia="Times New Roman" w:hAnsi="Calibri" w:cs="Calibri"/>
                <w:color w:val="0000FF"/>
                <w:sz w:val="18"/>
                <w:szCs w:val="18"/>
                <w:lang w:eastAsia="en-IL"/>
              </w:rPr>
              <w:t>-0.73</w:t>
            </w:r>
          </w:p>
        </w:tc>
        <w:tc>
          <w:tcPr>
            <w:tcW w:w="860" w:type="dxa"/>
            <w:tcBorders>
              <w:top w:val="nil"/>
              <w:left w:val="single" w:sz="12" w:space="0" w:color="auto"/>
              <w:bottom w:val="nil"/>
              <w:right w:val="nil"/>
            </w:tcBorders>
            <w:shd w:val="clear" w:color="auto" w:fill="auto"/>
            <w:vAlign w:val="center"/>
            <w:hideMark/>
          </w:tcPr>
          <w:p w14:paraId="0255E31C" w14:textId="77777777" w:rsidR="00247238" w:rsidRPr="00802EE9" w:rsidRDefault="00247238" w:rsidP="00247238">
            <w:pPr>
              <w:spacing w:after="0" w:line="240" w:lineRule="auto"/>
              <w:jc w:val="center"/>
              <w:rPr>
                <w:rFonts w:ascii="Times New Roman" w:eastAsia="Times New Roman" w:hAnsi="Times New Roman" w:cs="Times New Roman"/>
                <w:color w:val="0000FF"/>
                <w:sz w:val="18"/>
                <w:szCs w:val="18"/>
                <w:lang w:eastAsia="en-IL"/>
              </w:rPr>
            </w:pPr>
            <w:r w:rsidRPr="00802EE9">
              <w:rPr>
                <w:rFonts w:ascii="Times New Roman" w:eastAsia="Times New Roman" w:hAnsi="Times New Roman" w:cs="Times New Roman"/>
                <w:color w:val="0000FF"/>
                <w:sz w:val="18"/>
                <w:szCs w:val="18"/>
                <w:lang w:eastAsia="en-IL"/>
              </w:rPr>
              <w:t>5.33%</w:t>
            </w:r>
          </w:p>
        </w:tc>
        <w:tc>
          <w:tcPr>
            <w:tcW w:w="740" w:type="dxa"/>
            <w:tcBorders>
              <w:top w:val="nil"/>
              <w:left w:val="nil"/>
              <w:bottom w:val="nil"/>
              <w:right w:val="single" w:sz="12" w:space="0" w:color="auto"/>
            </w:tcBorders>
            <w:shd w:val="clear" w:color="auto" w:fill="auto"/>
            <w:noWrap/>
            <w:vAlign w:val="center"/>
            <w:hideMark/>
          </w:tcPr>
          <w:p w14:paraId="33F65CA6" w14:textId="77777777" w:rsidR="00247238" w:rsidRPr="00802EE9" w:rsidRDefault="00247238" w:rsidP="00247238">
            <w:pPr>
              <w:spacing w:after="0" w:line="240" w:lineRule="auto"/>
              <w:jc w:val="center"/>
              <w:rPr>
                <w:rFonts w:ascii="Calibri" w:eastAsia="Times New Roman" w:hAnsi="Calibri" w:cs="Calibri"/>
                <w:color w:val="0000FF"/>
                <w:sz w:val="18"/>
                <w:szCs w:val="18"/>
                <w:lang w:eastAsia="en-IL"/>
              </w:rPr>
            </w:pPr>
            <w:r w:rsidRPr="00802EE9">
              <w:rPr>
                <w:rFonts w:ascii="Calibri" w:eastAsia="Times New Roman" w:hAnsi="Calibri" w:cs="Calibri"/>
                <w:color w:val="0000FF"/>
                <w:sz w:val="18"/>
                <w:szCs w:val="18"/>
                <w:lang w:eastAsia="en-IL"/>
              </w:rPr>
              <w:t>1.24</w:t>
            </w:r>
          </w:p>
        </w:tc>
        <w:tc>
          <w:tcPr>
            <w:tcW w:w="820" w:type="dxa"/>
            <w:tcBorders>
              <w:top w:val="nil"/>
              <w:left w:val="nil"/>
              <w:bottom w:val="nil"/>
              <w:right w:val="nil"/>
            </w:tcBorders>
            <w:shd w:val="clear" w:color="auto" w:fill="auto"/>
            <w:vAlign w:val="center"/>
            <w:hideMark/>
          </w:tcPr>
          <w:p w14:paraId="0D4D1DFB" w14:textId="77777777" w:rsidR="00247238" w:rsidRPr="00802EE9" w:rsidRDefault="00247238" w:rsidP="00247238">
            <w:pPr>
              <w:spacing w:after="0" w:line="240" w:lineRule="auto"/>
              <w:jc w:val="center"/>
              <w:rPr>
                <w:rFonts w:ascii="Times New Roman" w:eastAsia="Times New Roman" w:hAnsi="Times New Roman" w:cs="Times New Roman"/>
                <w:color w:val="0000FF"/>
                <w:sz w:val="18"/>
                <w:szCs w:val="18"/>
                <w:lang w:eastAsia="en-IL"/>
              </w:rPr>
            </w:pPr>
            <w:r w:rsidRPr="00802EE9">
              <w:rPr>
                <w:rFonts w:ascii="Times New Roman" w:eastAsia="Times New Roman" w:hAnsi="Times New Roman" w:cs="Times New Roman"/>
                <w:color w:val="0000FF"/>
                <w:sz w:val="18"/>
                <w:szCs w:val="18"/>
                <w:lang w:eastAsia="en-IL"/>
              </w:rPr>
              <w:t>5.29%</w:t>
            </w:r>
          </w:p>
        </w:tc>
        <w:tc>
          <w:tcPr>
            <w:tcW w:w="680" w:type="dxa"/>
            <w:tcBorders>
              <w:top w:val="nil"/>
              <w:left w:val="nil"/>
              <w:bottom w:val="nil"/>
              <w:right w:val="nil"/>
            </w:tcBorders>
            <w:shd w:val="clear" w:color="auto" w:fill="auto"/>
            <w:noWrap/>
            <w:vAlign w:val="center"/>
            <w:hideMark/>
          </w:tcPr>
          <w:p w14:paraId="6283F036" w14:textId="77777777" w:rsidR="00247238" w:rsidRPr="00802EE9" w:rsidRDefault="00247238" w:rsidP="00247238">
            <w:pPr>
              <w:spacing w:after="0" w:line="240" w:lineRule="auto"/>
              <w:jc w:val="center"/>
              <w:rPr>
                <w:rFonts w:ascii="Calibri" w:eastAsia="Times New Roman" w:hAnsi="Calibri" w:cs="Calibri"/>
                <w:color w:val="0000FF"/>
                <w:sz w:val="18"/>
                <w:szCs w:val="18"/>
                <w:lang w:eastAsia="en-IL"/>
              </w:rPr>
            </w:pPr>
            <w:r w:rsidRPr="00802EE9">
              <w:rPr>
                <w:rFonts w:ascii="Calibri" w:eastAsia="Times New Roman" w:hAnsi="Calibri" w:cs="Calibri"/>
                <w:color w:val="0000FF"/>
                <w:sz w:val="18"/>
                <w:szCs w:val="18"/>
                <w:lang w:eastAsia="en-IL"/>
              </w:rPr>
              <w:t>1.21</w:t>
            </w:r>
          </w:p>
        </w:tc>
        <w:tc>
          <w:tcPr>
            <w:tcW w:w="900" w:type="dxa"/>
            <w:tcBorders>
              <w:top w:val="nil"/>
              <w:left w:val="single" w:sz="12" w:space="0" w:color="auto"/>
              <w:bottom w:val="nil"/>
              <w:right w:val="nil"/>
            </w:tcBorders>
            <w:shd w:val="clear" w:color="auto" w:fill="auto"/>
            <w:vAlign w:val="center"/>
            <w:hideMark/>
          </w:tcPr>
          <w:p w14:paraId="7AA33323" w14:textId="77777777" w:rsidR="00247238" w:rsidRPr="00802EE9" w:rsidRDefault="00247238" w:rsidP="00247238">
            <w:pPr>
              <w:spacing w:after="0" w:line="240" w:lineRule="auto"/>
              <w:jc w:val="center"/>
              <w:rPr>
                <w:rFonts w:ascii="Times New Roman" w:eastAsia="Times New Roman" w:hAnsi="Times New Roman" w:cs="Times New Roman"/>
                <w:color w:val="0000FF"/>
                <w:sz w:val="18"/>
                <w:szCs w:val="18"/>
                <w:lang w:eastAsia="en-IL"/>
              </w:rPr>
            </w:pPr>
            <w:r w:rsidRPr="00802EE9">
              <w:rPr>
                <w:rFonts w:ascii="Times New Roman" w:eastAsia="Times New Roman" w:hAnsi="Times New Roman" w:cs="Times New Roman"/>
                <w:color w:val="0000FF"/>
                <w:sz w:val="18"/>
                <w:szCs w:val="18"/>
                <w:lang w:eastAsia="en-IL"/>
              </w:rPr>
              <w:t>13.88%</w:t>
            </w:r>
          </w:p>
        </w:tc>
        <w:tc>
          <w:tcPr>
            <w:tcW w:w="720" w:type="dxa"/>
            <w:tcBorders>
              <w:top w:val="nil"/>
              <w:left w:val="nil"/>
              <w:bottom w:val="nil"/>
              <w:right w:val="single" w:sz="12" w:space="0" w:color="auto"/>
            </w:tcBorders>
            <w:shd w:val="clear" w:color="auto" w:fill="auto"/>
            <w:noWrap/>
            <w:vAlign w:val="center"/>
            <w:hideMark/>
          </w:tcPr>
          <w:p w14:paraId="61EDB8A7" w14:textId="77777777" w:rsidR="00247238" w:rsidRPr="00802EE9" w:rsidRDefault="00247238" w:rsidP="00247238">
            <w:pPr>
              <w:spacing w:after="0" w:line="240" w:lineRule="auto"/>
              <w:jc w:val="center"/>
              <w:rPr>
                <w:rFonts w:ascii="Calibri" w:eastAsia="Times New Roman" w:hAnsi="Calibri" w:cs="Calibri"/>
                <w:color w:val="0000FF"/>
                <w:sz w:val="18"/>
                <w:szCs w:val="18"/>
                <w:lang w:eastAsia="en-IL"/>
              </w:rPr>
            </w:pPr>
            <w:r w:rsidRPr="00802EE9">
              <w:rPr>
                <w:rFonts w:ascii="Calibri" w:eastAsia="Times New Roman" w:hAnsi="Calibri" w:cs="Calibri"/>
                <w:color w:val="0000FF"/>
                <w:sz w:val="18"/>
                <w:szCs w:val="18"/>
                <w:lang w:eastAsia="en-IL"/>
              </w:rPr>
              <w:t>3.55</w:t>
            </w:r>
          </w:p>
        </w:tc>
      </w:tr>
      <w:tr w:rsidR="00247238" w:rsidRPr="00247238" w14:paraId="13DB6A31" w14:textId="77777777" w:rsidTr="00247238">
        <w:trPr>
          <w:trHeight w:val="300"/>
        </w:trPr>
        <w:tc>
          <w:tcPr>
            <w:tcW w:w="1403" w:type="dxa"/>
            <w:tcBorders>
              <w:top w:val="nil"/>
              <w:left w:val="single" w:sz="12" w:space="0" w:color="auto"/>
              <w:bottom w:val="nil"/>
              <w:right w:val="nil"/>
            </w:tcBorders>
            <w:shd w:val="clear" w:color="auto" w:fill="auto"/>
            <w:noWrap/>
            <w:vAlign w:val="bottom"/>
            <w:hideMark/>
          </w:tcPr>
          <w:p w14:paraId="474EFA7B" w14:textId="77777777" w:rsidR="00247238" w:rsidRPr="00802EE9" w:rsidRDefault="00247238" w:rsidP="00247238">
            <w:pPr>
              <w:spacing w:after="0" w:line="240" w:lineRule="auto"/>
              <w:rPr>
                <w:rFonts w:ascii="Calibri" w:eastAsia="Times New Roman" w:hAnsi="Calibri" w:cs="Calibri"/>
                <w:color w:val="0000FF"/>
                <w:lang w:eastAsia="en-IL"/>
              </w:rPr>
            </w:pPr>
            <w:r w:rsidRPr="00802EE9">
              <w:rPr>
                <w:rFonts w:ascii="Calibri" w:eastAsia="Times New Roman" w:hAnsi="Calibri" w:cs="Calibri"/>
                <w:color w:val="0000FF"/>
                <w:lang w:eastAsia="en-IL"/>
              </w:rPr>
              <w:t>1 to 250</w:t>
            </w:r>
          </w:p>
        </w:tc>
        <w:tc>
          <w:tcPr>
            <w:tcW w:w="977" w:type="dxa"/>
            <w:tcBorders>
              <w:top w:val="nil"/>
              <w:left w:val="single" w:sz="12" w:space="0" w:color="auto"/>
              <w:bottom w:val="nil"/>
              <w:right w:val="nil"/>
            </w:tcBorders>
            <w:shd w:val="clear" w:color="auto" w:fill="auto"/>
            <w:vAlign w:val="center"/>
            <w:hideMark/>
          </w:tcPr>
          <w:p w14:paraId="3BEC113B" w14:textId="77777777" w:rsidR="00247238" w:rsidRPr="00802EE9" w:rsidRDefault="00247238" w:rsidP="00247238">
            <w:pPr>
              <w:spacing w:after="0" w:line="240" w:lineRule="auto"/>
              <w:jc w:val="center"/>
              <w:rPr>
                <w:rFonts w:ascii="Times New Roman" w:eastAsia="Times New Roman" w:hAnsi="Times New Roman" w:cs="Times New Roman"/>
                <w:color w:val="0000FF"/>
                <w:sz w:val="18"/>
                <w:szCs w:val="18"/>
                <w:lang w:eastAsia="en-IL"/>
              </w:rPr>
            </w:pPr>
            <w:r w:rsidRPr="00802EE9">
              <w:rPr>
                <w:rFonts w:ascii="Times New Roman" w:eastAsia="Times New Roman" w:hAnsi="Times New Roman" w:cs="Times New Roman"/>
                <w:color w:val="0000FF"/>
                <w:sz w:val="18"/>
                <w:szCs w:val="18"/>
                <w:lang w:eastAsia="en-IL"/>
              </w:rPr>
              <w:t>-15.43%</w:t>
            </w:r>
          </w:p>
        </w:tc>
        <w:tc>
          <w:tcPr>
            <w:tcW w:w="724" w:type="dxa"/>
            <w:tcBorders>
              <w:top w:val="nil"/>
              <w:left w:val="nil"/>
              <w:bottom w:val="nil"/>
              <w:right w:val="single" w:sz="12" w:space="0" w:color="auto"/>
            </w:tcBorders>
            <w:shd w:val="clear" w:color="auto" w:fill="auto"/>
            <w:noWrap/>
            <w:vAlign w:val="center"/>
            <w:hideMark/>
          </w:tcPr>
          <w:p w14:paraId="6A5DE863" w14:textId="77777777" w:rsidR="00247238" w:rsidRPr="00802EE9" w:rsidRDefault="00247238" w:rsidP="00247238">
            <w:pPr>
              <w:spacing w:after="0" w:line="240" w:lineRule="auto"/>
              <w:jc w:val="center"/>
              <w:rPr>
                <w:rFonts w:ascii="Calibri" w:eastAsia="Times New Roman" w:hAnsi="Calibri" w:cs="Calibri"/>
                <w:color w:val="0000FF"/>
                <w:sz w:val="18"/>
                <w:szCs w:val="18"/>
                <w:lang w:eastAsia="en-IL"/>
              </w:rPr>
            </w:pPr>
            <w:r w:rsidRPr="00802EE9">
              <w:rPr>
                <w:rFonts w:ascii="Calibri" w:eastAsia="Times New Roman" w:hAnsi="Calibri" w:cs="Calibri"/>
                <w:color w:val="0000FF"/>
                <w:sz w:val="18"/>
                <w:szCs w:val="18"/>
                <w:lang w:eastAsia="en-IL"/>
              </w:rPr>
              <w:t>-3.31</w:t>
            </w:r>
          </w:p>
        </w:tc>
        <w:tc>
          <w:tcPr>
            <w:tcW w:w="936" w:type="dxa"/>
            <w:tcBorders>
              <w:top w:val="nil"/>
              <w:left w:val="nil"/>
              <w:bottom w:val="nil"/>
              <w:right w:val="nil"/>
            </w:tcBorders>
            <w:shd w:val="clear" w:color="auto" w:fill="auto"/>
            <w:vAlign w:val="center"/>
            <w:hideMark/>
          </w:tcPr>
          <w:p w14:paraId="2FA903A5" w14:textId="77777777" w:rsidR="00247238" w:rsidRPr="00802EE9" w:rsidRDefault="00247238" w:rsidP="00247238">
            <w:pPr>
              <w:spacing w:after="0" w:line="240" w:lineRule="auto"/>
              <w:jc w:val="center"/>
              <w:rPr>
                <w:rFonts w:ascii="Times New Roman" w:eastAsia="Times New Roman" w:hAnsi="Times New Roman" w:cs="Times New Roman"/>
                <w:color w:val="0000FF"/>
                <w:sz w:val="18"/>
                <w:szCs w:val="18"/>
                <w:lang w:eastAsia="en-IL"/>
              </w:rPr>
            </w:pPr>
            <w:r w:rsidRPr="00802EE9">
              <w:rPr>
                <w:rFonts w:ascii="Times New Roman" w:eastAsia="Times New Roman" w:hAnsi="Times New Roman" w:cs="Times New Roman"/>
                <w:color w:val="0000FF"/>
                <w:sz w:val="18"/>
                <w:szCs w:val="18"/>
                <w:lang w:eastAsia="en-IL"/>
              </w:rPr>
              <w:t>-7.14%</w:t>
            </w:r>
          </w:p>
        </w:tc>
        <w:tc>
          <w:tcPr>
            <w:tcW w:w="640" w:type="dxa"/>
            <w:tcBorders>
              <w:top w:val="nil"/>
              <w:left w:val="nil"/>
              <w:bottom w:val="nil"/>
              <w:right w:val="nil"/>
            </w:tcBorders>
            <w:shd w:val="clear" w:color="auto" w:fill="auto"/>
            <w:noWrap/>
            <w:vAlign w:val="center"/>
            <w:hideMark/>
          </w:tcPr>
          <w:p w14:paraId="01FD9714" w14:textId="77777777" w:rsidR="00247238" w:rsidRPr="00802EE9" w:rsidRDefault="00247238" w:rsidP="00247238">
            <w:pPr>
              <w:spacing w:after="0" w:line="240" w:lineRule="auto"/>
              <w:jc w:val="center"/>
              <w:rPr>
                <w:rFonts w:ascii="Calibri" w:eastAsia="Times New Roman" w:hAnsi="Calibri" w:cs="Calibri"/>
                <w:color w:val="0000FF"/>
                <w:sz w:val="18"/>
                <w:szCs w:val="18"/>
                <w:lang w:eastAsia="en-IL"/>
              </w:rPr>
            </w:pPr>
            <w:r w:rsidRPr="00802EE9">
              <w:rPr>
                <w:rFonts w:ascii="Calibri" w:eastAsia="Times New Roman" w:hAnsi="Calibri" w:cs="Calibri"/>
                <w:color w:val="0000FF"/>
                <w:sz w:val="18"/>
                <w:szCs w:val="18"/>
                <w:lang w:eastAsia="en-IL"/>
              </w:rPr>
              <w:t>-1.67</w:t>
            </w:r>
          </w:p>
        </w:tc>
        <w:tc>
          <w:tcPr>
            <w:tcW w:w="860" w:type="dxa"/>
            <w:tcBorders>
              <w:top w:val="nil"/>
              <w:left w:val="single" w:sz="12" w:space="0" w:color="auto"/>
              <w:bottom w:val="nil"/>
              <w:right w:val="nil"/>
            </w:tcBorders>
            <w:shd w:val="clear" w:color="auto" w:fill="auto"/>
            <w:vAlign w:val="center"/>
            <w:hideMark/>
          </w:tcPr>
          <w:p w14:paraId="78998E56" w14:textId="77777777" w:rsidR="00247238" w:rsidRPr="00802EE9" w:rsidRDefault="00247238" w:rsidP="00247238">
            <w:pPr>
              <w:spacing w:after="0" w:line="240" w:lineRule="auto"/>
              <w:jc w:val="center"/>
              <w:rPr>
                <w:rFonts w:ascii="Times New Roman" w:eastAsia="Times New Roman" w:hAnsi="Times New Roman" w:cs="Times New Roman"/>
                <w:color w:val="0000FF"/>
                <w:sz w:val="18"/>
                <w:szCs w:val="18"/>
                <w:lang w:eastAsia="en-IL"/>
              </w:rPr>
            </w:pPr>
            <w:r w:rsidRPr="00802EE9">
              <w:rPr>
                <w:rFonts w:ascii="Times New Roman" w:eastAsia="Times New Roman" w:hAnsi="Times New Roman" w:cs="Times New Roman"/>
                <w:color w:val="0000FF"/>
                <w:sz w:val="18"/>
                <w:szCs w:val="18"/>
                <w:lang w:eastAsia="en-IL"/>
              </w:rPr>
              <w:t>0.44%</w:t>
            </w:r>
          </w:p>
        </w:tc>
        <w:tc>
          <w:tcPr>
            <w:tcW w:w="740" w:type="dxa"/>
            <w:tcBorders>
              <w:top w:val="nil"/>
              <w:left w:val="nil"/>
              <w:bottom w:val="nil"/>
              <w:right w:val="single" w:sz="12" w:space="0" w:color="auto"/>
            </w:tcBorders>
            <w:shd w:val="clear" w:color="auto" w:fill="auto"/>
            <w:noWrap/>
            <w:vAlign w:val="center"/>
            <w:hideMark/>
          </w:tcPr>
          <w:p w14:paraId="35F682AA" w14:textId="77777777" w:rsidR="00247238" w:rsidRPr="00802EE9" w:rsidRDefault="00247238" w:rsidP="00247238">
            <w:pPr>
              <w:spacing w:after="0" w:line="240" w:lineRule="auto"/>
              <w:jc w:val="center"/>
              <w:rPr>
                <w:rFonts w:ascii="Calibri" w:eastAsia="Times New Roman" w:hAnsi="Calibri" w:cs="Calibri"/>
                <w:color w:val="0000FF"/>
                <w:sz w:val="18"/>
                <w:szCs w:val="18"/>
                <w:lang w:eastAsia="en-IL"/>
              </w:rPr>
            </w:pPr>
            <w:r w:rsidRPr="00802EE9">
              <w:rPr>
                <w:rFonts w:ascii="Calibri" w:eastAsia="Times New Roman" w:hAnsi="Calibri" w:cs="Calibri"/>
                <w:color w:val="0000FF"/>
                <w:sz w:val="18"/>
                <w:szCs w:val="18"/>
                <w:lang w:eastAsia="en-IL"/>
              </w:rPr>
              <w:t>0.10</w:t>
            </w:r>
          </w:p>
        </w:tc>
        <w:tc>
          <w:tcPr>
            <w:tcW w:w="820" w:type="dxa"/>
            <w:tcBorders>
              <w:top w:val="nil"/>
              <w:left w:val="nil"/>
              <w:bottom w:val="nil"/>
              <w:right w:val="nil"/>
            </w:tcBorders>
            <w:shd w:val="clear" w:color="auto" w:fill="auto"/>
            <w:vAlign w:val="center"/>
            <w:hideMark/>
          </w:tcPr>
          <w:p w14:paraId="4CFF8342" w14:textId="77777777" w:rsidR="00247238" w:rsidRPr="00802EE9" w:rsidRDefault="00247238" w:rsidP="00247238">
            <w:pPr>
              <w:spacing w:after="0" w:line="240" w:lineRule="auto"/>
              <w:jc w:val="center"/>
              <w:rPr>
                <w:rFonts w:ascii="Times New Roman" w:eastAsia="Times New Roman" w:hAnsi="Times New Roman" w:cs="Times New Roman"/>
                <w:color w:val="0000FF"/>
                <w:sz w:val="18"/>
                <w:szCs w:val="18"/>
                <w:lang w:eastAsia="en-IL"/>
              </w:rPr>
            </w:pPr>
            <w:r w:rsidRPr="00802EE9">
              <w:rPr>
                <w:rFonts w:ascii="Times New Roman" w:eastAsia="Times New Roman" w:hAnsi="Times New Roman" w:cs="Times New Roman"/>
                <w:color w:val="0000FF"/>
                <w:sz w:val="18"/>
                <w:szCs w:val="18"/>
                <w:lang w:eastAsia="en-IL"/>
              </w:rPr>
              <w:t>-1.61%</w:t>
            </w:r>
          </w:p>
        </w:tc>
        <w:tc>
          <w:tcPr>
            <w:tcW w:w="680" w:type="dxa"/>
            <w:tcBorders>
              <w:top w:val="nil"/>
              <w:left w:val="nil"/>
              <w:bottom w:val="nil"/>
              <w:right w:val="nil"/>
            </w:tcBorders>
            <w:shd w:val="clear" w:color="auto" w:fill="auto"/>
            <w:noWrap/>
            <w:vAlign w:val="center"/>
            <w:hideMark/>
          </w:tcPr>
          <w:p w14:paraId="015B4A1B" w14:textId="77777777" w:rsidR="00247238" w:rsidRPr="00802EE9" w:rsidRDefault="00247238" w:rsidP="00247238">
            <w:pPr>
              <w:spacing w:after="0" w:line="240" w:lineRule="auto"/>
              <w:jc w:val="center"/>
              <w:rPr>
                <w:rFonts w:ascii="Calibri" w:eastAsia="Times New Roman" w:hAnsi="Calibri" w:cs="Calibri"/>
                <w:color w:val="0000FF"/>
                <w:sz w:val="18"/>
                <w:szCs w:val="18"/>
                <w:lang w:eastAsia="en-IL"/>
              </w:rPr>
            </w:pPr>
            <w:r w:rsidRPr="00802EE9">
              <w:rPr>
                <w:rFonts w:ascii="Calibri" w:eastAsia="Times New Roman" w:hAnsi="Calibri" w:cs="Calibri"/>
                <w:color w:val="0000FF"/>
                <w:sz w:val="18"/>
                <w:szCs w:val="18"/>
                <w:lang w:eastAsia="en-IL"/>
              </w:rPr>
              <w:t>-0.37</w:t>
            </w:r>
          </w:p>
        </w:tc>
        <w:tc>
          <w:tcPr>
            <w:tcW w:w="900" w:type="dxa"/>
            <w:tcBorders>
              <w:top w:val="nil"/>
              <w:left w:val="single" w:sz="12" w:space="0" w:color="auto"/>
              <w:bottom w:val="nil"/>
              <w:right w:val="nil"/>
            </w:tcBorders>
            <w:shd w:val="clear" w:color="auto" w:fill="auto"/>
            <w:vAlign w:val="center"/>
            <w:hideMark/>
          </w:tcPr>
          <w:p w14:paraId="26369A18" w14:textId="77777777" w:rsidR="00247238" w:rsidRPr="00802EE9" w:rsidRDefault="00247238" w:rsidP="00247238">
            <w:pPr>
              <w:spacing w:after="0" w:line="240" w:lineRule="auto"/>
              <w:jc w:val="center"/>
              <w:rPr>
                <w:rFonts w:ascii="Times New Roman" w:eastAsia="Times New Roman" w:hAnsi="Times New Roman" w:cs="Times New Roman"/>
                <w:color w:val="0000FF"/>
                <w:sz w:val="18"/>
                <w:szCs w:val="18"/>
                <w:lang w:eastAsia="en-IL"/>
              </w:rPr>
            </w:pPr>
            <w:r w:rsidRPr="00802EE9">
              <w:rPr>
                <w:rFonts w:ascii="Times New Roman" w:eastAsia="Times New Roman" w:hAnsi="Times New Roman" w:cs="Times New Roman"/>
                <w:color w:val="0000FF"/>
                <w:sz w:val="18"/>
                <w:szCs w:val="18"/>
                <w:lang w:eastAsia="en-IL"/>
              </w:rPr>
              <w:t>7.81%</w:t>
            </w:r>
          </w:p>
        </w:tc>
        <w:tc>
          <w:tcPr>
            <w:tcW w:w="720" w:type="dxa"/>
            <w:tcBorders>
              <w:top w:val="nil"/>
              <w:left w:val="nil"/>
              <w:bottom w:val="nil"/>
              <w:right w:val="single" w:sz="12" w:space="0" w:color="auto"/>
            </w:tcBorders>
            <w:shd w:val="clear" w:color="auto" w:fill="auto"/>
            <w:noWrap/>
            <w:vAlign w:val="center"/>
            <w:hideMark/>
          </w:tcPr>
          <w:p w14:paraId="17C24B9C" w14:textId="77777777" w:rsidR="00247238" w:rsidRPr="00802EE9" w:rsidRDefault="00247238" w:rsidP="00247238">
            <w:pPr>
              <w:spacing w:after="0" w:line="240" w:lineRule="auto"/>
              <w:jc w:val="center"/>
              <w:rPr>
                <w:rFonts w:ascii="Calibri" w:eastAsia="Times New Roman" w:hAnsi="Calibri" w:cs="Calibri"/>
                <w:color w:val="0000FF"/>
                <w:sz w:val="18"/>
                <w:szCs w:val="18"/>
                <w:lang w:eastAsia="en-IL"/>
              </w:rPr>
            </w:pPr>
            <w:r w:rsidRPr="00802EE9">
              <w:rPr>
                <w:rFonts w:ascii="Calibri" w:eastAsia="Times New Roman" w:hAnsi="Calibri" w:cs="Calibri"/>
                <w:color w:val="0000FF"/>
                <w:sz w:val="18"/>
                <w:szCs w:val="18"/>
                <w:lang w:eastAsia="en-IL"/>
              </w:rPr>
              <w:t>2.03</w:t>
            </w:r>
          </w:p>
        </w:tc>
      </w:tr>
      <w:tr w:rsidR="00247238" w:rsidRPr="00247238" w14:paraId="567BA15A" w14:textId="77777777" w:rsidTr="00247238">
        <w:trPr>
          <w:trHeight w:val="300"/>
        </w:trPr>
        <w:tc>
          <w:tcPr>
            <w:tcW w:w="1403" w:type="dxa"/>
            <w:tcBorders>
              <w:top w:val="nil"/>
              <w:left w:val="single" w:sz="12" w:space="0" w:color="auto"/>
              <w:bottom w:val="nil"/>
              <w:right w:val="nil"/>
            </w:tcBorders>
            <w:shd w:val="clear" w:color="auto" w:fill="auto"/>
            <w:noWrap/>
            <w:vAlign w:val="bottom"/>
            <w:hideMark/>
          </w:tcPr>
          <w:p w14:paraId="638592B5" w14:textId="77777777" w:rsidR="00247238" w:rsidRPr="00802EE9" w:rsidRDefault="00247238" w:rsidP="00247238">
            <w:pPr>
              <w:spacing w:after="0" w:line="240" w:lineRule="auto"/>
              <w:rPr>
                <w:rFonts w:ascii="Calibri" w:eastAsia="Times New Roman" w:hAnsi="Calibri" w:cs="Calibri"/>
                <w:color w:val="0000FF"/>
                <w:lang w:eastAsia="en-IL"/>
              </w:rPr>
            </w:pPr>
            <w:r w:rsidRPr="00802EE9">
              <w:rPr>
                <w:rFonts w:ascii="Calibri" w:eastAsia="Times New Roman" w:hAnsi="Calibri" w:cs="Calibri"/>
                <w:color w:val="0000FF"/>
                <w:lang w:eastAsia="en-IL"/>
              </w:rPr>
              <w:t>1 to 375</w:t>
            </w:r>
          </w:p>
        </w:tc>
        <w:tc>
          <w:tcPr>
            <w:tcW w:w="977" w:type="dxa"/>
            <w:tcBorders>
              <w:top w:val="nil"/>
              <w:left w:val="single" w:sz="12" w:space="0" w:color="auto"/>
              <w:bottom w:val="nil"/>
              <w:right w:val="nil"/>
            </w:tcBorders>
            <w:shd w:val="clear" w:color="auto" w:fill="auto"/>
            <w:vAlign w:val="center"/>
            <w:hideMark/>
          </w:tcPr>
          <w:p w14:paraId="165A1517" w14:textId="77777777" w:rsidR="00247238" w:rsidRPr="00802EE9" w:rsidRDefault="00247238" w:rsidP="00247238">
            <w:pPr>
              <w:spacing w:after="0" w:line="240" w:lineRule="auto"/>
              <w:jc w:val="center"/>
              <w:rPr>
                <w:rFonts w:ascii="Times New Roman" w:eastAsia="Times New Roman" w:hAnsi="Times New Roman" w:cs="Times New Roman"/>
                <w:color w:val="0000FF"/>
                <w:sz w:val="18"/>
                <w:szCs w:val="18"/>
                <w:lang w:eastAsia="en-IL"/>
              </w:rPr>
            </w:pPr>
            <w:r w:rsidRPr="00802EE9">
              <w:rPr>
                <w:rFonts w:ascii="Times New Roman" w:eastAsia="Times New Roman" w:hAnsi="Times New Roman" w:cs="Times New Roman"/>
                <w:color w:val="0000FF"/>
                <w:sz w:val="18"/>
                <w:szCs w:val="18"/>
                <w:lang w:eastAsia="en-IL"/>
              </w:rPr>
              <w:t>-27.48%</w:t>
            </w:r>
          </w:p>
        </w:tc>
        <w:tc>
          <w:tcPr>
            <w:tcW w:w="724" w:type="dxa"/>
            <w:tcBorders>
              <w:top w:val="nil"/>
              <w:left w:val="nil"/>
              <w:bottom w:val="nil"/>
              <w:right w:val="single" w:sz="12" w:space="0" w:color="auto"/>
            </w:tcBorders>
            <w:shd w:val="clear" w:color="auto" w:fill="auto"/>
            <w:noWrap/>
            <w:vAlign w:val="center"/>
            <w:hideMark/>
          </w:tcPr>
          <w:p w14:paraId="18E7E1BC" w14:textId="77777777" w:rsidR="00247238" w:rsidRPr="00802EE9" w:rsidRDefault="00247238" w:rsidP="00247238">
            <w:pPr>
              <w:spacing w:after="0" w:line="240" w:lineRule="auto"/>
              <w:jc w:val="center"/>
              <w:rPr>
                <w:rFonts w:ascii="Calibri" w:eastAsia="Times New Roman" w:hAnsi="Calibri" w:cs="Calibri"/>
                <w:color w:val="0000FF"/>
                <w:sz w:val="18"/>
                <w:szCs w:val="18"/>
                <w:lang w:eastAsia="en-IL"/>
              </w:rPr>
            </w:pPr>
            <w:r w:rsidRPr="00802EE9">
              <w:rPr>
                <w:rFonts w:ascii="Calibri" w:eastAsia="Times New Roman" w:hAnsi="Calibri" w:cs="Calibri"/>
                <w:color w:val="0000FF"/>
                <w:sz w:val="18"/>
                <w:szCs w:val="18"/>
                <w:lang w:eastAsia="en-IL"/>
              </w:rPr>
              <w:t>-5.85</w:t>
            </w:r>
          </w:p>
        </w:tc>
        <w:tc>
          <w:tcPr>
            <w:tcW w:w="936" w:type="dxa"/>
            <w:tcBorders>
              <w:top w:val="nil"/>
              <w:left w:val="nil"/>
              <w:bottom w:val="nil"/>
              <w:right w:val="nil"/>
            </w:tcBorders>
            <w:shd w:val="clear" w:color="auto" w:fill="auto"/>
            <w:vAlign w:val="center"/>
            <w:hideMark/>
          </w:tcPr>
          <w:p w14:paraId="12CB9CA0" w14:textId="77777777" w:rsidR="00247238" w:rsidRPr="00802EE9" w:rsidRDefault="00247238" w:rsidP="00247238">
            <w:pPr>
              <w:spacing w:after="0" w:line="240" w:lineRule="auto"/>
              <w:jc w:val="center"/>
              <w:rPr>
                <w:rFonts w:ascii="Times New Roman" w:eastAsia="Times New Roman" w:hAnsi="Times New Roman" w:cs="Times New Roman"/>
                <w:color w:val="0000FF"/>
                <w:sz w:val="18"/>
                <w:szCs w:val="18"/>
                <w:lang w:eastAsia="en-IL"/>
              </w:rPr>
            </w:pPr>
            <w:r w:rsidRPr="00802EE9">
              <w:rPr>
                <w:rFonts w:ascii="Times New Roman" w:eastAsia="Times New Roman" w:hAnsi="Times New Roman" w:cs="Times New Roman"/>
                <w:color w:val="0000FF"/>
                <w:sz w:val="18"/>
                <w:szCs w:val="18"/>
                <w:lang w:eastAsia="en-IL"/>
              </w:rPr>
              <w:t>-15.69%</w:t>
            </w:r>
          </w:p>
        </w:tc>
        <w:tc>
          <w:tcPr>
            <w:tcW w:w="640" w:type="dxa"/>
            <w:tcBorders>
              <w:top w:val="nil"/>
              <w:left w:val="nil"/>
              <w:bottom w:val="nil"/>
              <w:right w:val="nil"/>
            </w:tcBorders>
            <w:shd w:val="clear" w:color="auto" w:fill="auto"/>
            <w:noWrap/>
            <w:vAlign w:val="center"/>
            <w:hideMark/>
          </w:tcPr>
          <w:p w14:paraId="284469DD" w14:textId="77777777" w:rsidR="00247238" w:rsidRPr="00802EE9" w:rsidRDefault="00247238" w:rsidP="00247238">
            <w:pPr>
              <w:spacing w:after="0" w:line="240" w:lineRule="auto"/>
              <w:jc w:val="center"/>
              <w:rPr>
                <w:rFonts w:ascii="Calibri" w:eastAsia="Times New Roman" w:hAnsi="Calibri" w:cs="Calibri"/>
                <w:color w:val="0000FF"/>
                <w:sz w:val="18"/>
                <w:szCs w:val="18"/>
                <w:lang w:eastAsia="en-IL"/>
              </w:rPr>
            </w:pPr>
            <w:r w:rsidRPr="00802EE9">
              <w:rPr>
                <w:rFonts w:ascii="Calibri" w:eastAsia="Times New Roman" w:hAnsi="Calibri" w:cs="Calibri"/>
                <w:color w:val="0000FF"/>
                <w:sz w:val="18"/>
                <w:szCs w:val="18"/>
                <w:lang w:eastAsia="en-IL"/>
              </w:rPr>
              <w:t>-3.49</w:t>
            </w:r>
          </w:p>
        </w:tc>
        <w:tc>
          <w:tcPr>
            <w:tcW w:w="860" w:type="dxa"/>
            <w:tcBorders>
              <w:top w:val="nil"/>
              <w:left w:val="single" w:sz="12" w:space="0" w:color="auto"/>
              <w:bottom w:val="nil"/>
              <w:right w:val="nil"/>
            </w:tcBorders>
            <w:shd w:val="clear" w:color="auto" w:fill="auto"/>
            <w:vAlign w:val="center"/>
            <w:hideMark/>
          </w:tcPr>
          <w:p w14:paraId="639DFE8D" w14:textId="77777777" w:rsidR="00247238" w:rsidRPr="00802EE9" w:rsidRDefault="00247238" w:rsidP="00247238">
            <w:pPr>
              <w:spacing w:after="0" w:line="240" w:lineRule="auto"/>
              <w:jc w:val="center"/>
              <w:rPr>
                <w:rFonts w:ascii="Times New Roman" w:eastAsia="Times New Roman" w:hAnsi="Times New Roman" w:cs="Times New Roman"/>
                <w:color w:val="0000FF"/>
                <w:sz w:val="18"/>
                <w:szCs w:val="18"/>
                <w:lang w:eastAsia="en-IL"/>
              </w:rPr>
            </w:pPr>
            <w:r w:rsidRPr="00802EE9">
              <w:rPr>
                <w:rFonts w:ascii="Times New Roman" w:eastAsia="Times New Roman" w:hAnsi="Times New Roman" w:cs="Times New Roman"/>
                <w:color w:val="0000FF"/>
                <w:sz w:val="18"/>
                <w:szCs w:val="18"/>
                <w:lang w:eastAsia="en-IL"/>
              </w:rPr>
              <w:t>-3.00%</w:t>
            </w:r>
          </w:p>
        </w:tc>
        <w:tc>
          <w:tcPr>
            <w:tcW w:w="740" w:type="dxa"/>
            <w:tcBorders>
              <w:top w:val="nil"/>
              <w:left w:val="nil"/>
              <w:bottom w:val="nil"/>
              <w:right w:val="single" w:sz="12" w:space="0" w:color="auto"/>
            </w:tcBorders>
            <w:shd w:val="clear" w:color="auto" w:fill="auto"/>
            <w:noWrap/>
            <w:vAlign w:val="center"/>
            <w:hideMark/>
          </w:tcPr>
          <w:p w14:paraId="3F3B5B10" w14:textId="77777777" w:rsidR="00247238" w:rsidRPr="00802EE9" w:rsidRDefault="00247238" w:rsidP="00247238">
            <w:pPr>
              <w:spacing w:after="0" w:line="240" w:lineRule="auto"/>
              <w:jc w:val="center"/>
              <w:rPr>
                <w:rFonts w:ascii="Calibri" w:eastAsia="Times New Roman" w:hAnsi="Calibri" w:cs="Calibri"/>
                <w:color w:val="0000FF"/>
                <w:sz w:val="18"/>
                <w:szCs w:val="18"/>
                <w:lang w:eastAsia="en-IL"/>
              </w:rPr>
            </w:pPr>
            <w:r w:rsidRPr="00802EE9">
              <w:rPr>
                <w:rFonts w:ascii="Calibri" w:eastAsia="Times New Roman" w:hAnsi="Calibri" w:cs="Calibri"/>
                <w:color w:val="0000FF"/>
                <w:sz w:val="18"/>
                <w:szCs w:val="18"/>
                <w:lang w:eastAsia="en-IL"/>
              </w:rPr>
              <w:t>-0.67</w:t>
            </w:r>
          </w:p>
        </w:tc>
        <w:tc>
          <w:tcPr>
            <w:tcW w:w="820" w:type="dxa"/>
            <w:tcBorders>
              <w:top w:val="nil"/>
              <w:left w:val="nil"/>
              <w:bottom w:val="nil"/>
              <w:right w:val="nil"/>
            </w:tcBorders>
            <w:shd w:val="clear" w:color="auto" w:fill="auto"/>
            <w:vAlign w:val="center"/>
            <w:hideMark/>
          </w:tcPr>
          <w:p w14:paraId="6321479B" w14:textId="77777777" w:rsidR="00247238" w:rsidRPr="00802EE9" w:rsidRDefault="00247238" w:rsidP="00247238">
            <w:pPr>
              <w:spacing w:after="0" w:line="240" w:lineRule="auto"/>
              <w:jc w:val="center"/>
              <w:rPr>
                <w:rFonts w:ascii="Times New Roman" w:eastAsia="Times New Roman" w:hAnsi="Times New Roman" w:cs="Times New Roman"/>
                <w:color w:val="0000FF"/>
                <w:sz w:val="18"/>
                <w:szCs w:val="18"/>
                <w:lang w:eastAsia="en-IL"/>
              </w:rPr>
            </w:pPr>
            <w:r w:rsidRPr="00802EE9">
              <w:rPr>
                <w:rFonts w:ascii="Times New Roman" w:eastAsia="Times New Roman" w:hAnsi="Times New Roman" w:cs="Times New Roman"/>
                <w:color w:val="0000FF"/>
                <w:sz w:val="18"/>
                <w:szCs w:val="18"/>
                <w:lang w:eastAsia="en-IL"/>
              </w:rPr>
              <w:t>-3.03%</w:t>
            </w:r>
          </w:p>
        </w:tc>
        <w:tc>
          <w:tcPr>
            <w:tcW w:w="680" w:type="dxa"/>
            <w:tcBorders>
              <w:top w:val="nil"/>
              <w:left w:val="nil"/>
              <w:bottom w:val="nil"/>
              <w:right w:val="nil"/>
            </w:tcBorders>
            <w:shd w:val="clear" w:color="auto" w:fill="auto"/>
            <w:noWrap/>
            <w:vAlign w:val="center"/>
            <w:hideMark/>
          </w:tcPr>
          <w:p w14:paraId="0EC4FA80" w14:textId="77777777" w:rsidR="00247238" w:rsidRPr="00802EE9" w:rsidRDefault="00247238" w:rsidP="00247238">
            <w:pPr>
              <w:spacing w:after="0" w:line="240" w:lineRule="auto"/>
              <w:jc w:val="center"/>
              <w:rPr>
                <w:rFonts w:ascii="Calibri" w:eastAsia="Times New Roman" w:hAnsi="Calibri" w:cs="Calibri"/>
                <w:color w:val="0000FF"/>
                <w:sz w:val="18"/>
                <w:szCs w:val="18"/>
                <w:lang w:eastAsia="en-IL"/>
              </w:rPr>
            </w:pPr>
            <w:r w:rsidRPr="00802EE9">
              <w:rPr>
                <w:rFonts w:ascii="Calibri" w:eastAsia="Times New Roman" w:hAnsi="Calibri" w:cs="Calibri"/>
                <w:color w:val="0000FF"/>
                <w:sz w:val="18"/>
                <w:szCs w:val="18"/>
                <w:lang w:eastAsia="en-IL"/>
              </w:rPr>
              <w:t>-0.66</w:t>
            </w:r>
          </w:p>
        </w:tc>
        <w:tc>
          <w:tcPr>
            <w:tcW w:w="900" w:type="dxa"/>
            <w:tcBorders>
              <w:top w:val="nil"/>
              <w:left w:val="single" w:sz="12" w:space="0" w:color="auto"/>
              <w:bottom w:val="nil"/>
              <w:right w:val="nil"/>
            </w:tcBorders>
            <w:shd w:val="clear" w:color="auto" w:fill="auto"/>
            <w:vAlign w:val="center"/>
            <w:hideMark/>
          </w:tcPr>
          <w:p w14:paraId="35CAB746" w14:textId="77777777" w:rsidR="00247238" w:rsidRPr="00802EE9" w:rsidRDefault="00247238" w:rsidP="00247238">
            <w:pPr>
              <w:spacing w:after="0" w:line="240" w:lineRule="auto"/>
              <w:jc w:val="center"/>
              <w:rPr>
                <w:rFonts w:ascii="Times New Roman" w:eastAsia="Times New Roman" w:hAnsi="Times New Roman" w:cs="Times New Roman"/>
                <w:color w:val="0000FF"/>
                <w:sz w:val="18"/>
                <w:szCs w:val="18"/>
                <w:lang w:eastAsia="en-IL"/>
              </w:rPr>
            </w:pPr>
            <w:r w:rsidRPr="00802EE9">
              <w:rPr>
                <w:rFonts w:ascii="Times New Roman" w:eastAsia="Times New Roman" w:hAnsi="Times New Roman" w:cs="Times New Roman"/>
                <w:color w:val="0000FF"/>
                <w:sz w:val="18"/>
                <w:szCs w:val="18"/>
                <w:lang w:eastAsia="en-IL"/>
              </w:rPr>
              <w:t>6.26%</w:t>
            </w:r>
          </w:p>
        </w:tc>
        <w:tc>
          <w:tcPr>
            <w:tcW w:w="720" w:type="dxa"/>
            <w:tcBorders>
              <w:top w:val="nil"/>
              <w:left w:val="nil"/>
              <w:bottom w:val="nil"/>
              <w:right w:val="single" w:sz="12" w:space="0" w:color="auto"/>
            </w:tcBorders>
            <w:shd w:val="clear" w:color="auto" w:fill="auto"/>
            <w:noWrap/>
            <w:vAlign w:val="center"/>
            <w:hideMark/>
          </w:tcPr>
          <w:p w14:paraId="3CE5C9CD" w14:textId="77777777" w:rsidR="00247238" w:rsidRPr="00802EE9" w:rsidRDefault="00247238" w:rsidP="00247238">
            <w:pPr>
              <w:spacing w:after="0" w:line="240" w:lineRule="auto"/>
              <w:jc w:val="center"/>
              <w:rPr>
                <w:rFonts w:ascii="Calibri" w:eastAsia="Times New Roman" w:hAnsi="Calibri" w:cs="Calibri"/>
                <w:color w:val="0000FF"/>
                <w:sz w:val="18"/>
                <w:szCs w:val="18"/>
                <w:lang w:eastAsia="en-IL"/>
              </w:rPr>
            </w:pPr>
            <w:r w:rsidRPr="00802EE9">
              <w:rPr>
                <w:rFonts w:ascii="Calibri" w:eastAsia="Times New Roman" w:hAnsi="Calibri" w:cs="Calibri"/>
                <w:color w:val="0000FF"/>
                <w:sz w:val="18"/>
                <w:szCs w:val="18"/>
                <w:lang w:eastAsia="en-IL"/>
              </w:rPr>
              <w:t>1.54</w:t>
            </w:r>
          </w:p>
        </w:tc>
      </w:tr>
      <w:tr w:rsidR="00247238" w:rsidRPr="00247238" w14:paraId="5944E6C6" w14:textId="77777777" w:rsidTr="00247238">
        <w:trPr>
          <w:trHeight w:val="300"/>
        </w:trPr>
        <w:tc>
          <w:tcPr>
            <w:tcW w:w="1403" w:type="dxa"/>
            <w:tcBorders>
              <w:top w:val="nil"/>
              <w:left w:val="single" w:sz="12" w:space="0" w:color="auto"/>
              <w:bottom w:val="nil"/>
              <w:right w:val="nil"/>
            </w:tcBorders>
            <w:shd w:val="clear" w:color="auto" w:fill="auto"/>
            <w:noWrap/>
            <w:vAlign w:val="bottom"/>
            <w:hideMark/>
          </w:tcPr>
          <w:p w14:paraId="5FE9D867" w14:textId="77777777" w:rsidR="00247238" w:rsidRPr="00802EE9" w:rsidRDefault="00247238" w:rsidP="00247238">
            <w:pPr>
              <w:spacing w:after="0" w:line="240" w:lineRule="auto"/>
              <w:rPr>
                <w:rFonts w:ascii="Calibri" w:eastAsia="Times New Roman" w:hAnsi="Calibri" w:cs="Calibri"/>
                <w:color w:val="0000FF"/>
                <w:lang w:eastAsia="en-IL"/>
              </w:rPr>
            </w:pPr>
            <w:r w:rsidRPr="00802EE9">
              <w:rPr>
                <w:rFonts w:ascii="Calibri" w:eastAsia="Times New Roman" w:hAnsi="Calibri" w:cs="Calibri"/>
                <w:color w:val="0000FF"/>
                <w:lang w:eastAsia="en-IL"/>
              </w:rPr>
              <w:t>1 to 550</w:t>
            </w:r>
          </w:p>
        </w:tc>
        <w:tc>
          <w:tcPr>
            <w:tcW w:w="977" w:type="dxa"/>
            <w:tcBorders>
              <w:top w:val="nil"/>
              <w:left w:val="single" w:sz="12" w:space="0" w:color="auto"/>
              <w:bottom w:val="nil"/>
              <w:right w:val="nil"/>
            </w:tcBorders>
            <w:shd w:val="clear" w:color="auto" w:fill="auto"/>
            <w:vAlign w:val="center"/>
            <w:hideMark/>
          </w:tcPr>
          <w:p w14:paraId="291FD809" w14:textId="77777777" w:rsidR="00247238" w:rsidRPr="00802EE9" w:rsidRDefault="00247238" w:rsidP="00247238">
            <w:pPr>
              <w:spacing w:after="0" w:line="240" w:lineRule="auto"/>
              <w:jc w:val="center"/>
              <w:rPr>
                <w:rFonts w:ascii="Times New Roman" w:eastAsia="Times New Roman" w:hAnsi="Times New Roman" w:cs="Times New Roman"/>
                <w:color w:val="0000FF"/>
                <w:sz w:val="18"/>
                <w:szCs w:val="18"/>
                <w:lang w:eastAsia="en-IL"/>
              </w:rPr>
            </w:pPr>
            <w:r w:rsidRPr="00802EE9">
              <w:rPr>
                <w:rFonts w:ascii="Times New Roman" w:eastAsia="Times New Roman" w:hAnsi="Times New Roman" w:cs="Times New Roman"/>
                <w:color w:val="0000FF"/>
                <w:sz w:val="18"/>
                <w:szCs w:val="18"/>
                <w:lang w:eastAsia="en-IL"/>
              </w:rPr>
              <w:t>-48.65%</w:t>
            </w:r>
          </w:p>
        </w:tc>
        <w:tc>
          <w:tcPr>
            <w:tcW w:w="724" w:type="dxa"/>
            <w:tcBorders>
              <w:top w:val="nil"/>
              <w:left w:val="nil"/>
              <w:bottom w:val="nil"/>
              <w:right w:val="single" w:sz="12" w:space="0" w:color="auto"/>
            </w:tcBorders>
            <w:shd w:val="clear" w:color="auto" w:fill="auto"/>
            <w:noWrap/>
            <w:vAlign w:val="center"/>
            <w:hideMark/>
          </w:tcPr>
          <w:p w14:paraId="45AFAB55" w14:textId="77777777" w:rsidR="00247238" w:rsidRPr="00802EE9" w:rsidRDefault="00247238" w:rsidP="00247238">
            <w:pPr>
              <w:spacing w:after="0" w:line="240" w:lineRule="auto"/>
              <w:jc w:val="center"/>
              <w:rPr>
                <w:rFonts w:ascii="Calibri" w:eastAsia="Times New Roman" w:hAnsi="Calibri" w:cs="Calibri"/>
                <w:color w:val="0000FF"/>
                <w:sz w:val="18"/>
                <w:szCs w:val="18"/>
                <w:lang w:eastAsia="en-IL"/>
              </w:rPr>
            </w:pPr>
            <w:r w:rsidRPr="00802EE9">
              <w:rPr>
                <w:rFonts w:ascii="Calibri" w:eastAsia="Times New Roman" w:hAnsi="Calibri" w:cs="Calibri"/>
                <w:color w:val="0000FF"/>
                <w:sz w:val="18"/>
                <w:szCs w:val="18"/>
                <w:lang w:eastAsia="en-IL"/>
              </w:rPr>
              <w:t>-9.76</w:t>
            </w:r>
          </w:p>
        </w:tc>
        <w:tc>
          <w:tcPr>
            <w:tcW w:w="936" w:type="dxa"/>
            <w:tcBorders>
              <w:top w:val="nil"/>
              <w:left w:val="nil"/>
              <w:bottom w:val="nil"/>
              <w:right w:val="nil"/>
            </w:tcBorders>
            <w:shd w:val="clear" w:color="auto" w:fill="auto"/>
            <w:vAlign w:val="center"/>
            <w:hideMark/>
          </w:tcPr>
          <w:p w14:paraId="7F4CC274" w14:textId="77777777" w:rsidR="00247238" w:rsidRPr="00802EE9" w:rsidRDefault="00247238" w:rsidP="00247238">
            <w:pPr>
              <w:spacing w:after="0" w:line="240" w:lineRule="auto"/>
              <w:jc w:val="center"/>
              <w:rPr>
                <w:rFonts w:ascii="Times New Roman" w:eastAsia="Times New Roman" w:hAnsi="Times New Roman" w:cs="Times New Roman"/>
                <w:color w:val="0000FF"/>
                <w:sz w:val="18"/>
                <w:szCs w:val="18"/>
                <w:lang w:eastAsia="en-IL"/>
              </w:rPr>
            </w:pPr>
            <w:r w:rsidRPr="00802EE9">
              <w:rPr>
                <w:rFonts w:ascii="Times New Roman" w:eastAsia="Times New Roman" w:hAnsi="Times New Roman" w:cs="Times New Roman"/>
                <w:color w:val="0000FF"/>
                <w:sz w:val="18"/>
                <w:szCs w:val="18"/>
                <w:lang w:eastAsia="en-IL"/>
              </w:rPr>
              <w:t>-38.58%</w:t>
            </w:r>
          </w:p>
        </w:tc>
        <w:tc>
          <w:tcPr>
            <w:tcW w:w="640" w:type="dxa"/>
            <w:tcBorders>
              <w:top w:val="nil"/>
              <w:left w:val="nil"/>
              <w:bottom w:val="nil"/>
              <w:right w:val="nil"/>
            </w:tcBorders>
            <w:shd w:val="clear" w:color="auto" w:fill="auto"/>
            <w:noWrap/>
            <w:vAlign w:val="center"/>
            <w:hideMark/>
          </w:tcPr>
          <w:p w14:paraId="3ECCCF88" w14:textId="77777777" w:rsidR="00247238" w:rsidRPr="00802EE9" w:rsidRDefault="00247238" w:rsidP="00247238">
            <w:pPr>
              <w:spacing w:after="0" w:line="240" w:lineRule="auto"/>
              <w:jc w:val="center"/>
              <w:rPr>
                <w:rFonts w:ascii="Calibri" w:eastAsia="Times New Roman" w:hAnsi="Calibri" w:cs="Calibri"/>
                <w:color w:val="0000FF"/>
                <w:sz w:val="18"/>
                <w:szCs w:val="18"/>
                <w:lang w:eastAsia="en-IL"/>
              </w:rPr>
            </w:pPr>
            <w:r w:rsidRPr="00802EE9">
              <w:rPr>
                <w:rFonts w:ascii="Calibri" w:eastAsia="Times New Roman" w:hAnsi="Calibri" w:cs="Calibri"/>
                <w:color w:val="0000FF"/>
                <w:sz w:val="18"/>
                <w:szCs w:val="18"/>
                <w:lang w:eastAsia="en-IL"/>
              </w:rPr>
              <w:t>-7.71</w:t>
            </w:r>
          </w:p>
        </w:tc>
        <w:tc>
          <w:tcPr>
            <w:tcW w:w="860" w:type="dxa"/>
            <w:tcBorders>
              <w:top w:val="nil"/>
              <w:left w:val="single" w:sz="12" w:space="0" w:color="auto"/>
              <w:bottom w:val="nil"/>
              <w:right w:val="nil"/>
            </w:tcBorders>
            <w:shd w:val="clear" w:color="auto" w:fill="auto"/>
            <w:vAlign w:val="center"/>
            <w:hideMark/>
          </w:tcPr>
          <w:p w14:paraId="524263C1" w14:textId="77777777" w:rsidR="00247238" w:rsidRPr="00802EE9" w:rsidRDefault="00247238" w:rsidP="00247238">
            <w:pPr>
              <w:spacing w:after="0" w:line="240" w:lineRule="auto"/>
              <w:jc w:val="center"/>
              <w:rPr>
                <w:rFonts w:ascii="Times New Roman" w:eastAsia="Times New Roman" w:hAnsi="Times New Roman" w:cs="Times New Roman"/>
                <w:color w:val="0000FF"/>
                <w:sz w:val="18"/>
                <w:szCs w:val="18"/>
                <w:lang w:eastAsia="en-IL"/>
              </w:rPr>
            </w:pPr>
            <w:r w:rsidRPr="00802EE9">
              <w:rPr>
                <w:rFonts w:ascii="Times New Roman" w:eastAsia="Times New Roman" w:hAnsi="Times New Roman" w:cs="Times New Roman"/>
                <w:color w:val="0000FF"/>
                <w:sz w:val="18"/>
                <w:szCs w:val="18"/>
                <w:lang w:eastAsia="en-IL"/>
              </w:rPr>
              <w:t>-19.47%</w:t>
            </w:r>
          </w:p>
        </w:tc>
        <w:tc>
          <w:tcPr>
            <w:tcW w:w="740" w:type="dxa"/>
            <w:tcBorders>
              <w:top w:val="nil"/>
              <w:left w:val="nil"/>
              <w:bottom w:val="nil"/>
              <w:right w:val="single" w:sz="12" w:space="0" w:color="auto"/>
            </w:tcBorders>
            <w:shd w:val="clear" w:color="auto" w:fill="auto"/>
            <w:noWrap/>
            <w:vAlign w:val="center"/>
            <w:hideMark/>
          </w:tcPr>
          <w:p w14:paraId="57F9CAAA" w14:textId="77777777" w:rsidR="00247238" w:rsidRPr="00802EE9" w:rsidRDefault="00247238" w:rsidP="00247238">
            <w:pPr>
              <w:spacing w:after="0" w:line="240" w:lineRule="auto"/>
              <w:jc w:val="center"/>
              <w:rPr>
                <w:rFonts w:ascii="Calibri" w:eastAsia="Times New Roman" w:hAnsi="Calibri" w:cs="Calibri"/>
                <w:color w:val="0000FF"/>
                <w:sz w:val="18"/>
                <w:szCs w:val="18"/>
                <w:lang w:eastAsia="en-IL"/>
              </w:rPr>
            </w:pPr>
            <w:r w:rsidRPr="00802EE9">
              <w:rPr>
                <w:rFonts w:ascii="Calibri" w:eastAsia="Times New Roman" w:hAnsi="Calibri" w:cs="Calibri"/>
                <w:color w:val="0000FF"/>
                <w:sz w:val="18"/>
                <w:szCs w:val="18"/>
                <w:lang w:eastAsia="en-IL"/>
              </w:rPr>
              <w:t>-3.99</w:t>
            </w:r>
          </w:p>
        </w:tc>
        <w:tc>
          <w:tcPr>
            <w:tcW w:w="820" w:type="dxa"/>
            <w:tcBorders>
              <w:top w:val="nil"/>
              <w:left w:val="nil"/>
              <w:bottom w:val="nil"/>
              <w:right w:val="nil"/>
            </w:tcBorders>
            <w:shd w:val="clear" w:color="auto" w:fill="auto"/>
            <w:vAlign w:val="center"/>
            <w:hideMark/>
          </w:tcPr>
          <w:p w14:paraId="24E0B6A6" w14:textId="1A2A92D9" w:rsidR="00247238" w:rsidRPr="00802EE9" w:rsidRDefault="00247238" w:rsidP="00247238">
            <w:pPr>
              <w:spacing w:after="0" w:line="240" w:lineRule="auto"/>
              <w:jc w:val="center"/>
              <w:rPr>
                <w:rFonts w:ascii="Times New Roman" w:eastAsia="Times New Roman" w:hAnsi="Times New Roman" w:cs="Times New Roman"/>
                <w:color w:val="0000FF"/>
                <w:sz w:val="18"/>
                <w:szCs w:val="18"/>
                <w:lang w:eastAsia="en-IL"/>
              </w:rPr>
            </w:pPr>
            <w:r w:rsidRPr="00802EE9">
              <w:rPr>
                <w:rFonts w:ascii="Times New Roman" w:eastAsia="Times New Roman" w:hAnsi="Times New Roman" w:cs="Times New Roman"/>
                <w:color w:val="0000FF"/>
                <w:sz w:val="18"/>
                <w:szCs w:val="18"/>
                <w:lang w:eastAsia="en-IL"/>
              </w:rPr>
              <w:t>-11.</w:t>
            </w:r>
            <w:r w:rsidRPr="00802EE9">
              <w:rPr>
                <w:rFonts w:ascii="Times New Roman" w:eastAsia="Times New Roman" w:hAnsi="Times New Roman" w:cs="Times New Roman"/>
                <w:color w:val="0000FF"/>
                <w:sz w:val="18"/>
                <w:szCs w:val="18"/>
                <w:lang w:val="en-US" w:eastAsia="en-IL"/>
              </w:rPr>
              <w:t>8</w:t>
            </w:r>
            <w:r w:rsidRPr="00802EE9">
              <w:rPr>
                <w:rFonts w:ascii="Times New Roman" w:eastAsia="Times New Roman" w:hAnsi="Times New Roman" w:cs="Times New Roman"/>
                <w:color w:val="0000FF"/>
                <w:sz w:val="18"/>
                <w:szCs w:val="18"/>
                <w:lang w:eastAsia="en-IL"/>
              </w:rPr>
              <w:t>%</w:t>
            </w:r>
          </w:p>
        </w:tc>
        <w:tc>
          <w:tcPr>
            <w:tcW w:w="680" w:type="dxa"/>
            <w:tcBorders>
              <w:top w:val="nil"/>
              <w:left w:val="nil"/>
              <w:bottom w:val="nil"/>
              <w:right w:val="nil"/>
            </w:tcBorders>
            <w:shd w:val="clear" w:color="auto" w:fill="auto"/>
            <w:noWrap/>
            <w:vAlign w:val="center"/>
            <w:hideMark/>
          </w:tcPr>
          <w:p w14:paraId="5BCBBE71" w14:textId="77777777" w:rsidR="00247238" w:rsidRPr="00802EE9" w:rsidRDefault="00247238" w:rsidP="00247238">
            <w:pPr>
              <w:spacing w:after="0" w:line="240" w:lineRule="auto"/>
              <w:jc w:val="center"/>
              <w:rPr>
                <w:rFonts w:ascii="Calibri" w:eastAsia="Times New Roman" w:hAnsi="Calibri" w:cs="Calibri"/>
                <w:color w:val="0000FF"/>
                <w:sz w:val="18"/>
                <w:szCs w:val="18"/>
                <w:lang w:eastAsia="en-IL"/>
              </w:rPr>
            </w:pPr>
            <w:r w:rsidRPr="00802EE9">
              <w:rPr>
                <w:rFonts w:ascii="Calibri" w:eastAsia="Times New Roman" w:hAnsi="Calibri" w:cs="Calibri"/>
                <w:color w:val="0000FF"/>
                <w:sz w:val="18"/>
                <w:szCs w:val="18"/>
                <w:lang w:eastAsia="en-IL"/>
              </w:rPr>
              <w:t>-2.83</w:t>
            </w:r>
          </w:p>
        </w:tc>
        <w:tc>
          <w:tcPr>
            <w:tcW w:w="900" w:type="dxa"/>
            <w:tcBorders>
              <w:top w:val="nil"/>
              <w:left w:val="single" w:sz="12" w:space="0" w:color="auto"/>
              <w:bottom w:val="nil"/>
              <w:right w:val="nil"/>
            </w:tcBorders>
            <w:shd w:val="clear" w:color="auto" w:fill="auto"/>
            <w:vAlign w:val="center"/>
            <w:hideMark/>
          </w:tcPr>
          <w:p w14:paraId="3255E179" w14:textId="77777777" w:rsidR="00247238" w:rsidRPr="00802EE9" w:rsidRDefault="00247238" w:rsidP="00247238">
            <w:pPr>
              <w:spacing w:after="0" w:line="240" w:lineRule="auto"/>
              <w:jc w:val="center"/>
              <w:rPr>
                <w:rFonts w:ascii="Times New Roman" w:eastAsia="Times New Roman" w:hAnsi="Times New Roman" w:cs="Times New Roman"/>
                <w:color w:val="0000FF"/>
                <w:sz w:val="18"/>
                <w:szCs w:val="18"/>
                <w:lang w:eastAsia="en-IL"/>
              </w:rPr>
            </w:pPr>
            <w:r w:rsidRPr="00802EE9">
              <w:rPr>
                <w:rFonts w:ascii="Times New Roman" w:eastAsia="Times New Roman" w:hAnsi="Times New Roman" w:cs="Times New Roman"/>
                <w:color w:val="0000FF"/>
                <w:sz w:val="18"/>
                <w:szCs w:val="18"/>
                <w:lang w:eastAsia="en-IL"/>
              </w:rPr>
              <w:t>-5.62%</w:t>
            </w:r>
          </w:p>
        </w:tc>
        <w:tc>
          <w:tcPr>
            <w:tcW w:w="720" w:type="dxa"/>
            <w:tcBorders>
              <w:top w:val="nil"/>
              <w:left w:val="nil"/>
              <w:bottom w:val="nil"/>
              <w:right w:val="single" w:sz="12" w:space="0" w:color="auto"/>
            </w:tcBorders>
            <w:shd w:val="clear" w:color="auto" w:fill="auto"/>
            <w:noWrap/>
            <w:vAlign w:val="center"/>
            <w:hideMark/>
          </w:tcPr>
          <w:p w14:paraId="23B7B26E" w14:textId="77777777" w:rsidR="00247238" w:rsidRPr="00802EE9" w:rsidRDefault="00247238" w:rsidP="00247238">
            <w:pPr>
              <w:spacing w:after="0" w:line="240" w:lineRule="auto"/>
              <w:jc w:val="center"/>
              <w:rPr>
                <w:rFonts w:ascii="Calibri" w:eastAsia="Times New Roman" w:hAnsi="Calibri" w:cs="Calibri"/>
                <w:color w:val="0000FF"/>
                <w:sz w:val="18"/>
                <w:szCs w:val="18"/>
                <w:lang w:eastAsia="en-IL"/>
              </w:rPr>
            </w:pPr>
            <w:r w:rsidRPr="00802EE9">
              <w:rPr>
                <w:rFonts w:ascii="Calibri" w:eastAsia="Times New Roman" w:hAnsi="Calibri" w:cs="Calibri"/>
                <w:color w:val="0000FF"/>
                <w:sz w:val="18"/>
                <w:szCs w:val="18"/>
                <w:lang w:eastAsia="en-IL"/>
              </w:rPr>
              <w:t>-1.51</w:t>
            </w:r>
          </w:p>
        </w:tc>
      </w:tr>
      <w:tr w:rsidR="00247238" w:rsidRPr="00247238" w14:paraId="1AEF7E0D" w14:textId="77777777" w:rsidTr="00247238">
        <w:trPr>
          <w:trHeight w:val="315"/>
        </w:trPr>
        <w:tc>
          <w:tcPr>
            <w:tcW w:w="1403" w:type="dxa"/>
            <w:tcBorders>
              <w:top w:val="nil"/>
              <w:left w:val="single" w:sz="12" w:space="0" w:color="auto"/>
              <w:bottom w:val="single" w:sz="12" w:space="0" w:color="auto"/>
              <w:right w:val="nil"/>
            </w:tcBorders>
            <w:shd w:val="clear" w:color="auto" w:fill="auto"/>
            <w:noWrap/>
            <w:vAlign w:val="bottom"/>
            <w:hideMark/>
          </w:tcPr>
          <w:p w14:paraId="43561857" w14:textId="77777777" w:rsidR="00247238" w:rsidRPr="00802EE9" w:rsidRDefault="00247238" w:rsidP="00247238">
            <w:pPr>
              <w:spacing w:after="0" w:line="240" w:lineRule="auto"/>
              <w:rPr>
                <w:rFonts w:ascii="Calibri" w:eastAsia="Times New Roman" w:hAnsi="Calibri" w:cs="Calibri"/>
                <w:color w:val="0000FF"/>
                <w:lang w:eastAsia="en-IL"/>
              </w:rPr>
            </w:pPr>
            <w:r w:rsidRPr="00802EE9">
              <w:rPr>
                <w:rFonts w:ascii="Calibri" w:eastAsia="Times New Roman" w:hAnsi="Calibri" w:cs="Calibri"/>
                <w:color w:val="0000FF"/>
                <w:lang w:eastAsia="en-IL"/>
              </w:rPr>
              <w:lastRenderedPageBreak/>
              <w:t>1 to 755</w:t>
            </w:r>
          </w:p>
        </w:tc>
        <w:tc>
          <w:tcPr>
            <w:tcW w:w="977" w:type="dxa"/>
            <w:tcBorders>
              <w:top w:val="nil"/>
              <w:left w:val="single" w:sz="12" w:space="0" w:color="auto"/>
              <w:bottom w:val="single" w:sz="12" w:space="0" w:color="auto"/>
              <w:right w:val="nil"/>
            </w:tcBorders>
            <w:shd w:val="clear" w:color="auto" w:fill="auto"/>
            <w:vAlign w:val="center"/>
            <w:hideMark/>
          </w:tcPr>
          <w:p w14:paraId="58F09659" w14:textId="77777777" w:rsidR="00247238" w:rsidRPr="00802EE9" w:rsidRDefault="00247238" w:rsidP="00247238">
            <w:pPr>
              <w:spacing w:after="0" w:line="240" w:lineRule="auto"/>
              <w:jc w:val="center"/>
              <w:rPr>
                <w:rFonts w:ascii="Times New Roman" w:eastAsia="Times New Roman" w:hAnsi="Times New Roman" w:cs="Times New Roman"/>
                <w:color w:val="0000FF"/>
                <w:sz w:val="18"/>
                <w:szCs w:val="18"/>
                <w:lang w:eastAsia="en-IL"/>
              </w:rPr>
            </w:pPr>
            <w:r w:rsidRPr="00802EE9">
              <w:rPr>
                <w:rFonts w:ascii="Times New Roman" w:eastAsia="Times New Roman" w:hAnsi="Times New Roman" w:cs="Times New Roman"/>
                <w:color w:val="0000FF"/>
                <w:sz w:val="18"/>
                <w:szCs w:val="18"/>
                <w:lang w:eastAsia="en-IL"/>
              </w:rPr>
              <w:t>-77.80%</w:t>
            </w:r>
          </w:p>
        </w:tc>
        <w:tc>
          <w:tcPr>
            <w:tcW w:w="724" w:type="dxa"/>
            <w:tcBorders>
              <w:top w:val="nil"/>
              <w:left w:val="nil"/>
              <w:bottom w:val="single" w:sz="12" w:space="0" w:color="auto"/>
              <w:right w:val="single" w:sz="12" w:space="0" w:color="auto"/>
            </w:tcBorders>
            <w:shd w:val="clear" w:color="auto" w:fill="auto"/>
            <w:noWrap/>
            <w:vAlign w:val="center"/>
            <w:hideMark/>
          </w:tcPr>
          <w:p w14:paraId="20C4BEE2" w14:textId="1B345E08" w:rsidR="00247238" w:rsidRPr="00802EE9" w:rsidRDefault="00247238" w:rsidP="00247238">
            <w:pPr>
              <w:spacing w:after="0" w:line="240" w:lineRule="auto"/>
              <w:jc w:val="center"/>
              <w:rPr>
                <w:rFonts w:ascii="Calibri" w:eastAsia="Times New Roman" w:hAnsi="Calibri" w:cs="Calibri"/>
                <w:color w:val="0000FF"/>
                <w:sz w:val="18"/>
                <w:szCs w:val="18"/>
                <w:lang w:eastAsia="en-IL"/>
              </w:rPr>
            </w:pPr>
            <w:r w:rsidRPr="00802EE9">
              <w:rPr>
                <w:rFonts w:ascii="Calibri" w:eastAsia="Times New Roman" w:hAnsi="Calibri" w:cs="Calibri"/>
                <w:color w:val="0000FF"/>
                <w:sz w:val="18"/>
                <w:szCs w:val="18"/>
                <w:lang w:eastAsia="en-IL"/>
              </w:rPr>
              <w:t>-17.7</w:t>
            </w:r>
          </w:p>
        </w:tc>
        <w:tc>
          <w:tcPr>
            <w:tcW w:w="936" w:type="dxa"/>
            <w:tcBorders>
              <w:top w:val="nil"/>
              <w:left w:val="nil"/>
              <w:bottom w:val="single" w:sz="12" w:space="0" w:color="auto"/>
              <w:right w:val="nil"/>
            </w:tcBorders>
            <w:shd w:val="clear" w:color="auto" w:fill="auto"/>
            <w:vAlign w:val="center"/>
            <w:hideMark/>
          </w:tcPr>
          <w:p w14:paraId="36DBA2D1" w14:textId="77777777" w:rsidR="00247238" w:rsidRPr="00802EE9" w:rsidRDefault="00247238" w:rsidP="00247238">
            <w:pPr>
              <w:spacing w:after="0" w:line="240" w:lineRule="auto"/>
              <w:jc w:val="center"/>
              <w:rPr>
                <w:rFonts w:ascii="Times New Roman" w:eastAsia="Times New Roman" w:hAnsi="Times New Roman" w:cs="Times New Roman"/>
                <w:color w:val="0000FF"/>
                <w:sz w:val="18"/>
                <w:szCs w:val="18"/>
                <w:lang w:eastAsia="en-IL"/>
              </w:rPr>
            </w:pPr>
            <w:r w:rsidRPr="00802EE9">
              <w:rPr>
                <w:rFonts w:ascii="Times New Roman" w:eastAsia="Times New Roman" w:hAnsi="Times New Roman" w:cs="Times New Roman"/>
                <w:color w:val="0000FF"/>
                <w:sz w:val="18"/>
                <w:szCs w:val="18"/>
                <w:lang w:eastAsia="en-IL"/>
              </w:rPr>
              <w:t>-68.63%</w:t>
            </w:r>
          </w:p>
        </w:tc>
        <w:tc>
          <w:tcPr>
            <w:tcW w:w="640" w:type="dxa"/>
            <w:tcBorders>
              <w:top w:val="nil"/>
              <w:left w:val="nil"/>
              <w:bottom w:val="single" w:sz="12" w:space="0" w:color="auto"/>
              <w:right w:val="nil"/>
            </w:tcBorders>
            <w:shd w:val="clear" w:color="auto" w:fill="auto"/>
            <w:noWrap/>
            <w:vAlign w:val="center"/>
            <w:hideMark/>
          </w:tcPr>
          <w:p w14:paraId="2302070A" w14:textId="6DBFAFB0" w:rsidR="00247238" w:rsidRPr="00802EE9" w:rsidRDefault="00247238" w:rsidP="00247238">
            <w:pPr>
              <w:spacing w:after="0" w:line="240" w:lineRule="auto"/>
              <w:jc w:val="center"/>
              <w:rPr>
                <w:rFonts w:ascii="Calibri" w:eastAsia="Times New Roman" w:hAnsi="Calibri" w:cs="Calibri"/>
                <w:color w:val="0000FF"/>
                <w:sz w:val="18"/>
                <w:szCs w:val="18"/>
                <w:lang w:eastAsia="en-IL"/>
              </w:rPr>
            </w:pPr>
            <w:r w:rsidRPr="00802EE9">
              <w:rPr>
                <w:rFonts w:ascii="Calibri" w:eastAsia="Times New Roman" w:hAnsi="Calibri" w:cs="Calibri"/>
                <w:color w:val="0000FF"/>
                <w:sz w:val="18"/>
                <w:szCs w:val="18"/>
                <w:lang w:eastAsia="en-IL"/>
              </w:rPr>
              <w:t>-14.9</w:t>
            </w:r>
          </w:p>
        </w:tc>
        <w:tc>
          <w:tcPr>
            <w:tcW w:w="860" w:type="dxa"/>
            <w:tcBorders>
              <w:top w:val="nil"/>
              <w:left w:val="single" w:sz="12" w:space="0" w:color="auto"/>
              <w:bottom w:val="single" w:sz="12" w:space="0" w:color="auto"/>
              <w:right w:val="nil"/>
            </w:tcBorders>
            <w:shd w:val="clear" w:color="auto" w:fill="auto"/>
            <w:vAlign w:val="center"/>
            <w:hideMark/>
          </w:tcPr>
          <w:p w14:paraId="1FD4DFAE" w14:textId="77777777" w:rsidR="00247238" w:rsidRPr="00802EE9" w:rsidRDefault="00247238" w:rsidP="00247238">
            <w:pPr>
              <w:spacing w:after="0" w:line="240" w:lineRule="auto"/>
              <w:jc w:val="center"/>
              <w:rPr>
                <w:rFonts w:ascii="Times New Roman" w:eastAsia="Times New Roman" w:hAnsi="Times New Roman" w:cs="Times New Roman"/>
                <w:color w:val="0000FF"/>
                <w:sz w:val="18"/>
                <w:szCs w:val="18"/>
                <w:lang w:eastAsia="en-IL"/>
              </w:rPr>
            </w:pPr>
            <w:r w:rsidRPr="00802EE9">
              <w:rPr>
                <w:rFonts w:ascii="Times New Roman" w:eastAsia="Times New Roman" w:hAnsi="Times New Roman" w:cs="Times New Roman"/>
                <w:color w:val="0000FF"/>
                <w:sz w:val="18"/>
                <w:szCs w:val="18"/>
                <w:lang w:eastAsia="en-IL"/>
              </w:rPr>
              <w:t>-46.55%</w:t>
            </w:r>
          </w:p>
        </w:tc>
        <w:tc>
          <w:tcPr>
            <w:tcW w:w="740" w:type="dxa"/>
            <w:tcBorders>
              <w:top w:val="nil"/>
              <w:left w:val="nil"/>
              <w:bottom w:val="single" w:sz="12" w:space="0" w:color="auto"/>
              <w:right w:val="single" w:sz="12" w:space="0" w:color="auto"/>
            </w:tcBorders>
            <w:shd w:val="clear" w:color="auto" w:fill="auto"/>
            <w:noWrap/>
            <w:vAlign w:val="center"/>
            <w:hideMark/>
          </w:tcPr>
          <w:p w14:paraId="4495CFE8" w14:textId="77777777" w:rsidR="00247238" w:rsidRPr="00802EE9" w:rsidRDefault="00247238" w:rsidP="00247238">
            <w:pPr>
              <w:spacing w:after="0" w:line="240" w:lineRule="auto"/>
              <w:jc w:val="center"/>
              <w:rPr>
                <w:rFonts w:ascii="Calibri" w:eastAsia="Times New Roman" w:hAnsi="Calibri" w:cs="Calibri"/>
                <w:color w:val="0000FF"/>
                <w:sz w:val="18"/>
                <w:szCs w:val="18"/>
                <w:lang w:eastAsia="en-IL"/>
              </w:rPr>
            </w:pPr>
            <w:r w:rsidRPr="00802EE9">
              <w:rPr>
                <w:rFonts w:ascii="Calibri" w:eastAsia="Times New Roman" w:hAnsi="Calibri" w:cs="Calibri"/>
                <w:color w:val="0000FF"/>
                <w:sz w:val="18"/>
                <w:szCs w:val="18"/>
                <w:lang w:eastAsia="en-IL"/>
              </w:rPr>
              <w:t>-13.20</w:t>
            </w:r>
          </w:p>
        </w:tc>
        <w:tc>
          <w:tcPr>
            <w:tcW w:w="820" w:type="dxa"/>
            <w:tcBorders>
              <w:top w:val="nil"/>
              <w:left w:val="nil"/>
              <w:bottom w:val="single" w:sz="12" w:space="0" w:color="auto"/>
              <w:right w:val="nil"/>
            </w:tcBorders>
            <w:shd w:val="clear" w:color="auto" w:fill="auto"/>
            <w:vAlign w:val="center"/>
            <w:hideMark/>
          </w:tcPr>
          <w:p w14:paraId="4255CBE0" w14:textId="6E50575C" w:rsidR="00247238" w:rsidRPr="00802EE9" w:rsidRDefault="00247238" w:rsidP="00247238">
            <w:pPr>
              <w:spacing w:after="0" w:line="240" w:lineRule="auto"/>
              <w:jc w:val="center"/>
              <w:rPr>
                <w:rFonts w:ascii="Times New Roman" w:eastAsia="Times New Roman" w:hAnsi="Times New Roman" w:cs="Times New Roman"/>
                <w:color w:val="0000FF"/>
                <w:sz w:val="18"/>
                <w:szCs w:val="18"/>
                <w:lang w:eastAsia="en-IL"/>
              </w:rPr>
            </w:pPr>
            <w:r w:rsidRPr="00802EE9">
              <w:rPr>
                <w:rFonts w:ascii="Times New Roman" w:eastAsia="Times New Roman" w:hAnsi="Times New Roman" w:cs="Times New Roman"/>
                <w:color w:val="0000FF"/>
                <w:sz w:val="18"/>
                <w:szCs w:val="18"/>
                <w:lang w:eastAsia="en-IL"/>
              </w:rPr>
              <w:t>-37.4%</w:t>
            </w:r>
          </w:p>
        </w:tc>
        <w:tc>
          <w:tcPr>
            <w:tcW w:w="680" w:type="dxa"/>
            <w:tcBorders>
              <w:top w:val="nil"/>
              <w:left w:val="nil"/>
              <w:bottom w:val="single" w:sz="12" w:space="0" w:color="auto"/>
              <w:right w:val="nil"/>
            </w:tcBorders>
            <w:shd w:val="clear" w:color="auto" w:fill="auto"/>
            <w:noWrap/>
            <w:vAlign w:val="center"/>
            <w:hideMark/>
          </w:tcPr>
          <w:p w14:paraId="707B2CFC" w14:textId="0CAA936C" w:rsidR="00247238" w:rsidRPr="00802EE9" w:rsidRDefault="00247238" w:rsidP="00247238">
            <w:pPr>
              <w:spacing w:after="0" w:line="240" w:lineRule="auto"/>
              <w:jc w:val="center"/>
              <w:rPr>
                <w:rFonts w:ascii="Calibri" w:eastAsia="Times New Roman" w:hAnsi="Calibri" w:cs="Calibri"/>
                <w:color w:val="0000FF"/>
                <w:sz w:val="18"/>
                <w:szCs w:val="18"/>
                <w:lang w:eastAsia="en-IL"/>
              </w:rPr>
            </w:pPr>
            <w:r w:rsidRPr="00802EE9">
              <w:rPr>
                <w:rFonts w:ascii="Calibri" w:eastAsia="Times New Roman" w:hAnsi="Calibri" w:cs="Calibri"/>
                <w:color w:val="0000FF"/>
                <w:sz w:val="18"/>
                <w:szCs w:val="18"/>
                <w:lang w:eastAsia="en-IL"/>
              </w:rPr>
              <w:t>-11. 7</w:t>
            </w:r>
          </w:p>
        </w:tc>
        <w:tc>
          <w:tcPr>
            <w:tcW w:w="900" w:type="dxa"/>
            <w:tcBorders>
              <w:top w:val="nil"/>
              <w:left w:val="single" w:sz="12" w:space="0" w:color="auto"/>
              <w:bottom w:val="single" w:sz="12" w:space="0" w:color="auto"/>
              <w:right w:val="nil"/>
            </w:tcBorders>
            <w:shd w:val="clear" w:color="auto" w:fill="auto"/>
            <w:vAlign w:val="center"/>
            <w:hideMark/>
          </w:tcPr>
          <w:p w14:paraId="4079ACDE" w14:textId="77777777" w:rsidR="00247238" w:rsidRPr="00802EE9" w:rsidRDefault="00247238" w:rsidP="00247238">
            <w:pPr>
              <w:spacing w:after="0" w:line="240" w:lineRule="auto"/>
              <w:jc w:val="center"/>
              <w:rPr>
                <w:rFonts w:ascii="Times New Roman" w:eastAsia="Times New Roman" w:hAnsi="Times New Roman" w:cs="Times New Roman"/>
                <w:color w:val="0000FF"/>
                <w:sz w:val="18"/>
                <w:szCs w:val="18"/>
                <w:lang w:eastAsia="en-IL"/>
              </w:rPr>
            </w:pPr>
            <w:r w:rsidRPr="00802EE9">
              <w:rPr>
                <w:rFonts w:ascii="Times New Roman" w:eastAsia="Times New Roman" w:hAnsi="Times New Roman" w:cs="Times New Roman"/>
                <w:color w:val="0000FF"/>
                <w:sz w:val="18"/>
                <w:szCs w:val="18"/>
                <w:lang w:eastAsia="en-IL"/>
              </w:rPr>
              <w:t>-38.46%</w:t>
            </w:r>
          </w:p>
        </w:tc>
        <w:tc>
          <w:tcPr>
            <w:tcW w:w="720" w:type="dxa"/>
            <w:tcBorders>
              <w:top w:val="nil"/>
              <w:left w:val="nil"/>
              <w:bottom w:val="single" w:sz="12" w:space="0" w:color="auto"/>
              <w:right w:val="single" w:sz="12" w:space="0" w:color="auto"/>
            </w:tcBorders>
            <w:shd w:val="clear" w:color="auto" w:fill="auto"/>
            <w:noWrap/>
            <w:vAlign w:val="center"/>
            <w:hideMark/>
          </w:tcPr>
          <w:p w14:paraId="16E99B17" w14:textId="77777777" w:rsidR="00247238" w:rsidRPr="00802EE9" w:rsidRDefault="00247238" w:rsidP="00247238">
            <w:pPr>
              <w:spacing w:after="0" w:line="240" w:lineRule="auto"/>
              <w:jc w:val="center"/>
              <w:rPr>
                <w:rFonts w:ascii="Calibri" w:eastAsia="Times New Roman" w:hAnsi="Calibri" w:cs="Calibri"/>
                <w:color w:val="0000FF"/>
                <w:sz w:val="18"/>
                <w:szCs w:val="18"/>
                <w:lang w:eastAsia="en-IL"/>
              </w:rPr>
            </w:pPr>
            <w:r w:rsidRPr="00802EE9">
              <w:rPr>
                <w:rFonts w:ascii="Calibri" w:eastAsia="Times New Roman" w:hAnsi="Calibri" w:cs="Calibri"/>
                <w:color w:val="0000FF"/>
                <w:sz w:val="18"/>
                <w:szCs w:val="18"/>
                <w:lang w:eastAsia="en-IL"/>
              </w:rPr>
              <w:t>-11.39</w:t>
            </w:r>
          </w:p>
        </w:tc>
      </w:tr>
    </w:tbl>
    <w:p w14:paraId="72F8FA58" w14:textId="509CD36D" w:rsidR="00022115" w:rsidRPr="004714C3" w:rsidRDefault="007113F7" w:rsidP="00802EE9">
      <w:pPr>
        <w:pStyle w:val="ListParagraph"/>
        <w:spacing w:line="360" w:lineRule="auto"/>
        <w:ind w:left="0"/>
        <w:rPr>
          <w:rFonts w:ascii="Arial" w:eastAsia="Times New Roman" w:hAnsi="Arial" w:cs="Arial"/>
          <w:color w:val="0000FF"/>
          <w:sz w:val="20"/>
          <w:szCs w:val="20"/>
          <w:lang w:val="en-US" w:eastAsia="en-IL"/>
        </w:rPr>
      </w:pPr>
      <w:r w:rsidRPr="004714C3">
        <w:rPr>
          <w:rFonts w:ascii="Arial" w:eastAsia="Times New Roman" w:hAnsi="Arial" w:cs="Arial"/>
          <w:color w:val="0000FF"/>
          <w:sz w:val="20"/>
          <w:szCs w:val="20"/>
          <w:lang w:val="en-US" w:eastAsia="en-IL"/>
        </w:rPr>
        <w:t xml:space="preserve">Note: this table present </w:t>
      </w:r>
      <w:r w:rsidR="00802EE9" w:rsidRPr="004714C3">
        <w:rPr>
          <w:rFonts w:ascii="Arial" w:eastAsia="Times New Roman" w:hAnsi="Arial" w:cs="Arial"/>
          <w:color w:val="0000FF"/>
          <w:sz w:val="20"/>
          <w:szCs w:val="20"/>
          <w:lang w:val="en-US" w:eastAsia="en-IL"/>
        </w:rPr>
        <w:t>l</w:t>
      </w:r>
      <w:r w:rsidRPr="004714C3">
        <w:rPr>
          <w:rFonts w:ascii="Arial" w:eastAsia="Times New Roman" w:hAnsi="Arial" w:cs="Arial"/>
          <w:color w:val="0000FF"/>
          <w:sz w:val="20"/>
          <w:szCs w:val="20"/>
          <w:lang w:val="en-US" w:eastAsia="en-IL"/>
        </w:rPr>
        <w:t xml:space="preserve">arge-sized firm CAAR </w:t>
      </w:r>
      <w:r w:rsidR="00802EE9" w:rsidRPr="004714C3">
        <w:rPr>
          <w:rFonts w:ascii="Arial" w:eastAsia="Times New Roman" w:hAnsi="Arial" w:cs="Arial"/>
          <w:color w:val="0000FF"/>
          <w:sz w:val="20"/>
          <w:szCs w:val="20"/>
          <w:lang w:val="en-US" w:eastAsia="en-IL"/>
        </w:rPr>
        <w:t>results,</w:t>
      </w:r>
      <w:r w:rsidRPr="004714C3">
        <w:rPr>
          <w:rFonts w:ascii="Arial" w:eastAsia="Times New Roman" w:hAnsi="Arial" w:cs="Arial"/>
          <w:color w:val="0000FF"/>
          <w:sz w:val="20"/>
          <w:szCs w:val="20"/>
          <w:lang w:val="en-US" w:eastAsia="en-IL"/>
        </w:rPr>
        <w:t xml:space="preserve"> when using $100M, $200M, $300 and $400M as a separating value between small</w:t>
      </w:r>
      <w:r w:rsidR="00802EE9" w:rsidRPr="004714C3">
        <w:rPr>
          <w:rFonts w:ascii="Arial" w:eastAsia="Times New Roman" w:hAnsi="Arial" w:cs="Arial"/>
          <w:color w:val="0000FF"/>
          <w:sz w:val="20"/>
          <w:szCs w:val="20"/>
          <w:lang w:val="en-US" w:eastAsia="en-IL"/>
        </w:rPr>
        <w:t>-sized</w:t>
      </w:r>
      <w:r w:rsidRPr="004714C3">
        <w:rPr>
          <w:rFonts w:ascii="Arial" w:eastAsia="Times New Roman" w:hAnsi="Arial" w:cs="Arial"/>
          <w:color w:val="0000FF"/>
          <w:sz w:val="20"/>
          <w:szCs w:val="20"/>
          <w:lang w:val="en-US" w:eastAsia="en-IL"/>
        </w:rPr>
        <w:t xml:space="preserve"> and large</w:t>
      </w:r>
      <w:r w:rsidR="00802EE9" w:rsidRPr="004714C3">
        <w:rPr>
          <w:rFonts w:ascii="Arial" w:eastAsia="Times New Roman" w:hAnsi="Arial" w:cs="Arial"/>
          <w:color w:val="0000FF"/>
          <w:sz w:val="20"/>
          <w:szCs w:val="20"/>
          <w:lang w:val="en-US" w:eastAsia="en-IL"/>
        </w:rPr>
        <w:t>-sized firms.</w:t>
      </w:r>
    </w:p>
    <w:p w14:paraId="73A65660" w14:textId="4F4C98AF" w:rsidR="007113F7" w:rsidRDefault="007113F7" w:rsidP="00022115">
      <w:pPr>
        <w:pStyle w:val="ListParagraph"/>
        <w:rPr>
          <w:rFonts w:ascii="Arial" w:eastAsia="Times New Roman" w:hAnsi="Arial" w:cs="Arial"/>
          <w:b/>
          <w:bCs/>
          <w:color w:val="0A0A0A"/>
          <w:sz w:val="20"/>
          <w:szCs w:val="20"/>
          <w:lang w:val="en-US" w:eastAsia="en-IL"/>
        </w:rPr>
      </w:pPr>
    </w:p>
    <w:bookmarkEnd w:id="13"/>
    <w:p w14:paraId="488A5C7F" w14:textId="77777777" w:rsidR="007113F7" w:rsidRPr="007113F7" w:rsidRDefault="007113F7" w:rsidP="00022115">
      <w:pPr>
        <w:pStyle w:val="ListParagraph"/>
        <w:rPr>
          <w:rFonts w:ascii="Arial" w:eastAsia="Times New Roman" w:hAnsi="Arial" w:cs="Arial"/>
          <w:b/>
          <w:bCs/>
          <w:color w:val="0A0A0A"/>
          <w:sz w:val="20"/>
          <w:szCs w:val="20"/>
          <w:lang w:val="en-US" w:eastAsia="en-IL"/>
        </w:rPr>
      </w:pPr>
    </w:p>
    <w:p w14:paraId="2AF074B9" w14:textId="24BD7E4F" w:rsidR="009D7247" w:rsidRDefault="009D7247" w:rsidP="00C000B6">
      <w:pPr>
        <w:numPr>
          <w:ilvl w:val="0"/>
          <w:numId w:val="1"/>
        </w:numPr>
        <w:tabs>
          <w:tab w:val="clear" w:pos="720"/>
        </w:tabs>
        <w:spacing w:before="75" w:after="75" w:line="240" w:lineRule="auto"/>
        <w:ind w:left="0" w:firstLine="0"/>
        <w:rPr>
          <w:rFonts w:ascii="Arial" w:eastAsia="Times New Roman" w:hAnsi="Arial" w:cs="Arial"/>
          <w:b/>
          <w:bCs/>
          <w:color w:val="0A0A0A"/>
          <w:sz w:val="20"/>
          <w:szCs w:val="20"/>
          <w:lang w:eastAsia="en-IL"/>
        </w:rPr>
      </w:pPr>
      <w:r w:rsidRPr="00C000B6">
        <w:rPr>
          <w:rFonts w:ascii="Arial" w:eastAsia="Times New Roman" w:hAnsi="Arial" w:cs="Arial"/>
          <w:b/>
          <w:bCs/>
          <w:color w:val="0A0A0A"/>
          <w:sz w:val="20"/>
          <w:szCs w:val="20"/>
          <w:lang w:eastAsia="en-IL"/>
        </w:rPr>
        <w:t xml:space="preserve">"HTV as a dummy variable that receives 1 for companies with a high volume of tweets and 0 otherwise" - what does </w:t>
      </w:r>
      <w:proofErr w:type="gramStart"/>
      <w:r w:rsidRPr="00C000B6">
        <w:rPr>
          <w:rFonts w:ascii="Arial" w:eastAsia="Times New Roman" w:hAnsi="Arial" w:cs="Arial"/>
          <w:b/>
          <w:bCs/>
          <w:color w:val="0A0A0A"/>
          <w:sz w:val="20"/>
          <w:szCs w:val="20"/>
          <w:lang w:eastAsia="en-IL"/>
        </w:rPr>
        <w:t>it</w:t>
      </w:r>
      <w:proofErr w:type="gramEnd"/>
      <w:r w:rsidRPr="00C000B6">
        <w:rPr>
          <w:rFonts w:ascii="Arial" w:eastAsia="Times New Roman" w:hAnsi="Arial" w:cs="Arial"/>
          <w:b/>
          <w:bCs/>
          <w:color w:val="0A0A0A"/>
          <w:sz w:val="20"/>
          <w:szCs w:val="20"/>
          <w:lang w:eastAsia="en-IL"/>
        </w:rPr>
        <w:t xml:space="preserve"> meat "high volume". not described</w:t>
      </w:r>
    </w:p>
    <w:p w14:paraId="14A35C2B" w14:textId="5A138B53" w:rsidR="00D7549F" w:rsidRPr="00D7549F" w:rsidRDefault="00D7549F" w:rsidP="00D7549F">
      <w:pPr>
        <w:spacing w:before="75" w:after="75" w:line="240" w:lineRule="auto"/>
        <w:rPr>
          <w:rFonts w:ascii="Arial" w:eastAsia="Times New Roman" w:hAnsi="Arial" w:cs="Arial"/>
          <w:color w:val="0A0A0A"/>
          <w:sz w:val="20"/>
          <w:szCs w:val="20"/>
          <w:lang w:eastAsia="en-IL"/>
        </w:rPr>
      </w:pPr>
    </w:p>
    <w:p w14:paraId="12E3F996" w14:textId="77777777" w:rsidR="005A099A" w:rsidRDefault="005A099A" w:rsidP="00D7549F">
      <w:pPr>
        <w:spacing w:before="75" w:after="75" w:line="240" w:lineRule="auto"/>
        <w:rPr>
          <w:rFonts w:ascii="Arial" w:eastAsia="Times New Roman" w:hAnsi="Arial" w:cs="Arial"/>
          <w:color w:val="0000FF"/>
          <w:sz w:val="20"/>
          <w:szCs w:val="20"/>
          <w:lang w:val="en-US" w:eastAsia="en-IL"/>
        </w:rPr>
      </w:pPr>
    </w:p>
    <w:p w14:paraId="2FAD6B42" w14:textId="3346D1AD" w:rsidR="005A099A" w:rsidRDefault="000945F7" w:rsidP="000945F7">
      <w:pPr>
        <w:spacing w:before="75" w:after="75" w:line="240" w:lineRule="auto"/>
        <w:rPr>
          <w:rFonts w:ascii="Arial" w:eastAsia="Times New Roman" w:hAnsi="Arial" w:cs="Arial"/>
          <w:color w:val="0000FF"/>
          <w:sz w:val="20"/>
          <w:szCs w:val="20"/>
          <w:lang w:val="en-US" w:eastAsia="en-IL"/>
        </w:rPr>
      </w:pPr>
      <w:r>
        <w:rPr>
          <w:rFonts w:ascii="Arial" w:eastAsia="Times New Roman" w:hAnsi="Arial" w:cs="Arial" w:hint="cs"/>
          <w:color w:val="0000FF"/>
          <w:sz w:val="20"/>
          <w:szCs w:val="20"/>
          <w:lang w:val="en-US" w:eastAsia="en-IL"/>
        </w:rPr>
        <w:t>T</w:t>
      </w:r>
      <w:r w:rsidRPr="000945F7">
        <w:rPr>
          <w:rFonts w:ascii="Arial" w:eastAsia="Times New Roman" w:hAnsi="Arial" w:cs="Arial"/>
          <w:color w:val="0000FF"/>
          <w:sz w:val="20"/>
          <w:szCs w:val="20"/>
          <w:lang w:val="en-US" w:eastAsia="en-IL"/>
        </w:rPr>
        <w:t xml:space="preserve">he motivation for characterizing high and low volume of tweets as above or below the median is explained in the first section of Part 4. (In the previous version Part 3) I highlighted the part that explains what HTV and LTV are (emphasis not in </w:t>
      </w:r>
      <w:r>
        <w:rPr>
          <w:rFonts w:ascii="Arial" w:eastAsia="Times New Roman" w:hAnsi="Arial" w:cs="Arial"/>
          <w:color w:val="0000FF"/>
          <w:sz w:val="20"/>
          <w:szCs w:val="20"/>
          <w:lang w:val="en-US" w:eastAsia="en-IL"/>
        </w:rPr>
        <w:t xml:space="preserve">the </w:t>
      </w:r>
      <w:r w:rsidRPr="000945F7">
        <w:rPr>
          <w:rFonts w:ascii="Arial" w:eastAsia="Times New Roman" w:hAnsi="Arial" w:cs="Arial"/>
          <w:color w:val="0000FF"/>
          <w:sz w:val="20"/>
          <w:szCs w:val="20"/>
          <w:lang w:val="en-US" w:eastAsia="en-IL"/>
        </w:rPr>
        <w:t>original)</w:t>
      </w:r>
    </w:p>
    <w:p w14:paraId="3EE6AC6B" w14:textId="32716528" w:rsidR="000945F7" w:rsidRDefault="000945F7" w:rsidP="000945F7">
      <w:pPr>
        <w:spacing w:before="75" w:after="75" w:line="240" w:lineRule="auto"/>
        <w:rPr>
          <w:rFonts w:ascii="Arial" w:eastAsia="Times New Roman" w:hAnsi="Arial" w:cs="Arial"/>
          <w:color w:val="0000FF"/>
          <w:sz w:val="20"/>
          <w:szCs w:val="20"/>
          <w:lang w:val="en-US" w:eastAsia="en-IL"/>
        </w:rPr>
      </w:pPr>
    </w:p>
    <w:p w14:paraId="434272AB" w14:textId="39ECC574" w:rsidR="000945F7" w:rsidRPr="000945F7" w:rsidRDefault="000945F7" w:rsidP="000945F7">
      <w:pPr>
        <w:spacing w:before="75" w:after="75" w:line="240" w:lineRule="auto"/>
        <w:rPr>
          <w:rFonts w:ascii="Arial" w:eastAsia="Times New Roman" w:hAnsi="Arial" w:cs="Arial"/>
          <w:b/>
          <w:bCs/>
          <w:color w:val="0000FF"/>
          <w:lang w:val="en-US" w:eastAsia="en-IL"/>
        </w:rPr>
      </w:pPr>
      <w:r w:rsidRPr="000945F7">
        <w:rPr>
          <w:color w:val="0000FF"/>
        </w:rPr>
        <w:t>When considering the volume of tweets as a reflection of the level of attention a firm has attracted, it should be noted that the volume of tweets has been weighted relative to the tweet volume of other firms. As a result, even a low tweet volume can stand out in an environment where comparable firms have a lower volume or no tweets at all, thereby creating an impact, perhaps even similar to that of a firm with very high tweet volume in an environment of high tweet volumes. Therefore, the mere number of tweets itself is often meaningless; the number becomes more meaningful only when compared with others in the comparable sector</w:t>
      </w:r>
      <w:r w:rsidRPr="000945F7">
        <w:rPr>
          <w:b/>
          <w:bCs/>
          <w:color w:val="0000FF"/>
          <w:sz w:val="24"/>
          <w:szCs w:val="24"/>
        </w:rPr>
        <w:t>. For that reason, the number of tweets above and below the median for each year relative to the IPO have been characterized as High Twitter Volume (HTV) and Low Twitter Volume (LTV) respectively</w:t>
      </w:r>
      <w:r>
        <w:rPr>
          <w:b/>
          <w:bCs/>
          <w:color w:val="0000FF"/>
          <w:sz w:val="24"/>
          <w:szCs w:val="24"/>
          <w:lang w:val="en-US"/>
        </w:rPr>
        <w:t>.</w:t>
      </w:r>
    </w:p>
    <w:p w14:paraId="18073698" w14:textId="77777777" w:rsidR="000945F7" w:rsidRDefault="000945F7" w:rsidP="000945F7">
      <w:pPr>
        <w:spacing w:before="75" w:after="75" w:line="240" w:lineRule="auto"/>
        <w:rPr>
          <w:rFonts w:ascii="Arial" w:eastAsia="Times New Roman" w:hAnsi="Arial" w:cs="Arial"/>
          <w:color w:val="0000FF"/>
          <w:sz w:val="20"/>
          <w:szCs w:val="20"/>
          <w:lang w:val="en-US" w:eastAsia="en-IL"/>
        </w:rPr>
      </w:pPr>
    </w:p>
    <w:p w14:paraId="65BAB88B" w14:textId="1C38E18E" w:rsidR="009D7247" w:rsidRDefault="009D7247" w:rsidP="00C000B6">
      <w:pPr>
        <w:numPr>
          <w:ilvl w:val="0"/>
          <w:numId w:val="1"/>
        </w:numPr>
        <w:tabs>
          <w:tab w:val="clear" w:pos="720"/>
        </w:tabs>
        <w:spacing w:before="75" w:after="75" w:line="240" w:lineRule="auto"/>
        <w:ind w:left="0" w:firstLine="0"/>
        <w:rPr>
          <w:rFonts w:ascii="Arial" w:eastAsia="Times New Roman" w:hAnsi="Arial" w:cs="Arial"/>
          <w:b/>
          <w:bCs/>
          <w:color w:val="0A0A0A"/>
          <w:sz w:val="20"/>
          <w:szCs w:val="20"/>
          <w:lang w:eastAsia="en-IL"/>
        </w:rPr>
      </w:pPr>
      <w:r w:rsidRPr="00C000B6">
        <w:rPr>
          <w:rFonts w:ascii="Arial" w:eastAsia="Times New Roman" w:hAnsi="Arial" w:cs="Arial"/>
          <w:b/>
          <w:bCs/>
          <w:color w:val="0A0A0A"/>
          <w:sz w:val="20"/>
          <w:szCs w:val="20"/>
          <w:lang w:eastAsia="en-IL"/>
        </w:rPr>
        <w:t>models presented in the second part of the study are very simple in terms of the significant market variables</w:t>
      </w:r>
    </w:p>
    <w:p w14:paraId="41CC8784" w14:textId="77777777" w:rsidR="00B00655" w:rsidRDefault="00992823" w:rsidP="00992823">
      <w:pPr>
        <w:autoSpaceDE w:val="0"/>
        <w:autoSpaceDN w:val="0"/>
        <w:adjustRightInd w:val="0"/>
        <w:spacing w:after="0" w:line="276" w:lineRule="auto"/>
        <w:ind w:left="-426" w:right="-625"/>
        <w:jc w:val="both"/>
        <w:rPr>
          <w:rFonts w:eastAsia="Times New Roman" w:cstheme="majorBidi"/>
          <w:color w:val="0000FF"/>
          <w:rtl/>
          <w:lang w:val="en-US"/>
        </w:rPr>
      </w:pPr>
      <w:r w:rsidRPr="00992823">
        <w:rPr>
          <w:rFonts w:eastAsia="Times New Roman" w:cstheme="majorBidi"/>
          <w:color w:val="0000FF"/>
          <w:lang w:val="en-US"/>
        </w:rPr>
        <w:t xml:space="preserve">Thank you for that comment. </w:t>
      </w:r>
    </w:p>
    <w:p w14:paraId="2DE8138B" w14:textId="5CEB9393" w:rsidR="00B00655" w:rsidRDefault="00B00655" w:rsidP="00992823">
      <w:pPr>
        <w:autoSpaceDE w:val="0"/>
        <w:autoSpaceDN w:val="0"/>
        <w:adjustRightInd w:val="0"/>
        <w:spacing w:after="0" w:line="276" w:lineRule="auto"/>
        <w:ind w:left="-426" w:right="-625"/>
        <w:jc w:val="both"/>
        <w:rPr>
          <w:rFonts w:eastAsia="Times New Roman" w:cstheme="majorBidi"/>
          <w:color w:val="0000FF"/>
          <w:lang w:val="en-US"/>
        </w:rPr>
      </w:pPr>
      <w:r w:rsidRPr="00B00655">
        <w:rPr>
          <w:rFonts w:eastAsia="Times New Roman" w:cstheme="majorBidi"/>
          <w:color w:val="0000FF"/>
          <w:lang w:val="en-US"/>
        </w:rPr>
        <w:t>To alleviate this concern and following your comment</w:t>
      </w:r>
      <w:r>
        <w:rPr>
          <w:rFonts w:eastAsia="Times New Roman" w:cstheme="majorBidi"/>
          <w:color w:val="0000FF"/>
          <w:lang w:val="en-US"/>
        </w:rPr>
        <w:t>,</w:t>
      </w:r>
      <w:r w:rsidRPr="00B00655">
        <w:rPr>
          <w:rFonts w:eastAsia="Times New Roman" w:cstheme="majorBidi"/>
          <w:color w:val="0000FF"/>
          <w:lang w:val="en-US"/>
        </w:rPr>
        <w:t xml:space="preserve"> we added the following </w:t>
      </w:r>
      <w:r>
        <w:rPr>
          <w:rFonts w:eastAsia="Times New Roman" w:cstheme="majorBidi"/>
          <w:color w:val="0000FF"/>
          <w:lang w:val="en-US"/>
        </w:rPr>
        <w:t>explanation</w:t>
      </w:r>
      <w:r w:rsidRPr="00B00655">
        <w:rPr>
          <w:rFonts w:eastAsia="Times New Roman" w:cstheme="majorBidi"/>
          <w:color w:val="0000FF"/>
          <w:lang w:val="en-US"/>
        </w:rPr>
        <w:t xml:space="preserve"> before presenting the regression equations of 1 and 2</w:t>
      </w:r>
    </w:p>
    <w:p w14:paraId="54896191" w14:textId="77777777" w:rsidR="00B00655" w:rsidRDefault="00B00655" w:rsidP="00992823">
      <w:pPr>
        <w:autoSpaceDE w:val="0"/>
        <w:autoSpaceDN w:val="0"/>
        <w:adjustRightInd w:val="0"/>
        <w:spacing w:after="0" w:line="276" w:lineRule="auto"/>
        <w:ind w:left="-426" w:right="-625"/>
        <w:jc w:val="both"/>
        <w:rPr>
          <w:rFonts w:eastAsia="Times New Roman" w:cstheme="majorBidi"/>
          <w:color w:val="0000FF"/>
          <w:rtl/>
          <w:lang w:val="en-US"/>
        </w:rPr>
      </w:pPr>
    </w:p>
    <w:p w14:paraId="029BEA9C" w14:textId="0C7234C6" w:rsidR="00B00655" w:rsidRPr="00FE1F5F" w:rsidRDefault="00B00655" w:rsidP="00992823">
      <w:pPr>
        <w:autoSpaceDE w:val="0"/>
        <w:autoSpaceDN w:val="0"/>
        <w:adjustRightInd w:val="0"/>
        <w:spacing w:after="0" w:line="276" w:lineRule="auto"/>
        <w:ind w:left="-426" w:right="-625"/>
        <w:jc w:val="both"/>
        <w:rPr>
          <w:rFonts w:eastAsia="Times New Roman" w:cstheme="majorBidi"/>
          <w:color w:val="0000FF"/>
          <w:rtl/>
          <w:lang w:val="en-US"/>
        </w:rPr>
      </w:pPr>
      <w:r>
        <w:rPr>
          <w:color w:val="0000FF"/>
          <w:lang w:val="en-US"/>
        </w:rPr>
        <w:t>“</w:t>
      </w:r>
      <w:r w:rsidRPr="00287148">
        <w:rPr>
          <w:color w:val="0000FF"/>
        </w:rPr>
        <w:t xml:space="preserve">While there are many parameters that attempt to explain stocks return, our goal was to shed light on the relationship between returns and </w:t>
      </w:r>
      <w:r w:rsidR="00FE1F5F">
        <w:rPr>
          <w:color w:val="0000FF"/>
          <w:lang w:val="en-US"/>
        </w:rPr>
        <w:t>their</w:t>
      </w:r>
      <w:r w:rsidRPr="00287148">
        <w:rPr>
          <w:color w:val="0000FF"/>
        </w:rPr>
        <w:t xml:space="preserve"> contemporaneous tweet</w:t>
      </w:r>
      <w:r w:rsidR="00FE1F5F">
        <w:rPr>
          <w:color w:val="0000FF"/>
          <w:lang w:val="en-US"/>
        </w:rPr>
        <w:t>s</w:t>
      </w:r>
      <w:r w:rsidRPr="00287148">
        <w:rPr>
          <w:color w:val="0000FF"/>
        </w:rPr>
        <w:t xml:space="preserve"> volume an</w:t>
      </w:r>
      <w:r>
        <w:rPr>
          <w:color w:val="0000FF"/>
        </w:rPr>
        <w:t>d</w:t>
      </w:r>
      <w:r w:rsidRPr="00287148">
        <w:rPr>
          <w:color w:val="0000FF"/>
        </w:rPr>
        <w:t xml:space="preserve"> </w:t>
      </w:r>
      <w:r w:rsidR="00FE1F5F">
        <w:rPr>
          <w:color w:val="0000FF"/>
          <w:lang w:val="en-US"/>
        </w:rPr>
        <w:t xml:space="preserve">not </w:t>
      </w:r>
      <w:r w:rsidRPr="00287148">
        <w:rPr>
          <w:color w:val="0000FF"/>
        </w:rPr>
        <w:t>to explain stock return</w:t>
      </w:r>
      <w:r w:rsidR="00B54FC4">
        <w:rPr>
          <w:color w:val="0000FF"/>
          <w:lang w:val="en-US"/>
        </w:rPr>
        <w:t xml:space="preserve"> per </w:t>
      </w:r>
      <w:proofErr w:type="gramStart"/>
      <w:r w:rsidR="00B54FC4">
        <w:rPr>
          <w:color w:val="0000FF"/>
          <w:lang w:val="en-US"/>
        </w:rPr>
        <w:t>se</w:t>
      </w:r>
      <w:r w:rsidR="00BB2DD5">
        <w:rPr>
          <w:color w:val="0000FF"/>
          <w:lang w:val="en-US"/>
        </w:rPr>
        <w:t>(</w:t>
      </w:r>
      <w:proofErr w:type="gramEnd"/>
      <w:r w:rsidRPr="00287148">
        <w:rPr>
          <w:color w:val="0000FF"/>
        </w:rPr>
        <w:t>. This goal guided our choice of the explanatory variables in the multivariate section</w:t>
      </w:r>
      <w:r w:rsidR="00FE1F5F">
        <w:rPr>
          <w:color w:val="0000FF"/>
          <w:lang w:val="en-US"/>
        </w:rPr>
        <w:t>”</w:t>
      </w:r>
    </w:p>
    <w:p w14:paraId="4D31C626" w14:textId="77777777" w:rsidR="00022115" w:rsidRPr="00992823" w:rsidRDefault="00022115" w:rsidP="00992823">
      <w:pPr>
        <w:autoSpaceDE w:val="0"/>
        <w:autoSpaceDN w:val="0"/>
        <w:adjustRightInd w:val="0"/>
        <w:spacing w:after="0" w:line="276" w:lineRule="auto"/>
        <w:ind w:left="-426" w:right="-625"/>
        <w:jc w:val="both"/>
        <w:rPr>
          <w:rFonts w:eastAsia="Times New Roman" w:cstheme="majorBidi"/>
          <w:color w:val="0000FF"/>
          <w:lang w:val="en-US"/>
        </w:rPr>
      </w:pPr>
    </w:p>
    <w:p w14:paraId="47469672" w14:textId="3B9DEF7B" w:rsidR="009D7247" w:rsidRDefault="009D7247" w:rsidP="00C000B6">
      <w:pPr>
        <w:numPr>
          <w:ilvl w:val="0"/>
          <w:numId w:val="1"/>
        </w:numPr>
        <w:tabs>
          <w:tab w:val="clear" w:pos="720"/>
        </w:tabs>
        <w:spacing w:before="75" w:after="75" w:line="240" w:lineRule="auto"/>
        <w:ind w:left="0" w:firstLine="0"/>
        <w:rPr>
          <w:rFonts w:ascii="Arial" w:eastAsia="Times New Roman" w:hAnsi="Arial" w:cs="Arial"/>
          <w:b/>
          <w:bCs/>
          <w:color w:val="0A0A0A"/>
          <w:sz w:val="20"/>
          <w:szCs w:val="20"/>
          <w:lang w:eastAsia="en-IL"/>
        </w:rPr>
      </w:pPr>
      <w:r w:rsidRPr="00C000B6">
        <w:rPr>
          <w:rFonts w:ascii="Arial" w:eastAsia="Times New Roman" w:hAnsi="Arial" w:cs="Arial"/>
          <w:b/>
          <w:bCs/>
          <w:color w:val="0A0A0A"/>
          <w:sz w:val="20"/>
          <w:szCs w:val="20"/>
          <w:lang w:eastAsia="en-IL"/>
        </w:rPr>
        <w:t>there are no statistical tests for the obtained models. we cannot tell if there are correctly estimated.</w:t>
      </w:r>
    </w:p>
    <w:p w14:paraId="5D727D6B" w14:textId="2B8C9B71" w:rsidR="007A4908" w:rsidRPr="007A4908" w:rsidRDefault="00292DF9" w:rsidP="00292DF9">
      <w:pPr>
        <w:autoSpaceDE w:val="0"/>
        <w:autoSpaceDN w:val="0"/>
        <w:adjustRightInd w:val="0"/>
        <w:spacing w:after="0" w:line="276" w:lineRule="auto"/>
        <w:ind w:left="-426" w:right="-625"/>
        <w:jc w:val="both"/>
        <w:rPr>
          <w:color w:val="0000FF"/>
          <w:lang w:val="en-US"/>
        </w:rPr>
      </w:pPr>
      <w:r w:rsidRPr="00292DF9">
        <w:rPr>
          <w:color w:val="0000FF"/>
        </w:rPr>
        <w:t xml:space="preserve">Thank you for your </w:t>
      </w:r>
      <w:r w:rsidR="007A4908">
        <w:rPr>
          <w:color w:val="0000FF"/>
          <w:lang w:val="en-US"/>
        </w:rPr>
        <w:t xml:space="preserve">important </w:t>
      </w:r>
      <w:r w:rsidRPr="00292DF9">
        <w:rPr>
          <w:color w:val="0000FF"/>
        </w:rPr>
        <w:t xml:space="preserve">comment. </w:t>
      </w:r>
      <w:r w:rsidR="007A4908">
        <w:rPr>
          <w:color w:val="0000FF"/>
          <w:lang w:val="en-US"/>
        </w:rPr>
        <w:t xml:space="preserve"> Below detailed the measure we took.</w:t>
      </w:r>
    </w:p>
    <w:p w14:paraId="18FA3C6B" w14:textId="00128068" w:rsidR="007A4908" w:rsidRDefault="007A4908" w:rsidP="007A4908">
      <w:pPr>
        <w:pStyle w:val="ListParagraph"/>
        <w:numPr>
          <w:ilvl w:val="0"/>
          <w:numId w:val="7"/>
        </w:numPr>
        <w:autoSpaceDE w:val="0"/>
        <w:autoSpaceDN w:val="0"/>
        <w:adjustRightInd w:val="0"/>
        <w:spacing w:after="0" w:line="276" w:lineRule="auto"/>
        <w:ind w:right="-625"/>
        <w:jc w:val="both"/>
        <w:rPr>
          <w:color w:val="0000FF"/>
          <w:lang w:val="en-US"/>
        </w:rPr>
      </w:pPr>
      <w:r w:rsidRPr="007A4908">
        <w:rPr>
          <w:color w:val="0000FF"/>
          <w:lang w:val="en-US"/>
        </w:rPr>
        <w:t>Regarding the set of regressions in which return is the dependent variable</w:t>
      </w:r>
      <w:r w:rsidR="00D849C3">
        <w:rPr>
          <w:color w:val="0000FF"/>
          <w:lang w:val="en-US"/>
        </w:rPr>
        <w:t xml:space="preserve"> (Table 6 panel A)</w:t>
      </w:r>
      <w:r w:rsidRPr="007A4908">
        <w:rPr>
          <w:color w:val="0000FF"/>
          <w:lang w:val="en-US"/>
        </w:rPr>
        <w:t xml:space="preserve">, </w:t>
      </w:r>
      <w:r w:rsidR="00D849C3">
        <w:rPr>
          <w:color w:val="0000FF"/>
          <w:lang w:val="en-US"/>
        </w:rPr>
        <w:t>T</w:t>
      </w:r>
      <w:r w:rsidRPr="007A4908">
        <w:rPr>
          <w:color w:val="0000FF"/>
          <w:lang w:val="en-US"/>
        </w:rPr>
        <w:t xml:space="preserve">he model estimated for the IPO year </w:t>
      </w:r>
      <w:r w:rsidR="00D849C3">
        <w:rPr>
          <w:color w:val="0000FF"/>
          <w:lang w:val="en-US"/>
        </w:rPr>
        <w:t xml:space="preserve">alone </w:t>
      </w:r>
      <w:r w:rsidRPr="007A4908">
        <w:rPr>
          <w:color w:val="0000FF"/>
          <w:lang w:val="en-US"/>
        </w:rPr>
        <w:t>suffered from heteroscedasticity. To solve this problem of</w:t>
      </w:r>
      <w:r>
        <w:rPr>
          <w:color w:val="0000FF"/>
          <w:lang w:val="en-US"/>
        </w:rPr>
        <w:t xml:space="preserve"> consistent yet</w:t>
      </w:r>
      <w:r w:rsidRPr="007A4908">
        <w:rPr>
          <w:color w:val="0000FF"/>
          <w:lang w:val="en-US"/>
        </w:rPr>
        <w:t xml:space="preserve"> inefficient estimators, we replace</w:t>
      </w:r>
      <w:r w:rsidR="00431241">
        <w:rPr>
          <w:color w:val="0000FF"/>
          <w:lang w:val="en-US"/>
        </w:rPr>
        <w:t>d</w:t>
      </w:r>
      <w:r w:rsidRPr="007A4908">
        <w:rPr>
          <w:color w:val="0000FF"/>
          <w:lang w:val="en-US"/>
        </w:rPr>
        <w:t xml:space="preserve"> the beta dependent variable with the Rm variable. This replacement eliminated the heteroscedasticity problem. </w:t>
      </w:r>
      <w:r>
        <w:rPr>
          <w:color w:val="0000FF"/>
          <w:lang w:val="en-US"/>
        </w:rPr>
        <w:t>For consistency</w:t>
      </w:r>
      <w:r w:rsidR="00D849C3">
        <w:rPr>
          <w:color w:val="0000FF"/>
          <w:lang w:val="en-US"/>
        </w:rPr>
        <w:t xml:space="preserve"> reasons</w:t>
      </w:r>
      <w:r>
        <w:rPr>
          <w:color w:val="0000FF"/>
          <w:lang w:val="en-US"/>
        </w:rPr>
        <w:t>, we relace beta</w:t>
      </w:r>
      <w:r w:rsidR="00431241">
        <w:rPr>
          <w:color w:val="0000FF"/>
          <w:lang w:val="en-US"/>
        </w:rPr>
        <w:t xml:space="preserve"> variable</w:t>
      </w:r>
      <w:r>
        <w:rPr>
          <w:color w:val="0000FF"/>
          <w:lang w:val="en-US"/>
        </w:rPr>
        <w:t xml:space="preserve"> with Rm for the years IPO+1 and IPO+2 as well. </w:t>
      </w:r>
      <w:r w:rsidR="00431241">
        <w:rPr>
          <w:color w:val="0000FF"/>
          <w:lang w:val="en-US"/>
        </w:rPr>
        <w:t xml:space="preserve">I rigorously check each and every model displayed in table 6, all of them are homoscedastic and hence well specified models.  </w:t>
      </w:r>
    </w:p>
    <w:p w14:paraId="7BA4ADB1" w14:textId="027FDCC3" w:rsidR="007A4908" w:rsidRDefault="007A4908" w:rsidP="007A4908">
      <w:pPr>
        <w:pStyle w:val="ListParagraph"/>
        <w:numPr>
          <w:ilvl w:val="0"/>
          <w:numId w:val="7"/>
        </w:numPr>
        <w:autoSpaceDE w:val="0"/>
        <w:autoSpaceDN w:val="0"/>
        <w:adjustRightInd w:val="0"/>
        <w:spacing w:after="0" w:line="276" w:lineRule="auto"/>
        <w:ind w:right="-625"/>
        <w:jc w:val="both"/>
        <w:rPr>
          <w:color w:val="0000FF"/>
          <w:lang w:val="en-US"/>
        </w:rPr>
      </w:pPr>
      <w:r>
        <w:rPr>
          <w:color w:val="0000FF"/>
          <w:lang w:val="en-US"/>
        </w:rPr>
        <w:t xml:space="preserve">We re-estimate betas for the years IPO+1 and IPO+2 </w:t>
      </w:r>
      <w:r w:rsidR="005B1B27">
        <w:rPr>
          <w:color w:val="0000FF"/>
          <w:lang w:val="en-US"/>
        </w:rPr>
        <w:t>based</w:t>
      </w:r>
      <w:r>
        <w:rPr>
          <w:color w:val="0000FF"/>
          <w:lang w:val="en-US"/>
        </w:rPr>
        <w:t xml:space="preserve"> on a time </w:t>
      </w:r>
      <w:r w:rsidR="005B1B27">
        <w:rPr>
          <w:color w:val="0000FF"/>
          <w:lang w:val="en-US"/>
        </w:rPr>
        <w:t>window</w:t>
      </w:r>
      <w:r>
        <w:rPr>
          <w:color w:val="0000FF"/>
          <w:lang w:val="en-US"/>
        </w:rPr>
        <w:t xml:space="preserve"> ending 10 </w:t>
      </w:r>
      <w:r w:rsidR="005B1B27">
        <w:rPr>
          <w:color w:val="0000FF"/>
          <w:lang w:val="en-US"/>
        </w:rPr>
        <w:t>trading</w:t>
      </w:r>
      <w:r>
        <w:rPr>
          <w:color w:val="0000FF"/>
          <w:lang w:val="en-US"/>
        </w:rPr>
        <w:t xml:space="preserve"> days before the first observation of that year </w:t>
      </w:r>
      <w:r w:rsidR="005B1B27">
        <w:rPr>
          <w:color w:val="0000FF"/>
          <w:lang w:val="en-US"/>
        </w:rPr>
        <w:t>to</w:t>
      </w:r>
      <w:r>
        <w:rPr>
          <w:color w:val="0000FF"/>
          <w:lang w:val="en-US"/>
        </w:rPr>
        <w:t xml:space="preserve"> ensure updated betas, this instead the former beta</w:t>
      </w:r>
      <w:r w:rsidR="00D849C3">
        <w:rPr>
          <w:color w:val="0000FF"/>
          <w:lang w:val="en-US"/>
        </w:rPr>
        <w:t>s</w:t>
      </w:r>
      <w:r>
        <w:rPr>
          <w:color w:val="0000FF"/>
          <w:lang w:val="en-US"/>
        </w:rPr>
        <w:t xml:space="preserve"> that was estimated </w:t>
      </w:r>
      <w:r>
        <w:rPr>
          <w:color w:val="0000FF"/>
          <w:lang w:val="en-US"/>
        </w:rPr>
        <w:lastRenderedPageBreak/>
        <w:t>based on the first 50 trad</w:t>
      </w:r>
      <w:r w:rsidR="005B1B27">
        <w:rPr>
          <w:color w:val="0000FF"/>
          <w:lang w:val="en-US"/>
        </w:rPr>
        <w:t>i</w:t>
      </w:r>
      <w:r>
        <w:rPr>
          <w:color w:val="0000FF"/>
          <w:lang w:val="en-US"/>
        </w:rPr>
        <w:t xml:space="preserve">ng days. </w:t>
      </w:r>
      <w:r w:rsidR="00913292">
        <w:rPr>
          <w:color w:val="0000FF"/>
          <w:lang w:val="en-US"/>
        </w:rPr>
        <w:t>The AR part (Panel B of table 6) was recalculated, em</w:t>
      </w:r>
      <w:r w:rsidR="00D849C3">
        <w:rPr>
          <w:color w:val="0000FF"/>
          <w:lang w:val="en-US"/>
        </w:rPr>
        <w:t>bracing</w:t>
      </w:r>
      <w:r w:rsidR="00913292">
        <w:rPr>
          <w:color w:val="0000FF"/>
          <w:lang w:val="en-US"/>
        </w:rPr>
        <w:t xml:space="preserve"> the new betas. </w:t>
      </w:r>
      <w:r w:rsidR="00791133">
        <w:rPr>
          <w:color w:val="0000FF"/>
          <w:lang w:val="en-US"/>
        </w:rPr>
        <w:t>Table 5 panels B and C updated accordingly.</w:t>
      </w:r>
    </w:p>
    <w:p w14:paraId="3D81A423" w14:textId="77777777" w:rsidR="00D849C3" w:rsidRDefault="00292DF9" w:rsidP="00913292">
      <w:pPr>
        <w:pStyle w:val="ListParagraph"/>
        <w:numPr>
          <w:ilvl w:val="0"/>
          <w:numId w:val="7"/>
        </w:numPr>
        <w:autoSpaceDE w:val="0"/>
        <w:autoSpaceDN w:val="0"/>
        <w:adjustRightInd w:val="0"/>
        <w:spacing w:after="0" w:line="276" w:lineRule="auto"/>
        <w:ind w:right="-625"/>
        <w:jc w:val="both"/>
        <w:rPr>
          <w:color w:val="0000FF"/>
          <w:lang w:val="en-US"/>
        </w:rPr>
      </w:pPr>
      <w:r w:rsidRPr="00913292">
        <w:rPr>
          <w:color w:val="0000FF"/>
        </w:rPr>
        <w:t xml:space="preserve">Mistakenly, we </w:t>
      </w:r>
      <w:r w:rsidR="00347932" w:rsidRPr="00913292">
        <w:rPr>
          <w:color w:val="0000FF"/>
          <w:lang w:val="en-US"/>
        </w:rPr>
        <w:t>didn’t</w:t>
      </w:r>
      <w:r w:rsidRPr="00913292">
        <w:rPr>
          <w:color w:val="0000FF"/>
        </w:rPr>
        <w:t xml:space="preserve"> include the F</w:t>
      </w:r>
      <w:r w:rsidRPr="00913292">
        <w:rPr>
          <w:color w:val="0000FF"/>
          <w:lang w:val="en-US"/>
        </w:rPr>
        <w:t>-</w:t>
      </w:r>
      <w:r w:rsidRPr="00913292">
        <w:rPr>
          <w:color w:val="0000FF"/>
        </w:rPr>
        <w:t>statistics and its corresponding P-value</w:t>
      </w:r>
      <w:r w:rsidR="00347932" w:rsidRPr="00913292">
        <w:rPr>
          <w:color w:val="0000FF"/>
          <w:lang w:val="en-US"/>
        </w:rPr>
        <w:t xml:space="preserve"> in the former version</w:t>
      </w:r>
      <w:r w:rsidRPr="00913292">
        <w:rPr>
          <w:color w:val="0000FF"/>
        </w:rPr>
        <w:t xml:space="preserve">. We updated table </w:t>
      </w:r>
      <w:r w:rsidR="00347932" w:rsidRPr="00913292">
        <w:rPr>
          <w:color w:val="0000FF"/>
          <w:lang w:val="en-US"/>
        </w:rPr>
        <w:t>6</w:t>
      </w:r>
      <w:r w:rsidRPr="00913292">
        <w:rPr>
          <w:color w:val="0000FF"/>
        </w:rPr>
        <w:t xml:space="preserve"> </w:t>
      </w:r>
      <w:r w:rsidR="00347932" w:rsidRPr="00913292">
        <w:rPr>
          <w:color w:val="0000FF"/>
          <w:lang w:val="en-US"/>
        </w:rPr>
        <w:t>to</w:t>
      </w:r>
      <w:r w:rsidRPr="00913292">
        <w:rPr>
          <w:color w:val="0000FF"/>
        </w:rPr>
        <w:t xml:space="preserve"> include the</w:t>
      </w:r>
      <w:r w:rsidR="00347932" w:rsidRPr="00913292">
        <w:rPr>
          <w:color w:val="0000FF"/>
          <w:lang w:val="en-US"/>
        </w:rPr>
        <w:t>m</w:t>
      </w:r>
      <w:r w:rsidRPr="00913292">
        <w:rPr>
          <w:color w:val="0000FF"/>
          <w:lang w:val="en-US"/>
        </w:rPr>
        <w:t>.</w:t>
      </w:r>
      <w:r w:rsidR="00347932" w:rsidRPr="00913292">
        <w:rPr>
          <w:color w:val="0000FF"/>
          <w:lang w:val="en-US"/>
        </w:rPr>
        <w:t xml:space="preserve"> </w:t>
      </w:r>
    </w:p>
    <w:p w14:paraId="38F70658" w14:textId="7B034DB2" w:rsidR="00913292" w:rsidRDefault="00D849C3" w:rsidP="00913292">
      <w:pPr>
        <w:pStyle w:val="ListParagraph"/>
        <w:numPr>
          <w:ilvl w:val="0"/>
          <w:numId w:val="7"/>
        </w:numPr>
        <w:autoSpaceDE w:val="0"/>
        <w:autoSpaceDN w:val="0"/>
        <w:adjustRightInd w:val="0"/>
        <w:spacing w:after="0" w:line="276" w:lineRule="auto"/>
        <w:ind w:right="-625"/>
        <w:jc w:val="both"/>
        <w:rPr>
          <w:color w:val="0000FF"/>
          <w:lang w:val="en-US"/>
        </w:rPr>
      </w:pPr>
      <w:r>
        <w:rPr>
          <w:color w:val="0000FF"/>
          <w:lang w:val="en-US"/>
        </w:rPr>
        <w:t>W</w:t>
      </w:r>
      <w:r w:rsidR="00347932" w:rsidRPr="00913292">
        <w:rPr>
          <w:color w:val="0000FF"/>
          <w:lang w:val="en-US"/>
        </w:rPr>
        <w:t xml:space="preserve">e omitted the regressions with </w:t>
      </w:r>
      <w:r w:rsidR="00FE1F5F" w:rsidRPr="00913292">
        <w:rPr>
          <w:color w:val="0000FF"/>
          <w:lang w:val="en-US"/>
        </w:rPr>
        <w:t xml:space="preserve">tweets </w:t>
      </w:r>
      <w:r w:rsidR="00347932" w:rsidRPr="00913292">
        <w:rPr>
          <w:color w:val="0000FF"/>
          <w:lang w:val="en-US"/>
        </w:rPr>
        <w:t>volume as a standalone explanatory variable</w:t>
      </w:r>
      <w:r w:rsidR="00FE1F5F" w:rsidRPr="00913292">
        <w:rPr>
          <w:color w:val="0000FF"/>
          <w:lang w:val="en-US"/>
        </w:rPr>
        <w:t xml:space="preserve"> (former models 4 and 8)</w:t>
      </w:r>
      <w:r w:rsidR="00347932" w:rsidRPr="00913292">
        <w:rPr>
          <w:color w:val="0000FF"/>
          <w:lang w:val="en-US"/>
        </w:rPr>
        <w:t xml:space="preserve"> </w:t>
      </w:r>
      <w:r w:rsidR="00FE1F5F" w:rsidRPr="00913292">
        <w:rPr>
          <w:color w:val="0000FF"/>
          <w:lang w:val="en-US"/>
        </w:rPr>
        <w:t xml:space="preserve">as it does not add extra knowledge to models 1 and 2. </w:t>
      </w:r>
    </w:p>
    <w:p w14:paraId="34F90D96" w14:textId="563C540D" w:rsidR="008306B6" w:rsidRPr="00913292" w:rsidRDefault="00913292" w:rsidP="00913292">
      <w:pPr>
        <w:pStyle w:val="ListParagraph"/>
        <w:numPr>
          <w:ilvl w:val="0"/>
          <w:numId w:val="7"/>
        </w:numPr>
        <w:autoSpaceDE w:val="0"/>
        <w:autoSpaceDN w:val="0"/>
        <w:adjustRightInd w:val="0"/>
        <w:spacing w:after="0" w:line="276" w:lineRule="auto"/>
        <w:ind w:right="-625"/>
        <w:jc w:val="both"/>
        <w:rPr>
          <w:color w:val="0000FF"/>
          <w:lang w:val="en-US"/>
        </w:rPr>
      </w:pPr>
      <w:r>
        <w:rPr>
          <w:color w:val="0000FF"/>
          <w:lang w:val="en-US"/>
        </w:rPr>
        <w:t>W</w:t>
      </w:r>
      <w:r w:rsidR="00FE1F5F" w:rsidRPr="00913292">
        <w:rPr>
          <w:color w:val="0000FF"/>
          <w:lang w:val="en-US"/>
        </w:rPr>
        <w:t>e</w:t>
      </w:r>
      <w:r w:rsidR="00347932" w:rsidRPr="00913292">
        <w:rPr>
          <w:color w:val="0000FF"/>
          <w:lang w:val="en-US"/>
        </w:rPr>
        <w:t xml:space="preserve"> reorganize</w:t>
      </w:r>
      <w:r w:rsidR="00A918FD" w:rsidRPr="00913292">
        <w:rPr>
          <w:color w:val="0000FF"/>
          <w:lang w:val="en-US"/>
        </w:rPr>
        <w:t>d</w:t>
      </w:r>
      <w:r w:rsidR="00347932" w:rsidRPr="00913292">
        <w:rPr>
          <w:color w:val="0000FF"/>
          <w:lang w:val="en-US"/>
        </w:rPr>
        <w:t xml:space="preserve"> </w:t>
      </w:r>
      <w:r w:rsidR="00FE1F5F" w:rsidRPr="00913292">
        <w:rPr>
          <w:color w:val="0000FF"/>
          <w:lang w:val="en-US"/>
        </w:rPr>
        <w:t xml:space="preserve">tables 6 and 7 </w:t>
      </w:r>
      <w:r w:rsidR="00347932" w:rsidRPr="00913292">
        <w:rPr>
          <w:color w:val="0000FF"/>
          <w:lang w:val="en-US"/>
        </w:rPr>
        <w:t>in more readable manner</w:t>
      </w:r>
      <w:r w:rsidR="00FE1F5F" w:rsidRPr="00913292">
        <w:rPr>
          <w:color w:val="0000FF"/>
          <w:lang w:val="en-US"/>
        </w:rPr>
        <w:t xml:space="preserve"> and</w:t>
      </w:r>
      <w:r w:rsidR="00D849C3">
        <w:rPr>
          <w:color w:val="0000FF"/>
          <w:lang w:val="en-US"/>
        </w:rPr>
        <w:t xml:space="preserve"> </w:t>
      </w:r>
      <w:r w:rsidR="00A918FD" w:rsidRPr="00913292">
        <w:rPr>
          <w:color w:val="0000FF"/>
          <w:lang w:val="en-US"/>
        </w:rPr>
        <w:t xml:space="preserve">updated their </w:t>
      </w:r>
      <w:r w:rsidR="00744E7D" w:rsidRPr="00913292">
        <w:rPr>
          <w:color w:val="0000FF"/>
          <w:lang w:val="en-US"/>
        </w:rPr>
        <w:t xml:space="preserve">analysis </w:t>
      </w:r>
      <w:r w:rsidR="00FE1F5F" w:rsidRPr="00913292">
        <w:rPr>
          <w:color w:val="0000FF"/>
          <w:lang w:val="en-US"/>
        </w:rPr>
        <w:t xml:space="preserve">results </w:t>
      </w:r>
      <w:r w:rsidR="00A918FD" w:rsidRPr="00913292">
        <w:rPr>
          <w:color w:val="0000FF"/>
          <w:lang w:val="en-US"/>
        </w:rPr>
        <w:t>accordingly</w:t>
      </w:r>
      <w:r w:rsidR="00347932" w:rsidRPr="00913292">
        <w:rPr>
          <w:color w:val="0000FF"/>
          <w:lang w:val="en-US"/>
        </w:rPr>
        <w:t xml:space="preserve">. The revised table 6 is: </w:t>
      </w:r>
    </w:p>
    <w:p w14:paraId="188084D2" w14:textId="77777777" w:rsidR="005F6160" w:rsidRDefault="005F6160" w:rsidP="00347932">
      <w:pPr>
        <w:spacing w:after="0" w:line="360" w:lineRule="auto"/>
        <w:rPr>
          <w:rFonts w:ascii="Times New Roman" w:eastAsia="Times New Roman" w:hAnsi="Times New Roman" w:cs="Times New Roman"/>
          <w:b/>
          <w:bCs/>
          <w:color w:val="0000FF"/>
          <w:sz w:val="24"/>
          <w:szCs w:val="24"/>
          <w:lang w:val="en-US" w:bidi="ar-SA"/>
        </w:rPr>
      </w:pPr>
    </w:p>
    <w:p w14:paraId="46F88C00" w14:textId="63714FE3" w:rsidR="00347932" w:rsidRPr="00347932" w:rsidRDefault="00347932" w:rsidP="00D849C3">
      <w:pPr>
        <w:spacing w:after="0" w:line="360" w:lineRule="auto"/>
        <w:rPr>
          <w:rFonts w:ascii="Times New Roman" w:eastAsia="Times New Roman" w:hAnsi="Times New Roman" w:cs="Times New Roman"/>
          <w:b/>
          <w:bCs/>
          <w:color w:val="0000FF"/>
          <w:sz w:val="24"/>
          <w:szCs w:val="24"/>
          <w:lang w:val="en-US"/>
        </w:rPr>
      </w:pPr>
      <w:r w:rsidRPr="00347932">
        <w:rPr>
          <w:rFonts w:ascii="Times New Roman" w:eastAsia="Times New Roman" w:hAnsi="Times New Roman" w:cs="Times New Roman"/>
          <w:b/>
          <w:bCs/>
          <w:color w:val="0000FF"/>
          <w:sz w:val="24"/>
          <w:szCs w:val="24"/>
          <w:lang w:val="en-US" w:bidi="ar-SA"/>
        </w:rPr>
        <w:t>Table 6: The Effects of Tweet Volume on Returns and Abnormal Returns (AR)</w:t>
      </w:r>
      <w:r w:rsidRPr="00347932">
        <w:rPr>
          <w:rFonts w:ascii="Times New Roman" w:eastAsia="Times New Roman" w:hAnsi="Times New Roman" w:cs="Times New Roman"/>
          <w:b/>
          <w:bCs/>
          <w:color w:val="0000FF"/>
          <w:sz w:val="24"/>
          <w:szCs w:val="24"/>
          <w:lang w:val="en-US"/>
        </w:rPr>
        <w:t>: R</w:t>
      </w:r>
      <w:r w:rsidRPr="00347932">
        <w:rPr>
          <w:rFonts w:ascii="Times New Roman" w:eastAsia="Times New Roman" w:hAnsi="Times New Roman" w:cs="Times New Roman"/>
          <w:b/>
          <w:bCs/>
          <w:color w:val="0000FF"/>
          <w:sz w:val="24"/>
          <w:szCs w:val="24"/>
          <w:lang w:val="en-US" w:bidi="ar-SA"/>
        </w:rPr>
        <w:t xml:space="preserve">egression Results </w:t>
      </w:r>
    </w:p>
    <w:p w14:paraId="481FC7BF" w14:textId="77777777" w:rsidR="00347932" w:rsidRPr="00347932" w:rsidRDefault="00347932" w:rsidP="00347932">
      <w:pPr>
        <w:spacing w:after="0" w:line="360" w:lineRule="auto"/>
        <w:rPr>
          <w:rFonts w:ascii="Times New Roman" w:eastAsia="Times New Roman" w:hAnsi="Times New Roman" w:cs="Times New Roman"/>
          <w:b/>
          <w:bCs/>
          <w:color w:val="0000FF"/>
          <w:sz w:val="24"/>
          <w:szCs w:val="24"/>
          <w:lang w:val="en-US"/>
        </w:rPr>
      </w:pPr>
      <w:r w:rsidRPr="00347932">
        <w:rPr>
          <w:rFonts w:ascii="Times New Roman" w:eastAsia="Times New Roman" w:hAnsi="Times New Roman" w:cs="Times New Roman"/>
          <w:b/>
          <w:bCs/>
          <w:color w:val="0000FF"/>
          <w:sz w:val="24"/>
          <w:szCs w:val="24"/>
          <w:lang w:val="en-US" w:bidi="ar-SA"/>
        </w:rPr>
        <w:t>P</w:t>
      </w:r>
      <w:r w:rsidRPr="00347932">
        <w:rPr>
          <w:rFonts w:ascii="Times New Roman" w:eastAsia="Times New Roman" w:hAnsi="Times New Roman" w:cs="Times New Roman"/>
          <w:b/>
          <w:bCs/>
          <w:color w:val="0000FF"/>
          <w:sz w:val="24"/>
          <w:szCs w:val="24"/>
          <w:lang w:val="en-US"/>
        </w:rPr>
        <w:t>anel A: Explaining Returns</w:t>
      </w:r>
    </w:p>
    <w:tbl>
      <w:tblPr>
        <w:tblW w:w="9341" w:type="dxa"/>
        <w:tblInd w:w="123" w:type="dxa"/>
        <w:tblLook w:val="04A0" w:firstRow="1" w:lastRow="0" w:firstColumn="1" w:lastColumn="0" w:noHBand="0" w:noVBand="1"/>
      </w:tblPr>
      <w:tblGrid>
        <w:gridCol w:w="1420"/>
        <w:gridCol w:w="1170"/>
        <w:gridCol w:w="89"/>
        <w:gridCol w:w="1275"/>
        <w:gridCol w:w="1134"/>
        <w:gridCol w:w="142"/>
        <w:gridCol w:w="1276"/>
        <w:gridCol w:w="1134"/>
        <w:gridCol w:w="142"/>
        <w:gridCol w:w="1559"/>
      </w:tblGrid>
      <w:tr w:rsidR="00D849C3" w:rsidRPr="00D849C3" w14:paraId="1F972CF1" w14:textId="77777777" w:rsidTr="00121D3D">
        <w:trPr>
          <w:trHeight w:val="330"/>
        </w:trPr>
        <w:tc>
          <w:tcPr>
            <w:tcW w:w="1420" w:type="dxa"/>
            <w:tcBorders>
              <w:top w:val="single" w:sz="12" w:space="0" w:color="auto"/>
              <w:left w:val="single" w:sz="12" w:space="0" w:color="auto"/>
              <w:bottom w:val="nil"/>
              <w:right w:val="nil"/>
            </w:tcBorders>
            <w:shd w:val="clear" w:color="auto" w:fill="auto"/>
            <w:noWrap/>
            <w:vAlign w:val="center"/>
            <w:hideMark/>
          </w:tcPr>
          <w:p w14:paraId="0F0DB40F" w14:textId="77777777" w:rsidR="00D849C3" w:rsidRPr="00D849C3" w:rsidRDefault="00D849C3" w:rsidP="00D849C3">
            <w:pPr>
              <w:spacing w:after="0" w:line="240" w:lineRule="auto"/>
              <w:jc w:val="center"/>
              <w:rPr>
                <w:rFonts w:ascii="Arial" w:eastAsia="Times New Roman" w:hAnsi="Arial" w:cs="Arial"/>
                <w:color w:val="0000FF"/>
                <w:lang w:eastAsia="en-IL"/>
              </w:rPr>
            </w:pPr>
            <w:r w:rsidRPr="00D849C3">
              <w:rPr>
                <w:rFonts w:ascii="Arial" w:eastAsia="Times New Roman" w:hAnsi="Arial" w:cs="Arial"/>
                <w:color w:val="0000FF"/>
                <w:lang w:val="en-US" w:bidi="ar-SA"/>
              </w:rPr>
              <w:t> </w:t>
            </w:r>
          </w:p>
        </w:tc>
        <w:tc>
          <w:tcPr>
            <w:tcW w:w="2534" w:type="dxa"/>
            <w:gridSpan w:val="3"/>
            <w:tcBorders>
              <w:top w:val="single" w:sz="12" w:space="0" w:color="auto"/>
              <w:left w:val="single" w:sz="12" w:space="0" w:color="auto"/>
              <w:bottom w:val="nil"/>
              <w:right w:val="single" w:sz="12" w:space="0" w:color="000000"/>
            </w:tcBorders>
            <w:shd w:val="clear" w:color="auto" w:fill="auto"/>
            <w:noWrap/>
            <w:vAlign w:val="bottom"/>
            <w:hideMark/>
          </w:tcPr>
          <w:p w14:paraId="1BC15F52" w14:textId="77777777" w:rsidR="00D849C3" w:rsidRPr="00D849C3" w:rsidRDefault="00D849C3" w:rsidP="00D849C3">
            <w:pPr>
              <w:spacing w:after="0" w:line="240" w:lineRule="auto"/>
              <w:jc w:val="center"/>
              <w:rPr>
                <w:rFonts w:ascii="Calibri" w:eastAsia="Times New Roman" w:hAnsi="Calibri" w:cs="Calibri"/>
                <w:b/>
                <w:bCs/>
                <w:color w:val="0000FF"/>
                <w:lang w:val="en-US" w:bidi="ar-SA"/>
              </w:rPr>
            </w:pPr>
            <w:r w:rsidRPr="00D849C3">
              <w:rPr>
                <w:rFonts w:ascii="Calibri" w:eastAsia="Times New Roman" w:hAnsi="Calibri" w:cs="Calibri"/>
                <w:b/>
                <w:bCs/>
                <w:color w:val="0000FF"/>
                <w:lang w:val="en-US" w:bidi="ar-SA"/>
              </w:rPr>
              <w:t>IPO Year</w:t>
            </w:r>
          </w:p>
        </w:tc>
        <w:tc>
          <w:tcPr>
            <w:tcW w:w="2552" w:type="dxa"/>
            <w:gridSpan w:val="3"/>
            <w:tcBorders>
              <w:top w:val="single" w:sz="12" w:space="0" w:color="auto"/>
              <w:left w:val="nil"/>
              <w:bottom w:val="nil"/>
              <w:right w:val="single" w:sz="12" w:space="0" w:color="000000"/>
            </w:tcBorders>
            <w:shd w:val="clear" w:color="000000" w:fill="FFFFFF"/>
            <w:noWrap/>
            <w:vAlign w:val="center"/>
            <w:hideMark/>
          </w:tcPr>
          <w:p w14:paraId="64728548" w14:textId="77777777" w:rsidR="00D849C3" w:rsidRPr="00D849C3" w:rsidRDefault="00D849C3" w:rsidP="00D849C3">
            <w:pPr>
              <w:spacing w:after="0" w:line="240" w:lineRule="auto"/>
              <w:jc w:val="center"/>
              <w:rPr>
                <w:rFonts w:ascii="Arial" w:eastAsia="Times New Roman" w:hAnsi="Arial" w:cs="Arial"/>
                <w:b/>
                <w:bCs/>
                <w:color w:val="0000FF"/>
                <w:sz w:val="24"/>
                <w:szCs w:val="24"/>
                <w:lang w:val="en-US" w:bidi="ar-SA"/>
              </w:rPr>
            </w:pPr>
            <w:r w:rsidRPr="00D849C3">
              <w:rPr>
                <w:rFonts w:ascii="Arial" w:eastAsia="Times New Roman" w:hAnsi="Arial" w:cs="Arial"/>
                <w:b/>
                <w:bCs/>
                <w:color w:val="0000FF"/>
                <w:sz w:val="24"/>
                <w:szCs w:val="24"/>
                <w:lang w:val="en-US" w:bidi="ar-SA"/>
              </w:rPr>
              <w:t>IPO Year +1</w:t>
            </w:r>
          </w:p>
        </w:tc>
        <w:tc>
          <w:tcPr>
            <w:tcW w:w="2835" w:type="dxa"/>
            <w:gridSpan w:val="3"/>
            <w:tcBorders>
              <w:top w:val="single" w:sz="12" w:space="0" w:color="auto"/>
              <w:left w:val="nil"/>
              <w:bottom w:val="nil"/>
              <w:right w:val="single" w:sz="12" w:space="0" w:color="000000"/>
            </w:tcBorders>
            <w:shd w:val="clear" w:color="000000" w:fill="FFFFFF"/>
            <w:noWrap/>
            <w:vAlign w:val="center"/>
            <w:hideMark/>
          </w:tcPr>
          <w:p w14:paraId="187019B6" w14:textId="77777777" w:rsidR="00D849C3" w:rsidRPr="00D849C3" w:rsidRDefault="00D849C3" w:rsidP="00D849C3">
            <w:pPr>
              <w:spacing w:after="0" w:line="240" w:lineRule="auto"/>
              <w:jc w:val="center"/>
              <w:rPr>
                <w:rFonts w:ascii="Arial" w:eastAsia="Times New Roman" w:hAnsi="Arial" w:cs="Arial"/>
                <w:b/>
                <w:bCs/>
                <w:color w:val="0000FF"/>
                <w:sz w:val="24"/>
                <w:szCs w:val="24"/>
                <w:lang w:val="en-US" w:bidi="ar-SA"/>
              </w:rPr>
            </w:pPr>
            <w:r w:rsidRPr="00D849C3">
              <w:rPr>
                <w:rFonts w:ascii="Arial" w:eastAsia="Times New Roman" w:hAnsi="Arial" w:cs="Arial"/>
                <w:b/>
                <w:bCs/>
                <w:color w:val="0000FF"/>
                <w:sz w:val="24"/>
                <w:szCs w:val="24"/>
                <w:lang w:val="en-US" w:bidi="ar-SA"/>
              </w:rPr>
              <w:t>IPO Year +2</w:t>
            </w:r>
          </w:p>
        </w:tc>
      </w:tr>
      <w:tr w:rsidR="00D849C3" w:rsidRPr="00D849C3" w14:paraId="4CCB9582" w14:textId="77777777" w:rsidTr="00121D3D">
        <w:trPr>
          <w:trHeight w:val="315"/>
        </w:trPr>
        <w:tc>
          <w:tcPr>
            <w:tcW w:w="1420" w:type="dxa"/>
            <w:tcBorders>
              <w:top w:val="nil"/>
              <w:left w:val="single" w:sz="12" w:space="0" w:color="auto"/>
              <w:bottom w:val="single" w:sz="12" w:space="0" w:color="auto"/>
              <w:right w:val="nil"/>
            </w:tcBorders>
            <w:shd w:val="clear" w:color="auto" w:fill="auto"/>
            <w:noWrap/>
            <w:vAlign w:val="center"/>
            <w:hideMark/>
          </w:tcPr>
          <w:p w14:paraId="05A3DA84" w14:textId="77777777" w:rsidR="00D849C3" w:rsidRPr="00D849C3" w:rsidRDefault="00D849C3" w:rsidP="00D849C3">
            <w:pPr>
              <w:spacing w:after="0" w:line="240" w:lineRule="auto"/>
              <w:jc w:val="center"/>
              <w:rPr>
                <w:rFonts w:ascii="Arial" w:eastAsia="Times New Roman" w:hAnsi="Arial" w:cs="Arial"/>
                <w:color w:val="0000FF"/>
                <w:lang w:val="en-US" w:bidi="ar-SA"/>
              </w:rPr>
            </w:pPr>
            <w:r w:rsidRPr="00D849C3">
              <w:rPr>
                <w:rFonts w:ascii="Arial" w:eastAsia="Times New Roman" w:hAnsi="Arial" w:cs="Arial"/>
                <w:color w:val="0000FF"/>
                <w:lang w:val="en-US" w:bidi="ar-SA"/>
              </w:rPr>
              <w:t> </w:t>
            </w:r>
          </w:p>
        </w:tc>
        <w:tc>
          <w:tcPr>
            <w:tcW w:w="1170" w:type="dxa"/>
            <w:tcBorders>
              <w:top w:val="nil"/>
              <w:left w:val="single" w:sz="12" w:space="0" w:color="auto"/>
              <w:bottom w:val="single" w:sz="12" w:space="0" w:color="auto"/>
              <w:right w:val="nil"/>
            </w:tcBorders>
            <w:shd w:val="clear" w:color="auto" w:fill="auto"/>
            <w:noWrap/>
            <w:vAlign w:val="center"/>
            <w:hideMark/>
          </w:tcPr>
          <w:p w14:paraId="7A02BFEF" w14:textId="77777777" w:rsidR="00D849C3" w:rsidRPr="00D849C3" w:rsidRDefault="00D849C3" w:rsidP="00D849C3">
            <w:pPr>
              <w:spacing w:after="0" w:line="240" w:lineRule="auto"/>
              <w:jc w:val="center"/>
              <w:rPr>
                <w:rFonts w:ascii="Arial" w:eastAsia="Times New Roman" w:hAnsi="Arial" w:cs="Arial"/>
                <w:b/>
                <w:bCs/>
                <w:color w:val="0000FF"/>
                <w:lang w:val="en-US" w:bidi="ar-SA"/>
              </w:rPr>
            </w:pPr>
            <w:r w:rsidRPr="00D849C3">
              <w:rPr>
                <w:rFonts w:ascii="Arial" w:eastAsia="Times New Roman" w:hAnsi="Arial" w:cs="Arial"/>
                <w:b/>
                <w:bCs/>
                <w:color w:val="0000FF"/>
                <w:lang w:val="en-US" w:bidi="ar-SA"/>
              </w:rPr>
              <w:t>Model 1</w:t>
            </w:r>
          </w:p>
        </w:tc>
        <w:tc>
          <w:tcPr>
            <w:tcW w:w="1364" w:type="dxa"/>
            <w:gridSpan w:val="2"/>
            <w:tcBorders>
              <w:top w:val="nil"/>
              <w:left w:val="nil"/>
              <w:bottom w:val="single" w:sz="12" w:space="0" w:color="auto"/>
              <w:right w:val="single" w:sz="12" w:space="0" w:color="auto"/>
            </w:tcBorders>
            <w:shd w:val="clear" w:color="auto" w:fill="auto"/>
            <w:noWrap/>
            <w:vAlign w:val="center"/>
            <w:hideMark/>
          </w:tcPr>
          <w:p w14:paraId="568A26B0" w14:textId="77777777" w:rsidR="00D849C3" w:rsidRPr="00D849C3" w:rsidRDefault="00D849C3" w:rsidP="00D849C3">
            <w:pPr>
              <w:spacing w:after="0" w:line="240" w:lineRule="auto"/>
              <w:jc w:val="center"/>
              <w:rPr>
                <w:rFonts w:ascii="Arial" w:eastAsia="Times New Roman" w:hAnsi="Arial" w:cs="Arial"/>
                <w:b/>
                <w:bCs/>
                <w:color w:val="0000FF"/>
                <w:lang w:val="en-US" w:bidi="ar-SA"/>
              </w:rPr>
            </w:pPr>
            <w:r w:rsidRPr="00D849C3">
              <w:rPr>
                <w:rFonts w:ascii="Arial" w:eastAsia="Times New Roman" w:hAnsi="Arial" w:cs="Arial"/>
                <w:b/>
                <w:bCs/>
                <w:color w:val="0000FF"/>
                <w:lang w:val="en-US" w:bidi="ar-SA"/>
              </w:rPr>
              <w:t>*Model 2</w:t>
            </w:r>
          </w:p>
        </w:tc>
        <w:tc>
          <w:tcPr>
            <w:tcW w:w="1134" w:type="dxa"/>
            <w:tcBorders>
              <w:top w:val="nil"/>
              <w:left w:val="nil"/>
              <w:bottom w:val="single" w:sz="12" w:space="0" w:color="auto"/>
              <w:right w:val="nil"/>
            </w:tcBorders>
            <w:shd w:val="clear" w:color="auto" w:fill="auto"/>
            <w:noWrap/>
            <w:vAlign w:val="center"/>
            <w:hideMark/>
          </w:tcPr>
          <w:p w14:paraId="0CFB1950" w14:textId="77777777" w:rsidR="00D849C3" w:rsidRPr="00D849C3" w:rsidRDefault="00D849C3" w:rsidP="00D849C3">
            <w:pPr>
              <w:spacing w:after="0" w:line="240" w:lineRule="auto"/>
              <w:jc w:val="center"/>
              <w:rPr>
                <w:rFonts w:ascii="Arial" w:eastAsia="Times New Roman" w:hAnsi="Arial" w:cs="Arial"/>
                <w:b/>
                <w:bCs/>
                <w:color w:val="0000FF"/>
                <w:lang w:val="en-US" w:bidi="ar-SA"/>
              </w:rPr>
            </w:pPr>
            <w:r w:rsidRPr="00D849C3">
              <w:rPr>
                <w:rFonts w:ascii="Arial" w:eastAsia="Times New Roman" w:hAnsi="Arial" w:cs="Arial"/>
                <w:b/>
                <w:bCs/>
                <w:color w:val="0000FF"/>
                <w:lang w:val="en-US" w:bidi="ar-SA"/>
              </w:rPr>
              <w:t>Model 1</w:t>
            </w:r>
          </w:p>
        </w:tc>
        <w:tc>
          <w:tcPr>
            <w:tcW w:w="1418" w:type="dxa"/>
            <w:gridSpan w:val="2"/>
            <w:tcBorders>
              <w:top w:val="nil"/>
              <w:left w:val="nil"/>
              <w:bottom w:val="single" w:sz="12" w:space="0" w:color="auto"/>
              <w:right w:val="nil"/>
            </w:tcBorders>
            <w:shd w:val="clear" w:color="auto" w:fill="auto"/>
            <w:noWrap/>
            <w:vAlign w:val="center"/>
            <w:hideMark/>
          </w:tcPr>
          <w:p w14:paraId="1806D0B5" w14:textId="77777777" w:rsidR="00D849C3" w:rsidRPr="00D849C3" w:rsidRDefault="00D849C3" w:rsidP="00D849C3">
            <w:pPr>
              <w:spacing w:after="0" w:line="240" w:lineRule="auto"/>
              <w:jc w:val="center"/>
              <w:rPr>
                <w:rFonts w:ascii="Arial" w:eastAsia="Times New Roman" w:hAnsi="Arial" w:cs="Arial"/>
                <w:b/>
                <w:bCs/>
                <w:color w:val="0000FF"/>
                <w:lang w:val="en-US" w:bidi="ar-SA"/>
              </w:rPr>
            </w:pPr>
            <w:r w:rsidRPr="00D849C3">
              <w:rPr>
                <w:rFonts w:ascii="Arial" w:eastAsia="Times New Roman" w:hAnsi="Arial" w:cs="Arial"/>
                <w:b/>
                <w:bCs/>
                <w:color w:val="0000FF"/>
                <w:lang w:val="en-US" w:bidi="ar-SA"/>
              </w:rPr>
              <w:t>Model 2</w:t>
            </w:r>
          </w:p>
        </w:tc>
        <w:tc>
          <w:tcPr>
            <w:tcW w:w="1134" w:type="dxa"/>
            <w:tcBorders>
              <w:top w:val="nil"/>
              <w:left w:val="single" w:sz="12" w:space="0" w:color="auto"/>
              <w:bottom w:val="single" w:sz="12" w:space="0" w:color="auto"/>
              <w:right w:val="nil"/>
            </w:tcBorders>
            <w:shd w:val="clear" w:color="auto" w:fill="auto"/>
            <w:noWrap/>
            <w:vAlign w:val="center"/>
            <w:hideMark/>
          </w:tcPr>
          <w:p w14:paraId="58815D89" w14:textId="77777777" w:rsidR="00D849C3" w:rsidRPr="00D849C3" w:rsidRDefault="00D849C3" w:rsidP="00D849C3">
            <w:pPr>
              <w:spacing w:after="0" w:line="240" w:lineRule="auto"/>
              <w:jc w:val="center"/>
              <w:rPr>
                <w:rFonts w:ascii="Arial" w:eastAsia="Times New Roman" w:hAnsi="Arial" w:cs="Arial"/>
                <w:b/>
                <w:bCs/>
                <w:color w:val="0000FF"/>
                <w:lang w:val="en-US" w:bidi="ar-SA"/>
              </w:rPr>
            </w:pPr>
            <w:r w:rsidRPr="00D849C3">
              <w:rPr>
                <w:rFonts w:ascii="Arial" w:eastAsia="Times New Roman" w:hAnsi="Arial" w:cs="Arial"/>
                <w:b/>
                <w:bCs/>
                <w:color w:val="0000FF"/>
                <w:lang w:val="en-US" w:bidi="ar-SA"/>
              </w:rPr>
              <w:t>Model 1</w:t>
            </w:r>
          </w:p>
        </w:tc>
        <w:tc>
          <w:tcPr>
            <w:tcW w:w="1701" w:type="dxa"/>
            <w:gridSpan w:val="2"/>
            <w:tcBorders>
              <w:top w:val="nil"/>
              <w:left w:val="nil"/>
              <w:bottom w:val="single" w:sz="12" w:space="0" w:color="auto"/>
              <w:right w:val="single" w:sz="12" w:space="0" w:color="auto"/>
            </w:tcBorders>
            <w:shd w:val="clear" w:color="auto" w:fill="auto"/>
            <w:noWrap/>
            <w:vAlign w:val="center"/>
            <w:hideMark/>
          </w:tcPr>
          <w:p w14:paraId="75EE29EE" w14:textId="77777777" w:rsidR="00D849C3" w:rsidRPr="00D849C3" w:rsidRDefault="00D849C3" w:rsidP="00D849C3">
            <w:pPr>
              <w:spacing w:after="0" w:line="240" w:lineRule="auto"/>
              <w:jc w:val="center"/>
              <w:rPr>
                <w:rFonts w:ascii="Arial" w:eastAsia="Times New Roman" w:hAnsi="Arial" w:cs="Arial"/>
                <w:b/>
                <w:bCs/>
                <w:color w:val="0000FF"/>
                <w:lang w:val="en-US" w:bidi="ar-SA"/>
              </w:rPr>
            </w:pPr>
            <w:r w:rsidRPr="00D849C3">
              <w:rPr>
                <w:rFonts w:ascii="Arial" w:eastAsia="Times New Roman" w:hAnsi="Arial" w:cs="Arial"/>
                <w:b/>
                <w:bCs/>
                <w:color w:val="0000FF"/>
                <w:lang w:val="en-US" w:bidi="ar-SA"/>
              </w:rPr>
              <w:t>Model 2</w:t>
            </w:r>
          </w:p>
        </w:tc>
      </w:tr>
      <w:tr w:rsidR="00D849C3" w:rsidRPr="00D849C3" w14:paraId="2905A962" w14:textId="77777777" w:rsidTr="00121D3D">
        <w:trPr>
          <w:trHeight w:val="315"/>
        </w:trPr>
        <w:tc>
          <w:tcPr>
            <w:tcW w:w="1420" w:type="dxa"/>
            <w:tcBorders>
              <w:top w:val="nil"/>
              <w:left w:val="single" w:sz="12" w:space="0" w:color="auto"/>
              <w:bottom w:val="nil"/>
              <w:right w:val="nil"/>
            </w:tcBorders>
            <w:shd w:val="clear" w:color="auto" w:fill="auto"/>
            <w:noWrap/>
            <w:vAlign w:val="center"/>
            <w:hideMark/>
          </w:tcPr>
          <w:p w14:paraId="3933746B" w14:textId="77777777" w:rsidR="00D849C3" w:rsidRPr="00D849C3" w:rsidRDefault="00D849C3" w:rsidP="00D849C3">
            <w:pPr>
              <w:spacing w:after="0" w:line="240" w:lineRule="auto"/>
              <w:jc w:val="center"/>
              <w:rPr>
                <w:rFonts w:ascii="Times New Roman" w:eastAsia="Times New Roman" w:hAnsi="Times New Roman" w:cs="Times New Roman"/>
                <w:color w:val="0000FF"/>
                <w:lang w:val="en-US" w:bidi="ar-SA"/>
              </w:rPr>
            </w:pPr>
            <w:r w:rsidRPr="00D849C3">
              <w:rPr>
                <w:rFonts w:ascii="Times New Roman" w:eastAsia="Times New Roman" w:hAnsi="Times New Roman" w:cs="Times New Roman"/>
                <w:color w:val="0000FF"/>
                <w:lang w:val="en-US" w:bidi="ar-SA"/>
              </w:rPr>
              <w:t>Intercept</w:t>
            </w:r>
          </w:p>
        </w:tc>
        <w:tc>
          <w:tcPr>
            <w:tcW w:w="1259" w:type="dxa"/>
            <w:gridSpan w:val="2"/>
            <w:tcBorders>
              <w:top w:val="nil"/>
              <w:left w:val="single" w:sz="12" w:space="0" w:color="auto"/>
              <w:bottom w:val="nil"/>
              <w:right w:val="nil"/>
            </w:tcBorders>
            <w:shd w:val="clear" w:color="auto" w:fill="auto"/>
            <w:noWrap/>
            <w:vAlign w:val="center"/>
            <w:hideMark/>
          </w:tcPr>
          <w:p w14:paraId="0605FEB2"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r w:rsidRPr="00D849C3">
              <w:rPr>
                <w:rFonts w:ascii="Times New Roman" w:eastAsia="Times New Roman" w:hAnsi="Times New Roman" w:cs="Times New Roman"/>
                <w:color w:val="0000FF"/>
                <w:sz w:val="20"/>
                <w:szCs w:val="20"/>
                <w:lang w:val="en-US" w:bidi="ar-SA"/>
              </w:rPr>
              <w:t>1.09 (0.07)</w:t>
            </w:r>
          </w:p>
        </w:tc>
        <w:tc>
          <w:tcPr>
            <w:tcW w:w="1275" w:type="dxa"/>
            <w:tcBorders>
              <w:top w:val="nil"/>
              <w:left w:val="nil"/>
              <w:bottom w:val="nil"/>
              <w:right w:val="single" w:sz="12" w:space="0" w:color="auto"/>
            </w:tcBorders>
            <w:shd w:val="clear" w:color="auto" w:fill="auto"/>
            <w:noWrap/>
            <w:vAlign w:val="center"/>
            <w:hideMark/>
          </w:tcPr>
          <w:p w14:paraId="2F08B3A1"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r w:rsidRPr="00D849C3">
              <w:rPr>
                <w:rFonts w:ascii="Times New Roman" w:eastAsia="Times New Roman" w:hAnsi="Times New Roman" w:cs="Times New Roman"/>
                <w:color w:val="0000FF"/>
                <w:sz w:val="20"/>
                <w:szCs w:val="20"/>
                <w:lang w:val="en-US" w:bidi="ar-SA"/>
              </w:rPr>
              <w:t>1.21 (0.05)</w:t>
            </w:r>
          </w:p>
        </w:tc>
        <w:tc>
          <w:tcPr>
            <w:tcW w:w="1276" w:type="dxa"/>
            <w:gridSpan w:val="2"/>
            <w:tcBorders>
              <w:top w:val="nil"/>
              <w:left w:val="nil"/>
              <w:bottom w:val="nil"/>
              <w:right w:val="nil"/>
            </w:tcBorders>
            <w:shd w:val="clear" w:color="auto" w:fill="auto"/>
            <w:noWrap/>
            <w:vAlign w:val="center"/>
            <w:hideMark/>
          </w:tcPr>
          <w:p w14:paraId="7BDFED78"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r w:rsidRPr="00D849C3">
              <w:rPr>
                <w:rFonts w:ascii="Times New Roman" w:eastAsia="Times New Roman" w:hAnsi="Times New Roman" w:cs="Times New Roman"/>
                <w:color w:val="0000FF"/>
                <w:sz w:val="20"/>
                <w:szCs w:val="20"/>
                <w:lang w:val="en-US" w:bidi="ar-SA"/>
              </w:rPr>
              <w:t>-0.14 (0.44)</w:t>
            </w:r>
          </w:p>
        </w:tc>
        <w:tc>
          <w:tcPr>
            <w:tcW w:w="1276" w:type="dxa"/>
            <w:tcBorders>
              <w:top w:val="nil"/>
              <w:left w:val="nil"/>
              <w:bottom w:val="nil"/>
              <w:right w:val="single" w:sz="12" w:space="0" w:color="auto"/>
            </w:tcBorders>
            <w:shd w:val="clear" w:color="auto" w:fill="auto"/>
            <w:noWrap/>
            <w:vAlign w:val="bottom"/>
            <w:hideMark/>
          </w:tcPr>
          <w:p w14:paraId="58A60775"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r w:rsidRPr="00D849C3">
              <w:rPr>
                <w:rFonts w:ascii="Times New Roman" w:eastAsia="Times New Roman" w:hAnsi="Times New Roman" w:cs="Times New Roman"/>
                <w:color w:val="0000FF"/>
                <w:sz w:val="20"/>
                <w:szCs w:val="20"/>
                <w:lang w:val="en-US" w:bidi="ar-SA"/>
              </w:rPr>
              <w:t>-0.21 (0.26)</w:t>
            </w:r>
          </w:p>
        </w:tc>
        <w:tc>
          <w:tcPr>
            <w:tcW w:w="1276" w:type="dxa"/>
            <w:gridSpan w:val="2"/>
            <w:tcBorders>
              <w:top w:val="nil"/>
              <w:left w:val="nil"/>
              <w:bottom w:val="nil"/>
              <w:right w:val="nil"/>
            </w:tcBorders>
            <w:shd w:val="clear" w:color="auto" w:fill="auto"/>
            <w:noWrap/>
            <w:vAlign w:val="center"/>
            <w:hideMark/>
          </w:tcPr>
          <w:p w14:paraId="7478FEE0"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r w:rsidRPr="00D849C3">
              <w:rPr>
                <w:rFonts w:ascii="Times New Roman" w:eastAsia="Times New Roman" w:hAnsi="Times New Roman" w:cs="Times New Roman"/>
                <w:color w:val="0000FF"/>
                <w:sz w:val="20"/>
                <w:szCs w:val="20"/>
                <w:lang w:val="en-US" w:bidi="ar-SA"/>
              </w:rPr>
              <w:t>-0.05 (0.80)</w:t>
            </w:r>
          </w:p>
        </w:tc>
        <w:tc>
          <w:tcPr>
            <w:tcW w:w="1559" w:type="dxa"/>
            <w:tcBorders>
              <w:top w:val="nil"/>
              <w:left w:val="nil"/>
              <w:bottom w:val="nil"/>
              <w:right w:val="single" w:sz="12" w:space="0" w:color="auto"/>
            </w:tcBorders>
            <w:shd w:val="clear" w:color="auto" w:fill="auto"/>
            <w:noWrap/>
            <w:vAlign w:val="center"/>
            <w:hideMark/>
          </w:tcPr>
          <w:p w14:paraId="60D6BC60"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r w:rsidRPr="00D849C3">
              <w:rPr>
                <w:rFonts w:ascii="Times New Roman" w:eastAsia="Times New Roman" w:hAnsi="Times New Roman" w:cs="Times New Roman"/>
                <w:color w:val="0000FF"/>
                <w:sz w:val="20"/>
                <w:szCs w:val="20"/>
                <w:lang w:val="en-US" w:bidi="ar-SA"/>
              </w:rPr>
              <w:t>-0.05 (0.79)</w:t>
            </w:r>
          </w:p>
        </w:tc>
      </w:tr>
      <w:tr w:rsidR="00D849C3" w:rsidRPr="00D849C3" w14:paraId="14B6875F" w14:textId="77777777" w:rsidTr="00121D3D">
        <w:trPr>
          <w:trHeight w:val="300"/>
        </w:trPr>
        <w:tc>
          <w:tcPr>
            <w:tcW w:w="1420" w:type="dxa"/>
            <w:tcBorders>
              <w:top w:val="nil"/>
              <w:left w:val="single" w:sz="12" w:space="0" w:color="auto"/>
              <w:bottom w:val="nil"/>
              <w:right w:val="nil"/>
            </w:tcBorders>
            <w:shd w:val="clear" w:color="auto" w:fill="auto"/>
            <w:noWrap/>
            <w:vAlign w:val="center"/>
            <w:hideMark/>
          </w:tcPr>
          <w:p w14:paraId="593FEDC4" w14:textId="77777777" w:rsidR="00D849C3" w:rsidRPr="00D849C3" w:rsidRDefault="00D849C3" w:rsidP="00D849C3">
            <w:pPr>
              <w:spacing w:after="0" w:line="240" w:lineRule="auto"/>
              <w:jc w:val="center"/>
              <w:rPr>
                <w:rFonts w:ascii="Times New Roman" w:eastAsia="Times New Roman" w:hAnsi="Times New Roman" w:cs="Times New Roman"/>
                <w:color w:val="0000FF"/>
                <w:lang w:val="en-US" w:bidi="ar-SA"/>
              </w:rPr>
            </w:pPr>
            <w:r w:rsidRPr="00D849C3">
              <w:rPr>
                <w:rFonts w:ascii="Times New Roman" w:eastAsia="Times New Roman" w:hAnsi="Times New Roman" w:cs="Times New Roman"/>
                <w:color w:val="0000FF"/>
                <w:lang w:val="en-US" w:bidi="ar-SA"/>
              </w:rPr>
              <w:t>Year 2013</w:t>
            </w:r>
          </w:p>
        </w:tc>
        <w:tc>
          <w:tcPr>
            <w:tcW w:w="1259" w:type="dxa"/>
            <w:gridSpan w:val="2"/>
            <w:tcBorders>
              <w:top w:val="nil"/>
              <w:left w:val="single" w:sz="12" w:space="0" w:color="auto"/>
              <w:bottom w:val="nil"/>
              <w:right w:val="nil"/>
            </w:tcBorders>
            <w:shd w:val="clear" w:color="auto" w:fill="auto"/>
            <w:noWrap/>
            <w:vAlign w:val="center"/>
            <w:hideMark/>
          </w:tcPr>
          <w:p w14:paraId="049157E4"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r w:rsidRPr="00D849C3">
              <w:rPr>
                <w:rFonts w:ascii="Times New Roman" w:eastAsia="Times New Roman" w:hAnsi="Times New Roman" w:cs="Times New Roman"/>
                <w:color w:val="0000FF"/>
                <w:sz w:val="20"/>
                <w:szCs w:val="20"/>
                <w:lang w:val="en-US" w:bidi="ar-SA"/>
              </w:rPr>
              <w:t>-1.06 (0.05)</w:t>
            </w:r>
          </w:p>
        </w:tc>
        <w:tc>
          <w:tcPr>
            <w:tcW w:w="1275" w:type="dxa"/>
            <w:tcBorders>
              <w:top w:val="nil"/>
              <w:left w:val="nil"/>
              <w:bottom w:val="nil"/>
              <w:right w:val="single" w:sz="12" w:space="0" w:color="auto"/>
            </w:tcBorders>
            <w:shd w:val="clear" w:color="auto" w:fill="auto"/>
            <w:noWrap/>
            <w:vAlign w:val="center"/>
            <w:hideMark/>
          </w:tcPr>
          <w:p w14:paraId="56E57794"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r w:rsidRPr="00D849C3">
              <w:rPr>
                <w:rFonts w:ascii="Times New Roman" w:eastAsia="Times New Roman" w:hAnsi="Times New Roman" w:cs="Times New Roman"/>
                <w:color w:val="0000FF"/>
                <w:sz w:val="20"/>
                <w:szCs w:val="20"/>
                <w:lang w:val="en-US" w:bidi="ar-SA"/>
              </w:rPr>
              <w:t>-1.23 (0.03)</w:t>
            </w:r>
          </w:p>
        </w:tc>
        <w:tc>
          <w:tcPr>
            <w:tcW w:w="1276" w:type="dxa"/>
            <w:gridSpan w:val="2"/>
            <w:tcBorders>
              <w:top w:val="nil"/>
              <w:left w:val="nil"/>
              <w:bottom w:val="nil"/>
              <w:right w:val="nil"/>
            </w:tcBorders>
            <w:shd w:val="clear" w:color="auto" w:fill="auto"/>
            <w:noWrap/>
            <w:vAlign w:val="center"/>
            <w:hideMark/>
          </w:tcPr>
          <w:p w14:paraId="3C2959FC"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r w:rsidRPr="00D849C3">
              <w:rPr>
                <w:rFonts w:ascii="Times New Roman" w:eastAsia="Times New Roman" w:hAnsi="Times New Roman" w:cs="Times New Roman"/>
                <w:color w:val="0000FF"/>
                <w:sz w:val="20"/>
                <w:szCs w:val="20"/>
                <w:lang w:val="en-US" w:bidi="ar-SA"/>
              </w:rPr>
              <w:t>0.00 (0.98)</w:t>
            </w:r>
          </w:p>
        </w:tc>
        <w:tc>
          <w:tcPr>
            <w:tcW w:w="1276" w:type="dxa"/>
            <w:tcBorders>
              <w:top w:val="nil"/>
              <w:left w:val="nil"/>
              <w:bottom w:val="nil"/>
              <w:right w:val="single" w:sz="12" w:space="0" w:color="auto"/>
            </w:tcBorders>
            <w:shd w:val="clear" w:color="auto" w:fill="auto"/>
            <w:noWrap/>
            <w:vAlign w:val="bottom"/>
            <w:hideMark/>
          </w:tcPr>
          <w:p w14:paraId="196DDDA2"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r w:rsidRPr="00D849C3">
              <w:rPr>
                <w:rFonts w:ascii="Times New Roman" w:eastAsia="Times New Roman" w:hAnsi="Times New Roman" w:cs="Times New Roman"/>
                <w:color w:val="0000FF"/>
                <w:sz w:val="20"/>
                <w:szCs w:val="20"/>
                <w:lang w:val="en-US" w:bidi="ar-SA"/>
              </w:rPr>
              <w:t>0.00 (0.99)</w:t>
            </w:r>
          </w:p>
        </w:tc>
        <w:tc>
          <w:tcPr>
            <w:tcW w:w="1276" w:type="dxa"/>
            <w:gridSpan w:val="2"/>
            <w:tcBorders>
              <w:top w:val="nil"/>
              <w:left w:val="nil"/>
              <w:bottom w:val="nil"/>
              <w:right w:val="nil"/>
            </w:tcBorders>
            <w:shd w:val="clear" w:color="auto" w:fill="auto"/>
            <w:noWrap/>
            <w:vAlign w:val="center"/>
            <w:hideMark/>
          </w:tcPr>
          <w:p w14:paraId="26DC5576"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r w:rsidRPr="00D849C3">
              <w:rPr>
                <w:rFonts w:ascii="Times New Roman" w:eastAsia="Times New Roman" w:hAnsi="Times New Roman" w:cs="Times New Roman"/>
                <w:color w:val="0000FF"/>
                <w:sz w:val="20"/>
                <w:szCs w:val="20"/>
                <w:lang w:val="en-US" w:bidi="ar-SA"/>
              </w:rPr>
              <w:t>-0.55 (0.08)</w:t>
            </w:r>
          </w:p>
        </w:tc>
        <w:tc>
          <w:tcPr>
            <w:tcW w:w="1559" w:type="dxa"/>
            <w:tcBorders>
              <w:top w:val="nil"/>
              <w:left w:val="nil"/>
              <w:bottom w:val="nil"/>
              <w:right w:val="single" w:sz="12" w:space="0" w:color="auto"/>
            </w:tcBorders>
            <w:shd w:val="clear" w:color="auto" w:fill="auto"/>
            <w:noWrap/>
            <w:vAlign w:val="center"/>
            <w:hideMark/>
          </w:tcPr>
          <w:p w14:paraId="6DC75FE3"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r w:rsidRPr="00D849C3">
              <w:rPr>
                <w:rFonts w:ascii="Times New Roman" w:eastAsia="Times New Roman" w:hAnsi="Times New Roman" w:cs="Times New Roman"/>
                <w:color w:val="0000FF"/>
                <w:sz w:val="20"/>
                <w:szCs w:val="20"/>
                <w:lang w:val="en-US" w:bidi="ar-SA"/>
              </w:rPr>
              <w:t>-0.54 (0.08)</w:t>
            </w:r>
          </w:p>
        </w:tc>
      </w:tr>
      <w:tr w:rsidR="00D849C3" w:rsidRPr="00D849C3" w14:paraId="405D74B3" w14:textId="77777777" w:rsidTr="00121D3D">
        <w:trPr>
          <w:trHeight w:val="300"/>
        </w:trPr>
        <w:tc>
          <w:tcPr>
            <w:tcW w:w="1420" w:type="dxa"/>
            <w:tcBorders>
              <w:top w:val="nil"/>
              <w:left w:val="single" w:sz="12" w:space="0" w:color="auto"/>
              <w:bottom w:val="nil"/>
              <w:right w:val="nil"/>
            </w:tcBorders>
            <w:shd w:val="clear" w:color="auto" w:fill="auto"/>
            <w:noWrap/>
            <w:vAlign w:val="center"/>
            <w:hideMark/>
          </w:tcPr>
          <w:p w14:paraId="3973FD63" w14:textId="77777777" w:rsidR="00D849C3" w:rsidRPr="00D849C3" w:rsidRDefault="00D849C3" w:rsidP="00D849C3">
            <w:pPr>
              <w:spacing w:after="0" w:line="240" w:lineRule="auto"/>
              <w:jc w:val="center"/>
              <w:rPr>
                <w:rFonts w:ascii="Times New Roman" w:eastAsia="Times New Roman" w:hAnsi="Times New Roman" w:cs="Times New Roman"/>
                <w:color w:val="0000FF"/>
                <w:lang w:val="en-US" w:bidi="ar-SA"/>
              </w:rPr>
            </w:pPr>
            <w:r w:rsidRPr="00D849C3">
              <w:rPr>
                <w:rFonts w:ascii="Times New Roman" w:eastAsia="Times New Roman" w:hAnsi="Times New Roman" w:cs="Times New Roman"/>
                <w:color w:val="0000FF"/>
                <w:lang w:val="en-US" w:bidi="ar-SA"/>
              </w:rPr>
              <w:t>Year 2014</w:t>
            </w:r>
          </w:p>
        </w:tc>
        <w:tc>
          <w:tcPr>
            <w:tcW w:w="1259" w:type="dxa"/>
            <w:gridSpan w:val="2"/>
            <w:tcBorders>
              <w:top w:val="nil"/>
              <w:left w:val="single" w:sz="12" w:space="0" w:color="auto"/>
              <w:bottom w:val="nil"/>
              <w:right w:val="nil"/>
            </w:tcBorders>
            <w:shd w:val="clear" w:color="auto" w:fill="auto"/>
            <w:noWrap/>
            <w:vAlign w:val="center"/>
            <w:hideMark/>
          </w:tcPr>
          <w:p w14:paraId="31CC8972"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r w:rsidRPr="00D849C3">
              <w:rPr>
                <w:rFonts w:ascii="Times New Roman" w:eastAsia="Times New Roman" w:hAnsi="Times New Roman" w:cs="Times New Roman"/>
                <w:color w:val="0000FF"/>
                <w:sz w:val="20"/>
                <w:szCs w:val="20"/>
                <w:lang w:val="en-US" w:bidi="ar-SA"/>
              </w:rPr>
              <w:t>-1.03 (0.05)</w:t>
            </w:r>
          </w:p>
        </w:tc>
        <w:tc>
          <w:tcPr>
            <w:tcW w:w="1275" w:type="dxa"/>
            <w:tcBorders>
              <w:top w:val="nil"/>
              <w:left w:val="nil"/>
              <w:bottom w:val="nil"/>
              <w:right w:val="single" w:sz="12" w:space="0" w:color="auto"/>
            </w:tcBorders>
            <w:shd w:val="clear" w:color="auto" w:fill="auto"/>
            <w:noWrap/>
            <w:vAlign w:val="center"/>
            <w:hideMark/>
          </w:tcPr>
          <w:p w14:paraId="0EC1A306"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r w:rsidRPr="00D849C3">
              <w:rPr>
                <w:rFonts w:ascii="Times New Roman" w:eastAsia="Times New Roman" w:hAnsi="Times New Roman" w:cs="Times New Roman"/>
                <w:color w:val="0000FF"/>
                <w:sz w:val="20"/>
                <w:szCs w:val="20"/>
                <w:lang w:val="en-US" w:bidi="ar-SA"/>
              </w:rPr>
              <w:t>-1.23 (0.03)</w:t>
            </w:r>
          </w:p>
        </w:tc>
        <w:tc>
          <w:tcPr>
            <w:tcW w:w="1276" w:type="dxa"/>
            <w:gridSpan w:val="2"/>
            <w:tcBorders>
              <w:top w:val="nil"/>
              <w:left w:val="nil"/>
              <w:bottom w:val="nil"/>
              <w:right w:val="nil"/>
            </w:tcBorders>
            <w:shd w:val="clear" w:color="auto" w:fill="auto"/>
            <w:noWrap/>
            <w:vAlign w:val="center"/>
            <w:hideMark/>
          </w:tcPr>
          <w:p w14:paraId="3597D108"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r w:rsidRPr="00D849C3">
              <w:rPr>
                <w:rFonts w:ascii="Times New Roman" w:eastAsia="Times New Roman" w:hAnsi="Times New Roman" w:cs="Times New Roman"/>
                <w:color w:val="0000FF"/>
                <w:sz w:val="20"/>
                <w:szCs w:val="20"/>
                <w:lang w:val="en-US" w:bidi="ar-SA"/>
              </w:rPr>
              <w:t>-0.12 (0.61)</w:t>
            </w:r>
          </w:p>
        </w:tc>
        <w:tc>
          <w:tcPr>
            <w:tcW w:w="1276" w:type="dxa"/>
            <w:tcBorders>
              <w:top w:val="nil"/>
              <w:left w:val="nil"/>
              <w:bottom w:val="nil"/>
              <w:right w:val="nil"/>
            </w:tcBorders>
            <w:shd w:val="clear" w:color="auto" w:fill="auto"/>
            <w:noWrap/>
            <w:vAlign w:val="bottom"/>
            <w:hideMark/>
          </w:tcPr>
          <w:p w14:paraId="1C3AEE0F"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r w:rsidRPr="00D849C3">
              <w:rPr>
                <w:rFonts w:ascii="Times New Roman" w:eastAsia="Times New Roman" w:hAnsi="Times New Roman" w:cs="Times New Roman"/>
                <w:color w:val="0000FF"/>
                <w:sz w:val="20"/>
                <w:szCs w:val="20"/>
                <w:lang w:val="en-US" w:bidi="ar-SA"/>
              </w:rPr>
              <w:t>-0.08 (0.75)</w:t>
            </w:r>
          </w:p>
        </w:tc>
        <w:tc>
          <w:tcPr>
            <w:tcW w:w="1276" w:type="dxa"/>
            <w:gridSpan w:val="2"/>
            <w:tcBorders>
              <w:top w:val="nil"/>
              <w:left w:val="single" w:sz="12" w:space="0" w:color="auto"/>
              <w:bottom w:val="nil"/>
              <w:right w:val="nil"/>
            </w:tcBorders>
            <w:shd w:val="clear" w:color="auto" w:fill="auto"/>
            <w:noWrap/>
            <w:vAlign w:val="center"/>
            <w:hideMark/>
          </w:tcPr>
          <w:p w14:paraId="1BCB7A3C"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r w:rsidRPr="00D849C3">
              <w:rPr>
                <w:rFonts w:ascii="Times New Roman" w:eastAsia="Times New Roman" w:hAnsi="Times New Roman" w:cs="Times New Roman"/>
                <w:color w:val="0000FF"/>
                <w:sz w:val="20"/>
                <w:szCs w:val="20"/>
                <w:lang w:val="en-US" w:bidi="ar-SA"/>
              </w:rPr>
              <w:t>-0.03 (0.88)</w:t>
            </w:r>
          </w:p>
        </w:tc>
        <w:tc>
          <w:tcPr>
            <w:tcW w:w="1559" w:type="dxa"/>
            <w:tcBorders>
              <w:top w:val="nil"/>
              <w:left w:val="nil"/>
              <w:bottom w:val="nil"/>
              <w:right w:val="single" w:sz="12" w:space="0" w:color="auto"/>
            </w:tcBorders>
            <w:shd w:val="clear" w:color="auto" w:fill="auto"/>
            <w:noWrap/>
            <w:vAlign w:val="center"/>
            <w:hideMark/>
          </w:tcPr>
          <w:p w14:paraId="681D1FE5"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r w:rsidRPr="00D849C3">
              <w:rPr>
                <w:rFonts w:ascii="Times New Roman" w:eastAsia="Times New Roman" w:hAnsi="Times New Roman" w:cs="Times New Roman"/>
                <w:color w:val="0000FF"/>
                <w:sz w:val="20"/>
                <w:szCs w:val="20"/>
                <w:lang w:val="en-US" w:bidi="ar-SA"/>
              </w:rPr>
              <w:t>-0.04 (0.85)</w:t>
            </w:r>
          </w:p>
        </w:tc>
      </w:tr>
      <w:tr w:rsidR="00D849C3" w:rsidRPr="00D849C3" w14:paraId="755872D4" w14:textId="77777777" w:rsidTr="00121D3D">
        <w:trPr>
          <w:trHeight w:val="300"/>
        </w:trPr>
        <w:tc>
          <w:tcPr>
            <w:tcW w:w="1420" w:type="dxa"/>
            <w:tcBorders>
              <w:top w:val="nil"/>
              <w:left w:val="single" w:sz="12" w:space="0" w:color="auto"/>
              <w:bottom w:val="nil"/>
              <w:right w:val="nil"/>
            </w:tcBorders>
            <w:shd w:val="clear" w:color="auto" w:fill="auto"/>
            <w:noWrap/>
            <w:vAlign w:val="center"/>
            <w:hideMark/>
          </w:tcPr>
          <w:p w14:paraId="5C52CF11" w14:textId="77777777" w:rsidR="00D849C3" w:rsidRPr="00D849C3" w:rsidRDefault="00D849C3" w:rsidP="00D849C3">
            <w:pPr>
              <w:spacing w:after="0" w:line="240" w:lineRule="auto"/>
              <w:jc w:val="center"/>
              <w:rPr>
                <w:rFonts w:ascii="Times New Roman" w:eastAsia="Times New Roman" w:hAnsi="Times New Roman" w:cs="Times New Roman"/>
                <w:color w:val="0000FF"/>
                <w:lang w:val="en-US" w:bidi="ar-SA"/>
              </w:rPr>
            </w:pPr>
            <w:r w:rsidRPr="00D849C3">
              <w:rPr>
                <w:rFonts w:ascii="Times New Roman" w:eastAsia="Times New Roman" w:hAnsi="Times New Roman" w:cs="Times New Roman"/>
                <w:color w:val="0000FF"/>
                <w:lang w:val="en-US" w:bidi="ar-SA"/>
              </w:rPr>
              <w:t>Year 2015</w:t>
            </w:r>
          </w:p>
        </w:tc>
        <w:tc>
          <w:tcPr>
            <w:tcW w:w="1259" w:type="dxa"/>
            <w:gridSpan w:val="2"/>
            <w:tcBorders>
              <w:top w:val="nil"/>
              <w:left w:val="single" w:sz="12" w:space="0" w:color="auto"/>
              <w:bottom w:val="nil"/>
              <w:right w:val="nil"/>
            </w:tcBorders>
            <w:shd w:val="clear" w:color="auto" w:fill="auto"/>
            <w:noWrap/>
            <w:vAlign w:val="center"/>
            <w:hideMark/>
          </w:tcPr>
          <w:p w14:paraId="6FDEA96C"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r w:rsidRPr="00D849C3">
              <w:rPr>
                <w:rFonts w:ascii="Times New Roman" w:eastAsia="Times New Roman" w:hAnsi="Times New Roman" w:cs="Times New Roman"/>
                <w:color w:val="0000FF"/>
                <w:sz w:val="20"/>
                <w:szCs w:val="20"/>
                <w:lang w:val="en-US" w:bidi="ar-SA"/>
              </w:rPr>
              <w:t>-1.45 (0.02)</w:t>
            </w:r>
          </w:p>
        </w:tc>
        <w:tc>
          <w:tcPr>
            <w:tcW w:w="1275" w:type="dxa"/>
            <w:tcBorders>
              <w:top w:val="nil"/>
              <w:left w:val="nil"/>
              <w:bottom w:val="nil"/>
              <w:right w:val="single" w:sz="12" w:space="0" w:color="auto"/>
            </w:tcBorders>
            <w:shd w:val="clear" w:color="auto" w:fill="auto"/>
            <w:noWrap/>
            <w:vAlign w:val="center"/>
            <w:hideMark/>
          </w:tcPr>
          <w:p w14:paraId="4C1683CD"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r w:rsidRPr="00D849C3">
              <w:rPr>
                <w:rFonts w:ascii="Times New Roman" w:eastAsia="Times New Roman" w:hAnsi="Times New Roman" w:cs="Times New Roman"/>
                <w:color w:val="0000FF"/>
                <w:sz w:val="20"/>
                <w:szCs w:val="20"/>
                <w:lang w:val="en-US" w:bidi="ar-SA"/>
              </w:rPr>
              <w:t>-1.61 (0.01)</w:t>
            </w:r>
          </w:p>
        </w:tc>
        <w:tc>
          <w:tcPr>
            <w:tcW w:w="1276" w:type="dxa"/>
            <w:gridSpan w:val="2"/>
            <w:tcBorders>
              <w:top w:val="nil"/>
              <w:left w:val="nil"/>
              <w:bottom w:val="nil"/>
              <w:right w:val="nil"/>
            </w:tcBorders>
            <w:shd w:val="clear" w:color="auto" w:fill="auto"/>
            <w:noWrap/>
            <w:vAlign w:val="center"/>
            <w:hideMark/>
          </w:tcPr>
          <w:p w14:paraId="16CB3B26"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r w:rsidRPr="00D849C3">
              <w:rPr>
                <w:rFonts w:ascii="Times New Roman" w:eastAsia="Times New Roman" w:hAnsi="Times New Roman" w:cs="Times New Roman"/>
                <w:color w:val="0000FF"/>
                <w:sz w:val="20"/>
                <w:szCs w:val="20"/>
                <w:lang w:val="en-US" w:bidi="ar-SA"/>
              </w:rPr>
              <w:t>0.03 (0.88)</w:t>
            </w:r>
          </w:p>
        </w:tc>
        <w:tc>
          <w:tcPr>
            <w:tcW w:w="1276" w:type="dxa"/>
            <w:tcBorders>
              <w:top w:val="nil"/>
              <w:left w:val="nil"/>
              <w:bottom w:val="nil"/>
              <w:right w:val="nil"/>
            </w:tcBorders>
            <w:shd w:val="clear" w:color="auto" w:fill="auto"/>
            <w:noWrap/>
            <w:vAlign w:val="bottom"/>
            <w:hideMark/>
          </w:tcPr>
          <w:p w14:paraId="0DA8D4F5"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r w:rsidRPr="00D849C3">
              <w:rPr>
                <w:rFonts w:ascii="Times New Roman" w:eastAsia="Times New Roman" w:hAnsi="Times New Roman" w:cs="Times New Roman"/>
                <w:color w:val="0000FF"/>
                <w:sz w:val="20"/>
                <w:szCs w:val="20"/>
                <w:lang w:val="en-US" w:bidi="ar-SA"/>
              </w:rPr>
              <w:t>-0.07 (0.71)</w:t>
            </w:r>
          </w:p>
        </w:tc>
        <w:tc>
          <w:tcPr>
            <w:tcW w:w="1276" w:type="dxa"/>
            <w:gridSpan w:val="2"/>
            <w:tcBorders>
              <w:top w:val="nil"/>
              <w:left w:val="single" w:sz="12" w:space="0" w:color="auto"/>
              <w:bottom w:val="nil"/>
              <w:right w:val="nil"/>
            </w:tcBorders>
            <w:shd w:val="clear" w:color="auto" w:fill="auto"/>
            <w:noWrap/>
            <w:vAlign w:val="center"/>
            <w:hideMark/>
          </w:tcPr>
          <w:p w14:paraId="20FE7EAB"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p>
        </w:tc>
        <w:tc>
          <w:tcPr>
            <w:tcW w:w="1559" w:type="dxa"/>
            <w:tcBorders>
              <w:top w:val="nil"/>
              <w:left w:val="nil"/>
              <w:bottom w:val="nil"/>
              <w:right w:val="single" w:sz="12" w:space="0" w:color="auto"/>
            </w:tcBorders>
            <w:shd w:val="clear" w:color="auto" w:fill="auto"/>
            <w:noWrap/>
            <w:vAlign w:val="center"/>
            <w:hideMark/>
          </w:tcPr>
          <w:p w14:paraId="5E4E1A6B"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p>
        </w:tc>
      </w:tr>
      <w:tr w:rsidR="00D849C3" w:rsidRPr="00D849C3" w14:paraId="0138759E" w14:textId="77777777" w:rsidTr="00121D3D">
        <w:trPr>
          <w:trHeight w:val="300"/>
        </w:trPr>
        <w:tc>
          <w:tcPr>
            <w:tcW w:w="1420" w:type="dxa"/>
            <w:tcBorders>
              <w:top w:val="nil"/>
              <w:left w:val="single" w:sz="12" w:space="0" w:color="auto"/>
              <w:bottom w:val="nil"/>
              <w:right w:val="nil"/>
            </w:tcBorders>
            <w:shd w:val="clear" w:color="auto" w:fill="auto"/>
            <w:noWrap/>
            <w:vAlign w:val="center"/>
            <w:hideMark/>
          </w:tcPr>
          <w:p w14:paraId="5D3A27CC" w14:textId="77777777" w:rsidR="00D849C3" w:rsidRPr="00D849C3" w:rsidRDefault="00D849C3" w:rsidP="00D849C3">
            <w:pPr>
              <w:spacing w:after="0" w:line="240" w:lineRule="auto"/>
              <w:jc w:val="center"/>
              <w:rPr>
                <w:rFonts w:ascii="Times New Roman" w:eastAsia="Times New Roman" w:hAnsi="Times New Roman" w:cs="Times New Roman"/>
                <w:color w:val="0000FF"/>
                <w:lang w:val="en-US" w:bidi="ar-SA"/>
              </w:rPr>
            </w:pPr>
            <w:r w:rsidRPr="00D849C3">
              <w:rPr>
                <w:rFonts w:ascii="Times New Roman" w:eastAsia="Times New Roman" w:hAnsi="Times New Roman" w:cs="Times New Roman"/>
                <w:color w:val="0000FF"/>
                <w:lang w:val="en-US" w:bidi="ar-SA"/>
              </w:rPr>
              <w:t>Year 2016</w:t>
            </w:r>
          </w:p>
        </w:tc>
        <w:tc>
          <w:tcPr>
            <w:tcW w:w="1259" w:type="dxa"/>
            <w:gridSpan w:val="2"/>
            <w:tcBorders>
              <w:top w:val="nil"/>
              <w:left w:val="single" w:sz="12" w:space="0" w:color="auto"/>
              <w:bottom w:val="nil"/>
              <w:right w:val="nil"/>
            </w:tcBorders>
            <w:shd w:val="clear" w:color="auto" w:fill="auto"/>
            <w:noWrap/>
            <w:vAlign w:val="center"/>
            <w:hideMark/>
          </w:tcPr>
          <w:p w14:paraId="1B15B5D2"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r w:rsidRPr="00D849C3">
              <w:rPr>
                <w:rFonts w:ascii="Times New Roman" w:eastAsia="Times New Roman" w:hAnsi="Times New Roman" w:cs="Times New Roman"/>
                <w:color w:val="0000FF"/>
                <w:sz w:val="20"/>
                <w:szCs w:val="20"/>
                <w:lang w:val="en-US" w:bidi="ar-SA"/>
              </w:rPr>
              <w:t>-1.28 (0.02)</w:t>
            </w:r>
          </w:p>
        </w:tc>
        <w:tc>
          <w:tcPr>
            <w:tcW w:w="1275" w:type="dxa"/>
            <w:tcBorders>
              <w:top w:val="nil"/>
              <w:left w:val="nil"/>
              <w:bottom w:val="nil"/>
              <w:right w:val="single" w:sz="12" w:space="0" w:color="auto"/>
            </w:tcBorders>
            <w:shd w:val="clear" w:color="auto" w:fill="auto"/>
            <w:noWrap/>
            <w:vAlign w:val="center"/>
            <w:hideMark/>
          </w:tcPr>
          <w:p w14:paraId="2AED04AB"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r w:rsidRPr="00D849C3">
              <w:rPr>
                <w:rFonts w:ascii="Times New Roman" w:eastAsia="Times New Roman" w:hAnsi="Times New Roman" w:cs="Times New Roman"/>
                <w:color w:val="0000FF"/>
                <w:sz w:val="20"/>
                <w:szCs w:val="20"/>
                <w:lang w:val="en-US" w:bidi="ar-SA"/>
              </w:rPr>
              <w:t>-1.49 (0.01)</w:t>
            </w:r>
          </w:p>
        </w:tc>
        <w:tc>
          <w:tcPr>
            <w:tcW w:w="1276" w:type="dxa"/>
            <w:gridSpan w:val="2"/>
            <w:tcBorders>
              <w:top w:val="nil"/>
              <w:left w:val="nil"/>
              <w:bottom w:val="nil"/>
              <w:right w:val="nil"/>
            </w:tcBorders>
            <w:shd w:val="clear" w:color="auto" w:fill="auto"/>
            <w:noWrap/>
            <w:vAlign w:val="bottom"/>
            <w:hideMark/>
          </w:tcPr>
          <w:p w14:paraId="61D8E39E"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p>
        </w:tc>
        <w:tc>
          <w:tcPr>
            <w:tcW w:w="1276" w:type="dxa"/>
            <w:tcBorders>
              <w:top w:val="nil"/>
              <w:left w:val="nil"/>
              <w:bottom w:val="nil"/>
              <w:right w:val="nil"/>
            </w:tcBorders>
            <w:shd w:val="clear" w:color="auto" w:fill="auto"/>
            <w:noWrap/>
            <w:vAlign w:val="center"/>
            <w:hideMark/>
          </w:tcPr>
          <w:p w14:paraId="58A119E3"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p>
        </w:tc>
        <w:tc>
          <w:tcPr>
            <w:tcW w:w="1276" w:type="dxa"/>
            <w:gridSpan w:val="2"/>
            <w:tcBorders>
              <w:top w:val="nil"/>
              <w:left w:val="single" w:sz="12" w:space="0" w:color="auto"/>
              <w:bottom w:val="nil"/>
              <w:right w:val="nil"/>
            </w:tcBorders>
            <w:shd w:val="clear" w:color="auto" w:fill="auto"/>
            <w:noWrap/>
            <w:vAlign w:val="center"/>
            <w:hideMark/>
          </w:tcPr>
          <w:p w14:paraId="376AEC1D"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p>
        </w:tc>
        <w:tc>
          <w:tcPr>
            <w:tcW w:w="1559" w:type="dxa"/>
            <w:tcBorders>
              <w:top w:val="nil"/>
              <w:left w:val="nil"/>
              <w:bottom w:val="nil"/>
              <w:right w:val="single" w:sz="12" w:space="0" w:color="auto"/>
            </w:tcBorders>
            <w:shd w:val="clear" w:color="auto" w:fill="auto"/>
            <w:noWrap/>
            <w:vAlign w:val="center"/>
            <w:hideMark/>
          </w:tcPr>
          <w:p w14:paraId="1BF0D56D"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p>
        </w:tc>
      </w:tr>
      <w:tr w:rsidR="00D849C3" w:rsidRPr="00D849C3" w14:paraId="776D41BC" w14:textId="77777777" w:rsidTr="00121D3D">
        <w:trPr>
          <w:trHeight w:val="300"/>
        </w:trPr>
        <w:tc>
          <w:tcPr>
            <w:tcW w:w="1420" w:type="dxa"/>
            <w:tcBorders>
              <w:top w:val="nil"/>
              <w:left w:val="single" w:sz="12" w:space="0" w:color="auto"/>
              <w:bottom w:val="nil"/>
              <w:right w:val="nil"/>
            </w:tcBorders>
            <w:shd w:val="clear" w:color="auto" w:fill="auto"/>
            <w:noWrap/>
            <w:vAlign w:val="center"/>
            <w:hideMark/>
          </w:tcPr>
          <w:p w14:paraId="6E04D8A8" w14:textId="77777777" w:rsidR="00D849C3" w:rsidRPr="00D849C3" w:rsidRDefault="00D849C3" w:rsidP="00D849C3">
            <w:pPr>
              <w:spacing w:after="0" w:line="240" w:lineRule="auto"/>
              <w:jc w:val="center"/>
              <w:rPr>
                <w:rFonts w:ascii="Times New Roman" w:eastAsia="Times New Roman" w:hAnsi="Times New Roman" w:cs="Times New Roman"/>
                <w:color w:val="0000FF"/>
                <w:lang w:val="en-US" w:bidi="ar-SA"/>
              </w:rPr>
            </w:pPr>
            <w:proofErr w:type="spellStart"/>
            <w:r w:rsidRPr="00D849C3">
              <w:rPr>
                <w:rFonts w:ascii="Times New Roman" w:eastAsia="Times New Roman" w:hAnsi="Times New Roman" w:cs="Times New Roman"/>
                <w:color w:val="0000FF"/>
                <w:lang w:val="en-US" w:bidi="ar-SA"/>
              </w:rPr>
              <w:t>Rm_sector</w:t>
            </w:r>
            <w:proofErr w:type="spellEnd"/>
          </w:p>
        </w:tc>
        <w:tc>
          <w:tcPr>
            <w:tcW w:w="1259" w:type="dxa"/>
            <w:gridSpan w:val="2"/>
            <w:tcBorders>
              <w:top w:val="nil"/>
              <w:left w:val="single" w:sz="12" w:space="0" w:color="auto"/>
              <w:bottom w:val="nil"/>
              <w:right w:val="nil"/>
            </w:tcBorders>
            <w:shd w:val="clear" w:color="auto" w:fill="auto"/>
            <w:noWrap/>
            <w:vAlign w:val="center"/>
            <w:hideMark/>
          </w:tcPr>
          <w:p w14:paraId="4AF88FF4"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r w:rsidRPr="00D849C3">
              <w:rPr>
                <w:rFonts w:ascii="Times New Roman" w:eastAsia="Times New Roman" w:hAnsi="Times New Roman" w:cs="Times New Roman"/>
                <w:color w:val="0000FF"/>
                <w:sz w:val="20"/>
                <w:szCs w:val="20"/>
                <w:lang w:val="en-US" w:bidi="ar-SA"/>
              </w:rPr>
              <w:t>1.60 (0.20)</w:t>
            </w:r>
          </w:p>
        </w:tc>
        <w:tc>
          <w:tcPr>
            <w:tcW w:w="1275" w:type="dxa"/>
            <w:tcBorders>
              <w:top w:val="nil"/>
              <w:left w:val="nil"/>
              <w:bottom w:val="nil"/>
              <w:right w:val="single" w:sz="12" w:space="0" w:color="auto"/>
            </w:tcBorders>
            <w:shd w:val="clear" w:color="auto" w:fill="auto"/>
            <w:noWrap/>
            <w:vAlign w:val="center"/>
            <w:hideMark/>
          </w:tcPr>
          <w:p w14:paraId="3CB770D0"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r w:rsidRPr="00D849C3">
              <w:rPr>
                <w:rFonts w:ascii="Times New Roman" w:eastAsia="Times New Roman" w:hAnsi="Times New Roman" w:cs="Times New Roman"/>
                <w:color w:val="0000FF"/>
                <w:sz w:val="20"/>
                <w:szCs w:val="20"/>
                <w:lang w:val="en-US" w:bidi="ar-SA"/>
              </w:rPr>
              <w:t>1.64 (0.20)</w:t>
            </w:r>
          </w:p>
        </w:tc>
        <w:tc>
          <w:tcPr>
            <w:tcW w:w="1276" w:type="dxa"/>
            <w:gridSpan w:val="2"/>
            <w:tcBorders>
              <w:top w:val="nil"/>
              <w:left w:val="nil"/>
              <w:bottom w:val="nil"/>
              <w:right w:val="nil"/>
            </w:tcBorders>
            <w:shd w:val="clear" w:color="auto" w:fill="auto"/>
            <w:noWrap/>
            <w:vAlign w:val="center"/>
            <w:hideMark/>
          </w:tcPr>
          <w:p w14:paraId="646FA7FD"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r w:rsidRPr="00D849C3">
              <w:rPr>
                <w:rFonts w:ascii="Times New Roman" w:eastAsia="Times New Roman" w:hAnsi="Times New Roman" w:cs="Times New Roman"/>
                <w:color w:val="0000FF"/>
                <w:sz w:val="20"/>
                <w:szCs w:val="20"/>
                <w:lang w:val="en-US" w:bidi="ar-SA"/>
              </w:rPr>
              <w:t>2.13 (0.05)</w:t>
            </w:r>
          </w:p>
        </w:tc>
        <w:tc>
          <w:tcPr>
            <w:tcW w:w="1276" w:type="dxa"/>
            <w:tcBorders>
              <w:top w:val="nil"/>
              <w:left w:val="nil"/>
              <w:bottom w:val="nil"/>
              <w:right w:val="nil"/>
            </w:tcBorders>
            <w:shd w:val="clear" w:color="auto" w:fill="auto"/>
            <w:noWrap/>
            <w:vAlign w:val="bottom"/>
            <w:hideMark/>
          </w:tcPr>
          <w:p w14:paraId="2A8C793E"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r w:rsidRPr="00D849C3">
              <w:rPr>
                <w:rFonts w:ascii="Times New Roman" w:eastAsia="Times New Roman" w:hAnsi="Times New Roman" w:cs="Times New Roman"/>
                <w:color w:val="0000FF"/>
                <w:sz w:val="20"/>
                <w:szCs w:val="20"/>
                <w:lang w:val="en-US" w:bidi="ar-SA"/>
              </w:rPr>
              <w:t>2.69 (0.02)</w:t>
            </w:r>
          </w:p>
        </w:tc>
        <w:tc>
          <w:tcPr>
            <w:tcW w:w="1276" w:type="dxa"/>
            <w:gridSpan w:val="2"/>
            <w:tcBorders>
              <w:top w:val="nil"/>
              <w:left w:val="single" w:sz="12" w:space="0" w:color="auto"/>
              <w:bottom w:val="nil"/>
              <w:right w:val="nil"/>
            </w:tcBorders>
            <w:shd w:val="clear" w:color="auto" w:fill="auto"/>
            <w:noWrap/>
            <w:vAlign w:val="center"/>
            <w:hideMark/>
          </w:tcPr>
          <w:p w14:paraId="6A13FB50"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r w:rsidRPr="00D849C3">
              <w:rPr>
                <w:rFonts w:ascii="Times New Roman" w:eastAsia="Times New Roman" w:hAnsi="Times New Roman" w:cs="Times New Roman"/>
                <w:color w:val="0000FF"/>
                <w:sz w:val="20"/>
                <w:szCs w:val="20"/>
                <w:lang w:val="en-US" w:bidi="ar-SA"/>
              </w:rPr>
              <w:t>1.2 (0.37)</w:t>
            </w:r>
          </w:p>
        </w:tc>
        <w:tc>
          <w:tcPr>
            <w:tcW w:w="1559" w:type="dxa"/>
            <w:tcBorders>
              <w:top w:val="nil"/>
              <w:left w:val="nil"/>
              <w:bottom w:val="nil"/>
              <w:right w:val="single" w:sz="12" w:space="0" w:color="auto"/>
            </w:tcBorders>
            <w:shd w:val="clear" w:color="auto" w:fill="auto"/>
            <w:noWrap/>
            <w:vAlign w:val="center"/>
            <w:hideMark/>
          </w:tcPr>
          <w:p w14:paraId="1B9D2A52"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r w:rsidRPr="00D849C3">
              <w:rPr>
                <w:rFonts w:ascii="Times New Roman" w:eastAsia="Times New Roman" w:hAnsi="Times New Roman" w:cs="Times New Roman"/>
                <w:color w:val="0000FF"/>
                <w:sz w:val="20"/>
                <w:szCs w:val="20"/>
                <w:lang w:val="en-US" w:bidi="ar-SA"/>
              </w:rPr>
              <w:t>1.2 (0.36)</w:t>
            </w:r>
          </w:p>
        </w:tc>
      </w:tr>
      <w:tr w:rsidR="00D849C3" w:rsidRPr="00D849C3" w14:paraId="096F3CB3" w14:textId="77777777" w:rsidTr="00121D3D">
        <w:trPr>
          <w:trHeight w:val="300"/>
        </w:trPr>
        <w:tc>
          <w:tcPr>
            <w:tcW w:w="1420" w:type="dxa"/>
            <w:tcBorders>
              <w:top w:val="nil"/>
              <w:left w:val="single" w:sz="12" w:space="0" w:color="auto"/>
              <w:bottom w:val="nil"/>
              <w:right w:val="nil"/>
            </w:tcBorders>
            <w:shd w:val="clear" w:color="auto" w:fill="auto"/>
            <w:vAlign w:val="center"/>
            <w:hideMark/>
          </w:tcPr>
          <w:p w14:paraId="357FC11C" w14:textId="77777777" w:rsidR="00D849C3" w:rsidRPr="00D849C3" w:rsidRDefault="00D849C3" w:rsidP="00D849C3">
            <w:pPr>
              <w:spacing w:after="0" w:line="240" w:lineRule="auto"/>
              <w:jc w:val="center"/>
              <w:rPr>
                <w:rFonts w:ascii="Times New Roman" w:eastAsia="Times New Roman" w:hAnsi="Times New Roman" w:cs="Times New Roman"/>
                <w:color w:val="0000FF"/>
                <w:lang w:val="en-US" w:bidi="ar-SA"/>
              </w:rPr>
            </w:pPr>
            <w:r w:rsidRPr="00D849C3">
              <w:rPr>
                <w:rFonts w:ascii="Times New Roman" w:eastAsia="Times New Roman" w:hAnsi="Times New Roman" w:cs="Times New Roman"/>
                <w:color w:val="0000FF"/>
                <w:lang w:val="en-US" w:bidi="ar-SA"/>
              </w:rPr>
              <w:t>NMV</w:t>
            </w:r>
          </w:p>
        </w:tc>
        <w:tc>
          <w:tcPr>
            <w:tcW w:w="1259" w:type="dxa"/>
            <w:gridSpan w:val="2"/>
            <w:tcBorders>
              <w:top w:val="nil"/>
              <w:left w:val="single" w:sz="12" w:space="0" w:color="auto"/>
              <w:bottom w:val="nil"/>
              <w:right w:val="nil"/>
            </w:tcBorders>
            <w:shd w:val="clear" w:color="auto" w:fill="auto"/>
            <w:noWrap/>
            <w:vAlign w:val="center"/>
            <w:hideMark/>
          </w:tcPr>
          <w:p w14:paraId="012013BC"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r w:rsidRPr="00D849C3">
              <w:rPr>
                <w:rFonts w:ascii="Times New Roman" w:eastAsia="Times New Roman" w:hAnsi="Times New Roman" w:cs="Times New Roman"/>
                <w:color w:val="0000FF"/>
                <w:sz w:val="20"/>
                <w:szCs w:val="20"/>
                <w:lang w:val="en-US" w:bidi="ar-SA"/>
              </w:rPr>
              <w:t>0.22 (0.00)</w:t>
            </w:r>
          </w:p>
        </w:tc>
        <w:tc>
          <w:tcPr>
            <w:tcW w:w="1275" w:type="dxa"/>
            <w:tcBorders>
              <w:top w:val="nil"/>
              <w:left w:val="nil"/>
              <w:bottom w:val="nil"/>
              <w:right w:val="single" w:sz="12" w:space="0" w:color="auto"/>
            </w:tcBorders>
            <w:shd w:val="clear" w:color="auto" w:fill="auto"/>
            <w:noWrap/>
            <w:vAlign w:val="center"/>
            <w:hideMark/>
          </w:tcPr>
          <w:p w14:paraId="46A1CE7D"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p>
        </w:tc>
        <w:tc>
          <w:tcPr>
            <w:tcW w:w="1276" w:type="dxa"/>
            <w:gridSpan w:val="2"/>
            <w:tcBorders>
              <w:top w:val="nil"/>
              <w:left w:val="nil"/>
              <w:bottom w:val="nil"/>
              <w:right w:val="nil"/>
            </w:tcBorders>
            <w:shd w:val="clear" w:color="000000" w:fill="FFFFFF"/>
            <w:noWrap/>
            <w:vAlign w:val="center"/>
            <w:hideMark/>
          </w:tcPr>
          <w:p w14:paraId="487B7E48"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r w:rsidRPr="00D849C3">
              <w:rPr>
                <w:rFonts w:ascii="Times New Roman" w:eastAsia="Times New Roman" w:hAnsi="Times New Roman" w:cs="Times New Roman"/>
                <w:color w:val="0000FF"/>
                <w:sz w:val="20"/>
                <w:szCs w:val="20"/>
                <w:lang w:val="en-US" w:bidi="ar-SA"/>
              </w:rPr>
              <w:t>0.26 (0.00)</w:t>
            </w:r>
          </w:p>
        </w:tc>
        <w:tc>
          <w:tcPr>
            <w:tcW w:w="1276" w:type="dxa"/>
            <w:tcBorders>
              <w:top w:val="nil"/>
              <w:left w:val="nil"/>
              <w:bottom w:val="nil"/>
              <w:right w:val="nil"/>
            </w:tcBorders>
            <w:shd w:val="clear" w:color="auto" w:fill="auto"/>
            <w:noWrap/>
            <w:vAlign w:val="center"/>
            <w:hideMark/>
          </w:tcPr>
          <w:p w14:paraId="44A8728A"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p>
        </w:tc>
        <w:tc>
          <w:tcPr>
            <w:tcW w:w="1276" w:type="dxa"/>
            <w:gridSpan w:val="2"/>
            <w:tcBorders>
              <w:top w:val="nil"/>
              <w:left w:val="single" w:sz="12" w:space="0" w:color="auto"/>
              <w:bottom w:val="nil"/>
              <w:right w:val="nil"/>
            </w:tcBorders>
            <w:shd w:val="clear" w:color="auto" w:fill="auto"/>
            <w:noWrap/>
            <w:vAlign w:val="center"/>
            <w:hideMark/>
          </w:tcPr>
          <w:p w14:paraId="0D3EDE92"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r w:rsidRPr="00D849C3">
              <w:rPr>
                <w:rFonts w:ascii="Times New Roman" w:eastAsia="Times New Roman" w:hAnsi="Times New Roman" w:cs="Times New Roman"/>
                <w:color w:val="0000FF"/>
                <w:sz w:val="20"/>
                <w:szCs w:val="20"/>
                <w:lang w:val="en-US" w:bidi="ar-SA"/>
              </w:rPr>
              <w:t>0.03 (0.74)</w:t>
            </w:r>
          </w:p>
        </w:tc>
        <w:tc>
          <w:tcPr>
            <w:tcW w:w="1559" w:type="dxa"/>
            <w:tcBorders>
              <w:top w:val="nil"/>
              <w:left w:val="nil"/>
              <w:bottom w:val="nil"/>
              <w:right w:val="single" w:sz="12" w:space="0" w:color="auto"/>
            </w:tcBorders>
            <w:shd w:val="clear" w:color="auto" w:fill="auto"/>
            <w:noWrap/>
            <w:vAlign w:val="center"/>
            <w:hideMark/>
          </w:tcPr>
          <w:p w14:paraId="3FED30A0"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p>
        </w:tc>
      </w:tr>
      <w:tr w:rsidR="00D849C3" w:rsidRPr="00D849C3" w14:paraId="0D08D874" w14:textId="77777777" w:rsidTr="00121D3D">
        <w:trPr>
          <w:trHeight w:val="300"/>
        </w:trPr>
        <w:tc>
          <w:tcPr>
            <w:tcW w:w="1420" w:type="dxa"/>
            <w:tcBorders>
              <w:top w:val="nil"/>
              <w:left w:val="single" w:sz="12" w:space="0" w:color="auto"/>
              <w:bottom w:val="nil"/>
              <w:right w:val="nil"/>
            </w:tcBorders>
            <w:shd w:val="clear" w:color="auto" w:fill="auto"/>
            <w:vAlign w:val="center"/>
            <w:hideMark/>
          </w:tcPr>
          <w:p w14:paraId="0B7858F3" w14:textId="77777777" w:rsidR="00D849C3" w:rsidRPr="00D849C3" w:rsidRDefault="00D849C3" w:rsidP="00D849C3">
            <w:pPr>
              <w:spacing w:after="0" w:line="240" w:lineRule="auto"/>
              <w:jc w:val="center"/>
              <w:rPr>
                <w:rFonts w:ascii="Times New Roman" w:eastAsia="Times New Roman" w:hAnsi="Times New Roman" w:cs="Times New Roman"/>
                <w:color w:val="0000FF"/>
                <w:lang w:val="en-US" w:bidi="ar-SA"/>
              </w:rPr>
            </w:pPr>
            <w:r w:rsidRPr="00D849C3">
              <w:rPr>
                <w:rFonts w:ascii="Times New Roman" w:eastAsia="Times New Roman" w:hAnsi="Times New Roman" w:cs="Times New Roman"/>
                <w:color w:val="0000FF"/>
                <w:lang w:val="en-US" w:bidi="ar-SA"/>
              </w:rPr>
              <w:t>HTV</w:t>
            </w:r>
          </w:p>
        </w:tc>
        <w:tc>
          <w:tcPr>
            <w:tcW w:w="1259" w:type="dxa"/>
            <w:gridSpan w:val="2"/>
            <w:tcBorders>
              <w:top w:val="nil"/>
              <w:left w:val="single" w:sz="12" w:space="0" w:color="auto"/>
              <w:bottom w:val="nil"/>
              <w:right w:val="nil"/>
            </w:tcBorders>
            <w:shd w:val="clear" w:color="auto" w:fill="auto"/>
            <w:noWrap/>
            <w:vAlign w:val="center"/>
            <w:hideMark/>
          </w:tcPr>
          <w:p w14:paraId="22F9256A"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r w:rsidRPr="00D849C3">
              <w:rPr>
                <w:rFonts w:ascii="Times New Roman" w:eastAsia="Times New Roman" w:hAnsi="Times New Roman" w:cs="Times New Roman"/>
                <w:color w:val="0000FF"/>
                <w:sz w:val="20"/>
                <w:szCs w:val="20"/>
                <w:lang w:val="en-US" w:bidi="ar-SA"/>
              </w:rPr>
              <w:t>0.18 (0.21)</w:t>
            </w:r>
          </w:p>
        </w:tc>
        <w:tc>
          <w:tcPr>
            <w:tcW w:w="1275" w:type="dxa"/>
            <w:tcBorders>
              <w:top w:val="nil"/>
              <w:left w:val="nil"/>
              <w:bottom w:val="nil"/>
              <w:right w:val="single" w:sz="12" w:space="0" w:color="auto"/>
            </w:tcBorders>
            <w:shd w:val="clear" w:color="auto" w:fill="auto"/>
            <w:noWrap/>
            <w:vAlign w:val="center"/>
            <w:hideMark/>
          </w:tcPr>
          <w:p w14:paraId="4B1D23C1"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r w:rsidRPr="00D849C3">
              <w:rPr>
                <w:rFonts w:ascii="Times New Roman" w:eastAsia="Times New Roman" w:hAnsi="Times New Roman" w:cs="Times New Roman"/>
                <w:color w:val="0000FF"/>
                <w:sz w:val="20"/>
                <w:szCs w:val="20"/>
                <w:lang w:val="en-US" w:bidi="ar-SA"/>
              </w:rPr>
              <w:t>0.30 (0.04)</w:t>
            </w:r>
          </w:p>
        </w:tc>
        <w:tc>
          <w:tcPr>
            <w:tcW w:w="1276" w:type="dxa"/>
            <w:gridSpan w:val="2"/>
            <w:tcBorders>
              <w:top w:val="nil"/>
              <w:left w:val="nil"/>
              <w:bottom w:val="nil"/>
              <w:right w:val="nil"/>
            </w:tcBorders>
            <w:shd w:val="clear" w:color="000000" w:fill="FFFFFF"/>
            <w:noWrap/>
            <w:vAlign w:val="center"/>
            <w:hideMark/>
          </w:tcPr>
          <w:p w14:paraId="37F1918F"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r w:rsidRPr="00D849C3">
              <w:rPr>
                <w:rFonts w:ascii="Times New Roman" w:eastAsia="Times New Roman" w:hAnsi="Times New Roman" w:cs="Times New Roman"/>
                <w:color w:val="0000FF"/>
                <w:sz w:val="20"/>
                <w:szCs w:val="20"/>
                <w:lang w:val="en-US" w:bidi="ar-SA"/>
              </w:rPr>
              <w:t>0.36 (0.01)</w:t>
            </w:r>
          </w:p>
        </w:tc>
        <w:tc>
          <w:tcPr>
            <w:tcW w:w="1276" w:type="dxa"/>
            <w:tcBorders>
              <w:top w:val="nil"/>
              <w:left w:val="nil"/>
              <w:bottom w:val="nil"/>
              <w:right w:val="nil"/>
            </w:tcBorders>
            <w:shd w:val="clear" w:color="auto" w:fill="auto"/>
            <w:noWrap/>
            <w:vAlign w:val="bottom"/>
            <w:hideMark/>
          </w:tcPr>
          <w:p w14:paraId="4969EABF"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r w:rsidRPr="00D849C3">
              <w:rPr>
                <w:rFonts w:ascii="Times New Roman" w:eastAsia="Times New Roman" w:hAnsi="Times New Roman" w:cs="Times New Roman"/>
                <w:color w:val="0000FF"/>
                <w:sz w:val="20"/>
                <w:szCs w:val="20"/>
                <w:lang w:val="en-US" w:bidi="ar-SA"/>
              </w:rPr>
              <w:t>0.47 (0.00)</w:t>
            </w:r>
          </w:p>
        </w:tc>
        <w:tc>
          <w:tcPr>
            <w:tcW w:w="1276" w:type="dxa"/>
            <w:gridSpan w:val="2"/>
            <w:tcBorders>
              <w:top w:val="nil"/>
              <w:left w:val="single" w:sz="12" w:space="0" w:color="auto"/>
              <w:bottom w:val="nil"/>
              <w:right w:val="nil"/>
            </w:tcBorders>
            <w:shd w:val="clear" w:color="auto" w:fill="auto"/>
            <w:noWrap/>
            <w:vAlign w:val="center"/>
            <w:hideMark/>
          </w:tcPr>
          <w:p w14:paraId="7F5F8C61"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r w:rsidRPr="00D849C3">
              <w:rPr>
                <w:rFonts w:ascii="Times New Roman" w:eastAsia="Times New Roman" w:hAnsi="Times New Roman" w:cs="Times New Roman"/>
                <w:color w:val="0000FF"/>
                <w:sz w:val="20"/>
                <w:szCs w:val="20"/>
                <w:lang w:val="en-US" w:bidi="ar-SA"/>
              </w:rPr>
              <w:t>0.46 (0.01)</w:t>
            </w:r>
          </w:p>
        </w:tc>
        <w:tc>
          <w:tcPr>
            <w:tcW w:w="1559" w:type="dxa"/>
            <w:tcBorders>
              <w:top w:val="nil"/>
              <w:left w:val="nil"/>
              <w:bottom w:val="nil"/>
              <w:right w:val="single" w:sz="12" w:space="0" w:color="auto"/>
            </w:tcBorders>
            <w:shd w:val="clear" w:color="auto" w:fill="auto"/>
            <w:noWrap/>
            <w:vAlign w:val="center"/>
            <w:hideMark/>
          </w:tcPr>
          <w:p w14:paraId="0F997421"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r w:rsidRPr="00D849C3">
              <w:rPr>
                <w:rFonts w:ascii="Times New Roman" w:eastAsia="Times New Roman" w:hAnsi="Times New Roman" w:cs="Times New Roman"/>
                <w:color w:val="0000FF"/>
                <w:sz w:val="20"/>
                <w:szCs w:val="20"/>
                <w:lang w:val="en-US" w:bidi="ar-SA"/>
              </w:rPr>
              <w:t>0.47 (0.01)</w:t>
            </w:r>
          </w:p>
        </w:tc>
      </w:tr>
      <w:tr w:rsidR="00D849C3" w:rsidRPr="00D849C3" w14:paraId="068067D5" w14:textId="77777777" w:rsidTr="00121D3D">
        <w:trPr>
          <w:trHeight w:val="300"/>
        </w:trPr>
        <w:tc>
          <w:tcPr>
            <w:tcW w:w="1420" w:type="dxa"/>
            <w:tcBorders>
              <w:top w:val="nil"/>
              <w:left w:val="single" w:sz="12" w:space="0" w:color="auto"/>
              <w:bottom w:val="nil"/>
              <w:right w:val="nil"/>
            </w:tcBorders>
            <w:shd w:val="clear" w:color="auto" w:fill="auto"/>
            <w:noWrap/>
            <w:vAlign w:val="center"/>
            <w:hideMark/>
          </w:tcPr>
          <w:p w14:paraId="2764920A" w14:textId="77777777" w:rsidR="00D849C3" w:rsidRPr="00D849C3" w:rsidRDefault="00D849C3" w:rsidP="00D849C3">
            <w:pPr>
              <w:spacing w:after="0" w:line="240" w:lineRule="auto"/>
              <w:jc w:val="center"/>
              <w:rPr>
                <w:rFonts w:ascii="Times New Roman" w:eastAsia="Times New Roman" w:hAnsi="Times New Roman" w:cs="Times New Roman"/>
                <w:color w:val="0000FF"/>
                <w:lang w:val="en-US" w:bidi="ar-SA"/>
              </w:rPr>
            </w:pPr>
          </w:p>
        </w:tc>
        <w:tc>
          <w:tcPr>
            <w:tcW w:w="1259" w:type="dxa"/>
            <w:gridSpan w:val="2"/>
            <w:tcBorders>
              <w:top w:val="nil"/>
              <w:left w:val="single" w:sz="12" w:space="0" w:color="auto"/>
              <w:bottom w:val="nil"/>
              <w:right w:val="nil"/>
            </w:tcBorders>
            <w:shd w:val="clear" w:color="auto" w:fill="auto"/>
            <w:noWrap/>
            <w:vAlign w:val="center"/>
            <w:hideMark/>
          </w:tcPr>
          <w:p w14:paraId="58435070"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p>
        </w:tc>
        <w:tc>
          <w:tcPr>
            <w:tcW w:w="1275" w:type="dxa"/>
            <w:tcBorders>
              <w:top w:val="nil"/>
              <w:left w:val="nil"/>
              <w:bottom w:val="nil"/>
              <w:right w:val="single" w:sz="12" w:space="0" w:color="auto"/>
            </w:tcBorders>
            <w:shd w:val="clear" w:color="auto" w:fill="auto"/>
            <w:noWrap/>
            <w:vAlign w:val="center"/>
            <w:hideMark/>
          </w:tcPr>
          <w:p w14:paraId="2971CB7B"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p>
        </w:tc>
        <w:tc>
          <w:tcPr>
            <w:tcW w:w="1276" w:type="dxa"/>
            <w:gridSpan w:val="2"/>
            <w:tcBorders>
              <w:top w:val="nil"/>
              <w:left w:val="nil"/>
              <w:bottom w:val="nil"/>
              <w:right w:val="nil"/>
            </w:tcBorders>
            <w:shd w:val="clear" w:color="auto" w:fill="auto"/>
            <w:noWrap/>
            <w:vAlign w:val="bottom"/>
            <w:hideMark/>
          </w:tcPr>
          <w:p w14:paraId="0D97EBA7"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p>
        </w:tc>
        <w:tc>
          <w:tcPr>
            <w:tcW w:w="1276" w:type="dxa"/>
            <w:tcBorders>
              <w:top w:val="nil"/>
              <w:left w:val="nil"/>
              <w:bottom w:val="nil"/>
              <w:right w:val="nil"/>
            </w:tcBorders>
            <w:shd w:val="clear" w:color="auto" w:fill="auto"/>
            <w:noWrap/>
            <w:vAlign w:val="bottom"/>
            <w:hideMark/>
          </w:tcPr>
          <w:p w14:paraId="18382177"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p>
        </w:tc>
        <w:tc>
          <w:tcPr>
            <w:tcW w:w="1276" w:type="dxa"/>
            <w:gridSpan w:val="2"/>
            <w:tcBorders>
              <w:top w:val="nil"/>
              <w:left w:val="single" w:sz="12" w:space="0" w:color="auto"/>
              <w:bottom w:val="nil"/>
              <w:right w:val="nil"/>
            </w:tcBorders>
            <w:shd w:val="clear" w:color="auto" w:fill="auto"/>
            <w:noWrap/>
            <w:vAlign w:val="center"/>
            <w:hideMark/>
          </w:tcPr>
          <w:p w14:paraId="3C6883C2"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p>
        </w:tc>
        <w:tc>
          <w:tcPr>
            <w:tcW w:w="1559" w:type="dxa"/>
            <w:tcBorders>
              <w:top w:val="nil"/>
              <w:left w:val="nil"/>
              <w:bottom w:val="nil"/>
              <w:right w:val="single" w:sz="12" w:space="0" w:color="auto"/>
            </w:tcBorders>
            <w:shd w:val="clear" w:color="auto" w:fill="auto"/>
            <w:noWrap/>
            <w:vAlign w:val="center"/>
            <w:hideMark/>
          </w:tcPr>
          <w:p w14:paraId="109385CB"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p>
        </w:tc>
      </w:tr>
      <w:tr w:rsidR="00D849C3" w:rsidRPr="00D849C3" w14:paraId="25ADE6EB" w14:textId="77777777" w:rsidTr="00121D3D">
        <w:trPr>
          <w:trHeight w:val="375"/>
        </w:trPr>
        <w:tc>
          <w:tcPr>
            <w:tcW w:w="1420" w:type="dxa"/>
            <w:tcBorders>
              <w:top w:val="nil"/>
              <w:left w:val="single" w:sz="12" w:space="0" w:color="auto"/>
              <w:bottom w:val="nil"/>
              <w:right w:val="nil"/>
            </w:tcBorders>
            <w:shd w:val="clear" w:color="auto" w:fill="auto"/>
            <w:noWrap/>
            <w:vAlign w:val="center"/>
            <w:hideMark/>
          </w:tcPr>
          <w:p w14:paraId="071C1ADE" w14:textId="77777777" w:rsidR="00D849C3" w:rsidRPr="00D849C3" w:rsidRDefault="00D849C3" w:rsidP="00D849C3">
            <w:pPr>
              <w:spacing w:after="0" w:line="240" w:lineRule="auto"/>
              <w:jc w:val="center"/>
              <w:rPr>
                <w:rFonts w:ascii="Times New Roman" w:eastAsia="Times New Roman" w:hAnsi="Times New Roman" w:cs="Times New Roman"/>
                <w:color w:val="0000FF"/>
                <w:sz w:val="24"/>
                <w:szCs w:val="24"/>
                <w:lang w:val="en-US" w:bidi="ar-SA"/>
              </w:rPr>
            </w:pPr>
            <w:r w:rsidRPr="00D849C3">
              <w:rPr>
                <w:rFonts w:ascii="Times New Roman" w:eastAsia="Times New Roman" w:hAnsi="Times New Roman" w:cs="Times New Roman"/>
                <w:color w:val="0000FF"/>
                <w:sz w:val="24"/>
                <w:szCs w:val="24"/>
                <w:lang w:val="en-US" w:bidi="ar-SA"/>
              </w:rPr>
              <w:t>Adjusted R</w:t>
            </w:r>
            <w:r w:rsidRPr="00D849C3">
              <w:rPr>
                <w:rFonts w:ascii="Times New Roman" w:eastAsia="Times New Roman" w:hAnsi="Times New Roman" w:cs="Times New Roman"/>
                <w:color w:val="0000FF"/>
                <w:sz w:val="24"/>
                <w:szCs w:val="24"/>
                <w:vertAlign w:val="superscript"/>
                <w:lang w:val="en-US" w:bidi="ar-SA"/>
              </w:rPr>
              <w:t>2</w:t>
            </w:r>
          </w:p>
        </w:tc>
        <w:tc>
          <w:tcPr>
            <w:tcW w:w="1259" w:type="dxa"/>
            <w:gridSpan w:val="2"/>
            <w:tcBorders>
              <w:top w:val="nil"/>
              <w:left w:val="single" w:sz="12" w:space="0" w:color="auto"/>
              <w:bottom w:val="nil"/>
              <w:right w:val="nil"/>
            </w:tcBorders>
            <w:shd w:val="clear" w:color="auto" w:fill="auto"/>
            <w:noWrap/>
            <w:vAlign w:val="center"/>
            <w:hideMark/>
          </w:tcPr>
          <w:p w14:paraId="5C3F6ADF"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r w:rsidRPr="00D849C3">
              <w:rPr>
                <w:rFonts w:ascii="Times New Roman" w:eastAsia="Times New Roman" w:hAnsi="Times New Roman" w:cs="Times New Roman"/>
                <w:color w:val="0000FF"/>
                <w:sz w:val="20"/>
                <w:szCs w:val="20"/>
                <w:lang w:val="en-US" w:bidi="ar-SA"/>
              </w:rPr>
              <w:t>0.19</w:t>
            </w:r>
          </w:p>
        </w:tc>
        <w:tc>
          <w:tcPr>
            <w:tcW w:w="1275" w:type="dxa"/>
            <w:tcBorders>
              <w:top w:val="nil"/>
              <w:left w:val="nil"/>
              <w:bottom w:val="nil"/>
              <w:right w:val="single" w:sz="12" w:space="0" w:color="auto"/>
            </w:tcBorders>
            <w:shd w:val="clear" w:color="auto" w:fill="auto"/>
            <w:noWrap/>
            <w:vAlign w:val="center"/>
            <w:hideMark/>
          </w:tcPr>
          <w:p w14:paraId="07F3DE02"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r w:rsidRPr="00D849C3">
              <w:rPr>
                <w:rFonts w:ascii="Times New Roman" w:eastAsia="Times New Roman" w:hAnsi="Times New Roman" w:cs="Times New Roman"/>
                <w:color w:val="0000FF"/>
                <w:sz w:val="20"/>
                <w:szCs w:val="20"/>
                <w:lang w:val="en-US" w:bidi="ar-SA"/>
              </w:rPr>
              <w:t>0.15</w:t>
            </w:r>
          </w:p>
        </w:tc>
        <w:tc>
          <w:tcPr>
            <w:tcW w:w="1276" w:type="dxa"/>
            <w:gridSpan w:val="2"/>
            <w:tcBorders>
              <w:top w:val="nil"/>
              <w:left w:val="nil"/>
              <w:bottom w:val="nil"/>
              <w:right w:val="nil"/>
            </w:tcBorders>
            <w:shd w:val="clear" w:color="000000" w:fill="FFFFFF"/>
            <w:noWrap/>
            <w:vAlign w:val="center"/>
            <w:hideMark/>
          </w:tcPr>
          <w:p w14:paraId="3198A2E8"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r w:rsidRPr="00D849C3">
              <w:rPr>
                <w:rFonts w:ascii="Times New Roman" w:eastAsia="Times New Roman" w:hAnsi="Times New Roman" w:cs="Times New Roman"/>
                <w:color w:val="0000FF"/>
                <w:sz w:val="20"/>
                <w:szCs w:val="20"/>
                <w:lang w:val="en-US" w:bidi="ar-SA"/>
              </w:rPr>
              <w:t>0.23</w:t>
            </w:r>
          </w:p>
        </w:tc>
        <w:tc>
          <w:tcPr>
            <w:tcW w:w="1276" w:type="dxa"/>
            <w:tcBorders>
              <w:top w:val="nil"/>
              <w:left w:val="nil"/>
              <w:bottom w:val="nil"/>
              <w:right w:val="nil"/>
            </w:tcBorders>
            <w:shd w:val="clear" w:color="auto" w:fill="auto"/>
            <w:noWrap/>
            <w:vAlign w:val="bottom"/>
            <w:hideMark/>
          </w:tcPr>
          <w:p w14:paraId="47AE7041"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r w:rsidRPr="00D849C3">
              <w:rPr>
                <w:rFonts w:ascii="Times New Roman" w:eastAsia="Times New Roman" w:hAnsi="Times New Roman" w:cs="Times New Roman"/>
                <w:color w:val="0000FF"/>
                <w:sz w:val="20"/>
                <w:szCs w:val="20"/>
                <w:lang w:val="en-US" w:bidi="ar-SA"/>
              </w:rPr>
              <w:t>0.16</w:t>
            </w:r>
          </w:p>
        </w:tc>
        <w:tc>
          <w:tcPr>
            <w:tcW w:w="1276" w:type="dxa"/>
            <w:gridSpan w:val="2"/>
            <w:tcBorders>
              <w:top w:val="nil"/>
              <w:left w:val="single" w:sz="12" w:space="0" w:color="auto"/>
              <w:bottom w:val="nil"/>
              <w:right w:val="nil"/>
            </w:tcBorders>
            <w:shd w:val="clear" w:color="auto" w:fill="auto"/>
            <w:noWrap/>
            <w:vAlign w:val="center"/>
            <w:hideMark/>
          </w:tcPr>
          <w:p w14:paraId="0A153C84"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r w:rsidRPr="00D849C3">
              <w:rPr>
                <w:rFonts w:ascii="Times New Roman" w:eastAsia="Times New Roman" w:hAnsi="Times New Roman" w:cs="Times New Roman"/>
                <w:color w:val="0000FF"/>
                <w:sz w:val="20"/>
                <w:szCs w:val="20"/>
                <w:lang w:val="en-US" w:bidi="ar-SA"/>
              </w:rPr>
              <w:t>0.06</w:t>
            </w:r>
          </w:p>
        </w:tc>
        <w:tc>
          <w:tcPr>
            <w:tcW w:w="1559" w:type="dxa"/>
            <w:tcBorders>
              <w:top w:val="nil"/>
              <w:left w:val="nil"/>
              <w:bottom w:val="nil"/>
              <w:right w:val="single" w:sz="12" w:space="0" w:color="auto"/>
            </w:tcBorders>
            <w:shd w:val="clear" w:color="auto" w:fill="auto"/>
            <w:noWrap/>
            <w:vAlign w:val="center"/>
            <w:hideMark/>
          </w:tcPr>
          <w:p w14:paraId="6BBF51B1"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r w:rsidRPr="00D849C3">
              <w:rPr>
                <w:rFonts w:ascii="Times New Roman" w:eastAsia="Times New Roman" w:hAnsi="Times New Roman" w:cs="Times New Roman"/>
                <w:color w:val="0000FF"/>
                <w:sz w:val="20"/>
                <w:szCs w:val="20"/>
                <w:lang w:val="en-US" w:bidi="ar-SA"/>
              </w:rPr>
              <w:t>0.07</w:t>
            </w:r>
          </w:p>
        </w:tc>
      </w:tr>
      <w:tr w:rsidR="00D849C3" w:rsidRPr="00D849C3" w14:paraId="7AD79F70" w14:textId="77777777" w:rsidTr="00121D3D">
        <w:trPr>
          <w:trHeight w:val="300"/>
        </w:trPr>
        <w:tc>
          <w:tcPr>
            <w:tcW w:w="1420" w:type="dxa"/>
            <w:tcBorders>
              <w:top w:val="nil"/>
              <w:left w:val="single" w:sz="12" w:space="0" w:color="auto"/>
              <w:bottom w:val="nil"/>
              <w:right w:val="nil"/>
            </w:tcBorders>
            <w:shd w:val="clear" w:color="auto" w:fill="auto"/>
            <w:noWrap/>
            <w:vAlign w:val="center"/>
            <w:hideMark/>
          </w:tcPr>
          <w:p w14:paraId="1B808357" w14:textId="77777777" w:rsidR="00D849C3" w:rsidRPr="00D849C3" w:rsidRDefault="00D849C3" w:rsidP="00D849C3">
            <w:pPr>
              <w:spacing w:after="0" w:line="240" w:lineRule="auto"/>
              <w:jc w:val="center"/>
              <w:rPr>
                <w:rFonts w:ascii="Times New Roman" w:eastAsia="Times New Roman" w:hAnsi="Times New Roman" w:cs="Times New Roman"/>
                <w:color w:val="0000FF"/>
                <w:sz w:val="18"/>
                <w:szCs w:val="18"/>
                <w:lang w:val="en-US" w:bidi="ar-SA"/>
              </w:rPr>
            </w:pPr>
            <w:r w:rsidRPr="00D849C3">
              <w:rPr>
                <w:rFonts w:ascii="Times New Roman" w:eastAsia="Times New Roman" w:hAnsi="Times New Roman" w:cs="Times New Roman"/>
                <w:color w:val="0000FF"/>
                <w:sz w:val="18"/>
                <w:szCs w:val="18"/>
                <w:lang w:val="en-US" w:bidi="ar-SA"/>
              </w:rPr>
              <w:t>F stat (p-value)</w:t>
            </w:r>
          </w:p>
        </w:tc>
        <w:tc>
          <w:tcPr>
            <w:tcW w:w="1259" w:type="dxa"/>
            <w:gridSpan w:val="2"/>
            <w:tcBorders>
              <w:top w:val="nil"/>
              <w:left w:val="single" w:sz="12" w:space="0" w:color="auto"/>
              <w:bottom w:val="nil"/>
              <w:right w:val="nil"/>
            </w:tcBorders>
            <w:shd w:val="clear" w:color="auto" w:fill="auto"/>
            <w:noWrap/>
            <w:vAlign w:val="center"/>
            <w:hideMark/>
          </w:tcPr>
          <w:p w14:paraId="2C3B5C66"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r w:rsidRPr="00D849C3">
              <w:rPr>
                <w:rFonts w:ascii="Times New Roman" w:eastAsia="Times New Roman" w:hAnsi="Times New Roman" w:cs="Times New Roman"/>
                <w:color w:val="0000FF"/>
                <w:sz w:val="20"/>
                <w:szCs w:val="20"/>
                <w:lang w:val="en-US" w:bidi="ar-SA"/>
              </w:rPr>
              <w:t>7.08 (0.00)</w:t>
            </w:r>
          </w:p>
        </w:tc>
        <w:tc>
          <w:tcPr>
            <w:tcW w:w="1275" w:type="dxa"/>
            <w:tcBorders>
              <w:top w:val="nil"/>
              <w:left w:val="nil"/>
              <w:bottom w:val="nil"/>
              <w:right w:val="single" w:sz="12" w:space="0" w:color="auto"/>
            </w:tcBorders>
            <w:shd w:val="clear" w:color="auto" w:fill="auto"/>
            <w:noWrap/>
            <w:vAlign w:val="bottom"/>
            <w:hideMark/>
          </w:tcPr>
          <w:p w14:paraId="7C548CF1"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r w:rsidRPr="00D849C3">
              <w:rPr>
                <w:rFonts w:ascii="Times New Roman" w:eastAsia="Times New Roman" w:hAnsi="Times New Roman" w:cs="Times New Roman"/>
                <w:color w:val="0000FF"/>
                <w:sz w:val="20"/>
                <w:szCs w:val="20"/>
                <w:lang w:val="en-US" w:bidi="ar-SA"/>
              </w:rPr>
              <w:t>6.18 (0.00)</w:t>
            </w:r>
          </w:p>
        </w:tc>
        <w:tc>
          <w:tcPr>
            <w:tcW w:w="1276" w:type="dxa"/>
            <w:gridSpan w:val="2"/>
            <w:tcBorders>
              <w:top w:val="nil"/>
              <w:left w:val="nil"/>
              <w:bottom w:val="nil"/>
              <w:right w:val="nil"/>
            </w:tcBorders>
            <w:shd w:val="clear" w:color="000000" w:fill="FFFFFF"/>
            <w:noWrap/>
            <w:vAlign w:val="bottom"/>
            <w:hideMark/>
          </w:tcPr>
          <w:p w14:paraId="52AFFC3A"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r w:rsidRPr="00D849C3">
              <w:rPr>
                <w:rFonts w:ascii="Times New Roman" w:eastAsia="Times New Roman" w:hAnsi="Times New Roman" w:cs="Times New Roman"/>
                <w:color w:val="0000FF"/>
                <w:sz w:val="20"/>
                <w:szCs w:val="20"/>
                <w:lang w:val="en-US" w:bidi="ar-SA"/>
              </w:rPr>
              <w:t>9.86 (0.00)</w:t>
            </w:r>
          </w:p>
        </w:tc>
        <w:tc>
          <w:tcPr>
            <w:tcW w:w="1276" w:type="dxa"/>
            <w:tcBorders>
              <w:top w:val="nil"/>
              <w:left w:val="nil"/>
              <w:bottom w:val="nil"/>
              <w:right w:val="nil"/>
            </w:tcBorders>
            <w:shd w:val="clear" w:color="auto" w:fill="auto"/>
            <w:noWrap/>
            <w:vAlign w:val="bottom"/>
            <w:hideMark/>
          </w:tcPr>
          <w:p w14:paraId="446C0E84"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r w:rsidRPr="00D849C3">
              <w:rPr>
                <w:rFonts w:ascii="Times New Roman" w:eastAsia="Times New Roman" w:hAnsi="Times New Roman" w:cs="Times New Roman"/>
                <w:color w:val="0000FF"/>
                <w:sz w:val="20"/>
                <w:szCs w:val="20"/>
                <w:lang w:val="en-US" w:bidi="ar-SA"/>
              </w:rPr>
              <w:t>7.68 (0.00)</w:t>
            </w:r>
          </w:p>
        </w:tc>
        <w:tc>
          <w:tcPr>
            <w:tcW w:w="1276" w:type="dxa"/>
            <w:gridSpan w:val="2"/>
            <w:tcBorders>
              <w:top w:val="nil"/>
              <w:left w:val="single" w:sz="12" w:space="0" w:color="auto"/>
              <w:bottom w:val="nil"/>
              <w:right w:val="nil"/>
            </w:tcBorders>
            <w:shd w:val="clear" w:color="auto" w:fill="auto"/>
            <w:noWrap/>
            <w:vAlign w:val="center"/>
            <w:hideMark/>
          </w:tcPr>
          <w:p w14:paraId="0075C8CE"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r w:rsidRPr="00D849C3">
              <w:rPr>
                <w:rFonts w:ascii="Times New Roman" w:eastAsia="Times New Roman" w:hAnsi="Times New Roman" w:cs="Times New Roman"/>
                <w:color w:val="0000FF"/>
                <w:sz w:val="20"/>
                <w:szCs w:val="20"/>
                <w:lang w:val="en-US" w:bidi="ar-SA"/>
              </w:rPr>
              <w:t>2.96 (0.01)</w:t>
            </w:r>
          </w:p>
        </w:tc>
        <w:tc>
          <w:tcPr>
            <w:tcW w:w="1559" w:type="dxa"/>
            <w:tcBorders>
              <w:top w:val="nil"/>
              <w:left w:val="nil"/>
              <w:bottom w:val="nil"/>
              <w:right w:val="single" w:sz="12" w:space="0" w:color="auto"/>
            </w:tcBorders>
            <w:shd w:val="clear" w:color="auto" w:fill="auto"/>
            <w:noWrap/>
            <w:vAlign w:val="center"/>
            <w:hideMark/>
          </w:tcPr>
          <w:p w14:paraId="41A53B10"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r w:rsidRPr="00D849C3">
              <w:rPr>
                <w:rFonts w:ascii="Times New Roman" w:eastAsia="Times New Roman" w:hAnsi="Times New Roman" w:cs="Times New Roman"/>
                <w:color w:val="0000FF"/>
                <w:sz w:val="20"/>
                <w:szCs w:val="20"/>
                <w:lang w:val="en-US" w:bidi="ar-SA"/>
              </w:rPr>
              <w:t>3.69 (0.00)</w:t>
            </w:r>
          </w:p>
        </w:tc>
      </w:tr>
      <w:tr w:rsidR="00D849C3" w:rsidRPr="00D849C3" w14:paraId="26CFA3BB" w14:textId="77777777" w:rsidTr="00121D3D">
        <w:trPr>
          <w:trHeight w:val="315"/>
        </w:trPr>
        <w:tc>
          <w:tcPr>
            <w:tcW w:w="1420" w:type="dxa"/>
            <w:tcBorders>
              <w:top w:val="nil"/>
              <w:left w:val="single" w:sz="12" w:space="0" w:color="auto"/>
              <w:bottom w:val="single" w:sz="12" w:space="0" w:color="auto"/>
              <w:right w:val="nil"/>
            </w:tcBorders>
            <w:shd w:val="clear" w:color="auto" w:fill="auto"/>
            <w:noWrap/>
            <w:vAlign w:val="center"/>
            <w:hideMark/>
          </w:tcPr>
          <w:p w14:paraId="3D0C940F" w14:textId="77777777" w:rsidR="00D849C3" w:rsidRPr="00D849C3" w:rsidRDefault="00D849C3" w:rsidP="00D849C3">
            <w:pPr>
              <w:spacing w:after="0" w:line="240" w:lineRule="auto"/>
              <w:jc w:val="center"/>
              <w:rPr>
                <w:rFonts w:ascii="Times New Roman" w:eastAsia="Times New Roman" w:hAnsi="Times New Roman" w:cs="Times New Roman"/>
                <w:color w:val="0000FF"/>
                <w:lang w:val="en-US" w:bidi="ar-SA"/>
              </w:rPr>
            </w:pPr>
            <w:r w:rsidRPr="00D849C3">
              <w:rPr>
                <w:rFonts w:ascii="Times New Roman" w:eastAsia="Times New Roman" w:hAnsi="Times New Roman" w:cs="Times New Roman"/>
                <w:color w:val="0000FF"/>
                <w:lang w:val="en-US" w:bidi="ar-SA"/>
              </w:rPr>
              <w:t>Obs.</w:t>
            </w:r>
          </w:p>
        </w:tc>
        <w:tc>
          <w:tcPr>
            <w:tcW w:w="1259" w:type="dxa"/>
            <w:gridSpan w:val="2"/>
            <w:tcBorders>
              <w:top w:val="nil"/>
              <w:left w:val="single" w:sz="12" w:space="0" w:color="auto"/>
              <w:bottom w:val="single" w:sz="12" w:space="0" w:color="auto"/>
              <w:right w:val="nil"/>
            </w:tcBorders>
            <w:shd w:val="clear" w:color="auto" w:fill="auto"/>
            <w:noWrap/>
            <w:vAlign w:val="center"/>
            <w:hideMark/>
          </w:tcPr>
          <w:p w14:paraId="2698CD68"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r w:rsidRPr="00D849C3">
              <w:rPr>
                <w:rFonts w:ascii="Times New Roman" w:eastAsia="Times New Roman" w:hAnsi="Times New Roman" w:cs="Times New Roman"/>
                <w:color w:val="0000FF"/>
                <w:sz w:val="20"/>
                <w:szCs w:val="20"/>
                <w:lang w:val="en-US" w:bidi="ar-SA"/>
              </w:rPr>
              <w:t>182</w:t>
            </w:r>
          </w:p>
        </w:tc>
        <w:tc>
          <w:tcPr>
            <w:tcW w:w="1275" w:type="dxa"/>
            <w:tcBorders>
              <w:top w:val="nil"/>
              <w:left w:val="nil"/>
              <w:bottom w:val="single" w:sz="12" w:space="0" w:color="auto"/>
              <w:right w:val="single" w:sz="12" w:space="0" w:color="auto"/>
            </w:tcBorders>
            <w:shd w:val="clear" w:color="auto" w:fill="auto"/>
            <w:noWrap/>
            <w:vAlign w:val="center"/>
            <w:hideMark/>
          </w:tcPr>
          <w:p w14:paraId="4F0CCCF9"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r w:rsidRPr="00D849C3">
              <w:rPr>
                <w:rFonts w:ascii="Times New Roman" w:eastAsia="Times New Roman" w:hAnsi="Times New Roman" w:cs="Times New Roman"/>
                <w:color w:val="0000FF"/>
                <w:sz w:val="20"/>
                <w:szCs w:val="20"/>
                <w:lang w:val="en-US" w:bidi="ar-SA"/>
              </w:rPr>
              <w:t>182</w:t>
            </w:r>
          </w:p>
        </w:tc>
        <w:tc>
          <w:tcPr>
            <w:tcW w:w="1276" w:type="dxa"/>
            <w:gridSpan w:val="2"/>
            <w:tcBorders>
              <w:top w:val="nil"/>
              <w:left w:val="nil"/>
              <w:bottom w:val="single" w:sz="12" w:space="0" w:color="auto"/>
              <w:right w:val="nil"/>
            </w:tcBorders>
            <w:shd w:val="clear" w:color="000000" w:fill="FFFFFF"/>
            <w:noWrap/>
            <w:vAlign w:val="center"/>
            <w:hideMark/>
          </w:tcPr>
          <w:p w14:paraId="39203D28"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r w:rsidRPr="00D849C3">
              <w:rPr>
                <w:rFonts w:ascii="Times New Roman" w:eastAsia="Times New Roman" w:hAnsi="Times New Roman" w:cs="Times New Roman"/>
                <w:color w:val="0000FF"/>
                <w:sz w:val="20"/>
                <w:szCs w:val="20"/>
                <w:lang w:val="en-US" w:bidi="ar-SA"/>
              </w:rPr>
              <w:t>178</w:t>
            </w:r>
          </w:p>
        </w:tc>
        <w:tc>
          <w:tcPr>
            <w:tcW w:w="1276" w:type="dxa"/>
            <w:tcBorders>
              <w:top w:val="nil"/>
              <w:left w:val="nil"/>
              <w:bottom w:val="single" w:sz="12" w:space="0" w:color="auto"/>
              <w:right w:val="single" w:sz="12" w:space="0" w:color="auto"/>
            </w:tcBorders>
            <w:shd w:val="clear" w:color="auto" w:fill="auto"/>
            <w:noWrap/>
            <w:vAlign w:val="center"/>
            <w:hideMark/>
          </w:tcPr>
          <w:p w14:paraId="24D6F310"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r w:rsidRPr="00D849C3">
              <w:rPr>
                <w:rFonts w:ascii="Times New Roman" w:eastAsia="Times New Roman" w:hAnsi="Times New Roman" w:cs="Times New Roman"/>
                <w:color w:val="0000FF"/>
                <w:sz w:val="20"/>
                <w:szCs w:val="20"/>
                <w:lang w:val="en-US" w:bidi="ar-SA"/>
              </w:rPr>
              <w:t>178</w:t>
            </w:r>
          </w:p>
        </w:tc>
        <w:tc>
          <w:tcPr>
            <w:tcW w:w="1276" w:type="dxa"/>
            <w:gridSpan w:val="2"/>
            <w:tcBorders>
              <w:top w:val="nil"/>
              <w:left w:val="nil"/>
              <w:bottom w:val="single" w:sz="12" w:space="0" w:color="auto"/>
              <w:right w:val="nil"/>
            </w:tcBorders>
            <w:shd w:val="clear" w:color="auto" w:fill="auto"/>
            <w:noWrap/>
            <w:vAlign w:val="center"/>
            <w:hideMark/>
          </w:tcPr>
          <w:p w14:paraId="653763E2"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r w:rsidRPr="00D849C3">
              <w:rPr>
                <w:rFonts w:ascii="Times New Roman" w:eastAsia="Times New Roman" w:hAnsi="Times New Roman" w:cs="Times New Roman"/>
                <w:color w:val="0000FF"/>
                <w:sz w:val="20"/>
                <w:szCs w:val="20"/>
                <w:lang w:val="en-US" w:bidi="ar-SA"/>
              </w:rPr>
              <w:t>147</w:t>
            </w:r>
          </w:p>
        </w:tc>
        <w:tc>
          <w:tcPr>
            <w:tcW w:w="1559" w:type="dxa"/>
            <w:tcBorders>
              <w:top w:val="nil"/>
              <w:left w:val="nil"/>
              <w:bottom w:val="single" w:sz="12" w:space="0" w:color="auto"/>
              <w:right w:val="single" w:sz="12" w:space="0" w:color="auto"/>
            </w:tcBorders>
            <w:shd w:val="clear" w:color="auto" w:fill="auto"/>
            <w:noWrap/>
            <w:vAlign w:val="center"/>
            <w:hideMark/>
          </w:tcPr>
          <w:p w14:paraId="18FFC25A" w14:textId="77777777" w:rsidR="00D849C3" w:rsidRPr="00D849C3" w:rsidRDefault="00D849C3" w:rsidP="00D849C3">
            <w:pPr>
              <w:spacing w:after="0" w:line="240" w:lineRule="auto"/>
              <w:jc w:val="center"/>
              <w:rPr>
                <w:rFonts w:ascii="Times New Roman" w:eastAsia="Times New Roman" w:hAnsi="Times New Roman" w:cs="Times New Roman"/>
                <w:color w:val="0000FF"/>
                <w:sz w:val="20"/>
                <w:szCs w:val="20"/>
                <w:lang w:val="en-US" w:bidi="ar-SA"/>
              </w:rPr>
            </w:pPr>
            <w:r w:rsidRPr="00D849C3">
              <w:rPr>
                <w:rFonts w:ascii="Times New Roman" w:eastAsia="Times New Roman" w:hAnsi="Times New Roman" w:cs="Times New Roman"/>
                <w:color w:val="0000FF"/>
                <w:sz w:val="20"/>
                <w:szCs w:val="20"/>
                <w:lang w:val="en-US" w:bidi="ar-SA"/>
              </w:rPr>
              <w:t>147</w:t>
            </w:r>
          </w:p>
        </w:tc>
      </w:tr>
    </w:tbl>
    <w:p w14:paraId="165EBDEC" w14:textId="77777777" w:rsidR="00347932" w:rsidRPr="00347932" w:rsidRDefault="00347932" w:rsidP="00347932">
      <w:pPr>
        <w:spacing w:after="0" w:line="360" w:lineRule="auto"/>
        <w:rPr>
          <w:rFonts w:ascii="Times New Roman" w:eastAsia="Times New Roman" w:hAnsi="Times New Roman" w:cs="Times New Roman"/>
          <w:b/>
          <w:bCs/>
          <w:color w:val="0000FF"/>
          <w:sz w:val="24"/>
          <w:szCs w:val="24"/>
          <w:lang w:val="en-US" w:bidi="ar-SA"/>
        </w:rPr>
      </w:pPr>
    </w:p>
    <w:p w14:paraId="4BA8BA5C" w14:textId="77777777" w:rsidR="00347932" w:rsidRPr="00347932" w:rsidRDefault="00347932" w:rsidP="00347932">
      <w:pPr>
        <w:spacing w:after="0" w:line="360" w:lineRule="auto"/>
        <w:rPr>
          <w:rFonts w:ascii="Times New Roman" w:eastAsia="Times New Roman" w:hAnsi="Times New Roman" w:cs="Times New Roman"/>
          <w:b/>
          <w:bCs/>
          <w:color w:val="0000FF"/>
          <w:sz w:val="24"/>
          <w:szCs w:val="24"/>
          <w:lang w:val="en-US" w:bidi="ar-SA"/>
        </w:rPr>
      </w:pPr>
      <w:r w:rsidRPr="00347932">
        <w:rPr>
          <w:rFonts w:ascii="Times New Roman" w:eastAsia="Times New Roman" w:hAnsi="Times New Roman" w:cs="Times New Roman"/>
          <w:b/>
          <w:bCs/>
          <w:color w:val="0000FF"/>
          <w:sz w:val="24"/>
          <w:szCs w:val="24"/>
          <w:lang w:val="en-US" w:bidi="ar-SA"/>
        </w:rPr>
        <w:t xml:space="preserve">Panel B: Explaining AR to Sector </w:t>
      </w:r>
    </w:p>
    <w:tbl>
      <w:tblPr>
        <w:tblW w:w="9341" w:type="dxa"/>
        <w:tblInd w:w="123" w:type="dxa"/>
        <w:tblLook w:val="04A0" w:firstRow="1" w:lastRow="0" w:firstColumn="1" w:lastColumn="0" w:noHBand="0" w:noVBand="1"/>
      </w:tblPr>
      <w:tblGrid>
        <w:gridCol w:w="1403"/>
        <w:gridCol w:w="1276"/>
        <w:gridCol w:w="1275"/>
        <w:gridCol w:w="1276"/>
        <w:gridCol w:w="1276"/>
        <w:gridCol w:w="1134"/>
        <w:gridCol w:w="142"/>
        <w:gridCol w:w="1559"/>
      </w:tblGrid>
      <w:tr w:rsidR="003F609D" w:rsidRPr="003F609D" w14:paraId="50BD0521" w14:textId="77777777" w:rsidTr="00121D3D">
        <w:trPr>
          <w:trHeight w:val="330"/>
        </w:trPr>
        <w:tc>
          <w:tcPr>
            <w:tcW w:w="1403" w:type="dxa"/>
            <w:tcBorders>
              <w:top w:val="single" w:sz="12" w:space="0" w:color="auto"/>
              <w:left w:val="single" w:sz="12" w:space="0" w:color="auto"/>
              <w:bottom w:val="nil"/>
              <w:right w:val="nil"/>
            </w:tcBorders>
            <w:shd w:val="clear" w:color="auto" w:fill="auto"/>
            <w:noWrap/>
            <w:vAlign w:val="center"/>
            <w:hideMark/>
          </w:tcPr>
          <w:p w14:paraId="6BD5E0EB" w14:textId="77777777" w:rsidR="003F609D" w:rsidRPr="003F609D" w:rsidRDefault="003F609D" w:rsidP="003F609D">
            <w:pPr>
              <w:spacing w:after="0" w:line="240" w:lineRule="auto"/>
              <w:jc w:val="center"/>
              <w:rPr>
                <w:rFonts w:ascii="Arial" w:eastAsia="Times New Roman" w:hAnsi="Arial" w:cs="Arial"/>
                <w:color w:val="0000FF"/>
                <w:lang w:eastAsia="en-IL"/>
              </w:rPr>
            </w:pPr>
            <w:r w:rsidRPr="003F609D">
              <w:rPr>
                <w:rFonts w:ascii="Arial" w:eastAsia="Times New Roman" w:hAnsi="Arial" w:cs="Arial"/>
                <w:color w:val="0000FF"/>
                <w:lang w:val="en-US" w:bidi="ar-SA"/>
              </w:rPr>
              <w:t> </w:t>
            </w:r>
          </w:p>
        </w:tc>
        <w:tc>
          <w:tcPr>
            <w:tcW w:w="2551" w:type="dxa"/>
            <w:gridSpan w:val="2"/>
            <w:tcBorders>
              <w:top w:val="single" w:sz="12" w:space="0" w:color="auto"/>
              <w:left w:val="single" w:sz="12" w:space="0" w:color="auto"/>
              <w:bottom w:val="nil"/>
              <w:right w:val="single" w:sz="12" w:space="0" w:color="000000"/>
            </w:tcBorders>
            <w:shd w:val="clear" w:color="auto" w:fill="auto"/>
            <w:noWrap/>
            <w:vAlign w:val="bottom"/>
            <w:hideMark/>
          </w:tcPr>
          <w:p w14:paraId="0722867E" w14:textId="77777777" w:rsidR="003F609D" w:rsidRPr="003F609D" w:rsidRDefault="003F609D" w:rsidP="003F609D">
            <w:pPr>
              <w:spacing w:after="0" w:line="240" w:lineRule="auto"/>
              <w:jc w:val="center"/>
              <w:rPr>
                <w:rFonts w:ascii="Calibri" w:eastAsia="Times New Roman" w:hAnsi="Calibri" w:cs="Calibri"/>
                <w:b/>
                <w:bCs/>
                <w:color w:val="0000FF"/>
                <w:lang w:val="en-US" w:bidi="ar-SA"/>
              </w:rPr>
            </w:pPr>
            <w:r w:rsidRPr="003F609D">
              <w:rPr>
                <w:rFonts w:ascii="Calibri" w:eastAsia="Times New Roman" w:hAnsi="Calibri" w:cs="Calibri"/>
                <w:b/>
                <w:bCs/>
                <w:color w:val="0000FF"/>
                <w:lang w:val="en-US" w:bidi="ar-SA"/>
              </w:rPr>
              <w:t>IPO Year</w:t>
            </w:r>
          </w:p>
        </w:tc>
        <w:tc>
          <w:tcPr>
            <w:tcW w:w="2552" w:type="dxa"/>
            <w:gridSpan w:val="2"/>
            <w:tcBorders>
              <w:top w:val="single" w:sz="12" w:space="0" w:color="auto"/>
              <w:left w:val="nil"/>
              <w:bottom w:val="nil"/>
              <w:right w:val="nil"/>
            </w:tcBorders>
            <w:shd w:val="clear" w:color="000000" w:fill="FFFFFF"/>
            <w:noWrap/>
            <w:vAlign w:val="center"/>
            <w:hideMark/>
          </w:tcPr>
          <w:p w14:paraId="528E51A2" w14:textId="77777777" w:rsidR="003F609D" w:rsidRPr="003F609D" w:rsidRDefault="003F609D" w:rsidP="003F609D">
            <w:pPr>
              <w:spacing w:after="0" w:line="240" w:lineRule="auto"/>
              <w:jc w:val="center"/>
              <w:rPr>
                <w:rFonts w:ascii="Arial" w:eastAsia="Times New Roman" w:hAnsi="Arial" w:cs="Arial"/>
                <w:b/>
                <w:bCs/>
                <w:color w:val="0000FF"/>
                <w:sz w:val="24"/>
                <w:szCs w:val="24"/>
                <w:lang w:val="en-US" w:bidi="ar-SA"/>
              </w:rPr>
            </w:pPr>
            <w:r w:rsidRPr="003F609D">
              <w:rPr>
                <w:rFonts w:ascii="Arial" w:eastAsia="Times New Roman" w:hAnsi="Arial" w:cs="Arial"/>
                <w:b/>
                <w:bCs/>
                <w:color w:val="0000FF"/>
                <w:sz w:val="24"/>
                <w:szCs w:val="24"/>
                <w:lang w:val="en-US" w:bidi="ar-SA"/>
              </w:rPr>
              <w:t>IPO Year +1</w:t>
            </w:r>
          </w:p>
        </w:tc>
        <w:tc>
          <w:tcPr>
            <w:tcW w:w="2835" w:type="dxa"/>
            <w:gridSpan w:val="3"/>
            <w:tcBorders>
              <w:top w:val="single" w:sz="12" w:space="0" w:color="auto"/>
              <w:left w:val="single" w:sz="12" w:space="0" w:color="auto"/>
              <w:bottom w:val="nil"/>
              <w:right w:val="single" w:sz="12" w:space="0" w:color="000000"/>
            </w:tcBorders>
            <w:shd w:val="clear" w:color="000000" w:fill="FFFFFF"/>
            <w:noWrap/>
            <w:vAlign w:val="center"/>
            <w:hideMark/>
          </w:tcPr>
          <w:p w14:paraId="38DEA718" w14:textId="77777777" w:rsidR="003F609D" w:rsidRPr="003F609D" w:rsidRDefault="003F609D" w:rsidP="003F609D">
            <w:pPr>
              <w:spacing w:after="0" w:line="240" w:lineRule="auto"/>
              <w:jc w:val="center"/>
              <w:rPr>
                <w:rFonts w:ascii="Arial" w:eastAsia="Times New Roman" w:hAnsi="Arial" w:cs="Arial"/>
                <w:b/>
                <w:bCs/>
                <w:color w:val="0000FF"/>
                <w:sz w:val="24"/>
                <w:szCs w:val="24"/>
                <w:lang w:val="en-US" w:bidi="ar-SA"/>
              </w:rPr>
            </w:pPr>
            <w:r w:rsidRPr="003F609D">
              <w:rPr>
                <w:rFonts w:ascii="Arial" w:eastAsia="Times New Roman" w:hAnsi="Arial" w:cs="Arial"/>
                <w:b/>
                <w:bCs/>
                <w:color w:val="0000FF"/>
                <w:sz w:val="24"/>
                <w:szCs w:val="24"/>
                <w:lang w:val="en-US" w:bidi="ar-SA"/>
              </w:rPr>
              <w:t>IPO Year +2</w:t>
            </w:r>
          </w:p>
        </w:tc>
      </w:tr>
      <w:tr w:rsidR="003F609D" w:rsidRPr="003F609D" w14:paraId="1FBBA42D" w14:textId="77777777" w:rsidTr="00121D3D">
        <w:trPr>
          <w:trHeight w:val="315"/>
        </w:trPr>
        <w:tc>
          <w:tcPr>
            <w:tcW w:w="1403" w:type="dxa"/>
            <w:tcBorders>
              <w:top w:val="nil"/>
              <w:left w:val="single" w:sz="12" w:space="0" w:color="auto"/>
              <w:bottom w:val="single" w:sz="12" w:space="0" w:color="auto"/>
              <w:right w:val="nil"/>
            </w:tcBorders>
            <w:shd w:val="clear" w:color="auto" w:fill="auto"/>
            <w:noWrap/>
            <w:vAlign w:val="center"/>
            <w:hideMark/>
          </w:tcPr>
          <w:p w14:paraId="7E7AB2C7" w14:textId="77777777" w:rsidR="003F609D" w:rsidRPr="003F609D" w:rsidRDefault="003F609D" w:rsidP="003F609D">
            <w:pPr>
              <w:spacing w:after="0" w:line="240" w:lineRule="auto"/>
              <w:jc w:val="center"/>
              <w:rPr>
                <w:rFonts w:ascii="Arial" w:eastAsia="Times New Roman" w:hAnsi="Arial" w:cs="Arial"/>
                <w:color w:val="0000FF"/>
                <w:lang w:val="en-US" w:bidi="ar-SA"/>
              </w:rPr>
            </w:pPr>
            <w:r w:rsidRPr="003F609D">
              <w:rPr>
                <w:rFonts w:ascii="Arial" w:eastAsia="Times New Roman" w:hAnsi="Arial" w:cs="Arial"/>
                <w:color w:val="0000FF"/>
                <w:lang w:val="en-US" w:bidi="ar-SA"/>
              </w:rPr>
              <w:t> </w:t>
            </w:r>
          </w:p>
        </w:tc>
        <w:tc>
          <w:tcPr>
            <w:tcW w:w="1276" w:type="dxa"/>
            <w:tcBorders>
              <w:top w:val="nil"/>
              <w:left w:val="single" w:sz="12" w:space="0" w:color="auto"/>
              <w:bottom w:val="single" w:sz="12" w:space="0" w:color="auto"/>
              <w:right w:val="nil"/>
            </w:tcBorders>
            <w:shd w:val="clear" w:color="auto" w:fill="auto"/>
            <w:noWrap/>
            <w:vAlign w:val="center"/>
            <w:hideMark/>
          </w:tcPr>
          <w:p w14:paraId="44297CCC" w14:textId="77777777" w:rsidR="003F609D" w:rsidRPr="003F609D" w:rsidRDefault="003F609D" w:rsidP="003F609D">
            <w:pPr>
              <w:spacing w:after="0" w:line="240" w:lineRule="auto"/>
              <w:jc w:val="center"/>
              <w:rPr>
                <w:rFonts w:ascii="Arial" w:eastAsia="Times New Roman" w:hAnsi="Arial" w:cs="Arial"/>
                <w:b/>
                <w:bCs/>
                <w:color w:val="0000FF"/>
                <w:lang w:val="en-US" w:bidi="ar-SA"/>
              </w:rPr>
            </w:pPr>
            <w:r w:rsidRPr="003F609D">
              <w:rPr>
                <w:rFonts w:ascii="Arial" w:eastAsia="Times New Roman" w:hAnsi="Arial" w:cs="Arial"/>
                <w:b/>
                <w:bCs/>
                <w:color w:val="0000FF"/>
                <w:lang w:val="en-US" w:bidi="ar-SA"/>
              </w:rPr>
              <w:t>Model 1</w:t>
            </w:r>
          </w:p>
        </w:tc>
        <w:tc>
          <w:tcPr>
            <w:tcW w:w="1275" w:type="dxa"/>
            <w:tcBorders>
              <w:top w:val="nil"/>
              <w:left w:val="nil"/>
              <w:bottom w:val="single" w:sz="12" w:space="0" w:color="auto"/>
              <w:right w:val="single" w:sz="12" w:space="0" w:color="auto"/>
            </w:tcBorders>
            <w:shd w:val="clear" w:color="auto" w:fill="auto"/>
            <w:noWrap/>
            <w:vAlign w:val="center"/>
            <w:hideMark/>
          </w:tcPr>
          <w:p w14:paraId="06A5655F" w14:textId="77777777" w:rsidR="003F609D" w:rsidRPr="003F609D" w:rsidRDefault="003F609D" w:rsidP="003F609D">
            <w:pPr>
              <w:spacing w:after="0" w:line="240" w:lineRule="auto"/>
              <w:jc w:val="center"/>
              <w:rPr>
                <w:rFonts w:ascii="Arial" w:eastAsia="Times New Roman" w:hAnsi="Arial" w:cs="Arial"/>
                <w:b/>
                <w:bCs/>
                <w:color w:val="0000FF"/>
                <w:lang w:val="en-US" w:bidi="ar-SA"/>
              </w:rPr>
            </w:pPr>
            <w:r w:rsidRPr="003F609D">
              <w:rPr>
                <w:rFonts w:ascii="Arial" w:eastAsia="Times New Roman" w:hAnsi="Arial" w:cs="Arial"/>
                <w:b/>
                <w:bCs/>
                <w:color w:val="0000FF"/>
                <w:lang w:val="en-US" w:bidi="ar-SA"/>
              </w:rPr>
              <w:t>Model 2</w:t>
            </w:r>
          </w:p>
        </w:tc>
        <w:tc>
          <w:tcPr>
            <w:tcW w:w="1276" w:type="dxa"/>
            <w:tcBorders>
              <w:top w:val="nil"/>
              <w:left w:val="nil"/>
              <w:bottom w:val="single" w:sz="12" w:space="0" w:color="auto"/>
              <w:right w:val="nil"/>
            </w:tcBorders>
            <w:shd w:val="clear" w:color="auto" w:fill="auto"/>
            <w:noWrap/>
            <w:vAlign w:val="center"/>
            <w:hideMark/>
          </w:tcPr>
          <w:p w14:paraId="122E9706" w14:textId="77777777" w:rsidR="003F609D" w:rsidRPr="003F609D" w:rsidRDefault="003F609D" w:rsidP="003F609D">
            <w:pPr>
              <w:spacing w:after="0" w:line="240" w:lineRule="auto"/>
              <w:jc w:val="center"/>
              <w:rPr>
                <w:rFonts w:ascii="Arial" w:eastAsia="Times New Roman" w:hAnsi="Arial" w:cs="Arial"/>
                <w:b/>
                <w:bCs/>
                <w:color w:val="0000FF"/>
                <w:lang w:val="en-US" w:bidi="ar-SA"/>
              </w:rPr>
            </w:pPr>
            <w:r w:rsidRPr="003F609D">
              <w:rPr>
                <w:rFonts w:ascii="Arial" w:eastAsia="Times New Roman" w:hAnsi="Arial" w:cs="Arial"/>
                <w:b/>
                <w:bCs/>
                <w:color w:val="0000FF"/>
                <w:lang w:val="en-US" w:bidi="ar-SA"/>
              </w:rPr>
              <w:t>Model 1</w:t>
            </w:r>
          </w:p>
        </w:tc>
        <w:tc>
          <w:tcPr>
            <w:tcW w:w="1276" w:type="dxa"/>
            <w:tcBorders>
              <w:top w:val="nil"/>
              <w:left w:val="nil"/>
              <w:bottom w:val="single" w:sz="12" w:space="0" w:color="auto"/>
              <w:right w:val="nil"/>
            </w:tcBorders>
            <w:shd w:val="clear" w:color="auto" w:fill="auto"/>
            <w:noWrap/>
            <w:vAlign w:val="center"/>
            <w:hideMark/>
          </w:tcPr>
          <w:p w14:paraId="20648CC9" w14:textId="77777777" w:rsidR="003F609D" w:rsidRPr="003F609D" w:rsidRDefault="003F609D" w:rsidP="003F609D">
            <w:pPr>
              <w:spacing w:after="0" w:line="240" w:lineRule="auto"/>
              <w:jc w:val="center"/>
              <w:rPr>
                <w:rFonts w:ascii="Arial" w:eastAsia="Times New Roman" w:hAnsi="Arial" w:cs="Arial"/>
                <w:b/>
                <w:bCs/>
                <w:color w:val="0000FF"/>
                <w:lang w:val="en-US" w:bidi="ar-SA"/>
              </w:rPr>
            </w:pPr>
            <w:r w:rsidRPr="003F609D">
              <w:rPr>
                <w:rFonts w:ascii="Arial" w:eastAsia="Times New Roman" w:hAnsi="Arial" w:cs="Arial"/>
                <w:b/>
                <w:bCs/>
                <w:color w:val="0000FF"/>
                <w:lang w:val="en-US" w:bidi="ar-SA"/>
              </w:rPr>
              <w:t>Model 2</w:t>
            </w:r>
          </w:p>
        </w:tc>
        <w:tc>
          <w:tcPr>
            <w:tcW w:w="1134" w:type="dxa"/>
            <w:tcBorders>
              <w:top w:val="nil"/>
              <w:left w:val="single" w:sz="12" w:space="0" w:color="auto"/>
              <w:bottom w:val="single" w:sz="12" w:space="0" w:color="auto"/>
              <w:right w:val="nil"/>
            </w:tcBorders>
            <w:shd w:val="clear" w:color="auto" w:fill="auto"/>
            <w:noWrap/>
            <w:vAlign w:val="center"/>
            <w:hideMark/>
          </w:tcPr>
          <w:p w14:paraId="4C79B90F" w14:textId="77777777" w:rsidR="003F609D" w:rsidRPr="003F609D" w:rsidRDefault="003F609D" w:rsidP="003F609D">
            <w:pPr>
              <w:spacing w:after="0" w:line="240" w:lineRule="auto"/>
              <w:jc w:val="center"/>
              <w:rPr>
                <w:rFonts w:ascii="Arial" w:eastAsia="Times New Roman" w:hAnsi="Arial" w:cs="Arial"/>
                <w:b/>
                <w:bCs/>
                <w:color w:val="0000FF"/>
                <w:lang w:val="en-US" w:bidi="ar-SA"/>
              </w:rPr>
            </w:pPr>
            <w:r w:rsidRPr="003F609D">
              <w:rPr>
                <w:rFonts w:ascii="Arial" w:eastAsia="Times New Roman" w:hAnsi="Arial" w:cs="Arial"/>
                <w:b/>
                <w:bCs/>
                <w:color w:val="0000FF"/>
                <w:lang w:val="en-US" w:bidi="ar-SA"/>
              </w:rPr>
              <w:t>Model 1</w:t>
            </w:r>
          </w:p>
        </w:tc>
        <w:tc>
          <w:tcPr>
            <w:tcW w:w="1701" w:type="dxa"/>
            <w:gridSpan w:val="2"/>
            <w:tcBorders>
              <w:top w:val="nil"/>
              <w:left w:val="nil"/>
              <w:bottom w:val="single" w:sz="12" w:space="0" w:color="auto"/>
              <w:right w:val="single" w:sz="12" w:space="0" w:color="auto"/>
            </w:tcBorders>
            <w:shd w:val="clear" w:color="auto" w:fill="auto"/>
            <w:noWrap/>
            <w:vAlign w:val="center"/>
            <w:hideMark/>
          </w:tcPr>
          <w:p w14:paraId="74BD5D92" w14:textId="77777777" w:rsidR="003F609D" w:rsidRPr="003F609D" w:rsidRDefault="003F609D" w:rsidP="003F609D">
            <w:pPr>
              <w:spacing w:after="0" w:line="240" w:lineRule="auto"/>
              <w:jc w:val="center"/>
              <w:rPr>
                <w:rFonts w:ascii="Arial" w:eastAsia="Times New Roman" w:hAnsi="Arial" w:cs="Arial"/>
                <w:b/>
                <w:bCs/>
                <w:color w:val="0000FF"/>
                <w:lang w:val="en-US" w:bidi="ar-SA"/>
              </w:rPr>
            </w:pPr>
            <w:r w:rsidRPr="003F609D">
              <w:rPr>
                <w:rFonts w:ascii="Arial" w:eastAsia="Times New Roman" w:hAnsi="Arial" w:cs="Arial"/>
                <w:b/>
                <w:bCs/>
                <w:color w:val="0000FF"/>
                <w:lang w:val="en-US" w:bidi="ar-SA"/>
              </w:rPr>
              <w:t>Model 2</w:t>
            </w:r>
          </w:p>
        </w:tc>
      </w:tr>
      <w:tr w:rsidR="003F609D" w:rsidRPr="003F609D" w14:paraId="5DCA4F73" w14:textId="77777777" w:rsidTr="00121D3D">
        <w:trPr>
          <w:trHeight w:val="315"/>
        </w:trPr>
        <w:tc>
          <w:tcPr>
            <w:tcW w:w="1403" w:type="dxa"/>
            <w:tcBorders>
              <w:top w:val="nil"/>
              <w:left w:val="single" w:sz="12" w:space="0" w:color="auto"/>
              <w:bottom w:val="nil"/>
              <w:right w:val="nil"/>
            </w:tcBorders>
            <w:shd w:val="clear" w:color="auto" w:fill="auto"/>
            <w:noWrap/>
            <w:vAlign w:val="center"/>
            <w:hideMark/>
          </w:tcPr>
          <w:p w14:paraId="7C9608D1"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Intercept</w:t>
            </w:r>
          </w:p>
        </w:tc>
        <w:tc>
          <w:tcPr>
            <w:tcW w:w="1276" w:type="dxa"/>
            <w:tcBorders>
              <w:top w:val="nil"/>
              <w:left w:val="single" w:sz="12" w:space="0" w:color="auto"/>
              <w:bottom w:val="nil"/>
              <w:right w:val="nil"/>
            </w:tcBorders>
            <w:shd w:val="clear" w:color="auto" w:fill="auto"/>
            <w:noWrap/>
            <w:vAlign w:val="center"/>
            <w:hideMark/>
          </w:tcPr>
          <w:p w14:paraId="22DD3C27"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0.20 (0.59)</w:t>
            </w:r>
          </w:p>
        </w:tc>
        <w:tc>
          <w:tcPr>
            <w:tcW w:w="1275" w:type="dxa"/>
            <w:tcBorders>
              <w:top w:val="nil"/>
              <w:left w:val="nil"/>
              <w:bottom w:val="nil"/>
              <w:right w:val="single" w:sz="12" w:space="0" w:color="auto"/>
            </w:tcBorders>
            <w:shd w:val="clear" w:color="auto" w:fill="auto"/>
            <w:noWrap/>
            <w:vAlign w:val="center"/>
            <w:hideMark/>
          </w:tcPr>
          <w:p w14:paraId="1C597252"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0.31 (0.42)</w:t>
            </w:r>
          </w:p>
        </w:tc>
        <w:tc>
          <w:tcPr>
            <w:tcW w:w="1276" w:type="dxa"/>
            <w:tcBorders>
              <w:top w:val="nil"/>
              <w:left w:val="nil"/>
              <w:bottom w:val="nil"/>
              <w:right w:val="nil"/>
            </w:tcBorders>
            <w:shd w:val="clear" w:color="auto" w:fill="auto"/>
            <w:noWrap/>
            <w:vAlign w:val="center"/>
            <w:hideMark/>
          </w:tcPr>
          <w:p w14:paraId="2E837893"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-0.13 (0.38)</w:t>
            </w:r>
          </w:p>
        </w:tc>
        <w:tc>
          <w:tcPr>
            <w:tcW w:w="1276" w:type="dxa"/>
            <w:tcBorders>
              <w:top w:val="nil"/>
              <w:left w:val="nil"/>
              <w:bottom w:val="nil"/>
              <w:right w:val="nil"/>
            </w:tcBorders>
            <w:shd w:val="clear" w:color="auto" w:fill="auto"/>
            <w:noWrap/>
            <w:vAlign w:val="bottom"/>
            <w:hideMark/>
          </w:tcPr>
          <w:p w14:paraId="04B56F81"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-0.22 (0.16)</w:t>
            </w:r>
          </w:p>
        </w:tc>
        <w:tc>
          <w:tcPr>
            <w:tcW w:w="1276" w:type="dxa"/>
            <w:gridSpan w:val="2"/>
            <w:tcBorders>
              <w:top w:val="nil"/>
              <w:left w:val="single" w:sz="12" w:space="0" w:color="auto"/>
              <w:bottom w:val="nil"/>
              <w:right w:val="nil"/>
            </w:tcBorders>
            <w:shd w:val="clear" w:color="auto" w:fill="auto"/>
            <w:noWrap/>
            <w:vAlign w:val="center"/>
            <w:hideMark/>
          </w:tcPr>
          <w:p w14:paraId="3F836202"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0.07 (0.74)</w:t>
            </w:r>
          </w:p>
        </w:tc>
        <w:tc>
          <w:tcPr>
            <w:tcW w:w="1559" w:type="dxa"/>
            <w:tcBorders>
              <w:top w:val="nil"/>
              <w:left w:val="nil"/>
              <w:bottom w:val="nil"/>
              <w:right w:val="single" w:sz="12" w:space="0" w:color="auto"/>
            </w:tcBorders>
            <w:shd w:val="clear" w:color="auto" w:fill="auto"/>
            <w:noWrap/>
            <w:vAlign w:val="center"/>
            <w:hideMark/>
          </w:tcPr>
          <w:p w14:paraId="2E53BEC5"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0.06 (0.77)</w:t>
            </w:r>
          </w:p>
        </w:tc>
      </w:tr>
      <w:tr w:rsidR="003F609D" w:rsidRPr="003F609D" w14:paraId="2D51E88C" w14:textId="77777777" w:rsidTr="00121D3D">
        <w:trPr>
          <w:trHeight w:val="300"/>
        </w:trPr>
        <w:tc>
          <w:tcPr>
            <w:tcW w:w="1403" w:type="dxa"/>
            <w:tcBorders>
              <w:top w:val="nil"/>
              <w:left w:val="single" w:sz="12" w:space="0" w:color="auto"/>
              <w:bottom w:val="nil"/>
              <w:right w:val="nil"/>
            </w:tcBorders>
            <w:shd w:val="clear" w:color="auto" w:fill="auto"/>
            <w:noWrap/>
            <w:vAlign w:val="center"/>
            <w:hideMark/>
          </w:tcPr>
          <w:p w14:paraId="3556DE59"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Year 2013</w:t>
            </w:r>
          </w:p>
        </w:tc>
        <w:tc>
          <w:tcPr>
            <w:tcW w:w="1276" w:type="dxa"/>
            <w:tcBorders>
              <w:top w:val="nil"/>
              <w:left w:val="single" w:sz="12" w:space="0" w:color="auto"/>
              <w:bottom w:val="nil"/>
              <w:right w:val="nil"/>
            </w:tcBorders>
            <w:shd w:val="clear" w:color="auto" w:fill="auto"/>
            <w:noWrap/>
            <w:vAlign w:val="center"/>
            <w:hideMark/>
          </w:tcPr>
          <w:p w14:paraId="609CC190"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-0.18 (0.64)</w:t>
            </w:r>
          </w:p>
        </w:tc>
        <w:tc>
          <w:tcPr>
            <w:tcW w:w="1275" w:type="dxa"/>
            <w:tcBorders>
              <w:top w:val="nil"/>
              <w:left w:val="nil"/>
              <w:bottom w:val="nil"/>
              <w:right w:val="single" w:sz="12" w:space="0" w:color="auto"/>
            </w:tcBorders>
            <w:shd w:val="clear" w:color="auto" w:fill="auto"/>
            <w:noWrap/>
            <w:vAlign w:val="center"/>
            <w:hideMark/>
          </w:tcPr>
          <w:p w14:paraId="78BAAB38"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-0.32 (0.42)</w:t>
            </w:r>
          </w:p>
        </w:tc>
        <w:tc>
          <w:tcPr>
            <w:tcW w:w="1276" w:type="dxa"/>
            <w:tcBorders>
              <w:top w:val="nil"/>
              <w:left w:val="nil"/>
              <w:bottom w:val="nil"/>
              <w:right w:val="nil"/>
            </w:tcBorders>
            <w:shd w:val="clear" w:color="auto" w:fill="auto"/>
            <w:noWrap/>
            <w:vAlign w:val="center"/>
            <w:hideMark/>
          </w:tcPr>
          <w:p w14:paraId="2C47717D"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-0.05 (0.80)</w:t>
            </w:r>
          </w:p>
        </w:tc>
        <w:tc>
          <w:tcPr>
            <w:tcW w:w="1276" w:type="dxa"/>
            <w:tcBorders>
              <w:top w:val="nil"/>
              <w:left w:val="nil"/>
              <w:bottom w:val="nil"/>
              <w:right w:val="nil"/>
            </w:tcBorders>
            <w:shd w:val="clear" w:color="auto" w:fill="auto"/>
            <w:noWrap/>
            <w:vAlign w:val="bottom"/>
            <w:hideMark/>
          </w:tcPr>
          <w:p w14:paraId="4BD9A2D9"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-0.05 (0.80)</w:t>
            </w:r>
          </w:p>
        </w:tc>
        <w:tc>
          <w:tcPr>
            <w:tcW w:w="1276" w:type="dxa"/>
            <w:gridSpan w:val="2"/>
            <w:tcBorders>
              <w:top w:val="nil"/>
              <w:left w:val="single" w:sz="12" w:space="0" w:color="auto"/>
              <w:bottom w:val="nil"/>
              <w:right w:val="nil"/>
            </w:tcBorders>
            <w:shd w:val="clear" w:color="auto" w:fill="auto"/>
            <w:noWrap/>
            <w:vAlign w:val="center"/>
            <w:hideMark/>
          </w:tcPr>
          <w:p w14:paraId="774941E2"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-0.58 (0.02)</w:t>
            </w:r>
          </w:p>
        </w:tc>
        <w:tc>
          <w:tcPr>
            <w:tcW w:w="1559" w:type="dxa"/>
            <w:tcBorders>
              <w:top w:val="nil"/>
              <w:left w:val="nil"/>
              <w:bottom w:val="nil"/>
              <w:right w:val="single" w:sz="12" w:space="0" w:color="auto"/>
            </w:tcBorders>
            <w:shd w:val="clear" w:color="auto" w:fill="auto"/>
            <w:noWrap/>
            <w:vAlign w:val="center"/>
            <w:hideMark/>
          </w:tcPr>
          <w:p w14:paraId="50718040"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-0.58 (0.02)</w:t>
            </w:r>
          </w:p>
        </w:tc>
      </w:tr>
      <w:tr w:rsidR="003F609D" w:rsidRPr="003F609D" w14:paraId="52A256E2" w14:textId="77777777" w:rsidTr="00121D3D">
        <w:trPr>
          <w:trHeight w:val="300"/>
        </w:trPr>
        <w:tc>
          <w:tcPr>
            <w:tcW w:w="1403" w:type="dxa"/>
            <w:tcBorders>
              <w:top w:val="nil"/>
              <w:left w:val="single" w:sz="12" w:space="0" w:color="auto"/>
              <w:bottom w:val="nil"/>
              <w:right w:val="nil"/>
            </w:tcBorders>
            <w:shd w:val="clear" w:color="auto" w:fill="auto"/>
            <w:noWrap/>
            <w:vAlign w:val="center"/>
            <w:hideMark/>
          </w:tcPr>
          <w:p w14:paraId="3A531FC5"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Year 2014</w:t>
            </w:r>
          </w:p>
        </w:tc>
        <w:tc>
          <w:tcPr>
            <w:tcW w:w="1276" w:type="dxa"/>
            <w:tcBorders>
              <w:top w:val="nil"/>
              <w:left w:val="single" w:sz="12" w:space="0" w:color="auto"/>
              <w:bottom w:val="nil"/>
              <w:right w:val="nil"/>
            </w:tcBorders>
            <w:shd w:val="clear" w:color="auto" w:fill="auto"/>
            <w:noWrap/>
            <w:vAlign w:val="center"/>
            <w:hideMark/>
          </w:tcPr>
          <w:p w14:paraId="21F6AB66"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-0.08 (0.84)</w:t>
            </w:r>
          </w:p>
        </w:tc>
        <w:tc>
          <w:tcPr>
            <w:tcW w:w="1275" w:type="dxa"/>
            <w:tcBorders>
              <w:top w:val="nil"/>
              <w:left w:val="nil"/>
              <w:bottom w:val="nil"/>
              <w:right w:val="single" w:sz="12" w:space="0" w:color="auto"/>
            </w:tcBorders>
            <w:shd w:val="clear" w:color="auto" w:fill="auto"/>
            <w:noWrap/>
            <w:vAlign w:val="center"/>
            <w:hideMark/>
          </w:tcPr>
          <w:p w14:paraId="0F1A31F0"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-0.24 (0.53)</w:t>
            </w:r>
          </w:p>
        </w:tc>
        <w:tc>
          <w:tcPr>
            <w:tcW w:w="1276" w:type="dxa"/>
            <w:tcBorders>
              <w:top w:val="nil"/>
              <w:left w:val="nil"/>
              <w:bottom w:val="nil"/>
              <w:right w:val="nil"/>
            </w:tcBorders>
            <w:shd w:val="clear" w:color="auto" w:fill="auto"/>
            <w:noWrap/>
            <w:vAlign w:val="center"/>
            <w:hideMark/>
          </w:tcPr>
          <w:p w14:paraId="7AFA7B68"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-0.34 (0.03)</w:t>
            </w:r>
          </w:p>
        </w:tc>
        <w:tc>
          <w:tcPr>
            <w:tcW w:w="1276" w:type="dxa"/>
            <w:tcBorders>
              <w:top w:val="nil"/>
              <w:left w:val="nil"/>
              <w:bottom w:val="nil"/>
              <w:right w:val="nil"/>
            </w:tcBorders>
            <w:shd w:val="clear" w:color="auto" w:fill="auto"/>
            <w:noWrap/>
            <w:vAlign w:val="bottom"/>
            <w:hideMark/>
          </w:tcPr>
          <w:p w14:paraId="765D3FF6"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-0.37 (0.02)</w:t>
            </w:r>
          </w:p>
        </w:tc>
        <w:tc>
          <w:tcPr>
            <w:tcW w:w="1276" w:type="dxa"/>
            <w:gridSpan w:val="2"/>
            <w:tcBorders>
              <w:top w:val="nil"/>
              <w:left w:val="single" w:sz="12" w:space="0" w:color="auto"/>
              <w:bottom w:val="nil"/>
              <w:right w:val="nil"/>
            </w:tcBorders>
            <w:shd w:val="clear" w:color="auto" w:fill="auto"/>
            <w:noWrap/>
            <w:vAlign w:val="center"/>
            <w:hideMark/>
          </w:tcPr>
          <w:p w14:paraId="726BB1E1"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-0.02 (0.91)</w:t>
            </w:r>
          </w:p>
        </w:tc>
        <w:tc>
          <w:tcPr>
            <w:tcW w:w="1559" w:type="dxa"/>
            <w:tcBorders>
              <w:top w:val="nil"/>
              <w:left w:val="nil"/>
              <w:bottom w:val="nil"/>
              <w:right w:val="single" w:sz="12" w:space="0" w:color="auto"/>
            </w:tcBorders>
            <w:shd w:val="clear" w:color="auto" w:fill="auto"/>
            <w:noWrap/>
            <w:vAlign w:val="center"/>
            <w:hideMark/>
          </w:tcPr>
          <w:p w14:paraId="28940C23"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-0.03 (0.87)</w:t>
            </w:r>
          </w:p>
        </w:tc>
      </w:tr>
      <w:tr w:rsidR="003F609D" w:rsidRPr="003F609D" w14:paraId="038A79BD" w14:textId="77777777" w:rsidTr="00121D3D">
        <w:trPr>
          <w:trHeight w:val="300"/>
        </w:trPr>
        <w:tc>
          <w:tcPr>
            <w:tcW w:w="1403" w:type="dxa"/>
            <w:tcBorders>
              <w:top w:val="nil"/>
              <w:left w:val="single" w:sz="12" w:space="0" w:color="auto"/>
              <w:bottom w:val="nil"/>
              <w:right w:val="nil"/>
            </w:tcBorders>
            <w:shd w:val="clear" w:color="auto" w:fill="auto"/>
            <w:noWrap/>
            <w:vAlign w:val="center"/>
            <w:hideMark/>
          </w:tcPr>
          <w:p w14:paraId="38EBF079"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Year 2015</w:t>
            </w:r>
          </w:p>
        </w:tc>
        <w:tc>
          <w:tcPr>
            <w:tcW w:w="1276" w:type="dxa"/>
            <w:tcBorders>
              <w:top w:val="nil"/>
              <w:left w:val="single" w:sz="12" w:space="0" w:color="auto"/>
              <w:bottom w:val="nil"/>
              <w:right w:val="nil"/>
            </w:tcBorders>
            <w:shd w:val="clear" w:color="auto" w:fill="auto"/>
            <w:noWrap/>
            <w:vAlign w:val="center"/>
            <w:hideMark/>
          </w:tcPr>
          <w:p w14:paraId="4E7519AA"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-0.69 (0.07)</w:t>
            </w:r>
          </w:p>
        </w:tc>
        <w:tc>
          <w:tcPr>
            <w:tcW w:w="1275" w:type="dxa"/>
            <w:tcBorders>
              <w:top w:val="nil"/>
              <w:left w:val="nil"/>
              <w:bottom w:val="nil"/>
              <w:right w:val="single" w:sz="12" w:space="0" w:color="auto"/>
            </w:tcBorders>
            <w:shd w:val="clear" w:color="auto" w:fill="auto"/>
            <w:noWrap/>
            <w:vAlign w:val="center"/>
            <w:hideMark/>
          </w:tcPr>
          <w:p w14:paraId="7D666213"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-0.84 (0.03)</w:t>
            </w:r>
          </w:p>
        </w:tc>
        <w:tc>
          <w:tcPr>
            <w:tcW w:w="1276" w:type="dxa"/>
            <w:tcBorders>
              <w:top w:val="nil"/>
              <w:left w:val="nil"/>
              <w:bottom w:val="nil"/>
              <w:right w:val="nil"/>
            </w:tcBorders>
            <w:shd w:val="clear" w:color="auto" w:fill="auto"/>
            <w:noWrap/>
            <w:vAlign w:val="center"/>
            <w:hideMark/>
          </w:tcPr>
          <w:p w14:paraId="5BCD7281"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-0.04 (0.82)</w:t>
            </w:r>
          </w:p>
        </w:tc>
        <w:tc>
          <w:tcPr>
            <w:tcW w:w="1276" w:type="dxa"/>
            <w:tcBorders>
              <w:top w:val="nil"/>
              <w:left w:val="nil"/>
              <w:bottom w:val="nil"/>
              <w:right w:val="nil"/>
            </w:tcBorders>
            <w:shd w:val="clear" w:color="auto" w:fill="auto"/>
            <w:noWrap/>
            <w:vAlign w:val="bottom"/>
            <w:hideMark/>
          </w:tcPr>
          <w:p w14:paraId="73AEA596"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-0.16 (0.34)</w:t>
            </w:r>
          </w:p>
        </w:tc>
        <w:tc>
          <w:tcPr>
            <w:tcW w:w="1276" w:type="dxa"/>
            <w:gridSpan w:val="2"/>
            <w:tcBorders>
              <w:top w:val="nil"/>
              <w:left w:val="single" w:sz="12" w:space="0" w:color="auto"/>
              <w:bottom w:val="nil"/>
              <w:right w:val="nil"/>
            </w:tcBorders>
            <w:shd w:val="clear" w:color="auto" w:fill="auto"/>
            <w:noWrap/>
            <w:vAlign w:val="center"/>
            <w:hideMark/>
          </w:tcPr>
          <w:p w14:paraId="0E136CD2"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p>
        </w:tc>
        <w:tc>
          <w:tcPr>
            <w:tcW w:w="1559" w:type="dxa"/>
            <w:tcBorders>
              <w:top w:val="nil"/>
              <w:left w:val="nil"/>
              <w:bottom w:val="nil"/>
              <w:right w:val="single" w:sz="12" w:space="0" w:color="auto"/>
            </w:tcBorders>
            <w:shd w:val="clear" w:color="auto" w:fill="auto"/>
            <w:noWrap/>
            <w:vAlign w:val="center"/>
            <w:hideMark/>
          </w:tcPr>
          <w:p w14:paraId="1A427B8C"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p>
        </w:tc>
      </w:tr>
      <w:tr w:rsidR="003F609D" w:rsidRPr="003F609D" w14:paraId="553E3CE3" w14:textId="77777777" w:rsidTr="00121D3D">
        <w:trPr>
          <w:trHeight w:val="300"/>
        </w:trPr>
        <w:tc>
          <w:tcPr>
            <w:tcW w:w="1403" w:type="dxa"/>
            <w:tcBorders>
              <w:top w:val="nil"/>
              <w:left w:val="single" w:sz="12" w:space="0" w:color="auto"/>
              <w:bottom w:val="nil"/>
              <w:right w:val="nil"/>
            </w:tcBorders>
            <w:shd w:val="clear" w:color="auto" w:fill="auto"/>
            <w:noWrap/>
            <w:vAlign w:val="center"/>
            <w:hideMark/>
          </w:tcPr>
          <w:p w14:paraId="726CECE6"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Year 2016</w:t>
            </w:r>
          </w:p>
        </w:tc>
        <w:tc>
          <w:tcPr>
            <w:tcW w:w="1276" w:type="dxa"/>
            <w:tcBorders>
              <w:top w:val="nil"/>
              <w:left w:val="single" w:sz="12" w:space="0" w:color="auto"/>
              <w:bottom w:val="nil"/>
              <w:right w:val="nil"/>
            </w:tcBorders>
            <w:shd w:val="clear" w:color="auto" w:fill="auto"/>
            <w:noWrap/>
            <w:vAlign w:val="center"/>
            <w:hideMark/>
          </w:tcPr>
          <w:p w14:paraId="57C917F5"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-0.36 (0.35)</w:t>
            </w:r>
          </w:p>
        </w:tc>
        <w:tc>
          <w:tcPr>
            <w:tcW w:w="1275" w:type="dxa"/>
            <w:tcBorders>
              <w:top w:val="nil"/>
              <w:left w:val="nil"/>
              <w:bottom w:val="nil"/>
              <w:right w:val="single" w:sz="12" w:space="0" w:color="auto"/>
            </w:tcBorders>
            <w:shd w:val="clear" w:color="auto" w:fill="auto"/>
            <w:noWrap/>
            <w:vAlign w:val="center"/>
            <w:hideMark/>
          </w:tcPr>
          <w:p w14:paraId="58A8FB21"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-0.54 (0.18)</w:t>
            </w:r>
          </w:p>
        </w:tc>
        <w:tc>
          <w:tcPr>
            <w:tcW w:w="1276" w:type="dxa"/>
            <w:tcBorders>
              <w:top w:val="nil"/>
              <w:left w:val="nil"/>
              <w:bottom w:val="nil"/>
              <w:right w:val="nil"/>
            </w:tcBorders>
            <w:shd w:val="clear" w:color="auto" w:fill="auto"/>
            <w:noWrap/>
            <w:vAlign w:val="bottom"/>
            <w:hideMark/>
          </w:tcPr>
          <w:p w14:paraId="65B6F4C2"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p>
        </w:tc>
        <w:tc>
          <w:tcPr>
            <w:tcW w:w="1276" w:type="dxa"/>
            <w:tcBorders>
              <w:top w:val="nil"/>
              <w:left w:val="nil"/>
              <w:bottom w:val="nil"/>
              <w:right w:val="nil"/>
            </w:tcBorders>
            <w:shd w:val="clear" w:color="auto" w:fill="auto"/>
            <w:noWrap/>
            <w:vAlign w:val="bottom"/>
            <w:hideMark/>
          </w:tcPr>
          <w:p w14:paraId="36D8932A"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p>
        </w:tc>
        <w:tc>
          <w:tcPr>
            <w:tcW w:w="1276" w:type="dxa"/>
            <w:gridSpan w:val="2"/>
            <w:tcBorders>
              <w:top w:val="nil"/>
              <w:left w:val="single" w:sz="12" w:space="0" w:color="auto"/>
              <w:bottom w:val="nil"/>
              <w:right w:val="nil"/>
            </w:tcBorders>
            <w:shd w:val="clear" w:color="auto" w:fill="auto"/>
            <w:noWrap/>
            <w:vAlign w:val="center"/>
            <w:hideMark/>
          </w:tcPr>
          <w:p w14:paraId="2D92802F"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p>
        </w:tc>
        <w:tc>
          <w:tcPr>
            <w:tcW w:w="1559" w:type="dxa"/>
            <w:tcBorders>
              <w:top w:val="nil"/>
              <w:left w:val="nil"/>
              <w:bottom w:val="nil"/>
              <w:right w:val="single" w:sz="12" w:space="0" w:color="auto"/>
            </w:tcBorders>
            <w:shd w:val="clear" w:color="auto" w:fill="auto"/>
            <w:noWrap/>
            <w:vAlign w:val="center"/>
            <w:hideMark/>
          </w:tcPr>
          <w:p w14:paraId="684C6151"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p>
        </w:tc>
      </w:tr>
      <w:tr w:rsidR="003F609D" w:rsidRPr="003F609D" w14:paraId="4BF49E01" w14:textId="77777777" w:rsidTr="00121D3D">
        <w:trPr>
          <w:trHeight w:val="300"/>
        </w:trPr>
        <w:tc>
          <w:tcPr>
            <w:tcW w:w="1403" w:type="dxa"/>
            <w:tcBorders>
              <w:top w:val="nil"/>
              <w:left w:val="single" w:sz="12" w:space="0" w:color="auto"/>
              <w:bottom w:val="nil"/>
              <w:right w:val="nil"/>
            </w:tcBorders>
            <w:shd w:val="clear" w:color="auto" w:fill="auto"/>
            <w:noWrap/>
            <w:vAlign w:val="center"/>
            <w:hideMark/>
          </w:tcPr>
          <w:p w14:paraId="4FB2AFD9"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Beta_sector</w:t>
            </w:r>
          </w:p>
        </w:tc>
        <w:tc>
          <w:tcPr>
            <w:tcW w:w="1276" w:type="dxa"/>
            <w:tcBorders>
              <w:top w:val="nil"/>
              <w:left w:val="single" w:sz="12" w:space="0" w:color="auto"/>
              <w:bottom w:val="nil"/>
              <w:right w:val="nil"/>
            </w:tcBorders>
            <w:shd w:val="clear" w:color="auto" w:fill="auto"/>
            <w:noWrap/>
            <w:vAlign w:val="center"/>
            <w:hideMark/>
          </w:tcPr>
          <w:p w14:paraId="1510FA71"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-0.19 (0.00)</w:t>
            </w:r>
          </w:p>
        </w:tc>
        <w:tc>
          <w:tcPr>
            <w:tcW w:w="1275" w:type="dxa"/>
            <w:tcBorders>
              <w:top w:val="nil"/>
              <w:left w:val="nil"/>
              <w:bottom w:val="nil"/>
              <w:right w:val="single" w:sz="12" w:space="0" w:color="auto"/>
            </w:tcBorders>
            <w:shd w:val="clear" w:color="auto" w:fill="auto"/>
            <w:noWrap/>
            <w:vAlign w:val="center"/>
            <w:hideMark/>
          </w:tcPr>
          <w:p w14:paraId="47647606"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-0.19 (0.00)</w:t>
            </w:r>
          </w:p>
        </w:tc>
        <w:tc>
          <w:tcPr>
            <w:tcW w:w="1276" w:type="dxa"/>
            <w:tcBorders>
              <w:top w:val="nil"/>
              <w:left w:val="nil"/>
              <w:bottom w:val="nil"/>
              <w:right w:val="nil"/>
            </w:tcBorders>
            <w:shd w:val="clear" w:color="auto" w:fill="auto"/>
            <w:noWrap/>
            <w:vAlign w:val="center"/>
            <w:hideMark/>
          </w:tcPr>
          <w:p w14:paraId="7410AE20"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-0.03 (0.78)</w:t>
            </w:r>
          </w:p>
        </w:tc>
        <w:tc>
          <w:tcPr>
            <w:tcW w:w="1276" w:type="dxa"/>
            <w:tcBorders>
              <w:top w:val="nil"/>
              <w:left w:val="nil"/>
              <w:bottom w:val="nil"/>
              <w:right w:val="nil"/>
            </w:tcBorders>
            <w:shd w:val="clear" w:color="auto" w:fill="auto"/>
            <w:noWrap/>
            <w:vAlign w:val="bottom"/>
            <w:hideMark/>
          </w:tcPr>
          <w:p w14:paraId="3EF4FBAF"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0.07 (0.49)</w:t>
            </w:r>
          </w:p>
        </w:tc>
        <w:tc>
          <w:tcPr>
            <w:tcW w:w="1276" w:type="dxa"/>
            <w:gridSpan w:val="2"/>
            <w:tcBorders>
              <w:top w:val="nil"/>
              <w:left w:val="single" w:sz="12" w:space="0" w:color="auto"/>
              <w:bottom w:val="nil"/>
              <w:right w:val="nil"/>
            </w:tcBorders>
            <w:shd w:val="clear" w:color="auto" w:fill="auto"/>
            <w:noWrap/>
            <w:vAlign w:val="center"/>
            <w:hideMark/>
          </w:tcPr>
          <w:p w14:paraId="57683E5E"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-0.08 (0.52)</w:t>
            </w:r>
          </w:p>
        </w:tc>
        <w:tc>
          <w:tcPr>
            <w:tcW w:w="1559" w:type="dxa"/>
            <w:tcBorders>
              <w:top w:val="nil"/>
              <w:left w:val="nil"/>
              <w:bottom w:val="nil"/>
              <w:right w:val="single" w:sz="12" w:space="0" w:color="auto"/>
            </w:tcBorders>
            <w:shd w:val="clear" w:color="auto" w:fill="auto"/>
            <w:noWrap/>
            <w:vAlign w:val="center"/>
            <w:hideMark/>
          </w:tcPr>
          <w:p w14:paraId="552D752A"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-0.08 (0.54)</w:t>
            </w:r>
          </w:p>
        </w:tc>
      </w:tr>
      <w:tr w:rsidR="003F609D" w:rsidRPr="003F609D" w14:paraId="739C5169" w14:textId="77777777" w:rsidTr="00121D3D">
        <w:trPr>
          <w:trHeight w:val="300"/>
        </w:trPr>
        <w:tc>
          <w:tcPr>
            <w:tcW w:w="1403" w:type="dxa"/>
            <w:tcBorders>
              <w:top w:val="nil"/>
              <w:left w:val="single" w:sz="12" w:space="0" w:color="auto"/>
              <w:bottom w:val="nil"/>
              <w:right w:val="nil"/>
            </w:tcBorders>
            <w:shd w:val="clear" w:color="auto" w:fill="auto"/>
            <w:vAlign w:val="center"/>
            <w:hideMark/>
          </w:tcPr>
          <w:p w14:paraId="025E6CBA"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NMV</w:t>
            </w:r>
          </w:p>
        </w:tc>
        <w:tc>
          <w:tcPr>
            <w:tcW w:w="1276" w:type="dxa"/>
            <w:tcBorders>
              <w:top w:val="nil"/>
              <w:left w:val="single" w:sz="12" w:space="0" w:color="auto"/>
              <w:bottom w:val="nil"/>
              <w:right w:val="nil"/>
            </w:tcBorders>
            <w:shd w:val="clear" w:color="auto" w:fill="auto"/>
            <w:noWrap/>
            <w:vAlign w:val="center"/>
            <w:hideMark/>
          </w:tcPr>
          <w:p w14:paraId="7B7DBF4F"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0.18 (0.00)</w:t>
            </w:r>
          </w:p>
        </w:tc>
        <w:tc>
          <w:tcPr>
            <w:tcW w:w="1275" w:type="dxa"/>
            <w:tcBorders>
              <w:top w:val="nil"/>
              <w:left w:val="nil"/>
              <w:bottom w:val="nil"/>
              <w:right w:val="single" w:sz="12" w:space="0" w:color="auto"/>
            </w:tcBorders>
            <w:shd w:val="clear" w:color="auto" w:fill="auto"/>
            <w:noWrap/>
            <w:vAlign w:val="center"/>
            <w:hideMark/>
          </w:tcPr>
          <w:p w14:paraId="22212C32"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p>
        </w:tc>
        <w:tc>
          <w:tcPr>
            <w:tcW w:w="1276" w:type="dxa"/>
            <w:tcBorders>
              <w:top w:val="nil"/>
              <w:left w:val="nil"/>
              <w:bottom w:val="nil"/>
              <w:right w:val="nil"/>
            </w:tcBorders>
            <w:shd w:val="clear" w:color="auto" w:fill="auto"/>
            <w:noWrap/>
            <w:vAlign w:val="center"/>
            <w:hideMark/>
          </w:tcPr>
          <w:p w14:paraId="6DA93355"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0.25 (0.00)</w:t>
            </w:r>
          </w:p>
        </w:tc>
        <w:tc>
          <w:tcPr>
            <w:tcW w:w="1276" w:type="dxa"/>
            <w:tcBorders>
              <w:top w:val="nil"/>
              <w:left w:val="nil"/>
              <w:bottom w:val="nil"/>
              <w:right w:val="nil"/>
            </w:tcBorders>
            <w:shd w:val="clear" w:color="auto" w:fill="auto"/>
            <w:noWrap/>
            <w:vAlign w:val="center"/>
            <w:hideMark/>
          </w:tcPr>
          <w:p w14:paraId="0F23346D"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p>
        </w:tc>
        <w:tc>
          <w:tcPr>
            <w:tcW w:w="1276" w:type="dxa"/>
            <w:gridSpan w:val="2"/>
            <w:tcBorders>
              <w:top w:val="nil"/>
              <w:left w:val="single" w:sz="12" w:space="0" w:color="auto"/>
              <w:bottom w:val="nil"/>
              <w:right w:val="nil"/>
            </w:tcBorders>
            <w:shd w:val="clear" w:color="auto" w:fill="auto"/>
            <w:noWrap/>
            <w:vAlign w:val="center"/>
            <w:hideMark/>
          </w:tcPr>
          <w:p w14:paraId="549EE67B"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0.03 (0.69)</w:t>
            </w:r>
          </w:p>
        </w:tc>
        <w:tc>
          <w:tcPr>
            <w:tcW w:w="1559" w:type="dxa"/>
            <w:tcBorders>
              <w:top w:val="nil"/>
              <w:left w:val="nil"/>
              <w:bottom w:val="nil"/>
              <w:right w:val="single" w:sz="12" w:space="0" w:color="auto"/>
            </w:tcBorders>
            <w:shd w:val="clear" w:color="auto" w:fill="auto"/>
            <w:noWrap/>
            <w:vAlign w:val="center"/>
            <w:hideMark/>
          </w:tcPr>
          <w:p w14:paraId="6EFCCEF4"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p>
        </w:tc>
      </w:tr>
      <w:tr w:rsidR="003F609D" w:rsidRPr="003F609D" w14:paraId="16A6F18F" w14:textId="77777777" w:rsidTr="00121D3D">
        <w:trPr>
          <w:trHeight w:val="300"/>
        </w:trPr>
        <w:tc>
          <w:tcPr>
            <w:tcW w:w="1403" w:type="dxa"/>
            <w:tcBorders>
              <w:top w:val="nil"/>
              <w:left w:val="single" w:sz="12" w:space="0" w:color="auto"/>
              <w:bottom w:val="nil"/>
              <w:right w:val="nil"/>
            </w:tcBorders>
            <w:shd w:val="clear" w:color="auto" w:fill="auto"/>
            <w:vAlign w:val="center"/>
            <w:hideMark/>
          </w:tcPr>
          <w:p w14:paraId="4EEC2334"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HTV</w:t>
            </w:r>
          </w:p>
        </w:tc>
        <w:tc>
          <w:tcPr>
            <w:tcW w:w="1276" w:type="dxa"/>
            <w:tcBorders>
              <w:top w:val="nil"/>
              <w:left w:val="single" w:sz="12" w:space="0" w:color="auto"/>
              <w:bottom w:val="nil"/>
              <w:right w:val="nil"/>
            </w:tcBorders>
            <w:shd w:val="clear" w:color="auto" w:fill="auto"/>
            <w:noWrap/>
            <w:vAlign w:val="center"/>
            <w:hideMark/>
          </w:tcPr>
          <w:p w14:paraId="540F57AF"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0.08 (0.4)</w:t>
            </w:r>
          </w:p>
        </w:tc>
        <w:tc>
          <w:tcPr>
            <w:tcW w:w="1275" w:type="dxa"/>
            <w:tcBorders>
              <w:top w:val="nil"/>
              <w:left w:val="nil"/>
              <w:bottom w:val="nil"/>
              <w:right w:val="single" w:sz="12" w:space="0" w:color="auto"/>
            </w:tcBorders>
            <w:shd w:val="clear" w:color="auto" w:fill="auto"/>
            <w:noWrap/>
            <w:vAlign w:val="center"/>
            <w:hideMark/>
          </w:tcPr>
          <w:p w14:paraId="6BA3AD96"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0.18 (0.07)</w:t>
            </w:r>
          </w:p>
        </w:tc>
        <w:tc>
          <w:tcPr>
            <w:tcW w:w="1276" w:type="dxa"/>
            <w:tcBorders>
              <w:top w:val="nil"/>
              <w:left w:val="nil"/>
              <w:bottom w:val="nil"/>
              <w:right w:val="nil"/>
            </w:tcBorders>
            <w:shd w:val="clear" w:color="auto" w:fill="auto"/>
            <w:noWrap/>
            <w:vAlign w:val="center"/>
            <w:hideMark/>
          </w:tcPr>
          <w:p w14:paraId="01474B9B"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0.19 (0.09)</w:t>
            </w:r>
          </w:p>
        </w:tc>
        <w:tc>
          <w:tcPr>
            <w:tcW w:w="1276" w:type="dxa"/>
            <w:tcBorders>
              <w:top w:val="nil"/>
              <w:left w:val="nil"/>
              <w:bottom w:val="nil"/>
              <w:right w:val="nil"/>
            </w:tcBorders>
            <w:shd w:val="clear" w:color="auto" w:fill="auto"/>
            <w:noWrap/>
            <w:vAlign w:val="bottom"/>
            <w:hideMark/>
          </w:tcPr>
          <w:p w14:paraId="272C3361"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0.27 (0.03)</w:t>
            </w:r>
          </w:p>
        </w:tc>
        <w:tc>
          <w:tcPr>
            <w:tcW w:w="1276" w:type="dxa"/>
            <w:gridSpan w:val="2"/>
            <w:tcBorders>
              <w:top w:val="nil"/>
              <w:left w:val="single" w:sz="12" w:space="0" w:color="auto"/>
              <w:bottom w:val="nil"/>
              <w:right w:val="nil"/>
            </w:tcBorders>
            <w:shd w:val="clear" w:color="auto" w:fill="auto"/>
            <w:noWrap/>
            <w:vAlign w:val="center"/>
            <w:hideMark/>
          </w:tcPr>
          <w:p w14:paraId="65BBE14F"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0.49 (0.01)</w:t>
            </w:r>
          </w:p>
        </w:tc>
        <w:tc>
          <w:tcPr>
            <w:tcW w:w="1559" w:type="dxa"/>
            <w:tcBorders>
              <w:top w:val="nil"/>
              <w:left w:val="nil"/>
              <w:bottom w:val="nil"/>
              <w:right w:val="single" w:sz="12" w:space="0" w:color="auto"/>
            </w:tcBorders>
            <w:shd w:val="clear" w:color="auto" w:fill="auto"/>
            <w:noWrap/>
            <w:vAlign w:val="center"/>
            <w:hideMark/>
          </w:tcPr>
          <w:p w14:paraId="73BF8D91"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0.50 (0.01)</w:t>
            </w:r>
          </w:p>
        </w:tc>
      </w:tr>
      <w:tr w:rsidR="003F609D" w:rsidRPr="003F609D" w14:paraId="233BA17F" w14:textId="77777777" w:rsidTr="00121D3D">
        <w:trPr>
          <w:trHeight w:val="300"/>
        </w:trPr>
        <w:tc>
          <w:tcPr>
            <w:tcW w:w="1403" w:type="dxa"/>
            <w:tcBorders>
              <w:top w:val="nil"/>
              <w:left w:val="single" w:sz="12" w:space="0" w:color="auto"/>
              <w:bottom w:val="nil"/>
              <w:right w:val="nil"/>
            </w:tcBorders>
            <w:shd w:val="clear" w:color="auto" w:fill="auto"/>
            <w:noWrap/>
            <w:vAlign w:val="center"/>
            <w:hideMark/>
          </w:tcPr>
          <w:p w14:paraId="1D8DB46C"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p>
        </w:tc>
        <w:tc>
          <w:tcPr>
            <w:tcW w:w="1276" w:type="dxa"/>
            <w:tcBorders>
              <w:top w:val="nil"/>
              <w:left w:val="single" w:sz="12" w:space="0" w:color="auto"/>
              <w:bottom w:val="nil"/>
              <w:right w:val="nil"/>
            </w:tcBorders>
            <w:shd w:val="clear" w:color="auto" w:fill="auto"/>
            <w:noWrap/>
            <w:vAlign w:val="center"/>
            <w:hideMark/>
          </w:tcPr>
          <w:p w14:paraId="604F52EC"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p>
        </w:tc>
        <w:tc>
          <w:tcPr>
            <w:tcW w:w="1275" w:type="dxa"/>
            <w:tcBorders>
              <w:top w:val="nil"/>
              <w:left w:val="nil"/>
              <w:bottom w:val="nil"/>
              <w:right w:val="single" w:sz="12" w:space="0" w:color="auto"/>
            </w:tcBorders>
            <w:shd w:val="clear" w:color="auto" w:fill="auto"/>
            <w:noWrap/>
            <w:vAlign w:val="center"/>
            <w:hideMark/>
          </w:tcPr>
          <w:p w14:paraId="5E2D10B5"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p>
        </w:tc>
        <w:tc>
          <w:tcPr>
            <w:tcW w:w="1276" w:type="dxa"/>
            <w:tcBorders>
              <w:top w:val="nil"/>
              <w:left w:val="nil"/>
              <w:bottom w:val="nil"/>
              <w:right w:val="nil"/>
            </w:tcBorders>
            <w:shd w:val="clear" w:color="auto" w:fill="auto"/>
            <w:noWrap/>
            <w:vAlign w:val="bottom"/>
            <w:hideMark/>
          </w:tcPr>
          <w:p w14:paraId="01E6DBF4"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p>
        </w:tc>
        <w:tc>
          <w:tcPr>
            <w:tcW w:w="1276" w:type="dxa"/>
            <w:tcBorders>
              <w:top w:val="nil"/>
              <w:left w:val="nil"/>
              <w:bottom w:val="nil"/>
              <w:right w:val="nil"/>
            </w:tcBorders>
            <w:shd w:val="clear" w:color="auto" w:fill="auto"/>
            <w:noWrap/>
            <w:vAlign w:val="bottom"/>
            <w:hideMark/>
          </w:tcPr>
          <w:p w14:paraId="1090DE35"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p>
        </w:tc>
        <w:tc>
          <w:tcPr>
            <w:tcW w:w="1276" w:type="dxa"/>
            <w:gridSpan w:val="2"/>
            <w:tcBorders>
              <w:top w:val="nil"/>
              <w:left w:val="single" w:sz="12" w:space="0" w:color="auto"/>
              <w:bottom w:val="nil"/>
              <w:right w:val="nil"/>
            </w:tcBorders>
            <w:shd w:val="clear" w:color="auto" w:fill="auto"/>
            <w:noWrap/>
            <w:vAlign w:val="center"/>
            <w:hideMark/>
          </w:tcPr>
          <w:p w14:paraId="20A9646F"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p>
        </w:tc>
        <w:tc>
          <w:tcPr>
            <w:tcW w:w="1559" w:type="dxa"/>
            <w:tcBorders>
              <w:top w:val="nil"/>
              <w:left w:val="nil"/>
              <w:bottom w:val="nil"/>
              <w:right w:val="single" w:sz="12" w:space="0" w:color="auto"/>
            </w:tcBorders>
            <w:shd w:val="clear" w:color="auto" w:fill="auto"/>
            <w:noWrap/>
            <w:vAlign w:val="center"/>
            <w:hideMark/>
          </w:tcPr>
          <w:p w14:paraId="1D7EC441"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p>
        </w:tc>
      </w:tr>
      <w:tr w:rsidR="003F609D" w:rsidRPr="003F609D" w14:paraId="62F9BD5F" w14:textId="77777777" w:rsidTr="00121D3D">
        <w:trPr>
          <w:trHeight w:val="375"/>
        </w:trPr>
        <w:tc>
          <w:tcPr>
            <w:tcW w:w="1403" w:type="dxa"/>
            <w:tcBorders>
              <w:top w:val="nil"/>
              <w:left w:val="single" w:sz="12" w:space="0" w:color="auto"/>
              <w:bottom w:val="nil"/>
              <w:right w:val="nil"/>
            </w:tcBorders>
            <w:shd w:val="clear" w:color="auto" w:fill="auto"/>
            <w:noWrap/>
            <w:vAlign w:val="center"/>
            <w:hideMark/>
          </w:tcPr>
          <w:p w14:paraId="41AF3B3C"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Adjusted R</w:t>
            </w:r>
            <w:r w:rsidRPr="003F609D">
              <w:rPr>
                <w:rFonts w:ascii="Times New Roman" w:eastAsia="Times New Roman" w:hAnsi="Times New Roman" w:cs="Times New Roman"/>
                <w:color w:val="0000FF"/>
                <w:sz w:val="20"/>
                <w:szCs w:val="20"/>
                <w:vertAlign w:val="superscript"/>
                <w:lang w:val="en-US" w:bidi="ar-SA"/>
              </w:rPr>
              <w:t>2</w:t>
            </w:r>
          </w:p>
        </w:tc>
        <w:tc>
          <w:tcPr>
            <w:tcW w:w="1276" w:type="dxa"/>
            <w:tcBorders>
              <w:top w:val="nil"/>
              <w:left w:val="single" w:sz="12" w:space="0" w:color="auto"/>
              <w:bottom w:val="nil"/>
              <w:right w:val="nil"/>
            </w:tcBorders>
            <w:shd w:val="clear" w:color="000000" w:fill="FFFFFF"/>
            <w:noWrap/>
            <w:vAlign w:val="center"/>
            <w:hideMark/>
          </w:tcPr>
          <w:p w14:paraId="7A804C2D"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0.22</w:t>
            </w:r>
          </w:p>
        </w:tc>
        <w:tc>
          <w:tcPr>
            <w:tcW w:w="1275" w:type="dxa"/>
            <w:tcBorders>
              <w:top w:val="nil"/>
              <w:left w:val="nil"/>
              <w:bottom w:val="nil"/>
              <w:right w:val="single" w:sz="12" w:space="0" w:color="auto"/>
            </w:tcBorders>
            <w:shd w:val="clear" w:color="auto" w:fill="auto"/>
            <w:noWrap/>
            <w:vAlign w:val="center"/>
            <w:hideMark/>
          </w:tcPr>
          <w:p w14:paraId="26F76352"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0.17</w:t>
            </w:r>
          </w:p>
        </w:tc>
        <w:tc>
          <w:tcPr>
            <w:tcW w:w="1276" w:type="dxa"/>
            <w:tcBorders>
              <w:top w:val="nil"/>
              <w:left w:val="nil"/>
              <w:bottom w:val="nil"/>
              <w:right w:val="nil"/>
            </w:tcBorders>
            <w:shd w:val="clear" w:color="auto" w:fill="auto"/>
            <w:noWrap/>
            <w:vAlign w:val="center"/>
            <w:hideMark/>
          </w:tcPr>
          <w:p w14:paraId="7BA9F5C3"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0.16</w:t>
            </w:r>
          </w:p>
        </w:tc>
        <w:tc>
          <w:tcPr>
            <w:tcW w:w="1276" w:type="dxa"/>
            <w:tcBorders>
              <w:top w:val="nil"/>
              <w:left w:val="nil"/>
              <w:bottom w:val="nil"/>
              <w:right w:val="nil"/>
            </w:tcBorders>
            <w:shd w:val="clear" w:color="auto" w:fill="auto"/>
            <w:noWrap/>
            <w:vAlign w:val="center"/>
            <w:hideMark/>
          </w:tcPr>
          <w:p w14:paraId="424623CA"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0.06</w:t>
            </w:r>
          </w:p>
        </w:tc>
        <w:tc>
          <w:tcPr>
            <w:tcW w:w="1276" w:type="dxa"/>
            <w:gridSpan w:val="2"/>
            <w:tcBorders>
              <w:top w:val="nil"/>
              <w:left w:val="single" w:sz="12" w:space="0" w:color="auto"/>
              <w:bottom w:val="nil"/>
              <w:right w:val="nil"/>
            </w:tcBorders>
            <w:shd w:val="clear" w:color="auto" w:fill="auto"/>
            <w:noWrap/>
            <w:vAlign w:val="center"/>
            <w:hideMark/>
          </w:tcPr>
          <w:p w14:paraId="17D7D03B"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0.04</w:t>
            </w:r>
          </w:p>
        </w:tc>
        <w:tc>
          <w:tcPr>
            <w:tcW w:w="1559" w:type="dxa"/>
            <w:tcBorders>
              <w:top w:val="nil"/>
              <w:left w:val="nil"/>
              <w:bottom w:val="nil"/>
              <w:right w:val="single" w:sz="12" w:space="0" w:color="auto"/>
            </w:tcBorders>
            <w:shd w:val="clear" w:color="auto" w:fill="auto"/>
            <w:noWrap/>
            <w:vAlign w:val="center"/>
            <w:hideMark/>
          </w:tcPr>
          <w:p w14:paraId="4D5C24B9"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0.05</w:t>
            </w:r>
          </w:p>
        </w:tc>
      </w:tr>
      <w:tr w:rsidR="003F609D" w:rsidRPr="003F609D" w14:paraId="354E72BA" w14:textId="77777777" w:rsidTr="00121D3D">
        <w:trPr>
          <w:trHeight w:val="300"/>
        </w:trPr>
        <w:tc>
          <w:tcPr>
            <w:tcW w:w="1403" w:type="dxa"/>
            <w:tcBorders>
              <w:top w:val="nil"/>
              <w:left w:val="single" w:sz="12" w:space="0" w:color="auto"/>
              <w:bottom w:val="nil"/>
              <w:right w:val="nil"/>
            </w:tcBorders>
            <w:shd w:val="clear" w:color="auto" w:fill="auto"/>
            <w:noWrap/>
            <w:vAlign w:val="center"/>
            <w:hideMark/>
          </w:tcPr>
          <w:p w14:paraId="21E2E27F"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18"/>
                <w:szCs w:val="18"/>
                <w:lang w:val="en-US" w:bidi="ar-SA"/>
              </w:rPr>
              <w:t>F stat (p-value)</w:t>
            </w:r>
          </w:p>
        </w:tc>
        <w:tc>
          <w:tcPr>
            <w:tcW w:w="1276" w:type="dxa"/>
            <w:tcBorders>
              <w:top w:val="nil"/>
              <w:left w:val="single" w:sz="12" w:space="0" w:color="auto"/>
              <w:bottom w:val="nil"/>
              <w:right w:val="nil"/>
            </w:tcBorders>
            <w:shd w:val="clear" w:color="auto" w:fill="auto"/>
            <w:noWrap/>
            <w:vAlign w:val="bottom"/>
            <w:hideMark/>
          </w:tcPr>
          <w:p w14:paraId="1817D4B7"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8.43 (0.00)</w:t>
            </w:r>
          </w:p>
        </w:tc>
        <w:tc>
          <w:tcPr>
            <w:tcW w:w="1275" w:type="dxa"/>
            <w:tcBorders>
              <w:top w:val="nil"/>
              <w:left w:val="nil"/>
              <w:bottom w:val="nil"/>
              <w:right w:val="single" w:sz="12" w:space="0" w:color="auto"/>
            </w:tcBorders>
            <w:shd w:val="clear" w:color="auto" w:fill="auto"/>
            <w:noWrap/>
            <w:vAlign w:val="bottom"/>
            <w:hideMark/>
          </w:tcPr>
          <w:p w14:paraId="65483B42"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7.06 (0.00)</w:t>
            </w:r>
          </w:p>
        </w:tc>
        <w:tc>
          <w:tcPr>
            <w:tcW w:w="1276" w:type="dxa"/>
            <w:tcBorders>
              <w:top w:val="nil"/>
              <w:left w:val="nil"/>
              <w:bottom w:val="nil"/>
              <w:right w:val="nil"/>
            </w:tcBorders>
            <w:shd w:val="clear" w:color="auto" w:fill="auto"/>
            <w:noWrap/>
            <w:vAlign w:val="bottom"/>
            <w:hideMark/>
          </w:tcPr>
          <w:p w14:paraId="1F163775"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6.55 (0.00)</w:t>
            </w:r>
          </w:p>
        </w:tc>
        <w:tc>
          <w:tcPr>
            <w:tcW w:w="1276" w:type="dxa"/>
            <w:tcBorders>
              <w:top w:val="nil"/>
              <w:left w:val="nil"/>
              <w:bottom w:val="nil"/>
              <w:right w:val="nil"/>
            </w:tcBorders>
            <w:shd w:val="clear" w:color="auto" w:fill="auto"/>
            <w:noWrap/>
            <w:vAlign w:val="bottom"/>
            <w:hideMark/>
          </w:tcPr>
          <w:p w14:paraId="325A4D3C"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3.14 (0.01)</w:t>
            </w:r>
          </w:p>
        </w:tc>
        <w:tc>
          <w:tcPr>
            <w:tcW w:w="1276" w:type="dxa"/>
            <w:gridSpan w:val="2"/>
            <w:tcBorders>
              <w:top w:val="nil"/>
              <w:left w:val="single" w:sz="12" w:space="0" w:color="auto"/>
              <w:bottom w:val="nil"/>
              <w:right w:val="nil"/>
            </w:tcBorders>
            <w:shd w:val="clear" w:color="auto" w:fill="auto"/>
            <w:noWrap/>
            <w:vAlign w:val="center"/>
            <w:hideMark/>
          </w:tcPr>
          <w:p w14:paraId="4D51C672"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2.25 (0.05)</w:t>
            </w:r>
          </w:p>
        </w:tc>
        <w:tc>
          <w:tcPr>
            <w:tcW w:w="1559" w:type="dxa"/>
            <w:tcBorders>
              <w:top w:val="nil"/>
              <w:left w:val="nil"/>
              <w:bottom w:val="nil"/>
              <w:right w:val="single" w:sz="12" w:space="0" w:color="auto"/>
            </w:tcBorders>
            <w:shd w:val="clear" w:color="auto" w:fill="auto"/>
            <w:noWrap/>
            <w:vAlign w:val="center"/>
            <w:hideMark/>
          </w:tcPr>
          <w:p w14:paraId="5536E079"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2.79 (0.03)</w:t>
            </w:r>
          </w:p>
        </w:tc>
      </w:tr>
      <w:tr w:rsidR="003F609D" w:rsidRPr="003F609D" w14:paraId="4EC02DCD" w14:textId="77777777" w:rsidTr="00121D3D">
        <w:trPr>
          <w:trHeight w:val="315"/>
        </w:trPr>
        <w:tc>
          <w:tcPr>
            <w:tcW w:w="1403" w:type="dxa"/>
            <w:tcBorders>
              <w:top w:val="nil"/>
              <w:left w:val="single" w:sz="12" w:space="0" w:color="auto"/>
              <w:bottom w:val="single" w:sz="12" w:space="0" w:color="auto"/>
              <w:right w:val="nil"/>
            </w:tcBorders>
            <w:shd w:val="clear" w:color="auto" w:fill="auto"/>
            <w:noWrap/>
            <w:vAlign w:val="center"/>
            <w:hideMark/>
          </w:tcPr>
          <w:p w14:paraId="1D940B36"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Obs.</w:t>
            </w:r>
          </w:p>
        </w:tc>
        <w:tc>
          <w:tcPr>
            <w:tcW w:w="1276" w:type="dxa"/>
            <w:tcBorders>
              <w:top w:val="nil"/>
              <w:left w:val="single" w:sz="12" w:space="0" w:color="auto"/>
              <w:bottom w:val="single" w:sz="12" w:space="0" w:color="auto"/>
              <w:right w:val="nil"/>
            </w:tcBorders>
            <w:shd w:val="clear" w:color="auto" w:fill="auto"/>
            <w:noWrap/>
            <w:vAlign w:val="center"/>
            <w:hideMark/>
          </w:tcPr>
          <w:p w14:paraId="537ECE96"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182</w:t>
            </w:r>
          </w:p>
        </w:tc>
        <w:tc>
          <w:tcPr>
            <w:tcW w:w="1275" w:type="dxa"/>
            <w:tcBorders>
              <w:top w:val="nil"/>
              <w:left w:val="nil"/>
              <w:bottom w:val="single" w:sz="12" w:space="0" w:color="auto"/>
              <w:right w:val="single" w:sz="12" w:space="0" w:color="auto"/>
            </w:tcBorders>
            <w:shd w:val="clear" w:color="auto" w:fill="auto"/>
            <w:noWrap/>
            <w:vAlign w:val="center"/>
            <w:hideMark/>
          </w:tcPr>
          <w:p w14:paraId="42C844A2"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182</w:t>
            </w:r>
          </w:p>
        </w:tc>
        <w:tc>
          <w:tcPr>
            <w:tcW w:w="1276" w:type="dxa"/>
            <w:tcBorders>
              <w:top w:val="nil"/>
              <w:left w:val="nil"/>
              <w:bottom w:val="single" w:sz="12" w:space="0" w:color="auto"/>
              <w:right w:val="nil"/>
            </w:tcBorders>
            <w:shd w:val="clear" w:color="auto" w:fill="auto"/>
            <w:noWrap/>
            <w:vAlign w:val="center"/>
            <w:hideMark/>
          </w:tcPr>
          <w:p w14:paraId="17FDC329"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178</w:t>
            </w:r>
          </w:p>
        </w:tc>
        <w:tc>
          <w:tcPr>
            <w:tcW w:w="1276" w:type="dxa"/>
            <w:tcBorders>
              <w:top w:val="nil"/>
              <w:left w:val="nil"/>
              <w:bottom w:val="single" w:sz="12" w:space="0" w:color="auto"/>
              <w:right w:val="nil"/>
            </w:tcBorders>
            <w:shd w:val="clear" w:color="auto" w:fill="auto"/>
            <w:noWrap/>
            <w:vAlign w:val="center"/>
            <w:hideMark/>
          </w:tcPr>
          <w:p w14:paraId="7D34BA3B"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178</w:t>
            </w:r>
          </w:p>
        </w:tc>
        <w:tc>
          <w:tcPr>
            <w:tcW w:w="1276" w:type="dxa"/>
            <w:gridSpan w:val="2"/>
            <w:tcBorders>
              <w:top w:val="nil"/>
              <w:left w:val="single" w:sz="12" w:space="0" w:color="auto"/>
              <w:bottom w:val="single" w:sz="12" w:space="0" w:color="auto"/>
              <w:right w:val="nil"/>
            </w:tcBorders>
            <w:shd w:val="clear" w:color="auto" w:fill="auto"/>
            <w:noWrap/>
            <w:vAlign w:val="center"/>
            <w:hideMark/>
          </w:tcPr>
          <w:p w14:paraId="6AD96E6E"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147</w:t>
            </w:r>
          </w:p>
        </w:tc>
        <w:tc>
          <w:tcPr>
            <w:tcW w:w="1559" w:type="dxa"/>
            <w:tcBorders>
              <w:top w:val="nil"/>
              <w:left w:val="nil"/>
              <w:bottom w:val="single" w:sz="12" w:space="0" w:color="auto"/>
              <w:right w:val="single" w:sz="12" w:space="0" w:color="auto"/>
            </w:tcBorders>
            <w:shd w:val="clear" w:color="auto" w:fill="auto"/>
            <w:noWrap/>
            <w:vAlign w:val="center"/>
            <w:hideMark/>
          </w:tcPr>
          <w:p w14:paraId="326E5BB0" w14:textId="77777777" w:rsidR="003F609D" w:rsidRPr="003F609D" w:rsidRDefault="003F609D" w:rsidP="003F609D">
            <w:pPr>
              <w:spacing w:after="0" w:line="240" w:lineRule="auto"/>
              <w:jc w:val="center"/>
              <w:rPr>
                <w:rFonts w:ascii="Times New Roman" w:eastAsia="Times New Roman" w:hAnsi="Times New Roman" w:cs="Times New Roman"/>
                <w:color w:val="0000FF"/>
                <w:sz w:val="20"/>
                <w:szCs w:val="20"/>
                <w:lang w:val="en-US" w:bidi="ar-SA"/>
              </w:rPr>
            </w:pPr>
            <w:r w:rsidRPr="003F609D">
              <w:rPr>
                <w:rFonts w:ascii="Times New Roman" w:eastAsia="Times New Roman" w:hAnsi="Times New Roman" w:cs="Times New Roman"/>
                <w:color w:val="0000FF"/>
                <w:sz w:val="20"/>
                <w:szCs w:val="20"/>
                <w:lang w:val="en-US" w:bidi="ar-SA"/>
              </w:rPr>
              <w:t>147</w:t>
            </w:r>
          </w:p>
        </w:tc>
      </w:tr>
    </w:tbl>
    <w:p w14:paraId="2A2DCA17" w14:textId="19A44EB5" w:rsidR="00347932" w:rsidRPr="00347932" w:rsidRDefault="00347932" w:rsidP="00347932">
      <w:pPr>
        <w:spacing w:after="0" w:line="360" w:lineRule="auto"/>
        <w:rPr>
          <w:rFonts w:ascii="Times New Roman" w:eastAsia="Times New Roman" w:hAnsi="Times New Roman" w:cs="Times New Roman"/>
          <w:color w:val="0000FF"/>
          <w:lang w:val="en-US"/>
        </w:rPr>
      </w:pPr>
      <w:r w:rsidRPr="00347932">
        <w:rPr>
          <w:rFonts w:ascii="Times New Roman" w:eastAsia="Times New Roman" w:hAnsi="Times New Roman" w:cs="Times New Roman"/>
          <w:color w:val="0000FF"/>
          <w:sz w:val="24"/>
          <w:szCs w:val="24"/>
          <w:lang w:val="en-US" w:bidi="ar-SA"/>
        </w:rPr>
        <w:lastRenderedPageBreak/>
        <w:fldChar w:fldCharType="begin"/>
      </w:r>
      <w:r w:rsidRPr="00347932">
        <w:rPr>
          <w:rFonts w:ascii="Times New Roman" w:eastAsia="Times New Roman" w:hAnsi="Times New Roman" w:cs="Times New Roman"/>
          <w:color w:val="0000FF"/>
          <w:sz w:val="24"/>
          <w:szCs w:val="24"/>
          <w:lang w:val="en-US" w:bidi="ar-SA"/>
        </w:rPr>
        <w:instrText xml:space="preserve"> LINK </w:instrText>
      </w:r>
      <w:r w:rsidR="007A4908">
        <w:rPr>
          <w:rFonts w:ascii="Times New Roman" w:eastAsia="Times New Roman" w:hAnsi="Times New Roman" w:cs="Times New Roman"/>
          <w:color w:val="0000FF"/>
          <w:sz w:val="24"/>
          <w:szCs w:val="24"/>
          <w:lang w:val="en-US" w:bidi="ar-SA"/>
        </w:rPr>
        <w:instrText xml:space="preserve">Excel.Sheet.12 "E:\\smadar_papers\\Tiran-IPO\\Regressions jun 2018.xlsx" "IPO+1 ret!R179C32:R189C38" </w:instrText>
      </w:r>
      <w:r w:rsidRPr="00347932">
        <w:rPr>
          <w:rFonts w:ascii="Times New Roman" w:eastAsia="Times New Roman" w:hAnsi="Times New Roman" w:cs="Times New Roman"/>
          <w:color w:val="0000FF"/>
          <w:sz w:val="24"/>
          <w:szCs w:val="24"/>
          <w:lang w:val="en-US" w:bidi="ar-SA"/>
        </w:rPr>
        <w:instrText xml:space="preserve">\a \f 4 \h </w:instrText>
      </w:r>
      <w:r w:rsidRPr="00347932">
        <w:rPr>
          <w:rFonts w:ascii="Times New Roman" w:eastAsia="Times New Roman" w:hAnsi="Times New Roman" w:cs="Times New Roman"/>
          <w:color w:val="0000FF"/>
          <w:sz w:val="24"/>
          <w:szCs w:val="24"/>
          <w:lang w:val="en-US" w:bidi="ar-SA"/>
        </w:rPr>
        <w:fldChar w:fldCharType="separate"/>
      </w:r>
    </w:p>
    <w:p w14:paraId="616540FA" w14:textId="25A550C1" w:rsidR="00347932" w:rsidRPr="00347932" w:rsidRDefault="00347932" w:rsidP="00347932">
      <w:pPr>
        <w:autoSpaceDE w:val="0"/>
        <w:autoSpaceDN w:val="0"/>
        <w:adjustRightInd w:val="0"/>
        <w:spacing w:after="0" w:line="276" w:lineRule="auto"/>
        <w:ind w:left="-426" w:right="-625"/>
        <w:jc w:val="both"/>
        <w:rPr>
          <w:color w:val="0000FF"/>
          <w:lang w:val="en-US"/>
        </w:rPr>
      </w:pPr>
      <w:r w:rsidRPr="00347932">
        <w:rPr>
          <w:rFonts w:ascii="Times New Roman" w:eastAsia="Times New Roman" w:hAnsi="Times New Roman" w:cs="Times New Roman"/>
          <w:color w:val="0000FF"/>
          <w:sz w:val="24"/>
          <w:szCs w:val="24"/>
          <w:lang w:val="en-US" w:bidi="ar-SA"/>
        </w:rPr>
        <w:fldChar w:fldCharType="end"/>
      </w:r>
      <w:r>
        <w:rPr>
          <w:rFonts w:ascii="Times New Roman" w:eastAsia="Times New Roman" w:hAnsi="Times New Roman" w:cs="Times New Roman"/>
          <w:color w:val="0000FF"/>
          <w:sz w:val="24"/>
          <w:szCs w:val="24"/>
          <w:lang w:val="en-US" w:bidi="ar-SA"/>
        </w:rPr>
        <w:t>Accordingly, we updated the description of the results.</w:t>
      </w:r>
    </w:p>
    <w:p w14:paraId="112D3A09" w14:textId="77777777" w:rsidR="00022115" w:rsidRPr="00347932" w:rsidRDefault="00022115" w:rsidP="00292DF9">
      <w:pPr>
        <w:autoSpaceDE w:val="0"/>
        <w:autoSpaceDN w:val="0"/>
        <w:adjustRightInd w:val="0"/>
        <w:spacing w:after="0" w:line="276" w:lineRule="auto"/>
        <w:ind w:left="-426" w:right="-625"/>
        <w:jc w:val="both"/>
        <w:rPr>
          <w:color w:val="0000FF"/>
        </w:rPr>
      </w:pPr>
    </w:p>
    <w:p w14:paraId="7A06671B" w14:textId="0874AB68" w:rsidR="009D7247" w:rsidRDefault="009D7247" w:rsidP="00C000B6">
      <w:pPr>
        <w:numPr>
          <w:ilvl w:val="0"/>
          <w:numId w:val="1"/>
        </w:numPr>
        <w:tabs>
          <w:tab w:val="clear" w:pos="720"/>
        </w:tabs>
        <w:spacing w:before="75" w:after="75" w:line="240" w:lineRule="auto"/>
        <w:ind w:left="0" w:firstLine="0"/>
        <w:rPr>
          <w:rFonts w:ascii="Arial" w:eastAsia="Times New Roman" w:hAnsi="Arial" w:cs="Arial"/>
          <w:color w:val="0A0A0A"/>
          <w:sz w:val="20"/>
          <w:szCs w:val="20"/>
          <w:lang w:eastAsia="en-IL"/>
        </w:rPr>
      </w:pPr>
      <w:r w:rsidRPr="00C000B6">
        <w:rPr>
          <w:rFonts w:ascii="Arial" w:eastAsia="Times New Roman" w:hAnsi="Arial" w:cs="Arial"/>
          <w:b/>
          <w:bCs/>
          <w:color w:val="0A0A0A"/>
          <w:sz w:val="20"/>
          <w:szCs w:val="20"/>
          <w:lang w:eastAsia="en-IL"/>
        </w:rPr>
        <w:t>article is too long.</w:t>
      </w:r>
      <w:r w:rsidRPr="00357915">
        <w:rPr>
          <w:rFonts w:ascii="Arial" w:eastAsia="Times New Roman" w:hAnsi="Arial" w:cs="Arial"/>
          <w:color w:val="0A0A0A"/>
          <w:sz w:val="20"/>
          <w:szCs w:val="20"/>
          <w:lang w:eastAsia="en-IL"/>
        </w:rPr>
        <w:t> </w:t>
      </w:r>
    </w:p>
    <w:p w14:paraId="6B4D01B8" w14:textId="7D6B5229" w:rsidR="00B833EB" w:rsidRDefault="00430476" w:rsidP="00B833EB">
      <w:pPr>
        <w:spacing w:before="75" w:after="75" w:line="360" w:lineRule="auto"/>
        <w:rPr>
          <w:rFonts w:ascii="Arial" w:eastAsia="Times New Roman" w:hAnsi="Arial" w:cs="Arial"/>
          <w:color w:val="0000FF"/>
          <w:sz w:val="20"/>
          <w:szCs w:val="20"/>
          <w:rtl/>
          <w:lang w:val="en-US" w:eastAsia="en-IL"/>
        </w:rPr>
      </w:pPr>
      <w:r w:rsidRPr="00430476">
        <w:rPr>
          <w:rFonts w:ascii="Arial" w:eastAsia="Times New Roman" w:hAnsi="Arial" w:cs="Arial" w:hint="cs"/>
          <w:color w:val="0000FF"/>
          <w:sz w:val="20"/>
          <w:szCs w:val="20"/>
          <w:lang w:eastAsia="en-IL"/>
        </w:rPr>
        <w:t>I</w:t>
      </w:r>
      <w:r w:rsidRPr="00430476">
        <w:rPr>
          <w:rFonts w:ascii="Arial" w:eastAsia="Times New Roman" w:hAnsi="Arial" w:cs="Arial"/>
          <w:color w:val="0000FF"/>
          <w:sz w:val="20"/>
          <w:szCs w:val="20"/>
          <w:lang w:eastAsia="en-IL"/>
        </w:rPr>
        <w:t xml:space="preserve"> agree and therefore I have tried my best to shorten the article without compromising its quality and the main message it is trying to convey</w:t>
      </w:r>
      <w:r w:rsidRPr="00430476">
        <w:rPr>
          <w:rFonts w:ascii="Arial" w:eastAsia="Times New Roman" w:hAnsi="Arial" w:cs="Arial" w:hint="cs"/>
          <w:color w:val="0000FF"/>
          <w:sz w:val="20"/>
          <w:szCs w:val="20"/>
          <w:rtl/>
          <w:lang w:val="en-US" w:eastAsia="en-IL"/>
        </w:rPr>
        <w:t>.</w:t>
      </w:r>
      <w:r w:rsidRPr="00430476">
        <w:rPr>
          <w:rFonts w:ascii="Arial" w:eastAsia="Times New Roman" w:hAnsi="Arial" w:cs="Arial"/>
          <w:color w:val="0000FF"/>
          <w:sz w:val="20"/>
          <w:szCs w:val="20"/>
          <w:lang w:eastAsia="en-IL"/>
        </w:rPr>
        <w:t xml:space="preserve">  I did the following: 1) I shortened the introduction and eliminated the section that extensively described the regulatory periods around the IPO (Section 1.2 in the original scenario) 2) I omitted from the literature review the articles examining yield </w:t>
      </w:r>
      <w:r w:rsidR="00DB2089" w:rsidRPr="00430476">
        <w:rPr>
          <w:rFonts w:ascii="Arial" w:eastAsia="Times New Roman" w:hAnsi="Arial" w:cs="Arial"/>
          <w:color w:val="0000FF"/>
          <w:sz w:val="20"/>
          <w:szCs w:val="20"/>
          <w:lang w:eastAsia="en-IL"/>
        </w:rPr>
        <w:t>behaviour</w:t>
      </w:r>
      <w:r w:rsidRPr="00430476">
        <w:rPr>
          <w:rFonts w:ascii="Arial" w:eastAsia="Times New Roman" w:hAnsi="Arial" w:cs="Arial"/>
          <w:color w:val="0000FF"/>
          <w:sz w:val="20"/>
          <w:szCs w:val="20"/>
          <w:lang w:eastAsia="en-IL"/>
        </w:rPr>
        <w:t xml:space="preserve"> around the lockout period. </w:t>
      </w:r>
      <w:r w:rsidRPr="00430476">
        <w:rPr>
          <w:rFonts w:ascii="Arial" w:eastAsia="Times New Roman" w:hAnsi="Arial" w:cs="Arial"/>
          <w:color w:val="0000FF"/>
          <w:sz w:val="20"/>
          <w:szCs w:val="20"/>
          <w:lang w:val="en-US" w:eastAsia="en-IL"/>
        </w:rPr>
        <w:t>3) I re-edited Tables 3 and Figure 2 in a way that shortened them. 4) I eliminated Table 7 which presented Granger’s causality test results</w:t>
      </w:r>
      <w:r w:rsidR="00DB2089">
        <w:rPr>
          <w:rFonts w:ascii="Arial" w:eastAsia="Times New Roman" w:hAnsi="Arial" w:cs="Arial"/>
          <w:color w:val="0000FF"/>
          <w:sz w:val="20"/>
          <w:szCs w:val="20"/>
          <w:lang w:val="en-US" w:eastAsia="en-IL"/>
        </w:rPr>
        <w:t xml:space="preserve">. </w:t>
      </w:r>
      <w:r w:rsidR="00DB2089" w:rsidRPr="00DB2089">
        <w:rPr>
          <w:rFonts w:ascii="Arial" w:eastAsia="Times New Roman" w:hAnsi="Arial" w:cs="Arial"/>
          <w:color w:val="0000FF"/>
          <w:sz w:val="20"/>
          <w:szCs w:val="20"/>
          <w:lang w:val="en-US" w:eastAsia="en-IL"/>
        </w:rPr>
        <w:t xml:space="preserve">However, despite these efforts, due to the addition of recent </w:t>
      </w:r>
      <w:r w:rsidR="00DB2089">
        <w:rPr>
          <w:rFonts w:ascii="Arial" w:eastAsia="Times New Roman" w:hAnsi="Arial" w:cs="Arial"/>
          <w:color w:val="0000FF"/>
          <w:sz w:val="20"/>
          <w:szCs w:val="20"/>
          <w:lang w:val="en-US" w:eastAsia="en-IL"/>
        </w:rPr>
        <w:t>studies</w:t>
      </w:r>
      <w:r w:rsidR="00DB2089" w:rsidRPr="00DB2089">
        <w:rPr>
          <w:rFonts w:ascii="Arial" w:eastAsia="Times New Roman" w:hAnsi="Arial" w:cs="Arial"/>
          <w:color w:val="0000FF"/>
          <w:sz w:val="20"/>
          <w:szCs w:val="20"/>
          <w:lang w:val="en-US" w:eastAsia="en-IL"/>
        </w:rPr>
        <w:t xml:space="preserve"> to the literature review and clarifications following the </w:t>
      </w:r>
      <w:r w:rsidR="00C108E0">
        <w:rPr>
          <w:rFonts w:ascii="Arial" w:eastAsia="Times New Roman" w:hAnsi="Arial" w:cs="Arial"/>
          <w:color w:val="0000FF"/>
          <w:sz w:val="20"/>
          <w:szCs w:val="20"/>
          <w:lang w:val="en-US" w:eastAsia="en-IL"/>
        </w:rPr>
        <w:t>referee</w:t>
      </w:r>
      <w:r w:rsidR="00DB2089" w:rsidRPr="00DB2089">
        <w:rPr>
          <w:rFonts w:ascii="Arial" w:eastAsia="Times New Roman" w:hAnsi="Arial" w:cs="Arial"/>
          <w:color w:val="0000FF"/>
          <w:sz w:val="20"/>
          <w:szCs w:val="20"/>
          <w:lang w:val="en-US" w:eastAsia="en-IL"/>
        </w:rPr>
        <w:t>'s comments, the total number of words remains almost unchanged.</w:t>
      </w:r>
      <w:r w:rsidR="00770FD6">
        <w:rPr>
          <w:rFonts w:ascii="Arial" w:eastAsia="Times New Roman" w:hAnsi="Arial" w:cs="Arial" w:hint="cs"/>
          <w:color w:val="0000FF"/>
          <w:sz w:val="20"/>
          <w:szCs w:val="20"/>
          <w:rtl/>
          <w:lang w:val="en-US" w:eastAsia="en-IL"/>
        </w:rPr>
        <w:t xml:space="preserve"> </w:t>
      </w:r>
      <w:r w:rsidR="00770FD6">
        <w:rPr>
          <w:rFonts w:ascii="Arial" w:eastAsia="Times New Roman" w:hAnsi="Arial" w:cs="Arial"/>
          <w:color w:val="0000FF"/>
          <w:sz w:val="20"/>
          <w:szCs w:val="20"/>
          <w:lang w:val="en-US" w:eastAsia="en-IL"/>
        </w:rPr>
        <w:t xml:space="preserve"> 5) W combine the </w:t>
      </w:r>
      <w:r w:rsidR="00B833EB">
        <w:rPr>
          <w:rFonts w:ascii="Arial" w:eastAsia="Times New Roman" w:hAnsi="Arial" w:cs="Arial"/>
          <w:color w:val="0000FF"/>
          <w:sz w:val="20"/>
          <w:szCs w:val="20"/>
          <w:lang w:val="en-US" w:eastAsia="en-IL"/>
        </w:rPr>
        <w:t xml:space="preserve">display of </w:t>
      </w:r>
      <w:r w:rsidR="00770FD6">
        <w:rPr>
          <w:rFonts w:ascii="Arial" w:eastAsia="Times New Roman" w:hAnsi="Arial" w:cs="Arial"/>
          <w:color w:val="0000FF"/>
          <w:sz w:val="20"/>
          <w:szCs w:val="20"/>
          <w:lang w:val="en-US" w:eastAsia="en-IL"/>
        </w:rPr>
        <w:t xml:space="preserve">equations 3-4 </w:t>
      </w:r>
      <w:r w:rsidR="00B833EB" w:rsidRPr="00B833EB">
        <w:rPr>
          <w:rFonts w:ascii="Arial" w:eastAsia="Times New Roman" w:hAnsi="Arial" w:cs="Arial"/>
          <w:color w:val="0000FF"/>
          <w:sz w:val="20"/>
          <w:szCs w:val="20"/>
          <w:lang w:val="en-US" w:eastAsia="en-IL"/>
        </w:rPr>
        <w:t xml:space="preserve">and 5-6 because they differ from each other only in the </w:t>
      </w:r>
      <w:r w:rsidR="00B833EB">
        <w:rPr>
          <w:rFonts w:ascii="Arial" w:eastAsia="Times New Roman" w:hAnsi="Arial" w:cs="Arial"/>
          <w:color w:val="0000FF"/>
          <w:sz w:val="20"/>
          <w:szCs w:val="20"/>
          <w:lang w:val="en-US" w:eastAsia="en-IL"/>
        </w:rPr>
        <w:t>dependent</w:t>
      </w:r>
      <w:r w:rsidR="00B833EB" w:rsidRPr="00B833EB">
        <w:rPr>
          <w:rFonts w:ascii="Arial" w:eastAsia="Times New Roman" w:hAnsi="Arial" w:cs="Arial"/>
          <w:color w:val="0000FF"/>
          <w:sz w:val="20"/>
          <w:szCs w:val="20"/>
          <w:lang w:val="en-US" w:eastAsia="en-IL"/>
        </w:rPr>
        <w:t xml:space="preserve"> variable.</w:t>
      </w:r>
    </w:p>
    <w:p w14:paraId="54F96351" w14:textId="77777777" w:rsidR="00B833EB" w:rsidRDefault="00B833EB" w:rsidP="00DB2089">
      <w:pPr>
        <w:spacing w:before="75" w:after="75" w:line="360" w:lineRule="auto"/>
        <w:rPr>
          <w:rFonts w:ascii="Arial" w:eastAsia="Times New Roman" w:hAnsi="Arial" w:cs="Arial"/>
          <w:color w:val="0000FF"/>
          <w:sz w:val="20"/>
          <w:szCs w:val="20"/>
          <w:lang w:val="en-US" w:eastAsia="en-IL"/>
        </w:rPr>
      </w:pPr>
    </w:p>
    <w:p w14:paraId="5EDF855F" w14:textId="00AA7D0C" w:rsidR="003F5EEA" w:rsidRPr="00E76D2A" w:rsidRDefault="003F5EEA" w:rsidP="003F5EEA">
      <w:pPr>
        <w:ind w:left="-426" w:right="-766"/>
        <w:jc w:val="both"/>
        <w:rPr>
          <w:rFonts w:cstheme="majorBidi"/>
          <w:color w:val="0000FF"/>
        </w:rPr>
      </w:pPr>
      <w:r w:rsidRPr="00E76D2A">
        <w:rPr>
          <w:rFonts w:cstheme="majorBidi"/>
          <w:color w:val="0000FF"/>
        </w:rPr>
        <w:t>Finally, we would like to thank you again for the time and effort spent on the previous version of our manuscript. The insightful comments and suggestions are all valuable and very helpful for revising and improving our manuscript.</w:t>
      </w:r>
    </w:p>
    <w:p w14:paraId="400C71B1" w14:textId="77777777" w:rsidR="003F5EEA" w:rsidRDefault="003F5EEA" w:rsidP="003F5EEA">
      <w:pPr>
        <w:ind w:left="-426" w:right="-766"/>
        <w:jc w:val="both"/>
        <w:rPr>
          <w:rFonts w:cstheme="majorBidi"/>
          <w:color w:val="0000FF"/>
        </w:rPr>
      </w:pPr>
      <w:r w:rsidRPr="00E76D2A">
        <w:rPr>
          <w:rFonts w:cstheme="majorBidi"/>
          <w:color w:val="0000FF"/>
        </w:rPr>
        <w:t>Sincerely, the Authors</w:t>
      </w:r>
    </w:p>
    <w:p w14:paraId="59A57229" w14:textId="51725D3A" w:rsidR="003F5EEA" w:rsidRDefault="003F5EEA" w:rsidP="00796D92">
      <w:pPr>
        <w:spacing w:before="75" w:after="75" w:line="240" w:lineRule="auto"/>
        <w:rPr>
          <w:rFonts w:ascii="Arial" w:eastAsia="Times New Roman" w:hAnsi="Arial" w:cs="Arial"/>
          <w:color w:val="0A0A0A"/>
          <w:sz w:val="20"/>
          <w:szCs w:val="20"/>
          <w:rtl/>
          <w:lang w:val="en-US" w:eastAsia="en-IL"/>
        </w:rPr>
      </w:pPr>
    </w:p>
    <w:p w14:paraId="3CC44FAF" w14:textId="3A738DD1" w:rsidR="004B1A7C" w:rsidRPr="00796D92" w:rsidRDefault="004B1A7C" w:rsidP="00B911BC">
      <w:pPr>
        <w:spacing w:before="75" w:after="75" w:line="240" w:lineRule="auto"/>
        <w:rPr>
          <w:rFonts w:ascii="Arial" w:eastAsia="Times New Roman" w:hAnsi="Arial" w:cs="Arial"/>
          <w:color w:val="0A0A0A"/>
          <w:sz w:val="20"/>
          <w:szCs w:val="20"/>
          <w:lang w:val="en-US" w:eastAsia="en-IL"/>
        </w:rPr>
      </w:pPr>
      <w:r>
        <w:rPr>
          <w:rFonts w:ascii="Arial" w:eastAsia="Times New Roman" w:hAnsi="Arial" w:cs="Arial" w:hint="cs"/>
          <w:color w:val="0A0A0A"/>
          <w:sz w:val="20"/>
          <w:szCs w:val="20"/>
          <w:rtl/>
          <w:lang w:val="en-US" w:eastAsia="en-IL"/>
        </w:rPr>
        <w:t xml:space="preserve"> </w:t>
      </w:r>
    </w:p>
    <w:p w14:paraId="62AE72E3" w14:textId="77777777" w:rsidR="009D7247" w:rsidRPr="00357915" w:rsidRDefault="009D7247" w:rsidP="00C000B6">
      <w:pPr>
        <w:tabs>
          <w:tab w:val="num" w:pos="0"/>
        </w:tabs>
        <w:spacing w:after="0" w:line="240" w:lineRule="auto"/>
        <w:rPr>
          <w:rFonts w:ascii="Arial" w:eastAsia="Times New Roman" w:hAnsi="Arial" w:cs="Arial"/>
          <w:color w:val="0A0A0A"/>
          <w:sz w:val="20"/>
          <w:szCs w:val="20"/>
          <w:lang w:eastAsia="en-IL"/>
        </w:rPr>
      </w:pPr>
    </w:p>
    <w:p w14:paraId="597A66E0" w14:textId="77777777" w:rsidR="009D7247" w:rsidRPr="00357915" w:rsidRDefault="009D7247" w:rsidP="009D7247">
      <w:pPr>
        <w:spacing w:after="0" w:line="240" w:lineRule="auto"/>
        <w:rPr>
          <w:rFonts w:ascii="Arial" w:eastAsia="Times New Roman" w:hAnsi="Arial" w:cs="Arial"/>
          <w:color w:val="0A0A0A"/>
          <w:sz w:val="20"/>
          <w:szCs w:val="20"/>
          <w:lang w:eastAsia="en-IL"/>
        </w:rPr>
      </w:pPr>
      <w:r w:rsidRPr="00357915">
        <w:rPr>
          <w:rFonts w:ascii="Arial" w:eastAsia="Times New Roman" w:hAnsi="Arial" w:cs="Arial"/>
          <w:color w:val="0A0A0A"/>
          <w:sz w:val="20"/>
          <w:szCs w:val="20"/>
          <w:lang w:eastAsia="en-IL"/>
        </w:rPr>
        <w:t>Submission Date</w:t>
      </w:r>
    </w:p>
    <w:p w14:paraId="47C9753E" w14:textId="77777777" w:rsidR="009D7247" w:rsidRPr="00357915" w:rsidRDefault="009D7247" w:rsidP="009D7247">
      <w:pPr>
        <w:spacing w:after="0" w:line="240" w:lineRule="auto"/>
        <w:rPr>
          <w:rFonts w:ascii="Arial" w:eastAsia="Times New Roman" w:hAnsi="Arial" w:cs="Arial"/>
          <w:color w:val="0A0A0A"/>
          <w:sz w:val="20"/>
          <w:szCs w:val="20"/>
          <w:lang w:eastAsia="en-IL"/>
        </w:rPr>
      </w:pPr>
      <w:r w:rsidRPr="00357915">
        <w:rPr>
          <w:rFonts w:ascii="Arial" w:eastAsia="Times New Roman" w:hAnsi="Arial" w:cs="Arial"/>
          <w:color w:val="0A0A0A"/>
          <w:sz w:val="20"/>
          <w:szCs w:val="20"/>
          <w:lang w:eastAsia="en-IL"/>
        </w:rPr>
        <w:t>19 July 2021</w:t>
      </w:r>
    </w:p>
    <w:p w14:paraId="16A3AB82" w14:textId="77777777" w:rsidR="009D7247" w:rsidRPr="00357915" w:rsidRDefault="009D7247" w:rsidP="009D7247">
      <w:pPr>
        <w:spacing w:after="0" w:line="240" w:lineRule="auto"/>
        <w:rPr>
          <w:rFonts w:ascii="Arial" w:eastAsia="Times New Roman" w:hAnsi="Arial" w:cs="Arial"/>
          <w:color w:val="0A0A0A"/>
          <w:sz w:val="20"/>
          <w:szCs w:val="20"/>
          <w:lang w:eastAsia="en-IL"/>
        </w:rPr>
      </w:pPr>
      <w:r w:rsidRPr="00357915">
        <w:rPr>
          <w:rFonts w:ascii="Arial" w:eastAsia="Times New Roman" w:hAnsi="Arial" w:cs="Arial"/>
          <w:color w:val="0A0A0A"/>
          <w:sz w:val="20"/>
          <w:szCs w:val="20"/>
          <w:lang w:eastAsia="en-IL"/>
        </w:rPr>
        <w:t>Date of this review</w:t>
      </w:r>
    </w:p>
    <w:p w14:paraId="1FF767DB" w14:textId="77777777" w:rsidR="009D7247" w:rsidRPr="00357915" w:rsidRDefault="009D7247" w:rsidP="009D7247">
      <w:pPr>
        <w:spacing w:after="0" w:line="240" w:lineRule="auto"/>
        <w:rPr>
          <w:rFonts w:ascii="Arial" w:eastAsia="Times New Roman" w:hAnsi="Arial" w:cs="Arial"/>
          <w:color w:val="0A0A0A"/>
          <w:sz w:val="20"/>
          <w:szCs w:val="20"/>
          <w:lang w:eastAsia="en-IL"/>
        </w:rPr>
      </w:pPr>
      <w:r w:rsidRPr="00357915">
        <w:rPr>
          <w:rFonts w:ascii="Arial" w:eastAsia="Times New Roman" w:hAnsi="Arial" w:cs="Arial"/>
          <w:color w:val="0A0A0A"/>
          <w:sz w:val="20"/>
          <w:szCs w:val="20"/>
          <w:lang w:eastAsia="en-IL"/>
        </w:rPr>
        <w:t>25 Jul 2021 23:02:54</w:t>
      </w:r>
    </w:p>
    <w:p w14:paraId="4E3B8C4F" w14:textId="77777777" w:rsidR="00ED68C3" w:rsidRDefault="00ED68C3"/>
    <w:sectPr w:rsidR="00ED68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24A1C"/>
    <w:multiLevelType w:val="multilevel"/>
    <w:tmpl w:val="BE8A3E98"/>
    <w:lvl w:ilvl="0">
      <w:start w:val="1"/>
      <w:numFmt w:val="decimal"/>
      <w:lvlText w:val="%1"/>
      <w:lvlJc w:val="left"/>
      <w:pPr>
        <w:ind w:left="1135" w:hanging="360"/>
      </w:pPr>
      <w:rPr>
        <w:rFonts w:hint="default"/>
      </w:rPr>
    </w:lvl>
    <w:lvl w:ilvl="1">
      <w:start w:val="2"/>
      <w:numFmt w:val="decimal"/>
      <w:lvlText w:val="%1.%2"/>
      <w:lvlJc w:val="left"/>
      <w:pPr>
        <w:ind w:left="1419" w:hanging="360"/>
      </w:pPr>
      <w:rPr>
        <w:rFonts w:hint="default"/>
        <w:lang w:val="en-IL"/>
      </w:rPr>
    </w:lvl>
    <w:lvl w:ilvl="2">
      <w:start w:val="1"/>
      <w:numFmt w:val="decimal"/>
      <w:lvlText w:val="%1.%2.%3"/>
      <w:lvlJc w:val="left"/>
      <w:pPr>
        <w:ind w:left="1495" w:hanging="720"/>
      </w:pPr>
      <w:rPr>
        <w:rFonts w:hint="default"/>
      </w:rPr>
    </w:lvl>
    <w:lvl w:ilvl="3">
      <w:start w:val="1"/>
      <w:numFmt w:val="decimal"/>
      <w:lvlText w:val="%1.%2.%3.%4"/>
      <w:lvlJc w:val="left"/>
      <w:pPr>
        <w:ind w:left="1495" w:hanging="720"/>
      </w:pPr>
      <w:rPr>
        <w:rFonts w:hint="default"/>
      </w:rPr>
    </w:lvl>
    <w:lvl w:ilvl="4">
      <w:start w:val="1"/>
      <w:numFmt w:val="decimal"/>
      <w:lvlText w:val="%1.%2.%3.%4.%5"/>
      <w:lvlJc w:val="left"/>
      <w:pPr>
        <w:ind w:left="1855" w:hanging="1080"/>
      </w:pPr>
      <w:rPr>
        <w:rFonts w:hint="default"/>
      </w:rPr>
    </w:lvl>
    <w:lvl w:ilvl="5">
      <w:start w:val="1"/>
      <w:numFmt w:val="decimal"/>
      <w:lvlText w:val="%1.%2.%3.%4.%5.%6"/>
      <w:lvlJc w:val="left"/>
      <w:pPr>
        <w:ind w:left="1855" w:hanging="1080"/>
      </w:pPr>
      <w:rPr>
        <w:rFonts w:hint="default"/>
      </w:rPr>
    </w:lvl>
    <w:lvl w:ilvl="6">
      <w:start w:val="1"/>
      <w:numFmt w:val="decimal"/>
      <w:lvlText w:val="%1.%2.%3.%4.%5.%6.%7"/>
      <w:lvlJc w:val="left"/>
      <w:pPr>
        <w:ind w:left="2215" w:hanging="1440"/>
      </w:pPr>
      <w:rPr>
        <w:rFonts w:hint="default"/>
      </w:rPr>
    </w:lvl>
    <w:lvl w:ilvl="7">
      <w:start w:val="1"/>
      <w:numFmt w:val="decimal"/>
      <w:lvlText w:val="%1.%2.%3.%4.%5.%6.%7.%8"/>
      <w:lvlJc w:val="left"/>
      <w:pPr>
        <w:ind w:left="2215" w:hanging="1440"/>
      </w:pPr>
      <w:rPr>
        <w:rFonts w:hint="default"/>
      </w:rPr>
    </w:lvl>
    <w:lvl w:ilvl="8">
      <w:start w:val="1"/>
      <w:numFmt w:val="decimal"/>
      <w:lvlText w:val="%1.%2.%3.%4.%5.%6.%7.%8.%9"/>
      <w:lvlJc w:val="left"/>
      <w:pPr>
        <w:ind w:left="2575" w:hanging="1800"/>
      </w:pPr>
      <w:rPr>
        <w:rFonts w:hint="default"/>
      </w:rPr>
    </w:lvl>
  </w:abstractNum>
  <w:abstractNum w:abstractNumId="1" w15:restartNumberingAfterBreak="0">
    <w:nsid w:val="191C08FD"/>
    <w:multiLevelType w:val="hybridMultilevel"/>
    <w:tmpl w:val="258E041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B6C2AC4"/>
    <w:multiLevelType w:val="hybridMultilevel"/>
    <w:tmpl w:val="92A43650"/>
    <w:lvl w:ilvl="0" w:tplc="2000000F">
      <w:start w:val="1"/>
      <w:numFmt w:val="decimal"/>
      <w:lvlText w:val="%1."/>
      <w:lvlJc w:val="left"/>
      <w:pPr>
        <w:ind w:left="294" w:hanging="360"/>
      </w:pPr>
    </w:lvl>
    <w:lvl w:ilvl="1" w:tplc="20000019" w:tentative="1">
      <w:start w:val="1"/>
      <w:numFmt w:val="lowerLetter"/>
      <w:lvlText w:val="%2."/>
      <w:lvlJc w:val="left"/>
      <w:pPr>
        <w:ind w:left="1014" w:hanging="360"/>
      </w:pPr>
    </w:lvl>
    <w:lvl w:ilvl="2" w:tplc="2000001B" w:tentative="1">
      <w:start w:val="1"/>
      <w:numFmt w:val="lowerRoman"/>
      <w:lvlText w:val="%3."/>
      <w:lvlJc w:val="right"/>
      <w:pPr>
        <w:ind w:left="1734" w:hanging="180"/>
      </w:pPr>
    </w:lvl>
    <w:lvl w:ilvl="3" w:tplc="2000000F" w:tentative="1">
      <w:start w:val="1"/>
      <w:numFmt w:val="decimal"/>
      <w:lvlText w:val="%4."/>
      <w:lvlJc w:val="left"/>
      <w:pPr>
        <w:ind w:left="2454" w:hanging="360"/>
      </w:pPr>
    </w:lvl>
    <w:lvl w:ilvl="4" w:tplc="20000019" w:tentative="1">
      <w:start w:val="1"/>
      <w:numFmt w:val="lowerLetter"/>
      <w:lvlText w:val="%5."/>
      <w:lvlJc w:val="left"/>
      <w:pPr>
        <w:ind w:left="3174" w:hanging="360"/>
      </w:pPr>
    </w:lvl>
    <w:lvl w:ilvl="5" w:tplc="2000001B" w:tentative="1">
      <w:start w:val="1"/>
      <w:numFmt w:val="lowerRoman"/>
      <w:lvlText w:val="%6."/>
      <w:lvlJc w:val="right"/>
      <w:pPr>
        <w:ind w:left="3894" w:hanging="180"/>
      </w:pPr>
    </w:lvl>
    <w:lvl w:ilvl="6" w:tplc="2000000F" w:tentative="1">
      <w:start w:val="1"/>
      <w:numFmt w:val="decimal"/>
      <w:lvlText w:val="%7."/>
      <w:lvlJc w:val="left"/>
      <w:pPr>
        <w:ind w:left="4614" w:hanging="360"/>
      </w:pPr>
    </w:lvl>
    <w:lvl w:ilvl="7" w:tplc="20000019" w:tentative="1">
      <w:start w:val="1"/>
      <w:numFmt w:val="lowerLetter"/>
      <w:lvlText w:val="%8."/>
      <w:lvlJc w:val="left"/>
      <w:pPr>
        <w:ind w:left="5334" w:hanging="360"/>
      </w:pPr>
    </w:lvl>
    <w:lvl w:ilvl="8" w:tplc="2000001B" w:tentative="1">
      <w:start w:val="1"/>
      <w:numFmt w:val="lowerRoman"/>
      <w:lvlText w:val="%9."/>
      <w:lvlJc w:val="right"/>
      <w:pPr>
        <w:ind w:left="6054" w:hanging="180"/>
      </w:pPr>
    </w:lvl>
  </w:abstractNum>
  <w:abstractNum w:abstractNumId="3" w15:restartNumberingAfterBreak="0">
    <w:nsid w:val="272A1F09"/>
    <w:multiLevelType w:val="hybridMultilevel"/>
    <w:tmpl w:val="B9963C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03D46E8"/>
    <w:multiLevelType w:val="hybridMultilevel"/>
    <w:tmpl w:val="07F2256A"/>
    <w:lvl w:ilvl="0" w:tplc="A6F46178">
      <w:start w:val="1"/>
      <w:numFmt w:val="decimal"/>
      <w:lvlText w:val="%1."/>
      <w:lvlJc w:val="left"/>
      <w:pPr>
        <w:ind w:left="3196" w:hanging="360"/>
      </w:pPr>
      <w:rPr>
        <w:lang w:val="en-U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87472BA"/>
    <w:multiLevelType w:val="hybridMultilevel"/>
    <w:tmpl w:val="0F84BAAA"/>
    <w:lvl w:ilvl="0" w:tplc="7D56C012">
      <w:start w:val="1"/>
      <w:numFmt w:val="decimal"/>
      <w:lvlText w:val="%1)"/>
      <w:lvlJc w:val="left"/>
      <w:pPr>
        <w:ind w:left="-66" w:hanging="360"/>
      </w:pPr>
      <w:rPr>
        <w:rFonts w:hint="default"/>
      </w:rPr>
    </w:lvl>
    <w:lvl w:ilvl="1" w:tplc="20000019" w:tentative="1">
      <w:start w:val="1"/>
      <w:numFmt w:val="lowerLetter"/>
      <w:lvlText w:val="%2."/>
      <w:lvlJc w:val="left"/>
      <w:pPr>
        <w:ind w:left="654" w:hanging="360"/>
      </w:pPr>
    </w:lvl>
    <w:lvl w:ilvl="2" w:tplc="2000001B" w:tentative="1">
      <w:start w:val="1"/>
      <w:numFmt w:val="lowerRoman"/>
      <w:lvlText w:val="%3."/>
      <w:lvlJc w:val="right"/>
      <w:pPr>
        <w:ind w:left="1374" w:hanging="180"/>
      </w:pPr>
    </w:lvl>
    <w:lvl w:ilvl="3" w:tplc="2000000F" w:tentative="1">
      <w:start w:val="1"/>
      <w:numFmt w:val="decimal"/>
      <w:lvlText w:val="%4."/>
      <w:lvlJc w:val="left"/>
      <w:pPr>
        <w:ind w:left="2094" w:hanging="360"/>
      </w:pPr>
    </w:lvl>
    <w:lvl w:ilvl="4" w:tplc="20000019" w:tentative="1">
      <w:start w:val="1"/>
      <w:numFmt w:val="lowerLetter"/>
      <w:lvlText w:val="%5."/>
      <w:lvlJc w:val="left"/>
      <w:pPr>
        <w:ind w:left="2814" w:hanging="360"/>
      </w:pPr>
    </w:lvl>
    <w:lvl w:ilvl="5" w:tplc="2000001B" w:tentative="1">
      <w:start w:val="1"/>
      <w:numFmt w:val="lowerRoman"/>
      <w:lvlText w:val="%6."/>
      <w:lvlJc w:val="right"/>
      <w:pPr>
        <w:ind w:left="3534" w:hanging="180"/>
      </w:pPr>
    </w:lvl>
    <w:lvl w:ilvl="6" w:tplc="2000000F" w:tentative="1">
      <w:start w:val="1"/>
      <w:numFmt w:val="decimal"/>
      <w:lvlText w:val="%7."/>
      <w:lvlJc w:val="left"/>
      <w:pPr>
        <w:ind w:left="4254" w:hanging="360"/>
      </w:pPr>
    </w:lvl>
    <w:lvl w:ilvl="7" w:tplc="20000019" w:tentative="1">
      <w:start w:val="1"/>
      <w:numFmt w:val="lowerLetter"/>
      <w:lvlText w:val="%8."/>
      <w:lvlJc w:val="left"/>
      <w:pPr>
        <w:ind w:left="4974" w:hanging="360"/>
      </w:pPr>
    </w:lvl>
    <w:lvl w:ilvl="8" w:tplc="2000001B" w:tentative="1">
      <w:start w:val="1"/>
      <w:numFmt w:val="lowerRoman"/>
      <w:lvlText w:val="%9."/>
      <w:lvlJc w:val="right"/>
      <w:pPr>
        <w:ind w:left="5694" w:hanging="180"/>
      </w:pPr>
    </w:lvl>
  </w:abstractNum>
  <w:abstractNum w:abstractNumId="6" w15:restartNumberingAfterBreak="0">
    <w:nsid w:val="40827691"/>
    <w:multiLevelType w:val="multilevel"/>
    <w:tmpl w:val="83B0925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
  </w:num>
  <w:num w:numId="3">
    <w:abstractNumId w:val="2"/>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247"/>
    <w:rsid w:val="00022115"/>
    <w:rsid w:val="00065434"/>
    <w:rsid w:val="0007132E"/>
    <w:rsid w:val="000841A5"/>
    <w:rsid w:val="000945F7"/>
    <w:rsid w:val="000A7AB3"/>
    <w:rsid w:val="000E1393"/>
    <w:rsid w:val="000E5B8E"/>
    <w:rsid w:val="000E60E6"/>
    <w:rsid w:val="001070B2"/>
    <w:rsid w:val="001100A2"/>
    <w:rsid w:val="001115DF"/>
    <w:rsid w:val="00141E6B"/>
    <w:rsid w:val="0015077D"/>
    <w:rsid w:val="00155AE3"/>
    <w:rsid w:val="0016284E"/>
    <w:rsid w:val="0019113B"/>
    <w:rsid w:val="001A21BF"/>
    <w:rsid w:val="001A6641"/>
    <w:rsid w:val="001B3777"/>
    <w:rsid w:val="001D43BD"/>
    <w:rsid w:val="002223EA"/>
    <w:rsid w:val="00247238"/>
    <w:rsid w:val="00247FC7"/>
    <w:rsid w:val="002617BD"/>
    <w:rsid w:val="0026589C"/>
    <w:rsid w:val="002701F4"/>
    <w:rsid w:val="00271914"/>
    <w:rsid w:val="00291E5A"/>
    <w:rsid w:val="00292DF9"/>
    <w:rsid w:val="00296033"/>
    <w:rsid w:val="00296415"/>
    <w:rsid w:val="00296DCF"/>
    <w:rsid w:val="002F4383"/>
    <w:rsid w:val="003020D4"/>
    <w:rsid w:val="00312243"/>
    <w:rsid w:val="00312CB9"/>
    <w:rsid w:val="00321FD3"/>
    <w:rsid w:val="003242C4"/>
    <w:rsid w:val="00324A0D"/>
    <w:rsid w:val="003261CC"/>
    <w:rsid w:val="003355BB"/>
    <w:rsid w:val="00347932"/>
    <w:rsid w:val="003B4DF0"/>
    <w:rsid w:val="003E3553"/>
    <w:rsid w:val="003F3052"/>
    <w:rsid w:val="003F5EEA"/>
    <w:rsid w:val="003F609D"/>
    <w:rsid w:val="004061BA"/>
    <w:rsid w:val="00415609"/>
    <w:rsid w:val="00430476"/>
    <w:rsid w:val="00431241"/>
    <w:rsid w:val="00440375"/>
    <w:rsid w:val="00462416"/>
    <w:rsid w:val="00462584"/>
    <w:rsid w:val="004714C3"/>
    <w:rsid w:val="004742D9"/>
    <w:rsid w:val="004856FC"/>
    <w:rsid w:val="004909F7"/>
    <w:rsid w:val="004A6A1B"/>
    <w:rsid w:val="004B1A7C"/>
    <w:rsid w:val="004C243A"/>
    <w:rsid w:val="00585080"/>
    <w:rsid w:val="005912B5"/>
    <w:rsid w:val="00592DF3"/>
    <w:rsid w:val="00594AC2"/>
    <w:rsid w:val="005A099A"/>
    <w:rsid w:val="005B1B27"/>
    <w:rsid w:val="005B6654"/>
    <w:rsid w:val="005C2549"/>
    <w:rsid w:val="005C5CED"/>
    <w:rsid w:val="005F6160"/>
    <w:rsid w:val="006046A8"/>
    <w:rsid w:val="006122B5"/>
    <w:rsid w:val="00625E53"/>
    <w:rsid w:val="00676152"/>
    <w:rsid w:val="006A4820"/>
    <w:rsid w:val="006B73FC"/>
    <w:rsid w:val="006C4BBD"/>
    <w:rsid w:val="006D67B6"/>
    <w:rsid w:val="006E1E0D"/>
    <w:rsid w:val="006E3817"/>
    <w:rsid w:val="006E4C1C"/>
    <w:rsid w:val="007113F7"/>
    <w:rsid w:val="00716C76"/>
    <w:rsid w:val="00724F2D"/>
    <w:rsid w:val="00731DAE"/>
    <w:rsid w:val="007369E1"/>
    <w:rsid w:val="00744E7D"/>
    <w:rsid w:val="00770FD6"/>
    <w:rsid w:val="007716CD"/>
    <w:rsid w:val="007825B9"/>
    <w:rsid w:val="00784F46"/>
    <w:rsid w:val="007902FD"/>
    <w:rsid w:val="00791133"/>
    <w:rsid w:val="00796D92"/>
    <w:rsid w:val="007A4908"/>
    <w:rsid w:val="007C57A5"/>
    <w:rsid w:val="007D2DFF"/>
    <w:rsid w:val="007D661C"/>
    <w:rsid w:val="007F2475"/>
    <w:rsid w:val="00802EE9"/>
    <w:rsid w:val="00813B14"/>
    <w:rsid w:val="008200F6"/>
    <w:rsid w:val="008306B6"/>
    <w:rsid w:val="008342F0"/>
    <w:rsid w:val="008415F9"/>
    <w:rsid w:val="00875A55"/>
    <w:rsid w:val="008A5F98"/>
    <w:rsid w:val="008C5FBC"/>
    <w:rsid w:val="008C61C7"/>
    <w:rsid w:val="008E4635"/>
    <w:rsid w:val="008E5930"/>
    <w:rsid w:val="00913292"/>
    <w:rsid w:val="009174B0"/>
    <w:rsid w:val="00926CFD"/>
    <w:rsid w:val="00926EB2"/>
    <w:rsid w:val="009533A0"/>
    <w:rsid w:val="00955887"/>
    <w:rsid w:val="009662EB"/>
    <w:rsid w:val="00992823"/>
    <w:rsid w:val="0099479A"/>
    <w:rsid w:val="009D7247"/>
    <w:rsid w:val="009E4B8C"/>
    <w:rsid w:val="00A06C53"/>
    <w:rsid w:val="00A23938"/>
    <w:rsid w:val="00A62451"/>
    <w:rsid w:val="00A75783"/>
    <w:rsid w:val="00A918FD"/>
    <w:rsid w:val="00AC285C"/>
    <w:rsid w:val="00AF369B"/>
    <w:rsid w:val="00B00655"/>
    <w:rsid w:val="00B2525F"/>
    <w:rsid w:val="00B30EF2"/>
    <w:rsid w:val="00B54FC4"/>
    <w:rsid w:val="00B634EA"/>
    <w:rsid w:val="00B637B1"/>
    <w:rsid w:val="00B650CF"/>
    <w:rsid w:val="00B800CC"/>
    <w:rsid w:val="00B833EB"/>
    <w:rsid w:val="00B911BC"/>
    <w:rsid w:val="00BA7F5A"/>
    <w:rsid w:val="00BB2DD5"/>
    <w:rsid w:val="00BB4BDD"/>
    <w:rsid w:val="00BE002B"/>
    <w:rsid w:val="00BE3175"/>
    <w:rsid w:val="00BF6CCF"/>
    <w:rsid w:val="00C000B6"/>
    <w:rsid w:val="00C002E2"/>
    <w:rsid w:val="00C108E0"/>
    <w:rsid w:val="00C2219C"/>
    <w:rsid w:val="00C319CF"/>
    <w:rsid w:val="00C32742"/>
    <w:rsid w:val="00C52B08"/>
    <w:rsid w:val="00C8553D"/>
    <w:rsid w:val="00CB1C25"/>
    <w:rsid w:val="00D043C6"/>
    <w:rsid w:val="00D13915"/>
    <w:rsid w:val="00D3005F"/>
    <w:rsid w:val="00D44D1A"/>
    <w:rsid w:val="00D748CA"/>
    <w:rsid w:val="00D74E15"/>
    <w:rsid w:val="00D7549F"/>
    <w:rsid w:val="00D7595C"/>
    <w:rsid w:val="00D802ED"/>
    <w:rsid w:val="00D849C3"/>
    <w:rsid w:val="00D93387"/>
    <w:rsid w:val="00D9419C"/>
    <w:rsid w:val="00DA3DA1"/>
    <w:rsid w:val="00DB2089"/>
    <w:rsid w:val="00DC6E5F"/>
    <w:rsid w:val="00E02060"/>
    <w:rsid w:val="00E349F5"/>
    <w:rsid w:val="00E36CFB"/>
    <w:rsid w:val="00E664A2"/>
    <w:rsid w:val="00E84EB5"/>
    <w:rsid w:val="00EA0CBD"/>
    <w:rsid w:val="00EC0588"/>
    <w:rsid w:val="00EC0F69"/>
    <w:rsid w:val="00ED68C3"/>
    <w:rsid w:val="00F03D40"/>
    <w:rsid w:val="00F04686"/>
    <w:rsid w:val="00F0725D"/>
    <w:rsid w:val="00F14570"/>
    <w:rsid w:val="00F17C9C"/>
    <w:rsid w:val="00F366E7"/>
    <w:rsid w:val="00F42070"/>
    <w:rsid w:val="00F50841"/>
    <w:rsid w:val="00F5318B"/>
    <w:rsid w:val="00F6103D"/>
    <w:rsid w:val="00F67CB6"/>
    <w:rsid w:val="00F73490"/>
    <w:rsid w:val="00F7663D"/>
    <w:rsid w:val="00F77290"/>
    <w:rsid w:val="00FB53A2"/>
    <w:rsid w:val="00FE1F5F"/>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B22C9"/>
  <w15:chartTrackingRefBased/>
  <w15:docId w15:val="{BED8CD7A-763E-42B3-85F0-D7D97B51C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72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0B6"/>
    <w:pPr>
      <w:ind w:left="720"/>
      <w:contextualSpacing/>
    </w:pPr>
  </w:style>
  <w:style w:type="character" w:customStyle="1" w:styleId="tlid-translation">
    <w:name w:val="tlid-translation"/>
    <w:basedOn w:val="DefaultParagraphFont"/>
    <w:rsid w:val="00110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26772">
      <w:bodyDiv w:val="1"/>
      <w:marLeft w:val="0"/>
      <w:marRight w:val="0"/>
      <w:marTop w:val="0"/>
      <w:marBottom w:val="0"/>
      <w:divBdr>
        <w:top w:val="none" w:sz="0" w:space="0" w:color="auto"/>
        <w:left w:val="none" w:sz="0" w:space="0" w:color="auto"/>
        <w:bottom w:val="none" w:sz="0" w:space="0" w:color="auto"/>
        <w:right w:val="none" w:sz="0" w:space="0" w:color="auto"/>
      </w:divBdr>
    </w:div>
    <w:div w:id="183056709">
      <w:bodyDiv w:val="1"/>
      <w:marLeft w:val="0"/>
      <w:marRight w:val="0"/>
      <w:marTop w:val="0"/>
      <w:marBottom w:val="0"/>
      <w:divBdr>
        <w:top w:val="none" w:sz="0" w:space="0" w:color="auto"/>
        <w:left w:val="none" w:sz="0" w:space="0" w:color="auto"/>
        <w:bottom w:val="none" w:sz="0" w:space="0" w:color="auto"/>
        <w:right w:val="none" w:sz="0" w:space="0" w:color="auto"/>
      </w:divBdr>
    </w:div>
    <w:div w:id="345593600">
      <w:bodyDiv w:val="1"/>
      <w:marLeft w:val="0"/>
      <w:marRight w:val="0"/>
      <w:marTop w:val="0"/>
      <w:marBottom w:val="0"/>
      <w:divBdr>
        <w:top w:val="none" w:sz="0" w:space="0" w:color="auto"/>
        <w:left w:val="none" w:sz="0" w:space="0" w:color="auto"/>
        <w:bottom w:val="none" w:sz="0" w:space="0" w:color="auto"/>
        <w:right w:val="none" w:sz="0" w:space="0" w:color="auto"/>
      </w:divBdr>
    </w:div>
    <w:div w:id="531578363">
      <w:bodyDiv w:val="1"/>
      <w:marLeft w:val="0"/>
      <w:marRight w:val="0"/>
      <w:marTop w:val="0"/>
      <w:marBottom w:val="0"/>
      <w:divBdr>
        <w:top w:val="none" w:sz="0" w:space="0" w:color="auto"/>
        <w:left w:val="none" w:sz="0" w:space="0" w:color="auto"/>
        <w:bottom w:val="none" w:sz="0" w:space="0" w:color="auto"/>
        <w:right w:val="none" w:sz="0" w:space="0" w:color="auto"/>
      </w:divBdr>
    </w:div>
    <w:div w:id="534662374">
      <w:bodyDiv w:val="1"/>
      <w:marLeft w:val="0"/>
      <w:marRight w:val="0"/>
      <w:marTop w:val="0"/>
      <w:marBottom w:val="0"/>
      <w:divBdr>
        <w:top w:val="none" w:sz="0" w:space="0" w:color="auto"/>
        <w:left w:val="none" w:sz="0" w:space="0" w:color="auto"/>
        <w:bottom w:val="none" w:sz="0" w:space="0" w:color="auto"/>
        <w:right w:val="none" w:sz="0" w:space="0" w:color="auto"/>
      </w:divBdr>
    </w:div>
    <w:div w:id="543828043">
      <w:bodyDiv w:val="1"/>
      <w:marLeft w:val="0"/>
      <w:marRight w:val="0"/>
      <w:marTop w:val="0"/>
      <w:marBottom w:val="0"/>
      <w:divBdr>
        <w:top w:val="none" w:sz="0" w:space="0" w:color="auto"/>
        <w:left w:val="none" w:sz="0" w:space="0" w:color="auto"/>
        <w:bottom w:val="none" w:sz="0" w:space="0" w:color="auto"/>
        <w:right w:val="none" w:sz="0" w:space="0" w:color="auto"/>
      </w:divBdr>
    </w:div>
    <w:div w:id="597106641">
      <w:bodyDiv w:val="1"/>
      <w:marLeft w:val="0"/>
      <w:marRight w:val="0"/>
      <w:marTop w:val="0"/>
      <w:marBottom w:val="0"/>
      <w:divBdr>
        <w:top w:val="none" w:sz="0" w:space="0" w:color="auto"/>
        <w:left w:val="none" w:sz="0" w:space="0" w:color="auto"/>
        <w:bottom w:val="none" w:sz="0" w:space="0" w:color="auto"/>
        <w:right w:val="none" w:sz="0" w:space="0" w:color="auto"/>
      </w:divBdr>
    </w:div>
    <w:div w:id="808597822">
      <w:bodyDiv w:val="1"/>
      <w:marLeft w:val="0"/>
      <w:marRight w:val="0"/>
      <w:marTop w:val="0"/>
      <w:marBottom w:val="0"/>
      <w:divBdr>
        <w:top w:val="none" w:sz="0" w:space="0" w:color="auto"/>
        <w:left w:val="none" w:sz="0" w:space="0" w:color="auto"/>
        <w:bottom w:val="none" w:sz="0" w:space="0" w:color="auto"/>
        <w:right w:val="none" w:sz="0" w:space="0" w:color="auto"/>
      </w:divBdr>
    </w:div>
    <w:div w:id="952204442">
      <w:bodyDiv w:val="1"/>
      <w:marLeft w:val="0"/>
      <w:marRight w:val="0"/>
      <w:marTop w:val="0"/>
      <w:marBottom w:val="0"/>
      <w:divBdr>
        <w:top w:val="none" w:sz="0" w:space="0" w:color="auto"/>
        <w:left w:val="none" w:sz="0" w:space="0" w:color="auto"/>
        <w:bottom w:val="none" w:sz="0" w:space="0" w:color="auto"/>
        <w:right w:val="none" w:sz="0" w:space="0" w:color="auto"/>
      </w:divBdr>
    </w:div>
    <w:div w:id="1049454577">
      <w:bodyDiv w:val="1"/>
      <w:marLeft w:val="0"/>
      <w:marRight w:val="0"/>
      <w:marTop w:val="0"/>
      <w:marBottom w:val="0"/>
      <w:divBdr>
        <w:top w:val="none" w:sz="0" w:space="0" w:color="auto"/>
        <w:left w:val="none" w:sz="0" w:space="0" w:color="auto"/>
        <w:bottom w:val="none" w:sz="0" w:space="0" w:color="auto"/>
        <w:right w:val="none" w:sz="0" w:space="0" w:color="auto"/>
      </w:divBdr>
    </w:div>
    <w:div w:id="1212572364">
      <w:bodyDiv w:val="1"/>
      <w:marLeft w:val="0"/>
      <w:marRight w:val="0"/>
      <w:marTop w:val="0"/>
      <w:marBottom w:val="0"/>
      <w:divBdr>
        <w:top w:val="none" w:sz="0" w:space="0" w:color="auto"/>
        <w:left w:val="none" w:sz="0" w:space="0" w:color="auto"/>
        <w:bottom w:val="none" w:sz="0" w:space="0" w:color="auto"/>
        <w:right w:val="none" w:sz="0" w:space="0" w:color="auto"/>
      </w:divBdr>
    </w:div>
    <w:div w:id="1225261155">
      <w:bodyDiv w:val="1"/>
      <w:marLeft w:val="0"/>
      <w:marRight w:val="0"/>
      <w:marTop w:val="0"/>
      <w:marBottom w:val="0"/>
      <w:divBdr>
        <w:top w:val="none" w:sz="0" w:space="0" w:color="auto"/>
        <w:left w:val="none" w:sz="0" w:space="0" w:color="auto"/>
        <w:bottom w:val="none" w:sz="0" w:space="0" w:color="auto"/>
        <w:right w:val="none" w:sz="0" w:space="0" w:color="auto"/>
      </w:divBdr>
    </w:div>
    <w:div w:id="1370884530">
      <w:bodyDiv w:val="1"/>
      <w:marLeft w:val="0"/>
      <w:marRight w:val="0"/>
      <w:marTop w:val="0"/>
      <w:marBottom w:val="0"/>
      <w:divBdr>
        <w:top w:val="none" w:sz="0" w:space="0" w:color="auto"/>
        <w:left w:val="none" w:sz="0" w:space="0" w:color="auto"/>
        <w:bottom w:val="none" w:sz="0" w:space="0" w:color="auto"/>
        <w:right w:val="none" w:sz="0" w:space="0" w:color="auto"/>
      </w:divBdr>
    </w:div>
    <w:div w:id="1398479975">
      <w:bodyDiv w:val="1"/>
      <w:marLeft w:val="0"/>
      <w:marRight w:val="0"/>
      <w:marTop w:val="0"/>
      <w:marBottom w:val="0"/>
      <w:divBdr>
        <w:top w:val="none" w:sz="0" w:space="0" w:color="auto"/>
        <w:left w:val="none" w:sz="0" w:space="0" w:color="auto"/>
        <w:bottom w:val="none" w:sz="0" w:space="0" w:color="auto"/>
        <w:right w:val="none" w:sz="0" w:space="0" w:color="auto"/>
      </w:divBdr>
    </w:div>
    <w:div w:id="1651061616">
      <w:bodyDiv w:val="1"/>
      <w:marLeft w:val="0"/>
      <w:marRight w:val="0"/>
      <w:marTop w:val="0"/>
      <w:marBottom w:val="0"/>
      <w:divBdr>
        <w:top w:val="none" w:sz="0" w:space="0" w:color="auto"/>
        <w:left w:val="none" w:sz="0" w:space="0" w:color="auto"/>
        <w:bottom w:val="none" w:sz="0" w:space="0" w:color="auto"/>
        <w:right w:val="none" w:sz="0" w:space="0" w:color="auto"/>
      </w:divBdr>
    </w:div>
    <w:div w:id="1685520815">
      <w:bodyDiv w:val="1"/>
      <w:marLeft w:val="0"/>
      <w:marRight w:val="0"/>
      <w:marTop w:val="0"/>
      <w:marBottom w:val="0"/>
      <w:divBdr>
        <w:top w:val="none" w:sz="0" w:space="0" w:color="auto"/>
        <w:left w:val="none" w:sz="0" w:space="0" w:color="auto"/>
        <w:bottom w:val="none" w:sz="0" w:space="0" w:color="auto"/>
        <w:right w:val="none" w:sz="0" w:space="0" w:color="auto"/>
      </w:divBdr>
    </w:div>
    <w:div w:id="1877961245">
      <w:bodyDiv w:val="1"/>
      <w:marLeft w:val="0"/>
      <w:marRight w:val="0"/>
      <w:marTop w:val="0"/>
      <w:marBottom w:val="0"/>
      <w:divBdr>
        <w:top w:val="none" w:sz="0" w:space="0" w:color="auto"/>
        <w:left w:val="none" w:sz="0" w:space="0" w:color="auto"/>
        <w:bottom w:val="none" w:sz="0" w:space="0" w:color="auto"/>
        <w:right w:val="none" w:sz="0" w:space="0" w:color="auto"/>
      </w:divBdr>
    </w:div>
    <w:div w:id="198542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9D71B-4A22-46F7-BFE7-7C3FB5F0C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3282</Words>
  <Characters>18709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Smadar Siev</dc:creator>
  <cp:keywords/>
  <dc:description/>
  <cp:lastModifiedBy>Susan</cp:lastModifiedBy>
  <cp:revision>2</cp:revision>
  <dcterms:created xsi:type="dcterms:W3CDTF">2021-08-26T21:43:00Z</dcterms:created>
  <dcterms:modified xsi:type="dcterms:W3CDTF">2021-08-26T21:43:00Z</dcterms:modified>
</cp:coreProperties>
</file>