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F0C0B4" w14:textId="77777777" w:rsidR="00981847" w:rsidRPr="00535905" w:rsidRDefault="00981847" w:rsidP="00981847">
      <w:pPr>
        <w:pStyle w:val="Title"/>
        <w:rPr>
          <w:rFonts w:asciiTheme="majorBidi" w:hAnsiTheme="majorBidi"/>
          <w:sz w:val="40"/>
          <w:szCs w:val="40"/>
        </w:rPr>
      </w:pPr>
      <w:r w:rsidRPr="007C7064">
        <w:rPr>
          <w:rFonts w:asciiTheme="majorBidi" w:hAnsiTheme="majorBidi"/>
          <w:sz w:val="40"/>
          <w:szCs w:val="40"/>
        </w:rPr>
        <w:t>CHAPTER 32</w:t>
      </w:r>
    </w:p>
    <w:p w14:paraId="3A1D5F9B" w14:textId="77777777" w:rsidR="00981847" w:rsidRPr="00535905" w:rsidRDefault="00981847" w:rsidP="00981847">
      <w:pPr>
        <w:pStyle w:val="Title"/>
        <w:rPr>
          <w:rFonts w:asciiTheme="majorBidi" w:hAnsiTheme="majorBidi"/>
          <w:sz w:val="40"/>
          <w:szCs w:val="40"/>
        </w:rPr>
      </w:pPr>
      <w:r w:rsidRPr="00535905">
        <w:rPr>
          <w:rFonts w:asciiTheme="majorBidi" w:hAnsiTheme="majorBidi"/>
          <w:sz w:val="40"/>
          <w:szCs w:val="40"/>
        </w:rPr>
        <w:t xml:space="preserve">The End of Conquest </w:t>
      </w:r>
      <w:r w:rsidRPr="00535905">
        <w:rPr>
          <w:rFonts w:asciiTheme="majorBidi" w:hAnsiTheme="majorBidi"/>
          <w:sz w:val="40"/>
          <w:szCs w:val="40"/>
        </w:rPr>
        <w:br/>
      </w:r>
      <w:r w:rsidRPr="00535905">
        <w:rPr>
          <w:rFonts w:asciiTheme="majorBidi" w:hAnsiTheme="majorBidi"/>
          <w:sz w:val="28"/>
          <w:szCs w:val="28"/>
        </w:rPr>
        <w:t>(ca. 1130 BC)</w:t>
      </w:r>
    </w:p>
    <w:p w14:paraId="13E98937" w14:textId="77777777" w:rsidR="00981847" w:rsidRPr="009D1A0A" w:rsidRDefault="00981847" w:rsidP="00981847">
      <w:pPr>
        <w:pStyle w:val="Heading1"/>
        <w:rPr>
          <w:szCs w:val="28"/>
        </w:rPr>
      </w:pPr>
      <w:r w:rsidRPr="009D1A0A">
        <w:rPr>
          <w:szCs w:val="28"/>
        </w:rPr>
        <w:t>The Land that Yet Remained</w:t>
      </w:r>
    </w:p>
    <w:p w14:paraId="0141B689" w14:textId="6B923C4C" w:rsidR="00981847" w:rsidRDefault="00981847" w:rsidP="00981847">
      <w:r>
        <w:t xml:space="preserve">At the end of the </w:t>
      </w:r>
      <w:r w:rsidR="00F45691">
        <w:t>Conquest</w:t>
      </w:r>
      <w:r>
        <w:t xml:space="preserve"> Yahweh</w:t>
      </w:r>
      <w:r w:rsidRPr="00F636EA">
        <w:t xml:space="preserve"> said to </w:t>
      </w:r>
      <w:r>
        <w:t>Joshua</w:t>
      </w:r>
      <w:r w:rsidRPr="00F636EA">
        <w:t>, “You are old and advanced in years, and there remain</w:t>
      </w:r>
      <w:r>
        <w:t xml:space="preserve">s yet very much land to possess” (Josh 13:1). Though the victories of Joshua established the Israelites in the Highlands, the peripheral territories and fortified cities within tribal allotments could </w:t>
      </w:r>
      <w:r w:rsidR="004057C1">
        <w:t>not be taken</w:t>
      </w:r>
      <w:r>
        <w:t xml:space="preserve">. </w:t>
      </w:r>
    </w:p>
    <w:p w14:paraId="5104580C" w14:textId="0B239BD8" w:rsidR="00981847" w:rsidRPr="00E77726" w:rsidRDefault="00981847" w:rsidP="00981847">
      <w:pPr>
        <w:pStyle w:val="Indent"/>
      </w:pPr>
      <w:r w:rsidRPr="00E77726">
        <w:t xml:space="preserve">The regions of the Philistines and the </w:t>
      </w:r>
      <w:proofErr w:type="spellStart"/>
      <w:r w:rsidRPr="00E77726">
        <w:t>Geshurites</w:t>
      </w:r>
      <w:proofErr w:type="spellEnd"/>
      <w:r w:rsidRPr="00E77726">
        <w:t xml:space="preserve"> (SE of Philistia) </w:t>
      </w:r>
      <w:r>
        <w:t xml:space="preserve">were among </w:t>
      </w:r>
      <w:r w:rsidR="004057C1">
        <w:t xml:space="preserve">those </w:t>
      </w:r>
      <w:r>
        <w:t>areas</w:t>
      </w:r>
      <w:r w:rsidRPr="00E77726">
        <w:t>.</w:t>
      </w:r>
      <w:r w:rsidRPr="00E77726">
        <w:rPr>
          <w:rStyle w:val="FootnoteReference"/>
          <w:sz w:val="24"/>
          <w:szCs w:val="24"/>
        </w:rPr>
        <w:footnoteReference w:id="1"/>
      </w:r>
      <w:r w:rsidRPr="00E77726">
        <w:t xml:space="preserve"> From the </w:t>
      </w:r>
      <w:proofErr w:type="spellStart"/>
      <w:r w:rsidRPr="00E77726">
        <w:t>Shihor</w:t>
      </w:r>
      <w:proofErr w:type="spellEnd"/>
      <w:r w:rsidRPr="00E77726">
        <w:t xml:space="preserve"> (border of Egypt) to the boundary of </w:t>
      </w:r>
      <w:proofErr w:type="spellStart"/>
      <w:r w:rsidRPr="00E77726">
        <w:t>Ekron</w:t>
      </w:r>
      <w:proofErr w:type="spellEnd"/>
      <w:r w:rsidRPr="00E77726">
        <w:t xml:space="preserve"> the land was </w:t>
      </w:r>
      <w:r w:rsidR="00176899">
        <w:t xml:space="preserve">initially </w:t>
      </w:r>
      <w:r w:rsidRPr="00E77726">
        <w:t>counted as Canaanite</w:t>
      </w:r>
      <w:r>
        <w:t>,</w:t>
      </w:r>
      <w:r w:rsidRPr="00E77726">
        <w:t xml:space="preserve"> though held by the five Philistine rulers </w:t>
      </w:r>
      <w:r w:rsidR="00D938B8">
        <w:t xml:space="preserve">in the time of Joshua </w:t>
      </w:r>
      <w:r w:rsidRPr="00E77726">
        <w:t>(Josh 13:2–4).</w:t>
      </w:r>
      <w:r w:rsidRPr="00E77726">
        <w:rPr>
          <w:rStyle w:val="FootnoteReference"/>
          <w:sz w:val="24"/>
          <w:szCs w:val="24"/>
        </w:rPr>
        <w:footnoteReference w:id="2"/>
      </w:r>
      <w:r w:rsidRPr="00E77726">
        <w:t xml:space="preserve"> </w:t>
      </w:r>
      <w:r w:rsidRPr="007C7064">
        <w:t xml:space="preserve">Unconquered territory extended along the Sharon and </w:t>
      </w:r>
      <w:proofErr w:type="spellStart"/>
      <w:r w:rsidRPr="007C7064">
        <w:t>Acco</w:t>
      </w:r>
      <w:proofErr w:type="spellEnd"/>
      <w:r w:rsidRPr="007C7064">
        <w:t xml:space="preserve"> plains north to the city of </w:t>
      </w:r>
      <w:proofErr w:type="spellStart"/>
      <w:r w:rsidRPr="007C7064">
        <w:t>Gebal</w:t>
      </w:r>
      <w:proofErr w:type="spellEnd"/>
      <w:r w:rsidRPr="007C7064">
        <w:t xml:space="preserve"> (Byblos), east to Baal Gad below Mt. Herman, thence north to </w:t>
      </w:r>
      <w:proofErr w:type="spellStart"/>
      <w:r w:rsidRPr="007C7064">
        <w:t>Lebo</w:t>
      </w:r>
      <w:proofErr w:type="spellEnd"/>
      <w:r w:rsidRPr="007C7064">
        <w:t xml:space="preserve"> Hamath in the Beqaa Valley.</w:t>
      </w:r>
      <w:r w:rsidRPr="00E77726">
        <w:rPr>
          <w:rStyle w:val="FootnoteReference"/>
          <w:sz w:val="24"/>
          <w:szCs w:val="24"/>
        </w:rPr>
        <w:footnoteReference w:id="3"/>
      </w:r>
    </w:p>
    <w:p w14:paraId="2EB299A1" w14:textId="5ECAC4BB" w:rsidR="00981847" w:rsidRDefault="00981847" w:rsidP="00981847">
      <w:pPr>
        <w:pStyle w:val="Indent"/>
      </w:pPr>
      <w:r>
        <w:lastRenderedPageBreak/>
        <w:t>There are</w:t>
      </w:r>
      <w:r w:rsidR="004057C1">
        <w:t xml:space="preserve"> several</w:t>
      </w:r>
      <w:r>
        <w:t xml:space="preserve"> references to Israel’s inability to drive out the Canaanites.</w:t>
      </w:r>
      <w:r>
        <w:rPr>
          <w:rStyle w:val="FootnoteReference"/>
        </w:rPr>
        <w:footnoteReference w:id="4"/>
      </w:r>
      <w:r>
        <w:t xml:space="preserve"> The net effect of the </w:t>
      </w:r>
      <w:r w:rsidR="00F45691">
        <w:t>Conquest</w:t>
      </w:r>
      <w:r>
        <w:t xml:space="preserve"> was not the extermination of the indigenous population but the destruction of any single or potential allied force that could drive the Israelites from the lands they occupied in the Highlands. Though much territory was conquered the dispersed tribes would be tasked individually with continuing the </w:t>
      </w:r>
      <w:r w:rsidR="00834444">
        <w:t>Conquest</w:t>
      </w:r>
      <w:r>
        <w:t xml:space="preserve"> of their tribal lands within once-defeated regions. This would be occurring </w:t>
      </w:r>
      <w:r w:rsidR="005233B4">
        <w:t xml:space="preserve">throughout </w:t>
      </w:r>
      <w:r>
        <w:t>the time of the Judges</w:t>
      </w:r>
      <w:r w:rsidR="005233B4">
        <w:t xml:space="preserve"> and beyond.</w:t>
      </w:r>
    </w:p>
    <w:p w14:paraId="14BC8F8E" w14:textId="77777777" w:rsidR="00981847" w:rsidRDefault="00981847" w:rsidP="00981847">
      <w:pPr>
        <w:jc w:val="center"/>
      </w:pPr>
      <w:r w:rsidRPr="008F0B86">
        <w:rPr>
          <w:noProof/>
          <w:lang w:bidi="he-IL"/>
        </w:rPr>
        <w:drawing>
          <wp:inline distT="0" distB="0" distL="0" distR="0" wp14:anchorId="36EFEFDD" wp14:editId="2DD1D371">
            <wp:extent cx="4280535" cy="3502297"/>
            <wp:effectExtent l="0" t="0" r="12065" b="317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357827" cy="3565537"/>
                    </a:xfrm>
                    <a:prstGeom prst="rect">
                      <a:avLst/>
                    </a:prstGeom>
                  </pic:spPr>
                </pic:pic>
              </a:graphicData>
            </a:graphic>
          </wp:inline>
        </w:drawing>
      </w:r>
    </w:p>
    <w:p w14:paraId="20DBFACD" w14:textId="3BF303FF" w:rsidR="00981847" w:rsidRDefault="00981847" w:rsidP="00981847">
      <w:pPr>
        <w:spacing w:line="240" w:lineRule="auto"/>
        <w:rPr>
          <w:i/>
          <w:sz w:val="20"/>
          <w:szCs w:val="20"/>
        </w:rPr>
      </w:pPr>
      <w:r>
        <w:rPr>
          <w:i/>
          <w:sz w:val="20"/>
          <w:szCs w:val="20"/>
        </w:rPr>
        <w:t>Late-12</w:t>
      </w:r>
      <w:r w:rsidRPr="00125A47">
        <w:rPr>
          <w:i/>
          <w:sz w:val="20"/>
          <w:szCs w:val="20"/>
          <w:vertAlign w:val="superscript"/>
        </w:rPr>
        <w:t>th</w:t>
      </w:r>
      <w:r>
        <w:rPr>
          <w:i/>
          <w:sz w:val="20"/>
          <w:szCs w:val="20"/>
        </w:rPr>
        <w:t>/early-11</w:t>
      </w:r>
      <w:r w:rsidRPr="0032621A">
        <w:rPr>
          <w:i/>
          <w:sz w:val="20"/>
          <w:szCs w:val="20"/>
          <w:vertAlign w:val="superscript"/>
        </w:rPr>
        <w:t>th</w:t>
      </w:r>
      <w:r>
        <w:rPr>
          <w:i/>
          <w:sz w:val="20"/>
          <w:szCs w:val="20"/>
        </w:rPr>
        <w:t xml:space="preserve"> centuries BC: </w:t>
      </w:r>
      <w:r w:rsidRPr="009C4B23">
        <w:rPr>
          <w:i/>
          <w:sz w:val="20"/>
          <w:szCs w:val="20"/>
        </w:rPr>
        <w:t xml:space="preserve">Unconquered Territories </w:t>
      </w:r>
      <w:r w:rsidR="00D60F1E">
        <w:rPr>
          <w:i/>
          <w:sz w:val="20"/>
          <w:szCs w:val="20"/>
        </w:rPr>
        <w:t xml:space="preserve">(dark green tint) </w:t>
      </w:r>
      <w:r>
        <w:rPr>
          <w:i/>
          <w:sz w:val="20"/>
          <w:szCs w:val="20"/>
        </w:rPr>
        <w:t>in southern Canaan included lands along the coast and the Jerusalem corridor (Josh 13)</w:t>
      </w:r>
      <w:r w:rsidRPr="009C4B23">
        <w:rPr>
          <w:i/>
          <w:sz w:val="20"/>
          <w:szCs w:val="20"/>
        </w:rPr>
        <w:t xml:space="preserve">. </w:t>
      </w:r>
      <w:r>
        <w:rPr>
          <w:i/>
          <w:sz w:val="20"/>
          <w:szCs w:val="20"/>
        </w:rPr>
        <w:t>Cities in white font in Judah, Dan, and Benjamin were not conquered during the early tribal occupation period. (</w:t>
      </w:r>
      <w:proofErr w:type="spellStart"/>
      <w:r w:rsidRPr="00146910">
        <w:rPr>
          <w:i/>
          <w:sz w:val="20"/>
          <w:szCs w:val="20"/>
        </w:rPr>
        <w:t>R</w:t>
      </w:r>
      <w:r w:rsidRPr="00146910">
        <w:rPr>
          <w:i/>
          <w:color w:val="5E5E5E"/>
          <w:sz w:val="20"/>
          <w:szCs w:val="20"/>
        </w:rPr>
        <w:t>ø</w:t>
      </w:r>
      <w:r w:rsidRPr="00146910">
        <w:rPr>
          <w:i/>
          <w:sz w:val="20"/>
          <w:szCs w:val="20"/>
        </w:rPr>
        <w:t>hr</w:t>
      </w:r>
      <w:proofErr w:type="spellEnd"/>
      <w:r w:rsidRPr="009C4B23">
        <w:rPr>
          <w:i/>
          <w:sz w:val="20"/>
          <w:szCs w:val="20"/>
        </w:rPr>
        <w:t xml:space="preserve"> Publications</w:t>
      </w:r>
      <w:r>
        <w:rPr>
          <w:i/>
          <w:sz w:val="20"/>
          <w:szCs w:val="20"/>
        </w:rPr>
        <w:t>.)</w:t>
      </w:r>
    </w:p>
    <w:p w14:paraId="32315780" w14:textId="77777777" w:rsidR="00981847" w:rsidRPr="009C4B23" w:rsidRDefault="00981847" w:rsidP="00981847">
      <w:pPr>
        <w:spacing w:line="240" w:lineRule="auto"/>
        <w:rPr>
          <w:i/>
          <w:sz w:val="20"/>
          <w:szCs w:val="20"/>
        </w:rPr>
      </w:pPr>
    </w:p>
    <w:p w14:paraId="29F698DA" w14:textId="77777777" w:rsidR="00981847" w:rsidRDefault="00981847" w:rsidP="00981847">
      <w:pPr>
        <w:jc w:val="center"/>
      </w:pPr>
      <w:r w:rsidRPr="00D00C25">
        <w:rPr>
          <w:noProof/>
          <w:lang w:bidi="he-IL"/>
        </w:rPr>
        <w:lastRenderedPageBreak/>
        <w:drawing>
          <wp:inline distT="0" distB="0" distL="0" distR="0" wp14:anchorId="65A96DF1" wp14:editId="2FEB92DD">
            <wp:extent cx="4246880" cy="3469640"/>
            <wp:effectExtent l="0" t="0" r="0" b="1016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276087" cy="3493502"/>
                    </a:xfrm>
                    <a:prstGeom prst="rect">
                      <a:avLst/>
                    </a:prstGeom>
                  </pic:spPr>
                </pic:pic>
              </a:graphicData>
            </a:graphic>
          </wp:inline>
        </w:drawing>
      </w:r>
    </w:p>
    <w:p w14:paraId="7452A461" w14:textId="27E289FE" w:rsidR="00981847" w:rsidRPr="009C4B23" w:rsidRDefault="00981847" w:rsidP="00981847">
      <w:pPr>
        <w:spacing w:line="240" w:lineRule="auto"/>
        <w:rPr>
          <w:i/>
          <w:sz w:val="20"/>
          <w:szCs w:val="20"/>
        </w:rPr>
      </w:pPr>
      <w:r>
        <w:rPr>
          <w:i/>
          <w:sz w:val="20"/>
          <w:szCs w:val="20"/>
        </w:rPr>
        <w:t>Late-12</w:t>
      </w:r>
      <w:r w:rsidRPr="00125A47">
        <w:rPr>
          <w:i/>
          <w:sz w:val="20"/>
          <w:szCs w:val="20"/>
          <w:vertAlign w:val="superscript"/>
        </w:rPr>
        <w:t>th</w:t>
      </w:r>
      <w:r>
        <w:rPr>
          <w:i/>
          <w:sz w:val="20"/>
          <w:szCs w:val="20"/>
        </w:rPr>
        <w:t xml:space="preserve"> / early-11</w:t>
      </w:r>
      <w:r w:rsidRPr="0032621A">
        <w:rPr>
          <w:i/>
          <w:sz w:val="20"/>
          <w:szCs w:val="20"/>
          <w:vertAlign w:val="superscript"/>
        </w:rPr>
        <w:t>th</w:t>
      </w:r>
      <w:r>
        <w:rPr>
          <w:i/>
          <w:sz w:val="20"/>
          <w:szCs w:val="20"/>
        </w:rPr>
        <w:t xml:space="preserve"> centuries BC: Unconquered Territories in the north</w:t>
      </w:r>
      <w:r w:rsidR="00053075">
        <w:rPr>
          <w:i/>
          <w:sz w:val="20"/>
          <w:szCs w:val="20"/>
        </w:rPr>
        <w:t xml:space="preserve"> (d</w:t>
      </w:r>
      <w:r>
        <w:rPr>
          <w:i/>
          <w:sz w:val="20"/>
          <w:szCs w:val="20"/>
        </w:rPr>
        <w:t>ark green tint</w:t>
      </w:r>
      <w:r w:rsidR="00053075">
        <w:rPr>
          <w:i/>
          <w:sz w:val="20"/>
          <w:szCs w:val="20"/>
        </w:rPr>
        <w:t xml:space="preserve">) </w:t>
      </w:r>
      <w:r>
        <w:rPr>
          <w:i/>
          <w:sz w:val="20"/>
          <w:szCs w:val="20"/>
        </w:rPr>
        <w:t>(Josh 13)</w:t>
      </w:r>
      <w:r w:rsidR="00053075">
        <w:rPr>
          <w:i/>
          <w:sz w:val="20"/>
          <w:szCs w:val="20"/>
        </w:rPr>
        <w:t>. Though some of these towns were initially defeated, c</w:t>
      </w:r>
      <w:r>
        <w:rPr>
          <w:i/>
          <w:sz w:val="20"/>
          <w:szCs w:val="20"/>
        </w:rPr>
        <w:t>ities in white remained unconquered during the early tribal occupation period. (</w:t>
      </w:r>
      <w:proofErr w:type="spellStart"/>
      <w:r w:rsidRPr="00146910">
        <w:rPr>
          <w:i/>
          <w:sz w:val="20"/>
          <w:szCs w:val="20"/>
        </w:rPr>
        <w:t>R</w:t>
      </w:r>
      <w:r w:rsidRPr="00146910">
        <w:rPr>
          <w:i/>
          <w:color w:val="5E5E5E"/>
          <w:sz w:val="20"/>
          <w:szCs w:val="20"/>
        </w:rPr>
        <w:t>ø</w:t>
      </w:r>
      <w:r w:rsidRPr="00146910">
        <w:rPr>
          <w:i/>
          <w:sz w:val="20"/>
          <w:szCs w:val="20"/>
        </w:rPr>
        <w:t>hr</w:t>
      </w:r>
      <w:proofErr w:type="spellEnd"/>
      <w:r w:rsidRPr="009C4B23">
        <w:rPr>
          <w:i/>
          <w:sz w:val="20"/>
          <w:szCs w:val="20"/>
        </w:rPr>
        <w:t xml:space="preserve"> Publications</w:t>
      </w:r>
      <w:r>
        <w:rPr>
          <w:i/>
          <w:sz w:val="20"/>
          <w:szCs w:val="20"/>
        </w:rPr>
        <w:t>.)</w:t>
      </w:r>
    </w:p>
    <w:p w14:paraId="21791E7E" w14:textId="77777777" w:rsidR="00981847" w:rsidRDefault="00981847" w:rsidP="00981847">
      <w:pPr>
        <w:pStyle w:val="Heading1"/>
      </w:pPr>
      <w:r>
        <w:t xml:space="preserve">Tribal Allotments </w:t>
      </w:r>
    </w:p>
    <w:p w14:paraId="3E9387FD" w14:textId="4FE8713B" w:rsidR="00981847" w:rsidRDefault="00981847" w:rsidP="00981847">
      <w:r>
        <w:t xml:space="preserve">The process of allotting the land west of the Jordan began </w:t>
      </w:r>
      <w:r w:rsidR="00053075">
        <w:t xml:space="preserve">at Gilgal </w:t>
      </w:r>
      <w:r>
        <w:t xml:space="preserve">when Caleb staked his claim to the area of Hebron (promised to him by Moses for having given a good report when he spied out the land [Num 13:30]). </w:t>
      </w:r>
      <w:r w:rsidRPr="00E40FA4">
        <w:t>The</w:t>
      </w:r>
      <w:r>
        <w:t xml:space="preserve"> occasion of this land-</w:t>
      </w:r>
      <w:r w:rsidRPr="00E40FA4">
        <w:t xml:space="preserve">grant provides a basis for determining the duration of the </w:t>
      </w:r>
      <w:r w:rsidR="00834444">
        <w:t>C</w:t>
      </w:r>
      <w:r>
        <w:t>onquest from the text</w:t>
      </w:r>
      <w:r w:rsidRPr="00E40FA4">
        <w:t>.</w:t>
      </w:r>
    </w:p>
    <w:p w14:paraId="3CD4C1F0" w14:textId="05C572AF" w:rsidR="00981847" w:rsidRDefault="00981847" w:rsidP="00981847">
      <w:pPr>
        <w:pStyle w:val="Indent"/>
      </w:pPr>
      <w:r>
        <w:t>Caleb testified that 45 years had passed since the time he spied out the land (before the wandering period began). He was 85 when he requested his allotment.</w:t>
      </w:r>
      <w:r>
        <w:rPr>
          <w:rStyle w:val="FootnoteReference"/>
        </w:rPr>
        <w:footnoteReference w:id="5"/>
      </w:r>
      <w:r>
        <w:t xml:space="preserve"> </w:t>
      </w:r>
      <w:r w:rsidR="00053075">
        <w:t>Allowing a 40</w:t>
      </w:r>
      <w:r w:rsidR="00D05903">
        <w:t>-</w:t>
      </w:r>
      <w:r w:rsidR="00053075">
        <w:t>year period for the wandering i</w:t>
      </w:r>
      <w:r>
        <w:t xml:space="preserve">t follows that the </w:t>
      </w:r>
      <w:r w:rsidR="00F45691">
        <w:t>Conquest</w:t>
      </w:r>
      <w:r>
        <w:t xml:space="preserve"> had been in progress approximately five years when the allotment of the land west of the Jordan began (Josh 14:6–15). </w:t>
      </w:r>
    </w:p>
    <w:p w14:paraId="4920E389" w14:textId="5FB0F5AC" w:rsidR="00981847" w:rsidRDefault="00981847" w:rsidP="00981847">
      <w:pPr>
        <w:pStyle w:val="Indent"/>
      </w:pPr>
      <w:r>
        <w:t xml:space="preserve">Initial allotments </w:t>
      </w:r>
      <w:r w:rsidR="006E2E5F">
        <w:t xml:space="preserve">west of the Jordan </w:t>
      </w:r>
      <w:r>
        <w:t xml:space="preserve">were also given to Judah, Manasseh, and Ephraim </w:t>
      </w:r>
      <w:r w:rsidR="006E2E5F">
        <w:t xml:space="preserve">while Israel was still encamped </w:t>
      </w:r>
      <w:r>
        <w:t xml:space="preserve">at Gilgal. The next step in the allotment process occurred at a </w:t>
      </w:r>
      <w:r>
        <w:lastRenderedPageBreak/>
        <w:t xml:space="preserve">convocation of the people in the Highlands at Shiloh. At that time the land lay “subdued” before the Israelites. Seven tribes had not yet received their allotments nor had the allotted tribes </w:t>
      </w:r>
      <w:r w:rsidR="006E2E5F">
        <w:t xml:space="preserve">apparently </w:t>
      </w:r>
      <w:r>
        <w:t>gone up to possess the</w:t>
      </w:r>
      <w:r w:rsidR="006E2E5F">
        <w:t>ir</w:t>
      </w:r>
      <w:r>
        <w:t xml:space="preserve"> land</w:t>
      </w:r>
      <w:r w:rsidR="006E2E5F">
        <w:t>s</w:t>
      </w:r>
      <w:r>
        <w:t xml:space="preserve">. </w:t>
      </w:r>
    </w:p>
    <w:p w14:paraId="0DC5E653" w14:textId="327125D0" w:rsidR="00981847" w:rsidRDefault="00981847" w:rsidP="00981847">
      <w:pPr>
        <w:pStyle w:val="Indent"/>
      </w:pPr>
      <w:r>
        <w:t xml:space="preserve">Surveyors went throughout </w:t>
      </w:r>
      <w:r w:rsidR="006E2E5F">
        <w:t>Canaan</w:t>
      </w:r>
      <w:r>
        <w:t xml:space="preserve"> defining </w:t>
      </w:r>
      <w:r w:rsidR="006E2E5F">
        <w:t xml:space="preserve">regions by </w:t>
      </w:r>
      <w:r>
        <w:t xml:space="preserve">natural boundaries. They returned to Shiloh where the allotments were assigned by lot. </w:t>
      </w:r>
    </w:p>
    <w:p w14:paraId="7C21B2AC" w14:textId="4CA16339" w:rsidR="00981847" w:rsidRDefault="00981847" w:rsidP="00981847">
      <w:pPr>
        <w:pStyle w:val="Indent"/>
      </w:pPr>
      <w:r>
        <w:t>An important center of Israel’s cultic life had just been established at Shiloh</w:t>
      </w:r>
      <w:r w:rsidR="006E2E5F">
        <w:t>—</w:t>
      </w:r>
      <w:r>
        <w:t xml:space="preserve">though the ark of the covenant may have resided at Bethel. The apparent shift of the focal point of Israel’s communal life from Gilgal </w:t>
      </w:r>
      <w:r w:rsidR="006E2E5F">
        <w:t xml:space="preserve">to Shiloh </w:t>
      </w:r>
      <w:r>
        <w:t xml:space="preserve">marked a transition onto the Highlands associated with the beginning of the occupation of the land. </w:t>
      </w:r>
    </w:p>
    <w:p w14:paraId="33D07D5A" w14:textId="77777777" w:rsidR="00981847" w:rsidRDefault="00981847" w:rsidP="00981847">
      <w:pPr>
        <w:pStyle w:val="Indent"/>
      </w:pPr>
      <w:r>
        <w:t xml:space="preserve">The establishment of an Israelite cultic site on the vacant ruins of Shiloh constitutes a synchronism between the archaeological and the biblical record. If Finkelstein’s assessment is correct, the </w:t>
      </w:r>
      <w:r w:rsidRPr="001830A1">
        <w:rPr>
          <w:i/>
          <w:iCs/>
        </w:rPr>
        <w:t>tell</w:t>
      </w:r>
      <w:r>
        <w:t xml:space="preserve"> of Shiloh lay fallow for two centuries before it was reoccupied in the latter 12</w:t>
      </w:r>
      <w:r w:rsidRPr="00F546B3">
        <w:rPr>
          <w:vertAlign w:val="superscript"/>
        </w:rPr>
        <w:t>th</w:t>
      </w:r>
      <w:r>
        <w:t xml:space="preserve"> century BC, a sequence that matches the chronology of this study. </w:t>
      </w:r>
    </w:p>
    <w:p w14:paraId="6065ABC0" w14:textId="77777777" w:rsidR="00981847" w:rsidRDefault="00981847" w:rsidP="00981847">
      <w:pPr>
        <w:jc w:val="center"/>
      </w:pPr>
      <w:r w:rsidRPr="002C3582">
        <w:rPr>
          <w:noProof/>
          <w:lang w:bidi="he-IL"/>
        </w:rPr>
        <w:drawing>
          <wp:inline distT="0" distB="0" distL="0" distR="0" wp14:anchorId="7B6DF9BB" wp14:editId="451265C8">
            <wp:extent cx="3964584" cy="3369116"/>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11955" cy="3409372"/>
                    </a:xfrm>
                    <a:prstGeom prst="rect">
                      <a:avLst/>
                    </a:prstGeom>
                  </pic:spPr>
                </pic:pic>
              </a:graphicData>
            </a:graphic>
          </wp:inline>
        </w:drawing>
      </w:r>
    </w:p>
    <w:p w14:paraId="377ADE96" w14:textId="77777777" w:rsidR="00981847" w:rsidRDefault="00981847" w:rsidP="00981847">
      <w:pPr>
        <w:jc w:val="center"/>
        <w:rPr>
          <w:i/>
          <w:sz w:val="20"/>
          <w:szCs w:val="20"/>
        </w:rPr>
      </w:pPr>
      <w:r w:rsidRPr="002C3582">
        <w:rPr>
          <w:i/>
          <w:sz w:val="20"/>
          <w:szCs w:val="20"/>
        </w:rPr>
        <w:t>Southern Tribal Allotments</w:t>
      </w:r>
      <w:r>
        <w:rPr>
          <w:i/>
          <w:sz w:val="20"/>
          <w:szCs w:val="20"/>
        </w:rPr>
        <w:t xml:space="preserve"> (Rohr Publications)</w:t>
      </w:r>
    </w:p>
    <w:p w14:paraId="7FB9E14D" w14:textId="77777777" w:rsidR="00981847" w:rsidRDefault="00981847" w:rsidP="00981847">
      <w:pPr>
        <w:pStyle w:val="Indent"/>
        <w:ind w:firstLine="0"/>
      </w:pPr>
      <w:r w:rsidRPr="0033414A">
        <w:rPr>
          <w:noProof/>
          <w:lang w:bidi="he-IL"/>
        </w:rPr>
        <w:lastRenderedPageBreak/>
        <w:drawing>
          <wp:inline distT="0" distB="0" distL="0" distR="0" wp14:anchorId="6DD78464" wp14:editId="7FFEEF41">
            <wp:extent cx="4912763" cy="3462916"/>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40249" cy="3482291"/>
                    </a:xfrm>
                    <a:prstGeom prst="rect">
                      <a:avLst/>
                    </a:prstGeom>
                  </pic:spPr>
                </pic:pic>
              </a:graphicData>
            </a:graphic>
          </wp:inline>
        </w:drawing>
      </w:r>
    </w:p>
    <w:p w14:paraId="19054BC0" w14:textId="77777777" w:rsidR="00981847" w:rsidRDefault="00981847" w:rsidP="00981847">
      <w:pPr>
        <w:jc w:val="center"/>
        <w:rPr>
          <w:i/>
          <w:sz w:val="20"/>
          <w:szCs w:val="20"/>
        </w:rPr>
      </w:pPr>
      <w:r>
        <w:rPr>
          <w:i/>
          <w:sz w:val="20"/>
          <w:szCs w:val="20"/>
        </w:rPr>
        <w:t>Northern</w:t>
      </w:r>
      <w:r w:rsidRPr="002C3582">
        <w:rPr>
          <w:i/>
          <w:sz w:val="20"/>
          <w:szCs w:val="20"/>
        </w:rPr>
        <w:t xml:space="preserve"> Tribal Allotments</w:t>
      </w:r>
      <w:r>
        <w:rPr>
          <w:i/>
          <w:sz w:val="20"/>
          <w:szCs w:val="20"/>
        </w:rPr>
        <w:t xml:space="preserve"> (Rohr Publications)</w:t>
      </w:r>
    </w:p>
    <w:p w14:paraId="7B37B321" w14:textId="77777777" w:rsidR="00981847" w:rsidRDefault="00981847" w:rsidP="00981847">
      <w:pPr>
        <w:pStyle w:val="Heading1"/>
      </w:pPr>
      <w:r>
        <w:t>The Archaeology of Shiloh</w:t>
      </w:r>
    </w:p>
    <w:p w14:paraId="22DFE38A" w14:textId="707B58C1" w:rsidR="00981847" w:rsidRDefault="00981847" w:rsidP="00981847">
      <w:r>
        <w:t xml:space="preserve">The archaeological site of Shiloh (Khirbet </w:t>
      </w:r>
      <w:proofErr w:type="spellStart"/>
      <w:r>
        <w:t>Seilun</w:t>
      </w:r>
      <w:proofErr w:type="spellEnd"/>
      <w:r>
        <w:t xml:space="preserve">/Tell Shiloh) is located on a hill ten miles north of Bethel. It began as a small unwalled village in the Middle Bronze II (1750–1650 BC). In the Middle Bronze III (1650–1550 BC) the four-acre site was surrounded by an elaborate defense system consisting of a solid city wall as much as 18-feet thick reinforced by an earthen rampart. And yet there is no evidence of residential dwellings at this site in this period. This site was destroyed at the end of the Middle Bronze III (ca. 1550 BC) </w:t>
      </w:r>
      <w:r w:rsidR="006E2E5F">
        <w:t>with</w:t>
      </w:r>
      <w:r>
        <w:t xml:space="preserve"> evidence of renewed activity in the Late Bronze Age.</w:t>
      </w:r>
      <w:r>
        <w:rPr>
          <w:rStyle w:val="FootnoteReference"/>
        </w:rPr>
        <w:footnoteReference w:id="6"/>
      </w:r>
    </w:p>
    <w:p w14:paraId="0228E400" w14:textId="333CA578" w:rsidR="00981847" w:rsidRDefault="00981847" w:rsidP="00981847">
      <w:pPr>
        <w:pStyle w:val="Indent"/>
      </w:pPr>
      <w:r>
        <w:t xml:space="preserve">The Late Bronze Age material indicated to I. Finkelstein that the ruin was and had been a cult site. He believes pottery vessels were brought to the site containing offerings; the vessels were broken after presentation to the deity (since they were holy and could not be reused) and </w:t>
      </w:r>
      <w:r>
        <w:lastRenderedPageBreak/>
        <w:t xml:space="preserve">buried in a </w:t>
      </w:r>
      <w:proofErr w:type="spellStart"/>
      <w:r w:rsidRPr="00E42F33">
        <w:rPr>
          <w:i/>
          <w:iCs/>
        </w:rPr>
        <w:t>favissa</w:t>
      </w:r>
      <w:proofErr w:type="spellEnd"/>
      <w:r>
        <w:t xml:space="preserve"> together with numerous bones that remained from animal sacrifices.</w:t>
      </w:r>
      <w:r>
        <w:rPr>
          <w:rStyle w:val="FootnoteReference"/>
        </w:rPr>
        <w:footnoteReference w:id="7"/>
      </w:r>
      <w:r>
        <w:t xml:space="preserve"> The Late Bronze </w:t>
      </w:r>
      <w:r w:rsidR="006E2E5F">
        <w:t xml:space="preserve">Age </w:t>
      </w:r>
      <w:r>
        <w:t>material is mostly Late Bronze I (1550–1400 BC), according to Finkelstein.</w:t>
      </w:r>
      <w:r>
        <w:rPr>
          <w:rStyle w:val="FootnoteReference"/>
        </w:rPr>
        <w:footnoteReference w:id="8"/>
      </w:r>
      <w:r>
        <w:t xml:space="preserve"> </w:t>
      </w:r>
    </w:p>
    <w:p w14:paraId="75BF96AF" w14:textId="47BC8B20" w:rsidR="00981847" w:rsidRDefault="00981847" w:rsidP="00981847">
      <w:pPr>
        <w:jc w:val="center"/>
      </w:pPr>
      <w:r w:rsidRPr="00417159">
        <w:rPr>
          <w:noProof/>
          <w:lang w:bidi="he-IL"/>
        </w:rPr>
        <w:drawing>
          <wp:inline distT="0" distB="0" distL="0" distR="0" wp14:anchorId="722D856C" wp14:editId="57648754">
            <wp:extent cx="4393116" cy="3016200"/>
            <wp:effectExtent l="0" t="0" r="1270" b="698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99351" cy="3020481"/>
                    </a:xfrm>
                    <a:prstGeom prst="rect">
                      <a:avLst/>
                    </a:prstGeom>
                  </pic:spPr>
                </pic:pic>
              </a:graphicData>
            </a:graphic>
          </wp:inline>
        </w:drawing>
      </w:r>
    </w:p>
    <w:p w14:paraId="27321C00" w14:textId="2C25F8FD" w:rsidR="00465989" w:rsidRPr="00465989" w:rsidRDefault="00465989" w:rsidP="00465989">
      <w:pPr>
        <w:pStyle w:val="Indent"/>
        <w:jc w:val="center"/>
      </w:pPr>
      <w:r>
        <w:rPr>
          <w:i/>
          <w:sz w:val="20"/>
          <w:szCs w:val="20"/>
        </w:rPr>
        <w:t>(Rohr Publications)</w:t>
      </w:r>
    </w:p>
    <w:p w14:paraId="5204AABE" w14:textId="60ADE0EE" w:rsidR="00981847" w:rsidRDefault="00981847" w:rsidP="00981847">
      <w:pPr>
        <w:pStyle w:val="Indent"/>
      </w:pPr>
      <w:r>
        <w:t xml:space="preserve">What appears to be a dump site containing hundreds of vessels indicates that </w:t>
      </w:r>
      <w:r w:rsidR="00465989">
        <w:t xml:space="preserve">later </w:t>
      </w:r>
      <w:r>
        <w:t xml:space="preserve">workers preparing the ground for new buildings </w:t>
      </w:r>
      <w:r w:rsidR="00465989">
        <w:t xml:space="preserve">in the Iron I period </w:t>
      </w:r>
      <w:r>
        <w:t xml:space="preserve">cleared out a Late Bronze Age </w:t>
      </w:r>
      <w:proofErr w:type="spellStart"/>
      <w:r w:rsidRPr="00EE1711">
        <w:rPr>
          <w:i/>
        </w:rPr>
        <w:t>favissa</w:t>
      </w:r>
      <w:proofErr w:type="spellEnd"/>
      <w:r>
        <w:t xml:space="preserve"> of the cult site (or perhaps the cult place itself) and threw this material into a large robber pit. Shortly after this, Iron I silos were cut into this dump.</w:t>
      </w:r>
      <w:r>
        <w:rPr>
          <w:rStyle w:val="FootnoteReference"/>
        </w:rPr>
        <w:footnoteReference w:id="9"/>
      </w:r>
      <w:r>
        <w:t xml:space="preserve"> </w:t>
      </w:r>
    </w:p>
    <w:p w14:paraId="18170C79" w14:textId="2076E47D" w:rsidR="00981847" w:rsidRDefault="00981847" w:rsidP="00981847">
      <w:pPr>
        <w:pStyle w:val="Indent"/>
      </w:pPr>
      <w:r>
        <w:t xml:space="preserve">This Iron I reoccupation is Israelite, occurring on the eve of the dispersal of the tribes to their allotments. This site would serve as the central place of sacrifice and a focal point for the tribal assembly during the occupation of the allotted lands. But not everyone agrees with this </w:t>
      </w:r>
      <w:r w:rsidR="00060431">
        <w:t>dating</w:t>
      </w:r>
      <w:r>
        <w:t xml:space="preserve"> at Shiloh.</w:t>
      </w:r>
    </w:p>
    <w:p w14:paraId="47464271" w14:textId="77777777" w:rsidR="00981847" w:rsidRDefault="00981847" w:rsidP="000B20A7">
      <w:pPr>
        <w:pStyle w:val="Heading2"/>
      </w:pPr>
      <w:r>
        <w:lastRenderedPageBreak/>
        <w:t>Reoccupation and Use of the Sacred Site by the Israelites</w:t>
      </w:r>
    </w:p>
    <w:p w14:paraId="6D6FC3A3" w14:textId="209894C6" w:rsidR="00981847" w:rsidRDefault="00981847" w:rsidP="00981847">
      <w:r>
        <w:t xml:space="preserve">Scott Stripling of ABR (Associates of Biblical Research), who has renewed excavations at Shiloh, proposes a continuous occupation of the site from ca. 1485 BC to ca. 1050 BC. The objective of ABR’s excavation is evidently to find proof of a ca. 1400 BC </w:t>
      </w:r>
      <w:r w:rsidR="00F45691">
        <w:t>Conquest</w:t>
      </w:r>
      <w:r>
        <w:t xml:space="preserve"> in agreement with their understanding of 1 Kgs 6:1</w:t>
      </w:r>
      <w:r w:rsidR="00915844">
        <w:t xml:space="preserve">’s dating of the </w:t>
      </w:r>
      <w:r w:rsidR="00F45691">
        <w:t>Conquest</w:t>
      </w:r>
      <w:r>
        <w:t>.</w:t>
      </w:r>
      <w:r>
        <w:rPr>
          <w:rStyle w:val="FootnoteReference"/>
        </w:rPr>
        <w:footnoteReference w:id="10"/>
      </w:r>
      <w:r>
        <w:t xml:space="preserve"> To support this chronology an Israelite reoccupation of Shiloh must have commenced in the late 15</w:t>
      </w:r>
      <w:r w:rsidRPr="00970231">
        <w:rPr>
          <w:vertAlign w:val="superscript"/>
        </w:rPr>
        <w:t>th</w:t>
      </w:r>
      <w:r>
        <w:t xml:space="preserve"> century BC and continued uninterrupted to the Iron II</w:t>
      </w:r>
      <w:r w:rsidR="00915844">
        <w:t xml:space="preserve"> when the site was destroyed</w:t>
      </w:r>
      <w:r>
        <w:t>.</w:t>
      </w:r>
    </w:p>
    <w:p w14:paraId="73B13534" w14:textId="10932657" w:rsidR="00981847" w:rsidRDefault="00981847" w:rsidP="00981847">
      <w:pPr>
        <w:pStyle w:val="Indent"/>
      </w:pPr>
      <w:r>
        <w:t>Israel Finkelstein (excavator at Shiloh</w:t>
      </w:r>
      <w:r w:rsidRPr="002867FA">
        <w:t xml:space="preserve"> </w:t>
      </w:r>
      <w:r>
        <w:t>from 1981 through 1983)</w:t>
      </w:r>
      <w:r w:rsidR="00915844">
        <w:t xml:space="preserve"> disagrees</w:t>
      </w:r>
      <w:r w:rsidR="00E043D2">
        <w:t xml:space="preserve"> with this claim</w:t>
      </w:r>
      <w:r w:rsidR="00915844">
        <w:t xml:space="preserve">. He </w:t>
      </w:r>
      <w:r w:rsidR="00E043D2">
        <w:t>says</w:t>
      </w:r>
      <w:r w:rsidR="00915844">
        <w:t xml:space="preserve"> the </w:t>
      </w:r>
      <w:r>
        <w:t>site had been</w:t>
      </w:r>
      <w:r w:rsidRPr="002867FA">
        <w:t xml:space="preserve"> abandoned for </w:t>
      </w:r>
      <w:r>
        <w:t>two hundred years</w:t>
      </w:r>
      <w:r w:rsidRPr="002867FA">
        <w:t xml:space="preserve"> before the </w:t>
      </w:r>
      <w:r>
        <w:t xml:space="preserve">Israelites rehabilitated </w:t>
      </w:r>
      <w:r w:rsidR="00E043D2">
        <w:t>it</w:t>
      </w:r>
      <w:r>
        <w:t xml:space="preserve"> in the latter 12</w:t>
      </w:r>
      <w:r w:rsidRPr="00623194">
        <w:rPr>
          <w:vertAlign w:val="superscript"/>
        </w:rPr>
        <w:t>th</w:t>
      </w:r>
      <w:r>
        <w:t xml:space="preserve"> century BC</w:t>
      </w:r>
      <w:r w:rsidRPr="002867FA">
        <w:t>.</w:t>
      </w:r>
      <w:r>
        <w:rPr>
          <w:rStyle w:val="FootnoteReference"/>
        </w:rPr>
        <w:footnoteReference w:id="11"/>
      </w:r>
      <w:r w:rsidRPr="002867FA">
        <w:t xml:space="preserve"> </w:t>
      </w:r>
      <w:r>
        <w:t xml:space="preserve">If Finkelstein is correct, the Israelites </w:t>
      </w:r>
      <w:r w:rsidRPr="002867FA">
        <w:t>did not arrive earlier than the late-</w:t>
      </w:r>
      <w:r>
        <w:t>1100s</w:t>
      </w:r>
      <w:r w:rsidRPr="002867FA">
        <w:rPr>
          <w:vertAlign w:val="superscript"/>
        </w:rPr>
        <w:t xml:space="preserve"> </w:t>
      </w:r>
      <w:r w:rsidRPr="002867FA">
        <w:t>or early-</w:t>
      </w:r>
      <w:r>
        <w:t>1000s BC.</w:t>
      </w:r>
      <w:r>
        <w:rPr>
          <w:rStyle w:val="FootnoteReference"/>
        </w:rPr>
        <w:footnoteReference w:id="12"/>
      </w:r>
      <w:r>
        <w:t xml:space="preserve"> </w:t>
      </w:r>
      <w:r w:rsidR="00E043D2">
        <w:t>(</w:t>
      </w:r>
      <w:r>
        <w:t xml:space="preserve">A date of ca. 1130 BC for the Israelite arrival at the site </w:t>
      </w:r>
      <w:r w:rsidR="00915844">
        <w:t>agrees</w:t>
      </w:r>
      <w:r>
        <w:t xml:space="preserve"> with Finkelstein’s conclusions.</w:t>
      </w:r>
      <w:r w:rsidR="00E043D2">
        <w:t>)</w:t>
      </w:r>
    </w:p>
    <w:p w14:paraId="705308CB" w14:textId="78328BC1" w:rsidR="00981847" w:rsidRDefault="00981847" w:rsidP="00981847">
      <w:pPr>
        <w:pStyle w:val="Indent"/>
      </w:pPr>
      <w:r w:rsidRPr="002867FA">
        <w:t xml:space="preserve">Shiloh’s </w:t>
      </w:r>
      <w:r>
        <w:t>Iron I</w:t>
      </w:r>
      <w:r w:rsidRPr="002867FA">
        <w:t xml:space="preserve"> floruit </w:t>
      </w:r>
      <w:r>
        <w:t xml:space="preserve">(which Finkelstein attributes to the Israelites) </w:t>
      </w:r>
      <w:r w:rsidRPr="002867FA">
        <w:t>was short-lived, amounting to about fifty years or a little longer mainly in the first half of the 11</w:t>
      </w:r>
      <w:r w:rsidRPr="002867FA">
        <w:rPr>
          <w:vertAlign w:val="superscript"/>
        </w:rPr>
        <w:t>th</w:t>
      </w:r>
      <w:r w:rsidRPr="002867FA">
        <w:t xml:space="preserve"> century BC</w:t>
      </w:r>
      <w:r>
        <w:t xml:space="preserve">. It continued to be no ordinary village with a cult place, but rather a religious </w:t>
      </w:r>
      <w:r w:rsidRPr="00A07E74">
        <w:rPr>
          <w:i/>
        </w:rPr>
        <w:t>temenos</w:t>
      </w:r>
      <w:r>
        <w:rPr>
          <w:i/>
        </w:rPr>
        <w:t xml:space="preserve"> </w:t>
      </w:r>
      <w:r w:rsidRPr="00FC6497">
        <w:t xml:space="preserve">(sacred </w:t>
      </w:r>
      <w:r w:rsidRPr="00FC6497">
        <w:lastRenderedPageBreak/>
        <w:t>enclosure</w:t>
      </w:r>
      <w:r>
        <w:t>). Of all Iron I hill country sites Shiloh is the only one to exhibit regional cultic activity.</w:t>
      </w:r>
      <w:r>
        <w:rPr>
          <w:rStyle w:val="FootnoteReference"/>
        </w:rPr>
        <w:footnoteReference w:id="13"/>
      </w:r>
    </w:p>
    <w:p w14:paraId="3C854C28" w14:textId="2A8F42CD" w:rsidR="00981847" w:rsidRDefault="00981847" w:rsidP="00981847">
      <w:pPr>
        <w:pStyle w:val="Indent"/>
      </w:pPr>
      <w:r>
        <w:t>The sacral aura of the site evidently persisted from the Middle Bronze II to the Late Bronze IIA and then through the Israelite Iron I.</w:t>
      </w:r>
      <w:r w:rsidRPr="008344DC">
        <w:rPr>
          <w:rStyle w:val="FootnoteReference"/>
        </w:rPr>
        <w:footnoteReference w:id="14"/>
      </w:r>
      <w:r w:rsidRPr="008344DC">
        <w:rPr>
          <w:rStyle w:val="FootnoteReference"/>
        </w:rPr>
        <w:t xml:space="preserve"> </w:t>
      </w:r>
      <w:r>
        <w:t>(</w:t>
      </w:r>
      <w:r w:rsidR="00E043D2">
        <w:t>As noted</w:t>
      </w:r>
      <w:r>
        <w:t xml:space="preserve"> earlier “holy” sites continued in use irrespective of the deity previously honored at the site.)</w:t>
      </w:r>
      <w:r>
        <w:rPr>
          <w:rStyle w:val="FootnoteReference"/>
        </w:rPr>
        <w:footnoteReference w:id="15"/>
      </w:r>
      <w:r>
        <w:t xml:space="preserve"> </w:t>
      </w:r>
    </w:p>
    <w:p w14:paraId="60C77079" w14:textId="77777777" w:rsidR="00981847" w:rsidRDefault="00981847" w:rsidP="000B20A7">
      <w:pPr>
        <w:pStyle w:val="Heading2"/>
      </w:pPr>
      <w:r>
        <w:t>The Location of the Ark of the Covenant</w:t>
      </w:r>
    </w:p>
    <w:p w14:paraId="5E32B8E8" w14:textId="6CCDB3E7" w:rsidR="00981847" w:rsidRDefault="00981847" w:rsidP="00981847">
      <w:r>
        <w:t xml:space="preserve">The Israelite tent of meeting was probably established at Shiloh (Josh 18:1) by ca. 1130 BC (end of the </w:t>
      </w:r>
      <w:r w:rsidR="00F45691">
        <w:t>Conquest</w:t>
      </w:r>
      <w:r>
        <w:t xml:space="preserve">) where it would continue to serve as a central cult site until the site was destroyed (ca. 1050 BC). There are, however, some uncertainties about the location of the ark of the covenant in the earliest period of the Judges. </w:t>
      </w:r>
    </w:p>
    <w:p w14:paraId="5AEC8C26" w14:textId="77777777" w:rsidR="00981847" w:rsidRDefault="00981847" w:rsidP="00981847">
      <w:pPr>
        <w:pStyle w:val="Indent"/>
      </w:pPr>
      <w:r>
        <w:t xml:space="preserve">Some scholars believe the text of </w:t>
      </w:r>
      <w:proofErr w:type="spellStart"/>
      <w:r>
        <w:t>Judg</w:t>
      </w:r>
      <w:proofErr w:type="spellEnd"/>
      <w:r>
        <w:t xml:space="preserve"> 2:1 indicates that the ark was first transferred from Gilgal to an unknown location called </w:t>
      </w:r>
      <w:proofErr w:type="spellStart"/>
      <w:r>
        <w:t>Bochim</w:t>
      </w:r>
      <w:proofErr w:type="spellEnd"/>
      <w:r>
        <w:t xml:space="preserve"> (“place of weeping”). This place was at (or near) Bethel, according to the LXX.</w:t>
      </w:r>
      <w:r>
        <w:rPr>
          <w:rStyle w:val="FootnoteReference"/>
        </w:rPr>
        <w:footnoteReference w:id="16"/>
      </w:r>
      <w:r>
        <w:t xml:space="preserve"> By the time of Samuel’s boyhood, however, the ark was at Shiloh.</w:t>
      </w:r>
    </w:p>
    <w:p w14:paraId="3FC96EE9" w14:textId="77777777" w:rsidR="00981847" w:rsidRDefault="00981847" w:rsidP="000B20A7">
      <w:pPr>
        <w:pStyle w:val="Heading2"/>
      </w:pPr>
      <w:r>
        <w:lastRenderedPageBreak/>
        <w:t>The Iron I destruction of Shiloh</w:t>
      </w:r>
    </w:p>
    <w:p w14:paraId="2DB0CA12" w14:textId="77777777" w:rsidR="00981847" w:rsidRDefault="00981847" w:rsidP="00981847">
      <w:r w:rsidRPr="00E40FA4">
        <w:t>Iron I Shiloh was destroyed in a conflagration sometime before the end of the 11</w:t>
      </w:r>
      <w:r w:rsidRPr="00E40FA4">
        <w:rPr>
          <w:vertAlign w:val="superscript"/>
        </w:rPr>
        <w:t>th</w:t>
      </w:r>
      <w:r w:rsidRPr="00E40FA4">
        <w:t xml:space="preserve"> century BC. The site’s destruction may have been the work of the Philistines</w:t>
      </w:r>
      <w:r>
        <w:t xml:space="preserve"> following their victory over the Israelites at the battle of Ebenezer. Since the ark had been captured at Ebenezer, the glory had departed Israel (1 Sam 4:21–22). The destruction of the site may have been the final blow to Israel’s hope in that period.</w:t>
      </w:r>
      <w:r>
        <w:rPr>
          <w:rStyle w:val="FootnoteReference"/>
        </w:rPr>
        <w:footnoteReference w:id="17"/>
      </w:r>
      <w:r>
        <w:t xml:space="preserve"> Shiloh was not inhabited subsequently until late in the Iron II when a small and insignificant settlement appeared on the mound. </w:t>
      </w:r>
    </w:p>
    <w:p w14:paraId="7244DDD1" w14:textId="77777777" w:rsidR="00981847" w:rsidRDefault="00981847" w:rsidP="00981847">
      <w:pPr>
        <w:pStyle w:val="Heading1"/>
      </w:pPr>
      <w:r>
        <w:t>The Language of the Joshua Conquest</w:t>
      </w:r>
    </w:p>
    <w:p w14:paraId="56FE8D7D" w14:textId="6163EB7F" w:rsidR="00981847" w:rsidRDefault="00981847" w:rsidP="00981847">
      <w:r>
        <w:t xml:space="preserve">Earlier critics of the Joshua and Judges traditions claimed these books are memories of two different accounts of the establishment of the Israelites in the land (one a </w:t>
      </w:r>
      <w:r w:rsidR="00F45691">
        <w:t>Conquest</w:t>
      </w:r>
      <w:r>
        <w:t xml:space="preserve"> and the other a peaceful infiltration). These supposed differences of perspective in the two books have been narrowed in recent times by literary analysis and the identification of distinctive features and emphases within them. </w:t>
      </w:r>
    </w:p>
    <w:p w14:paraId="7E86EA45" w14:textId="452A8572" w:rsidR="00981847" w:rsidRDefault="00981847" w:rsidP="00981847">
      <w:pPr>
        <w:pStyle w:val="Indent"/>
      </w:pPr>
      <w:r>
        <w:t xml:space="preserve">As indicated in the last chapter, the </w:t>
      </w:r>
      <w:r w:rsidR="00F45691">
        <w:t>Conquest</w:t>
      </w:r>
      <w:r>
        <w:t xml:space="preserve"> narrative of Joshua is deliberately hyperbolic in keeping with the literary standards of the era.</w:t>
      </w:r>
      <w:r>
        <w:rPr>
          <w:rStyle w:val="FootnoteReference"/>
        </w:rPr>
        <w:footnoteReference w:id="18"/>
      </w:r>
      <w:r>
        <w:t xml:space="preserve"> In describing victory over the Amorite coalition in the southern Highlands, Josh 10:40–42 says,</w:t>
      </w:r>
    </w:p>
    <w:p w14:paraId="18D64E8F" w14:textId="77777777" w:rsidR="00981847" w:rsidRPr="00834DAA" w:rsidRDefault="00981847" w:rsidP="00981847">
      <w:pPr>
        <w:pStyle w:val="Quote"/>
        <w:spacing w:line="240" w:lineRule="auto"/>
        <w:jc w:val="left"/>
        <w:rPr>
          <w:rFonts w:cstheme="majorBidi"/>
          <w:i w:val="0"/>
        </w:rPr>
      </w:pPr>
      <w:proofErr w:type="gramStart"/>
      <w:r w:rsidRPr="00834DAA">
        <w:rPr>
          <w:rFonts w:cstheme="majorBidi"/>
          <w:i w:val="0"/>
        </w:rPr>
        <w:t>So</w:t>
      </w:r>
      <w:proofErr w:type="gramEnd"/>
      <w:r w:rsidRPr="00834DAA">
        <w:rPr>
          <w:rFonts w:cstheme="majorBidi"/>
          <w:i w:val="0"/>
        </w:rPr>
        <w:t xml:space="preserve"> Joshua struck the whole land, the hill country and the Negeb and the lowland and the slopes, and all their kings. He left none remaining, but devoted to destruction all that breathed, just as the </w:t>
      </w:r>
      <w:r w:rsidRPr="00834DAA">
        <w:rPr>
          <w:rFonts w:cstheme="majorBidi"/>
          <w:i w:val="0"/>
          <w:smallCaps/>
        </w:rPr>
        <w:t>Lord</w:t>
      </w:r>
      <w:r w:rsidRPr="00834DAA">
        <w:rPr>
          <w:rFonts w:cstheme="majorBidi"/>
          <w:i w:val="0"/>
        </w:rPr>
        <w:t xml:space="preserve"> God of Israel commanded. And Joshua struck them from Kadesh-Barnea as far as Gaza, and all the country of Goshen, as far as Gibeon. And Joshua captured all these kings and </w:t>
      </w:r>
      <w:r w:rsidRPr="00834DAA">
        <w:rPr>
          <w:rFonts w:cstheme="majorBidi"/>
          <w:i w:val="0"/>
        </w:rPr>
        <w:lastRenderedPageBreak/>
        <w:t xml:space="preserve">their land at one time, because the </w:t>
      </w:r>
      <w:r w:rsidRPr="00834DAA">
        <w:rPr>
          <w:rFonts w:cstheme="majorBidi"/>
          <w:i w:val="0"/>
          <w:smallCaps/>
        </w:rPr>
        <w:t>Lord</w:t>
      </w:r>
      <w:r w:rsidRPr="00834DAA">
        <w:rPr>
          <w:rFonts w:cstheme="majorBidi"/>
          <w:i w:val="0"/>
        </w:rPr>
        <w:t xml:space="preserve"> God of Israel fought for Israel.</w:t>
      </w:r>
      <w:r w:rsidRPr="00834DAA">
        <w:rPr>
          <w:rStyle w:val="FootnoteReference"/>
          <w:i w:val="0"/>
          <w:sz w:val="24"/>
          <w:szCs w:val="24"/>
        </w:rPr>
        <w:footnoteReference w:id="19"/>
      </w:r>
      <w:r w:rsidRPr="00834DAA">
        <w:rPr>
          <w:rFonts w:cstheme="majorBidi"/>
          <w:i w:val="0"/>
        </w:rPr>
        <w:t xml:space="preserve"> </w:t>
      </w:r>
    </w:p>
    <w:p w14:paraId="7090703B" w14:textId="06A3B4D8" w:rsidR="00981847" w:rsidRDefault="00981847" w:rsidP="00981847">
      <w:pPr>
        <w:pStyle w:val="Indent"/>
      </w:pPr>
      <w:r>
        <w:t xml:space="preserve">At first reading the reader might assume the passage </w:t>
      </w:r>
      <w:r w:rsidR="00550942">
        <w:t xml:space="preserve">in Joshua </w:t>
      </w:r>
      <w:r>
        <w:t xml:space="preserve">is claiming the literal depopulation of the Highlands by the Israelites. But in reading more carefully it seems Joshua is </w:t>
      </w:r>
      <w:r w:rsidR="00550942">
        <w:t>saying</w:t>
      </w:r>
      <w:r>
        <w:t xml:space="preserve"> he engaged the enemy through the range of this territory. </w:t>
      </w:r>
      <w:r w:rsidR="00550942">
        <w:t>T</w:t>
      </w:r>
      <w:r>
        <w:t xml:space="preserve">he claim to have destroyed “all that breathed” likely applied only to towns he entered where he was obligated to destroy all life; </w:t>
      </w:r>
      <w:r w:rsidR="00550942">
        <w:t xml:space="preserve">but a </w:t>
      </w:r>
      <w:r>
        <w:t xml:space="preserve">more likely </w:t>
      </w:r>
      <w:r w:rsidR="00550942">
        <w:t xml:space="preserve">interpretation is that </w:t>
      </w:r>
      <w:r>
        <w:t xml:space="preserve">this was customary hyperbole. </w:t>
      </w:r>
    </w:p>
    <w:p w14:paraId="702E6EAF" w14:textId="534EB76F" w:rsidR="00981847" w:rsidRDefault="00981847" w:rsidP="00981847">
      <w:pPr>
        <w:pStyle w:val="Indent"/>
      </w:pPr>
      <w:r>
        <w:t xml:space="preserve">At the end of the northern campaign when Joshua returned south to eliminate the </w:t>
      </w:r>
      <w:proofErr w:type="spellStart"/>
      <w:r>
        <w:t>Anakim</w:t>
      </w:r>
      <w:proofErr w:type="spellEnd"/>
      <w:r>
        <w:t xml:space="preserve"> (Josh 11:21–22) </w:t>
      </w:r>
      <w:r w:rsidR="00550942">
        <w:t>all</w:t>
      </w:r>
      <w:r>
        <w:t xml:space="preserve"> his victories leading to the culmination of the </w:t>
      </w:r>
      <w:r w:rsidR="00F45691">
        <w:t>Conquest</w:t>
      </w:r>
      <w:r>
        <w:t xml:space="preserve"> are summarized</w:t>
      </w:r>
      <w:r w:rsidR="00060431">
        <w:t>:</w:t>
      </w:r>
      <w:r>
        <w:t xml:space="preserve"> </w:t>
      </w:r>
    </w:p>
    <w:p w14:paraId="4059151A" w14:textId="77777777" w:rsidR="00981847" w:rsidRPr="00430A22" w:rsidRDefault="00981847" w:rsidP="00981847">
      <w:pPr>
        <w:pStyle w:val="Quote"/>
        <w:spacing w:line="240" w:lineRule="auto"/>
        <w:jc w:val="left"/>
        <w:rPr>
          <w:i w:val="0"/>
          <w:iCs w:val="0"/>
          <w:sz w:val="20"/>
          <w:szCs w:val="20"/>
        </w:rPr>
      </w:pPr>
      <w:proofErr w:type="gramStart"/>
      <w:r w:rsidRPr="00430A22">
        <w:rPr>
          <w:i w:val="0"/>
          <w:iCs w:val="0"/>
          <w:sz w:val="20"/>
          <w:szCs w:val="20"/>
          <w:lang w:bidi="he-IL"/>
        </w:rPr>
        <w:t>So</w:t>
      </w:r>
      <w:proofErr w:type="gramEnd"/>
      <w:r w:rsidRPr="00430A22">
        <w:rPr>
          <w:i w:val="0"/>
          <w:iCs w:val="0"/>
          <w:sz w:val="20"/>
          <w:szCs w:val="20"/>
          <w:lang w:bidi="he-IL"/>
        </w:rPr>
        <w:t xml:space="preserve"> Joshua took the whole land, according to all that the </w:t>
      </w:r>
      <w:r w:rsidRPr="00430A22">
        <w:rPr>
          <w:i w:val="0"/>
          <w:iCs w:val="0"/>
          <w:smallCaps/>
          <w:sz w:val="20"/>
          <w:szCs w:val="20"/>
          <w:lang w:bidi="he-IL"/>
        </w:rPr>
        <w:t>Lord</w:t>
      </w:r>
      <w:r w:rsidRPr="00430A22">
        <w:rPr>
          <w:i w:val="0"/>
          <w:iCs w:val="0"/>
          <w:sz w:val="20"/>
          <w:szCs w:val="20"/>
          <w:lang w:bidi="he-IL"/>
        </w:rPr>
        <w:t xml:space="preserve"> had spoken to Moses. And Joshua gave it for an inheritance to Israel according to their tribal allotments. And the land had rest from war (Josh 11:23</w:t>
      </w:r>
      <w:proofErr w:type="gramStart"/>
      <w:r w:rsidRPr="00430A22">
        <w:rPr>
          <w:i w:val="0"/>
          <w:iCs w:val="0"/>
          <w:sz w:val="20"/>
          <w:szCs w:val="20"/>
          <w:lang w:bidi="he-IL"/>
        </w:rPr>
        <w:t>).</w:t>
      </w:r>
      <w:r w:rsidRPr="00430A22">
        <w:rPr>
          <w:i w:val="0"/>
          <w:iCs w:val="0"/>
          <w:sz w:val="20"/>
          <w:szCs w:val="20"/>
          <w:vertAlign w:val="superscript"/>
          <w:lang w:bidi="he-IL"/>
        </w:rPr>
        <w:t>.</w:t>
      </w:r>
      <w:proofErr w:type="gramEnd"/>
    </w:p>
    <w:p w14:paraId="348B6515" w14:textId="77777777" w:rsidR="00981847" w:rsidRDefault="00981847" w:rsidP="00981847">
      <w:r>
        <w:t xml:space="preserve">Again, while the impression from several passages may be that he had annihilated the inhabitants of the land this is obviously not the case as subsequent texts in Joshua indicate. The claim of the above text can mean only that no single or allied force remained to challenge Israel’s presence in the Highlands. </w:t>
      </w:r>
    </w:p>
    <w:p w14:paraId="62B199EA" w14:textId="62B28818" w:rsidR="00981847" w:rsidRDefault="00981847" w:rsidP="00981847">
      <w:pPr>
        <w:pStyle w:val="Indent"/>
      </w:pPr>
      <w:r>
        <w:t xml:space="preserve">The account of these achievements constitutes a historical account as modeled in other cultures of the later Bronze and early Iron Ages. K. Lawson Younger says history writing in this era was </w:t>
      </w:r>
      <w:r w:rsidRPr="00B464DC">
        <w:rPr>
          <w:i/>
        </w:rPr>
        <w:t>not</w:t>
      </w:r>
      <w:r>
        <w:t xml:space="preserve"> unbiased; it was </w:t>
      </w:r>
      <w:r w:rsidRPr="00B464DC">
        <w:rPr>
          <w:i/>
        </w:rPr>
        <w:t>not</w:t>
      </w:r>
      <w:r>
        <w:t xml:space="preserve"> “objective”; and it was </w:t>
      </w:r>
      <w:r w:rsidRPr="00B464DC">
        <w:rPr>
          <w:i/>
        </w:rPr>
        <w:t>not</w:t>
      </w:r>
      <w:r>
        <w:t xml:space="preserve"> neutral in tone. Rather, history writing in the time of the </w:t>
      </w:r>
      <w:r w:rsidR="00F45691">
        <w:t>Conquest</w:t>
      </w:r>
      <w:r>
        <w:t xml:space="preserve"> and the Judges was artistically constructed with no requirement to follow a strict and objective chronological framework. </w:t>
      </w:r>
    </w:p>
    <w:p w14:paraId="526A8431" w14:textId="77777777" w:rsidR="00981847" w:rsidRDefault="00981847" w:rsidP="00981847">
      <w:pPr>
        <w:pStyle w:val="Indent"/>
      </w:pPr>
      <w:r>
        <w:t xml:space="preserve">More importantly, the writer was not expected to simply record facts without interpretation. Throughout the Bronze Ages supernatural beings were </w:t>
      </w:r>
      <w:r w:rsidRPr="001E1A45">
        <w:rPr>
          <w:i/>
          <w:iCs/>
        </w:rPr>
        <w:t>always</w:t>
      </w:r>
      <w:r>
        <w:t xml:space="preserve"> involved in war. Conquest accounts did not just record the exploits of men but of gods as well. The historical writing of Joshua’s time was styled by assumptions that explained events in the life of the writer and his people. </w:t>
      </w:r>
    </w:p>
    <w:p w14:paraId="5B5E3200" w14:textId="77777777" w:rsidR="00981847" w:rsidRDefault="00981847" w:rsidP="00981847">
      <w:pPr>
        <w:pStyle w:val="Heading1"/>
      </w:pPr>
      <w:r>
        <w:lastRenderedPageBreak/>
        <w:t>Transition from the Conquest to the Era of the Judges</w:t>
      </w:r>
    </w:p>
    <w:p w14:paraId="47B120E9" w14:textId="2800B614" w:rsidR="00981847" w:rsidRDefault="00981847" w:rsidP="00981847">
      <w:r>
        <w:t xml:space="preserve">The first twelve chapters of Joshua deal with the wars of </w:t>
      </w:r>
      <w:r w:rsidR="00F45691">
        <w:t>Conquest</w:t>
      </w:r>
      <w:r>
        <w:t xml:space="preserve"> that neutralized the indigenous threat to Israel’s occupation of the heartland and the Canaanite coalition in the north. While the Israelites could not be driven out of the land, regional war would continue into the time of the monarchy—but not primarily against the indigenous population. </w:t>
      </w:r>
    </w:p>
    <w:p w14:paraId="71486E99" w14:textId="376F995D" w:rsidR="00981847" w:rsidRDefault="00981847" w:rsidP="00981847">
      <w:pPr>
        <w:pStyle w:val="Indent"/>
      </w:pPr>
      <w:r>
        <w:t>Joshua chapters 13–21 laboriously define the perimeters of the allotments for each tribe and the distributions to the Levites, the cities of refuge, and the parcel of land given to Joshua. These chapters constitute a rich source of historical geography in which towns are mentioned whose occupation in this period can be attested in the archaeological record. The existence of these town in the 12</w:t>
      </w:r>
      <w:r w:rsidRPr="00ED3392">
        <w:rPr>
          <w:vertAlign w:val="superscript"/>
        </w:rPr>
        <w:t>th</w:t>
      </w:r>
      <w:r>
        <w:t>–11</w:t>
      </w:r>
      <w:r w:rsidRPr="00ED3392">
        <w:rPr>
          <w:vertAlign w:val="superscript"/>
        </w:rPr>
        <w:t>th</w:t>
      </w:r>
      <w:r>
        <w:t xml:space="preserve"> centuries </w:t>
      </w:r>
      <w:r w:rsidR="000B20A7">
        <w:t xml:space="preserve">BC </w:t>
      </w:r>
      <w:r>
        <w:t>provide multiple accommodations of a 12</w:t>
      </w:r>
      <w:r w:rsidRPr="008F0412">
        <w:rPr>
          <w:vertAlign w:val="superscript"/>
        </w:rPr>
        <w:t>th</w:t>
      </w:r>
      <w:r>
        <w:t xml:space="preserve"> century BC </w:t>
      </w:r>
      <w:r w:rsidR="00834444">
        <w:t>Conquest</w:t>
      </w:r>
      <w:r>
        <w:t>.</w:t>
      </w:r>
    </w:p>
    <w:p w14:paraId="02C7C944" w14:textId="77777777" w:rsidR="00981847" w:rsidRPr="000B20A7" w:rsidRDefault="00981847" w:rsidP="000B20A7">
      <w:pPr>
        <w:pStyle w:val="Heading2"/>
        <w:rPr>
          <w:rStyle w:val="QuoteChar"/>
          <w:rFonts w:eastAsiaTheme="majorEastAsia" w:cstheme="majorBidi"/>
          <w:i/>
          <w:iCs/>
          <w:color w:val="000000" w:themeColor="text1"/>
        </w:rPr>
      </w:pPr>
      <w:r w:rsidRPr="000B20A7">
        <w:rPr>
          <w:rStyle w:val="QuoteChar"/>
          <w:rFonts w:eastAsiaTheme="majorEastAsia" w:cstheme="majorBidi"/>
          <w:i/>
          <w:iCs/>
          <w:color w:val="000000" w:themeColor="text1"/>
        </w:rPr>
        <w:t xml:space="preserve">When the Israelite Occupation Began: Identifying a Literary Device </w:t>
      </w:r>
    </w:p>
    <w:p w14:paraId="4580D58C" w14:textId="30D5BD1D" w:rsidR="00981847" w:rsidRDefault="00981847" w:rsidP="00981847">
      <w:r>
        <w:t xml:space="preserve">The current study proposes that the books of Joshua and Judges are entirely complementary. Overall, Judges smoothly continues the story of the Israelites as tribal entities suffering the </w:t>
      </w:r>
      <w:r w:rsidR="000B20A7">
        <w:t xml:space="preserve">theological </w:t>
      </w:r>
      <w:r>
        <w:t xml:space="preserve">consequence of accommodation of the Amorite culture in the conquered territories. The book of Judges appears to be a unified literary composition arguably written to illustrate this single truth. </w:t>
      </w:r>
    </w:p>
    <w:p w14:paraId="7A8D3D44" w14:textId="12C4C832" w:rsidR="00981847" w:rsidRPr="008F2CB6" w:rsidRDefault="00981847" w:rsidP="008F2CB6">
      <w:pPr>
        <w:pStyle w:val="Indent"/>
        <w:rPr>
          <w:rStyle w:val="QuoteChar"/>
          <w:rFonts w:cstheme="minorBidi"/>
          <w:i w:val="0"/>
          <w:iCs w:val="0"/>
          <w:color w:val="auto"/>
        </w:rPr>
      </w:pPr>
      <w:r w:rsidRPr="008F2CB6">
        <w:rPr>
          <w:rStyle w:val="QuoteChar"/>
          <w:rFonts w:cstheme="minorBidi"/>
          <w:i w:val="0"/>
          <w:iCs w:val="0"/>
          <w:color w:val="auto"/>
        </w:rPr>
        <w:t>The transition from Joshua to Judges is attested in two different (and incompatible) ways. The transition has to do with when the occupation of the land began. One impression (the most reasonable and obvious) is that the occupation occurred during the lifetime of Joshua (</w:t>
      </w:r>
      <w:proofErr w:type="spellStart"/>
      <w:r w:rsidRPr="008F2CB6">
        <w:rPr>
          <w:rStyle w:val="QuoteChar"/>
          <w:rFonts w:cstheme="minorBidi"/>
          <w:i w:val="0"/>
          <w:iCs w:val="0"/>
          <w:color w:val="auto"/>
        </w:rPr>
        <w:t>Judg</w:t>
      </w:r>
      <w:proofErr w:type="spellEnd"/>
      <w:r w:rsidRPr="008F2CB6">
        <w:rPr>
          <w:rStyle w:val="QuoteChar"/>
          <w:rFonts w:cstheme="minorBidi"/>
          <w:i w:val="0"/>
          <w:iCs w:val="0"/>
          <w:color w:val="auto"/>
        </w:rPr>
        <w:t xml:space="preserve"> 1:16). A second impression regarding when the occupation process began is suggested in Judges 1:1. It says, “After the death of Joshua the people of Israel inquired of Yahweh, ‘Who shall go up first for us against the Canaanites, to fight against them?’” This verbiage suggests the Israelites had made no efforts to occupy the land until after Joshua died but were content to continue to live in their tents on the Plains of Jericho.</w:t>
      </w:r>
    </w:p>
    <w:p w14:paraId="17744FA5" w14:textId="7D2AAA3C" w:rsidR="00981847" w:rsidRPr="008F2CB6" w:rsidRDefault="00981847" w:rsidP="008F2CB6">
      <w:pPr>
        <w:pStyle w:val="Indent"/>
        <w:rPr>
          <w:rStyle w:val="QuoteChar"/>
          <w:rFonts w:cstheme="minorBidi"/>
          <w:i w:val="0"/>
          <w:iCs w:val="0"/>
          <w:color w:val="auto"/>
        </w:rPr>
      </w:pPr>
      <w:r w:rsidRPr="008F2CB6">
        <w:rPr>
          <w:rStyle w:val="QuoteChar"/>
          <w:rFonts w:cstheme="minorBidi"/>
          <w:i w:val="0"/>
          <w:iCs w:val="0"/>
          <w:color w:val="auto"/>
        </w:rPr>
        <w:t xml:space="preserve">This does not seem reasonable nor is it consistent with other passages. Joshua probably lived another 20–25 years after the </w:t>
      </w:r>
      <w:r w:rsidR="00834444">
        <w:rPr>
          <w:rStyle w:val="QuoteChar"/>
          <w:rFonts w:cstheme="minorBidi"/>
          <w:i w:val="0"/>
          <w:iCs w:val="0"/>
          <w:color w:val="auto"/>
        </w:rPr>
        <w:t>Conquest</w:t>
      </w:r>
      <w:r w:rsidRPr="008F2CB6">
        <w:rPr>
          <w:rStyle w:val="QuoteChar"/>
          <w:rFonts w:cstheme="minorBidi"/>
          <w:i w:val="0"/>
          <w:iCs w:val="0"/>
          <w:color w:val="auto"/>
        </w:rPr>
        <w:t xml:space="preserve"> was completed (which is dated here to ca. 1130 BC). He died at 110 years of age (Josh 14:6–15; 24:29; </w:t>
      </w:r>
      <w:proofErr w:type="spellStart"/>
      <w:r w:rsidRPr="008F2CB6">
        <w:rPr>
          <w:rStyle w:val="QuoteChar"/>
          <w:rFonts w:cstheme="minorBidi"/>
          <w:i w:val="0"/>
          <w:iCs w:val="0"/>
          <w:color w:val="auto"/>
        </w:rPr>
        <w:t>Judg</w:t>
      </w:r>
      <w:proofErr w:type="spellEnd"/>
      <w:r w:rsidRPr="008F2CB6">
        <w:rPr>
          <w:rStyle w:val="QuoteChar"/>
          <w:rFonts w:cstheme="minorBidi"/>
          <w:i w:val="0"/>
          <w:iCs w:val="0"/>
          <w:color w:val="auto"/>
        </w:rPr>
        <w:t xml:space="preserve"> 2:8). He was evidently not living at Gilgal at that time. And when he summoned all the tribes to Shechem for a final warning and exhortation they apparently converged from their allotted lands. During this latter period of his life, he </w:t>
      </w:r>
      <w:r w:rsidRPr="008F2CB6">
        <w:rPr>
          <w:rStyle w:val="QuoteChar"/>
          <w:rFonts w:cstheme="minorBidi"/>
          <w:i w:val="0"/>
          <w:iCs w:val="0"/>
          <w:color w:val="auto"/>
        </w:rPr>
        <w:lastRenderedPageBreak/>
        <w:t>probably maintained moral authority but exercised no effective leadership once the people of Israel had devolved to autonomous tribes. There were no apparent structures of government to unify the tribes and no single leader possessed the political or moral authority to bring the tribes into united action.</w:t>
      </w:r>
    </w:p>
    <w:p w14:paraId="64201CD2" w14:textId="77777777" w:rsidR="00981847" w:rsidRPr="008F2CB6" w:rsidRDefault="00981847" w:rsidP="008F2CB6">
      <w:pPr>
        <w:pStyle w:val="Indent"/>
        <w:rPr>
          <w:rStyle w:val="QuoteChar"/>
          <w:rFonts w:cstheme="minorBidi"/>
          <w:i w:val="0"/>
          <w:iCs w:val="0"/>
          <w:color w:val="auto"/>
        </w:rPr>
      </w:pPr>
      <w:r w:rsidRPr="008F2CB6">
        <w:rPr>
          <w:rStyle w:val="QuoteChar"/>
          <w:rFonts w:cstheme="minorBidi"/>
          <w:i w:val="0"/>
          <w:iCs w:val="0"/>
          <w:color w:val="auto"/>
        </w:rPr>
        <w:t>The statement, “after the death of Joshua” in Judges 1:1, must, therefore, represent a literary device not intended as a literal fact.</w:t>
      </w:r>
      <w:r w:rsidRPr="000B20A7">
        <w:rPr>
          <w:rStyle w:val="FootnoteReference"/>
        </w:rPr>
        <w:footnoteReference w:id="20"/>
      </w:r>
      <w:r w:rsidRPr="008F2CB6">
        <w:rPr>
          <w:rStyle w:val="QuoteChar"/>
          <w:rFonts w:cstheme="minorBidi"/>
          <w:i w:val="0"/>
          <w:iCs w:val="0"/>
          <w:color w:val="auto"/>
        </w:rPr>
        <w:t xml:space="preserve"> (The use of other problematic literary transition devices continue to occur throughout the Judges episodes—to be discussed in the next chapter.) What seems likely is that the Israelites began to occupy the land immediately after the allotments were defined at Shiloh, or even before.</w:t>
      </w:r>
      <w:r w:rsidRPr="000B20A7">
        <w:rPr>
          <w:rStyle w:val="FootnoteReference"/>
        </w:rPr>
        <w:footnoteReference w:id="21"/>
      </w:r>
      <w:r w:rsidRPr="008F2CB6">
        <w:rPr>
          <w:rStyle w:val="QuoteChar"/>
          <w:rFonts w:cstheme="minorBidi"/>
          <w:i w:val="0"/>
          <w:iCs w:val="0"/>
          <w:color w:val="auto"/>
        </w:rPr>
        <w:t xml:space="preserve"> </w:t>
      </w:r>
    </w:p>
    <w:p w14:paraId="3EFE80C0" w14:textId="77777777" w:rsidR="00981847" w:rsidRPr="008E5434" w:rsidRDefault="00981847" w:rsidP="000B20A7">
      <w:pPr>
        <w:pStyle w:val="Heading2"/>
      </w:pPr>
      <w:r w:rsidRPr="008E5434">
        <w:t>While Joshua Was Still Alive</w:t>
      </w:r>
    </w:p>
    <w:p w14:paraId="449E2522" w14:textId="72DB9FFF" w:rsidR="00981847" w:rsidRDefault="00981847" w:rsidP="00981847">
      <w:r>
        <w:t xml:space="preserve">Certain important events in the book of Judges had likely already occurred by the time Joshua gave his final address at Shechem near the end of his days. These events include the migration of </w:t>
      </w:r>
      <w:r w:rsidR="000B20A7">
        <w:t xml:space="preserve">elements of </w:t>
      </w:r>
      <w:r>
        <w:t xml:space="preserve">the tribe of Dan to </w:t>
      </w:r>
      <w:proofErr w:type="spellStart"/>
      <w:r>
        <w:t>Laish</w:t>
      </w:r>
      <w:proofErr w:type="spellEnd"/>
      <w:r>
        <w:t xml:space="preserve"> in the Upper Jordan Valley (</w:t>
      </w:r>
      <w:proofErr w:type="spellStart"/>
      <w:r>
        <w:t>Judg</w:t>
      </w:r>
      <w:proofErr w:type="spellEnd"/>
      <w:r>
        <w:t xml:space="preserve"> 17–18) and the Benjaminite war (</w:t>
      </w:r>
      <w:proofErr w:type="spellStart"/>
      <w:r>
        <w:t>Judg</w:t>
      </w:r>
      <w:proofErr w:type="spellEnd"/>
      <w:r>
        <w:t xml:space="preserve"> 19–21). </w:t>
      </w:r>
    </w:p>
    <w:p w14:paraId="02036BF6" w14:textId="750CF2CF" w:rsidR="00981847" w:rsidRPr="00B703E2" w:rsidRDefault="00981847" w:rsidP="00981847">
      <w:pPr>
        <w:pStyle w:val="Indent"/>
        <w:rPr>
          <w:rStyle w:val="QuoteChar"/>
          <w:i w:val="0"/>
        </w:rPr>
      </w:pPr>
      <w:r w:rsidRPr="00137692">
        <w:t>Once the Israelites disbanded as a people and dispersed into their lands their attempts to occupy prime lands held by the indigenous people raised a multitude of conflicts and challenges. Weary of war perhaps, Israelites began to compromise and interact with their neighbors</w:t>
      </w:r>
      <w:r w:rsidR="005C3D63">
        <w:t>. I</w:t>
      </w:r>
      <w:r w:rsidRPr="00137692">
        <w:t xml:space="preserve">n so doing they broke covenant with Yahweh. They failed or were reluctant to break down the </w:t>
      </w:r>
      <w:r w:rsidR="005C3D63">
        <w:t xml:space="preserve">pagan </w:t>
      </w:r>
      <w:r w:rsidRPr="00137692">
        <w:t>altars of the people of the land, in direct disobedience to the commands of Yahweh. For this reason, Yahweh said, “I will</w:t>
      </w:r>
      <w:r w:rsidRPr="00B703E2">
        <w:t xml:space="preserve"> not drive them out before you, but they shall become thorns in your sides, and their gods shall be a snare to you” (</w:t>
      </w:r>
      <w:proofErr w:type="spellStart"/>
      <w:r w:rsidRPr="00B703E2">
        <w:t>Judg</w:t>
      </w:r>
      <w:proofErr w:type="spellEnd"/>
      <w:r w:rsidRPr="00B703E2">
        <w:t xml:space="preserve"> 2:3).</w:t>
      </w:r>
      <w:r w:rsidRPr="00B703E2">
        <w:rPr>
          <w:rStyle w:val="FootnoteReference"/>
        </w:rPr>
        <w:footnoteReference w:id="22"/>
      </w:r>
    </w:p>
    <w:p w14:paraId="58517157" w14:textId="77777777" w:rsidR="00981847" w:rsidRPr="00B703E2" w:rsidRDefault="00981847" w:rsidP="00981847">
      <w:pPr>
        <w:pStyle w:val="Indent"/>
      </w:pPr>
      <w:r w:rsidRPr="00B703E2">
        <w:rPr>
          <w:lang w:bidi="he-IL"/>
        </w:rPr>
        <w:t xml:space="preserve">Some initial tribal warfare with the indigenous people occurred. Judges 1 describes the initiative of the tribe of Judah. </w:t>
      </w:r>
    </w:p>
    <w:p w14:paraId="4776008E" w14:textId="77777777" w:rsidR="00981847" w:rsidRPr="005C3D63" w:rsidRDefault="00981847" w:rsidP="00760E55">
      <w:pPr>
        <w:pStyle w:val="Heading2"/>
        <w:rPr>
          <w:rStyle w:val="QuoteChar"/>
          <w:rFonts w:eastAsiaTheme="majorEastAsia" w:cstheme="majorBidi"/>
          <w:i/>
          <w:iCs/>
          <w:color w:val="000000" w:themeColor="text1"/>
        </w:rPr>
      </w:pPr>
      <w:r w:rsidRPr="005C3D63">
        <w:rPr>
          <w:rStyle w:val="QuoteChar"/>
          <w:rFonts w:eastAsiaTheme="majorEastAsia" w:cstheme="majorBidi"/>
          <w:i/>
          <w:iCs/>
          <w:color w:val="000000" w:themeColor="text1"/>
        </w:rPr>
        <w:lastRenderedPageBreak/>
        <w:t>Occupation of the Land: The Book of Judges</w:t>
      </w:r>
    </w:p>
    <w:p w14:paraId="15003249" w14:textId="77777777" w:rsidR="00981847" w:rsidRPr="005C3D63" w:rsidRDefault="00981847" w:rsidP="005C3D63">
      <w:r w:rsidRPr="005C3D63">
        <w:rPr>
          <w:rStyle w:val="QuoteChar"/>
          <w:rFonts w:cstheme="minorBidi"/>
          <w:i w:val="0"/>
          <w:iCs w:val="0"/>
          <w:color w:val="auto"/>
        </w:rPr>
        <w:t xml:space="preserve">According to Judges 1, Judah and Simeon were the first to go up into the land to occupy their allotment. They defeated ten </w:t>
      </w:r>
      <w:proofErr w:type="spellStart"/>
      <w:r w:rsidRPr="005C3D63">
        <w:rPr>
          <w:rStyle w:val="QuoteChar"/>
          <w:rFonts w:cstheme="minorBidi"/>
          <w:i w:val="0"/>
          <w:iCs w:val="0"/>
          <w:color w:val="auto"/>
        </w:rPr>
        <w:t>elephs</w:t>
      </w:r>
      <w:proofErr w:type="spellEnd"/>
      <w:r w:rsidRPr="005C3D63">
        <w:rPr>
          <w:rStyle w:val="QuoteChar"/>
          <w:rFonts w:cstheme="minorBidi"/>
          <w:i w:val="0"/>
          <w:iCs w:val="0"/>
          <w:color w:val="auto"/>
        </w:rPr>
        <w:t xml:space="preserve"> (“thousands”) of Canaanites and Perizzites at Bezek. They also captured and burned Jerusalem (</w:t>
      </w:r>
      <w:proofErr w:type="spellStart"/>
      <w:r w:rsidRPr="005C3D63">
        <w:rPr>
          <w:rStyle w:val="QuoteChar"/>
          <w:rFonts w:cstheme="minorBidi"/>
          <w:i w:val="0"/>
          <w:iCs w:val="0"/>
          <w:color w:val="auto"/>
        </w:rPr>
        <w:t>Judg</w:t>
      </w:r>
      <w:proofErr w:type="spellEnd"/>
      <w:r w:rsidRPr="005C3D63">
        <w:rPr>
          <w:rStyle w:val="QuoteChar"/>
          <w:rFonts w:cstheme="minorBidi"/>
          <w:i w:val="0"/>
          <w:iCs w:val="0"/>
          <w:color w:val="auto"/>
        </w:rPr>
        <w:t xml:space="preserve"> 1:8). Successive battles occurred against Hebron, </w:t>
      </w:r>
      <w:proofErr w:type="spellStart"/>
      <w:r w:rsidRPr="005C3D63">
        <w:rPr>
          <w:rStyle w:val="QuoteChar"/>
          <w:rFonts w:cstheme="minorBidi"/>
          <w:i w:val="0"/>
          <w:iCs w:val="0"/>
          <w:color w:val="auto"/>
        </w:rPr>
        <w:t>Debir</w:t>
      </w:r>
      <w:proofErr w:type="spellEnd"/>
      <w:r w:rsidRPr="005C3D63">
        <w:rPr>
          <w:rStyle w:val="QuoteChar"/>
          <w:rFonts w:cstheme="minorBidi"/>
          <w:i w:val="0"/>
          <w:iCs w:val="0"/>
          <w:color w:val="auto"/>
        </w:rPr>
        <w:t xml:space="preserve">, towns in the Negev, and along the coast (Gaza, Ashkelon, and </w:t>
      </w:r>
      <w:proofErr w:type="spellStart"/>
      <w:r w:rsidRPr="005C3D63">
        <w:rPr>
          <w:rStyle w:val="QuoteChar"/>
          <w:rFonts w:cstheme="minorBidi"/>
          <w:i w:val="0"/>
          <w:iCs w:val="0"/>
          <w:color w:val="auto"/>
        </w:rPr>
        <w:t>Ekron</w:t>
      </w:r>
      <w:proofErr w:type="spellEnd"/>
      <w:r w:rsidRPr="005C3D63">
        <w:rPr>
          <w:rStyle w:val="QuoteChar"/>
          <w:rFonts w:cstheme="minorBidi"/>
          <w:i w:val="0"/>
          <w:iCs w:val="0"/>
          <w:color w:val="auto"/>
        </w:rPr>
        <w:t xml:space="preserve">). </w:t>
      </w:r>
    </w:p>
    <w:p w14:paraId="4395E72C" w14:textId="77777777" w:rsidR="00981847" w:rsidRPr="005C3D63" w:rsidRDefault="00981847" w:rsidP="005C3D63">
      <w:pPr>
        <w:pStyle w:val="Indent"/>
        <w:rPr>
          <w:rStyle w:val="QuoteChar"/>
          <w:rFonts w:cstheme="minorBidi"/>
          <w:i w:val="0"/>
          <w:iCs w:val="0"/>
          <w:color w:val="auto"/>
        </w:rPr>
      </w:pPr>
      <w:r w:rsidRPr="005C3D63">
        <w:rPr>
          <w:rStyle w:val="QuoteChar"/>
          <w:rFonts w:cstheme="minorBidi"/>
          <w:i w:val="0"/>
          <w:iCs w:val="0"/>
          <w:color w:val="auto"/>
        </w:rPr>
        <w:t xml:space="preserve">These early forays into the coastal plain by Judah claimed military victories over Gaza, Ashkelon, and </w:t>
      </w:r>
      <w:proofErr w:type="spellStart"/>
      <w:r w:rsidRPr="005C3D63">
        <w:rPr>
          <w:rStyle w:val="QuoteChar"/>
          <w:rFonts w:cstheme="minorBidi"/>
          <w:i w:val="0"/>
          <w:iCs w:val="0"/>
          <w:color w:val="auto"/>
        </w:rPr>
        <w:t>Ekron</w:t>
      </w:r>
      <w:proofErr w:type="spellEnd"/>
      <w:r w:rsidRPr="005C3D63">
        <w:rPr>
          <w:rStyle w:val="QuoteChar"/>
          <w:rFonts w:cstheme="minorBidi"/>
          <w:i w:val="0"/>
          <w:iCs w:val="0"/>
          <w:color w:val="auto"/>
        </w:rPr>
        <w:t>, cities that in a matter of several generations would come under the complete domination of the Philistines. The failure to mention the Philistines in this account suggests a period in the late 12th century BC.</w:t>
      </w:r>
      <w:r w:rsidRPr="005C3D63">
        <w:rPr>
          <w:rStyle w:val="FootnoteReference"/>
        </w:rPr>
        <w:footnoteReference w:id="23"/>
      </w:r>
      <w:r w:rsidRPr="005C3D63">
        <w:rPr>
          <w:rStyle w:val="QuoteChar"/>
          <w:rFonts w:cstheme="minorBidi"/>
          <w:i w:val="0"/>
          <w:iCs w:val="0"/>
          <w:color w:val="auto"/>
        </w:rPr>
        <w:t xml:space="preserve"> Recent studies cited by I. Finkelstein indicate that Monochrome and Bichrome styles attributed to the Philistine culture appeared only after the departure of the Egyptians from Canaan and not before the latter 12th century BC.</w:t>
      </w:r>
      <w:r w:rsidRPr="005C3D63">
        <w:rPr>
          <w:rStyle w:val="FootnoteReference"/>
        </w:rPr>
        <w:footnoteReference w:id="24"/>
      </w:r>
      <w:r w:rsidRPr="005C3D63">
        <w:rPr>
          <w:rStyle w:val="QuoteChar"/>
          <w:rFonts w:cstheme="minorBidi"/>
          <w:i w:val="0"/>
          <w:iCs w:val="0"/>
          <w:color w:val="auto"/>
        </w:rPr>
        <w:t xml:space="preserve"> </w:t>
      </w:r>
    </w:p>
    <w:p w14:paraId="68D255DA" w14:textId="4A2DF699" w:rsidR="00981847" w:rsidRPr="005C3D63" w:rsidRDefault="00981847" w:rsidP="005C3D63">
      <w:pPr>
        <w:pStyle w:val="Indent"/>
        <w:rPr>
          <w:rStyle w:val="QuoteChar"/>
          <w:rFonts w:cstheme="minorBidi"/>
          <w:i w:val="0"/>
          <w:iCs w:val="0"/>
          <w:color w:val="auto"/>
        </w:rPr>
      </w:pPr>
      <w:r w:rsidRPr="005C3D63">
        <w:rPr>
          <w:rStyle w:val="QuoteChar"/>
          <w:rFonts w:cstheme="minorBidi"/>
          <w:i w:val="0"/>
          <w:iCs w:val="0"/>
          <w:color w:val="auto"/>
        </w:rPr>
        <w:t>Power was still retained by the “Canaanites” (or Amorites) on the coast. They possessed iron chariots</w:t>
      </w:r>
      <w:r w:rsidR="005C3D63">
        <w:rPr>
          <w:rStyle w:val="QuoteChar"/>
          <w:rFonts w:cstheme="minorBidi"/>
          <w:i w:val="0"/>
          <w:iCs w:val="0"/>
          <w:color w:val="auto"/>
        </w:rPr>
        <w:t xml:space="preserve"> [i.e., iron axles]</w:t>
      </w:r>
      <w:r w:rsidRPr="005C3D63">
        <w:rPr>
          <w:rStyle w:val="QuoteChar"/>
          <w:rFonts w:cstheme="minorBidi"/>
          <w:i w:val="0"/>
          <w:iCs w:val="0"/>
          <w:color w:val="auto"/>
        </w:rPr>
        <w:t>. (Note that it was Amorite dominance of the coast that also prevented the Danites from descending from the hills. This was before the rise of the Philistine hegemony on the coastal plain.)</w:t>
      </w:r>
    </w:p>
    <w:p w14:paraId="68348859" w14:textId="77777777" w:rsidR="00981847" w:rsidRPr="005C3D63" w:rsidRDefault="00981847" w:rsidP="005C3D63">
      <w:pPr>
        <w:pStyle w:val="Indent"/>
        <w:rPr>
          <w:rStyle w:val="QuoteChar"/>
          <w:rFonts w:cstheme="minorBidi"/>
          <w:i w:val="0"/>
          <w:iCs w:val="0"/>
          <w:color w:val="auto"/>
        </w:rPr>
      </w:pPr>
      <w:r w:rsidRPr="005C3D63">
        <w:rPr>
          <w:rStyle w:val="QuoteChar"/>
          <w:rFonts w:cstheme="minorBidi"/>
          <w:i w:val="0"/>
          <w:iCs w:val="0"/>
          <w:color w:val="auto"/>
        </w:rPr>
        <w:t>The ephemeral nature of some tribal victories is illustrated in the case of Jerusalem. Judges 1 claims Judah (and Simeon) captured and burned the city. But the city (which lay in Benjamin’s tribal allotment) was not occupied by the Israelites. The indigenous population promptly reasserted control. It was not permanently conquered and occupied by Israel until the time of David, after nearly a century of attempts to conquer it.</w:t>
      </w:r>
    </w:p>
    <w:p w14:paraId="425FBDB6" w14:textId="77777777" w:rsidR="00981847" w:rsidRPr="005C3D63" w:rsidRDefault="00981847" w:rsidP="005C3D63">
      <w:pPr>
        <w:pStyle w:val="Indent"/>
        <w:rPr>
          <w:rStyle w:val="QuoteChar"/>
          <w:rFonts w:cstheme="minorBidi"/>
          <w:i w:val="0"/>
          <w:iCs w:val="0"/>
          <w:color w:val="auto"/>
        </w:rPr>
      </w:pPr>
      <w:r w:rsidRPr="005C3D63">
        <w:rPr>
          <w:rStyle w:val="QuoteChar"/>
          <w:rFonts w:cstheme="minorBidi"/>
          <w:i w:val="0"/>
          <w:iCs w:val="0"/>
          <w:color w:val="auto"/>
        </w:rPr>
        <w:t xml:space="preserve">Abbreviated sketches in Judges 1 describe the progress of Benjamin in occupying its allotment. Also mentioned was the progress of the Joseph tribes (noting specifically the capture of Bethel by Ephraim using stealth rather than direct assault, an indication it was walled). </w:t>
      </w:r>
    </w:p>
    <w:p w14:paraId="6DFDC0DD" w14:textId="77777777" w:rsidR="00981847" w:rsidRPr="00760E55" w:rsidRDefault="00981847" w:rsidP="00760E55">
      <w:pPr>
        <w:pStyle w:val="Heading2"/>
        <w:rPr>
          <w:rStyle w:val="QuoteChar"/>
          <w:rFonts w:eastAsiaTheme="majorEastAsia" w:cstheme="majorBidi"/>
          <w:i/>
          <w:iCs/>
          <w:color w:val="000000" w:themeColor="text1"/>
        </w:rPr>
      </w:pPr>
      <w:r w:rsidRPr="00760E55">
        <w:rPr>
          <w:rStyle w:val="QuoteChar"/>
          <w:rFonts w:eastAsiaTheme="majorEastAsia" w:cstheme="majorBidi"/>
          <w:i/>
          <w:iCs/>
          <w:color w:val="000000" w:themeColor="text1"/>
        </w:rPr>
        <w:t>Resistance and Constraints</w:t>
      </w:r>
    </w:p>
    <w:p w14:paraId="3ADCBEA5" w14:textId="77777777" w:rsidR="00981847" w:rsidRPr="00760E55" w:rsidRDefault="00981847" w:rsidP="00760E55">
      <w:pPr>
        <w:rPr>
          <w:rStyle w:val="QuoteChar"/>
          <w:rFonts w:cstheme="minorBidi"/>
          <w:i w:val="0"/>
          <w:iCs w:val="0"/>
          <w:color w:val="auto"/>
        </w:rPr>
      </w:pPr>
      <w:r w:rsidRPr="00760E55">
        <w:rPr>
          <w:rStyle w:val="QuoteChar"/>
          <w:rFonts w:cstheme="minorBidi"/>
          <w:i w:val="0"/>
          <w:iCs w:val="0"/>
          <w:color w:val="auto"/>
        </w:rPr>
        <w:t xml:space="preserve">Manasseh was unable to take the fortified cities in the Jezreel Plain and Ephraim could not take Gezer, nor the Jerusalem corridor. Zebulon was forced to live among the Canaanites they could </w:t>
      </w:r>
      <w:r w:rsidRPr="00760E55">
        <w:rPr>
          <w:rStyle w:val="QuoteChar"/>
          <w:rFonts w:cstheme="minorBidi"/>
          <w:i w:val="0"/>
          <w:iCs w:val="0"/>
          <w:color w:val="auto"/>
        </w:rPr>
        <w:lastRenderedPageBreak/>
        <w:t xml:space="preserve">not dislodge. Asher and Naphtali were in similar circumstances. And the Amorites pressed the people of Dan back into the hill country; they would soon take action to find more land (at </w:t>
      </w:r>
      <w:proofErr w:type="spellStart"/>
      <w:r w:rsidRPr="00760E55">
        <w:rPr>
          <w:rStyle w:val="QuoteChar"/>
          <w:rFonts w:cstheme="minorBidi"/>
          <w:i w:val="0"/>
          <w:iCs w:val="0"/>
          <w:color w:val="auto"/>
        </w:rPr>
        <w:t>Laish</w:t>
      </w:r>
      <w:proofErr w:type="spellEnd"/>
      <w:r w:rsidRPr="00760E55">
        <w:rPr>
          <w:rStyle w:val="QuoteChar"/>
          <w:rFonts w:cstheme="minorBidi"/>
          <w:i w:val="0"/>
          <w:iCs w:val="0"/>
          <w:color w:val="auto"/>
        </w:rPr>
        <w:t>).</w:t>
      </w:r>
    </w:p>
    <w:p w14:paraId="418A8A32" w14:textId="77777777" w:rsidR="00981847" w:rsidRDefault="00981847" w:rsidP="00981847">
      <w:pPr>
        <w:pStyle w:val="Indent"/>
      </w:pPr>
      <w:r w:rsidRPr="008E5434">
        <w:rPr>
          <w:rFonts w:cstheme="majorBidi"/>
        </w:rPr>
        <w:t>Manasseh could not take possession of the towns of Beth-</w:t>
      </w:r>
      <w:proofErr w:type="spellStart"/>
      <w:r w:rsidRPr="008E5434">
        <w:rPr>
          <w:rFonts w:cstheme="majorBidi"/>
        </w:rPr>
        <w:t>Shean</w:t>
      </w:r>
      <w:proofErr w:type="spellEnd"/>
      <w:r w:rsidRPr="008E5434">
        <w:rPr>
          <w:rFonts w:cstheme="majorBidi"/>
        </w:rPr>
        <w:t xml:space="preserve"> and its villages, </w:t>
      </w:r>
      <w:proofErr w:type="spellStart"/>
      <w:r w:rsidRPr="008E5434">
        <w:rPr>
          <w:rFonts w:cstheme="majorBidi"/>
        </w:rPr>
        <w:t>Ibleam</w:t>
      </w:r>
      <w:proofErr w:type="spellEnd"/>
      <w:r w:rsidRPr="008E5434">
        <w:rPr>
          <w:rFonts w:cstheme="majorBidi"/>
        </w:rPr>
        <w:t xml:space="preserve"> and its villages, nor </w:t>
      </w:r>
      <w:proofErr w:type="spellStart"/>
      <w:r w:rsidRPr="008E5434">
        <w:rPr>
          <w:rFonts w:cstheme="majorBidi"/>
        </w:rPr>
        <w:t>Dor</w:t>
      </w:r>
      <w:proofErr w:type="spellEnd"/>
      <w:r w:rsidRPr="008E5434">
        <w:rPr>
          <w:rFonts w:cstheme="majorBidi"/>
        </w:rPr>
        <w:t xml:space="preserve"> and its villages. They could not dislodge the inhabitants of </w:t>
      </w:r>
      <w:proofErr w:type="spellStart"/>
      <w:r w:rsidRPr="008E5434">
        <w:rPr>
          <w:rFonts w:cstheme="majorBidi"/>
        </w:rPr>
        <w:t>En-dor</w:t>
      </w:r>
      <w:proofErr w:type="spellEnd"/>
      <w:r w:rsidRPr="008E5434">
        <w:rPr>
          <w:rFonts w:cstheme="majorBidi"/>
        </w:rPr>
        <w:t xml:space="preserve"> and its</w:t>
      </w:r>
      <w:r w:rsidRPr="006304C1">
        <w:t xml:space="preserve"> villages, the inhabitants of </w:t>
      </w:r>
      <w:proofErr w:type="spellStart"/>
      <w:r w:rsidRPr="006304C1">
        <w:t>Taanach</w:t>
      </w:r>
      <w:proofErr w:type="spellEnd"/>
      <w:r w:rsidRPr="006304C1">
        <w:t xml:space="preserve"> and its villages, </w:t>
      </w:r>
      <w:r>
        <w:t>nor</w:t>
      </w:r>
      <w:r w:rsidRPr="006304C1">
        <w:t xml:space="preserve"> the inhabitants of Megiddo and its villages</w:t>
      </w:r>
      <w:r>
        <w:t>. These towns steadfastly resisted efforts of the tribe of Manasseh to occupy them. Though the Canaanites persisted in dwelling in the land, in time the people of Israel grew strong enough to put them under forced labor (Josh 17:11).</w:t>
      </w:r>
    </w:p>
    <w:p w14:paraId="7AE47A39" w14:textId="77777777" w:rsidR="00981847" w:rsidRPr="00760E55" w:rsidRDefault="00981847" w:rsidP="00760E55">
      <w:pPr>
        <w:pStyle w:val="Heading1"/>
        <w:rPr>
          <w:rStyle w:val="QuoteChar"/>
          <w:rFonts w:ascii="Garamond" w:eastAsiaTheme="majorEastAsia" w:hAnsi="Garamond" w:cstheme="majorBidi"/>
          <w:i/>
          <w:iCs w:val="0"/>
          <w:color w:val="000000" w:themeColor="text1"/>
        </w:rPr>
      </w:pPr>
      <w:r w:rsidRPr="00760E55">
        <w:rPr>
          <w:rStyle w:val="QuoteChar"/>
          <w:rFonts w:ascii="Garamond" w:eastAsiaTheme="majorEastAsia" w:hAnsi="Garamond" w:cstheme="majorBidi"/>
          <w:i/>
          <w:iCs w:val="0"/>
          <w:color w:val="000000" w:themeColor="text1"/>
        </w:rPr>
        <w:t>Joshua’s Final Farewell</w:t>
      </w:r>
    </w:p>
    <w:p w14:paraId="2A31E9A6" w14:textId="0B4B5A58" w:rsidR="00981847" w:rsidRPr="00B703E2" w:rsidRDefault="00981847" w:rsidP="00981847">
      <w:r w:rsidRPr="00137692">
        <w:t>Near the end of his life Joshua summoned the tribes from their lands to Shechem for his final farewell.</w:t>
      </w:r>
      <w:r w:rsidR="005835E2">
        <w:rPr>
          <w:rStyle w:val="FootnoteReference"/>
        </w:rPr>
        <w:footnoteReference w:id="25"/>
      </w:r>
      <w:r w:rsidRPr="00137692">
        <w:t xml:space="preserve"> He warned the people once again that if they clung to the remnant of the </w:t>
      </w:r>
      <w:proofErr w:type="spellStart"/>
      <w:r w:rsidRPr="00137692">
        <w:t>nations</w:t>
      </w:r>
      <w:proofErr w:type="spellEnd"/>
      <w:r w:rsidRPr="00137692">
        <w:t xml:space="preserve"> remaining in their midst, married into their pagan culture, or even associated with them, the Israelites were to know for a certainty that the</w:t>
      </w:r>
      <w:r w:rsidRPr="00B703E2">
        <w:t xml:space="preserve"> </w:t>
      </w:r>
      <w:r w:rsidRPr="00B703E2">
        <w:rPr>
          <w:smallCaps/>
        </w:rPr>
        <w:t>Lord</w:t>
      </w:r>
      <w:r w:rsidRPr="00B703E2">
        <w:t xml:space="preserve"> God would no longer drive out these nations before them. Those nations would become a snare and a trap for them, a whip on their sides and thorns in their eyes, until they </w:t>
      </w:r>
      <w:r>
        <w:t xml:space="preserve">[Israel] </w:t>
      </w:r>
      <w:r w:rsidRPr="00B703E2">
        <w:t xml:space="preserve">perished from the land the </w:t>
      </w:r>
      <w:r w:rsidRPr="00B703E2">
        <w:rPr>
          <w:smallCaps/>
        </w:rPr>
        <w:t>Lord</w:t>
      </w:r>
      <w:r w:rsidRPr="00B703E2">
        <w:t xml:space="preserve"> God had given them (Josh 23:13; </w:t>
      </w:r>
      <w:proofErr w:type="spellStart"/>
      <w:r w:rsidRPr="00B703E2">
        <w:t>cf</w:t>
      </w:r>
      <w:proofErr w:type="spellEnd"/>
      <w:r w:rsidRPr="00B703E2">
        <w:t xml:space="preserve"> </w:t>
      </w:r>
      <w:proofErr w:type="spellStart"/>
      <w:r w:rsidRPr="00B703E2">
        <w:t>Judg</w:t>
      </w:r>
      <w:proofErr w:type="spellEnd"/>
      <w:r w:rsidRPr="00B703E2">
        <w:t xml:space="preserve"> 2:3).</w:t>
      </w:r>
    </w:p>
    <w:p w14:paraId="57DD5268" w14:textId="77777777" w:rsidR="00981847" w:rsidRDefault="00981847" w:rsidP="00981847">
      <w:pPr>
        <w:pStyle w:val="Indent"/>
      </w:pPr>
      <w:r w:rsidRPr="00B703E2">
        <w:t xml:space="preserve">In the final chapter of his account Joshua demanded that Israel “choose this day whom you will serve, whether the gods your fathers served in the region beyond the </w:t>
      </w:r>
      <w:proofErr w:type="gramStart"/>
      <w:r w:rsidRPr="00B703E2">
        <w:t>River</w:t>
      </w:r>
      <w:proofErr w:type="gramEnd"/>
      <w:r w:rsidRPr="00B703E2">
        <w:t xml:space="preserve">, or the gods of the Amorites in whose land you dwell. But as for me and my house, we will serve the </w:t>
      </w:r>
      <w:r w:rsidRPr="00B703E2">
        <w:rPr>
          <w:smallCaps/>
        </w:rPr>
        <w:t>Lord</w:t>
      </w:r>
      <w:r w:rsidRPr="00B703E2">
        <w:t>” (Josh 24:15). And “Joshua wrote these words in the Book of the Law of God” (Josh 24:26). The people went to their inheritance and Joshua died at the age of 110 years</w:t>
      </w:r>
      <w:r>
        <w:t>.</w:t>
      </w:r>
    </w:p>
    <w:p w14:paraId="60AF3619" w14:textId="77777777" w:rsidR="00981847" w:rsidRPr="00760E55" w:rsidRDefault="00981847" w:rsidP="00760E55">
      <w:pPr>
        <w:pStyle w:val="Heading1"/>
      </w:pPr>
      <w:r w:rsidRPr="00760E55">
        <w:t>Conclusions</w:t>
      </w:r>
    </w:p>
    <w:p w14:paraId="3804A039" w14:textId="536BDE67" w:rsidR="00E20B11" w:rsidRDefault="00E20B11" w:rsidP="006E58B5">
      <w:r>
        <w:t>Despite the hyperbolic language</w:t>
      </w:r>
      <w:r w:rsidR="00293CC9">
        <w:t>,</w:t>
      </w:r>
      <w:r>
        <w:t xml:space="preserve"> Joshua did not exterminate the indigenous population of Canaan, nor was the </w:t>
      </w:r>
      <w:r w:rsidR="00834444">
        <w:t>Conquest</w:t>
      </w:r>
      <w:r>
        <w:t xml:space="preserve"> comprehensive</w:t>
      </w:r>
      <w:r w:rsidR="00293CC9">
        <w:t>,</w:t>
      </w:r>
      <w:r>
        <w:t xml:space="preserve"> as a literal reading of the text might suggest. </w:t>
      </w:r>
      <w:r w:rsidR="00293CC9">
        <w:t>T</w:t>
      </w:r>
      <w:r>
        <w:t xml:space="preserve">his seemingly difficult language </w:t>
      </w:r>
      <w:r w:rsidR="00293CC9">
        <w:t>mirrors</w:t>
      </w:r>
      <w:r>
        <w:t xml:space="preserve"> </w:t>
      </w:r>
      <w:r w:rsidR="00293CC9">
        <w:t xml:space="preserve">the </w:t>
      </w:r>
      <w:r>
        <w:t xml:space="preserve">verbiage of conquest narratives </w:t>
      </w:r>
      <w:r w:rsidR="00293CC9">
        <w:t xml:space="preserve">in this ancient period. </w:t>
      </w:r>
      <w:r w:rsidR="00293CC9">
        <w:lastRenderedPageBreak/>
        <w:t>Mesopotamian and Egyptian documents contain the same hyperbole and theological claims. Joshua’s use of this kind of phrasing authenticates the antiquity of the account.</w:t>
      </w:r>
    </w:p>
    <w:p w14:paraId="01AEE44A" w14:textId="6BB0A9CF" w:rsidR="00B73528" w:rsidRDefault="00C94D73" w:rsidP="00293CC9">
      <w:pPr>
        <w:pStyle w:val="Indent"/>
      </w:pPr>
      <w:r w:rsidRPr="006E58B5">
        <w:t xml:space="preserve">The text of Joshua establishes </w:t>
      </w:r>
      <w:r w:rsidR="00B73528">
        <w:t>several</w:t>
      </w:r>
      <w:r w:rsidRPr="006E58B5">
        <w:t xml:space="preserve"> important </w:t>
      </w:r>
      <w:r w:rsidR="000C590B">
        <w:t xml:space="preserve">dating </w:t>
      </w:r>
      <w:r w:rsidRPr="006E58B5">
        <w:t>synchronism</w:t>
      </w:r>
      <w:r w:rsidR="00B73528">
        <w:t>s</w:t>
      </w:r>
      <w:r w:rsidR="000C590B">
        <w:t xml:space="preserve"> between the biblical text and </w:t>
      </w:r>
      <w:r w:rsidR="00293CC9">
        <w:t xml:space="preserve">the </w:t>
      </w:r>
      <w:r w:rsidR="000C590B">
        <w:t>archaeological evidence</w:t>
      </w:r>
      <w:r w:rsidR="00B73528">
        <w:t xml:space="preserve">. One has to do with </w:t>
      </w:r>
      <w:r w:rsidR="000C590B">
        <w:t>the rise of the Philistines</w:t>
      </w:r>
      <w:r w:rsidRPr="006E58B5">
        <w:t>. Th</w:t>
      </w:r>
      <w:r w:rsidR="000C590B">
        <w:t xml:space="preserve">is people group </w:t>
      </w:r>
      <w:r w:rsidRPr="006E58B5">
        <w:t xml:space="preserve">emerged as a prominent </w:t>
      </w:r>
      <w:r w:rsidR="000C590B">
        <w:t>military force</w:t>
      </w:r>
      <w:r w:rsidRPr="006E58B5">
        <w:t xml:space="preserve"> in the late lifetime of Joshua</w:t>
      </w:r>
      <w:r w:rsidR="00B73528">
        <w:t xml:space="preserve"> </w:t>
      </w:r>
      <w:r w:rsidR="00B73528" w:rsidRPr="006E58B5">
        <w:t>(13:2–4)</w:t>
      </w:r>
      <w:r w:rsidRPr="006E58B5">
        <w:t xml:space="preserve">. This </w:t>
      </w:r>
      <w:r w:rsidR="006E58B5" w:rsidRPr="006E58B5">
        <w:t xml:space="preserve">development </w:t>
      </w:r>
      <w:r w:rsidR="006E58B5">
        <w:t xml:space="preserve">ballparks </w:t>
      </w:r>
      <w:r w:rsidR="0006257F">
        <w:t>12</w:t>
      </w:r>
      <w:r w:rsidR="0006257F" w:rsidRPr="0006257F">
        <w:rPr>
          <w:vertAlign w:val="superscript"/>
        </w:rPr>
        <w:t>th</w:t>
      </w:r>
      <w:r w:rsidR="0006257F">
        <w:t xml:space="preserve"> century BC </w:t>
      </w:r>
      <w:r w:rsidRPr="006E58B5">
        <w:t>date</w:t>
      </w:r>
      <w:r w:rsidR="006E58B5">
        <w:t>s</w:t>
      </w:r>
      <w:r w:rsidRPr="006E58B5">
        <w:t xml:space="preserve"> </w:t>
      </w:r>
      <w:r w:rsidR="006E58B5">
        <w:t xml:space="preserve">for the </w:t>
      </w:r>
      <w:r w:rsidR="00834444">
        <w:t>Conquest</w:t>
      </w:r>
      <w:r w:rsidRPr="006E58B5">
        <w:t xml:space="preserve"> </w:t>
      </w:r>
      <w:r w:rsidR="006E58B5" w:rsidRPr="006E58B5">
        <w:t xml:space="preserve">and the beginning of the era of the Judges. </w:t>
      </w:r>
    </w:p>
    <w:p w14:paraId="06DF067D" w14:textId="77777777" w:rsidR="00B06257" w:rsidRDefault="006E58B5" w:rsidP="00B06257">
      <w:pPr>
        <w:pStyle w:val="Indent"/>
      </w:pPr>
      <w:r w:rsidRPr="006E58B5">
        <w:t xml:space="preserve">Early efforts </w:t>
      </w:r>
      <w:r w:rsidR="000C590B">
        <w:t xml:space="preserve">by Judah and Dan </w:t>
      </w:r>
      <w:r w:rsidRPr="006E58B5">
        <w:t xml:space="preserve">to claim allotted lands on the coastal plain </w:t>
      </w:r>
      <w:r w:rsidR="00B06257">
        <w:t xml:space="preserve">were resisted by </w:t>
      </w:r>
      <w:r w:rsidRPr="006E58B5">
        <w:t>Canaanites; by the time of the Judges</w:t>
      </w:r>
      <w:r w:rsidR="00B73528">
        <w:t>,</w:t>
      </w:r>
      <w:r w:rsidRPr="006E58B5">
        <w:t xml:space="preserve"> it was the Philistines that prevented these tribes from occupying the coastal plain.</w:t>
      </w:r>
      <w:r w:rsidR="00B73528">
        <w:t xml:space="preserve"> </w:t>
      </w:r>
    </w:p>
    <w:p w14:paraId="32D8B364" w14:textId="14128603" w:rsidR="00B06257" w:rsidRDefault="00B06257" w:rsidP="00B06257">
      <w:pPr>
        <w:pStyle w:val="Indent"/>
      </w:pPr>
      <w:r>
        <w:t xml:space="preserve">The five-year war of </w:t>
      </w:r>
      <w:r w:rsidR="00834444">
        <w:t>Conquest</w:t>
      </w:r>
      <w:r>
        <w:t xml:space="preserve"> ended when the Israelites rehabilitated the cultic site of Shiloh, </w:t>
      </w:r>
      <w:r w:rsidR="0006257F">
        <w:t>defined</w:t>
      </w:r>
      <w:r>
        <w:t xml:space="preserve"> the allotments, and disbanded. Archaeological evidence at Shiloh, supported by textual evidence, suggests a date for the reconstruction of Shiloh ca. 1130 BC coincident with the beginning of the period of the Judges. This is a second significant synchronism between the text (dated by a 12</w:t>
      </w:r>
      <w:r w:rsidRPr="00176899">
        <w:rPr>
          <w:vertAlign w:val="superscript"/>
        </w:rPr>
        <w:t>th</w:t>
      </w:r>
      <w:r>
        <w:t xml:space="preserve"> century BC chronology) and the archaeological evidence. </w:t>
      </w:r>
    </w:p>
    <w:p w14:paraId="71AD0A8F" w14:textId="598B81EF" w:rsidR="0018204A" w:rsidRDefault="000C590B" w:rsidP="0018204A">
      <w:pPr>
        <w:pStyle w:val="Indent"/>
      </w:pPr>
      <w:r>
        <w:t xml:space="preserve">This chapter </w:t>
      </w:r>
      <w:r w:rsidR="0018204A">
        <w:t>addresse</w:t>
      </w:r>
      <w:r>
        <w:t>d</w:t>
      </w:r>
      <w:r w:rsidR="0018204A">
        <w:t xml:space="preserve"> the </w:t>
      </w:r>
      <w:r>
        <w:t xml:space="preserve">relationship </w:t>
      </w:r>
      <w:r w:rsidR="0018204A">
        <w:t>between the books of Joshua and Judges</w:t>
      </w:r>
      <w:r w:rsidR="00B73528">
        <w:t xml:space="preserve">, arguing that the books are </w:t>
      </w:r>
      <w:r w:rsidR="0018204A">
        <w:t>a continuous history</w:t>
      </w:r>
      <w:r w:rsidR="00B73528">
        <w:t>, not</w:t>
      </w:r>
      <w:r w:rsidR="0018204A">
        <w:t xml:space="preserve"> two different accounts of the establishment of the Israelites in Canaan, as some have proposed. </w:t>
      </w:r>
      <w:r w:rsidR="002C4E18">
        <w:t>T</w:t>
      </w:r>
      <w:r w:rsidR="0006257F">
        <w:t xml:space="preserve">he next chapter </w:t>
      </w:r>
      <w:r w:rsidR="002C4E18">
        <w:t xml:space="preserve">examines the </w:t>
      </w:r>
      <w:r w:rsidR="0006257F">
        <w:t>book of Judges</w:t>
      </w:r>
      <w:r w:rsidR="002C4E18">
        <w:t xml:space="preserve"> as a literary composition and the archaeological evidence supporting a conclusion that the era of the Judges occurred over a one-hundred</w:t>
      </w:r>
      <w:r w:rsidR="00531C12">
        <w:t>-</w:t>
      </w:r>
      <w:r w:rsidR="002C4E18">
        <w:t>year period.</w:t>
      </w:r>
    </w:p>
    <w:p w14:paraId="104E0A64" w14:textId="77777777" w:rsidR="00B01A2F" w:rsidRDefault="00000000"/>
    <w:sectPr w:rsidR="00B01A2F" w:rsidSect="002C4E18">
      <w:footerReference w:type="even" r:id="rId12"/>
      <w:footerReference w:type="default" r:id="rId13"/>
      <w:pgSz w:w="12240" w:h="15840"/>
      <w:pgMar w:top="1440" w:right="1440" w:bottom="1440" w:left="1440" w:header="720" w:footer="720" w:gutter="0"/>
      <w:pgNumType w:start="479"/>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F3750B" w14:textId="77777777" w:rsidR="001508BF" w:rsidRDefault="001508BF" w:rsidP="00981847">
      <w:pPr>
        <w:spacing w:line="240" w:lineRule="auto"/>
      </w:pPr>
      <w:r>
        <w:separator/>
      </w:r>
    </w:p>
  </w:endnote>
  <w:endnote w:type="continuationSeparator" w:id="0">
    <w:p w14:paraId="0FE7B08D" w14:textId="77777777" w:rsidR="001508BF" w:rsidRDefault="001508BF" w:rsidP="0098184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2"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59653454"/>
      <w:docPartObj>
        <w:docPartGallery w:val="Page Numbers (Bottom of Page)"/>
        <w:docPartUnique/>
      </w:docPartObj>
    </w:sdtPr>
    <w:sdtContent>
      <w:p w14:paraId="4093322C" w14:textId="03088D9C" w:rsidR="002C4E18" w:rsidRDefault="002C4E18" w:rsidP="00E84CB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FD66FFD" w14:textId="77777777" w:rsidR="002C4E18" w:rsidRDefault="002C4E18" w:rsidP="002C4E1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114703605"/>
      <w:docPartObj>
        <w:docPartGallery w:val="Page Numbers (Bottom of Page)"/>
        <w:docPartUnique/>
      </w:docPartObj>
    </w:sdtPr>
    <w:sdtContent>
      <w:p w14:paraId="0B5FD825" w14:textId="46D4E082" w:rsidR="002C4E18" w:rsidRDefault="002C4E18" w:rsidP="00E84CB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479</w:t>
        </w:r>
        <w:r>
          <w:rPr>
            <w:rStyle w:val="PageNumber"/>
          </w:rPr>
          <w:fldChar w:fldCharType="end"/>
        </w:r>
      </w:p>
    </w:sdtContent>
  </w:sdt>
  <w:p w14:paraId="477C6C9F" w14:textId="77777777" w:rsidR="002C4E18" w:rsidRDefault="002C4E18" w:rsidP="002C4E1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4D1ED6" w14:textId="77777777" w:rsidR="001508BF" w:rsidRDefault="001508BF" w:rsidP="00981847">
      <w:pPr>
        <w:spacing w:line="240" w:lineRule="auto"/>
      </w:pPr>
      <w:r>
        <w:separator/>
      </w:r>
    </w:p>
  </w:footnote>
  <w:footnote w:type="continuationSeparator" w:id="0">
    <w:p w14:paraId="3B902CB9" w14:textId="77777777" w:rsidR="001508BF" w:rsidRDefault="001508BF" w:rsidP="00981847">
      <w:pPr>
        <w:spacing w:line="240" w:lineRule="auto"/>
      </w:pPr>
      <w:r>
        <w:continuationSeparator/>
      </w:r>
    </w:p>
  </w:footnote>
  <w:footnote w:id="1">
    <w:p w14:paraId="46A88E89" w14:textId="293148E5" w:rsidR="00981847" w:rsidRPr="00C676E2" w:rsidRDefault="00981847" w:rsidP="008344DC">
      <w:pPr>
        <w:pStyle w:val="FootnoteText"/>
      </w:pPr>
      <w:r w:rsidRPr="002C4E18">
        <w:rPr>
          <w:rStyle w:val="FootnoteReference"/>
        </w:rPr>
        <w:footnoteRef/>
      </w:r>
      <w:r>
        <w:t xml:space="preserve"> </w:t>
      </w:r>
      <w:r w:rsidR="004057C1">
        <w:t>Joshua 13</w:t>
      </w:r>
      <w:r w:rsidRPr="007C7064">
        <w:t xml:space="preserve"> is the first mention of the Philistines in the book of Joshua. The fact that the Philistines had not been a factor in the </w:t>
      </w:r>
      <w:r w:rsidR="00834444">
        <w:t>Conquest</w:t>
      </w:r>
      <w:r w:rsidRPr="007C7064">
        <w:t xml:space="preserve"> narrative supports the idea that the emerging Philistine power base on the coast did not gain momentum until the period of the later judges in the early- to mid-11</w:t>
      </w:r>
      <w:r w:rsidRPr="007C7064">
        <w:rPr>
          <w:vertAlign w:val="superscript"/>
        </w:rPr>
        <w:t>th</w:t>
      </w:r>
      <w:r w:rsidRPr="007C7064">
        <w:t xml:space="preserve"> century</w:t>
      </w:r>
      <w:r w:rsidR="00176899">
        <w:t>—</w:t>
      </w:r>
      <w:r w:rsidRPr="007C7064">
        <w:t xml:space="preserve">though they were </w:t>
      </w:r>
      <w:r w:rsidR="00E20B11">
        <w:t xml:space="preserve">apparently </w:t>
      </w:r>
      <w:r w:rsidRPr="007C7064">
        <w:t xml:space="preserve">there from </w:t>
      </w:r>
      <w:r w:rsidR="00176899">
        <w:t>ca. 1177 BC (according to Egyptian documents</w:t>
      </w:r>
      <w:r w:rsidR="00E2232D">
        <w:t>; cf. Exod 13:17</w:t>
      </w:r>
      <w:r w:rsidR="00176899">
        <w:t>).</w:t>
      </w:r>
      <w:r w:rsidRPr="007C7064">
        <w:t xml:space="preserve"> The excavators</w:t>
      </w:r>
      <w:r>
        <w:t xml:space="preserve"> of Tell es-Safi/Gath, </w:t>
      </w:r>
      <w:proofErr w:type="spellStart"/>
      <w:r>
        <w:t>Aren</w:t>
      </w:r>
      <w:proofErr w:type="spellEnd"/>
      <w:r>
        <w:t xml:space="preserve"> </w:t>
      </w:r>
      <w:proofErr w:type="spellStart"/>
      <w:r>
        <w:t>Maeir</w:t>
      </w:r>
      <w:proofErr w:type="spellEnd"/>
      <w:r>
        <w:t xml:space="preserve"> and Louise Hitchcock (2017: 248, 256–57), believe an early </w:t>
      </w:r>
      <w:r w:rsidR="00E2232D">
        <w:t xml:space="preserve">arrival </w:t>
      </w:r>
      <w:r>
        <w:t xml:space="preserve">date should be seen as evidence strengthening the argument for long and gradual emergence of the Philistine culture from mixed origins—not just the Mycenaean. Note that the </w:t>
      </w:r>
      <w:proofErr w:type="spellStart"/>
      <w:r>
        <w:t>Geshurites</w:t>
      </w:r>
      <w:proofErr w:type="spellEnd"/>
      <w:r>
        <w:t xml:space="preserve"> mentioned in Josh 13 are a people SE of Philistia. </w:t>
      </w:r>
      <w:proofErr w:type="spellStart"/>
      <w:r>
        <w:t>Geshur</w:t>
      </w:r>
      <w:proofErr w:type="spellEnd"/>
      <w:r>
        <w:t xml:space="preserve"> (“</w:t>
      </w:r>
      <w:proofErr w:type="spellStart"/>
      <w:r>
        <w:t>Geshurites</w:t>
      </w:r>
      <w:proofErr w:type="spellEnd"/>
      <w:r>
        <w:t xml:space="preserve">”) were also located in the Golan region—see G. J. </w:t>
      </w:r>
      <w:proofErr w:type="spellStart"/>
      <w:r>
        <w:t>Petter</w:t>
      </w:r>
      <w:proofErr w:type="spellEnd"/>
      <w:r>
        <w:t xml:space="preserve"> (1992).</w:t>
      </w:r>
    </w:p>
  </w:footnote>
  <w:footnote w:id="2">
    <w:p w14:paraId="4B71029F" w14:textId="29651F2A" w:rsidR="00981847" w:rsidRDefault="00981847" w:rsidP="008344DC">
      <w:pPr>
        <w:pStyle w:val="FootnoteText"/>
      </w:pPr>
      <w:r w:rsidRPr="00C676E2">
        <w:rPr>
          <w:rStyle w:val="FootnoteReference"/>
        </w:rPr>
        <w:footnoteRef/>
      </w:r>
      <w:r w:rsidRPr="00C676E2">
        <w:t xml:space="preserve"> Reference to this southern coastal region as “Canaanite” seems to reflect the period before the Philistines became the dominant polity (they would soon displace the </w:t>
      </w:r>
      <w:proofErr w:type="spellStart"/>
      <w:r w:rsidRPr="00C676E2">
        <w:t>Geshurites</w:t>
      </w:r>
      <w:proofErr w:type="spellEnd"/>
      <w:r w:rsidRPr="00C676E2">
        <w:t xml:space="preserve"> [last mentioned in 1 Sam 27:8] and </w:t>
      </w:r>
      <w:proofErr w:type="spellStart"/>
      <w:r w:rsidRPr="00C676E2">
        <w:t>Avvim</w:t>
      </w:r>
      <w:proofErr w:type="spellEnd"/>
      <w:r w:rsidRPr="00C676E2">
        <w:t xml:space="preserve"> in this region). The report of the </w:t>
      </w:r>
      <w:r w:rsidR="00E20B11">
        <w:t xml:space="preserve">Israelite </w:t>
      </w:r>
      <w:r w:rsidRPr="00C676E2">
        <w:t xml:space="preserve">spies </w:t>
      </w:r>
      <w:r w:rsidR="00E20B11">
        <w:t xml:space="preserve">dispatched from Kadesh Barnea </w:t>
      </w:r>
      <w:r w:rsidRPr="00C676E2">
        <w:t>(Nu</w:t>
      </w:r>
      <w:r>
        <w:t xml:space="preserve">m 13:29) identified Canaanites along the sea with no mention of the Philistines. As pointed out in the above note, </w:t>
      </w:r>
      <w:r w:rsidR="00E20B11">
        <w:t xml:space="preserve">however, </w:t>
      </w:r>
      <w:r>
        <w:t>the rise of the Philistines to dominance in the region likely began in the first half of the 11</w:t>
      </w:r>
      <w:r w:rsidRPr="00471F4C">
        <w:rPr>
          <w:vertAlign w:val="superscript"/>
        </w:rPr>
        <w:t>th</w:t>
      </w:r>
      <w:r>
        <w:t xml:space="preserve"> century BC. That these conditions were developing at the end of Joshua’s life suggests he lived well into the time of the Judges.</w:t>
      </w:r>
    </w:p>
  </w:footnote>
  <w:footnote w:id="3">
    <w:p w14:paraId="497E7A55" w14:textId="77777777" w:rsidR="00981847" w:rsidRDefault="00981847" w:rsidP="008344DC">
      <w:pPr>
        <w:pStyle w:val="FootnoteText"/>
      </w:pPr>
      <w:r>
        <w:rPr>
          <w:rStyle w:val="FootnoteReference"/>
        </w:rPr>
        <w:footnoteRef/>
      </w:r>
      <w:r>
        <w:t xml:space="preserve"> </w:t>
      </w:r>
      <w:proofErr w:type="spellStart"/>
      <w:r>
        <w:t>Lebo</w:t>
      </w:r>
      <w:proofErr w:type="spellEnd"/>
      <w:r>
        <w:t xml:space="preserve"> Hamath is commonly mentioned in the Bible in boundary descriptions (Num 13:21; 34:8; </w:t>
      </w:r>
      <w:proofErr w:type="spellStart"/>
      <w:r>
        <w:t>Judg</w:t>
      </w:r>
      <w:proofErr w:type="spellEnd"/>
      <w:r>
        <w:t xml:space="preserve"> 3:3; 1 Kgs 8:65, and others).</w:t>
      </w:r>
    </w:p>
  </w:footnote>
  <w:footnote w:id="4">
    <w:p w14:paraId="1427F04A" w14:textId="77777777" w:rsidR="00981847" w:rsidRDefault="00981847" w:rsidP="008344DC">
      <w:pPr>
        <w:pStyle w:val="FootnoteText"/>
      </w:pPr>
      <w:r>
        <w:rPr>
          <w:rStyle w:val="FootnoteReference"/>
        </w:rPr>
        <w:footnoteRef/>
      </w:r>
      <w:r>
        <w:t xml:space="preserve"> E.g., Josh 13:13; 15:63; 16:10; 17:12–13.</w:t>
      </w:r>
    </w:p>
  </w:footnote>
  <w:footnote w:id="5">
    <w:p w14:paraId="5B39FF74" w14:textId="77777777" w:rsidR="00981847" w:rsidRDefault="00981847" w:rsidP="008344DC">
      <w:pPr>
        <w:pStyle w:val="FootnoteText"/>
      </w:pPr>
      <w:r>
        <w:rPr>
          <w:rStyle w:val="FootnoteReference"/>
        </w:rPr>
        <w:footnoteRef/>
      </w:r>
      <w:r>
        <w:t xml:space="preserve"> The forty years of wandering are presumably literal. It defined the passing of a generation. Thereafter forty may have become formulaic for a (not-necessarily-literal) generation. In contrast, the frequent use of “forty” in the Judges (or fractions/multiples) may be more figurative of a generation than literal.</w:t>
      </w:r>
    </w:p>
  </w:footnote>
  <w:footnote w:id="6">
    <w:p w14:paraId="5B09E44C" w14:textId="77777777" w:rsidR="00981847" w:rsidRDefault="00981847" w:rsidP="008344DC">
      <w:pPr>
        <w:pStyle w:val="FootnoteText"/>
      </w:pPr>
      <w:r>
        <w:rPr>
          <w:rStyle w:val="FootnoteReference"/>
        </w:rPr>
        <w:footnoteRef/>
      </w:r>
      <w:r>
        <w:t xml:space="preserve"> Israel Finkelstein (1993a). Note these dates are Finkelstein’s designation of the Middle Bronze Age phases.</w:t>
      </w:r>
      <w:r w:rsidRPr="008A4B6C">
        <w:rPr>
          <w:noProof/>
          <w:lang w:bidi="he-IL"/>
        </w:rPr>
        <w:t xml:space="preserve"> </w:t>
      </w:r>
    </w:p>
  </w:footnote>
  <w:footnote w:id="7">
    <w:p w14:paraId="25882BAD" w14:textId="0C53D0FD" w:rsidR="00981847" w:rsidRPr="008344DC" w:rsidRDefault="00981847" w:rsidP="00531C12">
      <w:pPr>
        <w:pStyle w:val="FootnoteText"/>
      </w:pPr>
      <w:r>
        <w:rPr>
          <w:rStyle w:val="FootnoteReference"/>
        </w:rPr>
        <w:footnoteRef/>
      </w:r>
      <w:r>
        <w:t xml:space="preserve"> </w:t>
      </w:r>
      <w:r w:rsidRPr="008344DC">
        <w:t xml:space="preserve">A </w:t>
      </w:r>
      <w:proofErr w:type="spellStart"/>
      <w:r w:rsidRPr="008344DC">
        <w:t>favissa</w:t>
      </w:r>
      <w:proofErr w:type="spellEnd"/>
      <w:r w:rsidRPr="008344DC">
        <w:t xml:space="preserve"> refers a burial of sacred utensils and vessels that could no longer be used for secular purposes. Colin Renfrew (1985: 2-4, 11–26) </w:t>
      </w:r>
      <w:r w:rsidR="00531C12">
        <w:t xml:space="preserve">has developed </w:t>
      </w:r>
      <w:r w:rsidRPr="00531C12">
        <w:t xml:space="preserve">guide </w:t>
      </w:r>
      <w:r w:rsidR="00531C12">
        <w:t xml:space="preserve">to drawing </w:t>
      </w:r>
      <w:r w:rsidRPr="00531C12">
        <w:t>inferences from excavated materials</w:t>
      </w:r>
      <w:r w:rsidR="00531C12" w:rsidRPr="00531C12">
        <w:t xml:space="preserve"> that may identify a cultic site</w:t>
      </w:r>
      <w:r w:rsidRPr="00531C12">
        <w:t xml:space="preserve">. This </w:t>
      </w:r>
      <w:r w:rsidR="00531C12">
        <w:t>insight</w:t>
      </w:r>
      <w:r w:rsidRPr="00531C12">
        <w:t xml:space="preserve"> </w:t>
      </w:r>
      <w:r w:rsidR="00531C12">
        <w:t xml:space="preserve">arose </w:t>
      </w:r>
      <w:r w:rsidRPr="00531C12">
        <w:t xml:space="preserve">from his excavations of a Late Bronze Age cultic site on the </w:t>
      </w:r>
      <w:proofErr w:type="gramStart"/>
      <w:r w:rsidRPr="00531C12">
        <w:t>Aegean island</w:t>
      </w:r>
      <w:proofErr w:type="gramEnd"/>
      <w:r w:rsidRPr="00531C12">
        <w:t xml:space="preserve"> of Melos.</w:t>
      </w:r>
    </w:p>
  </w:footnote>
  <w:footnote w:id="8">
    <w:p w14:paraId="74004D2F" w14:textId="77777777" w:rsidR="00981847" w:rsidRPr="003B07CA" w:rsidRDefault="00981847" w:rsidP="008344DC">
      <w:pPr>
        <w:pStyle w:val="FootnoteText"/>
        <w:rPr>
          <w:lang w:val="de-DE"/>
        </w:rPr>
      </w:pPr>
      <w:r>
        <w:rPr>
          <w:rStyle w:val="FootnoteReference"/>
        </w:rPr>
        <w:footnoteRef/>
      </w:r>
      <w:r w:rsidRPr="003B07CA">
        <w:rPr>
          <w:lang w:val="de-DE"/>
        </w:rPr>
        <w:t xml:space="preserve"> S. </w:t>
      </w:r>
      <w:proofErr w:type="spellStart"/>
      <w:r w:rsidRPr="003B07CA">
        <w:rPr>
          <w:lang w:val="de-DE"/>
        </w:rPr>
        <w:t>Bunimovitz</w:t>
      </w:r>
      <w:proofErr w:type="spellEnd"/>
      <w:r w:rsidRPr="003B07CA">
        <w:rPr>
          <w:lang w:val="de-DE"/>
        </w:rPr>
        <w:t xml:space="preserve"> and I. Finkelstein (1993:</w:t>
      </w:r>
      <w:r>
        <w:rPr>
          <w:lang w:val="de-DE"/>
        </w:rPr>
        <w:t xml:space="preserve"> </w:t>
      </w:r>
      <w:r w:rsidRPr="003B07CA">
        <w:rPr>
          <w:lang w:val="de-DE"/>
        </w:rPr>
        <w:t>135).</w:t>
      </w:r>
    </w:p>
  </w:footnote>
  <w:footnote w:id="9">
    <w:p w14:paraId="4A9DECE6" w14:textId="77777777" w:rsidR="00981847" w:rsidRPr="00F546B3" w:rsidRDefault="00981847" w:rsidP="008344DC">
      <w:pPr>
        <w:pStyle w:val="FootnoteText"/>
      </w:pPr>
      <w:r>
        <w:rPr>
          <w:rStyle w:val="FootnoteReference"/>
        </w:rPr>
        <w:footnoteRef/>
      </w:r>
      <w:r w:rsidRPr="00F546B3">
        <w:t xml:space="preserve"> I. Finkelstein (1993b:</w:t>
      </w:r>
      <w:r>
        <w:t xml:space="preserve"> </w:t>
      </w:r>
      <w:r w:rsidRPr="00F546B3">
        <w:t>381–82; 1992a).</w:t>
      </w:r>
    </w:p>
  </w:footnote>
  <w:footnote w:id="10">
    <w:p w14:paraId="279611E4" w14:textId="554FF778" w:rsidR="00981847" w:rsidRPr="008344DC" w:rsidRDefault="00981847" w:rsidP="008344DC">
      <w:pPr>
        <w:pStyle w:val="FootnoteText"/>
      </w:pPr>
      <w:r>
        <w:rPr>
          <w:rStyle w:val="FootnoteReference"/>
        </w:rPr>
        <w:footnoteRef/>
      </w:r>
      <w:r>
        <w:t xml:space="preserve"> </w:t>
      </w:r>
      <w:r w:rsidRPr="008344DC">
        <w:t xml:space="preserve">See </w:t>
      </w:r>
      <w:proofErr w:type="spellStart"/>
      <w:r w:rsidRPr="008344DC">
        <w:t>ch.</w:t>
      </w:r>
      <w:proofErr w:type="spellEnd"/>
      <w:r w:rsidRPr="008344DC">
        <w:t xml:space="preserve"> 3</w:t>
      </w:r>
      <w:r w:rsidR="008606C7" w:rsidRPr="008344DC">
        <w:t>0</w:t>
      </w:r>
      <w:r w:rsidRPr="008344DC">
        <w:t xml:space="preserve"> for a discussion of ABR’s claims for locating biblical Ai at </w:t>
      </w:r>
      <w:proofErr w:type="spellStart"/>
      <w:r w:rsidRPr="008344DC">
        <w:t>Kh</w:t>
      </w:r>
      <w:proofErr w:type="spellEnd"/>
      <w:r w:rsidRPr="008344DC">
        <w:t xml:space="preserve">. </w:t>
      </w:r>
      <w:proofErr w:type="spellStart"/>
      <w:r w:rsidRPr="008344DC">
        <w:t>el-Maqatir</w:t>
      </w:r>
      <w:proofErr w:type="spellEnd"/>
      <w:r w:rsidRPr="008344DC">
        <w:t>, a claim based on pottery analysis that has not been widely accepted. Similar skepticism may attach to typological claims (pottery dates spanning the Late Bronze Age) at Shiloh</w:t>
      </w:r>
      <w:r w:rsidR="005233B4">
        <w:t>.</w:t>
      </w:r>
      <w:r w:rsidRPr="008344DC">
        <w:t xml:space="preserve"> </w:t>
      </w:r>
      <w:r w:rsidR="005233B4">
        <w:t>U</w:t>
      </w:r>
      <w:r w:rsidRPr="008344DC">
        <w:t>ntil publication for peer review validates ABR’s claims of continuous occupation</w:t>
      </w:r>
      <w:r w:rsidR="005233B4">
        <w:t xml:space="preserve"> this claim remains uncertain</w:t>
      </w:r>
      <w:r w:rsidRPr="008344DC">
        <w:t>.</w:t>
      </w:r>
    </w:p>
  </w:footnote>
  <w:footnote w:id="11">
    <w:p w14:paraId="4339259B" w14:textId="77777777" w:rsidR="00981847" w:rsidRPr="008344DC" w:rsidRDefault="00981847" w:rsidP="008344DC">
      <w:pPr>
        <w:pStyle w:val="FootnoteText"/>
      </w:pPr>
      <w:r w:rsidRPr="00E043D2">
        <w:rPr>
          <w:rStyle w:val="FootnoteReference"/>
        </w:rPr>
        <w:footnoteRef/>
      </w:r>
      <w:r>
        <w:t xml:space="preserve"> </w:t>
      </w:r>
      <w:r w:rsidRPr="008344DC">
        <w:t xml:space="preserve">In a personal communication with Israel Finkelstein (Aug 14, 2019), he reaffirmed confidence in his original findings. He says there was limited activity at Shiloh in the Late Bronze IIA followed by a gap until the late 12th century or so. He dates a main occupation gap between the late Middle Bronze and the Iron I, ca. 1550-1100 BCE. </w:t>
      </w:r>
    </w:p>
  </w:footnote>
  <w:footnote w:id="12">
    <w:p w14:paraId="0264739E" w14:textId="77777777" w:rsidR="00981847" w:rsidRDefault="00981847" w:rsidP="008344DC">
      <w:pPr>
        <w:pStyle w:val="FootnoteText"/>
      </w:pPr>
      <w:r>
        <w:rPr>
          <w:rStyle w:val="FootnoteReference"/>
        </w:rPr>
        <w:footnoteRef/>
      </w:r>
      <w:r w:rsidRPr="00DD1A10">
        <w:t xml:space="preserve"> See S. </w:t>
      </w:r>
      <w:proofErr w:type="spellStart"/>
      <w:r w:rsidRPr="00DD1A10">
        <w:t>Bunimovitz</w:t>
      </w:r>
      <w:proofErr w:type="spellEnd"/>
      <w:r w:rsidRPr="00DD1A10">
        <w:t xml:space="preserve"> and I. Finkelstein (1993:</w:t>
      </w:r>
      <w:r>
        <w:t xml:space="preserve"> </w:t>
      </w:r>
      <w:r w:rsidRPr="00DD1A10">
        <w:t>135); see also Finkelstein (1993b:</w:t>
      </w:r>
      <w:r>
        <w:t xml:space="preserve"> </w:t>
      </w:r>
      <w:r w:rsidRPr="00DD1A10">
        <w:t xml:space="preserve">381–83) and A. Kempinski (1993d). </w:t>
      </w:r>
      <w:r>
        <w:t xml:space="preserve">Excavations recommenced in 2017 at Shiloh by ABR (Associates of Biblical Research). Scott Stripling [on their website </w:t>
      </w:r>
      <w:hyperlink r:id="rId1" w:history="1">
        <w:proofErr w:type="spellStart"/>
        <w:r w:rsidRPr="00EF0A4F">
          <w:rPr>
            <w:rStyle w:val="Hyperlink"/>
          </w:rPr>
          <w:t>abr@biblearchaeology.org</w:t>
        </w:r>
        <w:proofErr w:type="spellEnd"/>
      </w:hyperlink>
      <w:r>
        <w:t xml:space="preserve">, (“The Shiloh Excavations, Archaeological Claims about Shiloh” and “The Israelite Tabernacle at Shiloh”) believes Shiloh was continuously occupied throughout the Late Bronze Age (which he dates from 1485–1173 BC). He believes the Israelites arrived at the site ca. 1400 BC and immediately erected the tabernacle. The site was destroyed ca. 1050 BC, presumably by the Philistines. In a summary of a 2012–2013 excavation of the northern platform at Tel Shiloh, </w:t>
      </w:r>
      <w:proofErr w:type="spellStart"/>
      <w:r>
        <w:t>Reut</w:t>
      </w:r>
      <w:proofErr w:type="spellEnd"/>
      <w:r>
        <w:t xml:space="preserve"> </w:t>
      </w:r>
      <w:proofErr w:type="spellStart"/>
      <w:r>
        <w:t>Livyatan</w:t>
      </w:r>
      <w:proofErr w:type="spellEnd"/>
      <w:r>
        <w:t xml:space="preserve">-ben Arie and </w:t>
      </w:r>
      <w:proofErr w:type="spellStart"/>
      <w:r>
        <w:t>Hananya</w:t>
      </w:r>
      <w:proofErr w:type="spellEnd"/>
      <w:r>
        <w:t xml:space="preserve"> </w:t>
      </w:r>
      <w:proofErr w:type="spellStart"/>
      <w:r>
        <w:t>Hizmi</w:t>
      </w:r>
      <w:proofErr w:type="spellEnd"/>
      <w:r>
        <w:t xml:space="preserve"> (2017) mention finds in the platform area dating only to the Middle Bronze, the Iron I, then in the Iron IIA/B (10</w:t>
      </w:r>
      <w:r w:rsidRPr="00C5329F">
        <w:rPr>
          <w:vertAlign w:val="superscript"/>
        </w:rPr>
        <w:t>th</w:t>
      </w:r>
      <w:r>
        <w:t xml:space="preserve"> to 8</w:t>
      </w:r>
      <w:r w:rsidRPr="00C5329F">
        <w:rPr>
          <w:vertAlign w:val="superscript"/>
        </w:rPr>
        <w:t>th</w:t>
      </w:r>
      <w:r>
        <w:t xml:space="preserve"> centuries BC). </w:t>
      </w:r>
    </w:p>
  </w:footnote>
  <w:footnote w:id="13">
    <w:p w14:paraId="62B432BD" w14:textId="77777777" w:rsidR="00981847" w:rsidRDefault="00981847" w:rsidP="008344DC">
      <w:pPr>
        <w:pStyle w:val="FootnoteText"/>
      </w:pPr>
      <w:r>
        <w:rPr>
          <w:rStyle w:val="FootnoteReference"/>
        </w:rPr>
        <w:footnoteRef/>
      </w:r>
      <w:r>
        <w:t xml:space="preserve"> The faunal remains dating to the Iron I, indicate sacrificial and sacral feasts. Of the 1,350 bones identified and stratified in the Iron I, 75% were from sheep and goats, and 22.7% were from cattle. See S. </w:t>
      </w:r>
      <w:proofErr w:type="spellStart"/>
      <w:r>
        <w:t>Hellwing</w:t>
      </w:r>
      <w:proofErr w:type="spellEnd"/>
      <w:r>
        <w:t xml:space="preserve">, M. Sade, and V. Kishon (1993: 311, 315–316). </w:t>
      </w:r>
    </w:p>
  </w:footnote>
  <w:footnote w:id="14">
    <w:p w14:paraId="360B5B4C" w14:textId="77777777" w:rsidR="00981847" w:rsidRDefault="00981847" w:rsidP="008344DC">
      <w:pPr>
        <w:pStyle w:val="FootnoteText"/>
      </w:pPr>
      <w:r>
        <w:rPr>
          <w:rStyle w:val="FootnoteReference"/>
        </w:rPr>
        <w:footnoteRef/>
      </w:r>
      <w:r>
        <w:t xml:space="preserve"> I. Finkelstein (1993b: 388). </w:t>
      </w:r>
    </w:p>
  </w:footnote>
  <w:footnote w:id="15">
    <w:p w14:paraId="6CBA4CE5" w14:textId="77777777" w:rsidR="00981847" w:rsidRDefault="00981847" w:rsidP="008344DC">
      <w:pPr>
        <w:pStyle w:val="FootnoteText"/>
      </w:pPr>
      <w:r>
        <w:rPr>
          <w:rStyle w:val="FootnoteReference"/>
        </w:rPr>
        <w:footnoteRef/>
      </w:r>
      <w:r>
        <w:t xml:space="preserve"> The site of a temple (regardless of the deity honored) was regarded as sacred ground by successive inhabitants of a site. The recognition of this principle is the basis for identifying an otherwise indeterminate structure as a temple when over- or underlain by a clearly cultic installation. (See R. Mullins 2012: 130.) One apparent means of desecrating “holy sites” (i.e., making them thereafter unusable) was to burn human bones on the altar. In this way Josiah defiled the high places and the shrine at Bethel (2 Kgs 23:6–20). Another method was to install a latrine on the site (as at Samaria, 2 Kgs 10:27). A toilet was recently discovered in a high place or cult room at Lachish—evidently placed there by Hezekiah’s administration (see Kari Rohde, Nov 12, 2016, “Toilet at a Holy Site; Evidence of King Hezekiah’s War on Idolatry?”; </w:t>
      </w:r>
      <w:r w:rsidRPr="00644AC0">
        <w:t>http://</w:t>
      </w:r>
      <w:proofErr w:type="spellStart"/>
      <w:r w:rsidRPr="00644AC0">
        <w:t>patternsofevidence.com</w:t>
      </w:r>
      <w:proofErr w:type="spellEnd"/>
      <w:r w:rsidRPr="00644AC0">
        <w:t>/blog/author/</w:t>
      </w:r>
      <w:proofErr w:type="spellStart"/>
      <w:r w:rsidRPr="00644AC0">
        <w:t>krohde</w:t>
      </w:r>
      <w:proofErr w:type="spellEnd"/>
      <w:r w:rsidRPr="00644AC0">
        <w:t>/</w:t>
      </w:r>
      <w:r>
        <w:t>.)</w:t>
      </w:r>
    </w:p>
  </w:footnote>
  <w:footnote w:id="16">
    <w:p w14:paraId="4224E8AC" w14:textId="77777777" w:rsidR="00981847" w:rsidRDefault="00981847" w:rsidP="008344DC">
      <w:pPr>
        <w:pStyle w:val="FootnoteText"/>
      </w:pPr>
      <w:r>
        <w:rPr>
          <w:rStyle w:val="FootnoteReference"/>
        </w:rPr>
        <w:footnoteRef/>
      </w:r>
      <w:r>
        <w:t xml:space="preserve"> “Going up” is the language of processions. The LXX at </w:t>
      </w:r>
      <w:proofErr w:type="spellStart"/>
      <w:r>
        <w:t>Judg</w:t>
      </w:r>
      <w:proofErr w:type="spellEnd"/>
      <w:r>
        <w:t xml:space="preserve"> 2:1 says, “An angel [messenger] of the Lord went up from Gilgal to the Place of Weeping, to Bethel and to the house of Israel” (Brannan et. al, 2012). This may suggest that the ark resided in Bethel until it was transferred to Shiloh. </w:t>
      </w:r>
    </w:p>
  </w:footnote>
  <w:footnote w:id="17">
    <w:p w14:paraId="1CFEF583" w14:textId="77777777" w:rsidR="00981847" w:rsidRDefault="00981847" w:rsidP="008344DC">
      <w:pPr>
        <w:pStyle w:val="FootnoteText"/>
      </w:pPr>
      <w:r>
        <w:rPr>
          <w:rStyle w:val="FootnoteReference"/>
        </w:rPr>
        <w:footnoteRef/>
      </w:r>
      <w:r>
        <w:t xml:space="preserve"> The destruction of Shiloh is mentioned twice by Jeremiah. He proclaims to the people in the name of Yahweh, “</w:t>
      </w:r>
      <w:r w:rsidRPr="00CD2588">
        <w:t xml:space="preserve">Go now to my place that was in Shiloh, where I made my name dwell at first, and see what I did to it because </w:t>
      </w:r>
      <w:r>
        <w:t>of the evil of my people Israel” (</w:t>
      </w:r>
      <w:proofErr w:type="spellStart"/>
      <w:r>
        <w:t>Jer</w:t>
      </w:r>
      <w:proofErr w:type="spellEnd"/>
      <w:r>
        <w:t xml:space="preserve"> 7:12). See also Ps 78:60. (The ark found its way to </w:t>
      </w:r>
      <w:proofErr w:type="spellStart"/>
      <w:r>
        <w:t>Kiriath-jearim</w:t>
      </w:r>
      <w:proofErr w:type="spellEnd"/>
      <w:r>
        <w:t xml:space="preserve"> where it spent 20 years before being retrieved by David and brought to Jerusalem.)</w:t>
      </w:r>
    </w:p>
  </w:footnote>
  <w:footnote w:id="18">
    <w:p w14:paraId="7C1D730F" w14:textId="57CA81FD" w:rsidR="00981847" w:rsidRDefault="00981847" w:rsidP="008344DC">
      <w:pPr>
        <w:pStyle w:val="FootnoteText"/>
      </w:pPr>
      <w:r>
        <w:rPr>
          <w:rStyle w:val="FootnoteReference"/>
        </w:rPr>
        <w:footnoteRef/>
      </w:r>
      <w:r>
        <w:t xml:space="preserve"> This is readily apparent in the conquest annals of such kings as Thutmose III (1479–1425 BC), Ramesses II (1279–1213 BC), </w:t>
      </w:r>
      <w:r w:rsidR="000510B7">
        <w:t>Merenptah</w:t>
      </w:r>
      <w:r>
        <w:t xml:space="preserve"> (ca. 1209 BC), Tiglath-</w:t>
      </w:r>
      <w:proofErr w:type="spellStart"/>
      <w:r>
        <w:t>pileser</w:t>
      </w:r>
      <w:proofErr w:type="spellEnd"/>
      <w:r>
        <w:t xml:space="preserve"> I (1114–1076 BC), and </w:t>
      </w:r>
      <w:r w:rsidRPr="003541B3">
        <w:t>Shalmaneser</w:t>
      </w:r>
      <w:r>
        <w:t xml:space="preserve"> III (858–824 BC).</w:t>
      </w:r>
      <w:r w:rsidRPr="008C4A3A">
        <w:t xml:space="preserve"> </w:t>
      </w:r>
      <w:r>
        <w:t xml:space="preserve">Joshua’s conquest narrative shares literary features common to ancient </w:t>
      </w:r>
      <w:r w:rsidR="00834444">
        <w:t>Conquest</w:t>
      </w:r>
      <w:r>
        <w:t xml:space="preserve"> texts that employed fixed idioms and emphases. See Lawson Stone (2014:</w:t>
      </w:r>
      <w:r w:rsidR="000510B7">
        <w:t xml:space="preserve"> </w:t>
      </w:r>
      <w:r>
        <w:t>159) for implications of K. Lawson Younger’s (1990) study. See also K. L</w:t>
      </w:r>
      <w:r w:rsidR="00550942">
        <w:t>.</w:t>
      </w:r>
      <w:r>
        <w:t xml:space="preserve"> Younger (2009: 33–35, 44–45). </w:t>
      </w:r>
      <w:r w:rsidR="000510B7">
        <w:t>A</w:t>
      </w:r>
      <w:r>
        <w:t>ncient Near Eastern history-writing was imaginatively constructed from a particular point of view.</w:t>
      </w:r>
    </w:p>
  </w:footnote>
  <w:footnote w:id="19">
    <w:p w14:paraId="10D409CD" w14:textId="77777777" w:rsidR="00981847" w:rsidRDefault="00981847" w:rsidP="008344DC">
      <w:pPr>
        <w:pStyle w:val="FootnoteText"/>
      </w:pPr>
      <w:r>
        <w:rPr>
          <w:rStyle w:val="FootnoteReference"/>
        </w:rPr>
        <w:footnoteRef/>
      </w:r>
      <w:r>
        <w:t xml:space="preserve"> Compare Josh 11:16 in which Joshua is declared the victor over the north as well. The limits of his victories therefore stretched from Mt. Halak in the south (likely between Kadesh-Barnea and the southern tip of the Dead Sea) to Baal-gad below Mt. Hermon in the Lebanese Valley and westward.</w:t>
      </w:r>
    </w:p>
  </w:footnote>
  <w:footnote w:id="20">
    <w:p w14:paraId="3188C0FC" w14:textId="77777777" w:rsidR="00981847" w:rsidRDefault="00981847" w:rsidP="008344DC">
      <w:pPr>
        <w:pStyle w:val="FootnoteText"/>
      </w:pPr>
      <w:r>
        <w:rPr>
          <w:rStyle w:val="FootnoteReference"/>
        </w:rPr>
        <w:footnoteRef/>
      </w:r>
      <w:r>
        <w:t xml:space="preserve"> Robert Mullins (personal communication 10/7/18) notes the possibility that Joshua and Judges were originally a single text that was later separated. If true, this may affect how these verses should be interpreted.</w:t>
      </w:r>
    </w:p>
  </w:footnote>
  <w:footnote w:id="21">
    <w:p w14:paraId="66605045" w14:textId="576A6415" w:rsidR="00981847" w:rsidRDefault="00981847" w:rsidP="008344DC">
      <w:pPr>
        <w:pStyle w:val="FootnoteText"/>
      </w:pPr>
      <w:r>
        <w:rPr>
          <w:rStyle w:val="FootnoteReference"/>
        </w:rPr>
        <w:footnoteRef/>
      </w:r>
      <w:r>
        <w:t xml:space="preserve"> Josh 22:12 says the whole assembly of Israel gathered at Shiloh (rather than Gilgal) to make war against the Transjordan tribes for building an altar at the Jordan River. This event occurred just after the final allotments. The text implies that the tribes </w:t>
      </w:r>
      <w:r w:rsidRPr="00767AB6">
        <w:rPr>
          <w:i/>
          <w:iCs/>
        </w:rPr>
        <w:t>converged</w:t>
      </w:r>
      <w:r>
        <w:t xml:space="preserve"> at Shiloh from their tribal holdings.</w:t>
      </w:r>
    </w:p>
  </w:footnote>
  <w:footnote w:id="22">
    <w:p w14:paraId="17F46745" w14:textId="77777777" w:rsidR="00981847" w:rsidRDefault="00981847" w:rsidP="008344DC">
      <w:pPr>
        <w:pStyle w:val="FootnoteText"/>
      </w:pPr>
      <w:r>
        <w:rPr>
          <w:rStyle w:val="FootnoteReference"/>
        </w:rPr>
        <w:footnoteRef/>
      </w:r>
      <w:r>
        <w:t xml:space="preserve"> Josephus (</w:t>
      </w:r>
      <w:r w:rsidRPr="00E831C4">
        <w:rPr>
          <w:i/>
        </w:rPr>
        <w:t>Antiq.</w:t>
      </w:r>
      <w:r>
        <w:t xml:space="preserve"> 5:132–135) says the Israelites in their tribal areas quickly </w:t>
      </w:r>
      <w:r>
        <w:rPr>
          <w:lang w:bidi="he-IL"/>
        </w:rPr>
        <w:t xml:space="preserve">lost their martial spirit. </w:t>
      </w:r>
    </w:p>
  </w:footnote>
  <w:footnote w:id="23">
    <w:p w14:paraId="162A93BE" w14:textId="77777777" w:rsidR="00981847" w:rsidRDefault="00981847" w:rsidP="008344DC">
      <w:pPr>
        <w:pStyle w:val="FootnoteText"/>
      </w:pPr>
      <w:r>
        <w:rPr>
          <w:rStyle w:val="FootnoteReference"/>
        </w:rPr>
        <w:footnoteRef/>
      </w:r>
      <w:r>
        <w:t xml:space="preserve"> Compare </w:t>
      </w:r>
      <w:proofErr w:type="spellStart"/>
      <w:r>
        <w:t>Judg</w:t>
      </w:r>
      <w:proofErr w:type="spellEnd"/>
      <w:r>
        <w:t xml:space="preserve"> 10:7 and 13:1–2 where the author records that the five Philistine lords dominated the coastal plain in the days of Jephthah and Samson.</w:t>
      </w:r>
    </w:p>
  </w:footnote>
  <w:footnote w:id="24">
    <w:p w14:paraId="7A72930C" w14:textId="77777777" w:rsidR="00981847" w:rsidRDefault="00981847" w:rsidP="008344DC">
      <w:pPr>
        <w:pStyle w:val="FootnoteText"/>
      </w:pPr>
      <w:r>
        <w:rPr>
          <w:rStyle w:val="FootnoteReference"/>
        </w:rPr>
        <w:footnoteRef/>
      </w:r>
      <w:r>
        <w:t xml:space="preserve"> I. Finkelstein (2018: 227).</w:t>
      </w:r>
    </w:p>
  </w:footnote>
  <w:footnote w:id="25">
    <w:p w14:paraId="64D5A82D" w14:textId="22C8DE02" w:rsidR="005835E2" w:rsidRDefault="005835E2" w:rsidP="005835E2">
      <w:pPr>
        <w:pStyle w:val="FootnoteText"/>
        <w:spacing w:line="240" w:lineRule="auto"/>
      </w:pPr>
      <w:r>
        <w:rPr>
          <w:rStyle w:val="FootnoteReference"/>
        </w:rPr>
        <w:footnoteRef/>
      </w:r>
      <w:r>
        <w:t xml:space="preserve"> Chapters 23 and 24 may represent two different convocations at different times near the end of Joshua’s life. If there were two such assemblies, the first may have occurred at a location other than Shechem.</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B322ABE"/>
    <w:multiLevelType w:val="hybridMultilevel"/>
    <w:tmpl w:val="D4BE2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64343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1847"/>
    <w:rsid w:val="00001583"/>
    <w:rsid w:val="00002D48"/>
    <w:rsid w:val="00003936"/>
    <w:rsid w:val="0000674A"/>
    <w:rsid w:val="00007122"/>
    <w:rsid w:val="00011B5A"/>
    <w:rsid w:val="00012E00"/>
    <w:rsid w:val="00017658"/>
    <w:rsid w:val="00017E51"/>
    <w:rsid w:val="00022B8C"/>
    <w:rsid w:val="00024354"/>
    <w:rsid w:val="0002740B"/>
    <w:rsid w:val="00027DC6"/>
    <w:rsid w:val="0003014A"/>
    <w:rsid w:val="00031561"/>
    <w:rsid w:val="00031A42"/>
    <w:rsid w:val="0003288E"/>
    <w:rsid w:val="00032E7F"/>
    <w:rsid w:val="00043F85"/>
    <w:rsid w:val="000447A8"/>
    <w:rsid w:val="00045516"/>
    <w:rsid w:val="000467D3"/>
    <w:rsid w:val="00046965"/>
    <w:rsid w:val="00046B2B"/>
    <w:rsid w:val="00051022"/>
    <w:rsid w:val="000510B7"/>
    <w:rsid w:val="00053075"/>
    <w:rsid w:val="00053EEF"/>
    <w:rsid w:val="00055CB2"/>
    <w:rsid w:val="00060431"/>
    <w:rsid w:val="0006206B"/>
    <w:rsid w:val="0006257F"/>
    <w:rsid w:val="00062E4E"/>
    <w:rsid w:val="0006702A"/>
    <w:rsid w:val="000671F5"/>
    <w:rsid w:val="000700E8"/>
    <w:rsid w:val="0007612B"/>
    <w:rsid w:val="0007707B"/>
    <w:rsid w:val="0008046D"/>
    <w:rsid w:val="00081ED5"/>
    <w:rsid w:val="00086964"/>
    <w:rsid w:val="000904B1"/>
    <w:rsid w:val="0009178F"/>
    <w:rsid w:val="0009190F"/>
    <w:rsid w:val="000953F5"/>
    <w:rsid w:val="00095B67"/>
    <w:rsid w:val="000A2128"/>
    <w:rsid w:val="000A5BB5"/>
    <w:rsid w:val="000A6866"/>
    <w:rsid w:val="000B20A7"/>
    <w:rsid w:val="000C0646"/>
    <w:rsid w:val="000C0AFE"/>
    <w:rsid w:val="000C215B"/>
    <w:rsid w:val="000C590B"/>
    <w:rsid w:val="000C76E7"/>
    <w:rsid w:val="000D048B"/>
    <w:rsid w:val="000D284B"/>
    <w:rsid w:val="000D4B5D"/>
    <w:rsid w:val="000D5049"/>
    <w:rsid w:val="000D7619"/>
    <w:rsid w:val="000D7891"/>
    <w:rsid w:val="000D79AC"/>
    <w:rsid w:val="000E1052"/>
    <w:rsid w:val="000E3289"/>
    <w:rsid w:val="000E3A6D"/>
    <w:rsid w:val="000E440E"/>
    <w:rsid w:val="000E4653"/>
    <w:rsid w:val="000E4CE2"/>
    <w:rsid w:val="000E5ED5"/>
    <w:rsid w:val="000F4C8C"/>
    <w:rsid w:val="00104C3E"/>
    <w:rsid w:val="00106523"/>
    <w:rsid w:val="00111C0F"/>
    <w:rsid w:val="00111FCD"/>
    <w:rsid w:val="00112777"/>
    <w:rsid w:val="0011583B"/>
    <w:rsid w:val="00116846"/>
    <w:rsid w:val="001200BB"/>
    <w:rsid w:val="00120F2D"/>
    <w:rsid w:val="001259F9"/>
    <w:rsid w:val="001303BB"/>
    <w:rsid w:val="001309BC"/>
    <w:rsid w:val="00131F82"/>
    <w:rsid w:val="001345EC"/>
    <w:rsid w:val="00135A49"/>
    <w:rsid w:val="00135CD9"/>
    <w:rsid w:val="00142580"/>
    <w:rsid w:val="001508BF"/>
    <w:rsid w:val="001528A5"/>
    <w:rsid w:val="00152A8C"/>
    <w:rsid w:val="00154A37"/>
    <w:rsid w:val="0015610A"/>
    <w:rsid w:val="00161269"/>
    <w:rsid w:val="001628FC"/>
    <w:rsid w:val="00174739"/>
    <w:rsid w:val="00176899"/>
    <w:rsid w:val="00181591"/>
    <w:rsid w:val="0018204A"/>
    <w:rsid w:val="0018505A"/>
    <w:rsid w:val="001850EE"/>
    <w:rsid w:val="00187577"/>
    <w:rsid w:val="00192C5D"/>
    <w:rsid w:val="00195D46"/>
    <w:rsid w:val="001A2A0E"/>
    <w:rsid w:val="001B7138"/>
    <w:rsid w:val="001C2A77"/>
    <w:rsid w:val="001C2D10"/>
    <w:rsid w:val="001D0E25"/>
    <w:rsid w:val="001D1240"/>
    <w:rsid w:val="001D15C5"/>
    <w:rsid w:val="001D5FCF"/>
    <w:rsid w:val="001D7E23"/>
    <w:rsid w:val="001E1878"/>
    <w:rsid w:val="001E31BB"/>
    <w:rsid w:val="001E3861"/>
    <w:rsid w:val="001F48BB"/>
    <w:rsid w:val="001F56C5"/>
    <w:rsid w:val="0020355D"/>
    <w:rsid w:val="00205797"/>
    <w:rsid w:val="00211492"/>
    <w:rsid w:val="00214559"/>
    <w:rsid w:val="002250EB"/>
    <w:rsid w:val="00232A9F"/>
    <w:rsid w:val="00234444"/>
    <w:rsid w:val="00235637"/>
    <w:rsid w:val="00237CE6"/>
    <w:rsid w:val="00246EF3"/>
    <w:rsid w:val="002552EE"/>
    <w:rsid w:val="00255C53"/>
    <w:rsid w:val="0025752D"/>
    <w:rsid w:val="00262716"/>
    <w:rsid w:val="00263EDE"/>
    <w:rsid w:val="002653E8"/>
    <w:rsid w:val="002710B1"/>
    <w:rsid w:val="00271ED1"/>
    <w:rsid w:val="00272794"/>
    <w:rsid w:val="002775ED"/>
    <w:rsid w:val="002836FF"/>
    <w:rsid w:val="00285053"/>
    <w:rsid w:val="00286818"/>
    <w:rsid w:val="00292E80"/>
    <w:rsid w:val="002936F1"/>
    <w:rsid w:val="00293CC9"/>
    <w:rsid w:val="00294304"/>
    <w:rsid w:val="002966E8"/>
    <w:rsid w:val="00297F88"/>
    <w:rsid w:val="002A2B7B"/>
    <w:rsid w:val="002A2BBB"/>
    <w:rsid w:val="002A58DC"/>
    <w:rsid w:val="002A7D17"/>
    <w:rsid w:val="002B068F"/>
    <w:rsid w:val="002B50F5"/>
    <w:rsid w:val="002B7809"/>
    <w:rsid w:val="002C4E18"/>
    <w:rsid w:val="002D30DF"/>
    <w:rsid w:val="002D7560"/>
    <w:rsid w:val="002E2295"/>
    <w:rsid w:val="002E62D1"/>
    <w:rsid w:val="002E6427"/>
    <w:rsid w:val="002E7A5C"/>
    <w:rsid w:val="002F0471"/>
    <w:rsid w:val="00300DD6"/>
    <w:rsid w:val="00303D24"/>
    <w:rsid w:val="00304445"/>
    <w:rsid w:val="003104D6"/>
    <w:rsid w:val="003134F4"/>
    <w:rsid w:val="00314E26"/>
    <w:rsid w:val="00315F58"/>
    <w:rsid w:val="0031774D"/>
    <w:rsid w:val="00321765"/>
    <w:rsid w:val="0032254A"/>
    <w:rsid w:val="00322CA6"/>
    <w:rsid w:val="0032468C"/>
    <w:rsid w:val="00325C5D"/>
    <w:rsid w:val="00326018"/>
    <w:rsid w:val="003335DA"/>
    <w:rsid w:val="0034132B"/>
    <w:rsid w:val="0034283B"/>
    <w:rsid w:val="00345787"/>
    <w:rsid w:val="00347A2D"/>
    <w:rsid w:val="0035224B"/>
    <w:rsid w:val="00364021"/>
    <w:rsid w:val="003644A0"/>
    <w:rsid w:val="0036649F"/>
    <w:rsid w:val="00366935"/>
    <w:rsid w:val="00367E9D"/>
    <w:rsid w:val="00377307"/>
    <w:rsid w:val="003779C4"/>
    <w:rsid w:val="00387761"/>
    <w:rsid w:val="00395B64"/>
    <w:rsid w:val="00396CDB"/>
    <w:rsid w:val="003A42EE"/>
    <w:rsid w:val="003A5B65"/>
    <w:rsid w:val="003B302B"/>
    <w:rsid w:val="003C1A07"/>
    <w:rsid w:val="003C2EE9"/>
    <w:rsid w:val="003D367E"/>
    <w:rsid w:val="003D4586"/>
    <w:rsid w:val="003D5FC6"/>
    <w:rsid w:val="003E1223"/>
    <w:rsid w:val="003E23BC"/>
    <w:rsid w:val="003E312B"/>
    <w:rsid w:val="003E6F7A"/>
    <w:rsid w:val="003E7DC4"/>
    <w:rsid w:val="003F3EA8"/>
    <w:rsid w:val="003F4F83"/>
    <w:rsid w:val="00401139"/>
    <w:rsid w:val="00401553"/>
    <w:rsid w:val="004027EF"/>
    <w:rsid w:val="00402A40"/>
    <w:rsid w:val="004057C1"/>
    <w:rsid w:val="00406467"/>
    <w:rsid w:val="00407E3E"/>
    <w:rsid w:val="00412858"/>
    <w:rsid w:val="00412ED4"/>
    <w:rsid w:val="00412F75"/>
    <w:rsid w:val="00413947"/>
    <w:rsid w:val="00415204"/>
    <w:rsid w:val="00423A76"/>
    <w:rsid w:val="004304A8"/>
    <w:rsid w:val="00432F5F"/>
    <w:rsid w:val="00437D2C"/>
    <w:rsid w:val="004416A7"/>
    <w:rsid w:val="00442979"/>
    <w:rsid w:val="0044297C"/>
    <w:rsid w:val="00446D81"/>
    <w:rsid w:val="00447334"/>
    <w:rsid w:val="00450236"/>
    <w:rsid w:val="00450B82"/>
    <w:rsid w:val="004530CA"/>
    <w:rsid w:val="00454BA1"/>
    <w:rsid w:val="00455AE2"/>
    <w:rsid w:val="00460194"/>
    <w:rsid w:val="004609B9"/>
    <w:rsid w:val="0046222A"/>
    <w:rsid w:val="00465989"/>
    <w:rsid w:val="00467C61"/>
    <w:rsid w:val="00471336"/>
    <w:rsid w:val="004744F4"/>
    <w:rsid w:val="00475234"/>
    <w:rsid w:val="00482409"/>
    <w:rsid w:val="004843D8"/>
    <w:rsid w:val="00484C85"/>
    <w:rsid w:val="00487C93"/>
    <w:rsid w:val="004A2924"/>
    <w:rsid w:val="004B0E11"/>
    <w:rsid w:val="004B1722"/>
    <w:rsid w:val="004B25F9"/>
    <w:rsid w:val="004B3181"/>
    <w:rsid w:val="004B5AC6"/>
    <w:rsid w:val="004B6AD6"/>
    <w:rsid w:val="004B6D6B"/>
    <w:rsid w:val="004C1F68"/>
    <w:rsid w:val="004C4157"/>
    <w:rsid w:val="004C6186"/>
    <w:rsid w:val="004C6D13"/>
    <w:rsid w:val="004D3C29"/>
    <w:rsid w:val="004D61FA"/>
    <w:rsid w:val="004D6360"/>
    <w:rsid w:val="004D7876"/>
    <w:rsid w:val="004D7C69"/>
    <w:rsid w:val="004E042F"/>
    <w:rsid w:val="004E3F18"/>
    <w:rsid w:val="004E4584"/>
    <w:rsid w:val="004E4959"/>
    <w:rsid w:val="004E4F11"/>
    <w:rsid w:val="004F318B"/>
    <w:rsid w:val="004F7527"/>
    <w:rsid w:val="00507851"/>
    <w:rsid w:val="00507CF9"/>
    <w:rsid w:val="005145E4"/>
    <w:rsid w:val="00516CD1"/>
    <w:rsid w:val="00520EF1"/>
    <w:rsid w:val="00522D1E"/>
    <w:rsid w:val="005233B4"/>
    <w:rsid w:val="00523AB1"/>
    <w:rsid w:val="0052556F"/>
    <w:rsid w:val="00525C5A"/>
    <w:rsid w:val="00526974"/>
    <w:rsid w:val="00530A4C"/>
    <w:rsid w:val="00531A61"/>
    <w:rsid w:val="00531C12"/>
    <w:rsid w:val="0053254F"/>
    <w:rsid w:val="005346EA"/>
    <w:rsid w:val="0053515F"/>
    <w:rsid w:val="0053678B"/>
    <w:rsid w:val="0054005C"/>
    <w:rsid w:val="00540704"/>
    <w:rsid w:val="005435C2"/>
    <w:rsid w:val="00546EC4"/>
    <w:rsid w:val="00546EDA"/>
    <w:rsid w:val="00550942"/>
    <w:rsid w:val="00550AE9"/>
    <w:rsid w:val="00550FA8"/>
    <w:rsid w:val="00552B6A"/>
    <w:rsid w:val="00553102"/>
    <w:rsid w:val="005623B2"/>
    <w:rsid w:val="005630A2"/>
    <w:rsid w:val="00565950"/>
    <w:rsid w:val="00566C25"/>
    <w:rsid w:val="00570F25"/>
    <w:rsid w:val="005805C9"/>
    <w:rsid w:val="005835E2"/>
    <w:rsid w:val="005853C4"/>
    <w:rsid w:val="00590587"/>
    <w:rsid w:val="005921FF"/>
    <w:rsid w:val="0059294A"/>
    <w:rsid w:val="005967B1"/>
    <w:rsid w:val="00596B68"/>
    <w:rsid w:val="005A4751"/>
    <w:rsid w:val="005A49BC"/>
    <w:rsid w:val="005B57E7"/>
    <w:rsid w:val="005B5E43"/>
    <w:rsid w:val="005C10FF"/>
    <w:rsid w:val="005C2DEB"/>
    <w:rsid w:val="005C3A51"/>
    <w:rsid w:val="005C3CF5"/>
    <w:rsid w:val="005C3D63"/>
    <w:rsid w:val="005D4E48"/>
    <w:rsid w:val="005E3807"/>
    <w:rsid w:val="005F09C7"/>
    <w:rsid w:val="006040C4"/>
    <w:rsid w:val="00604B60"/>
    <w:rsid w:val="00604E70"/>
    <w:rsid w:val="00605E77"/>
    <w:rsid w:val="00611B8F"/>
    <w:rsid w:val="00612405"/>
    <w:rsid w:val="0061485F"/>
    <w:rsid w:val="006170ED"/>
    <w:rsid w:val="00617CC9"/>
    <w:rsid w:val="00623266"/>
    <w:rsid w:val="00624874"/>
    <w:rsid w:val="00625714"/>
    <w:rsid w:val="00626300"/>
    <w:rsid w:val="00626BB9"/>
    <w:rsid w:val="0063287B"/>
    <w:rsid w:val="006335F5"/>
    <w:rsid w:val="00633800"/>
    <w:rsid w:val="006339CD"/>
    <w:rsid w:val="00641C94"/>
    <w:rsid w:val="0064254F"/>
    <w:rsid w:val="0064277E"/>
    <w:rsid w:val="0064729E"/>
    <w:rsid w:val="00652882"/>
    <w:rsid w:val="006541B9"/>
    <w:rsid w:val="0065446D"/>
    <w:rsid w:val="00662CB4"/>
    <w:rsid w:val="00664368"/>
    <w:rsid w:val="00664DB8"/>
    <w:rsid w:val="006654D3"/>
    <w:rsid w:val="00665C4C"/>
    <w:rsid w:val="00667CF1"/>
    <w:rsid w:val="0067043A"/>
    <w:rsid w:val="006758AA"/>
    <w:rsid w:val="00677AE7"/>
    <w:rsid w:val="00677E43"/>
    <w:rsid w:val="00680A8F"/>
    <w:rsid w:val="006815DD"/>
    <w:rsid w:val="0068719D"/>
    <w:rsid w:val="00692F09"/>
    <w:rsid w:val="00693793"/>
    <w:rsid w:val="006938CE"/>
    <w:rsid w:val="00694B86"/>
    <w:rsid w:val="006A2D8B"/>
    <w:rsid w:val="006B0CEE"/>
    <w:rsid w:val="006B2B97"/>
    <w:rsid w:val="006B51B9"/>
    <w:rsid w:val="006B6093"/>
    <w:rsid w:val="006B6C93"/>
    <w:rsid w:val="006B7F56"/>
    <w:rsid w:val="006D0D1F"/>
    <w:rsid w:val="006D1636"/>
    <w:rsid w:val="006E2E5F"/>
    <w:rsid w:val="006E4B8A"/>
    <w:rsid w:val="006E58B5"/>
    <w:rsid w:val="006F5EBC"/>
    <w:rsid w:val="00700B41"/>
    <w:rsid w:val="0070706C"/>
    <w:rsid w:val="007103A3"/>
    <w:rsid w:val="00716838"/>
    <w:rsid w:val="00717E64"/>
    <w:rsid w:val="00720F1E"/>
    <w:rsid w:val="00730817"/>
    <w:rsid w:val="0073212F"/>
    <w:rsid w:val="00733A9D"/>
    <w:rsid w:val="00733C3F"/>
    <w:rsid w:val="00735B4B"/>
    <w:rsid w:val="00735FFD"/>
    <w:rsid w:val="00737BBC"/>
    <w:rsid w:val="00742A90"/>
    <w:rsid w:val="00742F42"/>
    <w:rsid w:val="007439B4"/>
    <w:rsid w:val="00744247"/>
    <w:rsid w:val="00760E55"/>
    <w:rsid w:val="007712CF"/>
    <w:rsid w:val="0077346D"/>
    <w:rsid w:val="0077362B"/>
    <w:rsid w:val="007736FE"/>
    <w:rsid w:val="00773D58"/>
    <w:rsid w:val="007749C7"/>
    <w:rsid w:val="00781111"/>
    <w:rsid w:val="00783A6B"/>
    <w:rsid w:val="007874E0"/>
    <w:rsid w:val="007A1A9D"/>
    <w:rsid w:val="007A438B"/>
    <w:rsid w:val="007A6721"/>
    <w:rsid w:val="007B11C9"/>
    <w:rsid w:val="007B7827"/>
    <w:rsid w:val="007C1F1A"/>
    <w:rsid w:val="007C3E63"/>
    <w:rsid w:val="007C64AC"/>
    <w:rsid w:val="007C7DFD"/>
    <w:rsid w:val="007D1269"/>
    <w:rsid w:val="007D30EF"/>
    <w:rsid w:val="007D3A0A"/>
    <w:rsid w:val="007E3493"/>
    <w:rsid w:val="007E3756"/>
    <w:rsid w:val="007E4C08"/>
    <w:rsid w:val="007E69F7"/>
    <w:rsid w:val="007E7CEB"/>
    <w:rsid w:val="007F1399"/>
    <w:rsid w:val="007F2144"/>
    <w:rsid w:val="007F2AF9"/>
    <w:rsid w:val="007F3B0E"/>
    <w:rsid w:val="007F3EEB"/>
    <w:rsid w:val="007F5ADB"/>
    <w:rsid w:val="007F701C"/>
    <w:rsid w:val="00801C88"/>
    <w:rsid w:val="00813ACA"/>
    <w:rsid w:val="00814890"/>
    <w:rsid w:val="00814EA3"/>
    <w:rsid w:val="008158E3"/>
    <w:rsid w:val="00821DE2"/>
    <w:rsid w:val="00824DC1"/>
    <w:rsid w:val="0082633D"/>
    <w:rsid w:val="0082769A"/>
    <w:rsid w:val="00833750"/>
    <w:rsid w:val="00834444"/>
    <w:rsid w:val="008344DC"/>
    <w:rsid w:val="0083552C"/>
    <w:rsid w:val="00837840"/>
    <w:rsid w:val="00837C36"/>
    <w:rsid w:val="00843550"/>
    <w:rsid w:val="00846CBD"/>
    <w:rsid w:val="008473CF"/>
    <w:rsid w:val="00850278"/>
    <w:rsid w:val="008508FA"/>
    <w:rsid w:val="00851A5F"/>
    <w:rsid w:val="00857585"/>
    <w:rsid w:val="0086040B"/>
    <w:rsid w:val="008606C7"/>
    <w:rsid w:val="00860EB5"/>
    <w:rsid w:val="00860FFA"/>
    <w:rsid w:val="00862D97"/>
    <w:rsid w:val="008651BC"/>
    <w:rsid w:val="008655EA"/>
    <w:rsid w:val="00865EA3"/>
    <w:rsid w:val="008701F5"/>
    <w:rsid w:val="0087460A"/>
    <w:rsid w:val="00875A47"/>
    <w:rsid w:val="00881710"/>
    <w:rsid w:val="008955BD"/>
    <w:rsid w:val="00895B97"/>
    <w:rsid w:val="00896697"/>
    <w:rsid w:val="008A07E0"/>
    <w:rsid w:val="008A161A"/>
    <w:rsid w:val="008A2D45"/>
    <w:rsid w:val="008A2E3F"/>
    <w:rsid w:val="008A43EA"/>
    <w:rsid w:val="008A6CC4"/>
    <w:rsid w:val="008B29E4"/>
    <w:rsid w:val="008B3B08"/>
    <w:rsid w:val="008B5B67"/>
    <w:rsid w:val="008B5CAC"/>
    <w:rsid w:val="008B654F"/>
    <w:rsid w:val="008C4765"/>
    <w:rsid w:val="008D3359"/>
    <w:rsid w:val="008D4BDA"/>
    <w:rsid w:val="008D6F0B"/>
    <w:rsid w:val="008D7AE2"/>
    <w:rsid w:val="008D7E5F"/>
    <w:rsid w:val="008E6161"/>
    <w:rsid w:val="008F2CB6"/>
    <w:rsid w:val="008F4E3E"/>
    <w:rsid w:val="00900B42"/>
    <w:rsid w:val="009014D3"/>
    <w:rsid w:val="0090380A"/>
    <w:rsid w:val="009044A7"/>
    <w:rsid w:val="009108DF"/>
    <w:rsid w:val="00914BF3"/>
    <w:rsid w:val="00915844"/>
    <w:rsid w:val="0091601A"/>
    <w:rsid w:val="00916380"/>
    <w:rsid w:val="00917340"/>
    <w:rsid w:val="00917B3B"/>
    <w:rsid w:val="009203FD"/>
    <w:rsid w:val="00921096"/>
    <w:rsid w:val="00924A73"/>
    <w:rsid w:val="00924B5B"/>
    <w:rsid w:val="00927E02"/>
    <w:rsid w:val="00930F3A"/>
    <w:rsid w:val="00934DE6"/>
    <w:rsid w:val="0094202A"/>
    <w:rsid w:val="009523DA"/>
    <w:rsid w:val="00952529"/>
    <w:rsid w:val="009623C6"/>
    <w:rsid w:val="00964960"/>
    <w:rsid w:val="00965E39"/>
    <w:rsid w:val="00972574"/>
    <w:rsid w:val="00981847"/>
    <w:rsid w:val="00981AD1"/>
    <w:rsid w:val="0098431B"/>
    <w:rsid w:val="00990291"/>
    <w:rsid w:val="009923E7"/>
    <w:rsid w:val="00992A32"/>
    <w:rsid w:val="00993660"/>
    <w:rsid w:val="00997069"/>
    <w:rsid w:val="009B0E26"/>
    <w:rsid w:val="009B2E87"/>
    <w:rsid w:val="009B4500"/>
    <w:rsid w:val="009B45D1"/>
    <w:rsid w:val="009B4690"/>
    <w:rsid w:val="009B60E1"/>
    <w:rsid w:val="009B7440"/>
    <w:rsid w:val="009C4F20"/>
    <w:rsid w:val="009C58E5"/>
    <w:rsid w:val="009C6983"/>
    <w:rsid w:val="009C6EB8"/>
    <w:rsid w:val="009C7AF0"/>
    <w:rsid w:val="009D06E2"/>
    <w:rsid w:val="009D5444"/>
    <w:rsid w:val="009D68FF"/>
    <w:rsid w:val="009D6B31"/>
    <w:rsid w:val="009E0EDF"/>
    <w:rsid w:val="009E0EF7"/>
    <w:rsid w:val="009E0FA6"/>
    <w:rsid w:val="009E2CC7"/>
    <w:rsid w:val="009E3EA4"/>
    <w:rsid w:val="009E77AD"/>
    <w:rsid w:val="009F32EA"/>
    <w:rsid w:val="009F3C25"/>
    <w:rsid w:val="009F5CAE"/>
    <w:rsid w:val="009F69A4"/>
    <w:rsid w:val="00A01591"/>
    <w:rsid w:val="00A078DF"/>
    <w:rsid w:val="00A1102D"/>
    <w:rsid w:val="00A1296A"/>
    <w:rsid w:val="00A20743"/>
    <w:rsid w:val="00A21F50"/>
    <w:rsid w:val="00A22836"/>
    <w:rsid w:val="00A30125"/>
    <w:rsid w:val="00A3083A"/>
    <w:rsid w:val="00A31EAE"/>
    <w:rsid w:val="00A34B12"/>
    <w:rsid w:val="00A418D8"/>
    <w:rsid w:val="00A42617"/>
    <w:rsid w:val="00A43CE1"/>
    <w:rsid w:val="00A55BCA"/>
    <w:rsid w:val="00A561D6"/>
    <w:rsid w:val="00A56584"/>
    <w:rsid w:val="00A56813"/>
    <w:rsid w:val="00A663FF"/>
    <w:rsid w:val="00A66D9C"/>
    <w:rsid w:val="00A66FDB"/>
    <w:rsid w:val="00A67126"/>
    <w:rsid w:val="00A721E9"/>
    <w:rsid w:val="00A741EA"/>
    <w:rsid w:val="00A76CF7"/>
    <w:rsid w:val="00A802E7"/>
    <w:rsid w:val="00A83C1B"/>
    <w:rsid w:val="00A86C53"/>
    <w:rsid w:val="00A87292"/>
    <w:rsid w:val="00A928A6"/>
    <w:rsid w:val="00A93827"/>
    <w:rsid w:val="00A941DB"/>
    <w:rsid w:val="00A96826"/>
    <w:rsid w:val="00A96B37"/>
    <w:rsid w:val="00A97DFB"/>
    <w:rsid w:val="00AA60D1"/>
    <w:rsid w:val="00AA7666"/>
    <w:rsid w:val="00AB2603"/>
    <w:rsid w:val="00AB3F29"/>
    <w:rsid w:val="00AB4CF1"/>
    <w:rsid w:val="00AB5F41"/>
    <w:rsid w:val="00AC2193"/>
    <w:rsid w:val="00AE1940"/>
    <w:rsid w:val="00AE1A40"/>
    <w:rsid w:val="00AE270B"/>
    <w:rsid w:val="00AE2ED1"/>
    <w:rsid w:val="00AE740E"/>
    <w:rsid w:val="00AF0619"/>
    <w:rsid w:val="00AF23E3"/>
    <w:rsid w:val="00AF44EB"/>
    <w:rsid w:val="00AF52EE"/>
    <w:rsid w:val="00B007E9"/>
    <w:rsid w:val="00B02C49"/>
    <w:rsid w:val="00B047EA"/>
    <w:rsid w:val="00B05A67"/>
    <w:rsid w:val="00B06257"/>
    <w:rsid w:val="00B076BD"/>
    <w:rsid w:val="00B107DE"/>
    <w:rsid w:val="00B13D0F"/>
    <w:rsid w:val="00B22ADD"/>
    <w:rsid w:val="00B269BB"/>
    <w:rsid w:val="00B30931"/>
    <w:rsid w:val="00B31A99"/>
    <w:rsid w:val="00B3500E"/>
    <w:rsid w:val="00B429C3"/>
    <w:rsid w:val="00B44791"/>
    <w:rsid w:val="00B4699C"/>
    <w:rsid w:val="00B46A61"/>
    <w:rsid w:val="00B47684"/>
    <w:rsid w:val="00B50AC2"/>
    <w:rsid w:val="00B51D47"/>
    <w:rsid w:val="00B51FB3"/>
    <w:rsid w:val="00B55134"/>
    <w:rsid w:val="00B5725F"/>
    <w:rsid w:val="00B57DA1"/>
    <w:rsid w:val="00B6093E"/>
    <w:rsid w:val="00B61B4E"/>
    <w:rsid w:val="00B61C26"/>
    <w:rsid w:val="00B66024"/>
    <w:rsid w:val="00B70090"/>
    <w:rsid w:val="00B73528"/>
    <w:rsid w:val="00B74BE1"/>
    <w:rsid w:val="00B8004B"/>
    <w:rsid w:val="00B80084"/>
    <w:rsid w:val="00B81822"/>
    <w:rsid w:val="00B82994"/>
    <w:rsid w:val="00B838B8"/>
    <w:rsid w:val="00B8603A"/>
    <w:rsid w:val="00B87E5F"/>
    <w:rsid w:val="00B90CBC"/>
    <w:rsid w:val="00B933EF"/>
    <w:rsid w:val="00B93F83"/>
    <w:rsid w:val="00B956C3"/>
    <w:rsid w:val="00B964D5"/>
    <w:rsid w:val="00B97B3A"/>
    <w:rsid w:val="00BA1B47"/>
    <w:rsid w:val="00BA54E7"/>
    <w:rsid w:val="00BA5D18"/>
    <w:rsid w:val="00BA6A11"/>
    <w:rsid w:val="00BA7C14"/>
    <w:rsid w:val="00BB0A97"/>
    <w:rsid w:val="00BB4277"/>
    <w:rsid w:val="00BB4453"/>
    <w:rsid w:val="00BB6803"/>
    <w:rsid w:val="00BC2233"/>
    <w:rsid w:val="00BC3782"/>
    <w:rsid w:val="00BC6366"/>
    <w:rsid w:val="00BC6BFD"/>
    <w:rsid w:val="00BD1288"/>
    <w:rsid w:val="00BD1611"/>
    <w:rsid w:val="00BD79DC"/>
    <w:rsid w:val="00BE1944"/>
    <w:rsid w:val="00BE1BDB"/>
    <w:rsid w:val="00BE3A1A"/>
    <w:rsid w:val="00BE60CF"/>
    <w:rsid w:val="00BF331D"/>
    <w:rsid w:val="00BF4DE2"/>
    <w:rsid w:val="00C002B8"/>
    <w:rsid w:val="00C00B0C"/>
    <w:rsid w:val="00C00D8F"/>
    <w:rsid w:val="00C01085"/>
    <w:rsid w:val="00C0175A"/>
    <w:rsid w:val="00C0409D"/>
    <w:rsid w:val="00C040F1"/>
    <w:rsid w:val="00C04AF7"/>
    <w:rsid w:val="00C059AB"/>
    <w:rsid w:val="00C143E3"/>
    <w:rsid w:val="00C153AB"/>
    <w:rsid w:val="00C209FA"/>
    <w:rsid w:val="00C25C40"/>
    <w:rsid w:val="00C33187"/>
    <w:rsid w:val="00C33220"/>
    <w:rsid w:val="00C35BF4"/>
    <w:rsid w:val="00C37C08"/>
    <w:rsid w:val="00C37D11"/>
    <w:rsid w:val="00C40F4A"/>
    <w:rsid w:val="00C51914"/>
    <w:rsid w:val="00C52487"/>
    <w:rsid w:val="00C569E6"/>
    <w:rsid w:val="00C62875"/>
    <w:rsid w:val="00C72050"/>
    <w:rsid w:val="00C73BE2"/>
    <w:rsid w:val="00C748E9"/>
    <w:rsid w:val="00C766AE"/>
    <w:rsid w:val="00C76780"/>
    <w:rsid w:val="00C811B1"/>
    <w:rsid w:val="00C8360A"/>
    <w:rsid w:val="00C8693D"/>
    <w:rsid w:val="00C87968"/>
    <w:rsid w:val="00C91024"/>
    <w:rsid w:val="00C945FC"/>
    <w:rsid w:val="00C94D73"/>
    <w:rsid w:val="00C968EB"/>
    <w:rsid w:val="00CA207C"/>
    <w:rsid w:val="00CA49E4"/>
    <w:rsid w:val="00CA5C07"/>
    <w:rsid w:val="00CA687B"/>
    <w:rsid w:val="00CB1443"/>
    <w:rsid w:val="00CB16BA"/>
    <w:rsid w:val="00CB2293"/>
    <w:rsid w:val="00CB23E7"/>
    <w:rsid w:val="00CC1F1E"/>
    <w:rsid w:val="00CC3166"/>
    <w:rsid w:val="00CC32F9"/>
    <w:rsid w:val="00CC7EC9"/>
    <w:rsid w:val="00CD10CA"/>
    <w:rsid w:val="00CD4CDF"/>
    <w:rsid w:val="00CE0464"/>
    <w:rsid w:val="00CE1514"/>
    <w:rsid w:val="00CE1772"/>
    <w:rsid w:val="00CE2535"/>
    <w:rsid w:val="00CE503D"/>
    <w:rsid w:val="00CE7158"/>
    <w:rsid w:val="00CF5FC6"/>
    <w:rsid w:val="00D04D93"/>
    <w:rsid w:val="00D05903"/>
    <w:rsid w:val="00D0609C"/>
    <w:rsid w:val="00D12212"/>
    <w:rsid w:val="00D1230C"/>
    <w:rsid w:val="00D14607"/>
    <w:rsid w:val="00D253EB"/>
    <w:rsid w:val="00D316F1"/>
    <w:rsid w:val="00D357A5"/>
    <w:rsid w:val="00D36920"/>
    <w:rsid w:val="00D424F1"/>
    <w:rsid w:val="00D42BC5"/>
    <w:rsid w:val="00D443C5"/>
    <w:rsid w:val="00D51AC3"/>
    <w:rsid w:val="00D551E7"/>
    <w:rsid w:val="00D567E3"/>
    <w:rsid w:val="00D60F1E"/>
    <w:rsid w:val="00D634AF"/>
    <w:rsid w:val="00D63AF5"/>
    <w:rsid w:val="00D70894"/>
    <w:rsid w:val="00D70F93"/>
    <w:rsid w:val="00D73089"/>
    <w:rsid w:val="00D765DD"/>
    <w:rsid w:val="00D77AB0"/>
    <w:rsid w:val="00D77B48"/>
    <w:rsid w:val="00D810F7"/>
    <w:rsid w:val="00D81248"/>
    <w:rsid w:val="00D83456"/>
    <w:rsid w:val="00D84635"/>
    <w:rsid w:val="00D8486D"/>
    <w:rsid w:val="00D84B66"/>
    <w:rsid w:val="00D852D1"/>
    <w:rsid w:val="00D938B8"/>
    <w:rsid w:val="00D9588B"/>
    <w:rsid w:val="00D96ED4"/>
    <w:rsid w:val="00DA6857"/>
    <w:rsid w:val="00DB4919"/>
    <w:rsid w:val="00DB6FEB"/>
    <w:rsid w:val="00DC4835"/>
    <w:rsid w:val="00DC4A42"/>
    <w:rsid w:val="00DC574D"/>
    <w:rsid w:val="00DC6B10"/>
    <w:rsid w:val="00DD1291"/>
    <w:rsid w:val="00DD785F"/>
    <w:rsid w:val="00DE0BDC"/>
    <w:rsid w:val="00DE1539"/>
    <w:rsid w:val="00DE2F5A"/>
    <w:rsid w:val="00DE6A57"/>
    <w:rsid w:val="00DE6DA8"/>
    <w:rsid w:val="00DE7819"/>
    <w:rsid w:val="00DE7D9E"/>
    <w:rsid w:val="00DF0F00"/>
    <w:rsid w:val="00DF56DF"/>
    <w:rsid w:val="00E00D1E"/>
    <w:rsid w:val="00E02392"/>
    <w:rsid w:val="00E02EDE"/>
    <w:rsid w:val="00E043D2"/>
    <w:rsid w:val="00E11EC5"/>
    <w:rsid w:val="00E1526F"/>
    <w:rsid w:val="00E20B11"/>
    <w:rsid w:val="00E2139A"/>
    <w:rsid w:val="00E220B7"/>
    <w:rsid w:val="00E2232D"/>
    <w:rsid w:val="00E26043"/>
    <w:rsid w:val="00E26BF4"/>
    <w:rsid w:val="00E32198"/>
    <w:rsid w:val="00E367A4"/>
    <w:rsid w:val="00E369BB"/>
    <w:rsid w:val="00E40210"/>
    <w:rsid w:val="00E4067E"/>
    <w:rsid w:val="00E40FC7"/>
    <w:rsid w:val="00E420F2"/>
    <w:rsid w:val="00E50173"/>
    <w:rsid w:val="00E51467"/>
    <w:rsid w:val="00E51A15"/>
    <w:rsid w:val="00E576E8"/>
    <w:rsid w:val="00E6056A"/>
    <w:rsid w:val="00E615B4"/>
    <w:rsid w:val="00E667CB"/>
    <w:rsid w:val="00E67576"/>
    <w:rsid w:val="00E7047F"/>
    <w:rsid w:val="00E71260"/>
    <w:rsid w:val="00E71901"/>
    <w:rsid w:val="00E74C0A"/>
    <w:rsid w:val="00E81A4E"/>
    <w:rsid w:val="00E924B1"/>
    <w:rsid w:val="00EA2AEE"/>
    <w:rsid w:val="00EA2FC5"/>
    <w:rsid w:val="00EA3D9C"/>
    <w:rsid w:val="00EA4395"/>
    <w:rsid w:val="00EA7AB2"/>
    <w:rsid w:val="00EB0DB6"/>
    <w:rsid w:val="00EB1C6F"/>
    <w:rsid w:val="00EB1DD0"/>
    <w:rsid w:val="00EB234E"/>
    <w:rsid w:val="00EB44A3"/>
    <w:rsid w:val="00EB4B8B"/>
    <w:rsid w:val="00EB5FD8"/>
    <w:rsid w:val="00EC28E0"/>
    <w:rsid w:val="00ED13B6"/>
    <w:rsid w:val="00ED29BF"/>
    <w:rsid w:val="00ED6293"/>
    <w:rsid w:val="00ED64B6"/>
    <w:rsid w:val="00EE44D8"/>
    <w:rsid w:val="00EF1AB0"/>
    <w:rsid w:val="00EF4AA2"/>
    <w:rsid w:val="00EF7EAC"/>
    <w:rsid w:val="00F00A9A"/>
    <w:rsid w:val="00F02E06"/>
    <w:rsid w:val="00F037E9"/>
    <w:rsid w:val="00F10E20"/>
    <w:rsid w:val="00F1240D"/>
    <w:rsid w:val="00F21853"/>
    <w:rsid w:val="00F22BCA"/>
    <w:rsid w:val="00F23EAD"/>
    <w:rsid w:val="00F25C43"/>
    <w:rsid w:val="00F26773"/>
    <w:rsid w:val="00F30F8B"/>
    <w:rsid w:val="00F32607"/>
    <w:rsid w:val="00F364B6"/>
    <w:rsid w:val="00F42098"/>
    <w:rsid w:val="00F427F4"/>
    <w:rsid w:val="00F444A4"/>
    <w:rsid w:val="00F45691"/>
    <w:rsid w:val="00F54EEC"/>
    <w:rsid w:val="00F63BA6"/>
    <w:rsid w:val="00F7129D"/>
    <w:rsid w:val="00F74887"/>
    <w:rsid w:val="00F816E5"/>
    <w:rsid w:val="00F82D44"/>
    <w:rsid w:val="00F903D4"/>
    <w:rsid w:val="00F94975"/>
    <w:rsid w:val="00F96C50"/>
    <w:rsid w:val="00FA0603"/>
    <w:rsid w:val="00FA1BCC"/>
    <w:rsid w:val="00FA2130"/>
    <w:rsid w:val="00FA61E1"/>
    <w:rsid w:val="00FA7F3C"/>
    <w:rsid w:val="00FB2050"/>
    <w:rsid w:val="00FB23AA"/>
    <w:rsid w:val="00FB4C29"/>
    <w:rsid w:val="00FB4E27"/>
    <w:rsid w:val="00FB531A"/>
    <w:rsid w:val="00FC35AC"/>
    <w:rsid w:val="00FC3A8F"/>
    <w:rsid w:val="00FC3C9D"/>
    <w:rsid w:val="00FD0DA9"/>
    <w:rsid w:val="00FD2ACB"/>
    <w:rsid w:val="00FD47F1"/>
    <w:rsid w:val="00FD4862"/>
    <w:rsid w:val="00FE0EEF"/>
    <w:rsid w:val="00FE1AE8"/>
    <w:rsid w:val="00FE1F1F"/>
    <w:rsid w:val="00FE4412"/>
    <w:rsid w:val="00FE6D90"/>
    <w:rsid w:val="00FE7381"/>
    <w:rsid w:val="00FE7F59"/>
    <w:rsid w:val="00FF12F3"/>
    <w:rsid w:val="00FF1F9E"/>
    <w:rsid w:val="00FF5ECB"/>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14:docId w14:val="7332029B"/>
  <w15:chartTrackingRefBased/>
  <w15:docId w15:val="{DADFBB03-489A-8D45-B5D6-B407E3CE4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he-I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First Paragraph"/>
    <w:next w:val="Indent"/>
    <w:qFormat/>
    <w:rsid w:val="00981847"/>
    <w:pPr>
      <w:spacing w:line="360" w:lineRule="auto"/>
    </w:pPr>
    <w:rPr>
      <w:rFonts w:asciiTheme="majorBidi" w:eastAsiaTheme="minorEastAsia" w:hAnsiTheme="majorBidi"/>
      <w:lang w:bidi="ar-SA"/>
    </w:rPr>
  </w:style>
  <w:style w:type="paragraph" w:styleId="Heading1">
    <w:name w:val="heading 1"/>
    <w:basedOn w:val="Normal"/>
    <w:next w:val="Normal"/>
    <w:link w:val="Heading1Char"/>
    <w:uiPriority w:val="9"/>
    <w:qFormat/>
    <w:rsid w:val="00046B2B"/>
    <w:pPr>
      <w:keepNext/>
      <w:keepLines/>
      <w:spacing w:before="480"/>
      <w:jc w:val="center"/>
      <w:outlineLvl w:val="0"/>
    </w:pPr>
    <w:rPr>
      <w:rFonts w:ascii="Garamond" w:eastAsiaTheme="majorEastAsia" w:hAnsi="Garamond" w:cstheme="majorBidi"/>
      <w:bCs/>
      <w:i/>
      <w:color w:val="000000" w:themeColor="text1"/>
      <w:sz w:val="28"/>
      <w:szCs w:val="32"/>
    </w:rPr>
  </w:style>
  <w:style w:type="paragraph" w:styleId="Heading2">
    <w:name w:val="heading 2"/>
    <w:basedOn w:val="Normal"/>
    <w:next w:val="Normal"/>
    <w:link w:val="Heading2Char"/>
    <w:uiPriority w:val="9"/>
    <w:unhideWhenUsed/>
    <w:qFormat/>
    <w:rsid w:val="000B20A7"/>
    <w:pPr>
      <w:keepNext/>
      <w:keepLines/>
      <w:spacing w:before="360" w:line="480" w:lineRule="auto"/>
      <w:outlineLvl w:val="1"/>
    </w:pPr>
    <w:rPr>
      <w:rFonts w:eastAsiaTheme="majorEastAsia" w:cstheme="majorBidi"/>
      <w:bCs/>
      <w:i/>
      <w:i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autoRedefine/>
    <w:uiPriority w:val="99"/>
    <w:unhideWhenUsed/>
    <w:qFormat/>
    <w:rsid w:val="008344DC"/>
    <w:pPr>
      <w:widowControl w:val="0"/>
      <w:tabs>
        <w:tab w:val="left" w:pos="8190"/>
      </w:tabs>
      <w:autoSpaceDE w:val="0"/>
      <w:autoSpaceDN w:val="0"/>
      <w:adjustRightInd w:val="0"/>
    </w:pPr>
    <w:rPr>
      <w:rFonts w:eastAsiaTheme="minorHAnsi" w:cs="Times New Roman"/>
      <w:sz w:val="20"/>
    </w:rPr>
  </w:style>
  <w:style w:type="character" w:customStyle="1" w:styleId="FootnoteTextChar">
    <w:name w:val="Footnote Text Char"/>
    <w:basedOn w:val="DefaultParagraphFont"/>
    <w:link w:val="FootnoteText"/>
    <w:uiPriority w:val="99"/>
    <w:rsid w:val="008344DC"/>
    <w:rPr>
      <w:rFonts w:asciiTheme="majorBidi" w:hAnsiTheme="majorBidi" w:cs="Times New Roman"/>
      <w:sz w:val="20"/>
      <w:lang w:bidi="ar-SA"/>
    </w:rPr>
  </w:style>
  <w:style w:type="character" w:customStyle="1" w:styleId="Heading1Char">
    <w:name w:val="Heading 1 Char"/>
    <w:basedOn w:val="DefaultParagraphFont"/>
    <w:link w:val="Heading1"/>
    <w:uiPriority w:val="9"/>
    <w:rsid w:val="00046B2B"/>
    <w:rPr>
      <w:rFonts w:ascii="Garamond" w:eastAsiaTheme="majorEastAsia" w:hAnsi="Garamond" w:cstheme="majorBidi"/>
      <w:bCs/>
      <w:i/>
      <w:color w:val="000000" w:themeColor="text1"/>
      <w:sz w:val="28"/>
      <w:szCs w:val="32"/>
    </w:rPr>
  </w:style>
  <w:style w:type="character" w:styleId="FootnoteReference">
    <w:name w:val="footnote reference"/>
    <w:basedOn w:val="DefaultParagraphFont"/>
    <w:uiPriority w:val="99"/>
    <w:unhideWhenUsed/>
    <w:qFormat/>
    <w:rsid w:val="008344DC"/>
    <w:rPr>
      <w:position w:val="6"/>
      <w:sz w:val="20"/>
      <w:szCs w:val="20"/>
      <w:vertAlign w:val="superscript"/>
    </w:rPr>
  </w:style>
  <w:style w:type="character" w:customStyle="1" w:styleId="Heading2Char">
    <w:name w:val="Heading 2 Char"/>
    <w:basedOn w:val="DefaultParagraphFont"/>
    <w:link w:val="Heading2"/>
    <w:uiPriority w:val="9"/>
    <w:rsid w:val="000B20A7"/>
    <w:rPr>
      <w:rFonts w:asciiTheme="majorBidi" w:eastAsiaTheme="majorEastAsia" w:hAnsiTheme="majorBidi" w:cstheme="majorBidi"/>
      <w:bCs/>
      <w:i/>
      <w:iCs/>
      <w:color w:val="000000" w:themeColor="text1"/>
      <w:lang w:bidi="ar-SA"/>
    </w:rPr>
  </w:style>
  <w:style w:type="paragraph" w:customStyle="1" w:styleId="Indent">
    <w:name w:val="Indent"/>
    <w:basedOn w:val="Normal"/>
    <w:qFormat/>
    <w:rsid w:val="00981847"/>
    <w:pPr>
      <w:ind w:firstLine="432"/>
      <w:contextualSpacing/>
    </w:pPr>
    <w:rPr>
      <w:szCs w:val="22"/>
    </w:rPr>
  </w:style>
  <w:style w:type="paragraph" w:styleId="Title">
    <w:name w:val="Title"/>
    <w:aliases w:val="Chapter Title"/>
    <w:basedOn w:val="Normal"/>
    <w:next w:val="Normal"/>
    <w:link w:val="TitleChar"/>
    <w:qFormat/>
    <w:rsid w:val="00981847"/>
    <w:pPr>
      <w:pBdr>
        <w:bottom w:val="single" w:sz="8" w:space="4" w:color="4472C4" w:themeColor="accent1"/>
      </w:pBdr>
      <w:spacing w:after="300" w:line="240" w:lineRule="auto"/>
      <w:contextualSpacing/>
      <w:jc w:val="center"/>
    </w:pPr>
    <w:rPr>
      <w:rFonts w:asciiTheme="majorHAnsi" w:eastAsiaTheme="majorEastAsia" w:hAnsiTheme="majorHAnsi" w:cstheme="majorBidi"/>
      <w:color w:val="323E4F" w:themeColor="text2" w:themeShade="BF"/>
      <w:spacing w:val="5"/>
      <w:kern w:val="28"/>
      <w:sz w:val="48"/>
      <w:szCs w:val="52"/>
    </w:rPr>
  </w:style>
  <w:style w:type="character" w:customStyle="1" w:styleId="TitleChar">
    <w:name w:val="Title Char"/>
    <w:aliases w:val="Chapter Title Char"/>
    <w:basedOn w:val="DefaultParagraphFont"/>
    <w:link w:val="Title"/>
    <w:rsid w:val="00981847"/>
    <w:rPr>
      <w:rFonts w:asciiTheme="majorHAnsi" w:eastAsiaTheme="majorEastAsia" w:hAnsiTheme="majorHAnsi" w:cstheme="majorBidi"/>
      <w:color w:val="323E4F" w:themeColor="text2" w:themeShade="BF"/>
      <w:spacing w:val="5"/>
      <w:kern w:val="28"/>
      <w:sz w:val="48"/>
      <w:szCs w:val="52"/>
      <w:lang w:bidi="ar-SA"/>
    </w:rPr>
  </w:style>
  <w:style w:type="paragraph" w:styleId="ListParagraph">
    <w:name w:val="List Paragraph"/>
    <w:basedOn w:val="Normal"/>
    <w:uiPriority w:val="34"/>
    <w:qFormat/>
    <w:rsid w:val="00981847"/>
    <w:pPr>
      <w:ind w:left="720"/>
      <w:contextualSpacing/>
    </w:pPr>
  </w:style>
  <w:style w:type="character" w:styleId="Hyperlink">
    <w:name w:val="Hyperlink"/>
    <w:basedOn w:val="DefaultParagraphFont"/>
    <w:uiPriority w:val="99"/>
    <w:unhideWhenUsed/>
    <w:rsid w:val="00981847"/>
    <w:rPr>
      <w:color w:val="0563C1" w:themeColor="hyperlink"/>
      <w:u w:val="single"/>
    </w:rPr>
  </w:style>
  <w:style w:type="paragraph" w:styleId="Quote">
    <w:name w:val="Quote"/>
    <w:basedOn w:val="Normal"/>
    <w:next w:val="Normal"/>
    <w:link w:val="QuoteChar"/>
    <w:uiPriority w:val="29"/>
    <w:qFormat/>
    <w:rsid w:val="00981847"/>
    <w:pPr>
      <w:widowControl w:val="0"/>
      <w:autoSpaceDE w:val="0"/>
      <w:autoSpaceDN w:val="0"/>
      <w:adjustRightInd w:val="0"/>
      <w:spacing w:before="200" w:after="160"/>
      <w:ind w:left="864" w:right="864"/>
      <w:jc w:val="center"/>
    </w:pPr>
    <w:rPr>
      <w:rFonts w:cs="Times New Roman"/>
      <w:i/>
      <w:iCs/>
      <w:color w:val="404040" w:themeColor="text1" w:themeTint="BF"/>
    </w:rPr>
  </w:style>
  <w:style w:type="character" w:customStyle="1" w:styleId="QuoteChar">
    <w:name w:val="Quote Char"/>
    <w:basedOn w:val="DefaultParagraphFont"/>
    <w:link w:val="Quote"/>
    <w:uiPriority w:val="29"/>
    <w:rsid w:val="00981847"/>
    <w:rPr>
      <w:rFonts w:asciiTheme="majorBidi" w:eastAsiaTheme="minorEastAsia" w:hAnsiTheme="majorBidi" w:cs="Times New Roman"/>
      <w:i/>
      <w:iCs/>
      <w:color w:val="404040" w:themeColor="text1" w:themeTint="BF"/>
      <w:lang w:bidi="ar-SA"/>
    </w:rPr>
  </w:style>
  <w:style w:type="paragraph" w:styleId="Footer">
    <w:name w:val="footer"/>
    <w:basedOn w:val="Normal"/>
    <w:link w:val="FooterChar"/>
    <w:uiPriority w:val="99"/>
    <w:unhideWhenUsed/>
    <w:rsid w:val="002C4E18"/>
    <w:pPr>
      <w:tabs>
        <w:tab w:val="center" w:pos="4680"/>
        <w:tab w:val="right" w:pos="9360"/>
      </w:tabs>
      <w:spacing w:line="240" w:lineRule="auto"/>
    </w:pPr>
  </w:style>
  <w:style w:type="character" w:customStyle="1" w:styleId="FooterChar">
    <w:name w:val="Footer Char"/>
    <w:basedOn w:val="DefaultParagraphFont"/>
    <w:link w:val="Footer"/>
    <w:uiPriority w:val="99"/>
    <w:rsid w:val="002C4E18"/>
    <w:rPr>
      <w:rFonts w:asciiTheme="majorBidi" w:eastAsiaTheme="minorEastAsia" w:hAnsiTheme="majorBidi"/>
      <w:lang w:bidi="ar-SA"/>
    </w:rPr>
  </w:style>
  <w:style w:type="character" w:styleId="PageNumber">
    <w:name w:val="page number"/>
    <w:basedOn w:val="DefaultParagraphFont"/>
    <w:uiPriority w:val="99"/>
    <w:semiHidden/>
    <w:unhideWhenUsed/>
    <w:rsid w:val="002C4E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mailto:abr@biblearchaeology.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TotalTime>
  <Pages>15</Pages>
  <Words>3286</Words>
  <Characters>18736</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Larry Bruce</dc:creator>
  <cp:keywords/>
  <dc:description/>
  <cp:lastModifiedBy>Larry Bruce</cp:lastModifiedBy>
  <cp:revision>6</cp:revision>
  <cp:lastPrinted>2022-06-10T21:02:00Z</cp:lastPrinted>
  <dcterms:created xsi:type="dcterms:W3CDTF">2022-06-10T21:02:00Z</dcterms:created>
  <dcterms:modified xsi:type="dcterms:W3CDTF">2022-06-20T16:49:00Z</dcterms:modified>
</cp:coreProperties>
</file>