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CFE54" w14:textId="67ED442F" w:rsidR="0016095B" w:rsidRPr="00C41041" w:rsidRDefault="0016095B" w:rsidP="0016095B">
      <w:pPr>
        <w:tabs>
          <w:tab w:val="right" w:pos="9360"/>
        </w:tabs>
        <w:rPr>
          <w:rFonts w:ascii="Palatino Linotype" w:hAnsi="Palatino Linotype"/>
          <w:rtl/>
        </w:rPr>
      </w:pPr>
      <w:r w:rsidRPr="00C41041">
        <w:rPr>
          <w:rFonts w:ascii="Palatino Linotype" w:hAnsi="Palatino Linotype"/>
        </w:rPr>
        <w:t xml:space="preserve">Application No.: </w:t>
      </w:r>
    </w:p>
    <w:p w14:paraId="17C59816" w14:textId="2FA6502B" w:rsidR="0016095B" w:rsidRPr="00C41041" w:rsidRDefault="0016095B" w:rsidP="0016095B">
      <w:pPr>
        <w:tabs>
          <w:tab w:val="right" w:pos="9360"/>
        </w:tabs>
        <w:bidi w:val="0"/>
        <w:rPr>
          <w:rFonts w:ascii="Palatino Linotype" w:hAnsi="Palatino Linotype"/>
        </w:rPr>
      </w:pPr>
      <w:r w:rsidRPr="00C41041">
        <w:rPr>
          <w:rFonts w:ascii="Palatino Linotype" w:hAnsi="Palatino Linotype"/>
        </w:rPr>
        <w:tab/>
        <w:t xml:space="preserve">PI1 Name: </w:t>
      </w:r>
    </w:p>
    <w:p w14:paraId="3385963D" w14:textId="2B77F7D3" w:rsidR="00C82304" w:rsidRPr="00C41041" w:rsidRDefault="00F33C9A" w:rsidP="0016095B">
      <w:pPr>
        <w:bidi w:val="0"/>
        <w:spacing w:line="360" w:lineRule="auto"/>
        <w:jc w:val="center"/>
        <w:rPr>
          <w:rFonts w:ascii="Palatino Linotype" w:hAnsi="Palatino Linotype"/>
          <w:b/>
          <w:bCs/>
        </w:rPr>
      </w:pPr>
      <w:r w:rsidRPr="00C41041">
        <w:rPr>
          <w:rFonts w:ascii="Palatino Linotype" w:hAnsi="Palatino Linotype"/>
          <w:b/>
          <w:bCs/>
        </w:rPr>
        <w:t>Research Program</w:t>
      </w:r>
    </w:p>
    <w:p w14:paraId="0FE3EAFF" w14:textId="2008DC03" w:rsidR="00F33C9A" w:rsidRPr="00C41041" w:rsidRDefault="00F33C9A" w:rsidP="00F33C9A">
      <w:pPr>
        <w:bidi w:val="0"/>
        <w:spacing w:line="360" w:lineRule="auto"/>
        <w:rPr>
          <w:rFonts w:ascii="Palatino Linotype" w:hAnsi="Palatino Linotype"/>
          <w:b/>
          <w:bCs/>
        </w:rPr>
      </w:pPr>
      <w:r w:rsidRPr="00C41041">
        <w:rPr>
          <w:rFonts w:ascii="Palatino Linotype" w:hAnsi="Palatino Linotype"/>
          <w:b/>
          <w:bCs/>
        </w:rPr>
        <w:t>Scientific background</w:t>
      </w:r>
    </w:p>
    <w:p w14:paraId="34D6FB46" w14:textId="74AE6D72" w:rsidR="007E0407" w:rsidRPr="00C41041" w:rsidRDefault="007E0407" w:rsidP="009B3820">
      <w:pPr>
        <w:bidi w:val="0"/>
        <w:spacing w:line="360" w:lineRule="auto"/>
        <w:ind w:firstLine="720"/>
        <w:rPr>
          <w:rFonts w:ascii="Palatino Linotype" w:hAnsi="Palatino Linotype"/>
        </w:rPr>
      </w:pPr>
      <w:r w:rsidRPr="00C41041">
        <w:rPr>
          <w:rFonts w:ascii="Palatino Linotype" w:hAnsi="Palatino Linotype"/>
        </w:rPr>
        <w:t>Schizophrenia is a neuropsychiatric disorder</w:t>
      </w:r>
      <w:r w:rsidR="00964AA4" w:rsidRPr="00C41041">
        <w:rPr>
          <w:rFonts w:ascii="Palatino Linotype" w:hAnsi="Palatino Linotype"/>
        </w:rPr>
        <w:t xml:space="preserve"> characterized by positive symptoms (delusions, hallucinations, </w:t>
      </w:r>
      <w:r w:rsidR="00D33B86" w:rsidRPr="00C41041">
        <w:rPr>
          <w:rFonts w:ascii="Palatino Linotype" w:hAnsi="Palatino Linotype"/>
        </w:rPr>
        <w:t>abnormal</w:t>
      </w:r>
      <w:r w:rsidR="00964AA4" w:rsidRPr="00C41041">
        <w:rPr>
          <w:rFonts w:ascii="Palatino Linotype" w:hAnsi="Palatino Linotype"/>
        </w:rPr>
        <w:t xml:space="preserve"> flow of thoughts</w:t>
      </w:r>
      <w:r w:rsidR="00D33B86" w:rsidRPr="00C41041">
        <w:rPr>
          <w:rFonts w:ascii="Palatino Linotype" w:hAnsi="Palatino Linotype"/>
        </w:rPr>
        <w:t>), negative symptoms (withdrawal, apathy, anhedonia)</w:t>
      </w:r>
      <w:r w:rsidR="008C5B07" w:rsidRPr="00C41041">
        <w:rPr>
          <w:rFonts w:ascii="Palatino Linotype" w:hAnsi="Palatino Linotype"/>
        </w:rPr>
        <w:t>, and cognitive deficits</w:t>
      </w:r>
      <w:r w:rsidR="00D33B86" w:rsidRPr="00C41041">
        <w:rPr>
          <w:rFonts w:ascii="Palatino Linotype" w:hAnsi="Palatino Linotype"/>
        </w:rPr>
        <w:t>.</w:t>
      </w:r>
      <w:r w:rsidR="00AD7872" w:rsidRPr="00C41041">
        <w:rPr>
          <w:rFonts w:ascii="Palatino Linotype" w:hAnsi="Palatino Linotype"/>
          <w:vertAlign w:val="superscript"/>
        </w:rPr>
        <w:t>1</w:t>
      </w:r>
      <w:r w:rsidR="00D33B86" w:rsidRPr="00C41041">
        <w:rPr>
          <w:rFonts w:ascii="Palatino Linotype" w:hAnsi="Palatino Linotype"/>
        </w:rPr>
        <w:t xml:space="preserve"> It </w:t>
      </w:r>
      <w:r w:rsidRPr="00C41041">
        <w:rPr>
          <w:rFonts w:ascii="Palatino Linotype" w:hAnsi="Palatino Linotype"/>
        </w:rPr>
        <w:t>affect</w:t>
      </w:r>
      <w:r w:rsidR="00D33B86" w:rsidRPr="00C41041">
        <w:rPr>
          <w:rFonts w:ascii="Palatino Linotype" w:hAnsi="Palatino Linotype"/>
        </w:rPr>
        <w:t>s</w:t>
      </w:r>
      <w:r w:rsidRPr="00C41041">
        <w:rPr>
          <w:rFonts w:ascii="Palatino Linotype" w:hAnsi="Palatino Linotype"/>
        </w:rPr>
        <w:t xml:space="preserve"> approximately 1% of the worldwide </w:t>
      </w:r>
      <w:r w:rsidR="00964AA4" w:rsidRPr="00C41041">
        <w:rPr>
          <w:rFonts w:ascii="Palatino Linotype" w:hAnsi="Palatino Linotype"/>
        </w:rPr>
        <w:t xml:space="preserve">population </w:t>
      </w:r>
      <w:r w:rsidR="00D562FA" w:rsidRPr="00C41041">
        <w:rPr>
          <w:rFonts w:ascii="Palatino Linotype" w:hAnsi="Palatino Linotype"/>
        </w:rPr>
        <w:t>and</w:t>
      </w:r>
      <w:r w:rsidRPr="00C41041">
        <w:rPr>
          <w:rFonts w:ascii="Palatino Linotype" w:hAnsi="Palatino Linotype"/>
        </w:rPr>
        <w:t xml:space="preserve"> presents substantial domestic and global burde</w:t>
      </w:r>
      <w:r w:rsidR="00964AA4" w:rsidRPr="00C41041">
        <w:rPr>
          <w:rFonts w:ascii="Palatino Linotype" w:hAnsi="Palatino Linotype"/>
        </w:rPr>
        <w:t>n due to the presence of comorbidities, risk of relapse, and excess early mortality.</w:t>
      </w:r>
      <w:r w:rsidR="008C5B07" w:rsidRPr="00C41041">
        <w:rPr>
          <w:rFonts w:ascii="Palatino Linotype" w:hAnsi="Palatino Linotype"/>
          <w:vertAlign w:val="superscript"/>
        </w:rPr>
        <w:t>2-3</w:t>
      </w:r>
      <w:r w:rsidR="00BD46B5" w:rsidRPr="00C41041">
        <w:rPr>
          <w:rFonts w:ascii="Palatino Linotype" w:hAnsi="Palatino Linotype"/>
        </w:rPr>
        <w:t xml:space="preserve"> </w:t>
      </w:r>
      <w:r w:rsidR="007C03F9" w:rsidRPr="00C41041">
        <w:rPr>
          <w:rFonts w:ascii="Palatino Linotype" w:hAnsi="Palatino Linotype"/>
        </w:rPr>
        <w:t xml:space="preserve">Schizophrenia is likely to be a product of interacting genetic and environmental influences, and despite the dramatic research advances in its underlying molecular genetics, its pathogenesis, presentation and course remain poorly understood. </w:t>
      </w:r>
      <w:r w:rsidR="00E0284E" w:rsidRPr="00C41041">
        <w:rPr>
          <w:rFonts w:ascii="Palatino Linotype" w:hAnsi="Palatino Linotype"/>
        </w:rPr>
        <w:t>Clinical management of schizophrenia often requires antipsychotic medication which can provide symptomatic remission. Ne</w:t>
      </w:r>
      <w:r w:rsidR="00051967" w:rsidRPr="00C41041">
        <w:rPr>
          <w:rFonts w:ascii="Palatino Linotype" w:hAnsi="Palatino Linotype"/>
        </w:rPr>
        <w:t>vertheless, even with appropriate medication, up to 40% of patients may still relapse within 1 year.</w:t>
      </w:r>
      <w:r w:rsidR="0017640E" w:rsidRPr="00C41041">
        <w:rPr>
          <w:rFonts w:ascii="Palatino Linotype" w:hAnsi="Palatino Linotype"/>
          <w:vertAlign w:val="superscript"/>
        </w:rPr>
        <w:t>4</w:t>
      </w:r>
      <w:r w:rsidR="00215156" w:rsidRPr="00C41041">
        <w:rPr>
          <w:rFonts w:ascii="Palatino Linotype" w:hAnsi="Palatino Linotype"/>
        </w:rPr>
        <w:t xml:space="preserve"> </w:t>
      </w:r>
      <w:r w:rsidR="003D5AE8" w:rsidRPr="00C41041">
        <w:rPr>
          <w:rFonts w:ascii="Palatino Linotype" w:hAnsi="Palatino Linotype" w:cs="Helvetica"/>
          <w:color w:val="000000"/>
          <w:shd w:val="clear" w:color="auto" w:fill="FFFFFF"/>
        </w:rPr>
        <w:t>Relapse can have devastating consequences and is associated with poorer prognosis, high risk of injury, decreased quality of life, and decreased cognitive ability.</w:t>
      </w:r>
      <w:r w:rsidR="007B4E79" w:rsidRPr="00C41041">
        <w:rPr>
          <w:rFonts w:ascii="Palatino Linotype" w:hAnsi="Palatino Linotype" w:cs="Helvetica"/>
          <w:color w:val="000000"/>
          <w:shd w:val="clear" w:color="auto" w:fill="FFFFFF"/>
          <w:vertAlign w:val="superscript"/>
        </w:rPr>
        <w:t>5</w:t>
      </w:r>
      <w:r w:rsidR="007B4E79" w:rsidRPr="00C41041">
        <w:rPr>
          <w:rFonts w:ascii="Palatino Linotype" w:hAnsi="Palatino Linotype" w:cs="Helvetica"/>
          <w:color w:val="000000"/>
          <w:shd w:val="clear" w:color="auto" w:fill="FFFFFF"/>
        </w:rPr>
        <w:t xml:space="preserve"> Predicting</w:t>
      </w:r>
      <w:r w:rsidR="00CA63D6" w:rsidRPr="00C41041">
        <w:rPr>
          <w:rFonts w:ascii="Palatino Linotype" w:hAnsi="Palatino Linotype" w:cs="Helvetica"/>
          <w:color w:val="000000"/>
          <w:shd w:val="clear" w:color="auto" w:fill="FFFFFF"/>
        </w:rPr>
        <w:t xml:space="preserve"> relapse</w:t>
      </w:r>
      <w:r w:rsidR="000E30B8" w:rsidRPr="00C41041">
        <w:rPr>
          <w:rFonts w:ascii="Palatino Linotype" w:hAnsi="Palatino Linotype" w:cs="Helvetica"/>
          <w:color w:val="000000"/>
          <w:shd w:val="clear" w:color="auto" w:fill="FFFFFF"/>
        </w:rPr>
        <w:t xml:space="preserve"> is challenging given the complexity </w:t>
      </w:r>
      <w:r w:rsidR="00276882" w:rsidRPr="00C41041">
        <w:rPr>
          <w:rFonts w:ascii="Palatino Linotype" w:hAnsi="Palatino Linotype" w:cs="Helvetica"/>
          <w:color w:val="000000"/>
          <w:shd w:val="clear" w:color="auto" w:fill="FFFFFF"/>
        </w:rPr>
        <w:t>of</w:t>
      </w:r>
      <w:r w:rsidR="00A63993" w:rsidRPr="00C41041">
        <w:rPr>
          <w:rFonts w:ascii="Palatino Linotype" w:hAnsi="Palatino Linotype" w:cs="Helvetica"/>
          <w:color w:val="000000"/>
          <w:shd w:val="clear" w:color="auto" w:fill="FFFFFF"/>
        </w:rPr>
        <w:t xml:space="preserve"> schizophrenia</w:t>
      </w:r>
      <w:r w:rsidR="001C4EBF" w:rsidRPr="00C41041">
        <w:rPr>
          <w:rFonts w:ascii="Palatino Linotype" w:hAnsi="Palatino Linotype" w:cs="Helvetica"/>
          <w:color w:val="000000"/>
          <w:shd w:val="clear" w:color="auto" w:fill="FFFFFF"/>
        </w:rPr>
        <w:t xml:space="preserve">. </w:t>
      </w:r>
      <w:r w:rsidR="00F52095" w:rsidRPr="00C41041">
        <w:rPr>
          <w:rFonts w:ascii="Palatino Linotype" w:hAnsi="Palatino Linotype" w:cs="Helvetica"/>
          <w:color w:val="000000"/>
          <w:shd w:val="clear" w:color="auto" w:fill="FFFFFF"/>
        </w:rPr>
        <w:t xml:space="preserve">A reliable prediction of risk for relapse would enable early intervention and reduce </w:t>
      </w:r>
      <w:r w:rsidR="000E30B8" w:rsidRPr="00C41041">
        <w:rPr>
          <w:rFonts w:ascii="Palatino Linotype" w:hAnsi="Palatino Linotype" w:cs="Helvetica"/>
          <w:color w:val="000000"/>
          <w:shd w:val="clear" w:color="auto" w:fill="FFFFFF"/>
        </w:rPr>
        <w:t>its</w:t>
      </w:r>
      <w:r w:rsidR="00F52095" w:rsidRPr="00C41041">
        <w:rPr>
          <w:rFonts w:ascii="Palatino Linotype" w:hAnsi="Palatino Linotype" w:cs="Helvetica"/>
          <w:color w:val="000000"/>
          <w:shd w:val="clear" w:color="auto" w:fill="FFFFFF"/>
        </w:rPr>
        <w:t xml:space="preserve"> devastating repercussions. </w:t>
      </w:r>
      <w:r w:rsidR="004325A6" w:rsidRPr="00C41041">
        <w:rPr>
          <w:rFonts w:ascii="Palatino Linotype" w:hAnsi="Palatino Linotype" w:cs="Helvetica"/>
          <w:color w:val="000000"/>
          <w:shd w:val="clear" w:color="auto" w:fill="FFFFFF"/>
        </w:rPr>
        <w:t>The present study aims to address this issue by suggesting an integrative model including biological and psychological risk factors predicting relapse using digital phenotyping</w:t>
      </w:r>
      <w:r w:rsidR="001C4EBF" w:rsidRPr="00C41041">
        <w:rPr>
          <w:rFonts w:ascii="Palatino Linotype" w:hAnsi="Palatino Linotype" w:cs="Helvetica"/>
          <w:color w:val="000000"/>
          <w:shd w:val="clear" w:color="auto" w:fill="FFFFFF"/>
        </w:rPr>
        <w:t xml:space="preserve"> as behavioral measurement mediating </w:t>
      </w:r>
      <w:r w:rsidR="002209FC" w:rsidRPr="00C41041">
        <w:rPr>
          <w:rFonts w:ascii="Palatino Linotype" w:hAnsi="Palatino Linotype" w:cs="Helvetica"/>
          <w:color w:val="000000"/>
          <w:shd w:val="clear" w:color="auto" w:fill="FFFFFF"/>
        </w:rPr>
        <w:t>this prediction</w:t>
      </w:r>
      <w:r w:rsidR="001C4EBF" w:rsidRPr="00C41041">
        <w:rPr>
          <w:rFonts w:ascii="Palatino Linotype" w:hAnsi="Palatino Linotype" w:cs="Helvetica"/>
          <w:color w:val="000000"/>
          <w:shd w:val="clear" w:color="auto" w:fill="FFFFFF"/>
        </w:rPr>
        <w:t>.</w:t>
      </w:r>
      <w:r w:rsidR="004325A6" w:rsidRPr="00C41041">
        <w:rPr>
          <w:rFonts w:ascii="Palatino Linotype" w:hAnsi="Palatino Linotype" w:cs="Helvetica"/>
          <w:color w:val="000000"/>
          <w:shd w:val="clear" w:color="auto" w:fill="FFFFFF"/>
        </w:rPr>
        <w:t xml:space="preserve"> </w:t>
      </w:r>
      <w:r w:rsidR="00A63993" w:rsidRPr="00C41041">
        <w:rPr>
          <w:rFonts w:ascii="Palatino Linotype" w:hAnsi="Palatino Linotype" w:cs="Helvetica"/>
          <w:color w:val="000000"/>
          <w:shd w:val="clear" w:color="auto" w:fill="FFFFFF"/>
        </w:rPr>
        <w:t xml:space="preserve">In an era aspiring for personalized medicine, providing </w:t>
      </w:r>
      <w:r w:rsidR="007B4E79" w:rsidRPr="00C41041">
        <w:rPr>
          <w:rFonts w:ascii="Palatino Linotype" w:hAnsi="Palatino Linotype" w:cs="Helvetica"/>
          <w:color w:val="000000"/>
          <w:shd w:val="clear" w:color="auto" w:fill="FFFFFF"/>
        </w:rPr>
        <w:t xml:space="preserve">multifactorial </w:t>
      </w:r>
      <w:r w:rsidR="00A63993" w:rsidRPr="00C41041">
        <w:rPr>
          <w:rFonts w:ascii="Palatino Linotype" w:hAnsi="Palatino Linotype" w:cs="Helvetica"/>
          <w:color w:val="000000"/>
          <w:shd w:val="clear" w:color="auto" w:fill="FFFFFF"/>
        </w:rPr>
        <w:t>predictive mod</w:t>
      </w:r>
      <w:r w:rsidR="007B4E79" w:rsidRPr="00C41041">
        <w:rPr>
          <w:rFonts w:ascii="Palatino Linotype" w:hAnsi="Palatino Linotype" w:cs="Helvetica"/>
          <w:color w:val="000000"/>
          <w:shd w:val="clear" w:color="auto" w:fill="FFFFFF"/>
        </w:rPr>
        <w:t xml:space="preserve">el would aid </w:t>
      </w:r>
      <w:r w:rsidR="005A7FCD" w:rsidRPr="00C41041">
        <w:rPr>
          <w:rFonts w:ascii="Palatino Linotype" w:hAnsi="Palatino Linotype" w:cs="Helvetica"/>
          <w:color w:val="000000"/>
          <w:shd w:val="clear" w:color="auto" w:fill="FFFFFF"/>
        </w:rPr>
        <w:t xml:space="preserve">in </w:t>
      </w:r>
      <w:r w:rsidR="007B4E79" w:rsidRPr="00C41041">
        <w:rPr>
          <w:rFonts w:ascii="Palatino Linotype" w:hAnsi="Palatino Linotype" w:cs="Helvetica"/>
          <w:color w:val="000000"/>
          <w:shd w:val="clear" w:color="auto" w:fill="FFFFFF"/>
        </w:rPr>
        <w:t>identifying people at varying risk of relapse</w:t>
      </w:r>
      <w:r w:rsidR="005A7FCD" w:rsidRPr="00C41041">
        <w:rPr>
          <w:rFonts w:ascii="Palatino Linotype" w:hAnsi="Palatino Linotype" w:cs="Helvetica"/>
          <w:color w:val="000000"/>
          <w:shd w:val="clear" w:color="auto" w:fill="FFFFFF"/>
        </w:rPr>
        <w:t xml:space="preserve">, and could allow customized </w:t>
      </w:r>
      <w:r w:rsidR="005A7FCD" w:rsidRPr="00C41041">
        <w:rPr>
          <w:rFonts w:ascii="Palatino Linotype" w:hAnsi="Palatino Linotype"/>
        </w:rPr>
        <w:t xml:space="preserve">risk management of relapse. </w:t>
      </w:r>
    </w:p>
    <w:p w14:paraId="476F56FB" w14:textId="07EB6BB7" w:rsidR="003518B5" w:rsidRPr="00C41041" w:rsidRDefault="003518B5" w:rsidP="003C1408">
      <w:pPr>
        <w:bidi w:val="0"/>
        <w:spacing w:line="360" w:lineRule="auto"/>
        <w:ind w:firstLine="720"/>
        <w:rPr>
          <w:rFonts w:ascii="Palatino Linotype" w:hAnsi="Palatino Linotype"/>
          <w:i/>
          <w:iCs/>
        </w:rPr>
      </w:pPr>
      <w:r w:rsidRPr="00C41041">
        <w:rPr>
          <w:rFonts w:ascii="Palatino Linotype" w:hAnsi="Palatino Linotype"/>
          <w:i/>
          <w:iCs/>
        </w:rPr>
        <w:t xml:space="preserve">Stress-Vulnerability model for onset and relapse in schizophrenia. </w:t>
      </w:r>
      <w:r w:rsidRPr="00C41041">
        <w:rPr>
          <w:rFonts w:ascii="Palatino Linotype" w:hAnsi="Palatino Linotype"/>
        </w:rPr>
        <w:t xml:space="preserve">In the context of stress-vulnerability framework, </w:t>
      </w:r>
      <w:r w:rsidR="00F42AF5" w:rsidRPr="00C41041">
        <w:rPr>
          <w:rFonts w:ascii="Palatino Linotype" w:hAnsi="Palatino Linotype"/>
        </w:rPr>
        <w:t xml:space="preserve">combination of neurobiological and psychosocial factors is responsible for the onset and course of schizophrenia. </w:t>
      </w:r>
      <w:r w:rsidR="00432D60" w:rsidRPr="00C41041">
        <w:rPr>
          <w:rFonts w:ascii="Palatino Linotype" w:hAnsi="Palatino Linotype"/>
        </w:rPr>
        <w:t>Relapse in schizophrenia is recognized as the reemergence or worsening of psychotic symptoms. About half of the patients are non-adherent to treatment.</w:t>
      </w:r>
      <w:r w:rsidR="002D66A1" w:rsidRPr="00C41041">
        <w:rPr>
          <w:rFonts w:ascii="Palatino Linotype" w:hAnsi="Palatino Linotype"/>
          <w:vertAlign w:val="superscript"/>
        </w:rPr>
        <w:t>6</w:t>
      </w:r>
      <w:r w:rsidR="00432D60" w:rsidRPr="00C41041">
        <w:rPr>
          <w:rFonts w:ascii="Palatino Linotype" w:hAnsi="Palatino Linotype"/>
        </w:rPr>
        <w:t xml:space="preserve"> The non-adherence may be due to various factors depicted in a stress-vulnerability model. </w:t>
      </w:r>
      <w:r w:rsidR="00F42AF5" w:rsidRPr="00C41041">
        <w:rPr>
          <w:rFonts w:ascii="Palatino Linotype" w:hAnsi="Palatino Linotype"/>
        </w:rPr>
        <w:t>Stress is thought to emerge from exposure to single or ongoing life events. In the last two decades, researchers focused on the objective levels of stress exposure as well as on the subjective level</w:t>
      </w:r>
      <w:r w:rsidR="004F16C9" w:rsidRPr="00C41041">
        <w:rPr>
          <w:rFonts w:ascii="Palatino Linotype" w:hAnsi="Palatino Linotype"/>
        </w:rPr>
        <w:t>, naming the perceived stress in response to events.</w:t>
      </w:r>
      <w:r w:rsidR="002D66A1" w:rsidRPr="00C41041">
        <w:rPr>
          <w:rFonts w:ascii="Palatino Linotype" w:hAnsi="Palatino Linotype"/>
          <w:vertAlign w:val="superscript"/>
        </w:rPr>
        <w:t>7</w:t>
      </w:r>
      <w:r w:rsidR="004F16C9" w:rsidRPr="00C41041">
        <w:rPr>
          <w:rFonts w:ascii="Palatino Linotype" w:hAnsi="Palatino Linotype"/>
        </w:rPr>
        <w:t xml:space="preserve"> </w:t>
      </w:r>
      <w:r w:rsidR="00507F52" w:rsidRPr="00C41041">
        <w:rPr>
          <w:rFonts w:ascii="Palatino Linotype" w:hAnsi="Palatino Linotype"/>
        </w:rPr>
        <w:t xml:space="preserve">Vulnerability is assumed to arise from a combination of biological and </w:t>
      </w:r>
      <w:r w:rsidR="004B02C0">
        <w:rPr>
          <w:rFonts w:ascii="Palatino Linotype" w:hAnsi="Palatino Linotype"/>
        </w:rPr>
        <w:t>psychological</w:t>
      </w:r>
      <w:r w:rsidR="00507F52" w:rsidRPr="00C41041">
        <w:rPr>
          <w:rFonts w:ascii="Palatino Linotype" w:hAnsi="Palatino Linotype"/>
        </w:rPr>
        <w:t xml:space="preserve"> factors. Among the </w:t>
      </w:r>
      <w:r w:rsidR="00FB71B9">
        <w:rPr>
          <w:rFonts w:ascii="Palatino Linotype" w:hAnsi="Palatino Linotype"/>
        </w:rPr>
        <w:t>psychological</w:t>
      </w:r>
      <w:r w:rsidR="00FB71B9" w:rsidRPr="00C41041">
        <w:rPr>
          <w:rFonts w:ascii="Palatino Linotype" w:hAnsi="Palatino Linotype"/>
        </w:rPr>
        <w:t xml:space="preserve"> </w:t>
      </w:r>
      <w:r w:rsidR="00507F52" w:rsidRPr="00C41041">
        <w:rPr>
          <w:rFonts w:ascii="Palatino Linotype" w:hAnsi="Palatino Linotype"/>
        </w:rPr>
        <w:t>factors, depression</w:t>
      </w:r>
      <w:r w:rsidR="00432D60" w:rsidRPr="00C41041">
        <w:rPr>
          <w:rFonts w:ascii="Palatino Linotype" w:hAnsi="Palatino Linotype"/>
        </w:rPr>
        <w:t xml:space="preserve">, </w:t>
      </w:r>
      <w:r w:rsidR="00432D60" w:rsidRPr="00C41041">
        <w:rPr>
          <w:rFonts w:ascii="Palatino Linotype" w:hAnsi="Palatino Linotype"/>
        </w:rPr>
        <w:lastRenderedPageBreak/>
        <w:t xml:space="preserve">anxiety, </w:t>
      </w:r>
      <w:r w:rsidR="002D66A1" w:rsidRPr="00C41041">
        <w:rPr>
          <w:rFonts w:ascii="Palatino Linotype" w:hAnsi="Palatino Linotype"/>
        </w:rPr>
        <w:t xml:space="preserve">and </w:t>
      </w:r>
      <w:r w:rsidR="00432D60" w:rsidRPr="00C41041">
        <w:rPr>
          <w:rFonts w:ascii="Palatino Linotype" w:hAnsi="Palatino Linotype"/>
        </w:rPr>
        <w:t>lack of motivation</w:t>
      </w:r>
      <w:r w:rsidR="00507F52" w:rsidRPr="00C41041">
        <w:rPr>
          <w:rFonts w:ascii="Palatino Linotype" w:hAnsi="Palatino Linotype"/>
        </w:rPr>
        <w:t xml:space="preserve"> </w:t>
      </w:r>
      <w:r w:rsidR="002D66A1" w:rsidRPr="00C41041">
        <w:rPr>
          <w:rFonts w:ascii="Palatino Linotype" w:hAnsi="Palatino Linotype"/>
        </w:rPr>
        <w:t>have been identified as factors that may dr</w:t>
      </w:r>
      <w:r w:rsidR="00FB71B9">
        <w:rPr>
          <w:rFonts w:ascii="Palatino Linotype" w:hAnsi="Palatino Linotype"/>
        </w:rPr>
        <w:t>i</w:t>
      </w:r>
      <w:r w:rsidR="002D66A1" w:rsidRPr="00C41041">
        <w:rPr>
          <w:rFonts w:ascii="Palatino Linotype" w:hAnsi="Palatino Linotype"/>
        </w:rPr>
        <w:t>ve relapse.</w:t>
      </w:r>
      <w:r w:rsidR="00925957" w:rsidRPr="00C41041">
        <w:rPr>
          <w:rFonts w:ascii="Palatino Linotype" w:hAnsi="Palatino Linotype"/>
          <w:vertAlign w:val="superscript"/>
        </w:rPr>
        <w:t>6</w:t>
      </w:r>
      <w:r w:rsidR="00925957" w:rsidRPr="00C41041">
        <w:rPr>
          <w:rFonts w:ascii="Palatino Linotype" w:hAnsi="Palatino Linotype"/>
        </w:rPr>
        <w:t xml:space="preserve"> Vulnerability for relapse address biological </w:t>
      </w:r>
      <w:r w:rsidR="00C30332" w:rsidRPr="00C41041">
        <w:rPr>
          <w:rFonts w:ascii="Palatino Linotype" w:hAnsi="Palatino Linotype"/>
        </w:rPr>
        <w:t>antecedents including various body systems involved   in the neuroimmunology of relapse.</w:t>
      </w:r>
      <w:r w:rsidR="00925957" w:rsidRPr="00C41041">
        <w:rPr>
          <w:rFonts w:ascii="Palatino Linotype" w:hAnsi="Palatino Linotype"/>
        </w:rPr>
        <w:t xml:space="preserve">  </w:t>
      </w:r>
      <w:r w:rsidR="002D66A1" w:rsidRPr="00C41041">
        <w:rPr>
          <w:rFonts w:ascii="Palatino Linotype" w:hAnsi="Palatino Linotype"/>
        </w:rPr>
        <w:t xml:space="preserve"> </w:t>
      </w:r>
      <w:r w:rsidR="00F42AF5" w:rsidRPr="00C41041">
        <w:rPr>
          <w:rFonts w:ascii="Palatino Linotype" w:hAnsi="Palatino Linotype"/>
        </w:rPr>
        <w:t xml:space="preserve">  </w:t>
      </w:r>
    </w:p>
    <w:p w14:paraId="340A4B46" w14:textId="2F300F23" w:rsidR="00881F9E" w:rsidRPr="00C41041" w:rsidRDefault="00BB08AA" w:rsidP="003518B5">
      <w:pPr>
        <w:bidi w:val="0"/>
        <w:spacing w:line="360" w:lineRule="auto"/>
        <w:ind w:firstLine="720"/>
        <w:rPr>
          <w:rFonts w:ascii="Palatino Linotype" w:hAnsi="Palatino Linotype"/>
        </w:rPr>
      </w:pPr>
      <w:r w:rsidRPr="00C41041">
        <w:rPr>
          <w:rFonts w:ascii="Palatino Linotype" w:hAnsi="Palatino Linotype"/>
          <w:i/>
          <w:iCs/>
        </w:rPr>
        <w:t>Neuroimmune factors</w:t>
      </w:r>
      <w:r w:rsidR="007F2F57" w:rsidRPr="00C41041">
        <w:rPr>
          <w:rFonts w:ascii="Palatino Linotype" w:hAnsi="Palatino Linotype"/>
          <w:i/>
          <w:iCs/>
        </w:rPr>
        <w:t xml:space="preserve"> </w:t>
      </w:r>
      <w:r w:rsidRPr="00C41041">
        <w:rPr>
          <w:rFonts w:ascii="Palatino Linotype" w:hAnsi="Palatino Linotype"/>
          <w:i/>
          <w:iCs/>
        </w:rPr>
        <w:t>for</w:t>
      </w:r>
      <w:r w:rsidR="007F2F57" w:rsidRPr="00C41041">
        <w:rPr>
          <w:rFonts w:ascii="Palatino Linotype" w:hAnsi="Palatino Linotype"/>
          <w:i/>
          <w:iCs/>
        </w:rPr>
        <w:t xml:space="preserve"> relapse in schizophrenia.</w:t>
      </w:r>
      <w:r w:rsidR="003C1408" w:rsidRPr="00C41041">
        <w:rPr>
          <w:rFonts w:ascii="Palatino Linotype" w:hAnsi="Palatino Linotype"/>
        </w:rPr>
        <w:t xml:space="preserve"> B</w:t>
      </w:r>
      <w:r w:rsidR="007F2F57" w:rsidRPr="00C41041">
        <w:rPr>
          <w:rFonts w:ascii="Palatino Linotype" w:hAnsi="Palatino Linotype"/>
        </w:rPr>
        <w:t xml:space="preserve">iological factors that predict </w:t>
      </w:r>
      <w:r w:rsidRPr="00C41041">
        <w:rPr>
          <w:rFonts w:ascii="Palatino Linotype" w:hAnsi="Palatino Linotype"/>
        </w:rPr>
        <w:t>relapse in schizophrenia</w:t>
      </w:r>
      <w:r w:rsidR="003C1408" w:rsidRPr="00C41041">
        <w:rPr>
          <w:rFonts w:ascii="Palatino Linotype" w:hAnsi="Palatino Linotype"/>
        </w:rPr>
        <w:t xml:space="preserve"> have been studied extensively in the past decade and include</w:t>
      </w:r>
      <w:r w:rsidR="00874435" w:rsidRPr="00C41041">
        <w:rPr>
          <w:rFonts w:ascii="Palatino Linotype" w:hAnsi="Palatino Linotype"/>
        </w:rPr>
        <w:t xml:space="preserve"> </w:t>
      </w:r>
      <w:r w:rsidR="003C1408" w:rsidRPr="00C41041">
        <w:rPr>
          <w:rFonts w:ascii="Palatino Linotype" w:hAnsi="Palatino Linotype"/>
        </w:rPr>
        <w:t>immune,</w:t>
      </w:r>
      <w:r w:rsidR="00477EE5" w:rsidRPr="00C41041">
        <w:rPr>
          <w:rFonts w:ascii="Palatino Linotype" w:hAnsi="Palatino Linotype"/>
        </w:rPr>
        <w:t xml:space="preserve"> neural,</w:t>
      </w:r>
      <w:r w:rsidR="003C1408" w:rsidRPr="00C41041">
        <w:rPr>
          <w:rFonts w:ascii="Palatino Linotype" w:hAnsi="Palatino Linotype"/>
        </w:rPr>
        <w:t xml:space="preserve"> metabolic, and endocrine systems</w:t>
      </w:r>
      <w:r w:rsidRPr="00C41041">
        <w:rPr>
          <w:rFonts w:ascii="Palatino Linotype" w:hAnsi="Palatino Linotype"/>
        </w:rPr>
        <w:t>.</w:t>
      </w:r>
      <w:r w:rsidR="007F18B8" w:rsidRPr="00C41041">
        <w:rPr>
          <w:rFonts w:ascii="Palatino Linotype" w:hAnsi="Palatino Linotype"/>
          <w:vertAlign w:val="superscript"/>
        </w:rPr>
        <w:t>8</w:t>
      </w:r>
      <w:r w:rsidR="008E448C" w:rsidRPr="00C41041">
        <w:rPr>
          <w:rFonts w:ascii="Palatino Linotype" w:hAnsi="Palatino Linotype"/>
        </w:rPr>
        <w:t xml:space="preserve"> </w:t>
      </w:r>
      <w:r w:rsidR="00E225B3" w:rsidRPr="00C41041">
        <w:rPr>
          <w:rFonts w:ascii="Palatino Linotype" w:hAnsi="Palatino Linotype"/>
        </w:rPr>
        <w:t xml:space="preserve">There is evidence for </w:t>
      </w:r>
      <w:r w:rsidR="00743EA0" w:rsidRPr="00C41041">
        <w:rPr>
          <w:rFonts w:ascii="Palatino Linotype" w:hAnsi="Palatino Linotype"/>
        </w:rPr>
        <w:t xml:space="preserve">immune system </w:t>
      </w:r>
      <w:r w:rsidR="00E225B3" w:rsidRPr="00C41041">
        <w:rPr>
          <w:rFonts w:ascii="Palatino Linotype" w:hAnsi="Palatino Linotype"/>
        </w:rPr>
        <w:t>abnormalities</w:t>
      </w:r>
      <w:r w:rsidR="00743EA0" w:rsidRPr="00C41041">
        <w:rPr>
          <w:rFonts w:ascii="Palatino Linotype" w:hAnsi="Palatino Linotype"/>
        </w:rPr>
        <w:t>, including inflammatory,</w:t>
      </w:r>
      <w:r w:rsidR="00E225B3" w:rsidRPr="00C41041">
        <w:rPr>
          <w:rFonts w:ascii="Palatino Linotype" w:hAnsi="Palatino Linotype"/>
        </w:rPr>
        <w:t xml:space="preserve"> in </w:t>
      </w:r>
      <w:r w:rsidR="00743EA0" w:rsidRPr="00C41041">
        <w:rPr>
          <w:rFonts w:ascii="Palatino Linotype" w:hAnsi="Palatino Linotype"/>
        </w:rPr>
        <w:t>schizophrenia patients.</w:t>
      </w:r>
      <w:r w:rsidR="007F18B8" w:rsidRPr="00C41041">
        <w:rPr>
          <w:rFonts w:ascii="Palatino Linotype" w:hAnsi="Palatino Linotype"/>
          <w:vertAlign w:val="superscript"/>
        </w:rPr>
        <w:t>9</w:t>
      </w:r>
      <w:r w:rsidR="008E4446" w:rsidRPr="00C41041">
        <w:rPr>
          <w:rFonts w:ascii="Palatino Linotype" w:hAnsi="Palatino Linotype"/>
        </w:rPr>
        <w:t xml:space="preserve"> </w:t>
      </w:r>
      <w:r w:rsidR="008A191C" w:rsidRPr="00C41041">
        <w:rPr>
          <w:rFonts w:ascii="Palatino Linotype" w:hAnsi="Palatino Linotype"/>
        </w:rPr>
        <w:t xml:space="preserve">The autonomic nervous system (ANS) regulates the immune system </w:t>
      </w:r>
      <w:r w:rsidR="007225F6" w:rsidRPr="00C41041">
        <w:rPr>
          <w:rFonts w:ascii="Palatino Linotype" w:hAnsi="Palatino Linotype"/>
        </w:rPr>
        <w:t xml:space="preserve">through </w:t>
      </w:r>
      <w:r w:rsidR="008A191C" w:rsidRPr="00C41041">
        <w:rPr>
          <w:rFonts w:ascii="Palatino Linotype" w:hAnsi="Palatino Linotype"/>
        </w:rPr>
        <w:t xml:space="preserve">the sympathetic </w:t>
      </w:r>
      <w:r w:rsidR="007225F6" w:rsidRPr="00C41041">
        <w:rPr>
          <w:rFonts w:ascii="Palatino Linotype" w:hAnsi="Palatino Linotype"/>
        </w:rPr>
        <w:t xml:space="preserve">(SNS) </w:t>
      </w:r>
      <w:r w:rsidR="008A191C" w:rsidRPr="00C41041">
        <w:rPr>
          <w:rFonts w:ascii="Palatino Linotype" w:hAnsi="Palatino Linotype"/>
        </w:rPr>
        <w:t xml:space="preserve">and parasympathetic </w:t>
      </w:r>
      <w:r w:rsidR="007225F6" w:rsidRPr="00C41041">
        <w:rPr>
          <w:rFonts w:ascii="Palatino Linotype" w:hAnsi="Palatino Linotype"/>
        </w:rPr>
        <w:t xml:space="preserve">(PNS) </w:t>
      </w:r>
      <w:r w:rsidR="008A191C" w:rsidRPr="00C41041">
        <w:rPr>
          <w:rFonts w:ascii="Palatino Linotype" w:hAnsi="Palatino Linotype"/>
        </w:rPr>
        <w:t>networks. Dysfunction of the ANS</w:t>
      </w:r>
      <w:r w:rsidR="00DC1803" w:rsidRPr="00C41041">
        <w:rPr>
          <w:rFonts w:ascii="Palatino Linotype" w:hAnsi="Palatino Linotype"/>
        </w:rPr>
        <w:t xml:space="preserve"> may contribute to the inflammatory profile reported in schizophrenia.</w:t>
      </w:r>
      <w:r w:rsidR="007F18B8" w:rsidRPr="00C41041">
        <w:rPr>
          <w:rFonts w:ascii="Palatino Linotype" w:hAnsi="Palatino Linotype"/>
          <w:vertAlign w:val="superscript"/>
        </w:rPr>
        <w:t>10</w:t>
      </w:r>
      <w:r w:rsidR="00DC1803" w:rsidRPr="00C41041">
        <w:rPr>
          <w:rFonts w:ascii="Palatino Linotype" w:hAnsi="Palatino Linotype"/>
        </w:rPr>
        <w:t xml:space="preserve"> </w:t>
      </w:r>
      <w:r w:rsidR="007225F6" w:rsidRPr="00C41041">
        <w:rPr>
          <w:rFonts w:ascii="Palatino Linotype" w:hAnsi="Palatino Linotype"/>
        </w:rPr>
        <w:t xml:space="preserve">Schizophrenia patients tend to have autonomic </w:t>
      </w:r>
      <w:r w:rsidR="008C74B2" w:rsidRPr="00C41041">
        <w:rPr>
          <w:rFonts w:ascii="Palatino Linotype" w:hAnsi="Palatino Linotype"/>
        </w:rPr>
        <w:t xml:space="preserve">imbalance with low heart rate variability (HRV) </w:t>
      </w:r>
      <w:r w:rsidR="00224F24" w:rsidRPr="00C41041">
        <w:rPr>
          <w:rFonts w:ascii="Palatino Linotype" w:hAnsi="Palatino Linotype"/>
        </w:rPr>
        <w:t>suggesting a reduced parasympathetic and increased sympathetic tone.</w:t>
      </w:r>
      <w:r w:rsidR="007F18B8" w:rsidRPr="00C41041">
        <w:rPr>
          <w:rFonts w:ascii="Palatino Linotype" w:hAnsi="Palatino Linotype"/>
          <w:vertAlign w:val="superscript"/>
        </w:rPr>
        <w:t>11</w:t>
      </w:r>
      <w:r w:rsidR="006E6DC2" w:rsidRPr="00C41041">
        <w:rPr>
          <w:rFonts w:ascii="Palatino Linotype" w:hAnsi="Palatino Linotype"/>
        </w:rPr>
        <w:t xml:space="preserve"> </w:t>
      </w:r>
      <w:r w:rsidR="00224F24" w:rsidRPr="00C41041">
        <w:rPr>
          <w:rFonts w:ascii="Palatino Linotype" w:hAnsi="Palatino Linotype"/>
        </w:rPr>
        <w:t xml:space="preserve"> </w:t>
      </w:r>
      <w:r w:rsidR="004140B5" w:rsidRPr="00C41041">
        <w:rPr>
          <w:rFonts w:ascii="Palatino Linotype" w:hAnsi="Palatino Linotype"/>
        </w:rPr>
        <w:t>Stress has been associated with ANS dysfunction (including increased outputs of the SNS, such as increases in catecholamine levels) and with the PNS/vagal withdrawal.</w:t>
      </w:r>
      <w:r w:rsidR="001D02A7" w:rsidRPr="00C41041">
        <w:rPr>
          <w:rFonts w:ascii="Palatino Linotype" w:hAnsi="Palatino Linotype"/>
          <w:color w:val="000000"/>
          <w:vertAlign w:val="superscript"/>
        </w:rPr>
        <w:t>1</w:t>
      </w:r>
      <w:r w:rsidR="007F18B8" w:rsidRPr="00C41041">
        <w:rPr>
          <w:rFonts w:ascii="Palatino Linotype" w:hAnsi="Palatino Linotype"/>
          <w:color w:val="000000"/>
          <w:vertAlign w:val="superscript"/>
        </w:rPr>
        <w:t>2</w:t>
      </w:r>
      <w:r w:rsidR="004140B5" w:rsidRPr="00C41041">
        <w:rPr>
          <w:rFonts w:ascii="Palatino Linotype" w:hAnsi="Palatino Linotype"/>
          <w:vertAlign w:val="superscript"/>
        </w:rPr>
        <w:t xml:space="preserve"> </w:t>
      </w:r>
      <w:r w:rsidR="00DA59F9" w:rsidRPr="00C41041">
        <w:rPr>
          <w:rFonts w:ascii="Palatino Linotype" w:hAnsi="Palatino Linotype"/>
        </w:rPr>
        <w:t xml:space="preserve"> </w:t>
      </w:r>
      <w:r w:rsidR="00C12C4D" w:rsidRPr="00C41041">
        <w:rPr>
          <w:rFonts w:ascii="Palatino Linotype" w:hAnsi="Palatino Linotype"/>
        </w:rPr>
        <w:t>Stress has been also associated with alterations in HPA (hypothalamus-pituitary-adrenal) axis function, including higher levels of circulating cortisol (a glucocorticoid; the main end product of the HPA axis in humans), which in turn cause focal or general inflammation.</w:t>
      </w:r>
      <w:r w:rsidR="00DA59F9" w:rsidRPr="00C41041">
        <w:rPr>
          <w:rFonts w:ascii="Palatino Linotype" w:hAnsi="Palatino Linotype"/>
          <w:vertAlign w:val="superscript"/>
        </w:rPr>
        <w:t>1</w:t>
      </w:r>
      <w:r w:rsidR="007F18B8" w:rsidRPr="00C41041">
        <w:rPr>
          <w:rFonts w:ascii="Palatino Linotype" w:hAnsi="Palatino Linotype"/>
          <w:vertAlign w:val="superscript"/>
        </w:rPr>
        <w:t>3</w:t>
      </w:r>
      <w:r w:rsidR="00C12C4D" w:rsidRPr="00C41041">
        <w:rPr>
          <w:rFonts w:ascii="Palatino Linotype" w:hAnsi="Palatino Linotype"/>
        </w:rPr>
        <w:t xml:space="preserve"> </w:t>
      </w:r>
      <w:r w:rsidR="00B56324" w:rsidRPr="00C41041">
        <w:rPr>
          <w:rFonts w:ascii="Palatino Linotype" w:hAnsi="Palatino Linotype"/>
        </w:rPr>
        <w:t>Accumulative evidence of the HPA axis abnormalities in the risk for psychosis suggesting a tonic (chronic) HPA hyperactivation and phasic (acute) HPA blunting.</w:t>
      </w:r>
      <w:r w:rsidR="007F18B8" w:rsidRPr="00C41041">
        <w:rPr>
          <w:rFonts w:ascii="Palatino Linotype" w:hAnsi="Palatino Linotype"/>
          <w:vertAlign w:val="superscript"/>
        </w:rPr>
        <w:t>7</w:t>
      </w:r>
      <w:r w:rsidR="00B56324" w:rsidRPr="00C41041">
        <w:rPr>
          <w:rFonts w:ascii="Palatino Linotype" w:hAnsi="Palatino Linotype"/>
        </w:rPr>
        <w:t xml:space="preserve"> </w:t>
      </w:r>
    </w:p>
    <w:p w14:paraId="4BD73743" w14:textId="4E843322" w:rsidR="00A767D3" w:rsidRPr="00C41041" w:rsidRDefault="00D61E0F" w:rsidP="00BE7FEE">
      <w:pPr>
        <w:bidi w:val="0"/>
        <w:spacing w:line="360" w:lineRule="auto"/>
        <w:ind w:firstLine="720"/>
        <w:rPr>
          <w:rFonts w:ascii="Palatino Linotype" w:hAnsi="Palatino Linotype"/>
        </w:rPr>
      </w:pPr>
      <w:r w:rsidRPr="00C41041">
        <w:rPr>
          <w:rFonts w:ascii="Palatino Linotype" w:hAnsi="Palatino Linotype"/>
        </w:rPr>
        <w:t>Research in the last two decades expanded our understanding as for the linkage between stressors, the HPA axis and ANS, and the risk for schizophrenia</w:t>
      </w:r>
      <w:r w:rsidR="00E55EA7" w:rsidRPr="00C41041">
        <w:rPr>
          <w:rFonts w:ascii="Palatino Linotype" w:hAnsi="Palatino Linotype"/>
        </w:rPr>
        <w:t xml:space="preserve">, and </w:t>
      </w:r>
      <w:r w:rsidRPr="00C41041">
        <w:rPr>
          <w:rFonts w:ascii="Palatino Linotype" w:hAnsi="Palatino Linotype"/>
        </w:rPr>
        <w:t xml:space="preserve">demonstrated the role of the microbiota-gut-brain (MGB) axis </w:t>
      </w:r>
      <w:r w:rsidR="00F32E2E" w:rsidRPr="00C41041">
        <w:rPr>
          <w:rFonts w:ascii="Palatino Linotype" w:hAnsi="Palatino Linotype"/>
        </w:rPr>
        <w:t>signaling</w:t>
      </w:r>
      <w:r w:rsidR="0019787F" w:rsidRPr="00C41041">
        <w:rPr>
          <w:rFonts w:ascii="Palatino Linotype" w:hAnsi="Palatino Linotype"/>
        </w:rPr>
        <w:t xml:space="preserve"> on brain function and neurochemistry.</w:t>
      </w:r>
      <w:r w:rsidR="0019787F" w:rsidRPr="00C41041">
        <w:rPr>
          <w:rFonts w:ascii="Palatino Linotype" w:hAnsi="Palatino Linotype"/>
          <w:vertAlign w:val="superscript"/>
        </w:rPr>
        <w:t>1</w:t>
      </w:r>
      <w:r w:rsidR="007F18B8" w:rsidRPr="00C41041">
        <w:rPr>
          <w:rFonts w:ascii="Palatino Linotype" w:hAnsi="Palatino Linotype"/>
          <w:vertAlign w:val="superscript"/>
        </w:rPr>
        <w:t>4</w:t>
      </w:r>
      <w:r w:rsidR="00F32E2E" w:rsidRPr="00C41041">
        <w:rPr>
          <w:rFonts w:ascii="Palatino Linotype" w:hAnsi="Palatino Linotype"/>
        </w:rPr>
        <w:t xml:space="preserve"> MGB axis communicates with the brain through the vagus nerve, immune system, enteric nervous system, and enteroendocrine </w:t>
      </w:r>
      <w:r w:rsidR="0019787F" w:rsidRPr="00C41041">
        <w:rPr>
          <w:rFonts w:ascii="Palatino Linotype" w:hAnsi="Palatino Linotype"/>
        </w:rPr>
        <w:t>signaling</w:t>
      </w:r>
      <w:r w:rsidR="0019787F" w:rsidRPr="00C41041">
        <w:rPr>
          <w:rFonts w:ascii="Palatino Linotype" w:hAnsi="Palatino Linotype"/>
          <w:vertAlign w:val="superscript"/>
        </w:rPr>
        <w:t>1</w:t>
      </w:r>
      <w:r w:rsidR="007F18B8" w:rsidRPr="00C41041">
        <w:rPr>
          <w:rFonts w:ascii="Palatino Linotype" w:hAnsi="Palatino Linotype"/>
          <w:vertAlign w:val="superscript"/>
        </w:rPr>
        <w:t>5</w:t>
      </w:r>
      <w:r w:rsidR="00F32E2E" w:rsidRPr="00C41041">
        <w:rPr>
          <w:rFonts w:ascii="Palatino Linotype" w:hAnsi="Palatino Linotype"/>
        </w:rPr>
        <w:t xml:space="preserve">. </w:t>
      </w:r>
      <w:r w:rsidRPr="00C41041">
        <w:rPr>
          <w:rFonts w:ascii="Palatino Linotype" w:hAnsi="Palatino Linotype"/>
        </w:rPr>
        <w:t>The microbiome comprises</w:t>
      </w:r>
      <w:r w:rsidR="00B5050B" w:rsidRPr="00C41041">
        <w:rPr>
          <w:rFonts w:ascii="Palatino Linotype" w:hAnsi="Palatino Linotype"/>
        </w:rPr>
        <w:t xml:space="preserve"> a dynamic ecological communities of commensal microorganisms that consist of bacteria, viruses, fungi, and protozoa</w:t>
      </w:r>
      <w:r w:rsidR="00740CC8" w:rsidRPr="00C41041">
        <w:rPr>
          <w:rFonts w:ascii="Palatino Linotype" w:hAnsi="Palatino Linotype"/>
        </w:rPr>
        <w:t xml:space="preserve"> which are diverse and personalized and influenced by lifestyle factors including stress</w:t>
      </w:r>
      <w:r w:rsidR="00B5050B" w:rsidRPr="00C41041">
        <w:rPr>
          <w:rFonts w:ascii="Palatino Linotype" w:hAnsi="Palatino Linotype"/>
        </w:rPr>
        <w:t>.</w:t>
      </w:r>
      <w:r w:rsidR="00B5050B" w:rsidRPr="00C41041">
        <w:rPr>
          <w:rFonts w:ascii="Palatino Linotype" w:hAnsi="Palatino Linotype"/>
          <w:vertAlign w:val="superscript"/>
        </w:rPr>
        <w:t>1</w:t>
      </w:r>
      <w:r w:rsidR="007F18B8" w:rsidRPr="00C41041">
        <w:rPr>
          <w:rFonts w:ascii="Palatino Linotype" w:hAnsi="Palatino Linotype"/>
          <w:vertAlign w:val="superscript"/>
        </w:rPr>
        <w:t>4</w:t>
      </w:r>
      <w:r w:rsidR="00616B99" w:rsidRPr="00C41041">
        <w:rPr>
          <w:rFonts w:ascii="Palatino Linotype" w:hAnsi="Palatino Linotype"/>
          <w:vertAlign w:val="superscript"/>
        </w:rPr>
        <w:t>,1</w:t>
      </w:r>
      <w:r w:rsidR="007F18B8" w:rsidRPr="00C41041">
        <w:rPr>
          <w:rFonts w:ascii="Palatino Linotype" w:hAnsi="Palatino Linotype"/>
          <w:vertAlign w:val="superscript"/>
        </w:rPr>
        <w:t>6</w:t>
      </w:r>
      <w:r w:rsidR="00616B99" w:rsidRPr="00C41041">
        <w:rPr>
          <w:rFonts w:ascii="Palatino Linotype" w:hAnsi="Palatino Linotype"/>
        </w:rPr>
        <w:t xml:space="preserve"> </w:t>
      </w:r>
      <w:r w:rsidR="00B96A18" w:rsidRPr="00C41041">
        <w:rPr>
          <w:rFonts w:ascii="Palatino Linotype" w:hAnsi="Palatino Linotype"/>
        </w:rPr>
        <w:t xml:space="preserve">Studies showed schizophrenia is related with the dysfunction of the </w:t>
      </w:r>
      <w:r w:rsidR="00740CC8" w:rsidRPr="00C41041">
        <w:rPr>
          <w:rFonts w:ascii="Palatino Linotype" w:hAnsi="Palatino Linotype"/>
        </w:rPr>
        <w:t>MGB</w:t>
      </w:r>
      <w:r w:rsidR="002D4DBE" w:rsidRPr="00C41041">
        <w:rPr>
          <w:rFonts w:ascii="Palatino Linotype" w:hAnsi="Palatino Linotype"/>
          <w:vertAlign w:val="superscript"/>
        </w:rPr>
        <w:t>1</w:t>
      </w:r>
      <w:r w:rsidR="007F18B8" w:rsidRPr="00C41041">
        <w:rPr>
          <w:rFonts w:ascii="Palatino Linotype" w:hAnsi="Palatino Linotype"/>
          <w:vertAlign w:val="superscript"/>
        </w:rPr>
        <w:t>7</w:t>
      </w:r>
      <w:r w:rsidR="00E56B5A" w:rsidRPr="00C41041">
        <w:rPr>
          <w:rFonts w:ascii="Palatino Linotype" w:hAnsi="Palatino Linotype"/>
        </w:rPr>
        <w:t xml:space="preserve">, and improving the gut microbiota could </w:t>
      </w:r>
      <w:r w:rsidR="002D4DBE" w:rsidRPr="00C41041">
        <w:rPr>
          <w:rFonts w:ascii="Palatino Linotype" w:hAnsi="Palatino Linotype"/>
        </w:rPr>
        <w:t>possibly</w:t>
      </w:r>
      <w:r w:rsidR="00E56B5A" w:rsidRPr="00C41041">
        <w:rPr>
          <w:rFonts w:ascii="Palatino Linotype" w:hAnsi="Palatino Linotype"/>
        </w:rPr>
        <w:t xml:space="preserve"> produce beneficial effects.</w:t>
      </w:r>
      <w:r w:rsidR="002D4DBE" w:rsidRPr="00C41041">
        <w:rPr>
          <w:rFonts w:ascii="Palatino Linotype" w:hAnsi="Palatino Linotype"/>
          <w:vertAlign w:val="superscript"/>
        </w:rPr>
        <w:t>1</w:t>
      </w:r>
      <w:r w:rsidR="007F18B8" w:rsidRPr="00C41041">
        <w:rPr>
          <w:rFonts w:ascii="Palatino Linotype" w:hAnsi="Palatino Linotype"/>
          <w:vertAlign w:val="superscript"/>
        </w:rPr>
        <w:t>8</w:t>
      </w:r>
      <w:r w:rsidR="00E56B5A" w:rsidRPr="00C41041">
        <w:rPr>
          <w:rFonts w:ascii="Palatino Linotype" w:hAnsi="Palatino Linotype"/>
        </w:rPr>
        <w:t xml:space="preserve"> </w:t>
      </w:r>
      <w:r w:rsidR="007D4B9B" w:rsidRPr="00C41041">
        <w:rPr>
          <w:rFonts w:ascii="Palatino Linotype" w:hAnsi="Palatino Linotype"/>
        </w:rPr>
        <w:t xml:space="preserve">These effects are explained through the MGB axis signaling on various systems involved in the pathogenesis of schizophrenia. </w:t>
      </w:r>
      <w:r w:rsidR="00515C2A" w:rsidRPr="00C41041">
        <w:rPr>
          <w:rFonts w:ascii="Palatino Linotype" w:hAnsi="Palatino Linotype"/>
        </w:rPr>
        <w:t>G</w:t>
      </w:r>
      <w:r w:rsidR="007D4B9B" w:rsidRPr="00C41041">
        <w:rPr>
          <w:rFonts w:ascii="Palatino Linotype" w:hAnsi="Palatino Linotype"/>
        </w:rPr>
        <w:t>ut microbiota</w:t>
      </w:r>
      <w:r w:rsidR="0004778D" w:rsidRPr="00C41041">
        <w:rPr>
          <w:rFonts w:ascii="Palatino Linotype" w:hAnsi="Palatino Linotype"/>
        </w:rPr>
        <w:t xml:space="preserve"> perform a central function in the development of the neuroimmune system. Immune system alterations are key factors in the etiology of schizophrenia, with studies showing infections increase the risk of schizophrenia.</w:t>
      </w:r>
      <w:r w:rsidR="00E44D0C" w:rsidRPr="00C41041">
        <w:rPr>
          <w:rFonts w:ascii="Palatino Linotype" w:hAnsi="Palatino Linotype"/>
          <w:vertAlign w:val="superscript"/>
        </w:rPr>
        <w:t>1</w:t>
      </w:r>
      <w:r w:rsidR="007F18B8" w:rsidRPr="00C41041">
        <w:rPr>
          <w:rFonts w:ascii="Palatino Linotype" w:hAnsi="Palatino Linotype"/>
          <w:vertAlign w:val="superscript"/>
        </w:rPr>
        <w:t>9</w:t>
      </w:r>
      <w:r w:rsidR="00515C2A" w:rsidRPr="00C41041">
        <w:rPr>
          <w:rFonts w:ascii="Palatino Linotype" w:hAnsi="Palatino Linotype"/>
        </w:rPr>
        <w:t xml:space="preserve"> </w:t>
      </w:r>
      <w:r w:rsidR="001B5766" w:rsidRPr="00C41041">
        <w:rPr>
          <w:rFonts w:ascii="Palatino Linotype" w:hAnsi="Palatino Linotype"/>
        </w:rPr>
        <w:t xml:space="preserve">Recent studies with schizophrenia participants receiving </w:t>
      </w:r>
      <w:r w:rsidR="006862D2" w:rsidRPr="00C41041">
        <w:rPr>
          <w:rFonts w:ascii="Palatino Linotype" w:hAnsi="Palatino Linotype"/>
        </w:rPr>
        <w:t>probiotic supplements (e.g, Lactobacilli, Bifidobaterium breve)</w:t>
      </w:r>
      <w:r w:rsidR="005670C2" w:rsidRPr="00C41041">
        <w:rPr>
          <w:rFonts w:ascii="Palatino Linotype" w:hAnsi="Palatino Linotype"/>
        </w:rPr>
        <w:t xml:space="preserve"> provided preliminary evidence that </w:t>
      </w:r>
      <w:r w:rsidR="005670C2" w:rsidRPr="00C41041">
        <w:rPr>
          <w:rFonts w:ascii="Palatino Linotype" w:hAnsi="Palatino Linotype"/>
        </w:rPr>
        <w:lastRenderedPageBreak/>
        <w:t>probiotic supplementation has anti-inflammatory effects</w:t>
      </w:r>
      <w:r w:rsidR="007F18B8" w:rsidRPr="00C41041">
        <w:rPr>
          <w:rFonts w:ascii="Palatino Linotype" w:hAnsi="Palatino Linotype"/>
          <w:vertAlign w:val="superscript"/>
        </w:rPr>
        <w:t>20</w:t>
      </w:r>
      <w:r w:rsidR="005F634F" w:rsidRPr="00C41041">
        <w:rPr>
          <w:rFonts w:ascii="Palatino Linotype" w:hAnsi="Palatino Linotype"/>
          <w:vertAlign w:val="superscript"/>
        </w:rPr>
        <w:t>,2</w:t>
      </w:r>
      <w:r w:rsidR="007F18B8" w:rsidRPr="00C41041">
        <w:rPr>
          <w:rFonts w:ascii="Palatino Linotype" w:hAnsi="Palatino Linotype"/>
          <w:vertAlign w:val="superscript"/>
        </w:rPr>
        <w:t>1</w:t>
      </w:r>
      <w:r w:rsidR="001B5766" w:rsidRPr="00C41041">
        <w:rPr>
          <w:rFonts w:ascii="Palatino Linotype" w:hAnsi="Palatino Linotype"/>
        </w:rPr>
        <w:t xml:space="preserve"> </w:t>
      </w:r>
      <w:r w:rsidR="00B4359A" w:rsidRPr="00C41041">
        <w:rPr>
          <w:rFonts w:ascii="Palatino Linotype" w:hAnsi="Palatino Linotype"/>
        </w:rPr>
        <w:t>through transforming growth factor-</w:t>
      </w:r>
      <w:r w:rsidR="00B4359A" w:rsidRPr="00C41041">
        <w:rPr>
          <w:rFonts w:ascii="Palatino Linotype" w:hAnsi="Palatino Linotype" w:cs="Calibri"/>
          <w:i/>
          <w:iCs/>
        </w:rPr>
        <w:t>β</w:t>
      </w:r>
      <w:r w:rsidR="00B4359A" w:rsidRPr="00C41041">
        <w:rPr>
          <w:rFonts w:ascii="Palatino Linotype" w:hAnsi="Palatino Linotype"/>
        </w:rPr>
        <w:t xml:space="preserve"> signaling.</w:t>
      </w:r>
      <w:r w:rsidR="00B4359A" w:rsidRPr="00C41041">
        <w:rPr>
          <w:rFonts w:ascii="Palatino Linotype" w:hAnsi="Palatino Linotype"/>
          <w:vertAlign w:val="superscript"/>
        </w:rPr>
        <w:t>1</w:t>
      </w:r>
      <w:r w:rsidR="007F18B8" w:rsidRPr="00C41041">
        <w:rPr>
          <w:rFonts w:ascii="Palatino Linotype" w:hAnsi="Palatino Linotype"/>
          <w:vertAlign w:val="superscript"/>
        </w:rPr>
        <w:t>3</w:t>
      </w:r>
      <w:r w:rsidR="00B4359A" w:rsidRPr="00C41041">
        <w:rPr>
          <w:rFonts w:ascii="Palatino Linotype" w:hAnsi="Palatino Linotype"/>
        </w:rPr>
        <w:t xml:space="preserve"> </w:t>
      </w:r>
      <w:r w:rsidR="00515C2A" w:rsidRPr="00C41041">
        <w:rPr>
          <w:rFonts w:ascii="Palatino Linotype" w:hAnsi="Palatino Linotype"/>
        </w:rPr>
        <w:t>Also, the MGB axis affect development and regulation of the HPA axis. Animal studies showe</w:t>
      </w:r>
      <w:r w:rsidR="008D5769" w:rsidRPr="00C41041">
        <w:rPr>
          <w:rFonts w:ascii="Palatino Linotype" w:hAnsi="Palatino Linotype"/>
        </w:rPr>
        <w:t>d</w:t>
      </w:r>
      <w:r w:rsidR="00473C53" w:rsidRPr="00C41041">
        <w:rPr>
          <w:rFonts w:ascii="Palatino Linotype" w:hAnsi="Palatino Linotype"/>
        </w:rPr>
        <w:t xml:space="preserve"> significant changes in HPA axis with elevated ACTH and cortisol levels in germ-free stressed mice.</w:t>
      </w:r>
      <w:r w:rsidR="005F634F" w:rsidRPr="00C41041">
        <w:rPr>
          <w:rFonts w:ascii="Palatino Linotype" w:hAnsi="Palatino Linotype"/>
          <w:vertAlign w:val="superscript"/>
        </w:rPr>
        <w:t>2</w:t>
      </w:r>
      <w:r w:rsidR="007F18B8" w:rsidRPr="00C41041">
        <w:rPr>
          <w:rFonts w:ascii="Palatino Linotype" w:hAnsi="Palatino Linotype"/>
          <w:vertAlign w:val="superscript"/>
        </w:rPr>
        <w:t>2</w:t>
      </w:r>
      <w:r w:rsidR="004A42FA" w:rsidRPr="00C41041">
        <w:rPr>
          <w:rFonts w:ascii="Palatino Linotype" w:hAnsi="Palatino Linotype"/>
        </w:rPr>
        <w:t xml:space="preserve"> </w:t>
      </w:r>
      <w:r w:rsidR="00E55EA7" w:rsidRPr="00C41041">
        <w:rPr>
          <w:rFonts w:ascii="Palatino Linotype" w:hAnsi="Palatino Linotype"/>
        </w:rPr>
        <w:t>However, there is a scarcity in human studies addressing the crosstalk between HPA and MGB axes</w:t>
      </w:r>
      <w:r w:rsidR="007D4B9B" w:rsidRPr="00C41041">
        <w:rPr>
          <w:rFonts w:ascii="Palatino Linotype" w:hAnsi="Palatino Linotype"/>
        </w:rPr>
        <w:t xml:space="preserve"> </w:t>
      </w:r>
      <w:r w:rsidR="00E55EA7" w:rsidRPr="00C41041">
        <w:rPr>
          <w:rFonts w:ascii="Palatino Linotype" w:hAnsi="Palatino Linotype"/>
        </w:rPr>
        <w:t xml:space="preserve">in schizophrenia. </w:t>
      </w:r>
      <w:r w:rsidR="00577801" w:rsidRPr="00C41041">
        <w:rPr>
          <w:rFonts w:ascii="Palatino Linotype" w:hAnsi="Palatino Linotype"/>
        </w:rPr>
        <w:t xml:space="preserve">In a recent </w:t>
      </w:r>
      <w:r w:rsidR="00476FAC" w:rsidRPr="00C41041">
        <w:rPr>
          <w:rFonts w:ascii="Palatino Linotype" w:hAnsi="Palatino Linotype"/>
        </w:rPr>
        <w:t>review</w:t>
      </w:r>
      <w:r w:rsidR="00577801" w:rsidRPr="00C41041">
        <w:rPr>
          <w:rFonts w:ascii="Palatino Linotype" w:hAnsi="Palatino Linotype"/>
        </w:rPr>
        <w:t>, Seeman</w:t>
      </w:r>
      <w:r w:rsidR="00476FAC" w:rsidRPr="00C41041">
        <w:rPr>
          <w:rFonts w:ascii="Palatino Linotype" w:hAnsi="Palatino Linotype"/>
        </w:rPr>
        <w:t xml:space="preserve"> examined the role of gut microbiota in treatment resistance among schizophrenia patients.</w:t>
      </w:r>
      <w:r w:rsidR="00A83A68" w:rsidRPr="00C41041">
        <w:rPr>
          <w:rFonts w:ascii="Palatino Linotype" w:hAnsi="Palatino Linotype"/>
          <w:vertAlign w:val="superscript"/>
        </w:rPr>
        <w:t>2</w:t>
      </w:r>
      <w:r w:rsidR="007F18B8" w:rsidRPr="00C41041">
        <w:rPr>
          <w:rFonts w:ascii="Palatino Linotype" w:hAnsi="Palatino Linotype"/>
          <w:vertAlign w:val="superscript"/>
        </w:rPr>
        <w:t>3</w:t>
      </w:r>
      <w:r w:rsidR="00476FAC" w:rsidRPr="00C41041">
        <w:rPr>
          <w:rFonts w:ascii="Palatino Linotype" w:hAnsi="Palatino Linotype"/>
        </w:rPr>
        <w:t xml:space="preserve"> </w:t>
      </w:r>
      <w:r w:rsidR="00577801" w:rsidRPr="00C41041">
        <w:rPr>
          <w:rFonts w:ascii="Palatino Linotype" w:hAnsi="Palatino Linotype"/>
        </w:rPr>
        <w:t>He</w:t>
      </w:r>
      <w:r w:rsidR="00476FAC" w:rsidRPr="00C41041">
        <w:rPr>
          <w:rFonts w:ascii="Palatino Linotype" w:hAnsi="Palatino Linotype"/>
        </w:rPr>
        <w:t xml:space="preserve"> postulated that there is a drug refractory form of psychosis for which the composition of gut bacteria is responsible. </w:t>
      </w:r>
    </w:p>
    <w:p w14:paraId="53F841B2" w14:textId="3F4256BD" w:rsidR="00E5099D" w:rsidRPr="00C41041" w:rsidRDefault="00AA42DC" w:rsidP="00A767D3">
      <w:pPr>
        <w:bidi w:val="0"/>
        <w:spacing w:line="360" w:lineRule="auto"/>
        <w:ind w:firstLine="720"/>
        <w:rPr>
          <w:rFonts w:ascii="Palatino Linotype" w:hAnsi="Palatino Linotype"/>
          <w:color w:val="000000"/>
          <w:vertAlign w:val="superscript"/>
        </w:rPr>
      </w:pPr>
      <w:r w:rsidRPr="00C41041">
        <w:rPr>
          <w:rFonts w:ascii="Palatino Linotype" w:hAnsi="Palatino Linotype"/>
        </w:rPr>
        <w:t>There are well-documented findings showing sex differences regarding to disease risk, course, and outcome of schizophrenia. There are sex differences in the age-at-onset of schizophrenia with men reaching peak onset at the ages 18-24 years, whereas for women it occurs up to 4 years later</w:t>
      </w:r>
      <w:r w:rsidR="00992FDC" w:rsidRPr="00C41041">
        <w:rPr>
          <w:rFonts w:ascii="Palatino Linotype" w:hAnsi="Palatino Linotype"/>
        </w:rPr>
        <w:t>.</w:t>
      </w:r>
      <w:r w:rsidR="00992FDC" w:rsidRPr="00C41041">
        <w:rPr>
          <w:rFonts w:ascii="Palatino Linotype" w:hAnsi="Palatino Linotype"/>
          <w:vertAlign w:val="superscript"/>
        </w:rPr>
        <w:t>2</w:t>
      </w:r>
      <w:r w:rsidR="007F18B8" w:rsidRPr="00C41041">
        <w:rPr>
          <w:rFonts w:ascii="Palatino Linotype" w:hAnsi="Palatino Linotype"/>
          <w:vertAlign w:val="superscript"/>
        </w:rPr>
        <w:t>4</w:t>
      </w:r>
      <w:r w:rsidR="00992FDC" w:rsidRPr="00C41041">
        <w:rPr>
          <w:rFonts w:ascii="Palatino Linotype" w:hAnsi="Palatino Linotype"/>
        </w:rPr>
        <w:t xml:space="preserve"> </w:t>
      </w:r>
      <w:r w:rsidR="00A62AA8" w:rsidRPr="00C41041">
        <w:rPr>
          <w:rFonts w:ascii="Palatino Linotype" w:hAnsi="Palatino Linotype"/>
        </w:rPr>
        <w:t>Furthermore, in females there is another peak age-at-onset at 45-50 years.</w:t>
      </w:r>
      <w:r w:rsidR="00560608" w:rsidRPr="00C41041">
        <w:rPr>
          <w:rFonts w:ascii="Palatino Linotype" w:hAnsi="Palatino Linotype"/>
          <w:vertAlign w:val="superscript"/>
        </w:rPr>
        <w:t>2</w:t>
      </w:r>
      <w:r w:rsidR="007F18B8" w:rsidRPr="00C41041">
        <w:rPr>
          <w:rFonts w:ascii="Palatino Linotype" w:hAnsi="Palatino Linotype"/>
          <w:vertAlign w:val="superscript"/>
        </w:rPr>
        <w:t>5</w:t>
      </w:r>
      <w:r w:rsidR="00A62AA8" w:rsidRPr="00C41041">
        <w:rPr>
          <w:rFonts w:ascii="Palatino Linotype" w:hAnsi="Palatino Linotype"/>
        </w:rPr>
        <w:t xml:space="preserve"> </w:t>
      </w:r>
      <w:r w:rsidR="00142867" w:rsidRPr="00C41041">
        <w:rPr>
          <w:rFonts w:ascii="Palatino Linotype" w:hAnsi="Palatino Linotype"/>
        </w:rPr>
        <w:t>Also, women present less severe course of illness, a more favorable antipsychotic treatment response, and improved outcome and quality of life compared to men.</w:t>
      </w:r>
      <w:r w:rsidR="00D14470" w:rsidRPr="00C41041">
        <w:rPr>
          <w:rFonts w:ascii="Palatino Linotype" w:hAnsi="Palatino Linotype"/>
          <w:vertAlign w:val="superscript"/>
        </w:rPr>
        <w:t>2</w:t>
      </w:r>
      <w:r w:rsidR="007F18B8" w:rsidRPr="00C41041">
        <w:rPr>
          <w:rFonts w:ascii="Palatino Linotype" w:hAnsi="Palatino Linotype"/>
          <w:vertAlign w:val="superscript"/>
        </w:rPr>
        <w:t>6</w:t>
      </w:r>
      <w:r w:rsidR="00D14470" w:rsidRPr="00C41041">
        <w:rPr>
          <w:rFonts w:ascii="Palatino Linotype" w:hAnsi="Palatino Linotype"/>
          <w:vertAlign w:val="superscript"/>
        </w:rPr>
        <w:t>-2</w:t>
      </w:r>
      <w:r w:rsidR="007F18B8" w:rsidRPr="00C41041">
        <w:rPr>
          <w:rFonts w:ascii="Palatino Linotype" w:hAnsi="Palatino Linotype"/>
          <w:vertAlign w:val="superscript"/>
        </w:rPr>
        <w:t>8</w:t>
      </w:r>
      <w:r w:rsidR="00142867" w:rsidRPr="00C41041">
        <w:rPr>
          <w:rFonts w:ascii="Palatino Linotype" w:hAnsi="Palatino Linotype"/>
        </w:rPr>
        <w:t xml:space="preserve"> </w:t>
      </w:r>
      <w:r w:rsidR="00D14470" w:rsidRPr="00C41041">
        <w:rPr>
          <w:rFonts w:ascii="Palatino Linotype" w:hAnsi="Palatino Linotype"/>
        </w:rPr>
        <w:t xml:space="preserve">In light of these described sex differences, it has been hypothesized that sex hormones may play a role in explaining individual differences in the development of schizophrenia. </w:t>
      </w:r>
      <w:r w:rsidR="00151E16" w:rsidRPr="00C41041">
        <w:rPr>
          <w:rFonts w:ascii="Palatino Linotype" w:hAnsi="Palatino Linotype"/>
        </w:rPr>
        <w:t>Sex hormones, including androgens, estrogens, and progestins are chemical messengers secreted by the gonads (ovaries in women and testes in men) and by the adrenal glands through the HPG (hypothalamus-pituitary-gonads) axis.</w:t>
      </w:r>
      <w:r w:rsidR="00DB7428" w:rsidRPr="00C41041">
        <w:rPr>
          <w:rFonts w:ascii="Palatino Linotype" w:hAnsi="Palatino Linotype"/>
          <w:vertAlign w:val="superscript"/>
        </w:rPr>
        <w:t>2</w:t>
      </w:r>
      <w:r w:rsidR="007F18B8" w:rsidRPr="00C41041">
        <w:rPr>
          <w:rFonts w:ascii="Palatino Linotype" w:hAnsi="Palatino Linotype"/>
          <w:vertAlign w:val="superscript"/>
        </w:rPr>
        <w:t>9</w:t>
      </w:r>
      <w:r w:rsidR="00151E16" w:rsidRPr="00C41041">
        <w:rPr>
          <w:rFonts w:ascii="Palatino Linotype" w:hAnsi="Palatino Linotype"/>
        </w:rPr>
        <w:t xml:space="preserve"> Among women, variations in estrogen and progesterone secretions create differences between women across different phases of the menstrual cycle, and among pre-, peri-, and postmenopausal women.</w:t>
      </w:r>
      <w:r w:rsidR="00754D21" w:rsidRPr="00C41041">
        <w:rPr>
          <w:rFonts w:ascii="Palatino Linotype" w:hAnsi="Palatino Linotype"/>
          <w:color w:val="000000"/>
          <w:vertAlign w:val="superscript"/>
        </w:rPr>
        <w:t>30</w:t>
      </w:r>
      <w:r w:rsidR="00151E16" w:rsidRPr="00C41041">
        <w:rPr>
          <w:rFonts w:ascii="Palatino Linotype" w:hAnsi="Palatino Linotype"/>
        </w:rPr>
        <w:t xml:space="preserve"> Further, it has been proposed that differences in the ANS may be due to differences in several potential functions of the nervous system such as differences in afferent stimulation, central reflex transmission, and post-synaptic signaling.</w:t>
      </w:r>
      <w:r w:rsidR="00754D21" w:rsidRPr="00C41041">
        <w:rPr>
          <w:rFonts w:ascii="Palatino Linotype" w:hAnsi="Palatino Linotype"/>
          <w:color w:val="000000"/>
          <w:vertAlign w:val="superscript"/>
        </w:rPr>
        <w:t>30</w:t>
      </w:r>
      <w:r w:rsidR="00151E16" w:rsidRPr="00C41041">
        <w:rPr>
          <w:rFonts w:ascii="Palatino Linotype" w:hAnsi="Palatino Linotype"/>
        </w:rPr>
        <w:t xml:space="preserve"> Recently, Barel and colleagues demonstrated that sex hormones modulated the HPA axis and the SNS reactivity to psychosocial stress, emphasizing the need to include sex hormone fluctuations when examining stress effects in typical, as well as clinical samples.</w:t>
      </w:r>
      <w:r w:rsidR="00DB7428"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1</w:t>
      </w:r>
    </w:p>
    <w:p w14:paraId="36FBF039" w14:textId="137A9B8C" w:rsidR="009F383D" w:rsidRPr="00C41041" w:rsidRDefault="00C926F2" w:rsidP="001227AD">
      <w:pPr>
        <w:bidi w:val="0"/>
        <w:spacing w:line="360" w:lineRule="auto"/>
        <w:ind w:firstLine="720"/>
        <w:rPr>
          <w:rFonts w:ascii="Palatino Linotype" w:hAnsi="Palatino Linotype"/>
          <w:color w:val="000000"/>
        </w:rPr>
      </w:pPr>
      <w:r w:rsidRPr="00C41041">
        <w:rPr>
          <w:rFonts w:ascii="Palatino Linotype" w:hAnsi="Palatino Linotype"/>
          <w:color w:val="000000"/>
        </w:rPr>
        <w:t xml:space="preserve">The underlying mechanism for these sex differences in schizophrenia involves complex interplay between various factors. Among the biological factors identified, sex hormones have been suggested as important factor. </w:t>
      </w:r>
      <w:r w:rsidR="009F383D" w:rsidRPr="00C41041">
        <w:rPr>
          <w:rFonts w:ascii="Palatino Linotype" w:hAnsi="Palatino Linotype"/>
          <w:color w:val="000000"/>
        </w:rPr>
        <w:t>The leading explanation is the estrogen hypothesis, which postulates that estrogen plays a protective role against schizophrenia.</w:t>
      </w:r>
      <w:r w:rsidR="00656009"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2</w:t>
      </w:r>
      <w:r w:rsidR="00656009" w:rsidRPr="00C41041">
        <w:rPr>
          <w:rFonts w:ascii="Palatino Linotype" w:hAnsi="Palatino Linotype"/>
          <w:color w:val="000000"/>
        </w:rPr>
        <w:t xml:space="preserve"> Studies demonstrated increase symptom severity</w:t>
      </w:r>
      <w:r w:rsidR="00C7746C" w:rsidRPr="00C41041">
        <w:rPr>
          <w:rFonts w:ascii="Palatino Linotype" w:hAnsi="Palatino Linotype"/>
          <w:color w:val="000000"/>
        </w:rPr>
        <w:t xml:space="preserve">, </w:t>
      </w:r>
      <w:r w:rsidR="00656009" w:rsidRPr="00C41041">
        <w:rPr>
          <w:rFonts w:ascii="Palatino Linotype" w:hAnsi="Palatino Linotype"/>
          <w:color w:val="000000"/>
        </w:rPr>
        <w:t>greater relapse rates</w:t>
      </w:r>
      <w:r w:rsidR="00C7746C" w:rsidRPr="00C41041">
        <w:rPr>
          <w:rFonts w:ascii="Palatino Linotype" w:hAnsi="Palatino Linotype"/>
          <w:color w:val="000000"/>
        </w:rPr>
        <w:t>, and higher symptoms scores</w:t>
      </w:r>
      <w:r w:rsidR="009F383D" w:rsidRPr="00C41041">
        <w:rPr>
          <w:rFonts w:ascii="Palatino Linotype" w:hAnsi="Palatino Linotype"/>
          <w:color w:val="000000"/>
        </w:rPr>
        <w:t xml:space="preserve"> </w:t>
      </w:r>
      <w:r w:rsidR="00C7746C" w:rsidRPr="00C41041">
        <w:rPr>
          <w:rFonts w:ascii="Palatino Linotype" w:hAnsi="Palatino Linotype"/>
          <w:color w:val="000000"/>
        </w:rPr>
        <w:t>during times of low circulating estrogen.</w:t>
      </w:r>
      <w:r w:rsidR="008471D2"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3</w:t>
      </w:r>
      <w:r w:rsidR="008471D2" w:rsidRPr="00C41041">
        <w:rPr>
          <w:rFonts w:ascii="Palatino Linotype" w:hAnsi="Palatino Linotype"/>
          <w:color w:val="000000"/>
        </w:rPr>
        <w:t xml:space="preserve"> </w:t>
      </w:r>
      <w:r w:rsidR="004007DC" w:rsidRPr="00C41041">
        <w:rPr>
          <w:rFonts w:ascii="Palatino Linotype" w:hAnsi="Palatino Linotype"/>
          <w:color w:val="000000"/>
        </w:rPr>
        <w:t>Apart from the role of estrogen</w:t>
      </w:r>
      <w:r w:rsidR="00823B55" w:rsidRPr="00C41041">
        <w:rPr>
          <w:rFonts w:ascii="Palatino Linotype" w:hAnsi="Palatino Linotype"/>
          <w:color w:val="000000"/>
        </w:rPr>
        <w:t xml:space="preserve"> in schizophrenia, </w:t>
      </w:r>
      <w:r w:rsidR="00C877BB" w:rsidRPr="00C41041">
        <w:rPr>
          <w:rFonts w:ascii="Palatino Linotype" w:hAnsi="Palatino Linotype"/>
          <w:color w:val="000000"/>
        </w:rPr>
        <w:t xml:space="preserve">the </w:t>
      </w:r>
      <w:r w:rsidR="00823B55" w:rsidRPr="00C41041">
        <w:rPr>
          <w:rFonts w:ascii="Palatino Linotype" w:hAnsi="Palatino Linotype"/>
          <w:color w:val="000000"/>
        </w:rPr>
        <w:t>role of androgens was studie</w:t>
      </w:r>
      <w:r w:rsidR="00C877BB" w:rsidRPr="00C41041">
        <w:rPr>
          <w:rFonts w:ascii="Palatino Linotype" w:hAnsi="Palatino Linotype"/>
          <w:color w:val="000000"/>
        </w:rPr>
        <w:t>d</w:t>
      </w:r>
      <w:r w:rsidR="00823B55" w:rsidRPr="00C41041">
        <w:rPr>
          <w:rFonts w:ascii="Palatino Linotype" w:hAnsi="Palatino Linotype"/>
          <w:color w:val="000000"/>
        </w:rPr>
        <w:t xml:space="preserve"> as well. For example, few s</w:t>
      </w:r>
      <w:r w:rsidR="004007DC" w:rsidRPr="00C41041">
        <w:rPr>
          <w:rFonts w:ascii="Palatino Linotype" w:hAnsi="Palatino Linotype"/>
          <w:color w:val="000000"/>
        </w:rPr>
        <w:t xml:space="preserve">tudies showed that lower total and free testosterone levels were </w:t>
      </w:r>
      <w:r w:rsidR="004007DC" w:rsidRPr="00C41041">
        <w:rPr>
          <w:rFonts w:ascii="Palatino Linotype" w:hAnsi="Palatino Linotype"/>
          <w:color w:val="000000"/>
        </w:rPr>
        <w:lastRenderedPageBreak/>
        <w:t>associated with sever negative symptoms in men with schizophrenia.</w:t>
      </w:r>
      <w:r w:rsidR="00303449"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4</w:t>
      </w:r>
      <w:r w:rsidR="004007DC" w:rsidRPr="00C41041">
        <w:rPr>
          <w:rFonts w:ascii="Palatino Linotype" w:hAnsi="Palatino Linotype"/>
          <w:color w:val="000000"/>
        </w:rPr>
        <w:t xml:space="preserve"> </w:t>
      </w:r>
      <w:r w:rsidR="00FE4D35" w:rsidRPr="00C41041">
        <w:rPr>
          <w:rFonts w:ascii="Palatino Linotype" w:hAnsi="Palatino Linotype"/>
          <w:color w:val="000000"/>
        </w:rPr>
        <w:t>Recent meta-analysis concluded that blunted testosterone response to acute stress is associated with relapse of schizophrenia.</w:t>
      </w:r>
      <w:r w:rsidR="00FE4D35"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5</w:t>
      </w:r>
      <w:r w:rsidR="00C7746C" w:rsidRPr="00C41041">
        <w:rPr>
          <w:rFonts w:ascii="Palatino Linotype" w:hAnsi="Palatino Linotype"/>
          <w:color w:val="000000"/>
        </w:rPr>
        <w:t xml:space="preserve"> </w:t>
      </w:r>
      <w:r w:rsidR="00C877BB" w:rsidRPr="00C41041">
        <w:rPr>
          <w:rFonts w:ascii="Palatino Linotype" w:hAnsi="Palatino Linotype"/>
          <w:color w:val="000000"/>
        </w:rPr>
        <w:t>The authors have suggested to further investigate the alterations in testosterone in patients with schizophrenia together with indices of the HPA axis</w:t>
      </w:r>
      <w:r w:rsidR="00E43323" w:rsidRPr="00C41041">
        <w:rPr>
          <w:rFonts w:ascii="Palatino Linotype" w:hAnsi="Palatino Linotype"/>
          <w:color w:val="000000"/>
        </w:rPr>
        <w:t xml:space="preserve"> and other biological mechanisms involved in psychotic disorders.</w:t>
      </w:r>
      <w:r w:rsidR="009267FA" w:rsidRPr="00C41041">
        <w:rPr>
          <w:rFonts w:ascii="Palatino Linotype" w:hAnsi="Palatino Linotype"/>
          <w:color w:val="000000"/>
        </w:rPr>
        <w:t xml:space="preserve"> Indeed, previous studies have investigated the involvement of the MGB in the association between sex hormones and the development of diseases. They found a bidirectional relationship between estrogen and gut microbiota in the influence on brain function, cardiovascular disease, and cancer.</w:t>
      </w:r>
      <w:r w:rsidR="008F30DF"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6</w:t>
      </w:r>
      <w:r w:rsidR="003F11CB" w:rsidRPr="00C41041">
        <w:rPr>
          <w:rFonts w:ascii="Palatino Linotype" w:hAnsi="Palatino Linotype"/>
          <w:color w:val="000000"/>
        </w:rPr>
        <w:t xml:space="preserve"> Furthermore, Testosterone has found to enrich gut microbiota with specific bacteria, which in turn reduced inflammation.</w:t>
      </w:r>
      <w:r w:rsidR="003F11CB"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7</w:t>
      </w:r>
      <w:r w:rsidR="007E1BC0" w:rsidRPr="00C41041">
        <w:rPr>
          <w:rFonts w:ascii="Palatino Linotype" w:hAnsi="Palatino Linotype"/>
          <w:color w:val="000000"/>
        </w:rPr>
        <w:t xml:space="preserve"> In their recent review regarding the etiology of depression Markis and colleagues showed that the interconnection between the gut microbiota and the brain is affected</w:t>
      </w:r>
      <w:r w:rsidR="003F11CB" w:rsidRPr="00C41041">
        <w:rPr>
          <w:rFonts w:ascii="Palatino Linotype" w:hAnsi="Palatino Linotype"/>
          <w:color w:val="000000"/>
        </w:rPr>
        <w:t xml:space="preserve"> </w:t>
      </w:r>
      <w:r w:rsidR="007E1BC0" w:rsidRPr="00C41041">
        <w:rPr>
          <w:rFonts w:ascii="Palatino Linotype" w:hAnsi="Palatino Linotype"/>
          <w:color w:val="000000"/>
        </w:rPr>
        <w:t>by several factors such as inflammation, sex hormones, and stress. This communication is facilitated through the activation of the HPA-axis following stress, which stimulate the immune system that causes gut dysbiosis</w:t>
      </w:r>
      <w:r w:rsidR="00F632F8" w:rsidRPr="00C41041">
        <w:rPr>
          <w:rFonts w:ascii="Palatino Linotype" w:hAnsi="Palatino Linotype"/>
          <w:color w:val="000000"/>
        </w:rPr>
        <w:t>, which in turn arises hypoestrogenic conditions including depression</w:t>
      </w:r>
      <w:r w:rsidR="007E1BC0" w:rsidRPr="00C41041">
        <w:rPr>
          <w:rFonts w:ascii="Palatino Linotype" w:hAnsi="Palatino Linotype"/>
          <w:color w:val="000000"/>
        </w:rPr>
        <w:t>.</w:t>
      </w:r>
      <w:r w:rsidR="00C009D0"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8</w:t>
      </w:r>
      <w:r w:rsidR="007E1BC0" w:rsidRPr="00C41041">
        <w:rPr>
          <w:rFonts w:ascii="Palatino Linotype" w:hAnsi="Palatino Linotype"/>
          <w:color w:val="000000"/>
        </w:rPr>
        <w:t xml:space="preserve"> </w:t>
      </w:r>
      <w:r w:rsidR="009267FA" w:rsidRPr="00C41041">
        <w:rPr>
          <w:rFonts w:ascii="Palatino Linotype" w:hAnsi="Palatino Linotype"/>
          <w:color w:val="000000"/>
        </w:rPr>
        <w:t xml:space="preserve">  </w:t>
      </w:r>
    </w:p>
    <w:p w14:paraId="306D1BCA" w14:textId="794B3136" w:rsidR="00C51535" w:rsidRPr="00C41041" w:rsidRDefault="00C51535" w:rsidP="000D01C8">
      <w:pPr>
        <w:bidi w:val="0"/>
        <w:spacing w:line="360" w:lineRule="auto"/>
        <w:ind w:firstLine="720"/>
        <w:rPr>
          <w:rFonts w:ascii="Palatino Linotype" w:hAnsi="Palatino Linotype"/>
        </w:rPr>
      </w:pPr>
      <w:r w:rsidRPr="00C41041">
        <w:rPr>
          <w:rFonts w:ascii="Palatino Linotype" w:hAnsi="Palatino Linotype"/>
          <w:i/>
          <w:iCs/>
        </w:rPr>
        <w:t>Digital Phenotyping: 24/7 behavioral monitoring platforms</w:t>
      </w:r>
      <w:r w:rsidRPr="00C41041">
        <w:rPr>
          <w:rFonts w:ascii="Palatino Linotype" w:hAnsi="Palatino Linotype"/>
        </w:rPr>
        <w:t xml:space="preserve">. </w:t>
      </w:r>
      <w:r w:rsidR="001227AD" w:rsidRPr="00C41041">
        <w:rPr>
          <w:rFonts w:ascii="Palatino Linotype" w:eastAsia="Times New Roman" w:hAnsi="Palatino Linotype" w:cs="Times New Roman"/>
          <w:color w:val="000000"/>
        </w:rPr>
        <w:t>Smartphone technology, and in particular advances in smartphone sensors, can also offer a new approach to the study of Mental health in general and to Schizophrenia in particular.</w:t>
      </w:r>
      <w:r w:rsidR="00B839CE" w:rsidRPr="00C41041">
        <w:rPr>
          <w:rFonts w:ascii="Palatino Linotype" w:eastAsia="Times New Roman" w:hAnsi="Palatino Linotype" w:cs="Times New Roman"/>
          <w:color w:val="000000"/>
          <w:vertAlign w:val="superscript"/>
        </w:rPr>
        <w:t>3</w:t>
      </w:r>
      <w:r w:rsidR="0074588B" w:rsidRPr="00C41041">
        <w:rPr>
          <w:rFonts w:ascii="Palatino Linotype" w:eastAsia="Times New Roman" w:hAnsi="Palatino Linotype" w:cs="Times New Roman"/>
          <w:color w:val="000000"/>
          <w:vertAlign w:val="superscript"/>
        </w:rPr>
        <w:t>9</w:t>
      </w:r>
      <w:r w:rsidR="001227AD" w:rsidRPr="00C41041">
        <w:rPr>
          <w:rFonts w:ascii="Palatino Linotype" w:eastAsia="Times New Roman" w:hAnsi="Palatino Linotype" w:cs="Times New Roman"/>
          <w:color w:val="000000"/>
        </w:rPr>
        <w:t xml:space="preserve"> Smartphone technology now allows researchers to passively collect data about human behavior using the embedded mobile sensors and system logs that are already embedded in the devices (e.g., GPS, accelerometer, gyroscope, application use statistics, battery states and charges, network activity, rotation, magnetometer, log of outgoing and incoming calls and text messages and more) compounded with patients` real time self-reporting capabilities .</w:t>
      </w:r>
      <w:r w:rsidR="0074588B" w:rsidRPr="00C41041">
        <w:rPr>
          <w:rFonts w:ascii="Palatino Linotype" w:eastAsia="Times New Roman" w:hAnsi="Palatino Linotype" w:cs="Times New Roman"/>
          <w:color w:val="000000"/>
          <w:vertAlign w:val="superscript"/>
        </w:rPr>
        <w:t>40</w:t>
      </w:r>
      <w:r w:rsidR="00166346" w:rsidRPr="00C41041">
        <w:rPr>
          <w:rFonts w:ascii="Palatino Linotype" w:eastAsia="Times New Roman" w:hAnsi="Palatino Linotype" w:cs="Times New Roman"/>
          <w:color w:val="000000"/>
          <w:vertAlign w:val="superscript"/>
        </w:rPr>
        <w:t>,</w:t>
      </w:r>
      <w:r w:rsidR="00EA3902" w:rsidRPr="00C41041">
        <w:rPr>
          <w:rFonts w:ascii="Palatino Linotype" w:eastAsia="Times New Roman" w:hAnsi="Palatino Linotype" w:cs="Times New Roman"/>
          <w:color w:val="000000"/>
          <w:vertAlign w:val="superscript"/>
        </w:rPr>
        <w:t>4</w:t>
      </w:r>
      <w:r w:rsidR="0074588B" w:rsidRPr="00C41041">
        <w:rPr>
          <w:rFonts w:ascii="Palatino Linotype" w:eastAsia="Times New Roman" w:hAnsi="Palatino Linotype" w:cs="Times New Roman"/>
          <w:color w:val="000000"/>
          <w:vertAlign w:val="superscript"/>
        </w:rPr>
        <w:t>1</w:t>
      </w:r>
      <w:r w:rsidR="001227AD" w:rsidRPr="00C41041">
        <w:rPr>
          <w:rFonts w:ascii="Palatino Linotype" w:eastAsia="Times New Roman" w:hAnsi="Palatino Linotype" w:cs="Times New Roman"/>
          <w:color w:val="000000"/>
          <w:sz w:val="16"/>
          <w:szCs w:val="16"/>
          <w:vertAlign w:val="superscript"/>
        </w:rPr>
        <w:t xml:space="preserve"> </w:t>
      </w:r>
      <w:r w:rsidRPr="00C41041">
        <w:rPr>
          <w:rFonts w:ascii="Palatino Linotype" w:hAnsi="Palatino Linotype"/>
        </w:rPr>
        <w:t>Over the past few years, smartphones and other digital platforms have become promising sources through which to learn and investigate various psychological factors. The fields of psychological as well as medical science could benefit from analyzing digital footprints left on various digital sources.</w:t>
      </w:r>
      <w:r w:rsidR="001F03D5" w:rsidRPr="00C41041">
        <w:rPr>
          <w:rFonts w:ascii="Palatino Linotype" w:hAnsi="Palatino Linotype"/>
          <w:vertAlign w:val="superscript"/>
        </w:rPr>
        <w:t>4</w:t>
      </w:r>
      <w:r w:rsidR="00B96482" w:rsidRPr="00C41041">
        <w:rPr>
          <w:rFonts w:ascii="Palatino Linotype" w:hAnsi="Palatino Linotype"/>
          <w:vertAlign w:val="superscript"/>
        </w:rPr>
        <w:t>2</w:t>
      </w:r>
      <w:r w:rsidRPr="00C41041">
        <w:rPr>
          <w:rFonts w:ascii="Palatino Linotype" w:hAnsi="Palatino Linotype"/>
          <w:vertAlign w:val="superscript"/>
        </w:rPr>
        <w:t xml:space="preserve"> </w:t>
      </w:r>
      <w:r w:rsidRPr="00C41041">
        <w:rPr>
          <w:rFonts w:ascii="Palatino Linotype" w:hAnsi="Palatino Linotype"/>
        </w:rPr>
        <w:t>Digital phenotyping refers to the act of collecting and using data from smartphones and other personal digital devices and subsequently connecting that data to behavioral and personality data. Studies examining the adverse health effects of smartphone use found that problematic smartphone use was associated with negative health symptoms</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3</w:t>
      </w:r>
      <w:r w:rsidRPr="00C41041">
        <w:rPr>
          <w:rFonts w:ascii="Palatino Linotype" w:hAnsi="Palatino Linotype"/>
        </w:rPr>
        <w:t xml:space="preserve"> and weakened immunity.</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4</w:t>
      </w:r>
      <w:r w:rsidRPr="00C41041">
        <w:rPr>
          <w:rFonts w:ascii="Palatino Linotype" w:hAnsi="Palatino Linotype"/>
        </w:rPr>
        <w:t xml:space="preserve"> These methodologies have been applied to the fields of psychology and psychiatry; for example, it has been shown that phone call data extracted from smartphones were associated with extraversion, agreeableness, and conscientiousness.</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5</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6</w:t>
      </w:r>
      <w:r w:rsidRPr="00C41041">
        <w:rPr>
          <w:rFonts w:ascii="Palatino Linotype" w:hAnsi="Palatino Linotype"/>
        </w:rPr>
        <w:t xml:space="preserve"> Another study demonstrated a link between longer use of a social media application and lower levels of </w:t>
      </w:r>
      <w:r w:rsidRPr="00C41041">
        <w:rPr>
          <w:rFonts w:ascii="Palatino Linotype" w:hAnsi="Palatino Linotype"/>
        </w:rPr>
        <w:lastRenderedPageBreak/>
        <w:t>conscientiousness.</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7</w:t>
      </w:r>
      <w:r w:rsidRPr="00C41041">
        <w:rPr>
          <w:rFonts w:ascii="Palatino Linotype" w:hAnsi="Palatino Linotype"/>
        </w:rPr>
        <w:t xml:space="preserve"> Further, studies examining the relationship between smartphone use and psychopathological symptomatology found a link between smartphone use and depression (lower depression severity predicted increased smartphone use),</w:t>
      </w:r>
      <w:r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8</w:t>
      </w:r>
      <w:r w:rsidRPr="00C41041">
        <w:rPr>
          <w:rFonts w:ascii="Palatino Linotype" w:hAnsi="Palatino Linotype"/>
          <w:color w:val="000000"/>
          <w:vertAlign w:val="superscript"/>
        </w:rPr>
        <w:t>,4</w:t>
      </w:r>
      <w:r w:rsidR="00B96482" w:rsidRPr="00C41041">
        <w:rPr>
          <w:rFonts w:ascii="Palatino Linotype" w:hAnsi="Palatino Linotype"/>
          <w:vertAlign w:val="superscript"/>
        </w:rPr>
        <w:t>9</w:t>
      </w:r>
      <w:r w:rsidRPr="00C41041">
        <w:rPr>
          <w:rFonts w:ascii="Palatino Linotype" w:hAnsi="Palatino Linotype"/>
        </w:rPr>
        <w:t xml:space="preserve"> as well as anxiety severity (anxiety severity was negatively associated with frequency of phone screen unlocking).</w:t>
      </w:r>
      <w:r w:rsidRPr="00C41041">
        <w:rPr>
          <w:rFonts w:ascii="Palatino Linotype" w:hAnsi="Palatino Linotype"/>
          <w:color w:val="000000"/>
          <w:vertAlign w:val="superscript"/>
        </w:rPr>
        <w:t>4</w:t>
      </w:r>
      <w:r w:rsidR="00B96482" w:rsidRPr="00C41041">
        <w:rPr>
          <w:rFonts w:ascii="Palatino Linotype" w:hAnsi="Palatino Linotype"/>
          <w:vertAlign w:val="superscript"/>
        </w:rPr>
        <w:t>9</w:t>
      </w:r>
      <w:r w:rsidRPr="00C41041">
        <w:rPr>
          <w:rFonts w:ascii="Palatino Linotype" w:hAnsi="Palatino Linotype"/>
          <w:vertAlign w:val="superscript"/>
        </w:rPr>
        <w:t xml:space="preserve"> </w:t>
      </w:r>
    </w:p>
    <w:p w14:paraId="133E7AEA" w14:textId="32E37980" w:rsidR="007150BD" w:rsidRPr="00C41041" w:rsidRDefault="00C51535" w:rsidP="00264F0C">
      <w:pPr>
        <w:bidi w:val="0"/>
        <w:spacing w:after="0" w:line="360" w:lineRule="auto"/>
        <w:ind w:firstLine="284"/>
        <w:rPr>
          <w:rFonts w:ascii="Palatino Linotype" w:eastAsia="Times New Roman" w:hAnsi="Palatino Linotype" w:cs="Times New Roman"/>
          <w:color w:val="000000"/>
          <w:shd w:val="clear" w:color="auto" w:fill="FFFFFF"/>
        </w:rPr>
      </w:pPr>
      <w:r w:rsidRPr="00C41041">
        <w:rPr>
          <w:rFonts w:ascii="Palatino Linotype" w:hAnsi="Palatino Linotype"/>
          <w:i/>
          <w:iCs/>
        </w:rPr>
        <w:t xml:space="preserve">Digital Phenotyping of Schizophrenia. </w:t>
      </w:r>
      <w:r w:rsidR="001227AD" w:rsidRPr="00C41041">
        <w:rPr>
          <w:rFonts w:ascii="Palatino Linotype" w:eastAsia="Times New Roman" w:hAnsi="Palatino Linotype" w:cs="Times New Roman"/>
          <w:color w:val="000000"/>
        </w:rPr>
        <w:t xml:space="preserve">Digital phenotyping research approaches using the intensive data collection capabilities of modern smartphone, are just beginning to be utilized in the study of Schizophrenia. None smartphone-based early digital phenotyping </w:t>
      </w:r>
      <w:r w:rsidR="009D36AA" w:rsidRPr="00C41041">
        <w:rPr>
          <w:rFonts w:ascii="Palatino Linotype" w:eastAsia="Times New Roman" w:hAnsi="Palatino Linotype" w:cs="Times New Roman"/>
          <w:color w:val="000000"/>
        </w:rPr>
        <w:t>studies showed</w:t>
      </w:r>
      <w:r w:rsidR="001227AD" w:rsidRPr="00C41041">
        <w:rPr>
          <w:rFonts w:ascii="Palatino Linotype" w:eastAsia="Times New Roman" w:hAnsi="Palatino Linotype" w:cs="Times New Roman"/>
          <w:color w:val="000000"/>
        </w:rPr>
        <w:t xml:space="preserve"> </w:t>
      </w:r>
      <w:r w:rsidR="009D36AA" w:rsidRPr="00C41041">
        <w:rPr>
          <w:rFonts w:ascii="Palatino Linotype" w:eastAsia="Times New Roman" w:hAnsi="Palatino Linotype" w:cs="Times New Roman"/>
          <w:color w:val="000000"/>
        </w:rPr>
        <w:t>schizophrenic patients exhibited reduced m</w:t>
      </w:r>
      <w:r w:rsidR="001227AD" w:rsidRPr="00C41041">
        <w:rPr>
          <w:rFonts w:ascii="Palatino Linotype" w:eastAsia="Times New Roman" w:hAnsi="Palatino Linotype" w:cs="Times New Roman"/>
          <w:color w:val="000000"/>
        </w:rPr>
        <w:t>otor activity</w:t>
      </w:r>
      <w:r w:rsidR="009D36AA" w:rsidRPr="00C41041">
        <w:rPr>
          <w:rFonts w:ascii="Palatino Linotype" w:eastAsia="Times New Roman" w:hAnsi="Palatino Linotype" w:cs="Times New Roman"/>
          <w:color w:val="000000"/>
        </w:rPr>
        <w:t>, which was correlated with high interview-based apathy levels.</w:t>
      </w:r>
      <w:r w:rsidR="00B96482" w:rsidRPr="00C41041">
        <w:rPr>
          <w:rFonts w:ascii="Palatino Linotype" w:eastAsia="Times New Roman" w:hAnsi="Palatino Linotype" w:cs="Times New Roman"/>
          <w:color w:val="000000"/>
          <w:vertAlign w:val="superscript"/>
        </w:rPr>
        <w:t>50</w:t>
      </w:r>
      <w:r w:rsidR="009D36AA" w:rsidRPr="00C41041">
        <w:rPr>
          <w:rFonts w:ascii="Palatino Linotype" w:eastAsia="Times New Roman" w:hAnsi="Palatino Linotype" w:cs="Times New Roman"/>
          <w:color w:val="000000"/>
          <w:vertAlign w:val="superscript"/>
        </w:rPr>
        <w:t>,</w:t>
      </w:r>
      <w:r w:rsidR="00DA2BC0" w:rsidRPr="00C41041">
        <w:rPr>
          <w:rFonts w:ascii="Palatino Linotype" w:eastAsia="Times New Roman" w:hAnsi="Palatino Linotype" w:cs="Times New Roman"/>
          <w:color w:val="000000"/>
          <w:vertAlign w:val="superscript"/>
        </w:rPr>
        <w:t>5</w:t>
      </w:r>
      <w:r w:rsidR="00B96482" w:rsidRPr="00C41041">
        <w:rPr>
          <w:rFonts w:ascii="Palatino Linotype" w:eastAsia="Times New Roman" w:hAnsi="Palatino Linotype" w:cs="Times New Roman"/>
          <w:color w:val="000000"/>
          <w:vertAlign w:val="superscript"/>
        </w:rPr>
        <w:t>1</w:t>
      </w:r>
      <w:r w:rsidR="007150BD" w:rsidRPr="00C41041">
        <w:rPr>
          <w:rFonts w:ascii="Palatino Linotype" w:eastAsia="Times New Roman" w:hAnsi="Palatino Linotype" w:cs="Times New Roman"/>
          <w:color w:val="000000"/>
          <w:vertAlign w:val="superscript"/>
        </w:rPr>
        <w:t xml:space="preserve"> </w:t>
      </w:r>
      <w:r w:rsidR="007150BD" w:rsidRPr="00C41041">
        <w:rPr>
          <w:rFonts w:ascii="Palatino Linotype" w:eastAsia="Times New Roman" w:hAnsi="Palatino Linotype" w:cs="Times New Roman"/>
          <w:color w:val="000000"/>
        </w:rPr>
        <w:t>Studies aimed at using technology to augment relapse prediction demonstrated that detecting early relapse signs via simple SMS weekly communication and reporting of relapse symptoms (and increasing medication during the warning state), is an effective intervention during the early stages of relapse.</w:t>
      </w:r>
      <w:r w:rsidR="00BE0FC3" w:rsidRPr="00C41041">
        <w:rPr>
          <w:rFonts w:ascii="Palatino Linotype" w:eastAsia="Times New Roman" w:hAnsi="Palatino Linotype" w:cs="Times New Roman"/>
          <w:color w:val="000000"/>
          <w:vertAlign w:val="superscript"/>
        </w:rPr>
        <w:t>5</w:t>
      </w:r>
      <w:r w:rsidR="00B96482" w:rsidRPr="00C41041">
        <w:rPr>
          <w:rFonts w:ascii="Palatino Linotype" w:eastAsia="Times New Roman" w:hAnsi="Palatino Linotype" w:cs="Times New Roman"/>
          <w:color w:val="000000"/>
          <w:vertAlign w:val="superscript"/>
        </w:rPr>
        <w:t>2</w:t>
      </w:r>
      <w:r w:rsidR="007150BD" w:rsidRPr="00C41041">
        <w:rPr>
          <w:rFonts w:ascii="Palatino Linotype" w:eastAsia="Times New Roman" w:hAnsi="Palatino Linotype" w:cs="Times New Roman"/>
          <w:color w:val="000000"/>
          <w:vertAlign w:val="superscript"/>
        </w:rPr>
        <w:t>,</w:t>
      </w:r>
      <w:r w:rsidR="00BE0FC3" w:rsidRPr="00C41041">
        <w:rPr>
          <w:rFonts w:ascii="Palatino Linotype" w:eastAsia="Times New Roman" w:hAnsi="Palatino Linotype" w:cs="Times New Roman"/>
          <w:color w:val="000000"/>
          <w:vertAlign w:val="superscript"/>
        </w:rPr>
        <w:t>5</w:t>
      </w:r>
      <w:r w:rsidR="00B96482" w:rsidRPr="00C41041">
        <w:rPr>
          <w:rFonts w:ascii="Palatino Linotype" w:eastAsia="Times New Roman" w:hAnsi="Palatino Linotype" w:cs="Times New Roman"/>
          <w:color w:val="000000"/>
          <w:vertAlign w:val="superscript"/>
        </w:rPr>
        <w:t>3</w:t>
      </w:r>
      <w:r w:rsidR="007150BD" w:rsidRPr="00C41041">
        <w:rPr>
          <w:rFonts w:ascii="Palatino Linotype" w:eastAsia="Times New Roman" w:hAnsi="Palatino Linotype" w:cs="Times New Roman"/>
          <w:color w:val="000000"/>
        </w:rPr>
        <w:t xml:space="preserve"> Another study tested for changes in mobility patterns and social behavior over time as measured through smartphone use, to identify anomalies in patient behavior in the days prior to relapse.</w:t>
      </w:r>
      <w:r w:rsidR="007150BD" w:rsidRPr="00C41041">
        <w:rPr>
          <w:rFonts w:ascii="Palatino Linotype" w:eastAsia="Times New Roman" w:hAnsi="Palatino Linotype" w:cs="Times New Roman"/>
          <w:color w:val="000000"/>
          <w:vertAlign w:val="superscript"/>
        </w:rPr>
        <w:t>5</w:t>
      </w:r>
      <w:r w:rsidR="00B96482" w:rsidRPr="00C41041">
        <w:rPr>
          <w:rFonts w:ascii="Palatino Linotype" w:eastAsia="Times New Roman" w:hAnsi="Palatino Linotype" w:cs="Times New Roman"/>
          <w:color w:val="000000"/>
          <w:vertAlign w:val="superscript"/>
        </w:rPr>
        <w:t>4</w:t>
      </w:r>
      <w:r w:rsidR="007150BD" w:rsidRPr="00C41041">
        <w:rPr>
          <w:rFonts w:ascii="Palatino Linotype" w:eastAsia="Times New Roman" w:hAnsi="Palatino Linotype" w:cs="Times New Roman"/>
          <w:color w:val="000000"/>
        </w:rPr>
        <w:t xml:space="preserve"> The study found that the rate of behavioral anomalies detected in the 2 weeks prior to relapse was 71% higher than the rate of anomalies during other time periods. </w:t>
      </w:r>
      <w:r w:rsidR="007150BD" w:rsidRPr="00C41041">
        <w:rPr>
          <w:rFonts w:ascii="Palatino Linotype" w:eastAsia="Times New Roman" w:hAnsi="Palatino Linotype" w:cs="Times New Roman"/>
          <w:color w:val="000000"/>
          <w:shd w:val="clear" w:color="auto" w:fill="FFFFFF"/>
        </w:rPr>
        <w:t>Autonomic dysfunctions in people with schizophrenia were also measured with Mobile Health (mHealth) methods using wearable technology.</w:t>
      </w:r>
      <w:r w:rsidR="007150BD" w:rsidRPr="00C41041">
        <w:rPr>
          <w:rFonts w:ascii="Palatino Linotype" w:eastAsia="Times New Roman" w:hAnsi="Palatino Linotype" w:cs="Times New Roman"/>
          <w:color w:val="000000"/>
          <w:shd w:val="clear" w:color="auto" w:fill="FFFFFF"/>
          <w:vertAlign w:val="superscript"/>
        </w:rPr>
        <w:t>5</w:t>
      </w:r>
      <w:r w:rsidR="00B96482" w:rsidRPr="00C41041">
        <w:rPr>
          <w:rFonts w:ascii="Palatino Linotype" w:eastAsia="Times New Roman" w:hAnsi="Palatino Linotype" w:cs="Times New Roman"/>
          <w:color w:val="000000"/>
          <w:shd w:val="clear" w:color="auto" w:fill="FFFFFF"/>
          <w:vertAlign w:val="superscript"/>
        </w:rPr>
        <w:t>5</w:t>
      </w:r>
      <w:r w:rsidR="007150BD" w:rsidRPr="00C41041">
        <w:rPr>
          <w:rFonts w:ascii="Palatino Linotype" w:eastAsia="Times New Roman" w:hAnsi="Palatino Linotype" w:cs="Times New Roman"/>
          <w:color w:val="000000"/>
          <w:shd w:val="clear" w:color="auto" w:fill="FFFFFF"/>
        </w:rPr>
        <w:t xml:space="preserve"> Compared to controls, people with schizophrenia showed lower levels of HRV, movement and functioning. In people with schizophrenia illness severity, particularly positive symptoms, was associated with parasympathetic deregulation proving that autonomic abnormalities can be detected using wearable technology from people's everyday life and that this method may be developed as a monitoring system or well-being and relapse prevention.</w:t>
      </w:r>
    </w:p>
    <w:p w14:paraId="55D2E53C" w14:textId="0D3BD8C0" w:rsidR="004A0119" w:rsidRPr="00C41041" w:rsidRDefault="004A0119" w:rsidP="00F2319D">
      <w:pPr>
        <w:pStyle w:val="NormalWeb"/>
        <w:spacing w:before="0" w:beforeAutospacing="0" w:after="0" w:afterAutospacing="0" w:line="360" w:lineRule="auto"/>
        <w:ind w:firstLine="284"/>
        <w:rPr>
          <w:rFonts w:ascii="Palatino Linotype" w:hAnsi="Palatino Linotype"/>
          <w:sz w:val="22"/>
          <w:szCs w:val="22"/>
        </w:rPr>
      </w:pPr>
      <w:r w:rsidRPr="00C41041">
        <w:rPr>
          <w:rFonts w:ascii="Palatino Linotype" w:hAnsi="Palatino Linotype"/>
          <w:sz w:val="22"/>
          <w:szCs w:val="22"/>
        </w:rPr>
        <w:t>In conclusion</w:t>
      </w:r>
      <w:r w:rsidR="00264F0C" w:rsidRPr="00C41041">
        <w:rPr>
          <w:rFonts w:ascii="Palatino Linotype" w:hAnsi="Palatino Linotype"/>
          <w:sz w:val="22"/>
          <w:szCs w:val="22"/>
        </w:rPr>
        <w:t>,</w:t>
      </w:r>
      <w:r w:rsidR="00314E2E" w:rsidRPr="00C41041">
        <w:rPr>
          <w:rFonts w:ascii="Palatino Linotype" w:hAnsi="Palatino Linotype"/>
          <w:sz w:val="22"/>
          <w:szCs w:val="22"/>
        </w:rPr>
        <w:t xml:space="preserve"> </w:t>
      </w:r>
      <w:r w:rsidR="008F5C1F" w:rsidRPr="00C41041">
        <w:rPr>
          <w:rFonts w:ascii="Palatino Linotype" w:hAnsi="Palatino Linotype"/>
          <w:sz w:val="22"/>
          <w:szCs w:val="22"/>
        </w:rPr>
        <w:t xml:space="preserve">there is ample of evidence to suggest that relapse is associated with </w:t>
      </w:r>
      <w:r w:rsidR="00111098" w:rsidRPr="00C41041">
        <w:rPr>
          <w:rFonts w:ascii="Palatino Linotype" w:hAnsi="Palatino Linotype"/>
          <w:sz w:val="22"/>
          <w:szCs w:val="22"/>
        </w:rPr>
        <w:t>biological</w:t>
      </w:r>
      <w:r w:rsidR="008F5C1F" w:rsidRPr="00C41041">
        <w:rPr>
          <w:rFonts w:ascii="Palatino Linotype" w:hAnsi="Palatino Linotype"/>
          <w:sz w:val="22"/>
          <w:szCs w:val="22"/>
        </w:rPr>
        <w:t xml:space="preserve"> factors </w:t>
      </w:r>
      <w:r w:rsidR="00111098" w:rsidRPr="00C41041">
        <w:rPr>
          <w:rFonts w:ascii="Palatino Linotype" w:hAnsi="Palatino Linotype"/>
          <w:sz w:val="22"/>
          <w:szCs w:val="22"/>
        </w:rPr>
        <w:t>involving immune, neural, metabolic, and endocrine systems</w:t>
      </w:r>
      <w:r w:rsidR="00046904" w:rsidRPr="00C41041">
        <w:rPr>
          <w:rFonts w:ascii="Palatino Linotype" w:hAnsi="Palatino Linotype"/>
          <w:sz w:val="22"/>
          <w:szCs w:val="22"/>
        </w:rPr>
        <w:t>, as well as psychosocial risk factors as</w:t>
      </w:r>
      <w:r w:rsidR="001D41E9" w:rsidRPr="00C41041">
        <w:rPr>
          <w:rFonts w:ascii="Palatino Linotype" w:hAnsi="Palatino Linotype"/>
          <w:sz w:val="22"/>
          <w:szCs w:val="22"/>
        </w:rPr>
        <w:t xml:space="preserve"> depression and anxiety,</w:t>
      </w:r>
      <w:r w:rsidR="00046904" w:rsidRPr="00C41041">
        <w:rPr>
          <w:rFonts w:ascii="Palatino Linotype" w:hAnsi="Palatino Linotype"/>
          <w:sz w:val="22"/>
          <w:szCs w:val="22"/>
        </w:rPr>
        <w:t xml:space="preserve"> </w:t>
      </w:r>
      <w:r w:rsidR="001D41E9" w:rsidRPr="00C41041">
        <w:rPr>
          <w:rFonts w:ascii="Palatino Linotype" w:hAnsi="Palatino Linotype"/>
          <w:sz w:val="22"/>
          <w:szCs w:val="22"/>
        </w:rPr>
        <w:t xml:space="preserve">alongside with </w:t>
      </w:r>
      <w:r w:rsidR="00046904" w:rsidRPr="00C41041">
        <w:rPr>
          <w:rFonts w:ascii="Palatino Linotype" w:hAnsi="Palatino Linotype"/>
          <w:sz w:val="22"/>
          <w:szCs w:val="22"/>
        </w:rPr>
        <w:t xml:space="preserve">exposure to stress and perceived stress. Furthermore, </w:t>
      </w:r>
      <w:r w:rsidR="00264F0C" w:rsidRPr="00C41041">
        <w:rPr>
          <w:rFonts w:ascii="Palatino Linotype" w:hAnsi="Palatino Linotype"/>
          <w:sz w:val="22"/>
          <w:szCs w:val="22"/>
        </w:rPr>
        <w:t>with</w:t>
      </w:r>
      <w:r w:rsidR="00046904" w:rsidRPr="00C41041">
        <w:rPr>
          <w:rFonts w:ascii="Palatino Linotype" w:hAnsi="Palatino Linotype"/>
          <w:sz w:val="22"/>
          <w:szCs w:val="22"/>
        </w:rPr>
        <w:t xml:space="preserve"> </w:t>
      </w:r>
      <w:r w:rsidR="000D01C8" w:rsidRPr="00C41041">
        <w:rPr>
          <w:rFonts w:ascii="Palatino Linotype" w:hAnsi="Palatino Linotype"/>
          <w:color w:val="000000"/>
          <w:sz w:val="22"/>
          <w:szCs w:val="22"/>
        </w:rPr>
        <w:t xml:space="preserve">many smartphone and wearable sensors now able to detect </w:t>
      </w:r>
      <w:r w:rsidR="00264F0C" w:rsidRPr="00C41041">
        <w:rPr>
          <w:rFonts w:ascii="Palatino Linotype" w:hAnsi="Palatino Linotype"/>
          <w:color w:val="000000"/>
          <w:sz w:val="22"/>
          <w:szCs w:val="22"/>
        </w:rPr>
        <w:t xml:space="preserve">psychological as well as physiological </w:t>
      </w:r>
      <w:r w:rsidR="000D01C8" w:rsidRPr="00C41041">
        <w:rPr>
          <w:rFonts w:ascii="Palatino Linotype" w:hAnsi="Palatino Linotype"/>
          <w:color w:val="000000"/>
          <w:sz w:val="22"/>
          <w:szCs w:val="22"/>
        </w:rPr>
        <w:t>data from subjects</w:t>
      </w:r>
      <w:r w:rsidR="00264F0C" w:rsidRPr="00C41041">
        <w:rPr>
          <w:rFonts w:ascii="Palatino Linotype" w:hAnsi="Palatino Linotype"/>
          <w:color w:val="000000"/>
          <w:sz w:val="22"/>
          <w:szCs w:val="22"/>
        </w:rPr>
        <w:t>,</w:t>
      </w:r>
      <w:r w:rsidR="000D01C8" w:rsidRPr="00C41041">
        <w:rPr>
          <w:rFonts w:ascii="Palatino Linotype" w:hAnsi="Palatino Linotype"/>
          <w:color w:val="000000"/>
          <w:sz w:val="22"/>
          <w:szCs w:val="22"/>
        </w:rPr>
        <w:t xml:space="preserve"> </w:t>
      </w:r>
      <w:r w:rsidR="00F77F27" w:rsidRPr="00C41041">
        <w:rPr>
          <w:rFonts w:ascii="Palatino Linotype" w:hAnsi="Palatino Linotype"/>
          <w:color w:val="000000"/>
          <w:sz w:val="22"/>
          <w:szCs w:val="22"/>
        </w:rPr>
        <w:t xml:space="preserve">digital phenotyping for relapse prediction would enable to generate </w:t>
      </w:r>
      <w:r w:rsidR="00F2319D" w:rsidRPr="00C41041">
        <w:rPr>
          <w:rFonts w:ascii="Palatino Linotype" w:hAnsi="Palatino Linotype"/>
          <w:color w:val="000000"/>
          <w:sz w:val="22"/>
          <w:szCs w:val="22"/>
        </w:rPr>
        <w:t>a comprehensive predictive model f</w:t>
      </w:r>
      <w:r w:rsidR="000D01C8" w:rsidRPr="00C41041">
        <w:rPr>
          <w:rFonts w:ascii="Palatino Linotype" w:hAnsi="Palatino Linotype"/>
          <w:color w:val="000000"/>
          <w:sz w:val="22"/>
          <w:szCs w:val="22"/>
        </w:rPr>
        <w:t xml:space="preserve">or </w:t>
      </w:r>
      <w:r w:rsidR="0016600E" w:rsidRPr="00C41041">
        <w:rPr>
          <w:rFonts w:ascii="Palatino Linotype" w:hAnsi="Palatino Linotype"/>
          <w:color w:val="000000"/>
          <w:sz w:val="22"/>
          <w:szCs w:val="22"/>
        </w:rPr>
        <w:t>relapse prediction</w:t>
      </w:r>
      <w:r w:rsidR="00F2319D" w:rsidRPr="00C41041">
        <w:rPr>
          <w:rFonts w:ascii="Palatino Linotype" w:hAnsi="Palatino Linotype"/>
          <w:color w:val="000000"/>
          <w:sz w:val="22"/>
          <w:szCs w:val="22"/>
        </w:rPr>
        <w:t>.</w:t>
      </w:r>
      <w:r w:rsidR="00F2319D" w:rsidRPr="00C41041">
        <w:rPr>
          <w:rFonts w:ascii="Palatino Linotype" w:hAnsi="Palatino Linotype"/>
          <w:sz w:val="22"/>
          <w:szCs w:val="22"/>
        </w:rPr>
        <w:t xml:space="preserve"> </w:t>
      </w:r>
      <w:r w:rsidRPr="00C41041">
        <w:rPr>
          <w:rFonts w:ascii="Palatino Linotype" w:hAnsi="Palatino Linotype"/>
          <w:sz w:val="22"/>
          <w:szCs w:val="22"/>
        </w:rPr>
        <w:t>To that end, the proposed objectives of the current research are outlined below.</w:t>
      </w:r>
      <w:r w:rsidR="00314E2E" w:rsidRPr="00C41041">
        <w:rPr>
          <w:rFonts w:ascii="Palatino Linotype" w:hAnsi="Palatino Linotype" w:cs="Helvetica"/>
          <w:color w:val="000000"/>
          <w:sz w:val="22"/>
          <w:szCs w:val="22"/>
          <w:shd w:val="clear" w:color="auto" w:fill="FFFFFF"/>
        </w:rPr>
        <w:t xml:space="preserve"> </w:t>
      </w:r>
    </w:p>
    <w:p w14:paraId="4080DD7A" w14:textId="285FEE0E" w:rsidR="00FF0058" w:rsidRPr="00C41041" w:rsidRDefault="00FF0058" w:rsidP="00492984">
      <w:pPr>
        <w:bidi w:val="0"/>
        <w:spacing w:line="360" w:lineRule="auto"/>
        <w:rPr>
          <w:rFonts w:ascii="Palatino Linotype" w:hAnsi="Palatino Linotype"/>
          <w:b/>
          <w:bCs/>
        </w:rPr>
      </w:pPr>
      <w:r w:rsidRPr="00C41041">
        <w:rPr>
          <w:rFonts w:ascii="Palatino Linotype" w:hAnsi="Palatino Linotype"/>
          <w:b/>
          <w:bCs/>
        </w:rPr>
        <w:t>Research objectives and expected significance</w:t>
      </w:r>
    </w:p>
    <w:p w14:paraId="1ACC18B4" w14:textId="6E305FC8" w:rsidR="00FF0058" w:rsidRPr="00C41041" w:rsidRDefault="00FF0058" w:rsidP="00FF0058">
      <w:pPr>
        <w:bidi w:val="0"/>
        <w:spacing w:line="360" w:lineRule="auto"/>
        <w:ind w:firstLine="360"/>
        <w:rPr>
          <w:rFonts w:ascii="Palatino Linotype" w:hAnsi="Palatino Linotype"/>
        </w:rPr>
      </w:pPr>
      <w:r w:rsidRPr="00C41041">
        <w:rPr>
          <w:rFonts w:ascii="Palatino Linotype" w:hAnsi="Palatino Linotype"/>
        </w:rPr>
        <w:lastRenderedPageBreak/>
        <w:t>Our research will examine</w:t>
      </w:r>
      <w:r w:rsidR="001D41E9" w:rsidRPr="00C41041">
        <w:rPr>
          <w:rFonts w:ascii="Palatino Linotype" w:hAnsi="Palatino Linotype"/>
        </w:rPr>
        <w:t xml:space="preserve"> the stress-vulnerability model for relapse including </w:t>
      </w:r>
      <w:r w:rsidRPr="00C41041">
        <w:rPr>
          <w:rFonts w:ascii="Palatino Linotype" w:hAnsi="Palatino Linotype"/>
        </w:rPr>
        <w:t>biological</w:t>
      </w:r>
      <w:r w:rsidR="001D41E9" w:rsidRPr="00C41041">
        <w:rPr>
          <w:rFonts w:ascii="Palatino Linotype" w:hAnsi="Palatino Linotype"/>
        </w:rPr>
        <w:t>, psychological, stress and perceived stress through</w:t>
      </w:r>
      <w:r w:rsidRPr="00C41041">
        <w:rPr>
          <w:rFonts w:ascii="Palatino Linotype" w:hAnsi="Palatino Linotype"/>
        </w:rPr>
        <w:t xml:space="preserve"> behavioral mechanisms </w:t>
      </w:r>
      <w:r w:rsidR="00F2319D" w:rsidRPr="00C41041">
        <w:rPr>
          <w:rFonts w:ascii="Palatino Linotype" w:hAnsi="Palatino Linotype"/>
        </w:rPr>
        <w:t>(</w:t>
      </w:r>
      <w:r w:rsidR="001D41E9" w:rsidRPr="00C41041">
        <w:rPr>
          <w:rFonts w:ascii="Palatino Linotype" w:hAnsi="Palatino Linotype"/>
        </w:rPr>
        <w:t>measured by</w:t>
      </w:r>
      <w:r w:rsidR="00F2319D" w:rsidRPr="00C41041">
        <w:rPr>
          <w:rFonts w:ascii="Palatino Linotype" w:hAnsi="Palatino Linotype"/>
        </w:rPr>
        <w:t xml:space="preserve"> digital footprints)</w:t>
      </w:r>
      <w:r w:rsidRPr="00C41041">
        <w:rPr>
          <w:rFonts w:ascii="Palatino Linotype" w:hAnsi="Palatino Linotype"/>
        </w:rPr>
        <w:t xml:space="preserve">. Based on previous findings, </w:t>
      </w:r>
      <w:r w:rsidR="0016600E" w:rsidRPr="00C41041">
        <w:rPr>
          <w:rFonts w:ascii="Palatino Linotype" w:hAnsi="Palatino Linotype"/>
        </w:rPr>
        <w:t>t</w:t>
      </w:r>
      <w:r w:rsidRPr="00C41041">
        <w:rPr>
          <w:rFonts w:ascii="Palatino Linotype" w:hAnsi="Palatino Linotype"/>
        </w:rPr>
        <w:t>he specific aims of the current study are as follows:</w:t>
      </w:r>
    </w:p>
    <w:p w14:paraId="6A570F18" w14:textId="1469D425" w:rsidR="00372594" w:rsidRPr="00C41041" w:rsidRDefault="00372594" w:rsidP="002B5243">
      <w:pPr>
        <w:pStyle w:val="aa"/>
        <w:numPr>
          <w:ilvl w:val="0"/>
          <w:numId w:val="1"/>
        </w:numPr>
        <w:bidi w:val="0"/>
        <w:spacing w:line="360" w:lineRule="auto"/>
        <w:ind w:left="426" w:hanging="426"/>
        <w:rPr>
          <w:rFonts w:ascii="Palatino Linotype" w:hAnsi="Palatino Linotype"/>
        </w:rPr>
      </w:pPr>
      <w:r w:rsidRPr="00C41041">
        <w:rPr>
          <w:rFonts w:ascii="Palatino Linotype" w:hAnsi="Palatino Linotype"/>
        </w:rPr>
        <w:t xml:space="preserve">To examine the association between biological markers (i.e., gut microbiota, ANS, HPA axis, HPG axis) </w:t>
      </w:r>
      <w:r w:rsidR="00234195" w:rsidRPr="00C41041">
        <w:rPr>
          <w:rFonts w:ascii="Palatino Linotype" w:hAnsi="Palatino Linotype"/>
        </w:rPr>
        <w:t xml:space="preserve">and their interrelation </w:t>
      </w:r>
      <w:r w:rsidRPr="00C41041">
        <w:rPr>
          <w:rFonts w:ascii="Palatino Linotype" w:hAnsi="Palatino Linotype"/>
        </w:rPr>
        <w:t>and relapse in schizophrenia.</w:t>
      </w:r>
    </w:p>
    <w:p w14:paraId="6566D2CC" w14:textId="77777777" w:rsidR="001D41E9" w:rsidRPr="00C41041" w:rsidRDefault="00FF0058" w:rsidP="001D41E9">
      <w:pPr>
        <w:pStyle w:val="aa"/>
        <w:numPr>
          <w:ilvl w:val="0"/>
          <w:numId w:val="1"/>
        </w:numPr>
        <w:bidi w:val="0"/>
        <w:spacing w:line="360" w:lineRule="auto"/>
        <w:ind w:left="426" w:hanging="426"/>
        <w:rPr>
          <w:rFonts w:ascii="Palatino Linotype" w:hAnsi="Palatino Linotype"/>
        </w:rPr>
      </w:pPr>
      <w:r w:rsidRPr="00C41041">
        <w:rPr>
          <w:rFonts w:ascii="Palatino Linotype" w:hAnsi="Palatino Linotype"/>
        </w:rPr>
        <w:t xml:space="preserve">To examine the associations between </w:t>
      </w:r>
      <w:r w:rsidR="001D41E9" w:rsidRPr="00C41041">
        <w:rPr>
          <w:rFonts w:ascii="Palatino Linotype" w:hAnsi="Palatino Linotype"/>
        </w:rPr>
        <w:t xml:space="preserve">psychological </w:t>
      </w:r>
      <w:r w:rsidRPr="00C41041">
        <w:rPr>
          <w:rFonts w:ascii="Palatino Linotype" w:hAnsi="Palatino Linotype"/>
        </w:rPr>
        <w:t xml:space="preserve">variables (i.e., </w:t>
      </w:r>
      <w:r w:rsidR="001D41E9" w:rsidRPr="00C41041">
        <w:rPr>
          <w:rFonts w:ascii="Palatino Linotype" w:hAnsi="Palatino Linotype"/>
        </w:rPr>
        <w:t>depression, anxiety) and relapse in schizophrenia.</w:t>
      </w:r>
    </w:p>
    <w:p w14:paraId="7BA92F3B" w14:textId="4DE82050" w:rsidR="00FF0058" w:rsidRDefault="00FF0058" w:rsidP="001D41E9">
      <w:pPr>
        <w:pStyle w:val="aa"/>
        <w:numPr>
          <w:ilvl w:val="0"/>
          <w:numId w:val="1"/>
        </w:numPr>
        <w:bidi w:val="0"/>
        <w:spacing w:line="360" w:lineRule="auto"/>
        <w:ind w:left="426" w:hanging="426"/>
        <w:rPr>
          <w:rFonts w:ascii="Palatino Linotype" w:hAnsi="Palatino Linotype"/>
        </w:rPr>
      </w:pPr>
      <w:r w:rsidRPr="00C41041">
        <w:rPr>
          <w:rFonts w:ascii="Palatino Linotype" w:hAnsi="Palatino Linotype"/>
        </w:rPr>
        <w:t xml:space="preserve">To examine the role of the interconnectivity among the HPG axis, the ANS and the HPA axis in </w:t>
      </w:r>
      <w:r w:rsidR="00645E1C" w:rsidRPr="00C41041">
        <w:rPr>
          <w:rFonts w:ascii="Palatino Linotype" w:hAnsi="Palatino Linotype"/>
        </w:rPr>
        <w:t>relapse prediction</w:t>
      </w:r>
      <w:r w:rsidRPr="00C41041">
        <w:rPr>
          <w:rFonts w:ascii="Palatino Linotype" w:hAnsi="Palatino Linotype"/>
        </w:rPr>
        <w:t xml:space="preserve">. Previous studies have demonstrated the associations among the HPG axis, the ANS and the HPA axis. Furthermore, the role of each system in predicting </w:t>
      </w:r>
      <w:r w:rsidR="00645E1C" w:rsidRPr="00C41041">
        <w:rPr>
          <w:rFonts w:ascii="Palatino Linotype" w:hAnsi="Palatino Linotype"/>
        </w:rPr>
        <w:t>relapse</w:t>
      </w:r>
      <w:r w:rsidRPr="00C41041">
        <w:rPr>
          <w:rFonts w:ascii="Palatino Linotype" w:hAnsi="Palatino Linotype"/>
        </w:rPr>
        <w:t xml:space="preserve"> was explored independently. However, to the best of our knowledge, the interconnectivity among these systems, both in general and specifically in </w:t>
      </w:r>
      <w:r w:rsidR="00645E1C" w:rsidRPr="00C41041">
        <w:rPr>
          <w:rFonts w:ascii="Palatino Linotype" w:hAnsi="Palatino Linotype"/>
        </w:rPr>
        <w:t>psychopathological context</w:t>
      </w:r>
      <w:r w:rsidRPr="00C41041">
        <w:rPr>
          <w:rFonts w:ascii="Palatino Linotype" w:hAnsi="Palatino Linotype"/>
        </w:rPr>
        <w:t>, has not yet been investigated.</w:t>
      </w:r>
    </w:p>
    <w:p w14:paraId="5D2C8A15" w14:textId="53CD4023" w:rsidR="0078069A" w:rsidRPr="0078069A" w:rsidRDefault="0078069A" w:rsidP="0078069A">
      <w:pPr>
        <w:pStyle w:val="aa"/>
        <w:numPr>
          <w:ilvl w:val="0"/>
          <w:numId w:val="1"/>
        </w:numPr>
        <w:bidi w:val="0"/>
        <w:spacing w:line="360" w:lineRule="auto"/>
        <w:ind w:left="426" w:hanging="426"/>
        <w:rPr>
          <w:rFonts w:ascii="Palatino Linotype" w:hAnsi="Palatino Linotype"/>
        </w:rPr>
      </w:pPr>
      <w:r>
        <w:rPr>
          <w:rFonts w:ascii="Palatino Linotype" w:hAnsi="Palatino Linotype"/>
        </w:rPr>
        <w:t>T</w:t>
      </w:r>
      <w:r w:rsidRPr="007746F1">
        <w:rPr>
          <w:rFonts w:ascii="Palatino Linotype" w:hAnsi="Palatino Linotype"/>
        </w:rPr>
        <w:t xml:space="preserve">o examine the associations between smartphone Digital Phenotyping sensors data and novel biosensors/biomarkers, as well as to generate predictive clusters combining bio+digital data for SD relapse prediction. </w:t>
      </w:r>
    </w:p>
    <w:p w14:paraId="2485ED56" w14:textId="7F8289A9" w:rsidR="00FF0058" w:rsidRPr="00C41041" w:rsidRDefault="00FF0058" w:rsidP="002B5243">
      <w:pPr>
        <w:pStyle w:val="aa"/>
        <w:numPr>
          <w:ilvl w:val="0"/>
          <w:numId w:val="1"/>
        </w:numPr>
        <w:bidi w:val="0"/>
        <w:spacing w:line="360" w:lineRule="auto"/>
        <w:ind w:left="426"/>
        <w:rPr>
          <w:rFonts w:ascii="Palatino Linotype" w:hAnsi="Palatino Linotype"/>
        </w:rPr>
      </w:pPr>
      <w:r w:rsidRPr="00C41041">
        <w:rPr>
          <w:rFonts w:ascii="Palatino Linotype" w:hAnsi="Palatino Linotype"/>
        </w:rPr>
        <w:t xml:space="preserve">To examine the behavioral mechanisms </w:t>
      </w:r>
      <w:r w:rsidR="0078069A">
        <w:rPr>
          <w:rFonts w:ascii="Palatino Linotype" w:hAnsi="Palatino Linotype"/>
        </w:rPr>
        <w:t xml:space="preserve">associated with relapse </w:t>
      </w:r>
      <w:r w:rsidRPr="00C41041">
        <w:rPr>
          <w:rFonts w:ascii="Palatino Linotype" w:hAnsi="Palatino Linotype"/>
        </w:rPr>
        <w:t>using digital footprints from smartphones (i.e., digital phenotyping)</w:t>
      </w:r>
      <w:r w:rsidR="00234195" w:rsidRPr="00C41041">
        <w:rPr>
          <w:rFonts w:ascii="Palatino Linotype" w:hAnsi="Palatino Linotype"/>
        </w:rPr>
        <w:t xml:space="preserve"> that predict relapse.</w:t>
      </w:r>
    </w:p>
    <w:p w14:paraId="1267488B" w14:textId="7DDACBE7" w:rsidR="00FF0058" w:rsidRPr="00C41041" w:rsidRDefault="00FF0058" w:rsidP="001F0A2F">
      <w:pPr>
        <w:bidi w:val="0"/>
        <w:spacing w:line="360" w:lineRule="auto"/>
        <w:ind w:firstLine="567"/>
        <w:rPr>
          <w:rFonts w:ascii="Palatino Linotype" w:hAnsi="Palatino Linotype"/>
        </w:rPr>
      </w:pPr>
      <w:r w:rsidRPr="00C41041">
        <w:rPr>
          <w:rFonts w:ascii="Palatino Linotype" w:hAnsi="Palatino Linotype"/>
        </w:rPr>
        <w:t xml:space="preserve">With the use of unprecedented monitoring and data collection abilities modern smartphone devices allow, we expect our findings to shed light on the mediating role of behavioral </w:t>
      </w:r>
      <w:r w:rsidR="001D41E9" w:rsidRPr="00C41041">
        <w:rPr>
          <w:rFonts w:ascii="Palatino Linotype" w:hAnsi="Palatino Linotype"/>
        </w:rPr>
        <w:t>mechanisms</w:t>
      </w:r>
      <w:r w:rsidRPr="00C41041">
        <w:rPr>
          <w:rFonts w:ascii="Palatino Linotype" w:hAnsi="Palatino Linotype"/>
        </w:rPr>
        <w:t xml:space="preserve"> in the association between individuals’ psycho</w:t>
      </w:r>
      <w:r w:rsidR="001D41E9" w:rsidRPr="00C41041">
        <w:rPr>
          <w:rFonts w:ascii="Palatino Linotype" w:hAnsi="Palatino Linotype"/>
        </w:rPr>
        <w:t>logical</w:t>
      </w:r>
      <w:r w:rsidRPr="00C41041">
        <w:rPr>
          <w:rFonts w:ascii="Palatino Linotype" w:hAnsi="Palatino Linotype"/>
        </w:rPr>
        <w:t>/</w:t>
      </w:r>
      <w:r w:rsidR="001D41E9" w:rsidRPr="00C41041">
        <w:rPr>
          <w:rFonts w:ascii="Palatino Linotype" w:hAnsi="Palatino Linotype"/>
        </w:rPr>
        <w:t>biological</w:t>
      </w:r>
      <w:r w:rsidRPr="00C41041">
        <w:rPr>
          <w:rFonts w:ascii="Palatino Linotype" w:hAnsi="Palatino Linotype"/>
        </w:rPr>
        <w:t xml:space="preserve"> </w:t>
      </w:r>
      <w:r w:rsidR="00AD4650">
        <w:rPr>
          <w:rFonts w:ascii="Palatino Linotype" w:hAnsi="Palatino Linotype"/>
        </w:rPr>
        <w:t>states</w:t>
      </w:r>
      <w:r w:rsidRPr="00C41041">
        <w:rPr>
          <w:rFonts w:ascii="Palatino Linotype" w:hAnsi="Palatino Linotype"/>
        </w:rPr>
        <w:t xml:space="preserve"> and </w:t>
      </w:r>
      <w:r w:rsidR="001D41E9" w:rsidRPr="00C41041">
        <w:rPr>
          <w:rFonts w:ascii="Palatino Linotype" w:hAnsi="Palatino Linotype"/>
        </w:rPr>
        <w:t>relapse</w:t>
      </w:r>
      <w:r w:rsidRPr="00C41041">
        <w:rPr>
          <w:rFonts w:ascii="Palatino Linotype" w:hAnsi="Palatino Linotype"/>
        </w:rPr>
        <w:t xml:space="preserve">. Uncovering such associations and relationships among the variables may serve to validate the use of digital footprints (collected from smartphones) to predict </w:t>
      </w:r>
      <w:r w:rsidR="001D41E9" w:rsidRPr="00C41041">
        <w:rPr>
          <w:rFonts w:ascii="Palatino Linotype" w:hAnsi="Palatino Linotype"/>
        </w:rPr>
        <w:t>relapse</w:t>
      </w:r>
      <w:r w:rsidRPr="00C41041">
        <w:rPr>
          <w:rFonts w:ascii="Palatino Linotype" w:hAnsi="Palatino Linotype"/>
        </w:rPr>
        <w:t xml:space="preserve"> which may, in turn, promote the use of this technology to create preventive programs. Importantly, </w:t>
      </w:r>
      <w:r w:rsidR="001D41E9" w:rsidRPr="00C41041">
        <w:rPr>
          <w:rFonts w:ascii="Palatino Linotype" w:hAnsi="Palatino Linotype"/>
        </w:rPr>
        <w:t>studies measuring behavioral mechanisms through digital footprints</w:t>
      </w:r>
      <w:r w:rsidR="00BB48B1" w:rsidRPr="00C41041">
        <w:rPr>
          <w:rFonts w:ascii="Palatino Linotype" w:hAnsi="Palatino Linotype"/>
        </w:rPr>
        <w:t xml:space="preserve"> in schizophrenia</w:t>
      </w:r>
      <w:r w:rsidR="001D41E9" w:rsidRPr="00C41041">
        <w:rPr>
          <w:rFonts w:ascii="Palatino Linotype" w:hAnsi="Palatino Linotype"/>
        </w:rPr>
        <w:t xml:space="preserve"> had only recently emerged and are limited to very small sample size</w:t>
      </w:r>
      <w:r w:rsidR="00BB48B1" w:rsidRPr="00C41041">
        <w:rPr>
          <w:rFonts w:ascii="Palatino Linotype" w:hAnsi="Palatino Linotype"/>
        </w:rPr>
        <w:t>s</w:t>
      </w:r>
      <w:r w:rsidR="001D41E9" w:rsidRPr="00C41041">
        <w:rPr>
          <w:rFonts w:ascii="Palatino Linotype" w:hAnsi="Palatino Linotype"/>
        </w:rPr>
        <w:t xml:space="preserve">. </w:t>
      </w:r>
      <w:r w:rsidR="00BB48B1" w:rsidRPr="00C41041">
        <w:rPr>
          <w:rFonts w:ascii="Palatino Linotype" w:hAnsi="Palatino Linotype"/>
        </w:rPr>
        <w:t>Nevertheless,</w:t>
      </w:r>
      <w:r w:rsidR="001D41E9" w:rsidRPr="00C41041">
        <w:rPr>
          <w:rFonts w:ascii="Palatino Linotype" w:hAnsi="Palatino Linotype"/>
        </w:rPr>
        <w:t xml:space="preserve"> they provide promising preliminary </w:t>
      </w:r>
      <w:r w:rsidR="00BB48B1" w:rsidRPr="00C41041">
        <w:rPr>
          <w:rFonts w:ascii="Palatino Linotype" w:hAnsi="Palatino Linotype"/>
        </w:rPr>
        <w:t xml:space="preserve">results that indicate the feasibility in predicting relapse. </w:t>
      </w:r>
      <w:r w:rsidRPr="00C41041">
        <w:rPr>
          <w:rFonts w:ascii="Palatino Linotype" w:hAnsi="Palatino Linotype"/>
        </w:rPr>
        <w:t xml:space="preserve">Findings of the </w:t>
      </w:r>
      <w:r w:rsidR="00DD14A0">
        <w:rPr>
          <w:rFonts w:ascii="Palatino Linotype" w:hAnsi="Palatino Linotype"/>
        </w:rPr>
        <w:t>current</w:t>
      </w:r>
      <w:r w:rsidRPr="00C41041">
        <w:rPr>
          <w:rFonts w:ascii="Palatino Linotype" w:hAnsi="Palatino Linotype"/>
        </w:rPr>
        <w:t xml:space="preserve"> research are also expected to contribute to a better understanding of the </w:t>
      </w:r>
      <w:r w:rsidR="00BB48B1" w:rsidRPr="00C41041">
        <w:rPr>
          <w:rFonts w:ascii="Palatino Linotype" w:hAnsi="Palatino Linotype"/>
        </w:rPr>
        <w:t>predicting role of the j</w:t>
      </w:r>
      <w:r w:rsidR="00DD14A0">
        <w:rPr>
          <w:rFonts w:ascii="Palatino Linotype" w:hAnsi="Palatino Linotype"/>
        </w:rPr>
        <w:t>o</w:t>
      </w:r>
      <w:r w:rsidR="00BB48B1" w:rsidRPr="00C41041">
        <w:rPr>
          <w:rFonts w:ascii="Palatino Linotype" w:hAnsi="Palatino Linotype"/>
        </w:rPr>
        <w:t xml:space="preserve">int modulation of the ANS </w:t>
      </w:r>
      <w:r w:rsidRPr="00C41041">
        <w:rPr>
          <w:rFonts w:ascii="Palatino Linotype" w:hAnsi="Palatino Linotype"/>
        </w:rPr>
        <w:t xml:space="preserve">with the HPG axis. Our findings will thus have implications for personalized medicine, as it could allow for customized interventions for </w:t>
      </w:r>
      <w:r w:rsidR="00BB48B1" w:rsidRPr="00C41041">
        <w:rPr>
          <w:rFonts w:ascii="Palatino Linotype" w:hAnsi="Palatino Linotype"/>
        </w:rPr>
        <w:t xml:space="preserve">relapse in </w:t>
      </w:r>
      <w:r w:rsidRPr="00C41041">
        <w:rPr>
          <w:rFonts w:ascii="Palatino Linotype" w:hAnsi="Palatino Linotype"/>
        </w:rPr>
        <w:t>patients that are gender-specific and specific to patients’ sex hormone profiles.</w:t>
      </w:r>
    </w:p>
    <w:p w14:paraId="30F2AB15" w14:textId="77777777" w:rsidR="00D74D69" w:rsidRPr="00C41041" w:rsidRDefault="00D74D69" w:rsidP="00492984">
      <w:pPr>
        <w:bidi w:val="0"/>
        <w:spacing w:line="360" w:lineRule="auto"/>
        <w:rPr>
          <w:rFonts w:ascii="Palatino Linotype" w:hAnsi="Palatino Linotype"/>
          <w:b/>
          <w:bCs/>
        </w:rPr>
      </w:pPr>
    </w:p>
    <w:p w14:paraId="033C4916" w14:textId="04D66BD0" w:rsidR="00FF0058" w:rsidRPr="00C41041" w:rsidRDefault="00492984" w:rsidP="00D74D69">
      <w:pPr>
        <w:bidi w:val="0"/>
        <w:spacing w:line="360" w:lineRule="auto"/>
        <w:rPr>
          <w:rFonts w:ascii="Palatino Linotype" w:hAnsi="Palatino Linotype"/>
          <w:b/>
          <w:bCs/>
          <w:highlight w:val="green"/>
        </w:rPr>
      </w:pPr>
      <w:r w:rsidRPr="00C41041">
        <w:rPr>
          <w:rFonts w:ascii="Palatino Linotype" w:hAnsi="Palatino Linotype"/>
          <w:b/>
          <w:bCs/>
          <w:highlight w:val="green"/>
        </w:rPr>
        <w:t>Detailed description of the proposed research</w:t>
      </w:r>
    </w:p>
    <w:p w14:paraId="70E328AA" w14:textId="120D9D84" w:rsidR="00492984" w:rsidRPr="00C41041" w:rsidRDefault="00492984" w:rsidP="00492984">
      <w:pPr>
        <w:bidi w:val="0"/>
        <w:spacing w:line="360" w:lineRule="auto"/>
        <w:rPr>
          <w:rFonts w:ascii="Palatino Linotype" w:hAnsi="Palatino Linotype"/>
          <w:b/>
          <w:bCs/>
        </w:rPr>
      </w:pPr>
      <w:r w:rsidRPr="00C41041">
        <w:rPr>
          <w:rFonts w:ascii="Palatino Linotype" w:hAnsi="Palatino Linotype"/>
          <w:b/>
          <w:bCs/>
          <w:highlight w:val="green"/>
        </w:rPr>
        <w:t>Our working hypotheses</w:t>
      </w:r>
    </w:p>
    <w:p w14:paraId="18201098" w14:textId="63C9FA44" w:rsidR="008C6135" w:rsidRPr="00C41041" w:rsidRDefault="008C6135" w:rsidP="008C6135">
      <w:pPr>
        <w:bidi w:val="0"/>
        <w:spacing w:line="360" w:lineRule="auto"/>
        <w:rPr>
          <w:rFonts w:ascii="Palatino Linotype" w:hAnsi="Palatino Linotype"/>
        </w:rPr>
      </w:pPr>
      <w:r w:rsidRPr="00C41041">
        <w:rPr>
          <w:rFonts w:ascii="Palatino Linotype" w:hAnsi="Palatino Linotype"/>
        </w:rPr>
        <w:t xml:space="preserve">Individualized patient profiles that consider behavioral expressions of </w:t>
      </w:r>
      <w:r w:rsidR="00362918" w:rsidRPr="00C41041">
        <w:rPr>
          <w:rFonts w:ascii="Palatino Linotype" w:hAnsi="Palatino Linotype"/>
        </w:rPr>
        <w:t xml:space="preserve">psychological </w:t>
      </w:r>
      <w:r w:rsidR="007E6173" w:rsidRPr="00C41041">
        <w:rPr>
          <w:rFonts w:ascii="Palatino Linotype" w:hAnsi="Palatino Linotype"/>
        </w:rPr>
        <w:t>factors</w:t>
      </w:r>
      <w:r w:rsidRPr="00C41041">
        <w:rPr>
          <w:rFonts w:ascii="Palatino Linotype" w:hAnsi="Palatino Linotype"/>
        </w:rPr>
        <w:t xml:space="preserve"> (measured by smartphone sensors, </w:t>
      </w:r>
      <w:r w:rsidR="00DD14A0" w:rsidRPr="00DD14A0">
        <w:rPr>
          <w:rFonts w:ascii="Palatino Linotype" w:hAnsi="Palatino Linotype"/>
        </w:rPr>
        <w:t xml:space="preserve">digital </w:t>
      </w:r>
      <w:r w:rsidRPr="00DD14A0">
        <w:rPr>
          <w:rFonts w:ascii="Palatino Linotype" w:hAnsi="Palatino Linotype"/>
        </w:rPr>
        <w:t>diaries</w:t>
      </w:r>
      <w:r w:rsidRPr="00C41041">
        <w:rPr>
          <w:rFonts w:ascii="Palatino Linotype" w:hAnsi="Palatino Linotype"/>
        </w:rPr>
        <w:t xml:space="preserve">, </w:t>
      </w:r>
      <w:r w:rsidR="00683D70" w:rsidRPr="00C41041">
        <w:rPr>
          <w:rFonts w:ascii="Palatino Linotype" w:hAnsi="Palatino Linotype"/>
        </w:rPr>
        <w:t xml:space="preserve">and </w:t>
      </w:r>
      <w:r w:rsidRPr="00C41041">
        <w:rPr>
          <w:rFonts w:ascii="Palatino Linotype" w:hAnsi="Palatino Linotype"/>
        </w:rPr>
        <w:t>self-report questionnaires), as well as biological expressions (measured through saliva sample levels of cortisol, alpha-amylase, testosterone, estrogen, progesterone</w:t>
      </w:r>
      <w:r w:rsidR="007E6173" w:rsidRPr="00C41041">
        <w:rPr>
          <w:rFonts w:ascii="Palatino Linotype" w:hAnsi="Palatino Linotype"/>
        </w:rPr>
        <w:t xml:space="preserve">; </w:t>
      </w:r>
      <w:r w:rsidR="007E6173" w:rsidRPr="00C41041">
        <w:rPr>
          <w:rFonts w:ascii="Palatino Linotype" w:hAnsi="Palatino Linotype"/>
          <w:highlight w:val="green"/>
        </w:rPr>
        <w:t>epithelial</w:t>
      </w:r>
      <w:r w:rsidR="007E6173" w:rsidRPr="00C41041">
        <w:rPr>
          <w:rFonts w:ascii="Palatino Linotype" w:hAnsi="Palatino Linotype"/>
        </w:rPr>
        <w:t xml:space="preserve"> samples for gut microbiota; ANS activity through </w:t>
      </w:r>
      <w:r w:rsidR="004F3427" w:rsidRPr="00C41041">
        <w:rPr>
          <w:rFonts w:ascii="Palatino Linotype" w:hAnsi="Palatino Linotype"/>
          <w:highlight w:val="green"/>
        </w:rPr>
        <w:t>wearable</w:t>
      </w:r>
      <w:r w:rsidR="004F3427" w:rsidRPr="00C41041">
        <w:rPr>
          <w:rFonts w:ascii="Palatino Linotype" w:hAnsi="Palatino Linotype"/>
        </w:rPr>
        <w:t xml:space="preserve"> device)</w:t>
      </w:r>
      <w:r w:rsidRPr="00C41041">
        <w:rPr>
          <w:rFonts w:ascii="Palatino Linotype" w:hAnsi="Palatino Linotype"/>
        </w:rPr>
        <w:t xml:space="preserve"> will constitute predictable risk factors for </w:t>
      </w:r>
      <w:r w:rsidR="004F3427" w:rsidRPr="00C41041">
        <w:rPr>
          <w:rFonts w:ascii="Palatino Linotype" w:hAnsi="Palatino Linotype"/>
        </w:rPr>
        <w:t>relapse</w:t>
      </w:r>
      <w:r w:rsidRPr="00C41041">
        <w:rPr>
          <w:rFonts w:ascii="Palatino Linotype" w:hAnsi="Palatino Linotype"/>
        </w:rPr>
        <w:t xml:space="preserve"> (measured using </w:t>
      </w:r>
      <w:r w:rsidR="004F3427" w:rsidRPr="00C41041">
        <w:rPr>
          <w:rFonts w:ascii="Palatino Linotype" w:hAnsi="Palatino Linotype"/>
          <w:highlight w:val="green"/>
        </w:rPr>
        <w:t>XXXX</w:t>
      </w:r>
      <w:r w:rsidRPr="00C41041">
        <w:rPr>
          <w:rFonts w:ascii="Palatino Linotype" w:hAnsi="Palatino Linotype"/>
        </w:rPr>
        <w:t>)</w:t>
      </w:r>
      <w:r w:rsidR="004F3427" w:rsidRPr="00C41041">
        <w:rPr>
          <w:rFonts w:ascii="Palatino Linotype" w:hAnsi="Palatino Linotype"/>
        </w:rPr>
        <w:t>.</w:t>
      </w:r>
      <w:r w:rsidRPr="00C41041">
        <w:rPr>
          <w:rFonts w:ascii="Palatino Linotype" w:hAnsi="Palatino Linotype"/>
        </w:rPr>
        <w:t xml:space="preserve"> The following are our specific hypotheses (see section on Digital phenotyping measurements of smartphone data below precise definition of smartphones-related sensor and measurement terms):</w:t>
      </w:r>
    </w:p>
    <w:p w14:paraId="21294693" w14:textId="26A2EEC2" w:rsidR="008C6135" w:rsidRPr="00C41041" w:rsidRDefault="004F3427" w:rsidP="00BE1F34">
      <w:pPr>
        <w:pStyle w:val="aa"/>
        <w:numPr>
          <w:ilvl w:val="0"/>
          <w:numId w:val="2"/>
        </w:numPr>
        <w:bidi w:val="0"/>
        <w:spacing w:line="360" w:lineRule="auto"/>
        <w:ind w:left="426" w:hanging="426"/>
        <w:rPr>
          <w:rFonts w:ascii="Palatino Linotype" w:hAnsi="Palatino Linotype"/>
        </w:rPr>
      </w:pPr>
      <w:r w:rsidRPr="00C41041">
        <w:rPr>
          <w:rFonts w:ascii="Palatino Linotype" w:hAnsi="Palatino Linotype"/>
        </w:rPr>
        <w:t>P</w:t>
      </w:r>
      <w:r w:rsidR="008C6135" w:rsidRPr="00C41041">
        <w:rPr>
          <w:rFonts w:ascii="Palatino Linotype" w:hAnsi="Palatino Linotype"/>
        </w:rPr>
        <w:t xml:space="preserve">atients </w:t>
      </w:r>
      <w:r w:rsidRPr="00C41041">
        <w:rPr>
          <w:rFonts w:ascii="Palatino Linotype" w:hAnsi="Palatino Linotype"/>
        </w:rPr>
        <w:t>experiencing relapse w</w:t>
      </w:r>
      <w:r w:rsidR="008C6135" w:rsidRPr="00C41041">
        <w:rPr>
          <w:rFonts w:ascii="Palatino Linotype" w:hAnsi="Palatino Linotype"/>
        </w:rPr>
        <w:t xml:space="preserve">ill exhibit higher levels of anxiety and depression than patients without </w:t>
      </w:r>
      <w:r w:rsidRPr="00C41041">
        <w:rPr>
          <w:rFonts w:ascii="Palatino Linotype" w:hAnsi="Palatino Linotype"/>
        </w:rPr>
        <w:t>relapse</w:t>
      </w:r>
      <w:r w:rsidR="0078069A">
        <w:rPr>
          <w:rFonts w:ascii="Palatino Linotype" w:hAnsi="Palatino Linotype"/>
        </w:rPr>
        <w:t xml:space="preserve"> </w:t>
      </w:r>
      <w:r w:rsidR="0078069A">
        <w:rPr>
          <w:rFonts w:ascii="Palatino Linotype" w:hAnsi="Palatino Linotype"/>
        </w:rPr>
        <w:t>within 1-7 days prior to the relapse</w:t>
      </w:r>
      <w:r w:rsidR="008C6135" w:rsidRPr="00C41041">
        <w:rPr>
          <w:rFonts w:ascii="Palatino Linotype" w:hAnsi="Palatino Linotype"/>
        </w:rPr>
        <w:t>.</w:t>
      </w:r>
    </w:p>
    <w:p w14:paraId="47854773" w14:textId="10764902" w:rsidR="008C6135" w:rsidRPr="00C41041" w:rsidRDefault="004F3427" w:rsidP="00BE1F34">
      <w:pPr>
        <w:pStyle w:val="aa"/>
        <w:numPr>
          <w:ilvl w:val="0"/>
          <w:numId w:val="2"/>
        </w:numPr>
        <w:bidi w:val="0"/>
        <w:spacing w:line="360" w:lineRule="auto"/>
        <w:ind w:left="426"/>
        <w:rPr>
          <w:rFonts w:ascii="Palatino Linotype" w:hAnsi="Palatino Linotype"/>
        </w:rPr>
      </w:pPr>
      <w:r w:rsidRPr="00C41041">
        <w:rPr>
          <w:rFonts w:ascii="Palatino Linotype" w:hAnsi="Palatino Linotype"/>
        </w:rPr>
        <w:t xml:space="preserve">Patients experiencing relapse </w:t>
      </w:r>
      <w:r w:rsidR="008C6135" w:rsidRPr="00C41041">
        <w:rPr>
          <w:rFonts w:ascii="Palatino Linotype" w:hAnsi="Palatino Linotype"/>
        </w:rPr>
        <w:t xml:space="preserve">will exhibit higher levels of stress and perceived stress than patients without </w:t>
      </w:r>
      <w:r w:rsidRPr="00C41041">
        <w:rPr>
          <w:rFonts w:ascii="Palatino Linotype" w:hAnsi="Palatino Linotype"/>
        </w:rPr>
        <w:t>relapse</w:t>
      </w:r>
      <w:r w:rsidR="0078069A" w:rsidRPr="0078069A">
        <w:rPr>
          <w:rFonts w:ascii="Palatino Linotype" w:hAnsi="Palatino Linotype"/>
        </w:rPr>
        <w:t xml:space="preserve"> </w:t>
      </w:r>
      <w:r w:rsidR="0078069A">
        <w:rPr>
          <w:rFonts w:ascii="Palatino Linotype" w:hAnsi="Palatino Linotype"/>
        </w:rPr>
        <w:t>within 1-7 days prior to the relapse</w:t>
      </w:r>
      <w:r w:rsidR="008C6135" w:rsidRPr="00C41041">
        <w:rPr>
          <w:rFonts w:ascii="Palatino Linotype" w:hAnsi="Palatino Linotype"/>
        </w:rPr>
        <w:t>.</w:t>
      </w:r>
    </w:p>
    <w:p w14:paraId="42C9A2B9" w14:textId="184962C2" w:rsidR="008C6135" w:rsidRPr="00C41041" w:rsidRDefault="004F3427" w:rsidP="00BE1F34">
      <w:pPr>
        <w:pStyle w:val="aa"/>
        <w:numPr>
          <w:ilvl w:val="0"/>
          <w:numId w:val="2"/>
        </w:numPr>
        <w:bidi w:val="0"/>
        <w:spacing w:line="360" w:lineRule="auto"/>
        <w:ind w:left="426"/>
        <w:rPr>
          <w:rFonts w:ascii="Palatino Linotype" w:hAnsi="Palatino Linotype"/>
        </w:rPr>
      </w:pPr>
      <w:r w:rsidRPr="00C41041">
        <w:rPr>
          <w:rFonts w:ascii="Palatino Linotype" w:hAnsi="Palatino Linotype"/>
        </w:rPr>
        <w:t xml:space="preserve">Patients experiencing relapse </w:t>
      </w:r>
      <w:r w:rsidR="008C6135" w:rsidRPr="00C41041">
        <w:rPr>
          <w:rFonts w:ascii="Palatino Linotype" w:hAnsi="Palatino Linotype"/>
        </w:rPr>
        <w:t>will exhibit higher levels of stress biomarkers (i.e., cortisol, alpha-amylase)</w:t>
      </w:r>
      <w:r w:rsidR="00222F26" w:rsidRPr="00C41041">
        <w:rPr>
          <w:rFonts w:ascii="Palatino Linotype" w:hAnsi="Palatino Linotype"/>
        </w:rPr>
        <w:t xml:space="preserve">, autonomic abnormalities, </w:t>
      </w:r>
      <w:r w:rsidR="00222F26" w:rsidRPr="0078069A">
        <w:rPr>
          <w:rFonts w:ascii="Palatino Linotype" w:hAnsi="Palatino Linotype"/>
        </w:rPr>
        <w:t>gut-microbiota</w:t>
      </w:r>
      <w:r w:rsidR="008C6135" w:rsidRPr="0078069A">
        <w:rPr>
          <w:rFonts w:ascii="Palatino Linotype" w:hAnsi="Palatino Linotype"/>
        </w:rPr>
        <w:t xml:space="preserve"> </w:t>
      </w:r>
      <w:r w:rsidR="00222F26" w:rsidRPr="0078069A">
        <w:rPr>
          <w:rFonts w:ascii="Palatino Linotype" w:hAnsi="Palatino Linotype"/>
        </w:rPr>
        <w:t>anomalies</w:t>
      </w:r>
      <w:r w:rsidR="00222F26" w:rsidRPr="00C41041">
        <w:rPr>
          <w:rFonts w:ascii="Palatino Linotype" w:hAnsi="Palatino Linotype"/>
        </w:rPr>
        <w:t xml:space="preserve">, </w:t>
      </w:r>
      <w:r w:rsidR="008C6135" w:rsidRPr="00C41041">
        <w:rPr>
          <w:rFonts w:ascii="Palatino Linotype" w:hAnsi="Palatino Linotype"/>
        </w:rPr>
        <w:t xml:space="preserve">and lower levels of estrogen than patients without </w:t>
      </w:r>
      <w:r w:rsidR="00222F26" w:rsidRPr="00C41041">
        <w:rPr>
          <w:rFonts w:ascii="Palatino Linotype" w:hAnsi="Palatino Linotype"/>
        </w:rPr>
        <w:t>relapse</w:t>
      </w:r>
      <w:r w:rsidR="0078069A" w:rsidRPr="0078069A">
        <w:rPr>
          <w:rFonts w:ascii="Palatino Linotype" w:hAnsi="Palatino Linotype"/>
        </w:rPr>
        <w:t xml:space="preserve"> </w:t>
      </w:r>
      <w:r w:rsidR="0078069A">
        <w:rPr>
          <w:rFonts w:ascii="Palatino Linotype" w:hAnsi="Palatino Linotype"/>
        </w:rPr>
        <w:t>within 1-7 days prior to the relapse</w:t>
      </w:r>
      <w:r w:rsidR="008C6135" w:rsidRPr="00C41041">
        <w:rPr>
          <w:rFonts w:ascii="Palatino Linotype" w:hAnsi="Palatino Linotype"/>
        </w:rPr>
        <w:t xml:space="preserve">. </w:t>
      </w:r>
    </w:p>
    <w:p w14:paraId="4C7473F0" w14:textId="38ABC81F" w:rsidR="008C6135" w:rsidRPr="00C41041" w:rsidRDefault="008C6135" w:rsidP="00BE1F34">
      <w:pPr>
        <w:pStyle w:val="aa"/>
        <w:numPr>
          <w:ilvl w:val="0"/>
          <w:numId w:val="2"/>
        </w:numPr>
        <w:bidi w:val="0"/>
        <w:spacing w:line="360" w:lineRule="auto"/>
        <w:ind w:left="426" w:hanging="284"/>
        <w:rPr>
          <w:rFonts w:ascii="Palatino Linotype" w:hAnsi="Palatino Linotype"/>
        </w:rPr>
      </w:pPr>
      <w:r w:rsidRPr="00C41041">
        <w:rPr>
          <w:rFonts w:ascii="Palatino Linotype" w:hAnsi="Palatino Linotype"/>
        </w:rPr>
        <w:t xml:space="preserve">The interaction of the HPG axis, the ANS, and the HPA axis will mediate the association between </w:t>
      </w:r>
      <w:r w:rsidR="00222F26" w:rsidRPr="00C41041">
        <w:rPr>
          <w:rFonts w:ascii="Palatino Linotype" w:hAnsi="Palatino Linotype"/>
        </w:rPr>
        <w:t>psychological</w:t>
      </w:r>
      <w:r w:rsidRPr="00C41041">
        <w:rPr>
          <w:rFonts w:ascii="Palatino Linotype" w:hAnsi="Palatino Linotype"/>
        </w:rPr>
        <w:t xml:space="preserve"> </w:t>
      </w:r>
      <w:r w:rsidR="00222F26" w:rsidRPr="00C41041">
        <w:rPr>
          <w:rFonts w:ascii="Palatino Linotype" w:hAnsi="Palatino Linotype"/>
        </w:rPr>
        <w:t>factors</w:t>
      </w:r>
      <w:r w:rsidRPr="00C41041">
        <w:rPr>
          <w:rFonts w:ascii="Palatino Linotype" w:hAnsi="Palatino Linotype"/>
        </w:rPr>
        <w:t xml:space="preserve"> and stress levels</w:t>
      </w:r>
      <w:r w:rsidR="00222F26" w:rsidRPr="00C41041">
        <w:rPr>
          <w:rFonts w:ascii="Palatino Linotype" w:hAnsi="Palatino Linotype"/>
        </w:rPr>
        <w:t xml:space="preserve"> among patients experiencing relapse</w:t>
      </w:r>
      <w:r w:rsidRPr="00C41041">
        <w:rPr>
          <w:rFonts w:ascii="Palatino Linotype" w:hAnsi="Palatino Linotype"/>
        </w:rPr>
        <w:t>.</w:t>
      </w:r>
    </w:p>
    <w:p w14:paraId="2A90AB23" w14:textId="1610AE98" w:rsidR="008C6135" w:rsidRPr="0078069A" w:rsidRDefault="008C6135" w:rsidP="00BE1F34">
      <w:pPr>
        <w:pStyle w:val="aa"/>
        <w:numPr>
          <w:ilvl w:val="0"/>
          <w:numId w:val="2"/>
        </w:numPr>
        <w:bidi w:val="0"/>
        <w:spacing w:line="360" w:lineRule="auto"/>
        <w:ind w:left="426" w:hanging="284"/>
        <w:rPr>
          <w:rFonts w:ascii="Palatino Linotype" w:hAnsi="Palatino Linotype"/>
        </w:rPr>
      </w:pPr>
      <w:r w:rsidRPr="00C41041">
        <w:rPr>
          <w:rFonts w:ascii="Palatino Linotype" w:hAnsi="Palatino Linotype"/>
        </w:rPr>
        <w:t xml:space="preserve">Biomarkers of the ANS and HPG axis will be associated with patients’ behavioral measures (measured through digital phenotyping) and will act as the mediator in the association </w:t>
      </w:r>
      <w:r w:rsidRPr="0078069A">
        <w:rPr>
          <w:rFonts w:ascii="Palatino Linotype" w:hAnsi="Palatino Linotype"/>
        </w:rPr>
        <w:t xml:space="preserve">between a given </w:t>
      </w:r>
      <w:r w:rsidR="008C4B79" w:rsidRPr="0078069A">
        <w:rPr>
          <w:rFonts w:ascii="Palatino Linotype" w:hAnsi="Palatino Linotype"/>
        </w:rPr>
        <w:t>psychological/biological</w:t>
      </w:r>
      <w:r w:rsidR="00222F26" w:rsidRPr="0078069A">
        <w:rPr>
          <w:rFonts w:ascii="Palatino Linotype" w:hAnsi="Palatino Linotype"/>
        </w:rPr>
        <w:t xml:space="preserve"> factors</w:t>
      </w:r>
      <w:r w:rsidRPr="0078069A">
        <w:rPr>
          <w:rFonts w:ascii="Palatino Linotype" w:hAnsi="Palatino Linotype"/>
        </w:rPr>
        <w:t xml:space="preserve"> and </w:t>
      </w:r>
      <w:r w:rsidR="008C4B79" w:rsidRPr="0078069A">
        <w:rPr>
          <w:rFonts w:ascii="Palatino Linotype" w:hAnsi="Palatino Linotype"/>
        </w:rPr>
        <w:t>relapse.</w:t>
      </w:r>
    </w:p>
    <w:p w14:paraId="3363D921" w14:textId="310AF456" w:rsidR="00252D56" w:rsidRPr="0078069A" w:rsidRDefault="008C4B79" w:rsidP="00BE1F34">
      <w:pPr>
        <w:pStyle w:val="aa"/>
        <w:numPr>
          <w:ilvl w:val="0"/>
          <w:numId w:val="2"/>
        </w:numPr>
        <w:bidi w:val="0"/>
        <w:spacing w:line="360" w:lineRule="auto"/>
        <w:ind w:left="426" w:hanging="284"/>
        <w:rPr>
          <w:rFonts w:ascii="Palatino Linotype" w:hAnsi="Palatino Linotype"/>
        </w:rPr>
      </w:pPr>
      <w:r w:rsidRPr="0078069A">
        <w:rPr>
          <w:rFonts w:ascii="Palatino Linotype" w:hAnsi="Palatino Linotype"/>
        </w:rPr>
        <w:t xml:space="preserve">Patients experiencing relapse </w:t>
      </w:r>
      <w:r w:rsidR="00252D56" w:rsidRPr="0078069A">
        <w:rPr>
          <w:rFonts w:ascii="Palatino Linotype" w:hAnsi="Palatino Linotype"/>
        </w:rPr>
        <w:t xml:space="preserve">will have longer periods of “active screen state”, will exhibit higher rates of “compulsive" smartphone use and non-use, will receive higher numbers of incoming calls and will place higher numbers of outgoing calls, and will receive higher numbers of incoming calls and will place higher numbers of outgoing calls within a 24-hour period (see research tools section below) than patients without </w:t>
      </w:r>
      <w:r w:rsidRPr="0078069A">
        <w:rPr>
          <w:rFonts w:ascii="Palatino Linotype" w:hAnsi="Palatino Linotype"/>
        </w:rPr>
        <w:t>relapse</w:t>
      </w:r>
      <w:r w:rsidR="00252D56" w:rsidRPr="0078069A">
        <w:rPr>
          <w:rFonts w:ascii="Palatino Linotype" w:hAnsi="Palatino Linotype"/>
        </w:rPr>
        <w:t>.</w:t>
      </w:r>
    </w:p>
    <w:p w14:paraId="0357B226" w14:textId="517A1639" w:rsidR="00A078FB" w:rsidRPr="00C41041" w:rsidRDefault="00A078FB" w:rsidP="00BE1F34">
      <w:pPr>
        <w:pStyle w:val="aa"/>
        <w:numPr>
          <w:ilvl w:val="0"/>
          <w:numId w:val="2"/>
        </w:numPr>
        <w:bidi w:val="0"/>
        <w:spacing w:line="360" w:lineRule="auto"/>
        <w:ind w:left="426"/>
        <w:rPr>
          <w:rFonts w:ascii="Palatino Linotype" w:hAnsi="Palatino Linotype"/>
        </w:rPr>
      </w:pPr>
      <w:r w:rsidRPr="0078069A">
        <w:rPr>
          <w:rFonts w:ascii="Palatino Linotype" w:hAnsi="Palatino Linotype"/>
        </w:rPr>
        <w:t>Patients’ behavioral measures (measured</w:t>
      </w:r>
      <w:r w:rsidRPr="00C41041">
        <w:rPr>
          <w:rFonts w:ascii="Palatino Linotype" w:hAnsi="Palatino Linotype"/>
        </w:rPr>
        <w:t xml:space="preserve"> through digital phenotyping) will act as the mediator in the association between a given </w:t>
      </w:r>
      <w:r w:rsidR="008C4B79" w:rsidRPr="00C41041">
        <w:rPr>
          <w:rFonts w:ascii="Palatino Linotype" w:hAnsi="Palatino Linotype"/>
        </w:rPr>
        <w:t>psychological</w:t>
      </w:r>
      <w:r w:rsidRPr="00C41041">
        <w:rPr>
          <w:rFonts w:ascii="Palatino Linotype" w:hAnsi="Palatino Linotype"/>
        </w:rPr>
        <w:t>/</w:t>
      </w:r>
      <w:r w:rsidR="008C4B79" w:rsidRPr="00C41041">
        <w:rPr>
          <w:rFonts w:ascii="Palatino Linotype" w:hAnsi="Palatino Linotype"/>
        </w:rPr>
        <w:t>biological</w:t>
      </w:r>
      <w:r w:rsidRPr="00C41041">
        <w:rPr>
          <w:rFonts w:ascii="Palatino Linotype" w:hAnsi="Palatino Linotype"/>
        </w:rPr>
        <w:t xml:space="preserve"> </w:t>
      </w:r>
      <w:r w:rsidR="008C4B79" w:rsidRPr="00C41041">
        <w:rPr>
          <w:rFonts w:ascii="Palatino Linotype" w:hAnsi="Palatino Linotype"/>
        </w:rPr>
        <w:t>factors</w:t>
      </w:r>
      <w:r w:rsidRPr="00C41041">
        <w:rPr>
          <w:rFonts w:ascii="Palatino Linotype" w:hAnsi="Palatino Linotype"/>
        </w:rPr>
        <w:t xml:space="preserve"> and </w:t>
      </w:r>
      <w:r w:rsidR="008C4B79" w:rsidRPr="00C41041">
        <w:rPr>
          <w:rFonts w:ascii="Palatino Linotype" w:hAnsi="Palatino Linotype"/>
        </w:rPr>
        <w:t>relapse.</w:t>
      </w:r>
    </w:p>
    <w:p w14:paraId="28D23643" w14:textId="56935C68" w:rsidR="008C6135" w:rsidRPr="00743C59" w:rsidRDefault="008C6135" w:rsidP="00743C59">
      <w:pPr>
        <w:bidi w:val="0"/>
        <w:spacing w:line="360" w:lineRule="auto"/>
        <w:rPr>
          <w:rFonts w:ascii="Palatino Linotype" w:hAnsi="Palatino Linotype"/>
          <w:b/>
          <w:bCs/>
        </w:rPr>
      </w:pPr>
      <w:r w:rsidRPr="00743C59">
        <w:rPr>
          <w:rFonts w:ascii="Palatino Linotype" w:hAnsi="Palatino Linotype"/>
          <w:b/>
          <w:bCs/>
        </w:rPr>
        <w:t>Methodology</w:t>
      </w:r>
    </w:p>
    <w:p w14:paraId="3B4E749B" w14:textId="575D780B" w:rsidR="00A04489" w:rsidRPr="00743C59" w:rsidRDefault="008C6135" w:rsidP="00743C59">
      <w:pPr>
        <w:bidi w:val="0"/>
        <w:spacing w:line="360" w:lineRule="auto"/>
        <w:rPr>
          <w:rFonts w:ascii="Palatino Linotype" w:hAnsi="Palatino Linotype" w:cs="Calibri"/>
          <w:color w:val="000000"/>
        </w:rPr>
      </w:pPr>
      <w:r w:rsidRPr="00743C59">
        <w:rPr>
          <w:rFonts w:ascii="Palatino Linotype" w:hAnsi="Palatino Linotype"/>
          <w:b/>
          <w:bCs/>
        </w:rPr>
        <w:lastRenderedPageBreak/>
        <w:t>Participants</w:t>
      </w:r>
      <w:r w:rsidRPr="00743C59">
        <w:rPr>
          <w:rFonts w:ascii="Palatino Linotype" w:hAnsi="Palatino Linotype"/>
        </w:rPr>
        <w:t>.</w:t>
      </w:r>
      <w:r w:rsidR="00A04489" w:rsidRPr="00743C59">
        <w:rPr>
          <w:rFonts w:ascii="Palatino Linotype" w:hAnsi="Palatino Linotype"/>
        </w:rPr>
        <w:t xml:space="preserve"> The </w:t>
      </w:r>
      <w:r w:rsidR="0078069A" w:rsidRPr="00743C59">
        <w:rPr>
          <w:rFonts w:ascii="Palatino Linotype" w:hAnsi="Palatino Linotype"/>
        </w:rPr>
        <w:t>200</w:t>
      </w:r>
      <w:r w:rsidR="00A04489" w:rsidRPr="00743C59">
        <w:rPr>
          <w:rFonts w:ascii="Palatino Linotype" w:hAnsi="Palatino Linotype"/>
        </w:rPr>
        <w:t xml:space="preserve"> participants in the study (age range </w:t>
      </w:r>
      <w:r w:rsidR="0078069A" w:rsidRPr="00743C59">
        <w:rPr>
          <w:rFonts w:ascii="Palatino Linotype" w:hAnsi="Palatino Linotype"/>
        </w:rPr>
        <w:t>18-45</w:t>
      </w:r>
      <w:r w:rsidR="00A04489" w:rsidRPr="00743C59">
        <w:rPr>
          <w:rFonts w:ascii="Palatino Linotype" w:hAnsi="Palatino Linotype"/>
        </w:rPr>
        <w:t>, both genders) would include patients</w:t>
      </w:r>
      <w:r w:rsidR="00522E9D" w:rsidRPr="00743C59">
        <w:rPr>
          <w:rFonts w:ascii="Palatino Linotype" w:hAnsi="Palatino Linotype"/>
        </w:rPr>
        <w:t xml:space="preserve"> with schizophrenia diagnosed according to the criteria of the Diagnostic and Sta</w:t>
      </w:r>
      <w:r w:rsidR="00C54481" w:rsidRPr="00743C59">
        <w:rPr>
          <w:rFonts w:ascii="Palatino Linotype" w:hAnsi="Palatino Linotype"/>
        </w:rPr>
        <w:t>tistical Manual of Mental Disorders, fifth edition (DSM-V)</w:t>
      </w:r>
      <w:r w:rsidR="00C54481" w:rsidRPr="00743C59">
        <w:rPr>
          <w:rFonts w:ascii="Palatino Linotype" w:hAnsi="Palatino Linotype"/>
          <w:highlight w:val="cyan"/>
          <w:vertAlign w:val="superscript"/>
        </w:rPr>
        <w:t>x</w:t>
      </w:r>
      <w:r w:rsidR="0078069A" w:rsidRPr="00743C59">
        <w:rPr>
          <w:rFonts w:ascii="Palatino Linotype" w:hAnsi="Palatino Linotype"/>
        </w:rPr>
        <w:t xml:space="preserve">. All participants will be interviewed using </w:t>
      </w:r>
      <w:r w:rsidR="0078069A" w:rsidRPr="00743C59">
        <w:rPr>
          <w:rFonts w:ascii="Palatino Linotype" w:hAnsi="Palatino Linotype" w:cs="Calibri"/>
          <w:color w:val="000000"/>
          <w:shd w:val="clear" w:color="auto" w:fill="FFFFFF"/>
        </w:rPr>
        <w:t>All participants will be interviewed </w:t>
      </w:r>
      <w:bookmarkStart w:id="0" w:name="_Hlk64464007"/>
      <w:r w:rsidR="0078069A" w:rsidRPr="00743C59">
        <w:rPr>
          <w:rFonts w:ascii="Palatino Linotype" w:hAnsi="Palatino Linotype" w:cs="Calibri"/>
          <w:color w:val="000000"/>
          <w:shd w:val="clear" w:color="auto" w:fill="FFFFFF"/>
        </w:rPr>
        <w:t xml:space="preserve">using the Structured Clinical Interview for DSM-5 (SCID). </w:t>
      </w:r>
      <w:bookmarkEnd w:id="0"/>
      <w:r w:rsidR="0078069A" w:rsidRPr="00743C59">
        <w:rPr>
          <w:rFonts w:ascii="Palatino Linotype" w:hAnsi="Palatino Linotype" w:cs="Calibri"/>
          <w:color w:val="000000"/>
          <w:shd w:val="clear" w:color="auto" w:fill="FFFF00"/>
        </w:rPr>
        <w:t xml:space="preserve">Patients will be recruited from </w:t>
      </w:r>
      <w:bookmarkStart w:id="1" w:name="_Hlk64461083"/>
      <w:r w:rsidR="0078069A" w:rsidRPr="00743C59">
        <w:rPr>
          <w:rFonts w:ascii="Palatino Linotype" w:hAnsi="Palatino Linotype" w:cs="Calibri"/>
          <w:color w:val="000000"/>
          <w:shd w:val="clear" w:color="auto" w:fill="FFFF00"/>
        </w:rPr>
        <w:t xml:space="preserve">Maale </w:t>
      </w:r>
      <w:bookmarkEnd w:id="1"/>
      <w:r w:rsidR="0078069A" w:rsidRPr="00743C59">
        <w:rPr>
          <w:rFonts w:ascii="Palatino Linotype" w:hAnsi="Palatino Linotype" w:cs="Calibri"/>
          <w:color w:val="000000"/>
          <w:shd w:val="clear" w:color="auto" w:fill="FFFF00"/>
        </w:rPr>
        <w:t xml:space="preserve">HaCarmel Mental Health Center (and other Centers) from November 2021 </w:t>
      </w:r>
      <w:r w:rsidR="0078069A" w:rsidRPr="00743C59">
        <w:rPr>
          <w:rFonts w:ascii="Palatino Linotype" w:hAnsi="Palatino Linotype" w:cs="Calibri"/>
          <w:color w:val="000000"/>
          <w:shd w:val="clear" w:color="auto" w:fill="FFFF00"/>
        </w:rPr>
        <w:t>toXXX</w:t>
      </w:r>
      <w:r w:rsidR="00C54481" w:rsidRPr="00743C59">
        <w:rPr>
          <w:rFonts w:ascii="Palatino Linotype" w:hAnsi="Palatino Linotype"/>
        </w:rPr>
        <w:t xml:space="preserve">. All patients will receive a stable dose of antipsychotic medication for at least 30 days before entry. They will be judged clinically stable by the </w:t>
      </w:r>
      <w:r w:rsidR="00D331DB" w:rsidRPr="00743C59">
        <w:rPr>
          <w:rFonts w:ascii="Palatino Linotype" w:hAnsi="Palatino Linotype"/>
        </w:rPr>
        <w:t>principal</w:t>
      </w:r>
      <w:r w:rsidR="00C54481" w:rsidRPr="00743C59">
        <w:rPr>
          <w:rFonts w:ascii="Palatino Linotype" w:hAnsi="Palatino Linotype"/>
        </w:rPr>
        <w:t xml:space="preserve"> investigator in the XXX. </w:t>
      </w:r>
      <w:r w:rsidR="00C54481" w:rsidRPr="00743C59">
        <w:rPr>
          <w:rFonts w:ascii="Palatino Linotype" w:hAnsi="Palatino Linotype"/>
          <w:highlight w:val="green"/>
        </w:rPr>
        <w:t>Exclusion criteria will include another DSM-V Axis I diagnosis, and Axis II diagnosis of borderline personality or antisocial personality disorder, substance dependence or abuse, medical illness…. XXXXX</w:t>
      </w:r>
      <w:r w:rsidR="00F56997" w:rsidRPr="00743C59">
        <w:rPr>
          <w:rFonts w:ascii="Palatino Linotype" w:hAnsi="Palatino Linotype"/>
          <w:color w:val="000000"/>
        </w:rPr>
        <w:t xml:space="preserve">  inability to participate in an interview or to take an online questionnaire, an inability to operate a digital diary smartphone app</w:t>
      </w:r>
      <w:r w:rsidR="00C54481" w:rsidRPr="00743C59">
        <w:rPr>
          <w:rFonts w:ascii="Palatino Linotype" w:hAnsi="Palatino Linotype"/>
        </w:rPr>
        <w:t xml:space="preserve">, and having underwent total abdominal hysterectomy with bilateral ovariectomies (women). Enrollment would be set to begin in </w:t>
      </w:r>
      <w:r w:rsidR="00C54481" w:rsidRPr="00743C59">
        <w:rPr>
          <w:rFonts w:ascii="Palatino Linotype" w:hAnsi="Palatino Linotype"/>
          <w:highlight w:val="green"/>
        </w:rPr>
        <w:t>XXX</w:t>
      </w:r>
      <w:r w:rsidR="00C54481" w:rsidRPr="00743C59">
        <w:rPr>
          <w:rFonts w:ascii="Palatino Linotype" w:hAnsi="Palatino Linotype"/>
        </w:rPr>
        <w:t>.</w:t>
      </w:r>
    </w:p>
    <w:p w14:paraId="69645ABB" w14:textId="18E34450" w:rsidR="00A04489" w:rsidRPr="00743C59" w:rsidRDefault="00A04489" w:rsidP="00743C59">
      <w:pPr>
        <w:bidi w:val="0"/>
        <w:spacing w:line="360" w:lineRule="auto"/>
        <w:rPr>
          <w:rFonts w:ascii="Palatino Linotype" w:hAnsi="Palatino Linotype"/>
        </w:rPr>
      </w:pPr>
      <w:r w:rsidRPr="00743C59">
        <w:rPr>
          <w:rFonts w:ascii="Palatino Linotype" w:hAnsi="Palatino Linotype"/>
          <w:b/>
          <w:bCs/>
        </w:rPr>
        <w:t>Research procedure</w:t>
      </w:r>
    </w:p>
    <w:p w14:paraId="384E54FB" w14:textId="170360AC" w:rsidR="007B5224" w:rsidRPr="00C41041" w:rsidRDefault="007B5224" w:rsidP="009859AA">
      <w:pPr>
        <w:bidi w:val="0"/>
        <w:spacing w:line="360" w:lineRule="auto"/>
        <w:ind w:firstLine="720"/>
        <w:rPr>
          <w:rFonts w:ascii="Palatino Linotype" w:hAnsi="Palatino Linotype"/>
        </w:rPr>
      </w:pPr>
      <w:r w:rsidRPr="00C41041">
        <w:rPr>
          <w:rFonts w:ascii="Palatino Linotype" w:hAnsi="Palatino Linotype"/>
        </w:rPr>
        <w:t xml:space="preserve">The current </w:t>
      </w:r>
      <w:r w:rsidR="0056400B" w:rsidRPr="00C41041">
        <w:rPr>
          <w:rFonts w:ascii="Palatino Linotype" w:hAnsi="Palatino Linotype"/>
        </w:rPr>
        <w:t>study design is a</w:t>
      </w:r>
      <w:r w:rsidRPr="00C41041">
        <w:rPr>
          <w:rFonts w:ascii="Palatino Linotype" w:hAnsi="Palatino Linotype"/>
        </w:rPr>
        <w:t xml:space="preserve"> between-subject (</w:t>
      </w:r>
      <w:r w:rsidR="003178E8" w:rsidRPr="00C41041">
        <w:rPr>
          <w:rFonts w:ascii="Palatino Linotype" w:hAnsi="Palatino Linotype"/>
        </w:rPr>
        <w:t xml:space="preserve">patients experiencing relapse </w:t>
      </w:r>
      <w:r w:rsidRPr="00C41041">
        <w:rPr>
          <w:rFonts w:ascii="Palatino Linotype" w:hAnsi="Palatino Linotype"/>
        </w:rPr>
        <w:t xml:space="preserve">vs. patients without </w:t>
      </w:r>
      <w:r w:rsidR="003178E8" w:rsidRPr="00C41041">
        <w:rPr>
          <w:rFonts w:ascii="Palatino Linotype" w:hAnsi="Palatino Linotype"/>
        </w:rPr>
        <w:t>relapse</w:t>
      </w:r>
      <w:r w:rsidRPr="00C41041">
        <w:rPr>
          <w:rFonts w:ascii="Palatino Linotype" w:hAnsi="Palatino Linotype"/>
        </w:rPr>
        <w:t>)</w:t>
      </w:r>
      <w:r w:rsidR="0056400B" w:rsidRPr="00C41041">
        <w:rPr>
          <w:rFonts w:ascii="Palatino Linotype" w:hAnsi="Palatino Linotype"/>
        </w:rPr>
        <w:t xml:space="preserve">. </w:t>
      </w:r>
      <w:r w:rsidRPr="00C41041">
        <w:rPr>
          <w:rFonts w:ascii="Palatino Linotype" w:hAnsi="Palatino Linotype"/>
        </w:rPr>
        <w:t xml:space="preserve">The study will begin following the approval from the </w:t>
      </w:r>
      <w:r w:rsidR="003178E8" w:rsidRPr="00C41041">
        <w:rPr>
          <w:rFonts w:ascii="Palatino Linotype" w:hAnsi="Palatino Linotype"/>
          <w:highlight w:val="green"/>
        </w:rPr>
        <w:t>XXX</w:t>
      </w:r>
      <w:r w:rsidRPr="00C41041">
        <w:rPr>
          <w:rFonts w:ascii="Palatino Linotype" w:hAnsi="Palatino Linotype"/>
        </w:rPr>
        <w:t xml:space="preserve"> Helsinki Committee. All patients will be asked to provide their informed consent prior to starting the study. Standard data privacy and security practices will be followed, in accordance with the General Data Protection Regulation (GDPR).</w:t>
      </w:r>
      <w:r w:rsidR="00282093" w:rsidRPr="00C41041">
        <w:rPr>
          <w:rFonts w:ascii="Palatino Linotype" w:hAnsi="Palatino Linotype"/>
          <w:color w:val="000000"/>
          <w:highlight w:val="cyan"/>
          <w:vertAlign w:val="superscript"/>
        </w:rPr>
        <w:t>62,63</w:t>
      </w:r>
    </w:p>
    <w:p w14:paraId="443AC830" w14:textId="7D5B5EAD" w:rsidR="007B5224" w:rsidRPr="00C41041" w:rsidRDefault="007B5224" w:rsidP="009859AA">
      <w:pPr>
        <w:bidi w:val="0"/>
        <w:spacing w:line="360" w:lineRule="auto"/>
        <w:ind w:firstLine="720"/>
        <w:rPr>
          <w:rFonts w:ascii="Palatino Linotype" w:hAnsi="Palatino Linotype"/>
          <w:color w:val="000000"/>
          <w:vertAlign w:val="superscript"/>
        </w:rPr>
      </w:pPr>
      <w:r w:rsidRPr="00C41041">
        <w:rPr>
          <w:rFonts w:ascii="Palatino Linotype" w:hAnsi="Palatino Linotype" w:cs="Times New Roman"/>
        </w:rPr>
        <w:t xml:space="preserve">At entry into the study, assessments of baseline </w:t>
      </w:r>
      <w:r w:rsidR="003876D8" w:rsidRPr="00C41041">
        <w:rPr>
          <w:rFonts w:ascii="Palatino Linotype" w:hAnsi="Palatino Linotype" w:cs="Times New Roman"/>
        </w:rPr>
        <w:t>psychological</w:t>
      </w:r>
      <w:r w:rsidRPr="00C41041">
        <w:rPr>
          <w:rFonts w:ascii="Palatino Linotype" w:hAnsi="Palatino Linotype" w:cs="Times New Roman"/>
        </w:rPr>
        <w:t xml:space="preserve"> characteristics and biological markers will be collected</w:t>
      </w:r>
      <w:r w:rsidRPr="00C41041">
        <w:rPr>
          <w:rFonts w:ascii="Palatino Linotype" w:hAnsi="Palatino Linotype"/>
        </w:rPr>
        <w:t xml:space="preserve">. To obtain other biomarker data (cortisol, alpha-amylase, testosterone, estrogen, progesterone), </w:t>
      </w:r>
      <w:r w:rsidRPr="00C41041">
        <w:rPr>
          <w:rFonts w:ascii="Palatino Linotype" w:hAnsi="Palatino Linotype" w:cs="Times New Roman"/>
        </w:rPr>
        <w:t xml:space="preserve">patients will be asked to provide saliva samples at several assessment points – at baseline and at multiple follow-up timepoints, up to </w:t>
      </w:r>
      <w:r w:rsidR="003876D8" w:rsidRPr="00C41041">
        <w:rPr>
          <w:rFonts w:ascii="Palatino Linotype" w:hAnsi="Palatino Linotype" w:cs="Times New Roman"/>
          <w:highlight w:val="green"/>
        </w:rPr>
        <w:t>X</w:t>
      </w:r>
      <w:r w:rsidRPr="00C41041">
        <w:rPr>
          <w:rFonts w:ascii="Palatino Linotype" w:hAnsi="Palatino Linotype" w:cs="Times New Roman"/>
        </w:rPr>
        <w:t xml:space="preserve"> mont</w:t>
      </w:r>
      <w:r w:rsidR="003876D8" w:rsidRPr="00C41041">
        <w:rPr>
          <w:rFonts w:ascii="Palatino Linotype" w:hAnsi="Palatino Linotype" w:cs="Times New Roman"/>
        </w:rPr>
        <w:t>hs</w:t>
      </w:r>
      <w:r w:rsidRPr="00C41041">
        <w:rPr>
          <w:rFonts w:ascii="Palatino Linotype" w:hAnsi="Palatino Linotype" w:cs="Times New Roman"/>
        </w:rPr>
        <w:t xml:space="preserve">. </w:t>
      </w:r>
      <w:r w:rsidR="00B84FC2" w:rsidRPr="00C41041">
        <w:rPr>
          <w:rFonts w:ascii="Palatino Linotype" w:hAnsi="Palatino Linotype"/>
          <w:highlight w:val="green"/>
        </w:rPr>
        <w:t>Epithelia…</w:t>
      </w:r>
      <w:r w:rsidR="00B84FC2" w:rsidRPr="00C41041">
        <w:rPr>
          <w:rFonts w:ascii="Palatino Linotype" w:hAnsi="Palatino Linotype"/>
        </w:rPr>
        <w:t>.</w:t>
      </w:r>
      <w:r w:rsidRPr="00C41041">
        <w:rPr>
          <w:rFonts w:ascii="Palatino Linotype" w:hAnsi="Palatino Linotype"/>
        </w:rPr>
        <w:t xml:space="preserve">Patients will also be provided with </w:t>
      </w:r>
      <w:r w:rsidRPr="00C41041">
        <w:rPr>
          <w:rFonts w:ascii="Palatino Linotype" w:hAnsi="Palatino Linotype"/>
          <w:highlight w:val="green"/>
        </w:rPr>
        <w:t>a</w:t>
      </w:r>
      <w:r w:rsidR="00A63FC1" w:rsidRPr="00C41041">
        <w:rPr>
          <w:rFonts w:ascii="Palatino Linotype" w:hAnsi="Palatino Linotype"/>
          <w:highlight w:val="green"/>
        </w:rPr>
        <w:t xml:space="preserve"> digital </w:t>
      </w:r>
      <w:r w:rsidRPr="00C41041">
        <w:rPr>
          <w:rFonts w:ascii="Palatino Linotype" w:hAnsi="Palatino Linotype"/>
          <w:highlight w:val="green"/>
        </w:rPr>
        <w:t>diary</w:t>
      </w:r>
      <w:r w:rsidRPr="00C41041">
        <w:rPr>
          <w:rFonts w:ascii="Palatino Linotype" w:hAnsi="Palatino Linotype"/>
        </w:rPr>
        <w:t xml:space="preserve"> and will receive a detailed explanation about how to use the e-diary. </w:t>
      </w:r>
      <w:r w:rsidRPr="00C41041">
        <w:rPr>
          <w:rFonts w:ascii="Palatino Linotype" w:hAnsi="Palatino Linotype"/>
          <w:highlight w:val="green"/>
        </w:rPr>
        <w:t>The</w:t>
      </w:r>
      <w:r w:rsidR="00A63FC1" w:rsidRPr="00C41041">
        <w:rPr>
          <w:rFonts w:ascii="Palatino Linotype" w:hAnsi="Palatino Linotype"/>
          <w:highlight w:val="green"/>
        </w:rPr>
        <w:t xml:space="preserve"> digital diary</w:t>
      </w:r>
      <w:r w:rsidR="00A63FC1" w:rsidRPr="00C41041">
        <w:rPr>
          <w:rFonts w:ascii="Palatino Linotype" w:hAnsi="Palatino Linotype"/>
        </w:rPr>
        <w:t xml:space="preserve"> </w:t>
      </w:r>
      <w:r w:rsidRPr="00C41041">
        <w:rPr>
          <w:rFonts w:ascii="Palatino Linotype" w:hAnsi="Palatino Linotype"/>
        </w:rPr>
        <w:t>smartphone app will also include a digital phenotyping sensor that will monitor accelerometer data, smartphone power states, number of incoming/outgoing calls, etc.).</w:t>
      </w:r>
      <w:r w:rsidR="009859AA" w:rsidRPr="00C41041">
        <w:rPr>
          <w:rFonts w:ascii="Palatino Linotype" w:hAnsi="Palatino Linotype"/>
        </w:rPr>
        <w:t xml:space="preserve"> </w:t>
      </w:r>
      <w:r w:rsidR="00F82DDF" w:rsidRPr="00C41041">
        <w:rPr>
          <w:rFonts w:ascii="Palatino Linotype" w:hAnsi="Palatino Linotype"/>
          <w:highlight w:val="green"/>
        </w:rPr>
        <w:t xml:space="preserve">Relapse </w:t>
      </w:r>
      <w:r w:rsidRPr="00C41041">
        <w:rPr>
          <w:rFonts w:ascii="Palatino Linotype" w:hAnsi="Palatino Linotype"/>
          <w:highlight w:val="green"/>
        </w:rPr>
        <w:t xml:space="preserve">will be assessed through </w:t>
      </w:r>
      <w:r w:rsidRPr="00743C59">
        <w:rPr>
          <w:rFonts w:ascii="Palatino Linotype" w:hAnsi="Palatino Linotype"/>
          <w:highlight w:val="green"/>
        </w:rPr>
        <w:t>the</w:t>
      </w:r>
      <w:r w:rsidR="00743C59" w:rsidRPr="00743C59">
        <w:rPr>
          <w:rFonts w:ascii="Palatino Linotype" w:hAnsi="Palatino Linotype"/>
          <w:color w:val="000000"/>
        </w:rPr>
        <w:t xml:space="preserve"> Brief Psychiatric Rating Scale (BPRS).</w:t>
      </w:r>
      <w:r w:rsidR="00743C59" w:rsidRPr="00743C59">
        <w:rPr>
          <w:rFonts w:ascii="Palatino Linotype" w:hAnsi="Palatino Linotype"/>
          <w:color w:val="000000"/>
          <w:highlight w:val="cyan"/>
          <w:vertAlign w:val="superscript"/>
        </w:rPr>
        <w:t>xx</w:t>
      </w:r>
    </w:p>
    <w:p w14:paraId="4C865971" w14:textId="77777777" w:rsidR="001810AC" w:rsidRPr="00C41041" w:rsidRDefault="001810AC" w:rsidP="001810AC">
      <w:pPr>
        <w:bidi w:val="0"/>
        <w:spacing w:line="360" w:lineRule="auto"/>
        <w:rPr>
          <w:rFonts w:ascii="Palatino Linotype" w:hAnsi="Palatino Linotype"/>
          <w:b/>
          <w:bCs/>
        </w:rPr>
      </w:pPr>
      <w:r w:rsidRPr="00C41041">
        <w:rPr>
          <w:rFonts w:ascii="Palatino Linotype" w:hAnsi="Palatino Linotype"/>
          <w:b/>
          <w:bCs/>
        </w:rPr>
        <w:t>Data analyses and statistical plan</w:t>
      </w:r>
    </w:p>
    <w:p w14:paraId="59222229" w14:textId="3011A520" w:rsidR="001810AC" w:rsidRPr="00C41041" w:rsidRDefault="001810AC" w:rsidP="001810AC">
      <w:pPr>
        <w:bidi w:val="0"/>
        <w:spacing w:line="360" w:lineRule="auto"/>
        <w:rPr>
          <w:rFonts w:ascii="Palatino Linotype" w:hAnsi="Palatino Linotype" w:cs="Arial"/>
        </w:rPr>
      </w:pPr>
      <w:r w:rsidRPr="00C41041">
        <w:rPr>
          <w:rFonts w:ascii="Palatino Linotype" w:hAnsi="Palatino Linotype"/>
        </w:rPr>
        <w:t xml:space="preserve">Digital footprints from smartphone data (digital phenotyping), biological markers, and self-report questionnaires representing </w:t>
      </w:r>
      <w:r w:rsidR="00F82DDF" w:rsidRPr="00C41041">
        <w:rPr>
          <w:rFonts w:ascii="Palatino Linotype" w:hAnsi="Palatino Linotype"/>
        </w:rPr>
        <w:t>psychological states</w:t>
      </w:r>
      <w:r w:rsidRPr="00C41041">
        <w:rPr>
          <w:rFonts w:ascii="Palatino Linotype" w:hAnsi="Palatino Linotype"/>
        </w:rPr>
        <w:t xml:space="preserve"> will be associated with </w:t>
      </w:r>
      <w:r w:rsidR="00F82DDF" w:rsidRPr="00C41041">
        <w:rPr>
          <w:rFonts w:ascii="Palatino Linotype" w:hAnsi="Palatino Linotype"/>
          <w:highlight w:val="green"/>
        </w:rPr>
        <w:t>XXXX</w:t>
      </w:r>
      <w:r w:rsidRPr="00C41041">
        <w:rPr>
          <w:rFonts w:ascii="Palatino Linotype" w:hAnsi="Palatino Linotype"/>
        </w:rPr>
        <w:t xml:space="preserve">  in order to detect potential behavioral predictors of </w:t>
      </w:r>
      <w:r w:rsidR="00F82DDF" w:rsidRPr="00C41041">
        <w:rPr>
          <w:rFonts w:ascii="Palatino Linotype" w:hAnsi="Palatino Linotype"/>
        </w:rPr>
        <w:t xml:space="preserve">relapse. </w:t>
      </w:r>
    </w:p>
    <w:p w14:paraId="7A987E62" w14:textId="000F35D6" w:rsidR="00D74D69" w:rsidRPr="00743C59" w:rsidRDefault="00743C59" w:rsidP="00743C59">
      <w:pPr>
        <w:bidi w:val="0"/>
        <w:spacing w:line="360" w:lineRule="auto"/>
        <w:rPr>
          <w:rFonts w:ascii="Palatino Linotype" w:hAnsi="Palatino Linotype"/>
        </w:rPr>
      </w:pPr>
      <w:r w:rsidRPr="00C41041">
        <w:rPr>
          <w:rFonts w:ascii="Palatino Linotype" w:hAnsi="Palatino Linotype"/>
        </w:rPr>
        <w:lastRenderedPageBreak/>
        <w:t>Data collection</w:t>
      </w:r>
      <w:r>
        <w:rPr>
          <w:rFonts w:ascii="Palatino Linotype" w:hAnsi="Palatino Linotype"/>
        </w:rPr>
        <w:t>: Smartphone sensor and logs data collection software</w:t>
      </w:r>
      <w:r w:rsidRPr="00C41041">
        <w:rPr>
          <w:rFonts w:ascii="Palatino Linotype" w:hAnsi="Palatino Linotype"/>
        </w:rPr>
        <w:t xml:space="preserve"> (</w:t>
      </w:r>
      <w:r>
        <w:rPr>
          <w:rFonts w:ascii="Palatino Linotype" w:hAnsi="Palatino Linotype"/>
        </w:rPr>
        <w:t>open source Aware digital phenotyping framework)</w:t>
      </w:r>
      <w:r w:rsidRPr="00C41041">
        <w:rPr>
          <w:rFonts w:ascii="Palatino Linotype" w:hAnsi="Palatino Linotype"/>
        </w:rPr>
        <w:t xml:space="preserve"> </w:t>
      </w:r>
      <w:r>
        <w:rPr>
          <w:rFonts w:ascii="Palatino Linotype" w:hAnsi="Palatino Linotype"/>
        </w:rPr>
        <w:t>will be customized for our research goals (</w:t>
      </w:r>
      <w:r w:rsidRPr="00C41041">
        <w:rPr>
          <w:rFonts w:ascii="Palatino Linotype" w:hAnsi="Palatino Linotype"/>
        </w:rPr>
        <w:t xml:space="preserve">Android and OS environment). </w:t>
      </w:r>
      <w:r w:rsidRPr="00C41041">
        <w:rPr>
          <w:rFonts w:ascii="Palatino Linotype" w:hAnsi="Palatino Linotype"/>
          <w:highlight w:val="green"/>
        </w:rPr>
        <w:t>Data preparation</w:t>
      </w:r>
      <w:r>
        <w:rPr>
          <w:rFonts w:ascii="Palatino Linotype" w:hAnsi="Palatino Linotype"/>
          <w:highlight w:val="green"/>
        </w:rPr>
        <w:t xml:space="preserve">: Various R and Python packages for data prep. </w:t>
      </w:r>
      <w:r w:rsidRPr="00C41041">
        <w:rPr>
          <w:rFonts w:ascii="Palatino Linotype" w:hAnsi="Palatino Linotype"/>
          <w:highlight w:val="green"/>
        </w:rPr>
        <w:t>Data analysis software for machine learning and other AI modeling:  Machine learning packages for Python and RapidMiner server installation on AWS.</w:t>
      </w:r>
      <w:r w:rsidRPr="00C41041">
        <w:rPr>
          <w:rFonts w:ascii="Palatino Linotype" w:hAnsi="Palatino Linotype"/>
        </w:rPr>
        <w:t xml:space="preserve"> </w:t>
      </w:r>
      <w:r w:rsidRPr="00C41041">
        <w:rPr>
          <w:rFonts w:ascii="Palatino Linotype" w:hAnsi="Palatino Linotype"/>
          <w:highlight w:val="green"/>
        </w:rPr>
        <w:t>Statistical analysis using: Jamovi open-source R statistical package for R, R software, and SPSS software version 25, will be used to conduct statistical data analyses</w:t>
      </w:r>
      <w:r w:rsidRPr="00C41041">
        <w:rPr>
          <w:rFonts w:ascii="Palatino Linotype" w:hAnsi="Palatino Linotype"/>
        </w:rPr>
        <w:t xml:space="preserve">. The statistical significance level will be set to an alpha of 0.05, such that the null hypothesis would be rejected if p &lt; .05. Pearson's correlation analyses will be performed between endocrine parameters and ANS parameters. Patients who experienced relapse during the </w:t>
      </w:r>
      <w:r w:rsidRPr="00C41041">
        <w:rPr>
          <w:rFonts w:ascii="Palatino Linotype" w:hAnsi="Palatino Linotype"/>
          <w:highlight w:val="green"/>
        </w:rPr>
        <w:t>XX</w:t>
      </w:r>
      <w:r w:rsidRPr="00C41041">
        <w:rPr>
          <w:rFonts w:ascii="Palatino Linotype" w:hAnsi="Palatino Linotype"/>
        </w:rPr>
        <w:t xml:space="preserve">-month follow-up period will be part of the experimental group (relapse patients), whereas patients without relapse will be part of the control group. Hypotheses regarding differences in psychological variables, biomarkers, allostatic overload (AO), and digital footprints between relapse patients and control patients will be tested using </w:t>
      </w:r>
      <w:r w:rsidRPr="00C41041">
        <w:rPr>
          <w:rFonts w:ascii="Palatino Linotype" w:hAnsi="Palatino Linotype"/>
          <w:highlight w:val="green"/>
        </w:rPr>
        <w:t>XXXXX</w:t>
      </w:r>
      <w:r w:rsidRPr="00C41041">
        <w:rPr>
          <w:rFonts w:ascii="Palatino Linotype" w:hAnsi="Palatino Linotype"/>
        </w:rPr>
        <w:t xml:space="preserve">. Hierarchical logistic regressions will be used to test the moderation hypotheses regarding the role of the interaction between the HPG axis and the ANS and the MGB in the associations among psychological variables, AO, and relapse. Logistic regression and linear regression analyses will be used to test the mediation hypotheses regarding the role of digital phenotyping in explaining the association between psychological and biological variables and relapse. </w:t>
      </w:r>
    </w:p>
    <w:p w14:paraId="3C74495B" w14:textId="689A1806" w:rsidR="001810AC" w:rsidRPr="00C41041" w:rsidRDefault="001810AC" w:rsidP="00D74D69">
      <w:pPr>
        <w:bidi w:val="0"/>
        <w:spacing w:line="360" w:lineRule="auto"/>
        <w:rPr>
          <w:rFonts w:ascii="Palatino Linotype" w:hAnsi="Palatino Linotype"/>
          <w:b/>
          <w:bCs/>
        </w:rPr>
      </w:pPr>
      <w:r w:rsidRPr="00C41041">
        <w:rPr>
          <w:rFonts w:ascii="Palatino Linotype" w:hAnsi="Palatino Linotype"/>
          <w:b/>
          <w:bCs/>
        </w:rPr>
        <w:t>Research tools</w:t>
      </w:r>
    </w:p>
    <w:p w14:paraId="250DEDB7" w14:textId="02775F03" w:rsidR="001810AC" w:rsidRPr="00C41041" w:rsidRDefault="001810AC" w:rsidP="001810AC">
      <w:pPr>
        <w:bidi w:val="0"/>
        <w:spacing w:line="360" w:lineRule="auto"/>
        <w:rPr>
          <w:rFonts w:ascii="Palatino Linotype" w:hAnsi="Palatino Linotype"/>
        </w:rPr>
      </w:pPr>
      <w:r w:rsidRPr="00C41041">
        <w:rPr>
          <w:rFonts w:ascii="Palatino Linotype" w:hAnsi="Palatino Linotype"/>
        </w:rPr>
        <w:t xml:space="preserve">We intend to utilize </w:t>
      </w:r>
      <w:r w:rsidR="00E82C54">
        <w:rPr>
          <w:rFonts w:ascii="Palatino Linotype" w:hAnsi="Palatino Linotype"/>
        </w:rPr>
        <w:t>several</w:t>
      </w:r>
      <w:r w:rsidRPr="00C41041">
        <w:rPr>
          <w:rFonts w:ascii="Palatino Linotype" w:hAnsi="Palatino Linotype"/>
        </w:rPr>
        <w:t xml:space="preserve"> research tools, which fall under </w:t>
      </w:r>
      <w:r w:rsidRPr="00C41041">
        <w:rPr>
          <w:rFonts w:ascii="Palatino Linotype" w:hAnsi="Palatino Linotype"/>
          <w:highlight w:val="green"/>
        </w:rPr>
        <w:t>four</w:t>
      </w:r>
      <w:r w:rsidRPr="00C41041">
        <w:rPr>
          <w:rFonts w:ascii="Palatino Linotype" w:hAnsi="Palatino Linotype"/>
        </w:rPr>
        <w:t xml:space="preserve"> broad categories, to measure indicators that we deem to be potentially relevant to important psychological</w:t>
      </w:r>
      <w:r w:rsidR="008C25D8" w:rsidRPr="00C41041">
        <w:rPr>
          <w:rFonts w:ascii="Palatino Linotype" w:hAnsi="Palatino Linotype"/>
        </w:rPr>
        <w:t xml:space="preserve"> and biological</w:t>
      </w:r>
      <w:r w:rsidRPr="00C41041">
        <w:rPr>
          <w:rFonts w:ascii="Palatino Linotype" w:hAnsi="Palatino Linotype"/>
        </w:rPr>
        <w:t xml:space="preserve"> risk factors of </w:t>
      </w:r>
      <w:r w:rsidR="008C25D8" w:rsidRPr="00C41041">
        <w:rPr>
          <w:rFonts w:ascii="Palatino Linotype" w:hAnsi="Palatino Linotype"/>
        </w:rPr>
        <w:t>relapse</w:t>
      </w:r>
      <w:r w:rsidR="00B66094" w:rsidRPr="00C41041">
        <w:rPr>
          <w:rFonts w:ascii="Palatino Linotype" w:hAnsi="Palatino Linotype"/>
        </w:rPr>
        <w:t xml:space="preserve">. </w:t>
      </w:r>
      <w:r w:rsidRPr="00C41041">
        <w:rPr>
          <w:rFonts w:ascii="Palatino Linotype" w:hAnsi="Palatino Linotype"/>
        </w:rPr>
        <w:t>In addition, a general demographic questionnaire will be administered, which will include questions about participants’ age and gender, as well as contact information for follow-up questionnaires and email addresses to obtain participants’ consent to take part in the study.</w:t>
      </w:r>
    </w:p>
    <w:p w14:paraId="10D121BC" w14:textId="3E400800" w:rsidR="001810AC" w:rsidRPr="00C41041" w:rsidRDefault="001810AC" w:rsidP="009859AA">
      <w:pPr>
        <w:bidi w:val="0"/>
        <w:spacing w:line="360" w:lineRule="auto"/>
        <w:rPr>
          <w:rFonts w:ascii="Palatino Linotype" w:hAnsi="Palatino Linotype"/>
          <w:b/>
          <w:bCs/>
        </w:rPr>
      </w:pPr>
      <w:r w:rsidRPr="00C41041">
        <w:rPr>
          <w:rFonts w:ascii="Palatino Linotype" w:hAnsi="Palatino Linotype"/>
          <w:b/>
          <w:bCs/>
        </w:rPr>
        <w:t xml:space="preserve">Measuring </w:t>
      </w:r>
      <w:r w:rsidR="008C25D8" w:rsidRPr="00C41041">
        <w:rPr>
          <w:rFonts w:ascii="Palatino Linotype" w:hAnsi="Palatino Linotype"/>
          <w:b/>
          <w:bCs/>
        </w:rPr>
        <w:t>behavioral indicators that are potentially related to psychological</w:t>
      </w:r>
      <w:r w:rsidRPr="00C41041">
        <w:rPr>
          <w:rFonts w:ascii="Palatino Linotype" w:hAnsi="Palatino Linotype"/>
          <w:b/>
          <w:bCs/>
        </w:rPr>
        <w:t xml:space="preserve"> and biological risk factors of </w:t>
      </w:r>
      <w:r w:rsidR="008C25D8" w:rsidRPr="00C41041">
        <w:rPr>
          <w:rFonts w:ascii="Palatino Linotype" w:hAnsi="Palatino Linotype"/>
          <w:b/>
          <w:bCs/>
        </w:rPr>
        <w:t>relapse</w:t>
      </w:r>
    </w:p>
    <w:p w14:paraId="397FB57A" w14:textId="513855C9" w:rsidR="00E642B0" w:rsidRPr="00C41041" w:rsidRDefault="00E642B0" w:rsidP="00E642B0">
      <w:pPr>
        <w:bidi w:val="0"/>
        <w:spacing w:line="360" w:lineRule="auto"/>
        <w:rPr>
          <w:rFonts w:ascii="Palatino Linotype" w:hAnsi="Palatino Linotype"/>
          <w:b/>
          <w:bCs/>
        </w:rPr>
      </w:pPr>
      <w:r w:rsidRPr="00C41041">
        <w:rPr>
          <w:rFonts w:ascii="Palatino Linotype" w:hAnsi="Palatino Linotype"/>
          <w:b/>
          <w:bCs/>
        </w:rPr>
        <w:t>Biological factors:</w:t>
      </w:r>
    </w:p>
    <w:p w14:paraId="07D946B3" w14:textId="2B263ED7" w:rsidR="001810AC" w:rsidRPr="00C41041" w:rsidRDefault="009171BD" w:rsidP="009171BD">
      <w:pPr>
        <w:bidi w:val="0"/>
        <w:spacing w:line="360" w:lineRule="auto"/>
        <w:rPr>
          <w:rFonts w:ascii="Palatino Linotype" w:hAnsi="Palatino Linotype"/>
          <w:rtl/>
        </w:rPr>
      </w:pPr>
      <w:r w:rsidRPr="00C41041">
        <w:rPr>
          <w:rFonts w:ascii="Palatino Linotype" w:hAnsi="Palatino Linotype"/>
          <w:b/>
          <w:bCs/>
        </w:rPr>
        <w:t xml:space="preserve">1) </w:t>
      </w:r>
      <w:r w:rsidR="001810AC" w:rsidRPr="00C41041">
        <w:rPr>
          <w:rFonts w:ascii="Palatino Linotype" w:hAnsi="Palatino Linotype"/>
          <w:b/>
          <w:bCs/>
        </w:rPr>
        <w:t xml:space="preserve">ANS function – </w:t>
      </w:r>
      <w:r w:rsidR="001810AC" w:rsidRPr="00C41041">
        <w:rPr>
          <w:rFonts w:ascii="Palatino Linotype" w:hAnsi="Palatino Linotype"/>
        </w:rPr>
        <w:t xml:space="preserve">ANS function will be assessed through </w:t>
      </w:r>
      <w:r w:rsidR="00383406" w:rsidRPr="00C41041">
        <w:rPr>
          <w:rFonts w:ascii="Palatino Linotype" w:hAnsi="Palatino Linotype"/>
        </w:rPr>
        <w:t xml:space="preserve">a wearable device worn on participant's wrist recording electrodermal activity (will assess </w:t>
      </w:r>
      <w:r w:rsidR="009B5D4B" w:rsidRPr="00C41041">
        <w:rPr>
          <w:rFonts w:ascii="Palatino Linotype" w:hAnsi="Palatino Linotype"/>
        </w:rPr>
        <w:t xml:space="preserve">sympathetic nervous system </w:t>
      </w:r>
      <w:r w:rsidR="00E82C54" w:rsidRPr="00C41041">
        <w:rPr>
          <w:rFonts w:ascii="Palatino Linotype" w:hAnsi="Palatino Linotype"/>
        </w:rPr>
        <w:t>arousal</w:t>
      </w:r>
      <w:r w:rsidR="009B5D4B" w:rsidRPr="00C41041">
        <w:rPr>
          <w:rFonts w:ascii="Palatino Linotype" w:hAnsi="Palatino Linotype"/>
        </w:rPr>
        <w:t xml:space="preserve">); blood volume pulse (from this measure it is possible to extract inter-beat intervals (IBIs), and in turn, </w:t>
      </w:r>
      <w:r w:rsidR="009B5D4B" w:rsidRPr="00C41041">
        <w:rPr>
          <w:rFonts w:ascii="Palatino Linotype" w:hAnsi="Palatino Linotype"/>
        </w:rPr>
        <w:lastRenderedPageBreak/>
        <w:t>from IBIs it is possible to extract HRV</w:t>
      </w:r>
      <w:r w:rsidR="00547A38" w:rsidRPr="00C41041">
        <w:rPr>
          <w:rFonts w:ascii="Palatino Linotype" w:hAnsi="Palatino Linotype"/>
        </w:rPr>
        <w:t xml:space="preserve">. </w:t>
      </w:r>
      <w:r w:rsidR="009B5D4B" w:rsidRPr="00C41041">
        <w:rPr>
          <w:rFonts w:ascii="Palatino Linotype" w:hAnsi="Palatino Linotype"/>
        </w:rPr>
        <w:t xml:space="preserve"> </w:t>
      </w:r>
      <w:r w:rsidRPr="00C41041">
        <w:rPr>
          <w:rFonts w:ascii="Palatino Linotype" w:hAnsi="Palatino Linotype"/>
        </w:rPr>
        <w:t>2)</w:t>
      </w:r>
      <w:r w:rsidR="007776A7" w:rsidRPr="00C41041">
        <w:rPr>
          <w:rFonts w:ascii="Palatino Linotype" w:hAnsi="Palatino Linotype"/>
          <w:b/>
          <w:bCs/>
        </w:rPr>
        <w:t xml:space="preserve"> </w:t>
      </w:r>
      <w:r w:rsidR="001810AC" w:rsidRPr="00C41041">
        <w:rPr>
          <w:rFonts w:ascii="Palatino Linotype" w:hAnsi="Palatino Linotype"/>
          <w:b/>
          <w:bCs/>
        </w:rPr>
        <w:t>Biological markers for stress and HPG</w:t>
      </w:r>
      <w:r w:rsidR="001810AC" w:rsidRPr="00C41041">
        <w:rPr>
          <w:rFonts w:ascii="Palatino Linotype" w:hAnsi="Palatino Linotype"/>
        </w:rPr>
        <w:t xml:space="preserve"> – </w:t>
      </w:r>
      <w:r w:rsidR="007776A7" w:rsidRPr="00C41041">
        <w:rPr>
          <w:rFonts w:ascii="Palatino Linotype" w:hAnsi="Palatino Linotype"/>
        </w:rPr>
        <w:t>Saliva</w:t>
      </w:r>
      <w:r w:rsidR="001810AC" w:rsidRPr="00C41041">
        <w:rPr>
          <w:rFonts w:ascii="Palatino Linotype" w:hAnsi="Palatino Linotype"/>
        </w:rPr>
        <w:t xml:space="preserve"> samples will be </w:t>
      </w:r>
      <w:r w:rsidR="007776A7" w:rsidRPr="00C41041">
        <w:rPr>
          <w:rFonts w:ascii="Palatino Linotype" w:hAnsi="Palatino Linotype"/>
        </w:rPr>
        <w:t>collected</w:t>
      </w:r>
      <w:r w:rsidR="001810AC" w:rsidRPr="00C41041">
        <w:rPr>
          <w:rFonts w:ascii="Palatino Linotype" w:hAnsi="Palatino Linotype"/>
        </w:rPr>
        <w:t xml:space="preserve"> to test for cortisol, alpha-amylase, testosterone, estrogen, and progesterone. </w:t>
      </w:r>
      <w:r w:rsidR="007776A7" w:rsidRPr="00C41041">
        <w:rPr>
          <w:rFonts w:ascii="Palatino Linotype" w:hAnsi="Palatino Linotype"/>
        </w:rPr>
        <w:t>Saliva</w:t>
      </w:r>
      <w:r w:rsidR="001810AC" w:rsidRPr="00C41041">
        <w:rPr>
          <w:rFonts w:ascii="Palatino Linotype" w:hAnsi="Palatino Linotype"/>
        </w:rPr>
        <w:t xml:space="preserve"> samples will be analyzed in the endocrine laboratory of the </w:t>
      </w:r>
      <w:r w:rsidR="00547A38" w:rsidRPr="00C41041">
        <w:rPr>
          <w:rFonts w:ascii="Palatino Linotype" w:hAnsi="Palatino Linotype"/>
        </w:rPr>
        <w:t>Ramba</w:t>
      </w:r>
      <w:r w:rsidR="00E642B0" w:rsidRPr="00C41041">
        <w:rPr>
          <w:rFonts w:ascii="Palatino Linotype" w:hAnsi="Palatino Linotype"/>
        </w:rPr>
        <w:t>m</w:t>
      </w:r>
      <w:r w:rsidR="00547A38" w:rsidRPr="00C41041">
        <w:rPr>
          <w:rFonts w:ascii="Palatino Linotype" w:hAnsi="Palatino Linotype"/>
        </w:rPr>
        <w:t xml:space="preserve"> health care campus</w:t>
      </w:r>
      <w:r w:rsidR="001810AC" w:rsidRPr="00C41041">
        <w:rPr>
          <w:rFonts w:ascii="Palatino Linotype" w:hAnsi="Palatino Linotype"/>
        </w:rPr>
        <w:t xml:space="preserve">. </w:t>
      </w:r>
      <w:r w:rsidR="00E642B0" w:rsidRPr="00C41041">
        <w:rPr>
          <w:rFonts w:ascii="Palatino Linotype" w:hAnsi="Palatino Linotype"/>
        </w:rPr>
        <w:t xml:space="preserve">3) </w:t>
      </w:r>
      <w:r w:rsidR="00E642B0" w:rsidRPr="00C41041">
        <w:rPr>
          <w:rFonts w:ascii="Palatino Linotype" w:hAnsi="Palatino Linotype"/>
          <w:highlight w:val="green"/>
        </w:rPr>
        <w:t>gut microbiota</w:t>
      </w:r>
    </w:p>
    <w:p w14:paraId="0E18A6CA" w14:textId="3173DCF4" w:rsidR="001810AC" w:rsidRPr="00C41041" w:rsidRDefault="00E642B0" w:rsidP="001810AC">
      <w:pPr>
        <w:bidi w:val="0"/>
        <w:spacing w:line="360" w:lineRule="auto"/>
        <w:rPr>
          <w:rFonts w:ascii="Palatino Linotype" w:hAnsi="Palatino Linotype"/>
          <w:b/>
          <w:bCs/>
        </w:rPr>
      </w:pPr>
      <w:r w:rsidRPr="00C41041">
        <w:rPr>
          <w:rFonts w:ascii="Palatino Linotype" w:hAnsi="Palatino Linotype"/>
          <w:b/>
          <w:bCs/>
        </w:rPr>
        <w:t>Psychological factors:</w:t>
      </w:r>
    </w:p>
    <w:p w14:paraId="7593D53E" w14:textId="18FC9E24" w:rsidR="001810AC" w:rsidRPr="00C41041" w:rsidRDefault="009171BD" w:rsidP="00E642B0">
      <w:pPr>
        <w:bidi w:val="0"/>
        <w:spacing w:line="360" w:lineRule="auto"/>
        <w:rPr>
          <w:rFonts w:ascii="Palatino Linotype" w:hAnsi="Palatino Linotype"/>
          <w:vertAlign w:val="superscript"/>
        </w:rPr>
      </w:pPr>
      <w:r w:rsidRPr="00C41041">
        <w:rPr>
          <w:rFonts w:ascii="Palatino Linotype" w:hAnsi="Palatino Linotype"/>
          <w:b/>
          <w:bCs/>
        </w:rPr>
        <w:t xml:space="preserve">1) </w:t>
      </w:r>
      <w:r w:rsidR="001810AC" w:rsidRPr="00C41041">
        <w:rPr>
          <w:rFonts w:ascii="Palatino Linotype" w:hAnsi="Palatino Linotype"/>
          <w:b/>
          <w:bCs/>
        </w:rPr>
        <w:t>Stress and perceived stress</w:t>
      </w:r>
      <w:r w:rsidR="001810AC" w:rsidRPr="00C41041">
        <w:rPr>
          <w:rFonts w:ascii="Palatino Linotype" w:hAnsi="Palatino Linotype"/>
        </w:rPr>
        <w:t xml:space="preserve"> – Measures of stress and perceived stress will be based on the concept of allostatic overload (AO). AO occurs when one’s cumulative life events and chronic stressors exceed one’s resources.</w:t>
      </w:r>
      <w:r w:rsidR="001408F0" w:rsidRPr="00C41041">
        <w:rPr>
          <w:rFonts w:ascii="Palatino Linotype" w:hAnsi="Palatino Linotype"/>
          <w:color w:val="000000"/>
          <w:highlight w:val="cyan"/>
          <w:vertAlign w:val="superscript"/>
        </w:rPr>
        <w:t>67,68</w:t>
      </w:r>
      <w:r w:rsidR="001810AC" w:rsidRPr="00C41041">
        <w:rPr>
          <w:rFonts w:ascii="Palatino Linotype" w:hAnsi="Palatino Linotype"/>
        </w:rPr>
        <w:t xml:space="preserve"> To experience AO two criteria must be met. First, it requires the presence of an identifiable stressor that is perceived as exceeding or taxing the individual's coping skills. The presence of a stressor, and one’s perceived inability to effectively cope with the situation, will be measured using the self-report psychosocial index, specifically the stress subscales.</w:t>
      </w:r>
      <w:r w:rsidR="001408F0" w:rsidRPr="00C41041">
        <w:rPr>
          <w:rFonts w:ascii="Palatino Linotype" w:hAnsi="Palatino Linotype"/>
          <w:color w:val="000000"/>
          <w:highlight w:val="cyan"/>
          <w:vertAlign w:val="superscript"/>
        </w:rPr>
        <w:t>69</w:t>
      </w:r>
      <w:r w:rsidR="001810AC" w:rsidRPr="00C41041">
        <w:rPr>
          <w:rFonts w:ascii="Palatino Linotype" w:hAnsi="Palatino Linotype"/>
        </w:rPr>
        <w:t xml:space="preserve"> The second criteria is that the stressor must be associated with at least one of the following: psychiatric symptoms, psychosomatic symptoms, impaired functioning, or compromised well-being. The presence of AO will be determined if the participant’s self-report satisfies both criteria.</w:t>
      </w:r>
      <w:r w:rsidR="001408F0" w:rsidRPr="00C41041">
        <w:rPr>
          <w:rFonts w:ascii="Palatino Linotype" w:hAnsi="Palatino Linotype"/>
          <w:color w:val="000000"/>
          <w:highlight w:val="cyan"/>
          <w:vertAlign w:val="superscript"/>
        </w:rPr>
        <w:t>70</w:t>
      </w:r>
      <w:r w:rsidRPr="00C41041">
        <w:rPr>
          <w:rFonts w:ascii="Palatino Linotype" w:hAnsi="Palatino Linotype"/>
          <w:b/>
          <w:bCs/>
        </w:rPr>
        <w:t xml:space="preserve"> 2) </w:t>
      </w:r>
      <w:r w:rsidR="001810AC" w:rsidRPr="00C41041">
        <w:rPr>
          <w:rFonts w:ascii="Palatino Linotype" w:hAnsi="Palatino Linotype"/>
          <w:b/>
          <w:bCs/>
        </w:rPr>
        <w:t xml:space="preserve">Depressive symptoms – </w:t>
      </w:r>
      <w:r w:rsidR="001810AC" w:rsidRPr="00C41041">
        <w:rPr>
          <w:rFonts w:ascii="Palatino Linotype" w:hAnsi="Palatino Linotype"/>
          <w:highlight w:val="green"/>
        </w:rPr>
        <w:t xml:space="preserve">The Beck Depression Inventory (BDI) will be used to assess depressive symptomatology. This measure contains 21 self-report items, each of which are rated on 0 to 3 scale. </w:t>
      </w:r>
      <w:r w:rsidR="001408F0" w:rsidRPr="00C41041">
        <w:rPr>
          <w:rFonts w:ascii="Palatino Linotype" w:hAnsi="Palatino Linotype"/>
          <w:color w:val="000000"/>
          <w:highlight w:val="cyan"/>
          <w:vertAlign w:val="superscript"/>
        </w:rPr>
        <w:t>71</w:t>
      </w:r>
      <w:r w:rsidRPr="00C41041">
        <w:rPr>
          <w:rFonts w:ascii="Palatino Linotype" w:hAnsi="Palatino Linotype"/>
          <w:b/>
          <w:bCs/>
        </w:rPr>
        <w:t xml:space="preserve"> 3) </w:t>
      </w:r>
      <w:r w:rsidR="001810AC" w:rsidRPr="00C41041">
        <w:rPr>
          <w:rFonts w:ascii="Palatino Linotype" w:hAnsi="Palatino Linotype"/>
          <w:b/>
          <w:bCs/>
          <w:highlight w:val="green"/>
        </w:rPr>
        <w:t>Anxiety</w:t>
      </w:r>
      <w:r w:rsidR="001810AC" w:rsidRPr="00C41041">
        <w:rPr>
          <w:rFonts w:ascii="Palatino Linotype" w:hAnsi="Palatino Linotype"/>
          <w:highlight w:val="green"/>
        </w:rPr>
        <w:t xml:space="preserve"> – Anxiety will be assessed using the state anxiety subscale of the State Trait Anxiety Inventory (STAI). The subscale consists of 20 items, each of which are rated on a 4-point Likert scale ranging from 1 (not at all) to 4 (very much so).</w:t>
      </w:r>
      <w:r w:rsidR="001408F0" w:rsidRPr="00C41041">
        <w:rPr>
          <w:rFonts w:ascii="Palatino Linotype" w:hAnsi="Palatino Linotype"/>
          <w:bCs/>
          <w:color w:val="000000"/>
          <w:highlight w:val="cyan"/>
          <w:vertAlign w:val="superscript"/>
        </w:rPr>
        <w:t>72</w:t>
      </w:r>
      <w:r w:rsidRPr="00C41041">
        <w:rPr>
          <w:rFonts w:ascii="Palatino Linotype" w:hAnsi="Palatino Linotype"/>
          <w:b/>
          <w:bCs/>
        </w:rPr>
        <w:t xml:space="preserve"> 4</w:t>
      </w:r>
      <w:r w:rsidRPr="00C41041">
        <w:rPr>
          <w:rFonts w:ascii="Palatino Linotype" w:hAnsi="Palatino Linotype"/>
          <w:b/>
          <w:bCs/>
          <w:highlight w:val="green"/>
        </w:rPr>
        <w:t xml:space="preserve">) </w:t>
      </w:r>
      <w:r w:rsidR="00E642B0" w:rsidRPr="00C41041">
        <w:rPr>
          <w:rFonts w:ascii="Palatino Linotype" w:hAnsi="Palatino Linotype"/>
          <w:b/>
          <w:bCs/>
          <w:highlight w:val="green"/>
        </w:rPr>
        <w:t xml:space="preserve">Sleep quality XXX 5) Psychosis XXXX 6) Warning symptom scale XX 7) </w:t>
      </w:r>
      <w:r w:rsidR="00E642B0" w:rsidRPr="00C41041">
        <w:rPr>
          <w:rFonts w:ascii="Palatino Linotype" w:hAnsi="Palatino Linotype"/>
          <w:highlight w:val="green"/>
        </w:rPr>
        <w:t>Treatment adherence XXX</w:t>
      </w:r>
      <w:r w:rsidR="00E642B0" w:rsidRPr="00C41041">
        <w:rPr>
          <w:rFonts w:ascii="Palatino Linotype" w:hAnsi="Palatino Linotype"/>
        </w:rPr>
        <w:t xml:space="preserve"> </w:t>
      </w:r>
    </w:p>
    <w:p w14:paraId="5D9B2C33" w14:textId="51CBBE33" w:rsidR="001810AC" w:rsidRPr="00E707DC" w:rsidRDefault="001810AC" w:rsidP="00E707DC">
      <w:pPr>
        <w:bidi w:val="0"/>
        <w:spacing w:line="360" w:lineRule="auto"/>
        <w:rPr>
          <w:rFonts w:ascii="Palatino Linotype" w:hAnsi="Palatino Linotype"/>
          <w:b/>
          <w:bCs/>
        </w:rPr>
      </w:pPr>
      <w:r w:rsidRPr="00E707DC">
        <w:rPr>
          <w:rFonts w:ascii="Palatino Linotype" w:hAnsi="Palatino Linotype"/>
          <w:b/>
          <w:bCs/>
        </w:rPr>
        <w:t>Digital phenotyping measurements of smartphone data: Behavioral data</w:t>
      </w:r>
      <w:r w:rsidR="00D331DB" w:rsidRPr="00E707DC">
        <w:rPr>
          <w:rFonts w:ascii="Palatino Linotype" w:hAnsi="Palatino Linotype"/>
          <w:b/>
          <w:bCs/>
        </w:rPr>
        <w:t>:</w:t>
      </w:r>
    </w:p>
    <w:p w14:paraId="54916116" w14:textId="77777777" w:rsidR="00E707DC" w:rsidRPr="00E707DC" w:rsidRDefault="00E707DC" w:rsidP="00E707DC">
      <w:pPr>
        <w:bidi w:val="0"/>
        <w:spacing w:line="360" w:lineRule="auto"/>
        <w:rPr>
          <w:rFonts w:ascii="Palatino Linotype" w:hAnsi="Palatino Linotype"/>
        </w:rPr>
      </w:pPr>
      <w:r w:rsidRPr="00E707DC">
        <w:rPr>
          <w:rFonts w:ascii="Palatino Linotype" w:hAnsi="Palatino Linotype"/>
        </w:rPr>
        <w:t>Maintaining a reliable data collection platform that uses smartphone sensors is a major challenge. We will use the open source Aware-light platform, a platform with which we have already gained experience in the past year in two different studies. The Aware research platform is part of the broader Aware framework and was developed by the Academy of Finland and by the University of Melbourne, Australia.</w:t>
      </w:r>
      <w:sdt>
        <w:sdtPr>
          <w:rPr>
            <w:rFonts w:ascii="Palatino Linotype" w:hAnsi="Palatino Linotype"/>
            <w:color w:val="000000"/>
            <w:highlight w:val="yellow"/>
            <w:vertAlign w:val="superscript"/>
          </w:rPr>
          <w:tag w:val="MENDELEY_CITATION_{&quot;citationID&quot;:&quot;MENDELEY_CITATION_f7bd850b-c74d-491c-abf9-6a1ac9fa0728&quot;,&quot;citationItems&quot;:[{&quot;id&quot;:&quot;048f92a1-a52f-32a2-8acb-53cccee9517f&quot;,&quot;itemData&quot;:{&quot;type&quot;:&quot;article-journal&quot;,&quot;id&quot;:&quot;048f92a1-a52f-32a2-8acb-53cccee9517f&quot;,&quot;title&quot;:&quot;Smartphone-based passive assessment of mobility in depression: Challenges and opportunities&quot;,&quot;author&quot;:[{&quot;family&quot;:&quot;Renn&quot;,&quot;given&quot;:&quot;Brenna N.&quot;,&quot;parse-names&quot;:false,&quot;dropping-particle&quot;:&quot;&quot;,&quot;non-dropping-particle&quot;:&quot;&quot;},{&quot;family&quot;:&quot;Pratap&quot;,&quot;given&quot;:&quot;Abhishek&quot;,&quot;parse-names&quot;:false,&quot;dropping-particle&quot;:&quot;&quot;,&quot;non-dropping-particle&quot;:&quot;&quot;},{&quot;family&quot;:&quot;Atkins&quot;,&quot;given&quot;:&quot;David C.&quot;,&quot;parse-names&quot;:false,&quot;dropping-particle&quot;:&quot;&quot;,&quot;non-dropping-particle&quot;:&quot;&quot;},{&quot;family&quot;:&quot;Mooney&quot;,&quot;given&quot;:&quot;Sean D.&quot;,&quot;parse-names&quot;:false,&quot;dropping-particle&quot;:&quot;&quot;,&quot;non-dropping-particle&quot;:&quot;&quot;},{&quot;family&quot;:&quot;Areán&quot;,&quot;given&quot;:&quot;Patricia A.&quot;,&quot;parse-names&quot;:false,&quot;dropping-particle&quot;:&quot;&quot;,&quot;non-dropping-particle&quot;:&quot;&quot;}],&quot;container-title&quot;:&quot;Mental Health and Physical Activity&quot;,&quot;DOI&quot;:&quot;10.1016/j.mhpa.2018.04.003&quot;,&quot;ISSN&quot;:&quot;18780199&quot;,&quot;issued&quot;:{&quot;date-parts&quot;:[[2018,3,1]]},&quot;page&quot;:&quot;136-139&quot;,&quot;abstract&quot;:&quot;Advances in technology have ushered in exciting potential for smartphone sensors to inform mental health care. This commentary addresses the practical challenges of collecting smartphone-based physical activity data. Using data (N = 353) from a large scale, fully remote randomized clinical trial for depression, we discuss findings and limitations associated with using passively collected mobility data to make inferences about depressive symptom severity. We highlight a range of issues in associating mobility data with mental health symptoms, including a high degree of variability, data featurization, granularity, and sparsity. Given the considerable efforts toward leveraging technology in mental health care, it is important to consider these challenges to optimize assessment and guide best practices. Clinical Trials.gov identifier: NCT01808976.&quot;,&quot;publisher&quot;:&quot;Elsevier Ltd&quot;,&quot;volume&quot;:&quot;14&quot;},&quot;isTemporary&quot;:false}],&quot;properties&quot;:{&quot;noteIndex&quot;:0},&quot;isEdited&quot;:false,&quot;manualOverride&quot;:{&quot;isManuallyOverriden&quot;:false,&quot;citeprocText&quot;:&quot;&quot;,&quot;manualOverrideText&quot;:&quot;&quot;}}"/>
          <w:id w:val="1458840376"/>
          <w:placeholder>
            <w:docPart w:val="6CF304F6E8D04FE0859052B87093AFB8"/>
          </w:placeholder>
        </w:sdtPr>
        <w:sdtContent>
          <w:r w:rsidRPr="00E707DC">
            <w:rPr>
              <w:rFonts w:ascii="Palatino Linotype" w:eastAsia="Times New Roman" w:hAnsi="Palatino Linotype"/>
              <w:color w:val="000000"/>
              <w:highlight w:val="yellow"/>
              <w:vertAlign w:val="superscript"/>
            </w:rPr>
            <w:t>13</w:t>
          </w:r>
        </w:sdtContent>
      </w:sdt>
      <w:r w:rsidRPr="00E707DC">
        <w:rPr>
          <w:rFonts w:ascii="Palatino Linotype" w:hAnsi="Palatino Linotype"/>
        </w:rPr>
        <w:t xml:space="preserve"> AWARE captures hardware, software, and human-based data from smartphones. Aware is fully complied with GDPR standards. By design, AWARE does not collect any personal identifiers in its data and stores data locally on the users’ phones. Integrating the mobile client with an AWARE Server allows replication of the data to a secure remote database. AWARE offers data encryption and obfuscation by default, crucial to safeguard the transition between local-only data and shared data. During a study deployment, a user can withdraw and </w:t>
      </w:r>
      <w:r w:rsidRPr="00E707DC">
        <w:rPr>
          <w:rFonts w:ascii="Palatino Linotype" w:hAnsi="Palatino Linotype"/>
        </w:rPr>
        <w:lastRenderedPageBreak/>
        <w:t>remove the collected data from the server and the mobile phone at any time, directly from his phone. As the data is primarily stored on the users’ device, it will be backed to a secured AWS RDS MySQL database using an SQLite client.</w:t>
      </w:r>
      <w:sdt>
        <w:sdtPr>
          <w:rPr>
            <w:rFonts w:ascii="Palatino Linotype" w:hAnsi="Palatino Linotype"/>
            <w:color w:val="000000"/>
            <w:highlight w:val="yellow"/>
            <w:vertAlign w:val="superscript"/>
          </w:rPr>
          <w:tag w:val="MENDELEY_CITATION_{&quot;citationID&quot;:&quot;MENDELEY_CITATION_f6be1436-2735-4937-9d6b-7b33d40f30c8&quot;,&quot;citationItems&quot;:[{&quot;id&quot;:&quot;f7e8413f-bfff-347a-8edb-ec88ee232238&quot;,&quot;itemData&quot;:{&quot;type&quot;:&quot;webpage&quot;,&quot;id&quot;:&quot;f7e8413f-bfff-347a-8edb-ec88ee232238&quot;,&quot;title&quot;:&quot;Privacy Policy – AWARE&quot;,&quot;accessed&quot;:{&quot;date-parts&quot;:[[2021,2,18]]},&quot;URL&quot;:&quot;https://awareframework.com/privacy/&quot;},&quot;isTemporary&quot;:false}],&quot;properties&quot;:{&quot;noteIndex&quot;:0},&quot;isEdited&quot;:false,&quot;manualOverride&quot;:{&quot;isManuallyOverriden&quot;:false,&quot;citeprocText&quot;:&quot;&lt;sup&gt;79&lt;/sup&gt;&quot;,&quot;manualOverrideText&quot;:&quot;&quot;}}"/>
          <w:id w:val="-1574654958"/>
          <w:placeholder>
            <w:docPart w:val="6CF304F6E8D04FE0859052B87093AFB8"/>
          </w:placeholder>
        </w:sdtPr>
        <w:sdtContent>
          <w:r w:rsidRPr="00E707DC">
            <w:rPr>
              <w:rFonts w:ascii="Palatino Linotype" w:eastAsia="Times New Roman" w:hAnsi="Palatino Linotype"/>
              <w:color w:val="000000"/>
              <w:highlight w:val="yellow"/>
              <w:vertAlign w:val="superscript"/>
            </w:rPr>
            <w:t>79</w:t>
          </w:r>
        </w:sdtContent>
      </w:sdt>
      <w:r w:rsidRPr="00E707DC">
        <w:rPr>
          <w:rFonts w:ascii="Palatino Linotype" w:hAnsi="Palatino Linotype"/>
        </w:rPr>
        <w:t xml:space="preserve"> The app collects phone sensor data (e.g., using a GPS, accelerometer, magnetometer smartphone sensors) and phone usage data (e.g., communication logs and screen activity). The Aware app also allows for administrating an e-Diary (Experience Sampling module) which is a method to measure behavior, thoughts, and feelings of study participants throughout their daily lives. Data is collected through self-reports completed by the study participants. We plan to use the Experience Sampling module as well for short daily and weekly questionnaire. Below are the parameters we plan to </w:t>
      </w:r>
      <w:r w:rsidRPr="00E707DC">
        <w:rPr>
          <w:rFonts w:ascii="Palatino Linotype" w:hAnsi="Palatino Linotype"/>
          <w:highlight w:val="yellow"/>
        </w:rPr>
        <w:t>use:</w:t>
      </w:r>
      <w:sdt>
        <w:sdtPr>
          <w:rPr>
            <w:rFonts w:ascii="Palatino Linotype" w:hAnsi="Palatino Linotype"/>
            <w:color w:val="000000"/>
            <w:highlight w:val="yellow"/>
            <w:vertAlign w:val="superscript"/>
          </w:rPr>
          <w:tag w:val="MENDELEY_CITATION_{&quot;citationID&quot;:&quot;MENDELEY_CITATION_b84134db-d2a8-4c7e-8ed6-45f38c5fc52e&quot;,&quot;citationItems&quot;:[{&quot;id&quot;:&quot;bf0b4e70-7af9-379b-8000-4f51a10d71ba&quot;,&quot;itemData&quot;:{&quot;type&quot;:&quot;article-journal&quot;,&quot;id&quot;:&quot;bf0b4e70-7af9-379b-8000-4f51a10d71ba&quot;,&quot;title&quot;:&quot;Predicting personality from patterns of behavior collected with smartphones&quot;,&quot;author&quot;:[{&quot;family&quot;:&quot;Stachl&quot;,&quot;given&quot;:&quot;Clemens&quot;,&quot;parse-names&quot;:false,&quot;dropping-particle&quot;:&quot;&quot;,&quot;non-dropping-particle&quot;:&quot;&quot;},{&quot;family&quot;:&quot;Au&quot;,&quot;given&quot;:&quot;Quay&quot;,&quot;parse-names&quot;:false,&quot;dropping-particle&quot;:&quot;&quot;,&quot;non-dropping-particle&quot;:&quot;&quot;},{&quot;family&quot;:&quot;Schoedel&quot;,&quot;given&quot;:&quot;Ramona&quot;,&quot;parse-names&quot;:false,&quot;dropping-particle&quot;:&quot;&quot;,&quot;non-dropping-particle&quot;:&quot;&quot;},{&quot;family&quot;:&quot;Gosling&quot;,&quot;given&quot;:&quot;Samuel D.&quot;,&quot;parse-names&quot;:false,&quot;dropping-particle&quot;:&quot;&quot;,&quot;non-dropping-particle&quot;:&quot;&quot;},{&quot;family&quot;:&quot;Harari&quot;,&quot;given&quot;:&quot;Gabriella M.&quot;,&quot;parse-names&quot;:false,&quot;dropping-particle&quot;:&quot;&quot;,&quot;non-dropping-particle&quot;:&quot;&quot;},{&quot;family&quot;:&quot;Buschek&quot;,&quot;given&quot;:&quot;Daniel&quot;,&quot;parse-names&quot;:false,&quot;dropping-particle&quot;:&quot;&quot;,&quot;non-dropping-particle&quot;:&quot;&quot;},{&quot;family&quot;:&quot;Völkel&quot;,&quot;given&quot;:&quot;Sarah Theres&quot;,&quot;parse-names&quot;:false,&quot;dropping-particle&quot;:&quot;&quot;,&quot;non-dropping-particle&quot;:&quot;&quot;},{&quot;family&quot;:&quot;Schuwerk&quot;,&quot;given&quot;:&quot;Tobias&quot;,&quot;parse-names&quot;:false,&quot;dropping-particle&quot;:&quot;&quot;,&quot;non-dropping-particle&quot;:&quot;&quot;},{&quot;family&quot;:&quot;Oldemeier&quot;,&quot;given&quot;:&quot;Michelle&quot;,&quot;parse-names&quot;:false,&quot;dropping-particle&quot;:&quot;&quot;,&quot;non-dropping-particle&quot;:&quot;&quot;},{&quot;family&quot;:&quot;Ullmann&quot;,&quot;given&quot;:&quot;Theresa&quot;,&quot;parse-names&quot;:false,&quot;dropping-particle&quot;:&quot;&quot;,&quot;non-dropping-particle&quot;:&quot;&quot;},{&quot;family&quot;:&quot;Hussmann&quot;,&quot;given&quot;:&quot;Heinrich&quot;,&quot;parse-names&quot;:false,&quot;dropping-particle&quot;:&quot;&quot;,&quot;non-dropping-particle&quot;:&quot;&quot;},{&quot;family&quot;:&quot;Bischl&quot;,&quot;given&quot;:&quot;Bernd&quot;,&quot;parse-names&quot;:false,&quot;dropping-particle&quot;:&quot;&quot;,&quot;non-dropping-particle&quot;:&quot;&quot;},{&quot;family&quot;:&quot;Bühner&quot;,&quot;given&quot;:&quot;Markus&quot;,&quot;parse-names&quot;:false,&quot;dropping-particle&quot;:&quot;&quot;,&quot;non-dropping-particle&quot;:&quot;&quot;}],&quot;container-title&quot;:&quot;Proceedings of the National Academy of Sciences of the United States of America&quot;,&quot;DOI&quot;:&quot;10.1073/pnas.1920484117&quot;,&quot;ISSN&quot;:&quot;10916490&quot;,&quot;PMID&quot;:&quot;32665436&quot;,&quot;URL&quot;:&quot;www.pnas.org/cgi/doi/10.1073/pnas.1920484117&quot;,&quot;issued&quot;:{&quot;date-parts&quot;:[[2020]]},&quot;page&quot;:&quot;17680-17687&quot;,&quot;abstract&quot;:&quot;Smartphones enjoy high adoption rates around the globe. Rarely more than an arm’s length away, these sensor-rich devices can easily be repurposed to collect rich and extensive records of their users’ behaviors (e.g., location, communication, media consumption), posing serious threats to individual privacy. Here we examine the extent to which individuals’ Big Five personality dimensions can be predicted on the basis of six different classes of behavioral information collected via sensor and log data harvested from smartphones. Taking a machine-learning approach, we predict personality at broad domain (rmedian = 0.37) and narrow facet levels (rmedian = 0.40) based on behavioral data collected from 624 volunteers over 30 consecutive days (25,347,089 logging events). Our cross-validated results reveal that specific patterns in behaviors in the domains of 1) communication and social behavior, 2) music consumption, 3) app usage, 4) mobility, 5) overall phone activity, and 6) day- and night-time activity are distinctively predictive of the Big Five personality traits. The accuracy of these predictions is similar to that found for predictions based on digital footprints from social media platforms and demonstrates the possibility of obtaining information about individuals’ private traits from behavioral patterns passively collected from their smartphones. Overall, our results point to both the benefits (e.g., in research settings) and dangers (e.g., privacy implications, psychological targeting) presented by the widespread collection and modeling of behavioral data obtained from smartphones.&quot;,&quot;issue&quot;:&quot;30&quot;,&quot;volume&quot;:&quot;117&quot;},&quot;isTemporary&quot;:false},{&quot;id&quot;:&quot;af52148e-1eae-3fc0-b18e-5049cec1f336&quot;,&quot;itemData&quot;:{&quot;type&quot;:&quot;article-journal&quot;,&quot;id&quot;:&quot;af52148e-1eae-3fc0-b18e-5049cec1f336&quot;,&quot;title&quot;:&quot;Using Smartphones to Collect Behavioral Data in Psychological Science: Opportunities, Practical Considerations, and Challenges&quot;,&quot;author&quot;:[{&quot;family&quot;:&quot;Harari&quot;,&quot;given&quot;:&quot;Gabriella M&quot;,&quot;parse-names&quot;:false,&quot;dropping-particle&quot;:&quot;&quot;,&quot;non-dropping-particle&quot;:&quot;&quot;},{&quot;family&quot;:&quot;Lane&quot;,&quot;given&quot;:&quot;Nicholas D&quot;,&quot;parse-names&quot;:false,&quot;dropping-particle&quot;:&quot;&quot;,&quot;non-dropping-particle&quot;:&quot;&quot;},{&quot;family&quot;:&quot;Wang&quot;,&quot;given&quot;:&quot;Rui&quot;,&quot;parse-names&quot;:false,&quot;dropping-particle&quot;:&quot;&quot;,&quot;non-dropping-particle&quot;:&quot;&quot;},{&quot;family&quot;:&quot;Crosier&quot;,&quot;given&quot;:&quot;Benjamin S&quot;,&quot;parse-names&quot;:false,&quot;dropping-particle&quot;:&quot;&quot;,&quot;non-dropping-particle&quot;:&quot;&quot;},{&quot;family&quot;:&quot;Campbell&quot;,&quot;given&quot;:&quot;Andrew T&quot;,&quot;parse-names&quot;:false,&quot;dropping-particle&quot;:&quot;&quot;,&quot;non-dropping-particle&quot;:&quot;&quot;},{&quot;family&quot;:&quot;Gosling&quot;,&quot;given&quot;:&quot;Samuel D&quot;,&quot;parse-names&quot;:false,&quot;dropping-particle&quot;:&quot;&quot;,&quot;non-dropping-particle&quot;:&quot;&quot;}],&quot;container-title&quot;:&quot;Perspectives on psychological science : a journal of the Association for Psychological Science&quot;,&quot;DOI&quot;:&quot;10.1177/1745691616650285&quot;,&quot;ISSN&quot;:&quot;1745-6924&quot;,&quot;PMID&quot;:&quot;27899727&quot;,&quot;URL&quot;:&quot;https://pubmed.ncbi.nlm.nih.gov/27899727&quot;,&quot;issued&quot;:{&quot;date-parts&quot;:[[2016,11]]},&quot;page&quot;:&quot;838-854&quot;,&quot;language&quot;:&quot;eng&quot;,&quot;abstract&quot;:&quot;Smartphones now offer the promise of collecting behavioral data unobtrusively, in situ, as it unfolds in the course of daily life. Data can be collected from the onboard sensors and other phone logs embedded in today's off-the-shelf smartphone devices. These data permit fine-grained, continuous collection of people's social interactions (e.g., speaking rates in conversation, size of social groups, calls, and text messages), daily activities (e.g., physical activity and sleep), and mobility patterns (e.g., frequency and duration of time spent at various locations). In this article, we have drawn on the lessons from the first wave of smartphone-sensing research to highlight areas of opportunity for psychological research, present practical considerations for designing smartphone studies, and discuss the ongoing methodological and ethical challenges associated with research in this domain. It is our hope that these practical guidelines will facilitate the use of smartphones as a behavioral observation tool in psychological science.&quot;,&quot;issue&quot;:&quot;6&quot;,&quot;volume&quot;:&quot;11&quot;},&quot;isTemporary&quot;:false},{&quot;id&quot;:&quot;14179fa0-3cdd-308b-8447-bf4ce0b0773c&quot;,&quot;itemData&quot;:{&quot;type&quot;:&quot;article&quot;,&quot;id&quot;:&quot;14179fa0-3cdd-308b-8447-bf4ce0b0773c&quot;,&quot;title&quot;:&quot;The digital phenotype&quot;,&quot;author&quot;:[{&quot;family&quot;:&quot;Jain&quot;,&quot;given&quot;:&quot;Sachin H.&quot;,&quot;parse-names&quot;:false,&quot;dropping-particle&quot;:&quot;&quot;,&quot;non-dropping-particle&quot;:&quot;&quot;},{&quot;family&quot;:&quot;Powers&quot;,&quot;given&quot;:&quot;Brian W.&quot;,&quot;parse-names&quot;:false,&quot;dropping-particle&quot;:&quot;&quot;,&quot;non-dropping-particle&quot;:&quot;&quot;},{&quot;family&quot;:&quot;Hawkins&quot;,&quot;given&quot;:&quot;Jared B.&quot;,&quot;parse-names&quot;:false,&quot;dropping-particle&quot;:&quot;&quot;,&quot;non-dropping-particle&quot;:&quot;&quot;},{&quot;family&quot;:&quot;Brownstein&quot;,&quot;given&quot;:&quot;John S.&quot;,&quot;parse-names&quot;:false,&quot;dropping-particle&quot;:&quot;&quot;,&quot;non-dropping-particle&quot;:&quot;&quot;}],&quot;container-title&quot;:&quot;Nature Biotechnology&quot;,&quot;accessed&quot;:{&quot;date-parts&quot;:[[2021,2,11]]},&quot;DOI&quot;:&quot;10.1038/nbt.3223&quot;,&quot;ISSN&quot;:&quot;15461696&quot;,&quot;PMID&quot;:&quot;25965751&quot;,&quot;issued&quot;:{&quot;date-parts&quot;:[[2015,5,12]]},&quot;page&quot;:&quot;462-463&quot;,&quot;publisher&quot;:&quot;Nature Publishing Group&quot;,&quot;issue&quot;:&quot;5&quot;,&quot;volume&quot;:&quot;33&quot;},&quot;isTemporary&quot;:false},{&quot;id&quot;:&quot;04af6948-613d-311c-a8b1-4271d2c674d1&quot;,&quot;itemData&quot;:{&quot;type&quot;:&quot;article&quot;,&quot;id&quot;:&quot;04af6948-613d-311c-a8b1-4271d2c674d1&quot;,&quot;title&quot;:&quot;Opportunities and needs in digital phenotyping&quot;,&quot;author&quot;:[{&quot;family&quot;:&quot;Marsch&quot;,&quot;given&quot;:&quot;Lisa A.&quot;,&quot;parse-names&quot;:false,&quot;dropping-particle&quot;:&quot;&quot;,&quot;non-dropping-particle&quot;:&quot;&quot;}],&quot;container-title&quot;:&quot;Neuropsychopharmacology&quot;,&quot;DOI&quot;:&quot;10.1038/s41386-018-0051-7&quot;,&quot;ISSN&quot;:&quot;1740634X&quot;,&quot;PMID&quot;:&quot;29703995&quot;,&quot;issued&quot;:{&quot;date-parts&quot;:[[2018,7,1]]},&quot;page&quot;:&quot;1637-1638&quot;,&quot;publisher&quot;:&quot;Nature Publishing Group&quot;,&quot;issue&quot;:&quot;8&quot;,&quot;volume&quot;:&quot;43&quot;},&quot;isTemporary&quot;:false},{&quot;id&quot;:&quot;cfbdee67-dca2-32a1-a478-2ad991180049&quot;,&quot;itemData&quot;:{&quot;type&quot;:&quot;article-journal&quot;,&quot;id&quot;:&quot;cfbdee67-dca2-32a1-a478-2ad991180049&quot;,&quot;title&quot;:&quot;Towards remote digital phenotyping of cognition in schizophrenia&quot;,&quot;author&quot;:[{&quot;family&quot;:&quot;Guimond&quot;,&quot;given&quot;:&quot;Synthia&quot;,&quot;parse-names&quot;:false,&quot;dropping-particle&quot;:&quot;&quot;,&quot;non-dropping-particle&quot;:&quot;&quot;},{&quot;family&quot;:&quot;Keshavan&quot;,&quot;given&quot;:&quot;Matcheri S.&quot;,&quot;parse-names&quot;:false,&quot;dropping-particle&quot;:&quot;&quot;,&quot;non-dropping-particle&quot;:&quot;&quot;},{&quot;family&quot;:&quot;Torous&quot;,&quot;given&quot;:&quot;John B.&quot;,&quot;parse-names&quot;:false,&quot;dropping-particle&quot;:&quot;&quot;,&quot;non-dropping-particle&quot;:&quot;&quot;}],&quot;container-title&quot;:&quot;Schizophrenia Research&quot;,&quot;DOI&quot;:&quot;10.1016/j.schres.2019.04.016&quot;,&quot;ISSN&quot;:&quot;15732509&quot;,&quot;PMID&quot;:&quot;31047724&quot;,&quot;issued&quot;:{&quot;date-parts&quot;:[[2019,6,1]]},&quot;page&quot;:&quot;36-38&quot;,&quot;publisher&quot;:&quot;Elsevier B.V.&quot;,&quot;volume&quot;:&quot;208&quot;},&quot;isTemporary&quot;:false},{&quot;id&quot;:&quot;696a1e79-7b59-35e0-adc8-43666cd71d84&quot;,&quot;itemData&quot;:{&quot;type&quot;:&quot;article-journal&quot;,&quot;id&quot;:&quot;696a1e79-7b59-35e0-adc8-43666cd71d84&quot;,&quot;title&quot;:&quot;Towards clinically actionable digital phenotyping targets in schizophrenia&quot;,&quot;author&quot;:[{&quot;family&quot;:&quot;Henson&quot;,&quot;given&quot;:&quot;Philip&quot;,&quot;parse-names&quot;:false,&quot;dropping-particle&quot;:&quot;&quot;,&quot;non-dropping-particle&quot;:&quot;&quot;},{&quot;family&quot;:&quot;Barnett&quot;,&quot;given&quot;:&quot;Ian&quot;,&quot;parse-names&quot;:false,&quot;dropping-particle&quot;:&quot;&quot;,&quot;non-dropping-particle&quot;:&quot;&quot;},{&quot;family&quot;:&quot;Keshavan&quot;,&quot;given&quot;:&quot;Matcheri&quot;,&quot;parse-names&quot;:false,&quot;dropping-particle&quot;:&quot;&quot;,&quot;non-dropping-particle&quot;:&quot;&quot;},{&quot;family&quot;:&quot;Torous&quot;,&quot;given&quot;:&quot;John&quot;,&quot;parse-names&quot;:false,&quot;dropping-particle&quot;:&quot;&quot;,&quot;non-dropping-particle&quot;:&quot;&quot;}],&quot;container-title&quot;:&quot;npj Schizophrenia&quot;,&quot;DOI&quot;:&quot;10.1038/s41537-020-0100-1&quot;,&quot;ISSN&quot;:&quot;2334265X&quot;,&quot;issued&quot;:{&quot;date-parts&quot;:[[2020,12,1]]},&quot;abstract&quot;:&quot;Digital phenotyping has potential to quantify the lived experience of mental illness and generate real-time, actionable results related to recovery, such as the case of social rhythms in individuals with bipolar disorder. However, passive data features for social rhythm clinical targets in individuals with schizophrenia have yet to be studied. In this paper, we explore the relationship between active and passive data by focusing on temporal stability and variance at an individual level as well as large-scale associations on a population level to gain clinically actionable information regarding social rhythms. From individual data clustering, we found a 19% cluster overlap between specific active and passive data features for participants with schizophrenia. In the same clinical population, two passive data features in particular associated with social rhythms, “Circadian Routine” and “Weekend Day Routine,” and were negatively associated with symptoms of anxiety, depression, psychosis, and poor sleep (Spearman ρ ranged from −0.23 to −0.30, p &lt; 0.001). Conversely, in healthy controls, more stable social rhythms were positively correlated with symptomatology (Spearman ρ ranged from 0.20 to 0.44, p &lt; 0.05). Our results suggest that digital phenotyping in schizophrenia may offer clinically relevant information for understanding how daily routines affect symptomatology. Specifically, negative correlations between smartphone reported anxiety, depression, psychosis, and poor sleep in individuals with schizophrenia, but not in healthy controls, offer an actionable clinical target and area for further investigation.&quot;,&quot;publisher&quot;:&quot;Nature Research&quot;,&quot;issue&quot;:&quot;1&quot;,&quot;volume&quot;:&quot;6&quot;},&quot;isTemporary&quot;:false}],&quot;properties&quot;:{&quot;noteIndex&quot;:0},&quot;isEdited&quot;:false,&quot;manualOverride&quot;:{&quot;isManuallyOverriden&quot;:false,&quot;citeprocText&quot;:&quot;&lt;sup&gt;23,67,80–83&lt;/sup&gt;&quot;,&quot;manualOverrideText&quot;:&quot;&quot;}}"/>
          <w:id w:val="692039800"/>
          <w:placeholder>
            <w:docPart w:val="6CF304F6E8D04FE0859052B87093AFB8"/>
          </w:placeholder>
        </w:sdtPr>
        <w:sdtContent>
          <w:r w:rsidRPr="00E707DC">
            <w:rPr>
              <w:rFonts w:ascii="Palatino Linotype" w:hAnsi="Palatino Linotype"/>
              <w:color w:val="000000"/>
              <w:highlight w:val="yellow"/>
              <w:vertAlign w:val="superscript"/>
            </w:rPr>
            <w:t>23,67,80–83</w:t>
          </w:r>
        </w:sdtContent>
      </w:sdt>
      <w:r w:rsidRPr="00E707DC">
        <w:rPr>
          <w:rFonts w:ascii="Palatino Linotype" w:hAnsi="Palatino Linotype"/>
        </w:rPr>
        <w:t xml:space="preserve"> Note: The data will be collected under three broad temporal sections: Daytime = 06:00-18:00; Evening = 18:00-24:00; Nighttime = 24:00-06:00. Of the many sensor and log data to be collected, we summarize by example the main four groups:</w:t>
      </w:r>
    </w:p>
    <w:p w14:paraId="68465FE8" w14:textId="77777777" w:rsidR="00E707DC" w:rsidRPr="00E707DC" w:rsidRDefault="00E707DC" w:rsidP="00E707DC">
      <w:pPr>
        <w:bidi w:val="0"/>
        <w:spacing w:line="360" w:lineRule="auto"/>
        <w:rPr>
          <w:rFonts w:ascii="Palatino Linotype" w:hAnsi="Palatino Linotype"/>
        </w:rPr>
      </w:pPr>
      <w:r w:rsidRPr="00E707DC">
        <w:rPr>
          <w:rFonts w:ascii="Palatino Linotype" w:hAnsi="Palatino Linotype"/>
          <w:b/>
          <w:bCs/>
        </w:rPr>
        <w:t xml:space="preserve">Example of Experience Sampling online popup daily questionnaire (e-Diary) categories: </w:t>
      </w:r>
      <w:r w:rsidRPr="00E707DC">
        <w:rPr>
          <w:rFonts w:ascii="Palatino Linotype" w:hAnsi="Palatino Linotype"/>
        </w:rPr>
        <w:t>Depression, Sleep quality, Psychosis, Warning symptoms scale, Taking medication, Anxiety</w:t>
      </w:r>
    </w:p>
    <w:p w14:paraId="6EDA3C18" w14:textId="77777777" w:rsidR="00E707DC" w:rsidRPr="00E707DC" w:rsidRDefault="00E707DC" w:rsidP="00E707DC">
      <w:pPr>
        <w:bidi w:val="0"/>
        <w:spacing w:line="360" w:lineRule="auto"/>
        <w:rPr>
          <w:rFonts w:ascii="Palatino Linotype" w:hAnsi="Palatino Linotype"/>
        </w:rPr>
      </w:pPr>
      <w:r w:rsidRPr="00E707DC">
        <w:rPr>
          <w:rFonts w:ascii="Palatino Linotype" w:hAnsi="Palatino Linotype"/>
          <w:b/>
          <w:bCs/>
        </w:rPr>
        <w:t>Example of Mobility indicators from smartphone</w:t>
      </w:r>
      <w:r w:rsidRPr="00E707DC">
        <w:rPr>
          <w:rFonts w:ascii="Palatino Linotype" w:hAnsi="Palatino Linotype"/>
        </w:rPr>
        <w:t xml:space="preserve">: </w:t>
      </w:r>
      <w:bookmarkStart w:id="2" w:name="bookmark0"/>
      <w:bookmarkEnd w:id="2"/>
      <w:r w:rsidRPr="00E707DC">
        <w:rPr>
          <w:rFonts w:ascii="Palatino Linotype" w:hAnsi="Palatino Linotype"/>
        </w:rPr>
        <w:t>% of Time spent at home per 24 hours, Distance traveled, Radius of gyration, Maximum travel diameter, Maximum distance from home, Number of signiﬁcant locations, Fraction of the day spent stationary, Signiﬁcant location entropy, Minutes of GPS data missing, Physical circadian rhythm, Physical circadian rhythm stratiﬁed.</w:t>
      </w:r>
    </w:p>
    <w:p w14:paraId="45404560" w14:textId="77777777" w:rsidR="00E707DC" w:rsidRPr="00E707DC" w:rsidRDefault="00E707DC" w:rsidP="00E707DC">
      <w:pPr>
        <w:bidi w:val="0"/>
        <w:spacing w:line="360" w:lineRule="auto"/>
        <w:rPr>
          <w:rFonts w:ascii="Palatino Linotype" w:hAnsi="Palatino Linotype"/>
        </w:rPr>
      </w:pPr>
      <w:r w:rsidRPr="00E707DC">
        <w:rPr>
          <w:rFonts w:ascii="Palatino Linotype" w:hAnsi="Palatino Linotype"/>
          <w:b/>
          <w:bCs/>
        </w:rPr>
        <w:t xml:space="preserve">Example </w:t>
      </w:r>
      <w:bookmarkStart w:id="3" w:name="OLE_LINK29"/>
      <w:bookmarkStart w:id="4" w:name="OLE_LINK30"/>
      <w:r w:rsidRPr="00E707DC">
        <w:rPr>
          <w:rFonts w:ascii="Palatino Linotype" w:hAnsi="Palatino Linotype"/>
          <w:b/>
          <w:bCs/>
        </w:rPr>
        <w:t xml:space="preserve">smartphone indictors of </w:t>
      </w:r>
      <w:bookmarkEnd w:id="3"/>
      <w:bookmarkEnd w:id="4"/>
      <w:r w:rsidRPr="00E707DC">
        <w:rPr>
          <w:rFonts w:ascii="Palatino Linotype" w:hAnsi="Palatino Linotype"/>
          <w:b/>
          <w:bCs/>
        </w:rPr>
        <w:t>Sociability</w:t>
      </w:r>
      <w:r w:rsidRPr="00E707DC">
        <w:rPr>
          <w:rFonts w:ascii="Palatino Linotype" w:hAnsi="Palatino Linotype"/>
        </w:rPr>
        <w:t xml:space="preserve">: Hours spent on social media applications, Number of outgoing texts, Total outgoing text length, texting out-degree, Number of incoming texts, Total incoming text length, Texting in-degree, Texting reciprocity, Texting responsiveness, Number of outgoing calls, Total outgoing call duration, Call out-degree, Number of incoming calls, Total incoming call durations, </w:t>
      </w:r>
    </w:p>
    <w:p w14:paraId="4DB25A00" w14:textId="77777777" w:rsidR="00E707DC" w:rsidRPr="00E707DC" w:rsidRDefault="00E707DC" w:rsidP="00E707DC">
      <w:pPr>
        <w:bidi w:val="0"/>
        <w:spacing w:line="360" w:lineRule="auto"/>
        <w:rPr>
          <w:rFonts w:ascii="Palatino Linotype" w:hAnsi="Palatino Linotype"/>
        </w:rPr>
      </w:pPr>
      <w:r w:rsidRPr="00E707DC">
        <w:rPr>
          <w:rFonts w:ascii="Palatino Linotype" w:hAnsi="Palatino Linotype"/>
          <w:b/>
          <w:bCs/>
        </w:rPr>
        <w:t xml:space="preserve">Examples of smartphone indictors of agitated &amp; irritable &amp; compulsive behavior: </w:t>
      </w:r>
      <w:r w:rsidRPr="00E707DC">
        <w:rPr>
          <w:rFonts w:ascii="Palatino Linotype" w:hAnsi="Palatino Linotype"/>
        </w:rPr>
        <w:t>Total duration of “active screen state” per hour/day, Sum of each press of the power button per hour/day, Total event of short "screen on” per hour/day, Total “Compulsive” phone checkout per hour/day, Battery charging events per day, Frequency of checking/refreshing  Social Media applications</w:t>
      </w:r>
    </w:p>
    <w:p w14:paraId="2DACA31D" w14:textId="668F19DC" w:rsidR="002E7C07" w:rsidRDefault="002E7C07" w:rsidP="002E7C07">
      <w:pPr>
        <w:bidi w:val="0"/>
        <w:spacing w:line="360" w:lineRule="auto"/>
        <w:rPr>
          <w:rFonts w:ascii="Palatino Linotype" w:hAnsi="Palatino Linotype"/>
          <w:b/>
          <w:bCs/>
        </w:rPr>
      </w:pPr>
      <w:r w:rsidRPr="00C41041">
        <w:rPr>
          <w:rFonts w:ascii="Palatino Linotype" w:hAnsi="Palatino Linotype"/>
          <w:b/>
          <w:bCs/>
        </w:rPr>
        <w:t>Available resources</w:t>
      </w:r>
    </w:p>
    <w:p w14:paraId="1AE008DB" w14:textId="771DBE02" w:rsidR="00C540C2" w:rsidRDefault="00C540C2" w:rsidP="00C540C2">
      <w:pPr>
        <w:bidi w:val="0"/>
        <w:spacing w:line="360" w:lineRule="auto"/>
        <w:rPr>
          <w:rFonts w:ascii="Palatino Linotype" w:hAnsi="Palatino Linotype"/>
          <w:b/>
          <w:bCs/>
        </w:rPr>
      </w:pPr>
      <w:r>
        <w:rPr>
          <w:rFonts w:ascii="Palatino Linotype" w:hAnsi="Palatino Linotype"/>
          <w:b/>
          <w:bCs/>
        </w:rPr>
        <w:t>Intellectual capital and experience</w:t>
      </w:r>
    </w:p>
    <w:p w14:paraId="355D57D7" w14:textId="77777777" w:rsidR="00C540C2" w:rsidRPr="00C540C2" w:rsidRDefault="00C540C2" w:rsidP="00C540C2">
      <w:pPr>
        <w:bidi w:val="0"/>
        <w:spacing w:line="360" w:lineRule="auto"/>
        <w:rPr>
          <w:rFonts w:ascii="Palatino Linotype" w:hAnsi="Palatino Linotype"/>
        </w:rPr>
      </w:pPr>
      <w:r w:rsidRPr="00C540C2">
        <w:rPr>
          <w:rFonts w:ascii="Palatino Linotype" w:hAnsi="Palatino Linotype"/>
        </w:rPr>
        <w:lastRenderedPageBreak/>
        <w:t>The proposed research represents an interdisciplinary collaboration of experts in the fields of Psychiatry, Psychology, Psychobiology, and computer and data science.</w:t>
      </w:r>
    </w:p>
    <w:p w14:paraId="55202293" w14:textId="770745C2" w:rsidR="00C540C2" w:rsidRDefault="00C540C2" w:rsidP="00C540C2">
      <w:pPr>
        <w:pStyle w:val="font8"/>
        <w:spacing w:line="360" w:lineRule="auto"/>
        <w:rPr>
          <w:rFonts w:ascii="Palatino Linotype" w:hAnsi="Palatino Linotype"/>
          <w:sz w:val="22"/>
          <w:szCs w:val="22"/>
        </w:rPr>
      </w:pPr>
      <w:r w:rsidRPr="00C540C2">
        <w:rPr>
          <w:rFonts w:ascii="Palatino Linotype" w:eastAsiaTheme="minorHAnsi" w:hAnsi="Palatino Linotype" w:cstheme="minorBidi"/>
          <w:sz w:val="22"/>
          <w:szCs w:val="22"/>
        </w:rPr>
        <w:t>Prof. Michael Poyurovsky, psychiatric specialist, heads the Department of First Admissions and the Research Unit at a state psychiatric hospital, an Associate Professor of Psychiatry at the Rappaport Faculty of Medicine, Technion, Israel Institute of Technology, and a visiting Prof. at Stanford University. Prof. Poyurovsky is an eminent psychiatric specialist, well - known in Israel and abroad for his expertise as a diagnostician and in administration of psychopharmacological therapy especially for obsessive-compulsive disorder, schizophrenia and complex conditions of the co-occurrence of the two disorders. His book on Schizo-Obsessive Disorder was published in Cambridge University Press (2013).</w:t>
      </w:r>
      <w:r>
        <w:rPr>
          <w:rFonts w:ascii="Palatino Linotype" w:hAnsi="Palatino Linotype"/>
          <w:sz w:val="22"/>
          <w:szCs w:val="22"/>
        </w:rPr>
        <w:t xml:space="preserve"> </w:t>
      </w:r>
      <w:r w:rsidRPr="00C540C2">
        <w:rPr>
          <w:rFonts w:ascii="Palatino Linotype" w:hAnsi="Palatino Linotype"/>
          <w:sz w:val="22"/>
          <w:szCs w:val="22"/>
        </w:rPr>
        <w:t>Prof. Yonathan Mizrachi, (Harvard PhD, Anthropology), former head of the departments of Information Systems and Anthropology and Sociology and YVC Academic college; ICT4D and BPR information systems specialist + former CTO of several startups; affiliated Research Scientist (focused on Digital Phenotyping research) at Lambda: Laboratory for AI, Machine Learning, Business + Data Analytics, Tel Aviv University. Dr. Efrat Barel received her PhD in Psychology from Haifa University, is currently a faculty member in the Department of Behavioral Sciences at Emek Yezreel Academic College, and a member of the Psychobiology Laboratory at Emek Yezreel Academic College. Dr. Barel has an extensive background in stress research and its relation to physiological stress and reproductive systems. Further, she is well-experienced in the performance and interpretation of biochemical tests. Dr. Noa Cohen, completed PhD in computer science and computational biology from the Hebrew University. Dr. Cohen is currently a researcher and senior lecturer (Israeli equivalent to assistant professor), at the department of software engineering at the Azrieli College of Engineering Jerusalem. Experienced in machine learning, deep learning, and data science research.</w:t>
      </w:r>
      <w:r>
        <w:rPr>
          <w:rFonts w:ascii="Palatino Linotype" w:hAnsi="Palatino Linotype"/>
          <w:sz w:val="22"/>
          <w:szCs w:val="22"/>
          <w:highlight w:val="yellow"/>
        </w:rPr>
        <w:t xml:space="preserve"> </w:t>
      </w:r>
      <w:r w:rsidRPr="00C540C2">
        <w:rPr>
          <w:rFonts w:ascii="Palatino Linotype" w:hAnsi="Palatino Linotype"/>
          <w:sz w:val="22"/>
          <w:szCs w:val="22"/>
        </w:rPr>
        <w:t xml:space="preserve">Project advisor - Dr. Fruchter served in many leading positions in the field of mental health in the Israeli Defense Force (IDF). In his last position, with the rank of Colonel, he headed the mental health department in the IDF Medical Corps. During his military service, Dr. Fruchter also earned a M.H.A. from Ben Gurion University of the Negev. Dr. Fruchter recently returned from a year at USC in Los Angeles, where he was studying treatment and prevention of PTSD (Post Traumatic Stress Disorder). He joined the in- patient psychiatric ward in Rambam and subsequently became the director of the division. Dr. Fruchter is a leading clinician and researcher in the fields of suicide prevention and PTSD. He participates in conferences, and collaborative research with many professionals in the US and Europe. Dr. Fruchter has published over 40 articles in leading </w:t>
      </w:r>
      <w:r w:rsidRPr="00C540C2">
        <w:rPr>
          <w:rFonts w:ascii="Palatino Linotype" w:hAnsi="Palatino Linotype"/>
          <w:sz w:val="22"/>
          <w:szCs w:val="22"/>
        </w:rPr>
        <w:lastRenderedPageBreak/>
        <w:t xml:space="preserve">professional journals, with many more in Hebrew, and two chapters in professional books – on the topics of suicide prevention and aviation psychology. </w:t>
      </w:r>
    </w:p>
    <w:p w14:paraId="6D0C13A4" w14:textId="3E1B8D82" w:rsidR="00C540C2" w:rsidRPr="00C540C2" w:rsidRDefault="00C540C2" w:rsidP="00C540C2">
      <w:pPr>
        <w:pStyle w:val="font8"/>
        <w:spacing w:line="360" w:lineRule="auto"/>
        <w:rPr>
          <w:rFonts w:ascii="Palatino Linotype" w:hAnsi="Palatino Linotype"/>
          <w:b/>
          <w:bCs/>
          <w:sz w:val="22"/>
          <w:szCs w:val="22"/>
        </w:rPr>
      </w:pPr>
      <w:r w:rsidRPr="00C540C2">
        <w:rPr>
          <w:rFonts w:ascii="Palatino Linotype" w:hAnsi="Palatino Linotype"/>
          <w:b/>
          <w:bCs/>
          <w:sz w:val="22"/>
          <w:szCs w:val="22"/>
        </w:rPr>
        <w:t>Physical, facilities and other resources</w:t>
      </w:r>
    </w:p>
    <w:p w14:paraId="5F671D2F" w14:textId="4A2E0857" w:rsidR="00C540C2" w:rsidRPr="00C540C2" w:rsidRDefault="00C540C2" w:rsidP="00C540C2">
      <w:pPr>
        <w:pStyle w:val="NormalWeb"/>
        <w:spacing w:line="360" w:lineRule="auto"/>
        <w:rPr>
          <w:rFonts w:ascii="Palatino Linotype" w:hAnsi="Palatino Linotype"/>
        </w:rPr>
      </w:pPr>
      <w:r w:rsidRPr="00C540C2">
        <w:rPr>
          <w:rFonts w:ascii="Palatino Linotype" w:eastAsiaTheme="minorHAnsi" w:hAnsi="Palatino Linotype" w:cstheme="minorBidi"/>
          <w:sz w:val="22"/>
          <w:szCs w:val="22"/>
        </w:rPr>
        <w:t>The Maale Carmel Mental Health Center (MCMHC), which is branched to the Faculty of Medicine at the Technion, provides treatment to a variety of mental disorders among teenagers, adults and the elderly, aimed at improving the mental health and functioning of patients, in consideration of ad with the help of their families. The treatment is provided with a sense of purpose and a desire for constant improvement.</w:t>
      </w:r>
      <w:r>
        <w:rPr>
          <w:rFonts w:ascii="Palatino Linotype" w:eastAsiaTheme="minorHAnsi" w:hAnsi="Palatino Linotype" w:cstheme="minorBidi"/>
          <w:sz w:val="22"/>
          <w:szCs w:val="22"/>
        </w:rPr>
        <w:t xml:space="preserve"> </w:t>
      </w:r>
      <w:r w:rsidRPr="00C540C2">
        <w:rPr>
          <w:rFonts w:ascii="Palatino Linotype" w:eastAsiaTheme="minorHAnsi" w:hAnsi="Palatino Linotype" w:cstheme="minorBidi"/>
          <w:sz w:val="22"/>
          <w:szCs w:val="22"/>
        </w:rPr>
        <w:t>The center serves a population of half a million people, living in Haifa and its suburbs, the Krayot, at the north, Kiryat Tivon and an Nesher in the East, Carmel City, Tirat Carmel, to down to Atlit and the Carmel beach towns in the south</w:t>
      </w:r>
      <w:r>
        <w:rPr>
          <w:rFonts w:ascii="Palatino Linotype" w:eastAsiaTheme="minorHAnsi" w:hAnsi="Palatino Linotype" w:cstheme="minorBidi"/>
          <w:sz w:val="22"/>
          <w:szCs w:val="22"/>
        </w:rPr>
        <w:t>.</w:t>
      </w:r>
      <w:r>
        <w:rPr>
          <w:rFonts w:ascii="Palatino Linotype" w:hAnsi="Palatino Linotype"/>
        </w:rPr>
        <w:t xml:space="preserve"> </w:t>
      </w:r>
      <w:r w:rsidRPr="00C540C2">
        <w:rPr>
          <w:rFonts w:ascii="Palatino Linotype" w:hAnsi="Palatino Linotype"/>
        </w:rPr>
        <w:t xml:space="preserve">For Biomarkers, </w:t>
      </w:r>
      <w:r w:rsidRPr="00C540C2">
        <w:rPr>
          <w:rFonts w:ascii="Palatino Linotype" w:hAnsi="Palatino Linotype"/>
          <w:highlight w:val="yellow"/>
        </w:rPr>
        <w:t xml:space="preserve">the laboratory staff of the ________________ Medical Center will carry out the measurement of biomarkers levels in the saliva samples. </w:t>
      </w:r>
      <w:r w:rsidRPr="00C540C2">
        <w:rPr>
          <w:rFonts w:ascii="Palatino Linotype" w:hAnsi="Palatino Linotype"/>
        </w:rPr>
        <w:t>Stable Digital Phenotyping and data science platform. An accumulated 3 years of experience with the open-source Digital Phenotyping platforms over AWS system for Android smartphone data collection. The system includes an initial smartphone sensors data pipeline (Android based) for Machine learning data cleansing. (to be expanded to IOS systems).</w:t>
      </w:r>
    </w:p>
    <w:p w14:paraId="2896623B" w14:textId="77777777" w:rsidR="002E7C07" w:rsidRPr="00C41041" w:rsidRDefault="002E7C07" w:rsidP="002E7C07">
      <w:pPr>
        <w:bidi w:val="0"/>
        <w:spacing w:line="360" w:lineRule="auto"/>
        <w:rPr>
          <w:rFonts w:ascii="Palatino Linotype" w:hAnsi="Palatino Linotype"/>
          <w:b/>
          <w:bCs/>
        </w:rPr>
      </w:pPr>
      <w:r w:rsidRPr="00C41041">
        <w:rPr>
          <w:rFonts w:ascii="Palatino Linotype" w:hAnsi="Palatino Linotype"/>
          <w:b/>
          <w:bCs/>
        </w:rPr>
        <w:t>Expected results, potential pitfalls, and alternative research plans</w:t>
      </w:r>
    </w:p>
    <w:p w14:paraId="2B192035" w14:textId="46A943EB" w:rsidR="002E7C07" w:rsidRPr="00C41041" w:rsidRDefault="002E7C07" w:rsidP="00CF3C28">
      <w:pPr>
        <w:bidi w:val="0"/>
        <w:spacing w:line="360" w:lineRule="auto"/>
        <w:rPr>
          <w:rFonts w:ascii="Palatino Linotype" w:hAnsi="Palatino Linotype"/>
        </w:rPr>
      </w:pPr>
      <w:r w:rsidRPr="00C41041">
        <w:rPr>
          <w:rFonts w:ascii="Palatino Linotype" w:hAnsi="Palatino Linotype"/>
        </w:rPr>
        <w:t>Given the precision of our expected measurements for both the dependent and the independent variables, we believe that the current study offers a unique opportunity to examine the multifaceted associations between psychological/</w:t>
      </w:r>
      <w:r w:rsidR="006850BA" w:rsidRPr="00C41041">
        <w:rPr>
          <w:rFonts w:ascii="Palatino Linotype" w:hAnsi="Palatino Linotype"/>
        </w:rPr>
        <w:t>biological factors</w:t>
      </w:r>
      <w:r w:rsidRPr="00C41041">
        <w:rPr>
          <w:rFonts w:ascii="Palatino Linotype" w:hAnsi="Palatino Linotype"/>
        </w:rPr>
        <w:t xml:space="preserve"> and the risks of </w:t>
      </w:r>
      <w:r w:rsidR="006850BA" w:rsidRPr="00C41041">
        <w:rPr>
          <w:rFonts w:ascii="Palatino Linotype" w:hAnsi="Palatino Linotype"/>
        </w:rPr>
        <w:t xml:space="preserve">relapse in schizophrenia. </w:t>
      </w:r>
      <w:r w:rsidRPr="00C41041">
        <w:rPr>
          <w:rFonts w:ascii="Palatino Linotype" w:hAnsi="Palatino Linotype"/>
        </w:rPr>
        <w:t xml:space="preserve">We do not foresee major pitfalls, but we do however secure alternative data collection alternative. For the </w:t>
      </w:r>
      <w:r w:rsidR="006850BA" w:rsidRPr="00C41041">
        <w:rPr>
          <w:rFonts w:ascii="Palatino Linotype" w:hAnsi="Palatino Linotype"/>
        </w:rPr>
        <w:t>predicting</w:t>
      </w:r>
      <w:r w:rsidRPr="00C41041">
        <w:rPr>
          <w:rFonts w:ascii="Palatino Linotype" w:hAnsi="Palatino Linotype"/>
        </w:rPr>
        <w:t xml:space="preserve"> variables, given that we have </w:t>
      </w:r>
      <w:r w:rsidR="006850BA" w:rsidRPr="00C41041">
        <w:rPr>
          <w:rFonts w:ascii="Palatino Linotype" w:hAnsi="Palatino Linotype"/>
        </w:rPr>
        <w:t>several</w:t>
      </w:r>
      <w:r w:rsidRPr="00C41041">
        <w:rPr>
          <w:rFonts w:ascii="Palatino Linotype" w:hAnsi="Palatino Linotype"/>
        </w:rPr>
        <w:t xml:space="preserve"> complementary measures, we do not see any problems in collecting or recollecting data as need. The main engineering challenges that will need to be resolved are as follows:</w:t>
      </w:r>
    </w:p>
    <w:p w14:paraId="52582530" w14:textId="58D99E1F" w:rsidR="002E7C07" w:rsidRPr="00C41041" w:rsidRDefault="002E7C07" w:rsidP="00CF3C28">
      <w:pPr>
        <w:bidi w:val="0"/>
        <w:spacing w:line="360" w:lineRule="auto"/>
        <w:rPr>
          <w:rFonts w:ascii="Palatino Linotype" w:hAnsi="Palatino Linotype"/>
        </w:rPr>
      </w:pPr>
      <w:r w:rsidRPr="00C41041">
        <w:rPr>
          <w:rFonts w:ascii="Palatino Linotype" w:hAnsi="Palatino Linotype"/>
        </w:rPr>
        <w:t>1</w:t>
      </w:r>
      <w:r w:rsidR="00CF3C28" w:rsidRPr="00C41041">
        <w:rPr>
          <w:rFonts w:ascii="Palatino Linotype" w:hAnsi="Palatino Linotype"/>
        </w:rPr>
        <w:t>)</w:t>
      </w:r>
      <w:r w:rsidRPr="00C41041">
        <w:rPr>
          <w:rFonts w:ascii="Palatino Linotype" w:hAnsi="Palatino Linotype"/>
        </w:rPr>
        <w:t xml:space="preserve"> </w:t>
      </w:r>
      <w:r w:rsidRPr="00C41041">
        <w:rPr>
          <w:rFonts w:ascii="Palatino Linotype" w:hAnsi="Palatino Linotype"/>
          <w:highlight w:val="yellow"/>
        </w:rPr>
        <w:t xml:space="preserve">Maintaining a reliable smartphone data collection platform (which is currently performing better on Android smartphones). We plan to use </w:t>
      </w:r>
      <w:r w:rsidR="00C540C2">
        <w:rPr>
          <w:rFonts w:ascii="Palatino Linotype" w:hAnsi="Palatino Linotype"/>
          <w:highlight w:val="yellow"/>
        </w:rPr>
        <w:t>the open source Aware digital phenotyping and run its backend on the reliable Amazon AWS infrastructure</w:t>
      </w:r>
      <w:r w:rsidRPr="00C41041">
        <w:rPr>
          <w:rFonts w:ascii="Palatino Linotype" w:hAnsi="Palatino Linotype"/>
          <w:highlight w:val="yellow"/>
        </w:rPr>
        <w:t>. 2</w:t>
      </w:r>
      <w:r w:rsidR="00CF3C28" w:rsidRPr="00C41041">
        <w:rPr>
          <w:rFonts w:ascii="Palatino Linotype" w:hAnsi="Palatino Linotype"/>
          <w:highlight w:val="yellow"/>
        </w:rPr>
        <w:t>)</w:t>
      </w:r>
      <w:r w:rsidRPr="00C41041">
        <w:rPr>
          <w:rFonts w:ascii="Palatino Linotype" w:hAnsi="Palatino Linotype"/>
          <w:highlight w:val="yellow"/>
        </w:rPr>
        <w:t xml:space="preserve"> Developing a reliable data cleaning and preparation process that links between the data collected through mobile sensors and participants’ smartphones. We plan to utilize relevant R and Python </w:t>
      </w:r>
      <w:r w:rsidR="00E7148E" w:rsidRPr="00C41041">
        <w:rPr>
          <w:rFonts w:ascii="Palatino Linotype" w:hAnsi="Palatino Linotype"/>
          <w:highlight w:val="yellow"/>
        </w:rPr>
        <w:t>packages</w:t>
      </w:r>
      <w:r w:rsidRPr="00C41041">
        <w:rPr>
          <w:rFonts w:ascii="Palatino Linotype" w:hAnsi="Palatino Linotype"/>
          <w:highlight w:val="yellow"/>
        </w:rPr>
        <w:t xml:space="preserve"> to overcome this </w:t>
      </w:r>
      <w:r w:rsidRPr="00C41041">
        <w:rPr>
          <w:rFonts w:ascii="Palatino Linotype" w:hAnsi="Palatino Linotype"/>
          <w:highlight w:val="yellow"/>
        </w:rPr>
        <w:lastRenderedPageBreak/>
        <w:t>challenge. 3</w:t>
      </w:r>
      <w:r w:rsidR="00CF3C28" w:rsidRPr="00C41041">
        <w:rPr>
          <w:rFonts w:ascii="Palatino Linotype" w:hAnsi="Palatino Linotype"/>
          <w:highlight w:val="yellow"/>
        </w:rPr>
        <w:t>)</w:t>
      </w:r>
      <w:r w:rsidRPr="00C41041">
        <w:rPr>
          <w:rFonts w:ascii="Palatino Linotype" w:hAnsi="Palatino Linotype"/>
          <w:highlight w:val="yellow"/>
        </w:rPr>
        <w:t xml:space="preserve"> Modeling a prediction framework that utilizes the above features. We may utilize R, Python and/or non-open-sourced commercial tools, such as RapidMiner and SparkBeyond, to overcome this challenge.</w:t>
      </w:r>
    </w:p>
    <w:p w14:paraId="1A9775E9" w14:textId="77777777" w:rsidR="002E7C07" w:rsidRPr="00C41041" w:rsidRDefault="002E7C07" w:rsidP="002E7C07">
      <w:pPr>
        <w:bidi w:val="0"/>
        <w:spacing w:line="360" w:lineRule="auto"/>
        <w:rPr>
          <w:rFonts w:ascii="Palatino Linotype" w:hAnsi="Palatino Linotype"/>
        </w:rPr>
      </w:pPr>
      <w:r w:rsidRPr="00C41041">
        <w:rPr>
          <w:rFonts w:ascii="Palatino Linotype" w:hAnsi="Palatino Linotype"/>
        </w:rPr>
        <w:t>Additionally, we anticipate a sample size challenge. We plan to recruit a large number of participants to offset the expected study potential dropout rates. However, the initial recruitment may still be insufficient and the potential high dropout rates may require the recruitment of additional participants, which may extend the time needed for completing data collection. A relatively high compensation will be offered to participants together with some softer measures (personal connection with medical staff and research assistants) to incentives participants.</w:t>
      </w:r>
    </w:p>
    <w:p w14:paraId="3F932C75" w14:textId="5A21984B" w:rsidR="00204C11" w:rsidRPr="00C41041" w:rsidRDefault="002E7C07" w:rsidP="002E7C07">
      <w:pPr>
        <w:bidi w:val="0"/>
        <w:spacing w:line="360" w:lineRule="auto"/>
        <w:rPr>
          <w:rFonts w:ascii="Palatino Linotype" w:hAnsi="Palatino Linotype"/>
        </w:rPr>
      </w:pPr>
      <w:r w:rsidRPr="00C41041">
        <w:rPr>
          <w:rFonts w:ascii="Palatino Linotype" w:hAnsi="Palatino Linotype"/>
        </w:rPr>
        <w:t xml:space="preserve">Despite the challenges, the current study has several strengths, including: the prospective study design, which includes a </w:t>
      </w:r>
      <w:r w:rsidR="006850BA" w:rsidRPr="00C41041">
        <w:rPr>
          <w:rFonts w:ascii="Palatino Linotype" w:hAnsi="Palatino Linotype"/>
          <w:highlight w:val="green"/>
        </w:rPr>
        <w:t>XX</w:t>
      </w:r>
      <w:r w:rsidRPr="00C41041">
        <w:rPr>
          <w:rFonts w:ascii="Palatino Linotype" w:hAnsi="Palatino Linotype"/>
        </w:rPr>
        <w:t xml:space="preserve"> follow-up; the use of validated </w:t>
      </w:r>
      <w:r w:rsidR="006850BA" w:rsidRPr="00C41041">
        <w:rPr>
          <w:rFonts w:ascii="Palatino Linotype" w:hAnsi="Palatino Linotype"/>
        </w:rPr>
        <w:t xml:space="preserve">psychological </w:t>
      </w:r>
      <w:r w:rsidRPr="00C41041">
        <w:rPr>
          <w:rFonts w:ascii="Palatino Linotype" w:hAnsi="Palatino Linotype"/>
        </w:rPr>
        <w:t xml:space="preserve">measures; the inclusion of </w:t>
      </w:r>
      <w:r w:rsidR="006850BA" w:rsidRPr="00C41041">
        <w:rPr>
          <w:rFonts w:ascii="Palatino Linotype" w:hAnsi="Palatino Linotype"/>
        </w:rPr>
        <w:t xml:space="preserve">various </w:t>
      </w:r>
      <w:r w:rsidRPr="00C41041">
        <w:rPr>
          <w:rFonts w:ascii="Palatino Linotype" w:hAnsi="Palatino Linotype"/>
        </w:rPr>
        <w:t xml:space="preserve">biomarkers; and the innovative application of digital phenotyping to behavioral mechanisms that play a role in </w:t>
      </w:r>
      <w:r w:rsidR="006850BA" w:rsidRPr="00C41041">
        <w:rPr>
          <w:rFonts w:ascii="Palatino Linotype" w:hAnsi="Palatino Linotype"/>
        </w:rPr>
        <w:t>schizophrenia</w:t>
      </w:r>
      <w:r w:rsidRPr="00C41041">
        <w:rPr>
          <w:rFonts w:ascii="Palatino Linotype" w:hAnsi="Palatino Linotype"/>
        </w:rPr>
        <w:t xml:space="preserve">. Additionally, our study will have high external validity as the population will include those </w:t>
      </w:r>
      <w:r w:rsidR="006850BA" w:rsidRPr="00C41041">
        <w:rPr>
          <w:rFonts w:ascii="Palatino Linotype" w:hAnsi="Palatino Linotype"/>
        </w:rPr>
        <w:t xml:space="preserve">patients who experienced first psychotic </w:t>
      </w:r>
      <w:r w:rsidR="008166BA" w:rsidRPr="00C41041">
        <w:rPr>
          <w:rFonts w:ascii="Palatino Linotype" w:hAnsi="Palatino Linotype"/>
        </w:rPr>
        <w:t xml:space="preserve">episode. </w:t>
      </w:r>
      <w:r w:rsidRPr="00C41041">
        <w:rPr>
          <w:rFonts w:ascii="Palatino Linotype" w:hAnsi="Palatino Linotype"/>
        </w:rPr>
        <w:t xml:space="preserve"> </w:t>
      </w:r>
    </w:p>
    <w:p w14:paraId="319C8AF0" w14:textId="69B49D93" w:rsidR="0064541A" w:rsidRPr="00C41041" w:rsidRDefault="00161532" w:rsidP="0064541A">
      <w:pPr>
        <w:bidi w:val="0"/>
        <w:spacing w:line="360" w:lineRule="auto"/>
        <w:rPr>
          <w:rFonts w:ascii="Palatino Linotype" w:hAnsi="Palatino Linotype"/>
          <w:b/>
          <w:bCs/>
        </w:rPr>
      </w:pPr>
      <w:r w:rsidRPr="00C41041">
        <w:rPr>
          <w:rFonts w:ascii="Palatino Linotype" w:hAnsi="Palatino Linotype"/>
          <w:b/>
          <w:bCs/>
        </w:rPr>
        <w:t>Figure</w:t>
      </w:r>
    </w:p>
    <w:p w14:paraId="331D765D" w14:textId="5529C0B3" w:rsidR="0064541A" w:rsidRPr="00C41041" w:rsidRDefault="0064541A" w:rsidP="0064541A">
      <w:pPr>
        <w:bidi w:val="0"/>
        <w:spacing w:line="360" w:lineRule="auto"/>
        <w:rPr>
          <w:rFonts w:ascii="Palatino Linotype" w:hAnsi="Palatino Linotype"/>
        </w:rPr>
      </w:pPr>
    </w:p>
    <w:p w14:paraId="3DD27509" w14:textId="4DE0A439" w:rsidR="008166BA" w:rsidRPr="00C41041" w:rsidRDefault="008166BA" w:rsidP="008166BA">
      <w:pPr>
        <w:bidi w:val="0"/>
        <w:spacing w:line="360" w:lineRule="auto"/>
        <w:rPr>
          <w:rFonts w:ascii="Palatino Linotype" w:hAnsi="Palatino Linotype"/>
        </w:rPr>
      </w:pPr>
    </w:p>
    <w:p w14:paraId="3E090343" w14:textId="77777777" w:rsidR="008166BA" w:rsidRPr="00C41041" w:rsidRDefault="008166BA" w:rsidP="008166BA">
      <w:pPr>
        <w:bidi w:val="0"/>
        <w:spacing w:line="360" w:lineRule="auto"/>
        <w:rPr>
          <w:rFonts w:ascii="Palatino Linotype" w:hAnsi="Palatino Linotype"/>
        </w:rPr>
      </w:pPr>
    </w:p>
    <w:p w14:paraId="678DA1D7" w14:textId="3E08080D" w:rsidR="00204C11" w:rsidRPr="00C41041" w:rsidRDefault="0064541A">
      <w:pPr>
        <w:bidi w:val="0"/>
        <w:rPr>
          <w:rFonts w:ascii="Palatino Linotype" w:hAnsi="Palatino Linotype"/>
        </w:rPr>
      </w:pPr>
      <w:r w:rsidRPr="00C41041">
        <w:rPr>
          <w:rFonts w:ascii="Palatino Linotype" w:hAnsi="Palatino Linotype"/>
          <w:b/>
          <w:bCs/>
        </w:rPr>
        <w:t>Figure 1:</w:t>
      </w:r>
      <w:r w:rsidRPr="00C41041">
        <w:rPr>
          <w:rFonts w:ascii="Palatino Linotype" w:hAnsi="Palatino Linotype"/>
        </w:rPr>
        <w:t xml:space="preserve"> </w:t>
      </w:r>
      <w:r w:rsidR="00204C11" w:rsidRPr="00C41041">
        <w:rPr>
          <w:rFonts w:ascii="Palatino Linotype" w:hAnsi="Palatino Linotype"/>
        </w:rPr>
        <w:br w:type="page"/>
      </w:r>
    </w:p>
    <w:p w14:paraId="5CA2284A" w14:textId="7D919AB6" w:rsidR="00204C11" w:rsidRPr="00C41041" w:rsidRDefault="00204C11" w:rsidP="00F44FD7">
      <w:pPr>
        <w:autoSpaceDE w:val="0"/>
        <w:autoSpaceDN w:val="0"/>
        <w:bidi w:val="0"/>
        <w:ind w:left="142" w:hanging="142"/>
        <w:rPr>
          <w:rFonts w:ascii="Palatino Linotype" w:eastAsia="Times New Roman" w:hAnsi="Palatino Linotype"/>
          <w:b/>
          <w:bCs/>
        </w:rPr>
      </w:pPr>
      <w:r w:rsidRPr="00C41041">
        <w:rPr>
          <w:rFonts w:ascii="Palatino Linotype" w:eastAsia="Times New Roman" w:hAnsi="Palatino Linotype"/>
          <w:b/>
          <w:bCs/>
        </w:rPr>
        <w:lastRenderedPageBreak/>
        <w:t>Bibliography</w:t>
      </w:r>
    </w:p>
    <w:p w14:paraId="2EA8168B" w14:textId="043D335A" w:rsidR="007743C2" w:rsidRPr="00C41041" w:rsidRDefault="009273CC" w:rsidP="0017640E">
      <w:pPr>
        <w:pStyle w:val="aa"/>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eastAsia="Times New Roman" w:hAnsi="Palatino Linotype" w:cs="Arial"/>
          <w:color w:val="222222"/>
          <w:sz w:val="20"/>
          <w:szCs w:val="20"/>
        </w:rPr>
        <w:t xml:space="preserve">Mueser, K. T., &amp; McGurk, S. R. (2004). Schizophrenia. </w:t>
      </w:r>
      <w:r w:rsidRPr="00C41041">
        <w:rPr>
          <w:rFonts w:ascii="Palatino Linotype" w:eastAsia="Times New Roman" w:hAnsi="Palatino Linotype" w:cs="Arial"/>
          <w:i/>
          <w:iCs/>
          <w:color w:val="222222"/>
          <w:sz w:val="20"/>
          <w:szCs w:val="20"/>
        </w:rPr>
        <w:t xml:space="preserve">The Lancet, 363, </w:t>
      </w:r>
      <w:r w:rsidRPr="00C41041">
        <w:rPr>
          <w:rFonts w:ascii="Palatino Linotype" w:eastAsia="Times New Roman" w:hAnsi="Palatino Linotype" w:cs="Arial"/>
          <w:color w:val="222222"/>
          <w:sz w:val="20"/>
          <w:szCs w:val="20"/>
        </w:rPr>
        <w:t>2063-2072.</w:t>
      </w:r>
    </w:p>
    <w:p w14:paraId="1551C2E0" w14:textId="791870CC" w:rsidR="00964AA4" w:rsidRPr="00C41041" w:rsidRDefault="00964AA4" w:rsidP="0017640E">
      <w:pPr>
        <w:pStyle w:val="aa"/>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eastAsia="Times New Roman" w:hAnsi="Palatino Linotype" w:cs="Arial"/>
          <w:color w:val="222222"/>
          <w:sz w:val="20"/>
          <w:szCs w:val="20"/>
        </w:rPr>
        <w:t>James, S. L., Abate, D., Abate, K. H., Abay, S. M., Abbafati, C., Abbasi, N., ... &amp; Briggs, A. M. (2018). Global, regional, and national incidence, prevalence, and years lived with disability for 354 diseases and injuries for 195 countries and territories, 1990–2017: a systematic analysis for the Global Burden of Disease Study 2017. </w:t>
      </w:r>
      <w:r w:rsidRPr="00C41041">
        <w:rPr>
          <w:rFonts w:ascii="Palatino Linotype" w:eastAsia="Times New Roman" w:hAnsi="Palatino Linotype" w:cs="Arial"/>
          <w:i/>
          <w:iCs/>
          <w:color w:val="222222"/>
          <w:sz w:val="20"/>
          <w:szCs w:val="20"/>
        </w:rPr>
        <w:t>The Lancet</w:t>
      </w:r>
      <w:r w:rsidRPr="00C41041">
        <w:rPr>
          <w:rFonts w:ascii="Palatino Linotype" w:eastAsia="Times New Roman" w:hAnsi="Palatino Linotype" w:cs="Arial"/>
          <w:color w:val="222222"/>
          <w:sz w:val="20"/>
          <w:szCs w:val="20"/>
        </w:rPr>
        <w:t>, </w:t>
      </w:r>
      <w:r w:rsidRPr="00C41041">
        <w:rPr>
          <w:rFonts w:ascii="Palatino Linotype" w:eastAsia="Times New Roman" w:hAnsi="Palatino Linotype" w:cs="Arial"/>
          <w:i/>
          <w:iCs/>
          <w:color w:val="222222"/>
          <w:sz w:val="20"/>
          <w:szCs w:val="20"/>
        </w:rPr>
        <w:t>392</w:t>
      </w:r>
      <w:r w:rsidRPr="00C41041">
        <w:rPr>
          <w:rFonts w:ascii="Palatino Linotype" w:eastAsia="Times New Roman" w:hAnsi="Palatino Linotype" w:cs="Arial"/>
          <w:color w:val="222222"/>
          <w:sz w:val="20"/>
          <w:szCs w:val="20"/>
        </w:rPr>
        <w:t>(10159), 1789-1858.</w:t>
      </w:r>
    </w:p>
    <w:p w14:paraId="39AC4995" w14:textId="19F3511E" w:rsidR="004E4F86" w:rsidRPr="00C41041" w:rsidRDefault="004E4F86" w:rsidP="004E4F86">
      <w:pPr>
        <w:pStyle w:val="aa"/>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eastAsia="Times New Roman" w:hAnsi="Palatino Linotype" w:cs="Arial"/>
          <w:color w:val="222222"/>
          <w:sz w:val="20"/>
          <w:szCs w:val="20"/>
        </w:rPr>
        <w:t>Laursen, T. M., Nordentoft, M., &amp; Mortensen, P. B. (2014). Excess early mortality in schizophrenia. </w:t>
      </w:r>
      <w:r w:rsidRPr="00C41041">
        <w:rPr>
          <w:rFonts w:ascii="Palatino Linotype" w:eastAsia="Times New Roman" w:hAnsi="Palatino Linotype" w:cs="Arial"/>
          <w:i/>
          <w:iCs/>
          <w:color w:val="222222"/>
          <w:sz w:val="20"/>
          <w:szCs w:val="20"/>
        </w:rPr>
        <w:t>Annual review of clinical psychology</w:t>
      </w:r>
      <w:r w:rsidRPr="00C41041">
        <w:rPr>
          <w:rFonts w:ascii="Palatino Linotype" w:eastAsia="Times New Roman" w:hAnsi="Palatino Linotype" w:cs="Arial"/>
          <w:color w:val="222222"/>
          <w:sz w:val="20"/>
          <w:szCs w:val="20"/>
        </w:rPr>
        <w:t>, </w:t>
      </w:r>
      <w:r w:rsidRPr="00C41041">
        <w:rPr>
          <w:rFonts w:ascii="Palatino Linotype" w:eastAsia="Times New Roman" w:hAnsi="Palatino Linotype" w:cs="Arial"/>
          <w:i/>
          <w:iCs/>
          <w:color w:val="222222"/>
          <w:sz w:val="20"/>
          <w:szCs w:val="20"/>
        </w:rPr>
        <w:t>10</w:t>
      </w:r>
      <w:r w:rsidRPr="00C41041">
        <w:rPr>
          <w:rFonts w:ascii="Palatino Linotype" w:eastAsia="Times New Roman" w:hAnsi="Palatino Linotype" w:cs="Arial"/>
          <w:color w:val="222222"/>
          <w:sz w:val="20"/>
          <w:szCs w:val="20"/>
        </w:rPr>
        <w:t>, 425-448.</w:t>
      </w:r>
    </w:p>
    <w:p w14:paraId="267BB362" w14:textId="1D9F000F" w:rsidR="004E4F86" w:rsidRPr="00C41041" w:rsidRDefault="004E4F86" w:rsidP="004E4F86">
      <w:pPr>
        <w:pStyle w:val="aa"/>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eastAsia="Times New Roman" w:hAnsi="Palatino Linotype" w:cs="Arial"/>
          <w:color w:val="222222"/>
          <w:sz w:val="20"/>
          <w:szCs w:val="20"/>
        </w:rPr>
        <w:t xml:space="preserve">Emsley, R., Chiliza, B., Asmal, L., &amp; Harvey, B. H. (2013). The nature of relapse in schizophrenia. </w:t>
      </w:r>
      <w:r w:rsidRPr="00C41041">
        <w:rPr>
          <w:rFonts w:ascii="Palatino Linotype" w:eastAsia="Times New Roman" w:hAnsi="Palatino Linotype" w:cs="Arial"/>
          <w:i/>
          <w:iCs/>
          <w:color w:val="222222"/>
          <w:sz w:val="20"/>
          <w:szCs w:val="20"/>
        </w:rPr>
        <w:t>BMC psychiatry</w:t>
      </w:r>
      <w:r w:rsidRPr="00C41041">
        <w:rPr>
          <w:rFonts w:ascii="Palatino Linotype" w:eastAsia="Times New Roman" w:hAnsi="Palatino Linotype" w:cs="Arial"/>
          <w:color w:val="222222"/>
          <w:sz w:val="20"/>
          <w:szCs w:val="20"/>
        </w:rPr>
        <w:t>, </w:t>
      </w:r>
      <w:r w:rsidRPr="00C41041">
        <w:rPr>
          <w:rFonts w:ascii="Palatino Linotype" w:eastAsia="Times New Roman" w:hAnsi="Palatino Linotype" w:cs="Arial"/>
          <w:i/>
          <w:iCs/>
          <w:color w:val="222222"/>
          <w:sz w:val="20"/>
          <w:szCs w:val="20"/>
        </w:rPr>
        <w:t>13</w:t>
      </w:r>
      <w:r w:rsidRPr="00C41041">
        <w:rPr>
          <w:rFonts w:ascii="Palatino Linotype" w:eastAsia="Times New Roman" w:hAnsi="Palatino Linotype" w:cs="Arial"/>
          <w:color w:val="222222"/>
          <w:sz w:val="20"/>
          <w:szCs w:val="20"/>
        </w:rPr>
        <w:t>(1), 1-8.</w:t>
      </w:r>
    </w:p>
    <w:p w14:paraId="3460FCD5" w14:textId="20E287A8" w:rsidR="00964AA4" w:rsidRPr="00C41041" w:rsidRDefault="001E58F4" w:rsidP="001E58F4">
      <w:pPr>
        <w:pStyle w:val="aa"/>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Taylor, M., Chaudhry, I., Cross, M., McDonald, E., Miller, P., Pilowsky, L., &amp; Strickland, P. (2005). Towards consensus in the long</w:t>
      </w:r>
      <w:r w:rsidRPr="00C41041">
        <w:rPr>
          <w:rFonts w:ascii="Palatino Linotype" w:hAnsi="Palatino Linotype" w:cs="Cambria Math"/>
          <w:color w:val="222222"/>
          <w:sz w:val="20"/>
          <w:szCs w:val="20"/>
          <w:shd w:val="clear" w:color="auto" w:fill="FFFFFF"/>
        </w:rPr>
        <w:t>‐</w:t>
      </w:r>
      <w:r w:rsidRPr="00C41041">
        <w:rPr>
          <w:rFonts w:ascii="Palatino Linotype" w:hAnsi="Palatino Linotype" w:cs="Arial"/>
          <w:color w:val="222222"/>
          <w:sz w:val="20"/>
          <w:szCs w:val="20"/>
          <w:shd w:val="clear" w:color="auto" w:fill="FFFFFF"/>
        </w:rPr>
        <w:t>term management of relapse prevention in schizophrenia. </w:t>
      </w:r>
      <w:r w:rsidRPr="00C41041">
        <w:rPr>
          <w:rFonts w:ascii="Palatino Linotype" w:hAnsi="Palatino Linotype" w:cs="Arial"/>
          <w:i/>
          <w:iCs/>
          <w:color w:val="222222"/>
          <w:sz w:val="20"/>
          <w:szCs w:val="20"/>
          <w:shd w:val="clear" w:color="auto" w:fill="FFFFFF"/>
        </w:rPr>
        <w:t>Human Psychopharmacology: Clinical and Experimental</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20</w:t>
      </w:r>
      <w:r w:rsidRPr="00C41041">
        <w:rPr>
          <w:rFonts w:ascii="Palatino Linotype" w:hAnsi="Palatino Linotype" w:cs="Arial"/>
          <w:color w:val="222222"/>
          <w:sz w:val="20"/>
          <w:szCs w:val="20"/>
          <w:shd w:val="clear" w:color="auto" w:fill="FFFFFF"/>
        </w:rPr>
        <w:t>(3), 175-181.</w:t>
      </w:r>
      <w:r w:rsidRPr="00C41041">
        <w:rPr>
          <w:rFonts w:ascii="Palatino Linotype" w:hAnsi="Palatino Linotype" w:cs="Arial"/>
          <w:color w:val="222222"/>
          <w:sz w:val="20"/>
          <w:szCs w:val="20"/>
          <w:shd w:val="clear" w:color="auto" w:fill="FFFFFF"/>
          <w:rtl/>
        </w:rPr>
        <w:t>‏</w:t>
      </w:r>
    </w:p>
    <w:p w14:paraId="144A88B3" w14:textId="32019588" w:rsidR="006D5367" w:rsidRPr="00C41041" w:rsidRDefault="006D5367" w:rsidP="0065502A">
      <w:pPr>
        <w:pStyle w:val="aa"/>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Kazadi, N. J. B., Moosa, M. Y. H., &amp; Jeenah, F. Y. (2008). Factors associated with relapse in schizophrenia. </w:t>
      </w:r>
      <w:r w:rsidRPr="00C41041">
        <w:rPr>
          <w:rFonts w:ascii="Palatino Linotype" w:hAnsi="Palatino Linotype" w:cs="Arial"/>
          <w:i/>
          <w:iCs/>
          <w:color w:val="222222"/>
          <w:sz w:val="20"/>
          <w:szCs w:val="20"/>
          <w:shd w:val="clear" w:color="auto" w:fill="FFFFFF"/>
        </w:rPr>
        <w:t>South African Journal of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14</w:t>
      </w:r>
      <w:r w:rsidRPr="00C41041">
        <w:rPr>
          <w:rFonts w:ascii="Palatino Linotype" w:hAnsi="Palatino Linotype" w:cs="Arial"/>
          <w:color w:val="222222"/>
          <w:sz w:val="20"/>
          <w:szCs w:val="20"/>
          <w:shd w:val="clear" w:color="auto" w:fill="FFFFFF"/>
        </w:rPr>
        <w:t>(2), 52-62.</w:t>
      </w:r>
      <w:r w:rsidRPr="00C41041">
        <w:rPr>
          <w:rFonts w:ascii="Palatino Linotype" w:hAnsi="Palatino Linotype" w:cs="Arial"/>
          <w:color w:val="222222"/>
          <w:sz w:val="20"/>
          <w:szCs w:val="20"/>
          <w:shd w:val="clear" w:color="auto" w:fill="FFFFFF"/>
          <w:rtl/>
        </w:rPr>
        <w:t>‏</w:t>
      </w:r>
    </w:p>
    <w:p w14:paraId="12EC6DCB" w14:textId="77777777" w:rsidR="006D5367" w:rsidRPr="00C41041" w:rsidRDefault="006D5367" w:rsidP="006D5367">
      <w:pPr>
        <w:pStyle w:val="aa"/>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Shah, J. L., &amp; Malla, A. K. (2015). Much ado about much: stress, dynamic biomarkers and HPA axis dysregulation along the trajectory to psychosis. </w:t>
      </w:r>
      <w:r w:rsidRPr="00C41041">
        <w:rPr>
          <w:rFonts w:ascii="Palatino Linotype" w:hAnsi="Palatino Linotype" w:cs="Arial"/>
          <w:i/>
          <w:iCs/>
          <w:color w:val="222222"/>
          <w:sz w:val="20"/>
          <w:szCs w:val="20"/>
          <w:shd w:val="clear" w:color="auto" w:fill="FFFFFF"/>
        </w:rPr>
        <w:t>Schizophrenia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162</w:t>
      </w:r>
      <w:r w:rsidRPr="00C41041">
        <w:rPr>
          <w:rFonts w:ascii="Palatino Linotype" w:hAnsi="Palatino Linotype" w:cs="Arial"/>
          <w:color w:val="222222"/>
          <w:sz w:val="20"/>
          <w:szCs w:val="20"/>
          <w:shd w:val="clear" w:color="auto" w:fill="FFFFFF"/>
        </w:rPr>
        <w:t>(1-3), 253-260.</w:t>
      </w:r>
      <w:r w:rsidRPr="00C41041">
        <w:rPr>
          <w:rFonts w:ascii="Palatino Linotype" w:hAnsi="Palatino Linotype" w:cs="Arial"/>
          <w:color w:val="222222"/>
          <w:sz w:val="20"/>
          <w:szCs w:val="20"/>
          <w:shd w:val="clear" w:color="auto" w:fill="FFFFFF"/>
          <w:rtl/>
        </w:rPr>
        <w:t>‏</w:t>
      </w:r>
    </w:p>
    <w:p w14:paraId="1E77E181" w14:textId="4FF565AD" w:rsidR="003C1408" w:rsidRPr="00C41041" w:rsidRDefault="003C1408" w:rsidP="006D5367">
      <w:pPr>
        <w:pStyle w:val="aa"/>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Tomasik, J., Rahmoune, H., Guest, P. C., &amp; Bahn, S. (2016). Neuroimmune biomarkers in schizophrenia. </w:t>
      </w:r>
      <w:r w:rsidRPr="00C41041">
        <w:rPr>
          <w:rFonts w:ascii="Palatino Linotype" w:hAnsi="Palatino Linotype" w:cs="Arial"/>
          <w:i/>
          <w:iCs/>
          <w:color w:val="222222"/>
          <w:sz w:val="20"/>
          <w:szCs w:val="20"/>
          <w:shd w:val="clear" w:color="auto" w:fill="FFFFFF"/>
        </w:rPr>
        <w:t>Schizophrenia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176</w:t>
      </w:r>
      <w:r w:rsidRPr="00C41041">
        <w:rPr>
          <w:rFonts w:ascii="Palatino Linotype" w:hAnsi="Palatino Linotype" w:cs="Arial"/>
          <w:color w:val="222222"/>
          <w:sz w:val="20"/>
          <w:szCs w:val="20"/>
          <w:shd w:val="clear" w:color="auto" w:fill="FFFFFF"/>
        </w:rPr>
        <w:t>(1), 3-13.</w:t>
      </w:r>
      <w:r w:rsidRPr="00C41041">
        <w:rPr>
          <w:rFonts w:ascii="Palatino Linotype" w:hAnsi="Palatino Linotype" w:cs="Arial"/>
          <w:color w:val="222222"/>
          <w:sz w:val="20"/>
          <w:szCs w:val="20"/>
          <w:shd w:val="clear" w:color="auto" w:fill="FFFFFF"/>
          <w:rtl/>
        </w:rPr>
        <w:t>‏</w:t>
      </w:r>
    </w:p>
    <w:p w14:paraId="051D95C7" w14:textId="1230C791" w:rsidR="003C1408" w:rsidRPr="00C41041" w:rsidRDefault="0044299E" w:rsidP="003C1408">
      <w:pPr>
        <w:pStyle w:val="aa"/>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Miller, B. J., &amp; Goldsmith, D. R. (2019). Inflammatory biomarkers in schizophrenia: implications for heterogeneity and neurobiology. </w:t>
      </w:r>
      <w:r w:rsidRPr="00C41041">
        <w:rPr>
          <w:rFonts w:ascii="Palatino Linotype" w:hAnsi="Palatino Linotype" w:cs="Arial"/>
          <w:i/>
          <w:iCs/>
          <w:color w:val="222222"/>
          <w:sz w:val="20"/>
          <w:szCs w:val="20"/>
          <w:shd w:val="clear" w:color="auto" w:fill="FFFFFF"/>
        </w:rPr>
        <w:t>Biomarkers in Neuropsychiatry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w:t>
      </w:r>
      <w:r w:rsidRPr="00C41041">
        <w:rPr>
          <w:rFonts w:ascii="Palatino Linotype" w:hAnsi="Palatino Linotype" w:cs="Arial"/>
          <w:color w:val="222222"/>
          <w:sz w:val="20"/>
          <w:szCs w:val="20"/>
          <w:shd w:val="clear" w:color="auto" w:fill="FFFFFF"/>
        </w:rPr>
        <w:t>, 100006.</w:t>
      </w:r>
      <w:r w:rsidRPr="00C41041">
        <w:rPr>
          <w:rFonts w:ascii="Palatino Linotype" w:hAnsi="Palatino Linotype" w:cs="Arial"/>
          <w:color w:val="222222"/>
          <w:sz w:val="20"/>
          <w:szCs w:val="20"/>
          <w:shd w:val="clear" w:color="auto" w:fill="FFFFFF"/>
          <w:rtl/>
        </w:rPr>
        <w:t>‏</w:t>
      </w:r>
    </w:p>
    <w:p w14:paraId="514A9194" w14:textId="1E09FCB9" w:rsidR="003C1408" w:rsidRPr="00C41041" w:rsidRDefault="000400E8" w:rsidP="003C1408">
      <w:pPr>
        <w:pStyle w:val="aa"/>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Corsi-Zuelli, F. M. D. G., Brognara, F., Quirino, G. F. D. S., Hiroki, C. H., Fais, R. S., Del-Ben, C. M., ... &amp; Loureiro, C. M. (2017). Neuroimmune interactions in schizophrenia: focus on vagus nerve stimulation and activation of the alpha-7 nicotinic acetylcholine receptor. </w:t>
      </w:r>
      <w:r w:rsidRPr="00C41041">
        <w:rPr>
          <w:rFonts w:ascii="Palatino Linotype" w:hAnsi="Palatino Linotype" w:cs="Arial"/>
          <w:i/>
          <w:iCs/>
          <w:color w:val="222222"/>
          <w:sz w:val="20"/>
          <w:szCs w:val="20"/>
          <w:shd w:val="clear" w:color="auto" w:fill="FFFFFF"/>
        </w:rPr>
        <w:t>Frontiers in immunology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8</w:t>
      </w:r>
      <w:r w:rsidRPr="00C41041">
        <w:rPr>
          <w:rFonts w:ascii="Palatino Linotype" w:hAnsi="Palatino Linotype" w:cs="Arial"/>
          <w:color w:val="222222"/>
          <w:sz w:val="20"/>
          <w:szCs w:val="20"/>
          <w:shd w:val="clear" w:color="auto" w:fill="FFFFFF"/>
        </w:rPr>
        <w:t>, 618.</w:t>
      </w:r>
      <w:r w:rsidRPr="00C41041">
        <w:rPr>
          <w:rFonts w:ascii="Palatino Linotype" w:hAnsi="Palatino Linotype" w:cs="Arial"/>
          <w:color w:val="222222"/>
          <w:sz w:val="20"/>
          <w:szCs w:val="20"/>
          <w:shd w:val="clear" w:color="auto" w:fill="FFFFFF"/>
          <w:rtl/>
        </w:rPr>
        <w:t>‏</w:t>
      </w:r>
    </w:p>
    <w:p w14:paraId="3D4C0445" w14:textId="5EE05A84" w:rsidR="003C1408" w:rsidRPr="00C41041" w:rsidRDefault="00904CA6" w:rsidP="003C1408">
      <w:pPr>
        <w:pStyle w:val="aa"/>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Bär, K. J., Letzsch, A., Jochum, T., Wagner, G., Greiner, W., &amp; Sauer, H. (2005). Loss of efferent vagal activity in acute schizophrenia. </w:t>
      </w:r>
      <w:r w:rsidRPr="00C41041">
        <w:rPr>
          <w:rFonts w:ascii="Palatino Linotype" w:hAnsi="Palatino Linotype" w:cs="Arial"/>
          <w:i/>
          <w:iCs/>
          <w:color w:val="222222"/>
          <w:sz w:val="20"/>
          <w:szCs w:val="20"/>
          <w:shd w:val="clear" w:color="auto" w:fill="FFFFFF"/>
        </w:rPr>
        <w:t>Journal of psychiatric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39</w:t>
      </w:r>
      <w:r w:rsidRPr="00C41041">
        <w:rPr>
          <w:rFonts w:ascii="Palatino Linotype" w:hAnsi="Palatino Linotype" w:cs="Arial"/>
          <w:color w:val="222222"/>
          <w:sz w:val="20"/>
          <w:szCs w:val="20"/>
          <w:shd w:val="clear" w:color="auto" w:fill="FFFFFF"/>
        </w:rPr>
        <w:t>(5), 519-527.</w:t>
      </w:r>
      <w:r w:rsidRPr="00C41041">
        <w:rPr>
          <w:rFonts w:ascii="Palatino Linotype" w:hAnsi="Palatino Linotype" w:cs="Arial"/>
          <w:color w:val="222222"/>
          <w:sz w:val="20"/>
          <w:szCs w:val="20"/>
          <w:shd w:val="clear" w:color="auto" w:fill="FFFFFF"/>
          <w:rtl/>
        </w:rPr>
        <w:t>‏</w:t>
      </w:r>
    </w:p>
    <w:p w14:paraId="1997A9F7" w14:textId="637C2F40" w:rsidR="00156EFE" w:rsidRPr="00C41041" w:rsidRDefault="00156EFE" w:rsidP="00156EFE">
      <w:pPr>
        <w:pStyle w:val="aa"/>
        <w:numPr>
          <w:ilvl w:val="0"/>
          <w:numId w:val="17"/>
        </w:numPr>
        <w:autoSpaceDE w:val="0"/>
        <w:autoSpaceDN w:val="0"/>
        <w:bidi w:val="0"/>
        <w:ind w:left="284"/>
        <w:rPr>
          <w:rFonts w:ascii="Palatino Linotype" w:eastAsia="Times New Roman" w:hAnsi="Palatino Linotype"/>
        </w:rPr>
      </w:pPr>
      <w:r w:rsidRPr="00C41041">
        <w:rPr>
          <w:rFonts w:ascii="Palatino Linotype" w:eastAsia="Times New Roman" w:hAnsi="Palatino Linotype"/>
        </w:rPr>
        <w:t xml:space="preserve">Pedersen, S. S., von Känel, R., Tully, P. J. &amp; Denollet, J. Psychosocial perspectives in cardiovascular disease. </w:t>
      </w:r>
      <w:r w:rsidRPr="00C41041">
        <w:rPr>
          <w:rFonts w:ascii="Palatino Linotype" w:eastAsia="Times New Roman" w:hAnsi="Palatino Linotype"/>
          <w:i/>
          <w:iCs/>
        </w:rPr>
        <w:t>European Journal of Preventive Cardiology</w:t>
      </w:r>
      <w:r w:rsidRPr="00C41041">
        <w:rPr>
          <w:rFonts w:ascii="Palatino Linotype" w:eastAsia="Times New Roman" w:hAnsi="Palatino Linotype"/>
        </w:rPr>
        <w:t xml:space="preserve"> </w:t>
      </w:r>
      <w:r w:rsidRPr="00C41041">
        <w:rPr>
          <w:rFonts w:ascii="Palatino Linotype" w:eastAsia="Times New Roman" w:hAnsi="Palatino Linotype"/>
          <w:b/>
          <w:bCs/>
        </w:rPr>
        <w:t>24</w:t>
      </w:r>
      <w:r w:rsidRPr="00C41041">
        <w:rPr>
          <w:rFonts w:ascii="Palatino Linotype" w:eastAsia="Times New Roman" w:hAnsi="Palatino Linotype"/>
        </w:rPr>
        <w:t>, 108–115 (2017).</w:t>
      </w:r>
    </w:p>
    <w:p w14:paraId="56510917" w14:textId="77777777" w:rsidR="007C7521" w:rsidRPr="00C41041" w:rsidRDefault="007C7521" w:rsidP="007C7521">
      <w:pPr>
        <w:pStyle w:val="aa"/>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Raison, C. L., Lowry, C. A., &amp; Rook, G. A. (2010). Inflammation, sanitation, and consternation: loss of contact with coevolved, tolerogenic microorganisms and the pathophysiology and treatment of major depression. </w:t>
      </w:r>
      <w:r w:rsidRPr="00C41041">
        <w:rPr>
          <w:rFonts w:ascii="Palatino Linotype" w:hAnsi="Palatino Linotype" w:cs="Arial"/>
          <w:i/>
          <w:iCs/>
          <w:color w:val="222222"/>
          <w:sz w:val="20"/>
          <w:szCs w:val="20"/>
          <w:shd w:val="clear" w:color="auto" w:fill="FFFFFF"/>
        </w:rPr>
        <w:t>Archives of general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67</w:t>
      </w:r>
      <w:r w:rsidRPr="00C41041">
        <w:rPr>
          <w:rFonts w:ascii="Palatino Linotype" w:hAnsi="Palatino Linotype" w:cs="Arial"/>
          <w:color w:val="222222"/>
          <w:sz w:val="20"/>
          <w:szCs w:val="20"/>
          <w:shd w:val="clear" w:color="auto" w:fill="FFFFFF"/>
        </w:rPr>
        <w:t>(12), 1211-1224.</w:t>
      </w:r>
      <w:r w:rsidRPr="00C41041">
        <w:rPr>
          <w:rFonts w:ascii="Palatino Linotype" w:hAnsi="Palatino Linotype" w:cs="Arial"/>
          <w:color w:val="222222"/>
          <w:sz w:val="20"/>
          <w:szCs w:val="20"/>
          <w:shd w:val="clear" w:color="auto" w:fill="FFFFFF"/>
          <w:rtl/>
        </w:rPr>
        <w:t>‏</w:t>
      </w:r>
    </w:p>
    <w:p w14:paraId="2E55DCC4" w14:textId="18BC4614" w:rsidR="007C7521" w:rsidRPr="00C41041" w:rsidRDefault="00BE3B3C" w:rsidP="007C7521">
      <w:pPr>
        <w:pStyle w:val="aa"/>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Hoffman, K. W., Lee, J. J., Corcoran, C. M., Kimhy, D., Kranz, T. M., &amp; Malaspina, D. (2020). Considering the Microbiome in Stress-Related and Neurodevelopmental Trajectories to Schizophrenia. </w:t>
      </w:r>
      <w:r w:rsidRPr="00C41041">
        <w:rPr>
          <w:rFonts w:ascii="Palatino Linotype" w:hAnsi="Palatino Linotype" w:cs="Arial"/>
          <w:i/>
          <w:iCs/>
          <w:color w:val="222222"/>
          <w:sz w:val="20"/>
          <w:szCs w:val="20"/>
          <w:shd w:val="clear" w:color="auto" w:fill="FFFFFF"/>
        </w:rPr>
        <w:t>Frontiers in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11</w:t>
      </w:r>
      <w:r w:rsidRPr="00C41041">
        <w:rPr>
          <w:rFonts w:ascii="Palatino Linotype" w:hAnsi="Palatino Linotype" w:cs="Arial"/>
          <w:color w:val="222222"/>
          <w:sz w:val="20"/>
          <w:szCs w:val="20"/>
          <w:shd w:val="clear" w:color="auto" w:fill="FFFFFF"/>
        </w:rPr>
        <w:t>.</w:t>
      </w:r>
      <w:r w:rsidRPr="00C41041">
        <w:rPr>
          <w:rFonts w:ascii="Palatino Linotype" w:hAnsi="Palatino Linotype" w:cs="Arial"/>
          <w:color w:val="222222"/>
          <w:sz w:val="20"/>
          <w:szCs w:val="20"/>
          <w:shd w:val="clear" w:color="auto" w:fill="FFFFFF"/>
          <w:rtl/>
        </w:rPr>
        <w:t>‏</w:t>
      </w:r>
    </w:p>
    <w:p w14:paraId="09D923BE" w14:textId="6EC5AFBA" w:rsidR="00BE3B3C" w:rsidRPr="00C41041" w:rsidRDefault="00BE3B3C" w:rsidP="00BE3B3C">
      <w:pPr>
        <w:pStyle w:val="aa"/>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Kelly, J. R., Minuto, C., Cryan, J. F., Clarke, G., &amp; Dinan, T. G. (2020). The role of the gut microbiome in the development of schizophrenia. </w:t>
      </w:r>
      <w:r w:rsidRPr="00C41041">
        <w:rPr>
          <w:rFonts w:ascii="Palatino Linotype" w:hAnsi="Palatino Linotype" w:cs="Arial"/>
          <w:i/>
          <w:iCs/>
          <w:color w:val="222222"/>
          <w:sz w:val="20"/>
          <w:szCs w:val="20"/>
          <w:shd w:val="clear" w:color="auto" w:fill="FFFFFF"/>
        </w:rPr>
        <w:t>Schizophrenia research</w:t>
      </w:r>
      <w:r w:rsidRPr="00C41041">
        <w:rPr>
          <w:rFonts w:ascii="Palatino Linotype" w:hAnsi="Palatino Linotype" w:cs="Arial"/>
          <w:color w:val="222222"/>
          <w:sz w:val="20"/>
          <w:szCs w:val="20"/>
          <w:shd w:val="clear" w:color="auto" w:fill="FFFFFF"/>
        </w:rPr>
        <w:t>.</w:t>
      </w:r>
      <w:r w:rsidRPr="00C41041">
        <w:rPr>
          <w:rFonts w:ascii="Palatino Linotype" w:hAnsi="Palatino Linotype" w:cs="Arial"/>
          <w:color w:val="222222"/>
          <w:sz w:val="20"/>
          <w:szCs w:val="20"/>
          <w:shd w:val="clear" w:color="auto" w:fill="FFFFFF"/>
          <w:rtl/>
        </w:rPr>
        <w:t>‏</w:t>
      </w:r>
    </w:p>
    <w:p w14:paraId="30F36882" w14:textId="08EC4AC3" w:rsidR="00D93D46" w:rsidRPr="00C41041" w:rsidRDefault="00D93D46" w:rsidP="00D93D46">
      <w:pPr>
        <w:pStyle w:val="aa"/>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Szeligowski, T., Yun, A. L., Lennox, B. R., &amp; Burnet, P. W. (2020). The Gut Microbiome and Schizophrenia: the current state of the field and clinical applications. </w:t>
      </w:r>
      <w:r w:rsidRPr="00C41041">
        <w:rPr>
          <w:rFonts w:ascii="Palatino Linotype" w:hAnsi="Palatino Linotype" w:cs="Arial"/>
          <w:i/>
          <w:iCs/>
          <w:color w:val="222222"/>
          <w:sz w:val="20"/>
          <w:szCs w:val="20"/>
          <w:shd w:val="clear" w:color="auto" w:fill="FFFFFF"/>
        </w:rPr>
        <w:t>Frontiers in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11</w:t>
      </w:r>
      <w:r w:rsidRPr="00C41041">
        <w:rPr>
          <w:rFonts w:ascii="Palatino Linotype" w:hAnsi="Palatino Linotype" w:cs="Arial"/>
          <w:color w:val="222222"/>
          <w:sz w:val="20"/>
          <w:szCs w:val="20"/>
          <w:shd w:val="clear" w:color="auto" w:fill="FFFFFF"/>
        </w:rPr>
        <w:t>, 156.</w:t>
      </w:r>
      <w:r w:rsidRPr="00C41041">
        <w:rPr>
          <w:rFonts w:ascii="Palatino Linotype" w:hAnsi="Palatino Linotype" w:cs="Arial"/>
          <w:color w:val="222222"/>
          <w:sz w:val="20"/>
          <w:szCs w:val="20"/>
          <w:shd w:val="clear" w:color="auto" w:fill="FFFFFF"/>
          <w:rtl/>
        </w:rPr>
        <w:t>‏</w:t>
      </w:r>
    </w:p>
    <w:p w14:paraId="6BFCC8B2" w14:textId="18BE1FB5" w:rsidR="0055266E" w:rsidRPr="00C41041" w:rsidRDefault="0055266E" w:rsidP="0055266E">
      <w:pPr>
        <w:pStyle w:val="aa"/>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Shen, Y., Xu, J., Li, Z., Huang, Y., Yuan, Y., Wang, J., ... &amp; Liang, Y. (2018). Analysis of gut microbiota diversity and auxiliary diagnosis as a biomarker in patients with schizophrenia: a cross-sectional study. </w:t>
      </w:r>
      <w:r w:rsidRPr="00C41041">
        <w:rPr>
          <w:rFonts w:ascii="Palatino Linotype" w:hAnsi="Palatino Linotype" w:cs="Arial"/>
          <w:i/>
          <w:iCs/>
          <w:color w:val="222222"/>
          <w:sz w:val="20"/>
          <w:szCs w:val="20"/>
          <w:shd w:val="clear" w:color="auto" w:fill="FFFFFF"/>
        </w:rPr>
        <w:t>Schizophrenia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197</w:t>
      </w:r>
      <w:r w:rsidRPr="00C41041">
        <w:rPr>
          <w:rFonts w:ascii="Palatino Linotype" w:hAnsi="Palatino Linotype" w:cs="Arial"/>
          <w:color w:val="222222"/>
          <w:sz w:val="20"/>
          <w:szCs w:val="20"/>
          <w:shd w:val="clear" w:color="auto" w:fill="FFFFFF"/>
        </w:rPr>
        <w:t>, 470-477.</w:t>
      </w:r>
      <w:r w:rsidRPr="00C41041">
        <w:rPr>
          <w:rFonts w:ascii="Palatino Linotype" w:hAnsi="Palatino Linotype" w:cs="Arial"/>
          <w:color w:val="222222"/>
          <w:sz w:val="20"/>
          <w:szCs w:val="20"/>
          <w:shd w:val="clear" w:color="auto" w:fill="FFFFFF"/>
          <w:rtl/>
        </w:rPr>
        <w:t>‏</w:t>
      </w:r>
    </w:p>
    <w:p w14:paraId="50D32B96" w14:textId="721E49E3" w:rsidR="0055266E" w:rsidRPr="00C41041" w:rsidRDefault="006269E2" w:rsidP="0055266E">
      <w:pPr>
        <w:pStyle w:val="aa"/>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Dickerson, F., Severance, E., &amp; Yolken, R. (2017). The microbiome, immunity, and schizophrenia and bipolar disorder. </w:t>
      </w:r>
      <w:r w:rsidRPr="00C41041">
        <w:rPr>
          <w:rFonts w:ascii="Palatino Linotype" w:hAnsi="Palatino Linotype" w:cs="Arial"/>
          <w:i/>
          <w:iCs/>
          <w:color w:val="222222"/>
          <w:sz w:val="20"/>
          <w:szCs w:val="20"/>
          <w:shd w:val="clear" w:color="auto" w:fill="FFFFFF"/>
        </w:rPr>
        <w:t>Brain, behavior, and immunity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62</w:t>
      </w:r>
      <w:r w:rsidRPr="00C41041">
        <w:rPr>
          <w:rFonts w:ascii="Palatino Linotype" w:hAnsi="Palatino Linotype" w:cs="Arial"/>
          <w:color w:val="222222"/>
          <w:sz w:val="20"/>
          <w:szCs w:val="20"/>
          <w:shd w:val="clear" w:color="auto" w:fill="FFFFFF"/>
        </w:rPr>
        <w:t>, 46-52.</w:t>
      </w:r>
      <w:r w:rsidRPr="00C41041">
        <w:rPr>
          <w:rFonts w:ascii="Palatino Linotype" w:hAnsi="Palatino Linotype" w:cs="Arial"/>
          <w:color w:val="222222"/>
          <w:sz w:val="20"/>
          <w:szCs w:val="20"/>
          <w:shd w:val="clear" w:color="auto" w:fill="FFFFFF"/>
          <w:rtl/>
        </w:rPr>
        <w:t>‏</w:t>
      </w:r>
    </w:p>
    <w:p w14:paraId="26CE02E5" w14:textId="77777777" w:rsidR="005B27B5" w:rsidRPr="00C41041" w:rsidRDefault="009051F2" w:rsidP="009051F2">
      <w:pPr>
        <w:pStyle w:val="aa"/>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Brown, A. S. (2012). Epidemiologic studies of exposure to prenatal infection and risk of schizophrenia and autism. </w:t>
      </w:r>
      <w:r w:rsidRPr="00C41041">
        <w:rPr>
          <w:rFonts w:ascii="Palatino Linotype" w:hAnsi="Palatino Linotype" w:cs="Arial"/>
          <w:i/>
          <w:iCs/>
          <w:color w:val="222222"/>
          <w:sz w:val="20"/>
          <w:szCs w:val="20"/>
          <w:shd w:val="clear" w:color="auto" w:fill="FFFFFF"/>
        </w:rPr>
        <w:t>Developmental neurobiology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72</w:t>
      </w:r>
      <w:r w:rsidRPr="00C41041">
        <w:rPr>
          <w:rFonts w:ascii="Palatino Linotype" w:hAnsi="Palatino Linotype" w:cs="Arial"/>
          <w:color w:val="222222"/>
          <w:sz w:val="20"/>
          <w:szCs w:val="20"/>
          <w:shd w:val="clear" w:color="auto" w:fill="FFFFFF"/>
        </w:rPr>
        <w:t>(10), 1272-1276.</w:t>
      </w:r>
    </w:p>
    <w:p w14:paraId="1B003D9C" w14:textId="5FACFA34" w:rsidR="000019C8" w:rsidRPr="00C41041" w:rsidRDefault="00547F48" w:rsidP="005B27B5">
      <w:pPr>
        <w:pStyle w:val="aa"/>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Ghaderi, A., Banafshe, H. R., Mirhosseini, N., Moradi, M., Karimi, M. A., Mehrzad, F., ... &amp; Asemi, Z. (2019). Clinical and metabolic response to vitamin D plus probiotic in schizophrenia patients. </w:t>
      </w:r>
      <w:r w:rsidRPr="00C41041">
        <w:rPr>
          <w:rFonts w:ascii="Palatino Linotype" w:hAnsi="Palatino Linotype" w:cs="Arial"/>
          <w:i/>
          <w:iCs/>
          <w:color w:val="222222"/>
          <w:sz w:val="20"/>
          <w:szCs w:val="20"/>
          <w:shd w:val="clear" w:color="auto" w:fill="FFFFFF"/>
        </w:rPr>
        <w:t>BMC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19</w:t>
      </w:r>
      <w:r w:rsidRPr="00C41041">
        <w:rPr>
          <w:rFonts w:ascii="Palatino Linotype" w:hAnsi="Palatino Linotype" w:cs="Arial"/>
          <w:color w:val="222222"/>
          <w:sz w:val="20"/>
          <w:szCs w:val="20"/>
          <w:shd w:val="clear" w:color="auto" w:fill="FFFFFF"/>
        </w:rPr>
        <w:t>(1), 1-10.</w:t>
      </w:r>
      <w:r w:rsidRPr="00C41041">
        <w:rPr>
          <w:rFonts w:ascii="Palatino Linotype" w:hAnsi="Palatino Linotype" w:cs="Arial"/>
          <w:color w:val="222222"/>
          <w:sz w:val="20"/>
          <w:szCs w:val="20"/>
          <w:shd w:val="clear" w:color="auto" w:fill="FFFFFF"/>
          <w:rtl/>
        </w:rPr>
        <w:t>‏</w:t>
      </w:r>
    </w:p>
    <w:p w14:paraId="0A07790E" w14:textId="0355DEC5" w:rsidR="00547F48" w:rsidRPr="00C41041" w:rsidRDefault="00520525" w:rsidP="00547F48">
      <w:pPr>
        <w:pStyle w:val="aa"/>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lastRenderedPageBreak/>
        <w:t>Okubo, R., Koga, M., Katsumata, N., Odamaki, T., Matsuyama, S., Oka, M., ... &amp; Matsuoka, Y. J. (2019). Effect of bifidobacterium breve A-1 on anxiety and depressive symptoms in schizophrenia: a proof-of-concept study. </w:t>
      </w:r>
      <w:r w:rsidRPr="00C41041">
        <w:rPr>
          <w:rFonts w:ascii="Palatino Linotype" w:hAnsi="Palatino Linotype" w:cs="Arial"/>
          <w:i/>
          <w:iCs/>
          <w:color w:val="222222"/>
          <w:sz w:val="20"/>
          <w:szCs w:val="20"/>
          <w:shd w:val="clear" w:color="auto" w:fill="FFFFFF"/>
        </w:rPr>
        <w:t>Journal of affective disorders</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245</w:t>
      </w:r>
      <w:r w:rsidRPr="00C41041">
        <w:rPr>
          <w:rFonts w:ascii="Palatino Linotype" w:hAnsi="Palatino Linotype" w:cs="Arial"/>
          <w:color w:val="222222"/>
          <w:sz w:val="20"/>
          <w:szCs w:val="20"/>
          <w:shd w:val="clear" w:color="auto" w:fill="FFFFFF"/>
        </w:rPr>
        <w:t>, 377-385.</w:t>
      </w:r>
      <w:r w:rsidRPr="00C41041">
        <w:rPr>
          <w:rFonts w:ascii="Palatino Linotype" w:hAnsi="Palatino Linotype" w:cs="Arial"/>
          <w:color w:val="222222"/>
          <w:sz w:val="20"/>
          <w:szCs w:val="20"/>
          <w:shd w:val="clear" w:color="auto" w:fill="FFFFFF"/>
          <w:rtl/>
        </w:rPr>
        <w:t>‏</w:t>
      </w:r>
    </w:p>
    <w:p w14:paraId="0F05718B" w14:textId="51BEAD03" w:rsidR="009051F2" w:rsidRPr="00C41041" w:rsidRDefault="005B27B5" w:rsidP="000019C8">
      <w:pPr>
        <w:pStyle w:val="aa"/>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Huo, R., Zeng, B., Zeng, L., Cheng, K., Li, B., Luo, Y., ... &amp; Xie, P. (2017). Microbiota modulate anxiety-like behavior and endocrine abnormalities in hypothalamic-pituitary-adrenal axis. </w:t>
      </w:r>
      <w:r w:rsidRPr="00C41041">
        <w:rPr>
          <w:rFonts w:ascii="Palatino Linotype" w:hAnsi="Palatino Linotype" w:cs="Arial"/>
          <w:i/>
          <w:iCs/>
          <w:color w:val="222222"/>
          <w:sz w:val="20"/>
          <w:szCs w:val="20"/>
          <w:shd w:val="clear" w:color="auto" w:fill="FFFFFF"/>
        </w:rPr>
        <w:t>Frontiers in cellular and infection microbiology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7</w:t>
      </w:r>
      <w:r w:rsidRPr="00C41041">
        <w:rPr>
          <w:rFonts w:ascii="Palatino Linotype" w:hAnsi="Palatino Linotype" w:cs="Arial"/>
          <w:color w:val="222222"/>
          <w:sz w:val="20"/>
          <w:szCs w:val="20"/>
          <w:shd w:val="clear" w:color="auto" w:fill="FFFFFF"/>
        </w:rPr>
        <w:t>, 489.</w:t>
      </w:r>
      <w:r w:rsidRPr="00C41041">
        <w:rPr>
          <w:rFonts w:ascii="Palatino Linotype" w:hAnsi="Palatino Linotype" w:cs="Arial"/>
          <w:color w:val="222222"/>
          <w:sz w:val="20"/>
          <w:szCs w:val="20"/>
          <w:shd w:val="clear" w:color="auto" w:fill="FFFFFF"/>
          <w:rtl/>
        </w:rPr>
        <w:t xml:space="preserve">‏ </w:t>
      </w:r>
      <w:r w:rsidR="009051F2" w:rsidRPr="00C41041">
        <w:rPr>
          <w:rFonts w:ascii="Palatino Linotype" w:hAnsi="Palatino Linotype" w:cs="Arial"/>
          <w:color w:val="222222"/>
          <w:sz w:val="20"/>
          <w:szCs w:val="20"/>
          <w:shd w:val="clear" w:color="auto" w:fill="FFFFFF"/>
          <w:rtl/>
        </w:rPr>
        <w:t>‏</w:t>
      </w:r>
    </w:p>
    <w:p w14:paraId="0DB93AE4" w14:textId="56DC66BB" w:rsidR="009268DB" w:rsidRPr="00C41041" w:rsidRDefault="00073ABA" w:rsidP="003C1408">
      <w:pPr>
        <w:pStyle w:val="aa"/>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Seeman, M. V. (2020). The gut microbiome and treatment-resistance in schizophrenia. </w:t>
      </w:r>
      <w:r w:rsidRPr="00C41041">
        <w:rPr>
          <w:rFonts w:ascii="Palatino Linotype" w:hAnsi="Palatino Linotype" w:cs="Arial"/>
          <w:i/>
          <w:iCs/>
          <w:color w:val="222222"/>
          <w:sz w:val="20"/>
          <w:szCs w:val="20"/>
          <w:shd w:val="clear" w:color="auto" w:fill="FFFFFF"/>
        </w:rPr>
        <w:t>Psychiatric Quarterly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91</w:t>
      </w:r>
      <w:r w:rsidRPr="00C41041">
        <w:rPr>
          <w:rFonts w:ascii="Palatino Linotype" w:hAnsi="Palatino Linotype" w:cs="Arial"/>
          <w:color w:val="222222"/>
          <w:sz w:val="20"/>
          <w:szCs w:val="20"/>
          <w:shd w:val="clear" w:color="auto" w:fill="FFFFFF"/>
        </w:rPr>
        <w:t>(1), 127-136.</w:t>
      </w:r>
      <w:r w:rsidRPr="00C41041">
        <w:rPr>
          <w:rFonts w:ascii="Palatino Linotype" w:hAnsi="Palatino Linotype" w:cs="Arial"/>
          <w:color w:val="222222"/>
          <w:sz w:val="20"/>
          <w:szCs w:val="20"/>
          <w:shd w:val="clear" w:color="auto" w:fill="FFFFFF"/>
          <w:rtl/>
        </w:rPr>
        <w:t>‏</w:t>
      </w:r>
    </w:p>
    <w:p w14:paraId="3C8D2F6C" w14:textId="5C4FCBAE" w:rsidR="009268DB" w:rsidRPr="00C41041" w:rsidRDefault="00DD6EDE" w:rsidP="009268DB">
      <w:pPr>
        <w:pStyle w:val="aa"/>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Eranti, S. V., MacCabe, J. H., Bundy, H., &amp; Murray, R. M. (2013). Gender difference in age at onset of schizophrenia: a meta-analysis. </w:t>
      </w:r>
      <w:r w:rsidRPr="00C41041">
        <w:rPr>
          <w:rFonts w:ascii="Palatino Linotype" w:hAnsi="Palatino Linotype" w:cs="Arial"/>
          <w:i/>
          <w:iCs/>
          <w:color w:val="222222"/>
          <w:sz w:val="20"/>
          <w:szCs w:val="20"/>
          <w:shd w:val="clear" w:color="auto" w:fill="FFFFFF"/>
        </w:rPr>
        <w:t>Psychol Med</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43</w:t>
      </w:r>
      <w:r w:rsidRPr="00C41041">
        <w:rPr>
          <w:rFonts w:ascii="Palatino Linotype" w:hAnsi="Palatino Linotype" w:cs="Arial"/>
          <w:color w:val="222222"/>
          <w:sz w:val="20"/>
          <w:szCs w:val="20"/>
          <w:shd w:val="clear" w:color="auto" w:fill="FFFFFF"/>
        </w:rPr>
        <w:t>(1), 155-167.</w:t>
      </w:r>
      <w:r w:rsidRPr="00C41041">
        <w:rPr>
          <w:rFonts w:ascii="Palatino Linotype" w:hAnsi="Palatino Linotype" w:cs="Arial"/>
          <w:color w:val="222222"/>
          <w:sz w:val="20"/>
          <w:szCs w:val="20"/>
          <w:shd w:val="clear" w:color="auto" w:fill="FFFFFF"/>
          <w:rtl/>
        </w:rPr>
        <w:t>‏</w:t>
      </w:r>
    </w:p>
    <w:p w14:paraId="1A93212E" w14:textId="6C1E4482" w:rsidR="009268DB" w:rsidRPr="00C41041" w:rsidRDefault="00560608" w:rsidP="009268DB">
      <w:pPr>
        <w:pStyle w:val="aa"/>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Häfner, H., Riecher-Rössler, A., Der Heiden, W. A., Maurer, K., Fätkenheuer, B., &amp; Löffler, W. (1993). Generating and testing a causal explanation of the gender difference in age at first onset of schizophrenia. </w:t>
      </w:r>
      <w:r w:rsidRPr="00C41041">
        <w:rPr>
          <w:rFonts w:ascii="Palatino Linotype" w:hAnsi="Palatino Linotype" w:cs="Arial"/>
          <w:i/>
          <w:iCs/>
          <w:color w:val="222222"/>
          <w:sz w:val="20"/>
          <w:szCs w:val="20"/>
          <w:shd w:val="clear" w:color="auto" w:fill="FFFFFF"/>
        </w:rPr>
        <w:t>Psychological medicine</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23</w:t>
      </w:r>
      <w:r w:rsidRPr="00C41041">
        <w:rPr>
          <w:rFonts w:ascii="Palatino Linotype" w:hAnsi="Palatino Linotype" w:cs="Arial"/>
          <w:color w:val="222222"/>
          <w:sz w:val="20"/>
          <w:szCs w:val="20"/>
          <w:shd w:val="clear" w:color="auto" w:fill="FFFFFF"/>
        </w:rPr>
        <w:t>(4), 925-940.</w:t>
      </w:r>
      <w:r w:rsidRPr="00C41041">
        <w:rPr>
          <w:rFonts w:ascii="Palatino Linotype" w:hAnsi="Palatino Linotype" w:cs="Arial"/>
          <w:color w:val="222222"/>
          <w:sz w:val="20"/>
          <w:szCs w:val="20"/>
          <w:shd w:val="clear" w:color="auto" w:fill="FFFFFF"/>
          <w:rtl/>
        </w:rPr>
        <w:t>‏</w:t>
      </w:r>
    </w:p>
    <w:p w14:paraId="7A38EF57" w14:textId="202E15D4" w:rsidR="009268DB" w:rsidRPr="00C41041" w:rsidRDefault="00DC1814" w:rsidP="009268DB">
      <w:pPr>
        <w:pStyle w:val="aa"/>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Canuso, C. M., &amp; Pandina, G. (2007). Gender and schizophrenia. </w:t>
      </w:r>
      <w:r w:rsidRPr="00C41041">
        <w:rPr>
          <w:rFonts w:ascii="Palatino Linotype" w:hAnsi="Palatino Linotype" w:cs="Arial"/>
          <w:i/>
          <w:iCs/>
          <w:color w:val="222222"/>
          <w:sz w:val="20"/>
          <w:szCs w:val="20"/>
          <w:shd w:val="clear" w:color="auto" w:fill="FFFFFF"/>
        </w:rPr>
        <w:t>Psychopharmacol Bull</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40</w:t>
      </w:r>
      <w:r w:rsidRPr="00C41041">
        <w:rPr>
          <w:rFonts w:ascii="Palatino Linotype" w:hAnsi="Palatino Linotype" w:cs="Arial"/>
          <w:color w:val="222222"/>
          <w:sz w:val="20"/>
          <w:szCs w:val="20"/>
          <w:shd w:val="clear" w:color="auto" w:fill="FFFFFF"/>
        </w:rPr>
        <w:t>(4), 178-190.</w:t>
      </w:r>
      <w:r w:rsidRPr="00C41041">
        <w:rPr>
          <w:rFonts w:ascii="Palatino Linotype" w:hAnsi="Palatino Linotype" w:cs="Arial"/>
          <w:color w:val="222222"/>
          <w:sz w:val="20"/>
          <w:szCs w:val="20"/>
          <w:shd w:val="clear" w:color="auto" w:fill="FFFFFF"/>
          <w:rtl/>
        </w:rPr>
        <w:t>‏</w:t>
      </w:r>
    </w:p>
    <w:p w14:paraId="22097858" w14:textId="553C87EA" w:rsidR="009268DB" w:rsidRPr="00C41041" w:rsidRDefault="00DC1814" w:rsidP="009268DB">
      <w:pPr>
        <w:pStyle w:val="aa"/>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Goldstein, J. M., &amp; Link, B. G. (1988). Gender and the expression of schizophrenia. </w:t>
      </w:r>
      <w:r w:rsidRPr="00C41041">
        <w:rPr>
          <w:rFonts w:ascii="Palatino Linotype" w:hAnsi="Palatino Linotype" w:cs="Arial"/>
          <w:i/>
          <w:iCs/>
          <w:color w:val="222222"/>
          <w:sz w:val="20"/>
          <w:szCs w:val="20"/>
          <w:shd w:val="clear" w:color="auto" w:fill="FFFFFF"/>
        </w:rPr>
        <w:t>Journal of psychiatric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22</w:t>
      </w:r>
      <w:r w:rsidRPr="00C41041">
        <w:rPr>
          <w:rFonts w:ascii="Palatino Linotype" w:hAnsi="Palatino Linotype" w:cs="Arial"/>
          <w:color w:val="222222"/>
          <w:sz w:val="20"/>
          <w:szCs w:val="20"/>
          <w:shd w:val="clear" w:color="auto" w:fill="FFFFFF"/>
        </w:rPr>
        <w:t>(2), 141-155.</w:t>
      </w:r>
      <w:r w:rsidRPr="00C41041">
        <w:rPr>
          <w:rFonts w:ascii="Palatino Linotype" w:hAnsi="Palatino Linotype" w:cs="Arial"/>
          <w:color w:val="222222"/>
          <w:sz w:val="20"/>
          <w:szCs w:val="20"/>
          <w:shd w:val="clear" w:color="auto" w:fill="FFFFFF"/>
          <w:rtl/>
        </w:rPr>
        <w:t>‏</w:t>
      </w:r>
    </w:p>
    <w:p w14:paraId="0C553E09" w14:textId="2BBEACAC" w:rsidR="009268DB" w:rsidRPr="00C41041" w:rsidRDefault="00DC1814" w:rsidP="009268DB">
      <w:pPr>
        <w:pStyle w:val="aa"/>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Seeman, M. V. (1983). Interaction of sex, age, and neuroleptic dose. </w:t>
      </w:r>
      <w:r w:rsidRPr="00C41041">
        <w:rPr>
          <w:rFonts w:ascii="Palatino Linotype" w:hAnsi="Palatino Linotype" w:cs="Arial"/>
          <w:i/>
          <w:iCs/>
          <w:color w:val="222222"/>
          <w:sz w:val="20"/>
          <w:szCs w:val="20"/>
          <w:shd w:val="clear" w:color="auto" w:fill="FFFFFF"/>
        </w:rPr>
        <w:t>Comprehensive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24</w:t>
      </w:r>
      <w:r w:rsidRPr="00C41041">
        <w:rPr>
          <w:rFonts w:ascii="Palatino Linotype" w:hAnsi="Palatino Linotype" w:cs="Arial"/>
          <w:color w:val="222222"/>
          <w:sz w:val="20"/>
          <w:szCs w:val="20"/>
          <w:shd w:val="clear" w:color="auto" w:fill="FFFFFF"/>
        </w:rPr>
        <w:t>(2), 125-128.</w:t>
      </w:r>
      <w:r w:rsidRPr="00C41041">
        <w:rPr>
          <w:rFonts w:ascii="Palatino Linotype" w:hAnsi="Palatino Linotype" w:cs="Arial"/>
          <w:color w:val="222222"/>
          <w:sz w:val="20"/>
          <w:szCs w:val="20"/>
          <w:shd w:val="clear" w:color="auto" w:fill="FFFFFF"/>
          <w:rtl/>
        </w:rPr>
        <w:t>‏</w:t>
      </w:r>
    </w:p>
    <w:p w14:paraId="2C22C3B2" w14:textId="77777777" w:rsidR="00234F90" w:rsidRPr="00C41041" w:rsidRDefault="00234F90" w:rsidP="00234F90">
      <w:pPr>
        <w:pStyle w:val="aa"/>
        <w:numPr>
          <w:ilvl w:val="0"/>
          <w:numId w:val="17"/>
        </w:numPr>
        <w:autoSpaceDE w:val="0"/>
        <w:autoSpaceDN w:val="0"/>
        <w:bidi w:val="0"/>
        <w:ind w:left="284" w:hanging="284"/>
        <w:rPr>
          <w:rFonts w:ascii="Palatino Linotype" w:eastAsia="Times New Roman" w:hAnsi="Palatino Linotype"/>
        </w:rPr>
      </w:pPr>
      <w:r w:rsidRPr="00C41041">
        <w:rPr>
          <w:rFonts w:ascii="Palatino Linotype" w:eastAsia="Times New Roman" w:hAnsi="Palatino Linotype"/>
        </w:rPr>
        <w:t>Halpern, D. F. Sex Differences in Cognitive Abilities. (2013) doi:10.4324/9780203816530.</w:t>
      </w:r>
    </w:p>
    <w:p w14:paraId="4CBA5C27" w14:textId="77777777" w:rsidR="00234F90" w:rsidRPr="00C41041" w:rsidRDefault="00234F90" w:rsidP="00234F90">
      <w:pPr>
        <w:pStyle w:val="aa"/>
        <w:numPr>
          <w:ilvl w:val="0"/>
          <w:numId w:val="17"/>
        </w:numPr>
        <w:autoSpaceDE w:val="0"/>
        <w:autoSpaceDN w:val="0"/>
        <w:bidi w:val="0"/>
        <w:ind w:left="284" w:hanging="284"/>
        <w:rPr>
          <w:rFonts w:ascii="Palatino Linotype" w:eastAsia="Times New Roman" w:hAnsi="Palatino Linotype"/>
        </w:rPr>
      </w:pPr>
      <w:r w:rsidRPr="00C41041">
        <w:rPr>
          <w:rFonts w:ascii="Palatino Linotype" w:eastAsia="Times New Roman" w:hAnsi="Palatino Linotype"/>
        </w:rPr>
        <w:t xml:space="preserve">Dart, A. Gender, sex hormones and autonomic nervous control of the cardiovascular system. </w:t>
      </w:r>
      <w:r w:rsidRPr="00C41041">
        <w:rPr>
          <w:rFonts w:ascii="Palatino Linotype" w:eastAsia="Times New Roman" w:hAnsi="Palatino Linotype"/>
          <w:i/>
          <w:iCs/>
        </w:rPr>
        <w:t>Cardiovascular Research</w:t>
      </w:r>
      <w:r w:rsidRPr="00C41041">
        <w:rPr>
          <w:rFonts w:ascii="Palatino Linotype" w:eastAsia="Times New Roman" w:hAnsi="Palatino Linotype"/>
        </w:rPr>
        <w:t xml:space="preserve"> </w:t>
      </w:r>
      <w:r w:rsidRPr="00C41041">
        <w:rPr>
          <w:rFonts w:ascii="Palatino Linotype" w:eastAsia="Times New Roman" w:hAnsi="Palatino Linotype"/>
          <w:b/>
          <w:bCs/>
        </w:rPr>
        <w:t>53</w:t>
      </w:r>
      <w:r w:rsidRPr="00C41041">
        <w:rPr>
          <w:rFonts w:ascii="Palatino Linotype" w:eastAsia="Times New Roman" w:hAnsi="Palatino Linotype"/>
        </w:rPr>
        <w:t>, 678–687 (2002).</w:t>
      </w:r>
    </w:p>
    <w:p w14:paraId="246E31DD" w14:textId="58945CC6" w:rsidR="00234F90" w:rsidRPr="00C41041" w:rsidRDefault="00234F90" w:rsidP="00234F90">
      <w:pPr>
        <w:pStyle w:val="aa"/>
        <w:numPr>
          <w:ilvl w:val="0"/>
          <w:numId w:val="17"/>
        </w:numPr>
        <w:autoSpaceDE w:val="0"/>
        <w:autoSpaceDN w:val="0"/>
        <w:bidi w:val="0"/>
        <w:ind w:left="284" w:hanging="284"/>
        <w:rPr>
          <w:rFonts w:ascii="Palatino Linotype" w:eastAsia="Times New Roman" w:hAnsi="Palatino Linotype"/>
        </w:rPr>
      </w:pPr>
      <w:r w:rsidRPr="00C41041">
        <w:rPr>
          <w:rFonts w:ascii="Palatino Linotype" w:eastAsia="Times New Roman" w:hAnsi="Palatino Linotype"/>
        </w:rPr>
        <w:t xml:space="preserve"> Barel, E. </w:t>
      </w:r>
      <w:r w:rsidRPr="00C41041">
        <w:rPr>
          <w:rFonts w:ascii="Palatino Linotype" w:eastAsia="Times New Roman" w:hAnsi="Palatino Linotype"/>
          <w:i/>
          <w:iCs/>
        </w:rPr>
        <w:t>et al.</w:t>
      </w:r>
      <w:r w:rsidRPr="00C41041">
        <w:rPr>
          <w:rFonts w:ascii="Palatino Linotype" w:eastAsia="Times New Roman" w:hAnsi="Palatino Linotype"/>
        </w:rPr>
        <w:t xml:space="preserve"> Gonadal hormones modulate the HPA-axis and the SNS in response to psychosocial stress. </w:t>
      </w:r>
      <w:r w:rsidRPr="00C41041">
        <w:rPr>
          <w:rFonts w:ascii="Palatino Linotype" w:eastAsia="Times New Roman" w:hAnsi="Palatino Linotype"/>
          <w:i/>
          <w:iCs/>
        </w:rPr>
        <w:t>Journal of Neuroscience Research</w:t>
      </w:r>
      <w:r w:rsidRPr="00C41041">
        <w:rPr>
          <w:rFonts w:ascii="Palatino Linotype" w:eastAsia="Times New Roman" w:hAnsi="Palatino Linotype"/>
        </w:rPr>
        <w:t xml:space="preserve"> </w:t>
      </w:r>
      <w:r w:rsidRPr="00C41041">
        <w:rPr>
          <w:rFonts w:ascii="Palatino Linotype" w:eastAsia="Times New Roman" w:hAnsi="Palatino Linotype"/>
          <w:b/>
          <w:bCs/>
        </w:rPr>
        <w:t>96</w:t>
      </w:r>
      <w:r w:rsidRPr="00C41041">
        <w:rPr>
          <w:rFonts w:ascii="Palatino Linotype" w:eastAsia="Times New Roman" w:hAnsi="Palatino Linotype"/>
        </w:rPr>
        <w:t>, 1388–1397 (2018).</w:t>
      </w:r>
    </w:p>
    <w:p w14:paraId="4EB7FCDC" w14:textId="443F603D" w:rsidR="009556C6" w:rsidRPr="00C41041" w:rsidRDefault="009F383D" w:rsidP="009556C6">
      <w:pPr>
        <w:pStyle w:val="aa"/>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Seeman, M. V. (1996). The role of estrogen in schizophrenia. </w:t>
      </w:r>
      <w:r w:rsidRPr="00C41041">
        <w:rPr>
          <w:rFonts w:ascii="Palatino Linotype" w:hAnsi="Palatino Linotype" w:cs="Arial"/>
          <w:i/>
          <w:iCs/>
          <w:color w:val="222222"/>
          <w:sz w:val="20"/>
          <w:szCs w:val="20"/>
          <w:shd w:val="clear" w:color="auto" w:fill="FFFFFF"/>
        </w:rPr>
        <w:t>Journal of Psychiatry and Neuroscience</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21</w:t>
      </w:r>
      <w:r w:rsidRPr="00C41041">
        <w:rPr>
          <w:rFonts w:ascii="Palatino Linotype" w:hAnsi="Palatino Linotype" w:cs="Arial"/>
          <w:color w:val="222222"/>
          <w:sz w:val="20"/>
          <w:szCs w:val="20"/>
          <w:shd w:val="clear" w:color="auto" w:fill="FFFFFF"/>
        </w:rPr>
        <w:t>(2), 123.</w:t>
      </w:r>
      <w:r w:rsidRPr="00C41041">
        <w:rPr>
          <w:rFonts w:ascii="Palatino Linotype" w:hAnsi="Palatino Linotype" w:cs="Arial"/>
          <w:color w:val="222222"/>
          <w:sz w:val="20"/>
          <w:szCs w:val="20"/>
          <w:shd w:val="clear" w:color="auto" w:fill="FFFFFF"/>
          <w:rtl/>
        </w:rPr>
        <w:t>‏</w:t>
      </w:r>
    </w:p>
    <w:p w14:paraId="1AA0CFC6" w14:textId="77777777" w:rsidR="008665E8" w:rsidRPr="00C41041" w:rsidRDefault="009D66DF" w:rsidP="009D66DF">
      <w:pPr>
        <w:pStyle w:val="aa"/>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Gogos, A., Sbisa, A. M., Sun, J., Gibbons, A., Udawela, M., &amp; Dean, B. (2015). A role for estrogen in schizophrenia: clinical and preclinical findings. </w:t>
      </w:r>
      <w:r w:rsidRPr="00C41041">
        <w:rPr>
          <w:rFonts w:ascii="Palatino Linotype" w:hAnsi="Palatino Linotype" w:cs="Arial"/>
          <w:i/>
          <w:iCs/>
          <w:color w:val="222222"/>
          <w:sz w:val="20"/>
          <w:szCs w:val="20"/>
          <w:shd w:val="clear" w:color="auto" w:fill="FFFFFF"/>
        </w:rPr>
        <w:t>International journal of endocrinology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2015</w:t>
      </w:r>
      <w:r w:rsidRPr="00C41041">
        <w:rPr>
          <w:rFonts w:ascii="Palatino Linotype" w:hAnsi="Palatino Linotype" w:cs="Arial"/>
          <w:color w:val="222222"/>
          <w:sz w:val="20"/>
          <w:szCs w:val="20"/>
          <w:shd w:val="clear" w:color="auto" w:fill="FFFFFF"/>
        </w:rPr>
        <w:t>.</w:t>
      </w:r>
    </w:p>
    <w:p w14:paraId="4E5BEFD5" w14:textId="0EA44B41" w:rsidR="009D66DF" w:rsidRPr="00C41041" w:rsidRDefault="008665E8" w:rsidP="008665E8">
      <w:pPr>
        <w:pStyle w:val="aa"/>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Ko, Y. H., Jung, S. W., Joe, S. H., Lee, C. H., Jung, H. G., Jung, I. K., ... &amp; Lee, M. S. (2007). Association between serum testosterone levels and the severity of negative symptoms in male patients with chronic schizophrenia. </w:t>
      </w:r>
      <w:r w:rsidRPr="00C41041">
        <w:rPr>
          <w:rFonts w:ascii="Palatino Linotype" w:hAnsi="Palatino Linotype" w:cs="Arial"/>
          <w:i/>
          <w:iCs/>
          <w:color w:val="222222"/>
          <w:sz w:val="20"/>
          <w:szCs w:val="20"/>
          <w:shd w:val="clear" w:color="auto" w:fill="FFFFFF"/>
        </w:rPr>
        <w:t>Psychoneuroendocrinology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32</w:t>
      </w:r>
      <w:r w:rsidRPr="00C41041">
        <w:rPr>
          <w:rFonts w:ascii="Palatino Linotype" w:hAnsi="Palatino Linotype" w:cs="Arial"/>
          <w:color w:val="222222"/>
          <w:sz w:val="20"/>
          <w:szCs w:val="20"/>
          <w:shd w:val="clear" w:color="auto" w:fill="FFFFFF"/>
        </w:rPr>
        <w:t>(4), 385-391.</w:t>
      </w:r>
      <w:r w:rsidRPr="00C41041">
        <w:rPr>
          <w:rFonts w:ascii="Palatino Linotype" w:hAnsi="Palatino Linotype" w:cs="Arial"/>
          <w:color w:val="222222"/>
          <w:sz w:val="20"/>
          <w:szCs w:val="20"/>
          <w:shd w:val="clear" w:color="auto" w:fill="FFFFFF"/>
          <w:rtl/>
        </w:rPr>
        <w:t>‏</w:t>
      </w:r>
      <w:r w:rsidR="009D66DF" w:rsidRPr="00C41041">
        <w:rPr>
          <w:rFonts w:ascii="Palatino Linotype" w:hAnsi="Palatino Linotype" w:cs="Arial"/>
          <w:color w:val="222222"/>
          <w:sz w:val="20"/>
          <w:szCs w:val="20"/>
          <w:shd w:val="clear" w:color="auto" w:fill="FFFFFF"/>
          <w:rtl/>
        </w:rPr>
        <w:t>‏</w:t>
      </w:r>
    </w:p>
    <w:p w14:paraId="4FE7C140" w14:textId="240DD664" w:rsidR="00C40280" w:rsidRPr="00C41041" w:rsidRDefault="00C40280" w:rsidP="00C40280">
      <w:pPr>
        <w:pStyle w:val="aa"/>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Misiak, B., Frydecka, D., Loska, O., Moustafa, A. A., Samochowiec, J., Kasznia, J., &amp; Stańczykiewicz, B. (2018). Testosterone, DHEA and DHEA-S in patients with schizophrenia: A systematic review and meta-analysis. </w:t>
      </w:r>
      <w:r w:rsidRPr="00C41041">
        <w:rPr>
          <w:rFonts w:ascii="Palatino Linotype" w:hAnsi="Palatino Linotype" w:cs="Arial"/>
          <w:i/>
          <w:iCs/>
          <w:color w:val="222222"/>
          <w:sz w:val="20"/>
          <w:szCs w:val="20"/>
          <w:shd w:val="clear" w:color="auto" w:fill="FFFFFF"/>
        </w:rPr>
        <w:t>Psychoneuroendocrinology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89</w:t>
      </w:r>
      <w:r w:rsidRPr="00C41041">
        <w:rPr>
          <w:rFonts w:ascii="Palatino Linotype" w:hAnsi="Palatino Linotype" w:cs="Arial"/>
          <w:color w:val="222222"/>
          <w:sz w:val="20"/>
          <w:szCs w:val="20"/>
          <w:shd w:val="clear" w:color="auto" w:fill="FFFFFF"/>
        </w:rPr>
        <w:t>, 92-102.</w:t>
      </w:r>
      <w:r w:rsidRPr="00C41041">
        <w:rPr>
          <w:rFonts w:ascii="Palatino Linotype" w:hAnsi="Palatino Linotype" w:cs="Arial"/>
          <w:color w:val="222222"/>
          <w:sz w:val="20"/>
          <w:szCs w:val="20"/>
          <w:shd w:val="clear" w:color="auto" w:fill="FFFFFF"/>
          <w:rtl/>
        </w:rPr>
        <w:t>‏</w:t>
      </w:r>
    </w:p>
    <w:p w14:paraId="41E67872" w14:textId="0D758C12" w:rsidR="00A44D21" w:rsidRPr="00C41041" w:rsidRDefault="00A44D21" w:rsidP="00A44D21">
      <w:pPr>
        <w:pStyle w:val="aa"/>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Baker, J. M., Al-Nakkash, L., &amp; Herbst-Kralovetz, M. M. (2017). Estrogen–gut microbiome axis: physiological and clinical implications. </w:t>
      </w:r>
      <w:r w:rsidRPr="00C41041">
        <w:rPr>
          <w:rFonts w:ascii="Palatino Linotype" w:hAnsi="Palatino Linotype" w:cs="Arial"/>
          <w:i/>
          <w:iCs/>
          <w:color w:val="222222"/>
          <w:sz w:val="20"/>
          <w:szCs w:val="20"/>
          <w:shd w:val="clear" w:color="auto" w:fill="FFFFFF"/>
        </w:rPr>
        <w:t>Maturitas</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103</w:t>
      </w:r>
      <w:r w:rsidRPr="00C41041">
        <w:rPr>
          <w:rFonts w:ascii="Palatino Linotype" w:hAnsi="Palatino Linotype" w:cs="Arial"/>
          <w:color w:val="222222"/>
          <w:sz w:val="20"/>
          <w:szCs w:val="20"/>
          <w:shd w:val="clear" w:color="auto" w:fill="FFFFFF"/>
        </w:rPr>
        <w:t>, 45-53.</w:t>
      </w:r>
      <w:r w:rsidRPr="00C41041">
        <w:rPr>
          <w:rFonts w:ascii="Palatino Linotype" w:hAnsi="Palatino Linotype" w:cs="Arial"/>
          <w:color w:val="222222"/>
          <w:sz w:val="20"/>
          <w:szCs w:val="20"/>
          <w:shd w:val="clear" w:color="auto" w:fill="FFFFFF"/>
          <w:rtl/>
        </w:rPr>
        <w:t>‏</w:t>
      </w:r>
    </w:p>
    <w:p w14:paraId="718B3DE4" w14:textId="132EA07A" w:rsidR="003F11CB" w:rsidRPr="00C41041" w:rsidRDefault="003F11CB" w:rsidP="003F11CB">
      <w:pPr>
        <w:pStyle w:val="aa"/>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Markle, J. G., Frank, D. N., Mortin-Toth, S., Robertson, C. E., Feazel, L. M., Rolle-Kampczyk, U., ... &amp; Danska, J. S. (2013). Sex differences in the gut microbiome drive hormone-dependent regulation of autoimmunity. </w:t>
      </w:r>
      <w:r w:rsidRPr="00C41041">
        <w:rPr>
          <w:rFonts w:ascii="Palatino Linotype" w:hAnsi="Palatino Linotype" w:cs="Arial"/>
          <w:i/>
          <w:iCs/>
          <w:color w:val="222222"/>
          <w:sz w:val="20"/>
          <w:szCs w:val="20"/>
          <w:shd w:val="clear" w:color="auto" w:fill="FFFFFF"/>
        </w:rPr>
        <w:t>Science</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339</w:t>
      </w:r>
      <w:r w:rsidRPr="00C41041">
        <w:rPr>
          <w:rFonts w:ascii="Palatino Linotype" w:hAnsi="Palatino Linotype" w:cs="Arial"/>
          <w:color w:val="222222"/>
          <w:sz w:val="20"/>
          <w:szCs w:val="20"/>
          <w:shd w:val="clear" w:color="auto" w:fill="FFFFFF"/>
        </w:rPr>
        <w:t>(6123), 1084-1088.</w:t>
      </w:r>
      <w:r w:rsidRPr="00C41041">
        <w:rPr>
          <w:rFonts w:ascii="Palatino Linotype" w:hAnsi="Palatino Linotype" w:cs="Arial"/>
          <w:color w:val="222222"/>
          <w:sz w:val="20"/>
          <w:szCs w:val="20"/>
          <w:shd w:val="clear" w:color="auto" w:fill="FFFFFF"/>
          <w:rtl/>
        </w:rPr>
        <w:t>‏</w:t>
      </w:r>
    </w:p>
    <w:p w14:paraId="7ECF1B6B" w14:textId="3C18E56F" w:rsidR="00820438" w:rsidRPr="00C41041" w:rsidRDefault="00820438" w:rsidP="00820438">
      <w:pPr>
        <w:pStyle w:val="aa"/>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Makris, A. P., Karianaki, M., Tsamis, K. I., &amp; Paschou, S. A. (2020). The role of the gut-brain axis in depression: Endocrine, neural, and immune pathways. </w:t>
      </w:r>
      <w:r w:rsidRPr="00C41041">
        <w:rPr>
          <w:rFonts w:ascii="Palatino Linotype" w:hAnsi="Palatino Linotype" w:cs="Arial"/>
          <w:i/>
          <w:iCs/>
          <w:color w:val="222222"/>
          <w:sz w:val="20"/>
          <w:szCs w:val="20"/>
          <w:shd w:val="clear" w:color="auto" w:fill="FFFFFF"/>
        </w:rPr>
        <w:t>Hormones</w:t>
      </w:r>
      <w:r w:rsidRPr="00C41041">
        <w:rPr>
          <w:rFonts w:ascii="Palatino Linotype" w:hAnsi="Palatino Linotype" w:cs="Arial"/>
          <w:color w:val="222222"/>
          <w:sz w:val="20"/>
          <w:szCs w:val="20"/>
          <w:shd w:val="clear" w:color="auto" w:fill="FFFFFF"/>
        </w:rPr>
        <w:t>, 1-12.</w:t>
      </w:r>
      <w:r w:rsidRPr="00C41041">
        <w:rPr>
          <w:rFonts w:ascii="Palatino Linotype" w:hAnsi="Palatino Linotype" w:cs="Arial"/>
          <w:color w:val="222222"/>
          <w:sz w:val="20"/>
          <w:szCs w:val="20"/>
          <w:shd w:val="clear" w:color="auto" w:fill="FFFFFF"/>
          <w:rtl/>
        </w:rPr>
        <w:t>‏</w:t>
      </w:r>
    </w:p>
    <w:p w14:paraId="0DC4FBBA" w14:textId="77777777" w:rsidR="008576B8" w:rsidRPr="00C41041" w:rsidRDefault="008576B8" w:rsidP="008576B8">
      <w:pPr>
        <w:pStyle w:val="NormalWeb"/>
        <w:numPr>
          <w:ilvl w:val="0"/>
          <w:numId w:val="17"/>
        </w:numPr>
        <w:spacing w:before="0" w:beforeAutospacing="0" w:after="0" w:afterAutospacing="0"/>
        <w:ind w:left="426" w:hanging="426"/>
        <w:rPr>
          <w:rFonts w:ascii="Palatino Linotype" w:hAnsi="Palatino Linotype"/>
        </w:rPr>
      </w:pPr>
      <w:r w:rsidRPr="00C41041">
        <w:rPr>
          <w:rFonts w:ascii="Palatino Linotype" w:hAnsi="Palatino Linotype"/>
          <w:color w:val="000000"/>
          <w:sz w:val="22"/>
          <w:szCs w:val="22"/>
        </w:rPr>
        <w:t xml:space="preserve">Torous, J. &amp; Keshavan, M. A new window into psychosis: The rise digital phenotyping, smartphone assessment, and mobile monitoring. </w:t>
      </w:r>
      <w:r w:rsidRPr="00C41041">
        <w:rPr>
          <w:rFonts w:ascii="Palatino Linotype" w:hAnsi="Palatino Linotype"/>
          <w:i/>
          <w:iCs/>
          <w:color w:val="000000"/>
          <w:sz w:val="22"/>
          <w:szCs w:val="22"/>
        </w:rPr>
        <w:t>Schizophrenia Research</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197</w:t>
      </w:r>
      <w:r w:rsidRPr="00C41041">
        <w:rPr>
          <w:rFonts w:ascii="Palatino Linotype" w:hAnsi="Palatino Linotype"/>
          <w:color w:val="000000"/>
          <w:sz w:val="22"/>
          <w:szCs w:val="22"/>
        </w:rPr>
        <w:t>, 67–68 (2018).</w:t>
      </w:r>
    </w:p>
    <w:p w14:paraId="640BAAB7" w14:textId="77777777" w:rsidR="00CC3A8D" w:rsidRPr="00C41041" w:rsidRDefault="00CC3A8D" w:rsidP="00CC3A8D">
      <w:pPr>
        <w:pStyle w:val="NormalWeb"/>
        <w:numPr>
          <w:ilvl w:val="0"/>
          <w:numId w:val="17"/>
        </w:numPr>
        <w:spacing w:before="0" w:beforeAutospacing="0" w:after="0" w:afterAutospacing="0"/>
        <w:rPr>
          <w:rFonts w:ascii="Palatino Linotype" w:hAnsi="Palatino Linotype"/>
        </w:rPr>
      </w:pPr>
      <w:r w:rsidRPr="00C41041">
        <w:rPr>
          <w:rFonts w:ascii="Palatino Linotype" w:hAnsi="Palatino Linotype"/>
          <w:color w:val="000000"/>
          <w:sz w:val="22"/>
          <w:szCs w:val="22"/>
        </w:rPr>
        <w:t xml:space="preserve">Renn, B. N., Pratap, A., Atkins, D. C., Mooney, S. D. &amp; Areán, P. A. Smartphone-based passive assessment of mobility in depression: Challenges and opportunities. </w:t>
      </w:r>
      <w:r w:rsidRPr="00C41041">
        <w:rPr>
          <w:rFonts w:ascii="Palatino Linotype" w:hAnsi="Palatino Linotype"/>
          <w:i/>
          <w:iCs/>
          <w:color w:val="000000"/>
          <w:sz w:val="22"/>
          <w:szCs w:val="22"/>
        </w:rPr>
        <w:t>Mental Health and Physical Activity</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14</w:t>
      </w:r>
      <w:r w:rsidRPr="00C41041">
        <w:rPr>
          <w:rFonts w:ascii="Palatino Linotype" w:hAnsi="Palatino Linotype"/>
          <w:color w:val="000000"/>
          <w:sz w:val="22"/>
          <w:szCs w:val="22"/>
        </w:rPr>
        <w:t>, 136–139 (2018).</w:t>
      </w:r>
    </w:p>
    <w:p w14:paraId="2EA10A58" w14:textId="73F81090" w:rsidR="00CC3A8D" w:rsidRPr="00C41041" w:rsidRDefault="00CC3A8D" w:rsidP="00CC3A8D">
      <w:pPr>
        <w:pStyle w:val="NormalWeb"/>
        <w:numPr>
          <w:ilvl w:val="0"/>
          <w:numId w:val="17"/>
        </w:numPr>
        <w:spacing w:before="0" w:beforeAutospacing="0" w:after="0" w:afterAutospacing="0"/>
        <w:rPr>
          <w:rFonts w:ascii="Palatino Linotype" w:hAnsi="Palatino Linotype"/>
        </w:rPr>
      </w:pPr>
      <w:r w:rsidRPr="00C41041">
        <w:rPr>
          <w:rFonts w:ascii="Palatino Linotype" w:hAnsi="Palatino Linotype"/>
          <w:color w:val="000000"/>
          <w:sz w:val="22"/>
          <w:szCs w:val="22"/>
        </w:rPr>
        <w:t xml:space="preserve">14.        Potier, R. The Digital Phenotyping Project: A Psychoanalytical and Network Theory Perspective. </w:t>
      </w:r>
      <w:r w:rsidRPr="00C41041">
        <w:rPr>
          <w:rFonts w:ascii="Palatino Linotype" w:hAnsi="Palatino Linotype"/>
          <w:i/>
          <w:iCs/>
          <w:color w:val="000000"/>
          <w:sz w:val="22"/>
          <w:szCs w:val="22"/>
        </w:rPr>
        <w:t>Frontiers in Psychology</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11</w:t>
      </w:r>
      <w:r w:rsidRPr="00C41041">
        <w:rPr>
          <w:rFonts w:ascii="Palatino Linotype" w:hAnsi="Palatino Linotype"/>
          <w:color w:val="000000"/>
          <w:sz w:val="22"/>
          <w:szCs w:val="22"/>
        </w:rPr>
        <w:t>, (2020).</w:t>
      </w:r>
    </w:p>
    <w:p w14:paraId="33E9BD9F" w14:textId="77777777" w:rsidR="001F03D5" w:rsidRPr="00C41041" w:rsidRDefault="001F03D5" w:rsidP="001F03D5">
      <w:pPr>
        <w:pStyle w:val="aa"/>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lastRenderedPageBreak/>
        <w:t xml:space="preserve">Dermody, S. S. </w:t>
      </w:r>
      <w:r w:rsidRPr="00C41041">
        <w:rPr>
          <w:rFonts w:ascii="Palatino Linotype" w:eastAsia="Times New Roman" w:hAnsi="Palatino Linotype"/>
          <w:i/>
          <w:iCs/>
        </w:rPr>
        <w:t>et al.</w:t>
      </w:r>
      <w:r w:rsidRPr="00C41041">
        <w:rPr>
          <w:rFonts w:ascii="Palatino Linotype" w:eastAsia="Times New Roman" w:hAnsi="Palatino Linotype"/>
        </w:rPr>
        <w:t xml:space="preserve"> Personality Correlates of Midlife Cardiometabolic Risk: The Explanatory Role of Higher-Order Factors of the Five-Factor Model. </w:t>
      </w:r>
      <w:r w:rsidRPr="00C41041">
        <w:rPr>
          <w:rFonts w:ascii="Palatino Linotype" w:eastAsia="Times New Roman" w:hAnsi="Palatino Linotype"/>
          <w:i/>
          <w:iCs/>
        </w:rPr>
        <w:t>Journal of personality</w:t>
      </w:r>
      <w:r w:rsidRPr="00C41041">
        <w:rPr>
          <w:rFonts w:ascii="Palatino Linotype" w:eastAsia="Times New Roman" w:hAnsi="Palatino Linotype"/>
        </w:rPr>
        <w:t xml:space="preserve"> </w:t>
      </w:r>
      <w:r w:rsidRPr="00C41041">
        <w:rPr>
          <w:rFonts w:ascii="Palatino Linotype" w:eastAsia="Times New Roman" w:hAnsi="Palatino Linotype"/>
          <w:b/>
          <w:bCs/>
        </w:rPr>
        <w:t>84</w:t>
      </w:r>
      <w:r w:rsidRPr="00C41041">
        <w:rPr>
          <w:rFonts w:ascii="Palatino Linotype" w:eastAsia="Times New Roman" w:hAnsi="Palatino Linotype"/>
        </w:rPr>
        <w:t>, 765–776 (2016).</w:t>
      </w:r>
    </w:p>
    <w:p w14:paraId="07F617CE" w14:textId="77777777" w:rsidR="001F03D5" w:rsidRPr="00C41041" w:rsidRDefault="001F03D5" w:rsidP="001F03D5">
      <w:pPr>
        <w:pStyle w:val="aa"/>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Xie, X., Dong, Y. &amp; Wang, J. Sleep quality as a mediator of problematic smartphone use and clinical health symptoms. </w:t>
      </w:r>
      <w:r w:rsidRPr="00C41041">
        <w:rPr>
          <w:rFonts w:ascii="Palatino Linotype" w:eastAsia="Times New Roman" w:hAnsi="Palatino Linotype"/>
          <w:i/>
          <w:iCs/>
        </w:rPr>
        <w:t>Journal of behavioral addictions</w:t>
      </w:r>
      <w:r w:rsidRPr="00C41041">
        <w:rPr>
          <w:rFonts w:ascii="Palatino Linotype" w:eastAsia="Times New Roman" w:hAnsi="Palatino Linotype"/>
        </w:rPr>
        <w:t xml:space="preserve"> </w:t>
      </w:r>
      <w:r w:rsidRPr="00C41041">
        <w:rPr>
          <w:rFonts w:ascii="Palatino Linotype" w:eastAsia="Times New Roman" w:hAnsi="Palatino Linotype"/>
          <w:b/>
          <w:bCs/>
        </w:rPr>
        <w:t>7</w:t>
      </w:r>
      <w:r w:rsidRPr="00C41041">
        <w:rPr>
          <w:rFonts w:ascii="Palatino Linotype" w:eastAsia="Times New Roman" w:hAnsi="Palatino Linotype"/>
        </w:rPr>
        <w:t>, 466–472 (2018).</w:t>
      </w:r>
    </w:p>
    <w:p w14:paraId="06FBDD5B" w14:textId="77777777" w:rsidR="001F03D5" w:rsidRPr="00C41041" w:rsidRDefault="001F03D5" w:rsidP="001F03D5">
      <w:pPr>
        <w:pStyle w:val="aa"/>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Cao, H., Sun, Y., Wan, Y., Hao, J. &amp; Tao, F. Problematic Internet use in Chinese adolescents and its relation to psychosomatic symptoms and life satisfaction. </w:t>
      </w:r>
      <w:r w:rsidRPr="00C41041">
        <w:rPr>
          <w:rFonts w:ascii="Palatino Linotype" w:eastAsia="Times New Roman" w:hAnsi="Palatino Linotype"/>
          <w:i/>
          <w:iCs/>
        </w:rPr>
        <w:t>BMC public health</w:t>
      </w:r>
      <w:r w:rsidRPr="00C41041">
        <w:rPr>
          <w:rFonts w:ascii="Palatino Linotype" w:eastAsia="Times New Roman" w:hAnsi="Palatino Linotype"/>
        </w:rPr>
        <w:t xml:space="preserve"> </w:t>
      </w:r>
      <w:r w:rsidRPr="00C41041">
        <w:rPr>
          <w:rFonts w:ascii="Palatino Linotype" w:eastAsia="Times New Roman" w:hAnsi="Palatino Linotype"/>
          <w:b/>
          <w:bCs/>
        </w:rPr>
        <w:t>11</w:t>
      </w:r>
      <w:r w:rsidRPr="00C41041">
        <w:rPr>
          <w:rFonts w:ascii="Palatino Linotype" w:eastAsia="Times New Roman" w:hAnsi="Palatino Linotype"/>
        </w:rPr>
        <w:t>, 802 (2011).</w:t>
      </w:r>
    </w:p>
    <w:p w14:paraId="0767A349" w14:textId="77777777" w:rsidR="001F03D5" w:rsidRPr="00C41041" w:rsidRDefault="001F03D5" w:rsidP="001F03D5">
      <w:pPr>
        <w:pStyle w:val="aa"/>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Montag, C. </w:t>
      </w:r>
      <w:r w:rsidRPr="00C41041">
        <w:rPr>
          <w:rFonts w:ascii="Palatino Linotype" w:eastAsia="Times New Roman" w:hAnsi="Palatino Linotype"/>
          <w:i/>
          <w:iCs/>
        </w:rPr>
        <w:t>et al.</w:t>
      </w:r>
      <w:r w:rsidRPr="00C41041">
        <w:rPr>
          <w:rFonts w:ascii="Palatino Linotype" w:eastAsia="Times New Roman" w:hAnsi="Palatino Linotype"/>
        </w:rPr>
        <w:t xml:space="preserve"> Correlating Personality and Actual Phone Usage. </w:t>
      </w:r>
      <w:r w:rsidRPr="00C41041">
        <w:rPr>
          <w:rFonts w:ascii="Palatino Linotype" w:eastAsia="Times New Roman" w:hAnsi="Palatino Linotype"/>
          <w:i/>
          <w:iCs/>
        </w:rPr>
        <w:t>Journal of Individual Differences</w:t>
      </w:r>
      <w:r w:rsidRPr="00C41041">
        <w:rPr>
          <w:rFonts w:ascii="Palatino Linotype" w:eastAsia="Times New Roman" w:hAnsi="Palatino Linotype"/>
        </w:rPr>
        <w:t xml:space="preserve"> </w:t>
      </w:r>
      <w:r w:rsidRPr="00C41041">
        <w:rPr>
          <w:rFonts w:ascii="Palatino Linotype" w:eastAsia="Times New Roman" w:hAnsi="Palatino Linotype"/>
          <w:b/>
          <w:bCs/>
        </w:rPr>
        <w:t>35</w:t>
      </w:r>
      <w:r w:rsidRPr="00C41041">
        <w:rPr>
          <w:rFonts w:ascii="Palatino Linotype" w:eastAsia="Times New Roman" w:hAnsi="Palatino Linotype"/>
        </w:rPr>
        <w:t>, 158–165 (2014).</w:t>
      </w:r>
    </w:p>
    <w:p w14:paraId="2DEFD5FA" w14:textId="77777777" w:rsidR="001F03D5" w:rsidRPr="00C41041" w:rsidRDefault="001F03D5" w:rsidP="001F03D5">
      <w:pPr>
        <w:pStyle w:val="aa"/>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Stachl, C. </w:t>
      </w:r>
      <w:r w:rsidRPr="00C41041">
        <w:rPr>
          <w:rFonts w:ascii="Palatino Linotype" w:eastAsia="Times New Roman" w:hAnsi="Palatino Linotype"/>
          <w:i/>
          <w:iCs/>
        </w:rPr>
        <w:t>et al.</w:t>
      </w:r>
      <w:r w:rsidRPr="00C41041">
        <w:rPr>
          <w:rFonts w:ascii="Palatino Linotype" w:eastAsia="Times New Roman" w:hAnsi="Palatino Linotype"/>
        </w:rPr>
        <w:t xml:space="preserve"> Personality Traits Predict Smartphone Usage. </w:t>
      </w:r>
      <w:r w:rsidRPr="00C41041">
        <w:rPr>
          <w:rFonts w:ascii="Palatino Linotype" w:eastAsia="Times New Roman" w:hAnsi="Palatino Linotype"/>
          <w:i/>
          <w:iCs/>
        </w:rPr>
        <w:t>European Journal of Personality</w:t>
      </w:r>
      <w:r w:rsidRPr="00C41041">
        <w:rPr>
          <w:rFonts w:ascii="Palatino Linotype" w:eastAsia="Times New Roman" w:hAnsi="Palatino Linotype"/>
        </w:rPr>
        <w:t xml:space="preserve"> </w:t>
      </w:r>
      <w:r w:rsidRPr="00C41041">
        <w:rPr>
          <w:rFonts w:ascii="Palatino Linotype" w:eastAsia="Times New Roman" w:hAnsi="Palatino Linotype"/>
          <w:b/>
          <w:bCs/>
        </w:rPr>
        <w:t>31</w:t>
      </w:r>
      <w:r w:rsidRPr="00C41041">
        <w:rPr>
          <w:rFonts w:ascii="Palatino Linotype" w:eastAsia="Times New Roman" w:hAnsi="Palatino Linotype"/>
        </w:rPr>
        <w:t>, 701–722 (2017).</w:t>
      </w:r>
    </w:p>
    <w:p w14:paraId="64F0A2F9" w14:textId="77777777" w:rsidR="001F03D5" w:rsidRPr="00C41041" w:rsidRDefault="001F03D5" w:rsidP="001F03D5">
      <w:pPr>
        <w:pStyle w:val="aa"/>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Montag, C. </w:t>
      </w:r>
      <w:r w:rsidRPr="00C41041">
        <w:rPr>
          <w:rFonts w:ascii="Palatino Linotype" w:eastAsia="Times New Roman" w:hAnsi="Palatino Linotype"/>
          <w:i/>
          <w:iCs/>
        </w:rPr>
        <w:t>et al.</w:t>
      </w:r>
      <w:r w:rsidRPr="00C41041">
        <w:rPr>
          <w:rFonts w:ascii="Palatino Linotype" w:eastAsia="Times New Roman" w:hAnsi="Palatino Linotype"/>
        </w:rPr>
        <w:t xml:space="preserve"> Smartphone usage in the 21st century: who is active on WhatsApp? </w:t>
      </w:r>
      <w:r w:rsidRPr="00C41041">
        <w:rPr>
          <w:rFonts w:ascii="Palatino Linotype" w:eastAsia="Times New Roman" w:hAnsi="Palatino Linotype"/>
          <w:i/>
          <w:iCs/>
        </w:rPr>
        <w:t>BMC Research Notes</w:t>
      </w:r>
      <w:r w:rsidRPr="00C41041">
        <w:rPr>
          <w:rFonts w:ascii="Palatino Linotype" w:eastAsia="Times New Roman" w:hAnsi="Palatino Linotype"/>
        </w:rPr>
        <w:t xml:space="preserve"> </w:t>
      </w:r>
      <w:r w:rsidRPr="00C41041">
        <w:rPr>
          <w:rFonts w:ascii="Palatino Linotype" w:eastAsia="Times New Roman" w:hAnsi="Palatino Linotype"/>
          <w:b/>
          <w:bCs/>
        </w:rPr>
        <w:t>8</w:t>
      </w:r>
      <w:r w:rsidRPr="00C41041">
        <w:rPr>
          <w:rFonts w:ascii="Palatino Linotype" w:eastAsia="Times New Roman" w:hAnsi="Palatino Linotype"/>
        </w:rPr>
        <w:t>, (2015).</w:t>
      </w:r>
    </w:p>
    <w:p w14:paraId="7EA90B69" w14:textId="77777777" w:rsidR="001F03D5" w:rsidRPr="00C41041" w:rsidRDefault="001F03D5" w:rsidP="001F03D5">
      <w:pPr>
        <w:pStyle w:val="aa"/>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Elhai, J. D. </w:t>
      </w:r>
      <w:r w:rsidRPr="00C41041">
        <w:rPr>
          <w:rFonts w:ascii="Palatino Linotype" w:eastAsia="Times New Roman" w:hAnsi="Palatino Linotype"/>
          <w:i/>
          <w:iCs/>
        </w:rPr>
        <w:t>et al.</w:t>
      </w:r>
      <w:r w:rsidRPr="00C41041">
        <w:rPr>
          <w:rFonts w:ascii="Palatino Linotype" w:eastAsia="Times New Roman" w:hAnsi="Palatino Linotype"/>
        </w:rPr>
        <w:t xml:space="preserve"> Depression and emotion regulation predict objective smartphone use measured over one week. </w:t>
      </w:r>
      <w:r w:rsidRPr="00C41041">
        <w:rPr>
          <w:rFonts w:ascii="Palatino Linotype" w:eastAsia="Times New Roman" w:hAnsi="Palatino Linotype"/>
          <w:i/>
          <w:iCs/>
        </w:rPr>
        <w:t>Personality and Individual Differences</w:t>
      </w:r>
      <w:r w:rsidRPr="00C41041">
        <w:rPr>
          <w:rFonts w:ascii="Palatino Linotype" w:eastAsia="Times New Roman" w:hAnsi="Palatino Linotype"/>
        </w:rPr>
        <w:t xml:space="preserve"> </w:t>
      </w:r>
      <w:r w:rsidRPr="00C41041">
        <w:rPr>
          <w:rFonts w:ascii="Palatino Linotype" w:eastAsia="Times New Roman" w:hAnsi="Palatino Linotype"/>
          <w:b/>
          <w:bCs/>
        </w:rPr>
        <w:t>133</w:t>
      </w:r>
      <w:r w:rsidRPr="00C41041">
        <w:rPr>
          <w:rFonts w:ascii="Palatino Linotype" w:eastAsia="Times New Roman" w:hAnsi="Palatino Linotype"/>
        </w:rPr>
        <w:t>, 21–28 (2018).</w:t>
      </w:r>
    </w:p>
    <w:p w14:paraId="3627BCFF" w14:textId="77777777" w:rsidR="001F03D5" w:rsidRPr="00C41041" w:rsidRDefault="001F03D5" w:rsidP="001F03D5">
      <w:pPr>
        <w:pStyle w:val="aa"/>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Rozgonjuk, D., Levine, J. C., Hall, B. J. &amp; Elhai, J. D. The association between problematic smartphone use, depression and anxiety symptom severity, and objectively measured smartphone use over one week. </w:t>
      </w:r>
      <w:r w:rsidRPr="00C41041">
        <w:rPr>
          <w:rFonts w:ascii="Palatino Linotype" w:eastAsia="Times New Roman" w:hAnsi="Palatino Linotype"/>
          <w:i/>
          <w:iCs/>
        </w:rPr>
        <w:t>Computers in Human Behavior</w:t>
      </w:r>
      <w:r w:rsidRPr="00C41041">
        <w:rPr>
          <w:rFonts w:ascii="Palatino Linotype" w:eastAsia="Times New Roman" w:hAnsi="Palatino Linotype"/>
        </w:rPr>
        <w:t xml:space="preserve"> </w:t>
      </w:r>
      <w:r w:rsidRPr="00C41041">
        <w:rPr>
          <w:rFonts w:ascii="Palatino Linotype" w:eastAsia="Times New Roman" w:hAnsi="Palatino Linotype"/>
          <w:b/>
          <w:bCs/>
        </w:rPr>
        <w:t>87</w:t>
      </w:r>
      <w:r w:rsidRPr="00C41041">
        <w:rPr>
          <w:rFonts w:ascii="Palatino Linotype" w:eastAsia="Times New Roman" w:hAnsi="Palatino Linotype"/>
        </w:rPr>
        <w:t>, 10–17 (2018).</w:t>
      </w:r>
    </w:p>
    <w:p w14:paraId="61DF3E7A" w14:textId="292B5620" w:rsidR="004E30F3" w:rsidRPr="00C41041" w:rsidRDefault="004E30F3" w:rsidP="004E30F3">
      <w:pPr>
        <w:pStyle w:val="aa"/>
        <w:numPr>
          <w:ilvl w:val="0"/>
          <w:numId w:val="17"/>
        </w:numPr>
        <w:bidi w:val="0"/>
        <w:spacing w:after="0" w:line="240" w:lineRule="auto"/>
        <w:rPr>
          <w:rFonts w:ascii="Palatino Linotype" w:eastAsia="Times New Roman" w:hAnsi="Palatino Linotype" w:cs="Times New Roman"/>
          <w:sz w:val="24"/>
          <w:szCs w:val="24"/>
        </w:rPr>
      </w:pPr>
      <w:r w:rsidRPr="00C41041">
        <w:rPr>
          <w:rFonts w:ascii="Palatino Linotype" w:eastAsia="Times New Roman" w:hAnsi="Palatino Linotype" w:cs="Times New Roman"/>
          <w:color w:val="000000"/>
        </w:rPr>
        <w:t xml:space="preserve">Berle, J. O., Hauge, E. R., Oedegaard, K. J., Holsten, F. &amp; Fasmer, O. B. Actigraphic registration of motor activity reveals a more structured behavioural pattern in schizophrenia than in major depression. </w:t>
      </w:r>
      <w:r w:rsidRPr="00C41041">
        <w:rPr>
          <w:rFonts w:ascii="Palatino Linotype" w:eastAsia="Times New Roman" w:hAnsi="Palatino Linotype" w:cs="Times New Roman"/>
          <w:i/>
          <w:iCs/>
          <w:color w:val="000000"/>
        </w:rPr>
        <w:t>BMC Research Notes</w:t>
      </w:r>
      <w:r w:rsidRPr="00C41041">
        <w:rPr>
          <w:rFonts w:ascii="Palatino Linotype" w:eastAsia="Times New Roman" w:hAnsi="Palatino Linotype" w:cs="Times New Roman"/>
          <w:color w:val="000000"/>
        </w:rPr>
        <w:t xml:space="preserve"> </w:t>
      </w:r>
      <w:r w:rsidRPr="00C41041">
        <w:rPr>
          <w:rFonts w:ascii="Palatino Linotype" w:eastAsia="Times New Roman" w:hAnsi="Palatino Linotype" w:cs="Times New Roman"/>
          <w:b/>
          <w:bCs/>
          <w:color w:val="000000"/>
        </w:rPr>
        <w:t>3</w:t>
      </w:r>
      <w:r w:rsidRPr="00C41041">
        <w:rPr>
          <w:rFonts w:ascii="Palatino Linotype" w:eastAsia="Times New Roman" w:hAnsi="Palatino Linotype" w:cs="Times New Roman"/>
          <w:color w:val="000000"/>
        </w:rPr>
        <w:t>, (2010).</w:t>
      </w:r>
    </w:p>
    <w:p w14:paraId="4C6CC049" w14:textId="12F3AC72" w:rsidR="004E30F3" w:rsidRPr="00C41041" w:rsidRDefault="004E30F3" w:rsidP="004E30F3">
      <w:pPr>
        <w:pStyle w:val="aa"/>
        <w:numPr>
          <w:ilvl w:val="0"/>
          <w:numId w:val="17"/>
        </w:numPr>
        <w:bidi w:val="0"/>
        <w:spacing w:after="0" w:line="240" w:lineRule="auto"/>
        <w:rPr>
          <w:rFonts w:ascii="Palatino Linotype" w:eastAsia="Times New Roman" w:hAnsi="Palatino Linotype" w:cs="Times New Roman"/>
          <w:sz w:val="24"/>
          <w:szCs w:val="24"/>
        </w:rPr>
      </w:pPr>
      <w:r w:rsidRPr="00C41041">
        <w:rPr>
          <w:rFonts w:ascii="Palatino Linotype" w:eastAsia="Times New Roman" w:hAnsi="Palatino Linotype" w:cs="Times New Roman"/>
          <w:color w:val="000000"/>
        </w:rPr>
        <w:t xml:space="preserve">Kluge, A. </w:t>
      </w:r>
      <w:r w:rsidRPr="00C41041">
        <w:rPr>
          <w:rFonts w:ascii="Palatino Linotype" w:eastAsia="Times New Roman" w:hAnsi="Palatino Linotype" w:cs="Times New Roman"/>
          <w:i/>
          <w:iCs/>
          <w:color w:val="000000"/>
        </w:rPr>
        <w:t>et al.</w:t>
      </w:r>
      <w:r w:rsidRPr="00C41041">
        <w:rPr>
          <w:rFonts w:ascii="Palatino Linotype" w:eastAsia="Times New Roman" w:hAnsi="Palatino Linotype" w:cs="Times New Roman"/>
          <w:color w:val="000000"/>
        </w:rPr>
        <w:t xml:space="preserve"> Combining actigraphy, ecological momentary assessment and neuroimaging to study apathy in patients with schizophrenia. </w:t>
      </w:r>
      <w:r w:rsidRPr="00C41041">
        <w:rPr>
          <w:rFonts w:ascii="Palatino Linotype" w:eastAsia="Times New Roman" w:hAnsi="Palatino Linotype" w:cs="Times New Roman"/>
          <w:i/>
          <w:iCs/>
          <w:color w:val="000000"/>
        </w:rPr>
        <w:t>Schizophrenia Research</w:t>
      </w:r>
      <w:r w:rsidRPr="00C41041">
        <w:rPr>
          <w:rFonts w:ascii="Palatino Linotype" w:eastAsia="Times New Roman" w:hAnsi="Palatino Linotype" w:cs="Times New Roman"/>
          <w:color w:val="000000"/>
        </w:rPr>
        <w:t xml:space="preserve"> </w:t>
      </w:r>
      <w:r w:rsidRPr="00C41041">
        <w:rPr>
          <w:rFonts w:ascii="Palatino Linotype" w:eastAsia="Times New Roman" w:hAnsi="Palatino Linotype" w:cs="Times New Roman"/>
          <w:b/>
          <w:bCs/>
          <w:color w:val="000000"/>
        </w:rPr>
        <w:t>195</w:t>
      </w:r>
      <w:r w:rsidRPr="00C41041">
        <w:rPr>
          <w:rFonts w:ascii="Palatino Linotype" w:eastAsia="Times New Roman" w:hAnsi="Palatino Linotype" w:cs="Times New Roman"/>
          <w:color w:val="000000"/>
        </w:rPr>
        <w:t>, 176–182 (2018).</w:t>
      </w:r>
    </w:p>
    <w:p w14:paraId="7094073A" w14:textId="77777777" w:rsidR="00160DCF" w:rsidRPr="00C41041" w:rsidRDefault="00160DCF" w:rsidP="00160DCF">
      <w:pPr>
        <w:pStyle w:val="aa"/>
        <w:numPr>
          <w:ilvl w:val="0"/>
          <w:numId w:val="17"/>
        </w:numPr>
        <w:bidi w:val="0"/>
        <w:spacing w:after="0" w:line="240" w:lineRule="auto"/>
        <w:rPr>
          <w:rFonts w:ascii="Palatino Linotype" w:eastAsia="Times New Roman" w:hAnsi="Palatino Linotype" w:cs="Times New Roman"/>
          <w:sz w:val="24"/>
          <w:szCs w:val="24"/>
        </w:rPr>
      </w:pPr>
      <w:r w:rsidRPr="00C41041">
        <w:rPr>
          <w:rFonts w:ascii="Palatino Linotype" w:eastAsia="Times New Roman" w:hAnsi="Palatino Linotype" w:cs="Times New Roman"/>
          <w:color w:val="000000"/>
        </w:rPr>
        <w:t xml:space="preserve">Komatsu, H. </w:t>
      </w:r>
      <w:r w:rsidRPr="00C41041">
        <w:rPr>
          <w:rFonts w:ascii="Palatino Linotype" w:eastAsia="Times New Roman" w:hAnsi="Palatino Linotype" w:cs="Times New Roman"/>
          <w:i/>
          <w:iCs/>
          <w:color w:val="000000"/>
        </w:rPr>
        <w:t>et al.</w:t>
      </w:r>
      <w:r w:rsidRPr="00C41041">
        <w:rPr>
          <w:rFonts w:ascii="Palatino Linotype" w:eastAsia="Times New Roman" w:hAnsi="Palatino Linotype" w:cs="Times New Roman"/>
          <w:color w:val="000000"/>
        </w:rPr>
        <w:t xml:space="preserve"> Effectiveness of Information Technology Aided Relapse Prevention Programme in Schizophrenia excluding the effect of user adherence: A randomized controlled trial. (2013) doi:10.1016/j.schres.2013.08.007.</w:t>
      </w:r>
    </w:p>
    <w:p w14:paraId="0EA0499E" w14:textId="339E8C1D" w:rsidR="001F03D5" w:rsidRPr="00C41041" w:rsidRDefault="00160DCF" w:rsidP="001F03D5">
      <w:pPr>
        <w:pStyle w:val="NormalWeb"/>
        <w:numPr>
          <w:ilvl w:val="0"/>
          <w:numId w:val="17"/>
        </w:numPr>
        <w:spacing w:before="0" w:beforeAutospacing="0" w:after="0" w:afterAutospacing="0"/>
        <w:rPr>
          <w:rFonts w:ascii="Palatino Linotype" w:hAnsi="Palatino Linotype"/>
        </w:rPr>
      </w:pPr>
      <w:r w:rsidRPr="00C41041">
        <w:rPr>
          <w:rFonts w:ascii="Palatino Linotype" w:hAnsi="Palatino Linotype"/>
          <w:color w:val="000000"/>
          <w:sz w:val="22"/>
          <w:szCs w:val="22"/>
        </w:rPr>
        <w:t xml:space="preserve">Spaniel, F., Hrdlicka, J., Novak, T., Motlova, L. &amp; Hoschl, C. ITAREPS: Information technology aided relapse prevention programme in schizophrenia. A two-year mirror design follow up evaluation. </w:t>
      </w:r>
      <w:r w:rsidRPr="00C41041">
        <w:rPr>
          <w:rFonts w:ascii="Palatino Linotype" w:hAnsi="Palatino Linotype"/>
          <w:i/>
          <w:iCs/>
          <w:color w:val="000000"/>
          <w:sz w:val="22"/>
          <w:szCs w:val="22"/>
        </w:rPr>
        <w:t>European Psychiatry</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23</w:t>
      </w:r>
      <w:r w:rsidRPr="00C41041">
        <w:rPr>
          <w:rFonts w:ascii="Palatino Linotype" w:hAnsi="Palatino Linotype"/>
          <w:color w:val="000000"/>
          <w:sz w:val="22"/>
          <w:szCs w:val="22"/>
        </w:rPr>
        <w:t>, S148 (2008).</w:t>
      </w:r>
    </w:p>
    <w:p w14:paraId="06C045BF" w14:textId="77777777" w:rsidR="00132D1F" w:rsidRPr="00C41041" w:rsidRDefault="00132D1F" w:rsidP="00132D1F">
      <w:pPr>
        <w:pStyle w:val="aa"/>
        <w:numPr>
          <w:ilvl w:val="0"/>
          <w:numId w:val="17"/>
        </w:numPr>
        <w:bidi w:val="0"/>
        <w:spacing w:after="0" w:line="240" w:lineRule="auto"/>
        <w:rPr>
          <w:rFonts w:ascii="Palatino Linotype" w:eastAsia="Times New Roman" w:hAnsi="Palatino Linotype" w:cs="Times New Roman"/>
          <w:sz w:val="24"/>
          <w:szCs w:val="24"/>
        </w:rPr>
      </w:pPr>
      <w:r w:rsidRPr="00C41041">
        <w:rPr>
          <w:rFonts w:ascii="Palatino Linotype" w:eastAsia="Times New Roman" w:hAnsi="Palatino Linotype" w:cs="Times New Roman"/>
          <w:color w:val="000000"/>
        </w:rPr>
        <w:t xml:space="preserve"> Barnett, I. </w:t>
      </w:r>
      <w:r w:rsidRPr="00C41041">
        <w:rPr>
          <w:rFonts w:ascii="Palatino Linotype" w:eastAsia="Times New Roman" w:hAnsi="Palatino Linotype" w:cs="Times New Roman"/>
          <w:i/>
          <w:iCs/>
          <w:color w:val="000000"/>
        </w:rPr>
        <w:t>et al.</w:t>
      </w:r>
      <w:r w:rsidRPr="00C41041">
        <w:rPr>
          <w:rFonts w:ascii="Palatino Linotype" w:eastAsia="Times New Roman" w:hAnsi="Palatino Linotype" w:cs="Times New Roman"/>
          <w:color w:val="000000"/>
        </w:rPr>
        <w:t xml:space="preserve"> Relapse prediction in schizophrenia through digital phenotyping: A pilot study. </w:t>
      </w:r>
      <w:r w:rsidRPr="00C41041">
        <w:rPr>
          <w:rFonts w:ascii="Palatino Linotype" w:eastAsia="Times New Roman" w:hAnsi="Palatino Linotype" w:cs="Times New Roman"/>
          <w:i/>
          <w:iCs/>
          <w:color w:val="000000"/>
        </w:rPr>
        <w:t>Neuropsychopharmacology</w:t>
      </w:r>
      <w:r w:rsidRPr="00C41041">
        <w:rPr>
          <w:rFonts w:ascii="Palatino Linotype" w:eastAsia="Times New Roman" w:hAnsi="Palatino Linotype" w:cs="Times New Roman"/>
          <w:color w:val="000000"/>
        </w:rPr>
        <w:t xml:space="preserve"> </w:t>
      </w:r>
      <w:r w:rsidRPr="00C41041">
        <w:rPr>
          <w:rFonts w:ascii="Palatino Linotype" w:eastAsia="Times New Roman" w:hAnsi="Palatino Linotype" w:cs="Times New Roman"/>
          <w:b/>
          <w:bCs/>
          <w:color w:val="000000"/>
        </w:rPr>
        <w:t>43</w:t>
      </w:r>
      <w:r w:rsidRPr="00C41041">
        <w:rPr>
          <w:rFonts w:ascii="Palatino Linotype" w:eastAsia="Times New Roman" w:hAnsi="Palatino Linotype" w:cs="Times New Roman"/>
          <w:color w:val="000000"/>
        </w:rPr>
        <w:t>, 1660–1666 (2018).</w:t>
      </w:r>
    </w:p>
    <w:p w14:paraId="647210D8" w14:textId="5FAAC560" w:rsidR="00132D1F" w:rsidRPr="00C41041" w:rsidRDefault="00132D1F" w:rsidP="001F03D5">
      <w:pPr>
        <w:pStyle w:val="NormalWeb"/>
        <w:numPr>
          <w:ilvl w:val="0"/>
          <w:numId w:val="17"/>
        </w:numPr>
        <w:spacing w:before="0" w:beforeAutospacing="0" w:after="0" w:afterAutospacing="0"/>
        <w:rPr>
          <w:rFonts w:ascii="Palatino Linotype" w:hAnsi="Palatino Linotype"/>
        </w:rPr>
      </w:pPr>
      <w:r w:rsidRPr="00C41041">
        <w:rPr>
          <w:rFonts w:ascii="Palatino Linotype" w:hAnsi="Palatino Linotype"/>
          <w:color w:val="000000"/>
          <w:sz w:val="22"/>
          <w:szCs w:val="22"/>
        </w:rPr>
        <w:t xml:space="preserve">Cella, M. </w:t>
      </w:r>
      <w:r w:rsidRPr="00C41041">
        <w:rPr>
          <w:rFonts w:ascii="Palatino Linotype" w:hAnsi="Palatino Linotype"/>
          <w:i/>
          <w:iCs/>
          <w:color w:val="000000"/>
          <w:sz w:val="22"/>
          <w:szCs w:val="22"/>
        </w:rPr>
        <w:t>et al.</w:t>
      </w:r>
      <w:r w:rsidRPr="00C41041">
        <w:rPr>
          <w:rFonts w:ascii="Palatino Linotype" w:hAnsi="Palatino Linotype"/>
          <w:color w:val="000000"/>
          <w:sz w:val="22"/>
          <w:szCs w:val="22"/>
        </w:rPr>
        <w:t xml:space="preserve"> Using wearable technology to detect the autonomic signature of illness severity in schizophrenia. </w:t>
      </w:r>
      <w:r w:rsidRPr="00C41041">
        <w:rPr>
          <w:rFonts w:ascii="Palatino Linotype" w:hAnsi="Palatino Linotype"/>
          <w:i/>
          <w:iCs/>
          <w:color w:val="000000"/>
          <w:sz w:val="22"/>
          <w:szCs w:val="22"/>
        </w:rPr>
        <w:t>Schizophrenia Research</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195</w:t>
      </w:r>
      <w:r w:rsidRPr="00C41041">
        <w:rPr>
          <w:rFonts w:ascii="Palatino Linotype" w:hAnsi="Palatino Linotype"/>
          <w:color w:val="000000"/>
          <w:sz w:val="22"/>
          <w:szCs w:val="22"/>
        </w:rPr>
        <w:t>, 537–542 (2018).</w:t>
      </w:r>
    </w:p>
    <w:p w14:paraId="2A32C4A6" w14:textId="77777777" w:rsidR="009556C6" w:rsidRPr="00C41041" w:rsidRDefault="009556C6" w:rsidP="009556C6">
      <w:pPr>
        <w:autoSpaceDE w:val="0"/>
        <w:autoSpaceDN w:val="0"/>
        <w:bidi w:val="0"/>
        <w:rPr>
          <w:rFonts w:ascii="Palatino Linotype" w:eastAsia="Times New Roman" w:hAnsi="Palatino Linotype"/>
        </w:rPr>
      </w:pPr>
    </w:p>
    <w:p w14:paraId="64CAFA8A" w14:textId="77777777" w:rsidR="009268DB" w:rsidRPr="00C41041" w:rsidRDefault="009268DB" w:rsidP="009268DB">
      <w:pPr>
        <w:pStyle w:val="aa"/>
        <w:numPr>
          <w:ilvl w:val="0"/>
          <w:numId w:val="17"/>
        </w:numPr>
        <w:bidi w:val="0"/>
        <w:spacing w:after="0" w:line="240" w:lineRule="auto"/>
        <w:ind w:left="284" w:hanging="284"/>
        <w:rPr>
          <w:rFonts w:ascii="Palatino Linotype" w:eastAsia="Times New Roman" w:hAnsi="Palatino Linotype" w:cs="Arial"/>
          <w:color w:val="222222"/>
          <w:sz w:val="20"/>
          <w:szCs w:val="20"/>
        </w:rPr>
      </w:pPr>
    </w:p>
    <w:p w14:paraId="2D7AE98F" w14:textId="773D86C6" w:rsidR="0065502A" w:rsidRPr="0038344D" w:rsidRDefault="0065502A" w:rsidP="009268DB">
      <w:pPr>
        <w:pStyle w:val="aa"/>
        <w:numPr>
          <w:ilvl w:val="0"/>
          <w:numId w:val="17"/>
        </w:numPr>
        <w:bidi w:val="0"/>
        <w:spacing w:after="0" w:line="240" w:lineRule="auto"/>
        <w:ind w:left="284" w:hanging="284"/>
        <w:rPr>
          <w:rFonts w:ascii="Palatino Linotype" w:eastAsia="Times New Roman" w:hAnsi="Palatino Linotype" w:cs="Arial"/>
          <w:color w:val="222222"/>
          <w:sz w:val="20"/>
          <w:szCs w:val="20"/>
          <w:highlight w:val="cyan"/>
        </w:rPr>
      </w:pPr>
      <w:r w:rsidRPr="0038344D">
        <w:rPr>
          <w:rFonts w:ascii="Palatino Linotype" w:hAnsi="Palatino Linotype" w:cs="Arial"/>
          <w:color w:val="222222"/>
          <w:sz w:val="20"/>
          <w:szCs w:val="20"/>
          <w:highlight w:val="cyan"/>
          <w:shd w:val="clear" w:color="auto" w:fill="FFFFFF"/>
        </w:rPr>
        <w:t>Lecomte, T., Potvin, S., Samson, C., Francoeur, A., Hache-Labelle, C., Gagné, S., ... &amp; Mueser, K. T. (2019). Predicting and preventing symptom onset and relapse in schizophrenia—A metareview of current empirical evidence. </w:t>
      </w:r>
      <w:r w:rsidRPr="0038344D">
        <w:rPr>
          <w:rFonts w:ascii="Palatino Linotype" w:hAnsi="Palatino Linotype" w:cs="Arial"/>
          <w:i/>
          <w:iCs/>
          <w:color w:val="222222"/>
          <w:sz w:val="20"/>
          <w:szCs w:val="20"/>
          <w:highlight w:val="cyan"/>
          <w:shd w:val="clear" w:color="auto" w:fill="FFFFFF"/>
        </w:rPr>
        <w:t>Journal of abnormal psychology</w:t>
      </w:r>
      <w:r w:rsidRPr="0038344D">
        <w:rPr>
          <w:rFonts w:ascii="Palatino Linotype" w:hAnsi="Palatino Linotype" w:cs="Arial"/>
          <w:color w:val="222222"/>
          <w:sz w:val="20"/>
          <w:szCs w:val="20"/>
          <w:highlight w:val="cyan"/>
          <w:shd w:val="clear" w:color="auto" w:fill="FFFFFF"/>
        </w:rPr>
        <w:t>, </w:t>
      </w:r>
      <w:r w:rsidRPr="0038344D">
        <w:rPr>
          <w:rFonts w:ascii="Palatino Linotype" w:hAnsi="Palatino Linotype" w:cs="Arial"/>
          <w:i/>
          <w:iCs/>
          <w:color w:val="222222"/>
          <w:sz w:val="20"/>
          <w:szCs w:val="20"/>
          <w:highlight w:val="cyan"/>
          <w:shd w:val="clear" w:color="auto" w:fill="FFFFFF"/>
        </w:rPr>
        <w:t>128</w:t>
      </w:r>
      <w:r w:rsidRPr="0038344D">
        <w:rPr>
          <w:rFonts w:ascii="Palatino Linotype" w:hAnsi="Palatino Linotype" w:cs="Arial"/>
          <w:color w:val="222222"/>
          <w:sz w:val="20"/>
          <w:szCs w:val="20"/>
          <w:highlight w:val="cyan"/>
          <w:shd w:val="clear" w:color="auto" w:fill="FFFFFF"/>
        </w:rPr>
        <w:t>(8), 840.</w:t>
      </w:r>
      <w:r w:rsidRPr="0038344D">
        <w:rPr>
          <w:rFonts w:ascii="Palatino Linotype" w:hAnsi="Palatino Linotype" w:cs="Arial"/>
          <w:color w:val="222222"/>
          <w:sz w:val="20"/>
          <w:szCs w:val="20"/>
          <w:highlight w:val="cyan"/>
          <w:shd w:val="clear" w:color="auto" w:fill="FFFFFF"/>
          <w:rtl/>
        </w:rPr>
        <w:t>‏</w:t>
      </w:r>
    </w:p>
    <w:sectPr w:rsidR="0065502A" w:rsidRPr="0038344D" w:rsidSect="00F33C9A">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60162" w14:textId="77777777" w:rsidR="00F810B7" w:rsidRDefault="00F810B7" w:rsidP="00F33C9A">
      <w:pPr>
        <w:spacing w:after="0" w:line="240" w:lineRule="auto"/>
      </w:pPr>
      <w:r>
        <w:separator/>
      </w:r>
    </w:p>
  </w:endnote>
  <w:endnote w:type="continuationSeparator" w:id="0">
    <w:p w14:paraId="31AB89DE" w14:textId="77777777" w:rsidR="00F810B7" w:rsidRDefault="00F810B7" w:rsidP="00F3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559172241"/>
      <w:docPartObj>
        <w:docPartGallery w:val="Page Numbers (Bottom of Page)"/>
        <w:docPartUnique/>
      </w:docPartObj>
    </w:sdtPr>
    <w:sdtEndPr/>
    <w:sdtContent>
      <w:p w14:paraId="71F56ADE" w14:textId="140718FC" w:rsidR="00C51535" w:rsidRDefault="00C51535">
        <w:pPr>
          <w:pStyle w:val="a5"/>
          <w:jc w:val="center"/>
        </w:pPr>
        <w:r>
          <w:fldChar w:fldCharType="begin"/>
        </w:r>
        <w:r>
          <w:instrText>PAGE   \* MERGEFORMAT</w:instrText>
        </w:r>
        <w:r>
          <w:fldChar w:fldCharType="separate"/>
        </w:r>
        <w:r>
          <w:rPr>
            <w:rtl/>
            <w:lang w:val="he-IL"/>
          </w:rPr>
          <w:t>2</w:t>
        </w:r>
        <w:r>
          <w:fldChar w:fldCharType="end"/>
        </w:r>
      </w:p>
    </w:sdtContent>
  </w:sdt>
  <w:p w14:paraId="4224ECC1" w14:textId="77777777" w:rsidR="00C51535" w:rsidRDefault="00C515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79E06" w14:textId="77777777" w:rsidR="00F810B7" w:rsidRDefault="00F810B7" w:rsidP="00F33C9A">
      <w:pPr>
        <w:spacing w:after="0" w:line="240" w:lineRule="auto"/>
      </w:pPr>
      <w:r>
        <w:separator/>
      </w:r>
    </w:p>
  </w:footnote>
  <w:footnote w:type="continuationSeparator" w:id="0">
    <w:p w14:paraId="23A70CAA" w14:textId="77777777" w:rsidR="00F810B7" w:rsidRDefault="00F810B7" w:rsidP="00F33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015C9"/>
    <w:multiLevelType w:val="hybridMultilevel"/>
    <w:tmpl w:val="2DF6B7E6"/>
    <w:lvl w:ilvl="0" w:tplc="842607A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D6916"/>
    <w:multiLevelType w:val="hybridMultilevel"/>
    <w:tmpl w:val="5C9A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8510D"/>
    <w:multiLevelType w:val="hybridMultilevel"/>
    <w:tmpl w:val="67022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2E679F"/>
    <w:multiLevelType w:val="hybridMultilevel"/>
    <w:tmpl w:val="AFD292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145D"/>
    <w:multiLevelType w:val="hybridMultilevel"/>
    <w:tmpl w:val="775C9BB8"/>
    <w:lvl w:ilvl="0" w:tplc="83C6DD6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B6872"/>
    <w:multiLevelType w:val="hybridMultilevel"/>
    <w:tmpl w:val="549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C013B"/>
    <w:multiLevelType w:val="hybridMultilevel"/>
    <w:tmpl w:val="B106C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07C01"/>
    <w:multiLevelType w:val="hybridMultilevel"/>
    <w:tmpl w:val="01E8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14C1D"/>
    <w:multiLevelType w:val="hybridMultilevel"/>
    <w:tmpl w:val="A3F6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430E3"/>
    <w:multiLevelType w:val="hybridMultilevel"/>
    <w:tmpl w:val="69F8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805D1"/>
    <w:multiLevelType w:val="hybridMultilevel"/>
    <w:tmpl w:val="775C9BB8"/>
    <w:lvl w:ilvl="0" w:tplc="83C6DD6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77C45"/>
    <w:multiLevelType w:val="hybridMultilevel"/>
    <w:tmpl w:val="905A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334BB"/>
    <w:multiLevelType w:val="hybridMultilevel"/>
    <w:tmpl w:val="A9F46E3E"/>
    <w:lvl w:ilvl="0" w:tplc="FA18F708">
      <w:start w:val="1"/>
      <w:numFmt w:val="decimal"/>
      <w:lvlText w:val="%1."/>
      <w:lvlJc w:val="left"/>
      <w:pPr>
        <w:ind w:left="-280" w:hanging="360"/>
      </w:pPr>
      <w:rPr>
        <w:rFonts w:hint="default"/>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abstractNum w:abstractNumId="13" w15:restartNumberingAfterBreak="0">
    <w:nsid w:val="5F32448A"/>
    <w:multiLevelType w:val="hybridMultilevel"/>
    <w:tmpl w:val="5C9A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D7D65"/>
    <w:multiLevelType w:val="hybridMultilevel"/>
    <w:tmpl w:val="A9FCB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9E7BFE"/>
    <w:multiLevelType w:val="hybridMultilevel"/>
    <w:tmpl w:val="5CD6EB98"/>
    <w:lvl w:ilvl="0" w:tplc="8A507F48">
      <w:start w:val="1"/>
      <w:numFmt w:val="decimal"/>
      <w:lvlText w:val="%1."/>
      <w:lvlJc w:val="left"/>
      <w:pPr>
        <w:ind w:left="-280" w:hanging="360"/>
      </w:pPr>
      <w:rPr>
        <w:rFonts w:hint="default"/>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abstractNum w:abstractNumId="16" w15:restartNumberingAfterBreak="0">
    <w:nsid w:val="6C95537F"/>
    <w:multiLevelType w:val="hybridMultilevel"/>
    <w:tmpl w:val="0AFA7AD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E5D2317"/>
    <w:multiLevelType w:val="hybridMultilevel"/>
    <w:tmpl w:val="DB0AA6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ED4928"/>
    <w:multiLevelType w:val="hybridMultilevel"/>
    <w:tmpl w:val="B2E2F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3"/>
  </w:num>
  <w:num w:numId="3">
    <w:abstractNumId w:val="16"/>
  </w:num>
  <w:num w:numId="4">
    <w:abstractNumId w:val="2"/>
  </w:num>
  <w:num w:numId="5">
    <w:abstractNumId w:val="10"/>
  </w:num>
  <w:num w:numId="6">
    <w:abstractNumId w:val="4"/>
  </w:num>
  <w:num w:numId="7">
    <w:abstractNumId w:val="8"/>
  </w:num>
  <w:num w:numId="8">
    <w:abstractNumId w:val="11"/>
  </w:num>
  <w:num w:numId="9">
    <w:abstractNumId w:val="9"/>
  </w:num>
  <w:num w:numId="10">
    <w:abstractNumId w:val="7"/>
  </w:num>
  <w:num w:numId="11">
    <w:abstractNumId w:val="18"/>
  </w:num>
  <w:num w:numId="12">
    <w:abstractNumId w:val="14"/>
  </w:num>
  <w:num w:numId="13">
    <w:abstractNumId w:val="12"/>
  </w:num>
  <w:num w:numId="14">
    <w:abstractNumId w:val="15"/>
  </w:num>
  <w:num w:numId="15">
    <w:abstractNumId w:val="5"/>
  </w:num>
  <w:num w:numId="16">
    <w:abstractNumId w:val="6"/>
  </w:num>
  <w:num w:numId="17">
    <w:abstractNumId w:val="0"/>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9A"/>
    <w:rsid w:val="000019C8"/>
    <w:rsid w:val="000400E8"/>
    <w:rsid w:val="00042B6F"/>
    <w:rsid w:val="00046904"/>
    <w:rsid w:val="0004778D"/>
    <w:rsid w:val="00051967"/>
    <w:rsid w:val="00073ABA"/>
    <w:rsid w:val="000A101A"/>
    <w:rsid w:val="000A4504"/>
    <w:rsid w:val="000B3BAE"/>
    <w:rsid w:val="000C1A11"/>
    <w:rsid w:val="000D01C8"/>
    <w:rsid w:val="000E2611"/>
    <w:rsid w:val="000E30B8"/>
    <w:rsid w:val="000F052F"/>
    <w:rsid w:val="00111098"/>
    <w:rsid w:val="001117D2"/>
    <w:rsid w:val="001176B7"/>
    <w:rsid w:val="001227AD"/>
    <w:rsid w:val="00125AD8"/>
    <w:rsid w:val="00132D1F"/>
    <w:rsid w:val="001408F0"/>
    <w:rsid w:val="00142867"/>
    <w:rsid w:val="00151E16"/>
    <w:rsid w:val="00156EFE"/>
    <w:rsid w:val="0016095B"/>
    <w:rsid w:val="00160DCF"/>
    <w:rsid w:val="00161532"/>
    <w:rsid w:val="001648D1"/>
    <w:rsid w:val="0016506D"/>
    <w:rsid w:val="0016600E"/>
    <w:rsid w:val="00166346"/>
    <w:rsid w:val="0017640E"/>
    <w:rsid w:val="001810AC"/>
    <w:rsid w:val="001838C3"/>
    <w:rsid w:val="001863D5"/>
    <w:rsid w:val="00193B38"/>
    <w:rsid w:val="0019787F"/>
    <w:rsid w:val="001B3C16"/>
    <w:rsid w:val="001B5766"/>
    <w:rsid w:val="001C4EBF"/>
    <w:rsid w:val="001C518C"/>
    <w:rsid w:val="001D02A7"/>
    <w:rsid w:val="001D41E9"/>
    <w:rsid w:val="001E4D37"/>
    <w:rsid w:val="001E58F4"/>
    <w:rsid w:val="001F03D5"/>
    <w:rsid w:val="001F0A2F"/>
    <w:rsid w:val="001F44D9"/>
    <w:rsid w:val="00204C11"/>
    <w:rsid w:val="00215156"/>
    <w:rsid w:val="002209FC"/>
    <w:rsid w:val="00222F26"/>
    <w:rsid w:val="00224F24"/>
    <w:rsid w:val="0023408C"/>
    <w:rsid w:val="00234195"/>
    <w:rsid w:val="00234F90"/>
    <w:rsid w:val="00252D56"/>
    <w:rsid w:val="00264F0C"/>
    <w:rsid w:val="00276882"/>
    <w:rsid w:val="002801D2"/>
    <w:rsid w:val="00282093"/>
    <w:rsid w:val="00291D6D"/>
    <w:rsid w:val="00294473"/>
    <w:rsid w:val="002B5243"/>
    <w:rsid w:val="002D4DBE"/>
    <w:rsid w:val="002D66A1"/>
    <w:rsid w:val="002E0960"/>
    <w:rsid w:val="002E7C07"/>
    <w:rsid w:val="002F0F9F"/>
    <w:rsid w:val="003025A0"/>
    <w:rsid w:val="00303449"/>
    <w:rsid w:val="00310169"/>
    <w:rsid w:val="00314E2E"/>
    <w:rsid w:val="003156C5"/>
    <w:rsid w:val="003178E8"/>
    <w:rsid w:val="003239B0"/>
    <w:rsid w:val="00342D4F"/>
    <w:rsid w:val="00346B29"/>
    <w:rsid w:val="003518B5"/>
    <w:rsid w:val="00357BF7"/>
    <w:rsid w:val="003614F9"/>
    <w:rsid w:val="00362918"/>
    <w:rsid w:val="00366CA7"/>
    <w:rsid w:val="00372594"/>
    <w:rsid w:val="00376650"/>
    <w:rsid w:val="00383406"/>
    <w:rsid w:val="0038344D"/>
    <w:rsid w:val="0038626F"/>
    <w:rsid w:val="0038703C"/>
    <w:rsid w:val="003876D8"/>
    <w:rsid w:val="003B4F38"/>
    <w:rsid w:val="003C1408"/>
    <w:rsid w:val="003D5AE8"/>
    <w:rsid w:val="003D738B"/>
    <w:rsid w:val="003E6330"/>
    <w:rsid w:val="003F11CB"/>
    <w:rsid w:val="004007DC"/>
    <w:rsid w:val="00405521"/>
    <w:rsid w:val="004140B5"/>
    <w:rsid w:val="00415365"/>
    <w:rsid w:val="0042750C"/>
    <w:rsid w:val="004325A6"/>
    <w:rsid w:val="00432D60"/>
    <w:rsid w:val="0044299E"/>
    <w:rsid w:val="00464565"/>
    <w:rsid w:val="004739B2"/>
    <w:rsid w:val="00473C53"/>
    <w:rsid w:val="004741FA"/>
    <w:rsid w:val="00475783"/>
    <w:rsid w:val="00476FAC"/>
    <w:rsid w:val="00477EE5"/>
    <w:rsid w:val="00492984"/>
    <w:rsid w:val="004A0119"/>
    <w:rsid w:val="004A42FA"/>
    <w:rsid w:val="004B02C0"/>
    <w:rsid w:val="004E30F3"/>
    <w:rsid w:val="004E4F86"/>
    <w:rsid w:val="004F16C9"/>
    <w:rsid w:val="004F2CBD"/>
    <w:rsid w:val="004F3427"/>
    <w:rsid w:val="00507F52"/>
    <w:rsid w:val="00512CB9"/>
    <w:rsid w:val="00515C2A"/>
    <w:rsid w:val="005203D8"/>
    <w:rsid w:val="00520525"/>
    <w:rsid w:val="00522E9D"/>
    <w:rsid w:val="00527979"/>
    <w:rsid w:val="00533CC6"/>
    <w:rsid w:val="00537A7D"/>
    <w:rsid w:val="00547A38"/>
    <w:rsid w:val="00547F48"/>
    <w:rsid w:val="0055266E"/>
    <w:rsid w:val="00560608"/>
    <w:rsid w:val="0056400B"/>
    <w:rsid w:val="005670C2"/>
    <w:rsid w:val="005755ED"/>
    <w:rsid w:val="00577801"/>
    <w:rsid w:val="00585093"/>
    <w:rsid w:val="005A7FCD"/>
    <w:rsid w:val="005B27B5"/>
    <w:rsid w:val="005C16B5"/>
    <w:rsid w:val="005C4D22"/>
    <w:rsid w:val="005F634F"/>
    <w:rsid w:val="00610BAF"/>
    <w:rsid w:val="00616B99"/>
    <w:rsid w:val="0062279D"/>
    <w:rsid w:val="006269E2"/>
    <w:rsid w:val="00636878"/>
    <w:rsid w:val="0064541A"/>
    <w:rsid w:val="00645E1C"/>
    <w:rsid w:val="006541C2"/>
    <w:rsid w:val="0065502A"/>
    <w:rsid w:val="00656009"/>
    <w:rsid w:val="006733E9"/>
    <w:rsid w:val="00683D70"/>
    <w:rsid w:val="006850BA"/>
    <w:rsid w:val="006862D2"/>
    <w:rsid w:val="006A065A"/>
    <w:rsid w:val="006D5367"/>
    <w:rsid w:val="006E6DC2"/>
    <w:rsid w:val="006F2924"/>
    <w:rsid w:val="006F489A"/>
    <w:rsid w:val="006F5C61"/>
    <w:rsid w:val="0070303F"/>
    <w:rsid w:val="00712D03"/>
    <w:rsid w:val="00713302"/>
    <w:rsid w:val="00714898"/>
    <w:rsid w:val="007150BD"/>
    <w:rsid w:val="007225F6"/>
    <w:rsid w:val="00740CC8"/>
    <w:rsid w:val="00743C59"/>
    <w:rsid w:val="00743EA0"/>
    <w:rsid w:val="0074588B"/>
    <w:rsid w:val="00753212"/>
    <w:rsid w:val="00754D21"/>
    <w:rsid w:val="00755183"/>
    <w:rsid w:val="007743C2"/>
    <w:rsid w:val="007776A7"/>
    <w:rsid w:val="0078069A"/>
    <w:rsid w:val="007826A6"/>
    <w:rsid w:val="007B4E79"/>
    <w:rsid w:val="007B5224"/>
    <w:rsid w:val="007B5809"/>
    <w:rsid w:val="007C03F9"/>
    <w:rsid w:val="007C6BFF"/>
    <w:rsid w:val="007C716D"/>
    <w:rsid w:val="007C7521"/>
    <w:rsid w:val="007D4B9B"/>
    <w:rsid w:val="007E0407"/>
    <w:rsid w:val="007E1BC0"/>
    <w:rsid w:val="007E4B60"/>
    <w:rsid w:val="007E6173"/>
    <w:rsid w:val="007E7349"/>
    <w:rsid w:val="007F18B8"/>
    <w:rsid w:val="007F2F57"/>
    <w:rsid w:val="007F5719"/>
    <w:rsid w:val="00810B30"/>
    <w:rsid w:val="008166BA"/>
    <w:rsid w:val="00816710"/>
    <w:rsid w:val="00820438"/>
    <w:rsid w:val="00823B55"/>
    <w:rsid w:val="008456CC"/>
    <w:rsid w:val="008471D2"/>
    <w:rsid w:val="00852C38"/>
    <w:rsid w:val="008576B8"/>
    <w:rsid w:val="00865114"/>
    <w:rsid w:val="008665E8"/>
    <w:rsid w:val="00874435"/>
    <w:rsid w:val="00876511"/>
    <w:rsid w:val="00881F9E"/>
    <w:rsid w:val="00883FD3"/>
    <w:rsid w:val="008A191C"/>
    <w:rsid w:val="008C25D8"/>
    <w:rsid w:val="008C4B79"/>
    <w:rsid w:val="008C5B07"/>
    <w:rsid w:val="008C6135"/>
    <w:rsid w:val="008C74B2"/>
    <w:rsid w:val="008D5769"/>
    <w:rsid w:val="008E4446"/>
    <w:rsid w:val="008E448C"/>
    <w:rsid w:val="008F30DF"/>
    <w:rsid w:val="008F5C1F"/>
    <w:rsid w:val="00904CA6"/>
    <w:rsid w:val="009051F2"/>
    <w:rsid w:val="009171BD"/>
    <w:rsid w:val="00920CD3"/>
    <w:rsid w:val="00925957"/>
    <w:rsid w:val="009267FA"/>
    <w:rsid w:val="009268DB"/>
    <w:rsid w:val="009273CC"/>
    <w:rsid w:val="009361B6"/>
    <w:rsid w:val="00941554"/>
    <w:rsid w:val="00943C49"/>
    <w:rsid w:val="00944252"/>
    <w:rsid w:val="009556C6"/>
    <w:rsid w:val="009618A1"/>
    <w:rsid w:val="00964AA4"/>
    <w:rsid w:val="00966AFF"/>
    <w:rsid w:val="009859AA"/>
    <w:rsid w:val="00992FDC"/>
    <w:rsid w:val="009B3820"/>
    <w:rsid w:val="009B5D4B"/>
    <w:rsid w:val="009D36AA"/>
    <w:rsid w:val="009D66DF"/>
    <w:rsid w:val="009E04FD"/>
    <w:rsid w:val="009F383D"/>
    <w:rsid w:val="009F42AB"/>
    <w:rsid w:val="00A03EDB"/>
    <w:rsid w:val="00A04489"/>
    <w:rsid w:val="00A074EE"/>
    <w:rsid w:val="00A078FB"/>
    <w:rsid w:val="00A321FE"/>
    <w:rsid w:val="00A44D21"/>
    <w:rsid w:val="00A62AA8"/>
    <w:rsid w:val="00A62E81"/>
    <w:rsid w:val="00A63993"/>
    <w:rsid w:val="00A63FC1"/>
    <w:rsid w:val="00A767D3"/>
    <w:rsid w:val="00A83A68"/>
    <w:rsid w:val="00A85F91"/>
    <w:rsid w:val="00A95EE2"/>
    <w:rsid w:val="00AA42DC"/>
    <w:rsid w:val="00AA5A97"/>
    <w:rsid w:val="00AB06AE"/>
    <w:rsid w:val="00AB5688"/>
    <w:rsid w:val="00AD4650"/>
    <w:rsid w:val="00AD7872"/>
    <w:rsid w:val="00AE7B39"/>
    <w:rsid w:val="00AF3BB5"/>
    <w:rsid w:val="00B3130F"/>
    <w:rsid w:val="00B4359A"/>
    <w:rsid w:val="00B5050B"/>
    <w:rsid w:val="00B56324"/>
    <w:rsid w:val="00B60A2A"/>
    <w:rsid w:val="00B66094"/>
    <w:rsid w:val="00B74919"/>
    <w:rsid w:val="00B839CE"/>
    <w:rsid w:val="00B84FC2"/>
    <w:rsid w:val="00B96482"/>
    <w:rsid w:val="00B96A18"/>
    <w:rsid w:val="00BA05CF"/>
    <w:rsid w:val="00BA7C77"/>
    <w:rsid w:val="00BB08AA"/>
    <w:rsid w:val="00BB48B1"/>
    <w:rsid w:val="00BB6180"/>
    <w:rsid w:val="00BB6F90"/>
    <w:rsid w:val="00BC27E6"/>
    <w:rsid w:val="00BD2D4A"/>
    <w:rsid w:val="00BD46B5"/>
    <w:rsid w:val="00BD4FB8"/>
    <w:rsid w:val="00BD69E0"/>
    <w:rsid w:val="00BE0FC3"/>
    <w:rsid w:val="00BE1F34"/>
    <w:rsid w:val="00BE3B3C"/>
    <w:rsid w:val="00BE72A5"/>
    <w:rsid w:val="00BE7FEE"/>
    <w:rsid w:val="00BF3B04"/>
    <w:rsid w:val="00C009D0"/>
    <w:rsid w:val="00C12C4D"/>
    <w:rsid w:val="00C30332"/>
    <w:rsid w:val="00C40280"/>
    <w:rsid w:val="00C41041"/>
    <w:rsid w:val="00C44FCA"/>
    <w:rsid w:val="00C51535"/>
    <w:rsid w:val="00C540C2"/>
    <w:rsid w:val="00C54481"/>
    <w:rsid w:val="00C72EBD"/>
    <w:rsid w:val="00C7746C"/>
    <w:rsid w:val="00C82304"/>
    <w:rsid w:val="00C874C5"/>
    <w:rsid w:val="00C877BB"/>
    <w:rsid w:val="00C926F2"/>
    <w:rsid w:val="00CA63D6"/>
    <w:rsid w:val="00CC3A8D"/>
    <w:rsid w:val="00CF1863"/>
    <w:rsid w:val="00CF3C28"/>
    <w:rsid w:val="00CF5478"/>
    <w:rsid w:val="00D1155F"/>
    <w:rsid w:val="00D14470"/>
    <w:rsid w:val="00D331DB"/>
    <w:rsid w:val="00D33212"/>
    <w:rsid w:val="00D33B86"/>
    <w:rsid w:val="00D562FA"/>
    <w:rsid w:val="00D60D58"/>
    <w:rsid w:val="00D61E0F"/>
    <w:rsid w:val="00D74D69"/>
    <w:rsid w:val="00D93D46"/>
    <w:rsid w:val="00DA2BC0"/>
    <w:rsid w:val="00DA59F9"/>
    <w:rsid w:val="00DB661F"/>
    <w:rsid w:val="00DB7428"/>
    <w:rsid w:val="00DC1803"/>
    <w:rsid w:val="00DC1814"/>
    <w:rsid w:val="00DC7639"/>
    <w:rsid w:val="00DD14A0"/>
    <w:rsid w:val="00DD6490"/>
    <w:rsid w:val="00DD6EDE"/>
    <w:rsid w:val="00E0284E"/>
    <w:rsid w:val="00E11B71"/>
    <w:rsid w:val="00E16937"/>
    <w:rsid w:val="00E225B3"/>
    <w:rsid w:val="00E300B8"/>
    <w:rsid w:val="00E32BC9"/>
    <w:rsid w:val="00E43323"/>
    <w:rsid w:val="00E44D0C"/>
    <w:rsid w:val="00E5099D"/>
    <w:rsid w:val="00E55EA7"/>
    <w:rsid w:val="00E56B5A"/>
    <w:rsid w:val="00E642B0"/>
    <w:rsid w:val="00E707DC"/>
    <w:rsid w:val="00E7148E"/>
    <w:rsid w:val="00E82C54"/>
    <w:rsid w:val="00EA3902"/>
    <w:rsid w:val="00EA5E94"/>
    <w:rsid w:val="00EA7EB1"/>
    <w:rsid w:val="00ED3D4F"/>
    <w:rsid w:val="00F16EAD"/>
    <w:rsid w:val="00F2319D"/>
    <w:rsid w:val="00F32E2E"/>
    <w:rsid w:val="00F33C9A"/>
    <w:rsid w:val="00F405A3"/>
    <w:rsid w:val="00F42AF5"/>
    <w:rsid w:val="00F44FD7"/>
    <w:rsid w:val="00F4698E"/>
    <w:rsid w:val="00F52095"/>
    <w:rsid w:val="00F5401F"/>
    <w:rsid w:val="00F56997"/>
    <w:rsid w:val="00F5704C"/>
    <w:rsid w:val="00F632F8"/>
    <w:rsid w:val="00F77F27"/>
    <w:rsid w:val="00F810B7"/>
    <w:rsid w:val="00F82DDF"/>
    <w:rsid w:val="00FA56DA"/>
    <w:rsid w:val="00FB71B9"/>
    <w:rsid w:val="00FE0190"/>
    <w:rsid w:val="00FE4D35"/>
    <w:rsid w:val="00FE680D"/>
    <w:rsid w:val="00FF0058"/>
    <w:rsid w:val="00FF504D"/>
    <w:rsid w:val="00FF70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9938"/>
  <w15:chartTrackingRefBased/>
  <w15:docId w15:val="{212E5A46-738D-461C-8755-79399358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0"/>
    <w:uiPriority w:val="9"/>
    <w:unhideWhenUsed/>
    <w:qFormat/>
    <w:rsid w:val="00C540C2"/>
    <w:pPr>
      <w:keepNext/>
      <w:keepLines/>
      <w:bidi w:val="0"/>
      <w:spacing w:before="40" w:after="0"/>
      <w:outlineLvl w:val="1"/>
    </w:pPr>
    <w:rPr>
      <w:rFonts w:asciiTheme="majorHAnsi" w:eastAsiaTheme="majorEastAsia" w:hAnsiTheme="majorHAnsi" w:cstheme="majorBidi"/>
      <w:b/>
      <w:bCs/>
      <w:color w:val="833C0B" w:themeColor="accent2" w:themeShade="80"/>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C9A"/>
    <w:pPr>
      <w:tabs>
        <w:tab w:val="center" w:pos="4153"/>
        <w:tab w:val="right" w:pos="8306"/>
      </w:tabs>
      <w:spacing w:after="0" w:line="240" w:lineRule="auto"/>
    </w:pPr>
  </w:style>
  <w:style w:type="character" w:customStyle="1" w:styleId="a4">
    <w:name w:val="כותרת עליונה תו"/>
    <w:basedOn w:val="a0"/>
    <w:link w:val="a3"/>
    <w:uiPriority w:val="99"/>
    <w:rsid w:val="00F33C9A"/>
  </w:style>
  <w:style w:type="paragraph" w:styleId="a5">
    <w:name w:val="footer"/>
    <w:basedOn w:val="a"/>
    <w:link w:val="a6"/>
    <w:uiPriority w:val="99"/>
    <w:unhideWhenUsed/>
    <w:rsid w:val="00F33C9A"/>
    <w:pPr>
      <w:tabs>
        <w:tab w:val="center" w:pos="4153"/>
        <w:tab w:val="right" w:pos="8306"/>
      </w:tabs>
      <w:spacing w:after="0" w:line="240" w:lineRule="auto"/>
    </w:pPr>
  </w:style>
  <w:style w:type="character" w:customStyle="1" w:styleId="a6">
    <w:name w:val="כותרת תחתונה תו"/>
    <w:basedOn w:val="a0"/>
    <w:link w:val="a5"/>
    <w:uiPriority w:val="99"/>
    <w:rsid w:val="00F33C9A"/>
  </w:style>
  <w:style w:type="paragraph" w:styleId="a7">
    <w:name w:val="Balloon Text"/>
    <w:basedOn w:val="a"/>
    <w:link w:val="a8"/>
    <w:uiPriority w:val="99"/>
    <w:semiHidden/>
    <w:unhideWhenUsed/>
    <w:rsid w:val="003D738B"/>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3D738B"/>
    <w:rPr>
      <w:rFonts w:ascii="Tahoma" w:hAnsi="Tahoma" w:cs="Tahoma"/>
      <w:sz w:val="18"/>
      <w:szCs w:val="18"/>
    </w:rPr>
  </w:style>
  <w:style w:type="character" w:styleId="a9">
    <w:name w:val="annotation reference"/>
    <w:basedOn w:val="a0"/>
    <w:uiPriority w:val="99"/>
    <w:semiHidden/>
    <w:unhideWhenUsed/>
    <w:rsid w:val="00FF70CF"/>
    <w:rPr>
      <w:sz w:val="16"/>
      <w:szCs w:val="16"/>
    </w:rPr>
  </w:style>
  <w:style w:type="paragraph" w:styleId="aa">
    <w:name w:val="List Paragraph"/>
    <w:basedOn w:val="a"/>
    <w:uiPriority w:val="34"/>
    <w:qFormat/>
    <w:rsid w:val="00FF0058"/>
    <w:pPr>
      <w:ind w:left="720"/>
      <w:contextualSpacing/>
    </w:pPr>
  </w:style>
  <w:style w:type="paragraph" w:styleId="ab">
    <w:name w:val="annotation text"/>
    <w:basedOn w:val="a"/>
    <w:link w:val="ac"/>
    <w:uiPriority w:val="99"/>
    <w:unhideWhenUsed/>
    <w:rsid w:val="008C6135"/>
    <w:rPr>
      <w:sz w:val="20"/>
      <w:szCs w:val="20"/>
    </w:rPr>
  </w:style>
  <w:style w:type="character" w:customStyle="1" w:styleId="ac">
    <w:name w:val="טקסט הערה תו"/>
    <w:basedOn w:val="a0"/>
    <w:link w:val="ab"/>
    <w:uiPriority w:val="99"/>
    <w:rsid w:val="008C6135"/>
    <w:rPr>
      <w:sz w:val="20"/>
      <w:szCs w:val="20"/>
    </w:rPr>
  </w:style>
  <w:style w:type="character" w:styleId="ad">
    <w:name w:val="Placeholder Text"/>
    <w:basedOn w:val="a0"/>
    <w:uiPriority w:val="99"/>
    <w:semiHidden/>
    <w:rsid w:val="00F5401F"/>
    <w:rPr>
      <w:color w:val="808080"/>
    </w:rPr>
  </w:style>
  <w:style w:type="character" w:styleId="Hyperlink">
    <w:name w:val="Hyperlink"/>
    <w:basedOn w:val="a0"/>
    <w:uiPriority w:val="99"/>
    <w:unhideWhenUsed/>
    <w:rsid w:val="009E04FD"/>
    <w:rPr>
      <w:color w:val="0563C1" w:themeColor="hyperlink"/>
      <w:u w:val="single"/>
    </w:rPr>
  </w:style>
  <w:style w:type="character" w:styleId="ae">
    <w:name w:val="Unresolved Mention"/>
    <w:basedOn w:val="a0"/>
    <w:uiPriority w:val="99"/>
    <w:semiHidden/>
    <w:unhideWhenUsed/>
    <w:rsid w:val="009E04FD"/>
    <w:rPr>
      <w:color w:val="605E5C"/>
      <w:shd w:val="clear" w:color="auto" w:fill="E1DFDD"/>
    </w:rPr>
  </w:style>
  <w:style w:type="paragraph" w:customStyle="1" w:styleId="text13">
    <w:name w:val="text13"/>
    <w:basedOn w:val="a"/>
    <w:rsid w:val="00533CC6"/>
    <w:pPr>
      <w:spacing w:before="100" w:beforeAutospacing="1" w:after="100" w:afterAutospacing="1"/>
    </w:pPr>
    <w:rPr>
      <w:rFonts w:ascii="Times New Roman" w:eastAsia="Times New Roman" w:hAnsi="Times New Roman"/>
    </w:rPr>
  </w:style>
  <w:style w:type="paragraph" w:styleId="NormalWeb">
    <w:name w:val="Normal (Web)"/>
    <w:basedOn w:val="a"/>
    <w:uiPriority w:val="99"/>
    <w:unhideWhenUsed/>
    <w:rsid w:val="001227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rsid w:val="00C540C2"/>
    <w:rPr>
      <w:rFonts w:asciiTheme="majorHAnsi" w:eastAsiaTheme="majorEastAsia" w:hAnsiTheme="majorHAnsi" w:cstheme="majorBidi"/>
      <w:b/>
      <w:bCs/>
      <w:color w:val="833C0B" w:themeColor="accent2" w:themeShade="80"/>
      <w:sz w:val="26"/>
      <w:szCs w:val="26"/>
      <w:u w:val="single"/>
    </w:rPr>
  </w:style>
  <w:style w:type="paragraph" w:customStyle="1" w:styleId="font8">
    <w:name w:val="font_8"/>
    <w:basedOn w:val="a"/>
    <w:rsid w:val="00C540C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566228">
      <w:bodyDiv w:val="1"/>
      <w:marLeft w:val="0"/>
      <w:marRight w:val="0"/>
      <w:marTop w:val="0"/>
      <w:marBottom w:val="0"/>
      <w:divBdr>
        <w:top w:val="none" w:sz="0" w:space="0" w:color="auto"/>
        <w:left w:val="none" w:sz="0" w:space="0" w:color="auto"/>
        <w:bottom w:val="none" w:sz="0" w:space="0" w:color="auto"/>
        <w:right w:val="none" w:sz="0" w:space="0" w:color="auto"/>
      </w:divBdr>
    </w:div>
    <w:div w:id="426731675">
      <w:bodyDiv w:val="1"/>
      <w:marLeft w:val="0"/>
      <w:marRight w:val="0"/>
      <w:marTop w:val="0"/>
      <w:marBottom w:val="0"/>
      <w:divBdr>
        <w:top w:val="none" w:sz="0" w:space="0" w:color="auto"/>
        <w:left w:val="none" w:sz="0" w:space="0" w:color="auto"/>
        <w:bottom w:val="none" w:sz="0" w:space="0" w:color="auto"/>
        <w:right w:val="none" w:sz="0" w:space="0" w:color="auto"/>
      </w:divBdr>
      <w:divsChild>
        <w:div w:id="923028422">
          <w:marLeft w:val="0"/>
          <w:marRight w:val="0"/>
          <w:marTop w:val="0"/>
          <w:marBottom w:val="0"/>
          <w:divBdr>
            <w:top w:val="none" w:sz="0" w:space="0" w:color="auto"/>
            <w:left w:val="none" w:sz="0" w:space="0" w:color="auto"/>
            <w:bottom w:val="none" w:sz="0" w:space="0" w:color="auto"/>
            <w:right w:val="none" w:sz="0" w:space="0" w:color="auto"/>
          </w:divBdr>
        </w:div>
      </w:divsChild>
    </w:div>
    <w:div w:id="471407582">
      <w:bodyDiv w:val="1"/>
      <w:marLeft w:val="0"/>
      <w:marRight w:val="0"/>
      <w:marTop w:val="0"/>
      <w:marBottom w:val="0"/>
      <w:divBdr>
        <w:top w:val="none" w:sz="0" w:space="0" w:color="auto"/>
        <w:left w:val="none" w:sz="0" w:space="0" w:color="auto"/>
        <w:bottom w:val="none" w:sz="0" w:space="0" w:color="auto"/>
        <w:right w:val="none" w:sz="0" w:space="0" w:color="auto"/>
      </w:divBdr>
    </w:div>
    <w:div w:id="511185975">
      <w:bodyDiv w:val="1"/>
      <w:marLeft w:val="0"/>
      <w:marRight w:val="0"/>
      <w:marTop w:val="0"/>
      <w:marBottom w:val="0"/>
      <w:divBdr>
        <w:top w:val="none" w:sz="0" w:space="0" w:color="auto"/>
        <w:left w:val="none" w:sz="0" w:space="0" w:color="auto"/>
        <w:bottom w:val="none" w:sz="0" w:space="0" w:color="auto"/>
        <w:right w:val="none" w:sz="0" w:space="0" w:color="auto"/>
      </w:divBdr>
      <w:divsChild>
        <w:div w:id="1512259859">
          <w:marLeft w:val="0"/>
          <w:marRight w:val="0"/>
          <w:marTop w:val="0"/>
          <w:marBottom w:val="0"/>
          <w:divBdr>
            <w:top w:val="none" w:sz="0" w:space="0" w:color="auto"/>
            <w:left w:val="none" w:sz="0" w:space="0" w:color="auto"/>
            <w:bottom w:val="none" w:sz="0" w:space="0" w:color="auto"/>
            <w:right w:val="none" w:sz="0" w:space="0" w:color="auto"/>
          </w:divBdr>
        </w:div>
      </w:divsChild>
    </w:div>
    <w:div w:id="544947191">
      <w:bodyDiv w:val="1"/>
      <w:marLeft w:val="0"/>
      <w:marRight w:val="0"/>
      <w:marTop w:val="0"/>
      <w:marBottom w:val="0"/>
      <w:divBdr>
        <w:top w:val="none" w:sz="0" w:space="0" w:color="auto"/>
        <w:left w:val="none" w:sz="0" w:space="0" w:color="auto"/>
        <w:bottom w:val="none" w:sz="0" w:space="0" w:color="auto"/>
        <w:right w:val="none" w:sz="0" w:space="0" w:color="auto"/>
      </w:divBdr>
    </w:div>
    <w:div w:id="594941450">
      <w:bodyDiv w:val="1"/>
      <w:marLeft w:val="0"/>
      <w:marRight w:val="0"/>
      <w:marTop w:val="0"/>
      <w:marBottom w:val="0"/>
      <w:divBdr>
        <w:top w:val="none" w:sz="0" w:space="0" w:color="auto"/>
        <w:left w:val="none" w:sz="0" w:space="0" w:color="auto"/>
        <w:bottom w:val="none" w:sz="0" w:space="0" w:color="auto"/>
        <w:right w:val="none" w:sz="0" w:space="0" w:color="auto"/>
      </w:divBdr>
      <w:divsChild>
        <w:div w:id="1679380486">
          <w:marLeft w:val="0"/>
          <w:marRight w:val="0"/>
          <w:marTop w:val="0"/>
          <w:marBottom w:val="0"/>
          <w:divBdr>
            <w:top w:val="none" w:sz="0" w:space="0" w:color="auto"/>
            <w:left w:val="none" w:sz="0" w:space="0" w:color="auto"/>
            <w:bottom w:val="none" w:sz="0" w:space="0" w:color="auto"/>
            <w:right w:val="none" w:sz="0" w:space="0" w:color="auto"/>
          </w:divBdr>
        </w:div>
      </w:divsChild>
    </w:div>
    <w:div w:id="659699870">
      <w:bodyDiv w:val="1"/>
      <w:marLeft w:val="0"/>
      <w:marRight w:val="0"/>
      <w:marTop w:val="0"/>
      <w:marBottom w:val="0"/>
      <w:divBdr>
        <w:top w:val="none" w:sz="0" w:space="0" w:color="auto"/>
        <w:left w:val="none" w:sz="0" w:space="0" w:color="auto"/>
        <w:bottom w:val="none" w:sz="0" w:space="0" w:color="auto"/>
        <w:right w:val="none" w:sz="0" w:space="0" w:color="auto"/>
      </w:divBdr>
      <w:divsChild>
        <w:div w:id="796725724">
          <w:marLeft w:val="0"/>
          <w:marRight w:val="0"/>
          <w:marTop w:val="0"/>
          <w:marBottom w:val="0"/>
          <w:divBdr>
            <w:top w:val="none" w:sz="0" w:space="0" w:color="auto"/>
            <w:left w:val="none" w:sz="0" w:space="0" w:color="auto"/>
            <w:bottom w:val="none" w:sz="0" w:space="0" w:color="auto"/>
            <w:right w:val="none" w:sz="0" w:space="0" w:color="auto"/>
          </w:divBdr>
        </w:div>
      </w:divsChild>
    </w:div>
    <w:div w:id="764959734">
      <w:bodyDiv w:val="1"/>
      <w:marLeft w:val="0"/>
      <w:marRight w:val="0"/>
      <w:marTop w:val="0"/>
      <w:marBottom w:val="0"/>
      <w:divBdr>
        <w:top w:val="none" w:sz="0" w:space="0" w:color="auto"/>
        <w:left w:val="none" w:sz="0" w:space="0" w:color="auto"/>
        <w:bottom w:val="none" w:sz="0" w:space="0" w:color="auto"/>
        <w:right w:val="none" w:sz="0" w:space="0" w:color="auto"/>
      </w:divBdr>
    </w:div>
    <w:div w:id="802770765">
      <w:bodyDiv w:val="1"/>
      <w:marLeft w:val="0"/>
      <w:marRight w:val="0"/>
      <w:marTop w:val="0"/>
      <w:marBottom w:val="0"/>
      <w:divBdr>
        <w:top w:val="none" w:sz="0" w:space="0" w:color="auto"/>
        <w:left w:val="none" w:sz="0" w:space="0" w:color="auto"/>
        <w:bottom w:val="none" w:sz="0" w:space="0" w:color="auto"/>
        <w:right w:val="none" w:sz="0" w:space="0" w:color="auto"/>
      </w:divBdr>
    </w:div>
    <w:div w:id="1543592174">
      <w:bodyDiv w:val="1"/>
      <w:marLeft w:val="0"/>
      <w:marRight w:val="0"/>
      <w:marTop w:val="0"/>
      <w:marBottom w:val="0"/>
      <w:divBdr>
        <w:top w:val="none" w:sz="0" w:space="0" w:color="auto"/>
        <w:left w:val="none" w:sz="0" w:space="0" w:color="auto"/>
        <w:bottom w:val="none" w:sz="0" w:space="0" w:color="auto"/>
        <w:right w:val="none" w:sz="0" w:space="0" w:color="auto"/>
      </w:divBdr>
    </w:div>
    <w:div w:id="1849907360">
      <w:bodyDiv w:val="1"/>
      <w:marLeft w:val="0"/>
      <w:marRight w:val="0"/>
      <w:marTop w:val="0"/>
      <w:marBottom w:val="0"/>
      <w:divBdr>
        <w:top w:val="none" w:sz="0" w:space="0" w:color="auto"/>
        <w:left w:val="none" w:sz="0" w:space="0" w:color="auto"/>
        <w:bottom w:val="none" w:sz="0" w:space="0" w:color="auto"/>
        <w:right w:val="none" w:sz="0" w:space="0" w:color="auto"/>
      </w:divBdr>
      <w:divsChild>
        <w:div w:id="626013423">
          <w:marLeft w:val="0"/>
          <w:marRight w:val="0"/>
          <w:marTop w:val="0"/>
          <w:marBottom w:val="0"/>
          <w:divBdr>
            <w:top w:val="none" w:sz="0" w:space="0" w:color="auto"/>
            <w:left w:val="none" w:sz="0" w:space="0" w:color="auto"/>
            <w:bottom w:val="none" w:sz="0" w:space="0" w:color="auto"/>
            <w:right w:val="none" w:sz="0" w:space="0" w:color="auto"/>
          </w:divBdr>
        </w:div>
      </w:divsChild>
    </w:div>
    <w:div w:id="1910768237">
      <w:bodyDiv w:val="1"/>
      <w:marLeft w:val="0"/>
      <w:marRight w:val="0"/>
      <w:marTop w:val="0"/>
      <w:marBottom w:val="0"/>
      <w:divBdr>
        <w:top w:val="none" w:sz="0" w:space="0" w:color="auto"/>
        <w:left w:val="none" w:sz="0" w:space="0" w:color="auto"/>
        <w:bottom w:val="none" w:sz="0" w:space="0" w:color="auto"/>
        <w:right w:val="none" w:sz="0" w:space="0" w:color="auto"/>
      </w:divBdr>
    </w:div>
    <w:div w:id="210811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F304F6E8D04FE0859052B87093AFB8"/>
        <w:category>
          <w:name w:val="כללי"/>
          <w:gallery w:val="placeholder"/>
        </w:category>
        <w:types>
          <w:type w:val="bbPlcHdr"/>
        </w:types>
        <w:behaviors>
          <w:behavior w:val="content"/>
        </w:behaviors>
        <w:guid w:val="{E9E05837-A993-4C3D-B7E6-5135D1A277E5}"/>
      </w:docPartPr>
      <w:docPartBody>
        <w:p w:rsidR="00000000" w:rsidRDefault="001605E2" w:rsidP="001605E2">
          <w:pPr>
            <w:pStyle w:val="6CF304F6E8D04FE0859052B87093AFB8"/>
          </w:pPr>
          <w:r w:rsidRPr="00ED60B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E2"/>
    <w:rsid w:val="001605E2"/>
    <w:rsid w:val="00D42A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605E2"/>
    <w:rPr>
      <w:color w:val="808080"/>
    </w:rPr>
  </w:style>
  <w:style w:type="paragraph" w:customStyle="1" w:styleId="6CF304F6E8D04FE0859052B87093AFB8">
    <w:name w:val="6CF304F6E8D04FE0859052B87093AFB8"/>
    <w:rsid w:val="001605E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3BB46-71CD-499D-AE26-94772E60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7779</Words>
  <Characters>38899</Characters>
  <Application>Microsoft Office Word</Application>
  <DocSecurity>0</DocSecurity>
  <Lines>324</Lines>
  <Paragraphs>93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Efrat Barel</dc:creator>
  <cp:keywords/>
  <dc:description/>
  <cp:lastModifiedBy>אפרת בראל</cp:lastModifiedBy>
  <cp:revision>8</cp:revision>
  <cp:lastPrinted>2020-11-24T16:04:00Z</cp:lastPrinted>
  <dcterms:created xsi:type="dcterms:W3CDTF">2021-03-02T11:54:00Z</dcterms:created>
  <dcterms:modified xsi:type="dcterms:W3CDTF">2021-03-02T12:37:00Z</dcterms:modified>
</cp:coreProperties>
</file>